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62A" w:rsidRPr="00616402" w:rsidRDefault="0028762A" w:rsidP="0028762A">
      <w:pPr>
        <w:spacing w:before="100" w:beforeAutospacing="1" w:after="100" w:afterAutospacing="1" w:line="360" w:lineRule="auto"/>
        <w:jc w:val="both"/>
        <w:rPr>
          <w:rFonts w:ascii="Palatino Linotype" w:hAnsi="Palatino Linotype"/>
        </w:rPr>
      </w:pPr>
      <w:r w:rsidRPr="0061640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veintiséis de febrero de dos mil veinte. </w:t>
      </w:r>
    </w:p>
    <w:p w:rsidR="0028762A" w:rsidRPr="00616402" w:rsidRDefault="0028762A" w:rsidP="0028762A">
      <w:pPr>
        <w:spacing w:before="100" w:beforeAutospacing="1" w:after="100" w:afterAutospacing="1" w:line="360" w:lineRule="auto"/>
        <w:jc w:val="both"/>
        <w:rPr>
          <w:rFonts w:ascii="Palatino Linotype" w:hAnsi="Palatino Linotype"/>
          <w:spacing w:val="-20"/>
          <w:lang w:val="es-ES"/>
        </w:rPr>
      </w:pPr>
      <w:r w:rsidRPr="00616402">
        <w:rPr>
          <w:rFonts w:ascii="Palatino Linotype" w:hAnsi="Palatino Linotype"/>
          <w:lang w:val="es-ES"/>
        </w:rPr>
        <w:t xml:space="preserve">VISTOS los expedientes formados con motivo de los recursos de revisión </w:t>
      </w:r>
      <w:r w:rsidRPr="00616402">
        <w:rPr>
          <w:rFonts w:ascii="Palatino Linotype" w:hAnsi="Palatino Linotype"/>
          <w:b/>
          <w:spacing w:val="-20"/>
          <w:lang w:val="es-ES"/>
        </w:rPr>
        <w:t xml:space="preserve">09577INFOEM/IP/RR/2019, 09578/INFOEM/IP/RR/2019, 09579/INFOEM/IP/RR/2019, 09580/INFOEM/IP/RR/2019  </w:t>
      </w:r>
      <w:r w:rsidRPr="00616402">
        <w:rPr>
          <w:rFonts w:ascii="Palatino Linotype" w:hAnsi="Palatino Linotype"/>
          <w:spacing w:val="-20"/>
          <w:lang w:val="es-ES"/>
        </w:rPr>
        <w:t xml:space="preserve">y  </w:t>
      </w:r>
      <w:r w:rsidRPr="00616402">
        <w:rPr>
          <w:rFonts w:ascii="Palatino Linotype" w:hAnsi="Palatino Linotype"/>
          <w:b/>
          <w:spacing w:val="-20"/>
          <w:lang w:val="es-ES"/>
        </w:rPr>
        <w:t xml:space="preserve">09583/INFOEM/IP/RR/2019 </w:t>
      </w:r>
      <w:r w:rsidRPr="00616402">
        <w:rPr>
          <w:rFonts w:ascii="Palatino Linotype" w:hAnsi="Palatino Linotype"/>
          <w:lang w:val="es-ES"/>
        </w:rPr>
        <w:t xml:space="preserve">interpuestos por una persona de manera anónima en lo sucesivo </w:t>
      </w:r>
      <w:r w:rsidRPr="00616402">
        <w:rPr>
          <w:rFonts w:ascii="Palatino Linotype" w:hAnsi="Palatino Linotype"/>
          <w:b/>
          <w:lang w:val="es-ES"/>
        </w:rPr>
        <w:t>EL RECURRENTE,</w:t>
      </w:r>
      <w:r w:rsidRPr="00616402">
        <w:rPr>
          <w:rFonts w:ascii="Palatino Linotype" w:hAnsi="Palatino Linotype"/>
          <w:lang w:val="es-ES"/>
        </w:rPr>
        <w:t xml:space="preserve"> </w:t>
      </w:r>
      <w:r w:rsidRPr="00616402">
        <w:rPr>
          <w:rFonts w:ascii="Palatino Linotype" w:hAnsi="Palatino Linotype" w:cs="Arial"/>
          <w:lang w:val="es-ES"/>
        </w:rPr>
        <w:t xml:space="preserve">en contra de la falta de respuestas del </w:t>
      </w:r>
      <w:r w:rsidRPr="00616402">
        <w:rPr>
          <w:rFonts w:ascii="Palatino Linotype" w:hAnsi="Palatino Linotype"/>
          <w:b/>
          <w:lang w:val="es-ES_tradnl"/>
        </w:rPr>
        <w:t>Ayuntamiento de Capulhuac,</w:t>
      </w:r>
      <w:r w:rsidRPr="00616402">
        <w:rPr>
          <w:rFonts w:ascii="Palatino Linotype" w:hAnsi="Palatino Linotype" w:cs="Arial"/>
          <w:lang w:val="es-ES"/>
        </w:rPr>
        <w:t xml:space="preserve"> en lo subsecuente </w:t>
      </w:r>
      <w:r w:rsidRPr="00616402">
        <w:rPr>
          <w:rFonts w:ascii="Palatino Linotype" w:hAnsi="Palatino Linotype" w:cs="Arial"/>
          <w:b/>
          <w:lang w:val="es-ES"/>
        </w:rPr>
        <w:t xml:space="preserve">EL SUJETO OBLIGADO, </w:t>
      </w:r>
      <w:r w:rsidRPr="00616402">
        <w:rPr>
          <w:rFonts w:ascii="Palatino Linotype" w:hAnsi="Palatino Linotype" w:cs="Arial"/>
          <w:lang w:val="es-ES"/>
        </w:rPr>
        <w:t>se procede a dictar la presente resolución con base en lo siguiente:</w:t>
      </w:r>
    </w:p>
    <w:p w:rsidR="0028762A" w:rsidRPr="00616402" w:rsidRDefault="0028762A" w:rsidP="0028762A">
      <w:pPr>
        <w:spacing w:before="240" w:after="120" w:line="360" w:lineRule="auto"/>
        <w:jc w:val="center"/>
        <w:rPr>
          <w:rFonts w:ascii="Palatino Linotype" w:hAnsi="Palatino Linotype"/>
          <w:b/>
          <w:bCs/>
          <w:spacing w:val="60"/>
          <w:sz w:val="28"/>
        </w:rPr>
      </w:pPr>
      <w:r w:rsidRPr="00616402">
        <w:rPr>
          <w:rFonts w:ascii="Palatino Linotype" w:hAnsi="Palatino Linotype"/>
          <w:b/>
          <w:bCs/>
          <w:spacing w:val="60"/>
          <w:sz w:val="28"/>
        </w:rPr>
        <w:t>RESULTANDO</w:t>
      </w:r>
    </w:p>
    <w:p w:rsidR="0028762A" w:rsidRPr="00616402" w:rsidRDefault="0028762A" w:rsidP="0028762A">
      <w:pPr>
        <w:spacing w:before="100" w:beforeAutospacing="1" w:after="100" w:afterAutospacing="1" w:line="360" w:lineRule="auto"/>
        <w:jc w:val="both"/>
        <w:rPr>
          <w:rFonts w:ascii="Palatino Linotype" w:hAnsi="Palatino Linotype" w:cs="Arial"/>
          <w:b/>
          <w:lang w:val="es-ES"/>
        </w:rPr>
      </w:pPr>
      <w:r w:rsidRPr="00616402">
        <w:rPr>
          <w:rFonts w:ascii="Palatino Linotype" w:hAnsi="Palatino Linotype" w:cs="Arial"/>
          <w:b/>
          <w:sz w:val="28"/>
          <w:lang w:val="es-ES"/>
        </w:rPr>
        <w:t xml:space="preserve">I. </w:t>
      </w:r>
      <w:r w:rsidRPr="00616402">
        <w:rPr>
          <w:rFonts w:ascii="Palatino Linotype" w:hAnsi="Palatino Linotype" w:cs="Arial"/>
          <w:lang w:val="es-ES"/>
        </w:rPr>
        <w:t xml:space="preserve">En fecha veinte de noviembre de dos mil diecinueve, </w:t>
      </w:r>
      <w:r w:rsidRPr="00616402">
        <w:rPr>
          <w:rFonts w:ascii="Palatino Linotype" w:hAnsi="Palatino Linotype" w:cs="Arial"/>
          <w:b/>
          <w:lang w:val="es-ES"/>
        </w:rPr>
        <w:t>EL RECURRENTE</w:t>
      </w:r>
      <w:r w:rsidRPr="00616402">
        <w:rPr>
          <w:rFonts w:ascii="Palatino Linotype" w:hAnsi="Palatino Linotype" w:cs="Arial"/>
          <w:lang w:val="es-ES"/>
        </w:rPr>
        <w:t xml:space="preserve"> presentó a través del Sistema de Acceso a la Información Mexiquense, en lo subsecuente </w:t>
      </w:r>
      <w:r w:rsidRPr="00616402">
        <w:rPr>
          <w:rFonts w:ascii="Palatino Linotype" w:hAnsi="Palatino Linotype" w:cs="Arial"/>
          <w:b/>
          <w:lang w:val="es-ES"/>
        </w:rPr>
        <w:t>EL SAIMEX</w:t>
      </w:r>
      <w:r w:rsidRPr="00616402">
        <w:rPr>
          <w:rFonts w:ascii="Palatino Linotype" w:hAnsi="Palatino Linotype" w:cs="Arial"/>
          <w:lang w:val="es-ES"/>
        </w:rPr>
        <w:t xml:space="preserve"> ante </w:t>
      </w:r>
      <w:r w:rsidRPr="00616402">
        <w:rPr>
          <w:rFonts w:ascii="Palatino Linotype" w:hAnsi="Palatino Linotype" w:cs="Arial"/>
          <w:b/>
          <w:lang w:val="es-ES"/>
        </w:rPr>
        <w:t>EL SUJETO OBLIGADO</w:t>
      </w:r>
      <w:r w:rsidRPr="00616402">
        <w:rPr>
          <w:rFonts w:ascii="Palatino Linotype" w:hAnsi="Palatino Linotype" w:cs="Arial"/>
          <w:lang w:val="es-ES"/>
        </w:rPr>
        <w:t>, las solicitudes de acceso a información pública, a las que se les asignó los números</w:t>
      </w:r>
      <w:r w:rsidRPr="00616402">
        <w:rPr>
          <w:rFonts w:ascii="Palatino Linotype" w:hAnsi="Palatino Linotype"/>
          <w:lang w:val="es-ES"/>
        </w:rPr>
        <w:t xml:space="preserve"> </w:t>
      </w:r>
      <w:r w:rsidRPr="00616402">
        <w:rPr>
          <w:rFonts w:ascii="Palatino Linotype" w:hAnsi="Palatino Linotype" w:cs="Arial"/>
          <w:b/>
          <w:lang w:val="es-ES"/>
        </w:rPr>
        <w:t xml:space="preserve">00518/CAPULHUA/IP/2019, 00517/CAPULHUA/IP/2019, 00516/CAPULHUA/IP/2019, 00514/CAPULHUA/IP/2019, </w:t>
      </w:r>
      <w:r w:rsidRPr="00616402">
        <w:rPr>
          <w:rFonts w:ascii="Palatino Linotype" w:hAnsi="Palatino Linotype" w:cs="Arial"/>
          <w:lang w:val="es-ES"/>
        </w:rPr>
        <w:t xml:space="preserve">y </w:t>
      </w:r>
      <w:r w:rsidRPr="00616402">
        <w:rPr>
          <w:rFonts w:ascii="Palatino Linotype" w:hAnsi="Palatino Linotype" w:cs="Arial"/>
          <w:b/>
          <w:lang w:val="es-ES"/>
        </w:rPr>
        <w:t xml:space="preserve">00515/CAPULHUA/IP/2019, </w:t>
      </w:r>
      <w:r w:rsidRPr="00616402">
        <w:rPr>
          <w:rFonts w:ascii="Palatino Linotype" w:hAnsi="Palatino Linotype" w:cs="Arial"/>
          <w:lang w:val="es-ES"/>
        </w:rPr>
        <w:t>mediante las cuales solicitó:</w:t>
      </w:r>
    </w:p>
    <w:tbl>
      <w:tblPr>
        <w:tblStyle w:val="Tablaconcuadrcula"/>
        <w:tblW w:w="0" w:type="auto"/>
        <w:jc w:val="center"/>
        <w:tblLayout w:type="fixed"/>
        <w:tblLook w:val="04A0" w:firstRow="1" w:lastRow="0" w:firstColumn="1" w:lastColumn="0" w:noHBand="0" w:noVBand="1"/>
      </w:tblPr>
      <w:tblGrid>
        <w:gridCol w:w="2689"/>
        <w:gridCol w:w="5670"/>
      </w:tblGrid>
      <w:tr w:rsidR="0028762A" w:rsidRPr="00616402" w:rsidTr="0028762A">
        <w:trPr>
          <w:jc w:val="center"/>
        </w:trPr>
        <w:tc>
          <w:tcPr>
            <w:tcW w:w="2689" w:type="dxa"/>
            <w:shd w:val="clear" w:color="auto" w:fill="000000" w:themeFill="text1"/>
            <w:vAlign w:val="center"/>
          </w:tcPr>
          <w:p w:rsidR="0028762A" w:rsidRPr="00616402" w:rsidRDefault="0028762A" w:rsidP="0028762A">
            <w:pPr>
              <w:jc w:val="center"/>
              <w:rPr>
                <w:rFonts w:ascii="Palatino Linotype" w:hAnsi="Palatino Linotype" w:cs="Arial"/>
                <w:b/>
                <w:sz w:val="18"/>
                <w:szCs w:val="18"/>
                <w:lang w:val="es-ES"/>
              </w:rPr>
            </w:pPr>
            <w:r w:rsidRPr="00616402">
              <w:rPr>
                <w:rFonts w:ascii="Palatino Linotype" w:hAnsi="Palatino Linotype" w:cs="Arial"/>
                <w:b/>
                <w:sz w:val="18"/>
                <w:szCs w:val="18"/>
                <w:lang w:val="es-ES"/>
              </w:rPr>
              <w:t>Número</w:t>
            </w:r>
          </w:p>
        </w:tc>
        <w:tc>
          <w:tcPr>
            <w:tcW w:w="5670" w:type="dxa"/>
            <w:shd w:val="clear" w:color="auto" w:fill="000000" w:themeFill="text1"/>
            <w:vAlign w:val="center"/>
          </w:tcPr>
          <w:p w:rsidR="0028762A" w:rsidRPr="00616402" w:rsidRDefault="0028762A" w:rsidP="0028762A">
            <w:pPr>
              <w:jc w:val="center"/>
              <w:rPr>
                <w:rFonts w:ascii="Palatino Linotype" w:hAnsi="Palatino Linotype" w:cs="Arial"/>
                <w:b/>
                <w:sz w:val="18"/>
                <w:szCs w:val="18"/>
                <w:lang w:val="es-ES"/>
              </w:rPr>
            </w:pPr>
            <w:r w:rsidRPr="00616402">
              <w:rPr>
                <w:rFonts w:ascii="Palatino Linotype" w:hAnsi="Palatino Linotype" w:cs="Arial"/>
                <w:b/>
                <w:sz w:val="18"/>
                <w:szCs w:val="18"/>
                <w:lang w:val="es-ES"/>
              </w:rPr>
              <w:t>Solicitud</w:t>
            </w:r>
          </w:p>
        </w:tc>
      </w:tr>
      <w:tr w:rsidR="0028762A" w:rsidRPr="00616402" w:rsidTr="0028762A">
        <w:trPr>
          <w:jc w:val="center"/>
        </w:trPr>
        <w:tc>
          <w:tcPr>
            <w:tcW w:w="2689" w:type="dxa"/>
            <w:vAlign w:val="center"/>
          </w:tcPr>
          <w:p w:rsidR="0028762A" w:rsidRPr="00616402" w:rsidRDefault="0028762A" w:rsidP="0028762A">
            <w:pPr>
              <w:jc w:val="center"/>
              <w:rPr>
                <w:rFonts w:ascii="Palatino Linotype" w:hAnsi="Palatino Linotype" w:cs="Arial"/>
                <w:sz w:val="18"/>
                <w:szCs w:val="18"/>
                <w:lang w:val="es-ES"/>
              </w:rPr>
            </w:pPr>
            <w:r w:rsidRPr="00616402">
              <w:rPr>
                <w:rFonts w:ascii="Palatino Linotype" w:hAnsi="Palatino Linotype" w:cs="Arial"/>
                <w:sz w:val="18"/>
                <w:szCs w:val="18"/>
                <w:lang w:val="es-ES"/>
              </w:rPr>
              <w:t>00518/CAPULHUA/IP/2019</w:t>
            </w:r>
          </w:p>
        </w:tc>
        <w:tc>
          <w:tcPr>
            <w:tcW w:w="5670" w:type="dxa"/>
          </w:tcPr>
          <w:p w:rsidR="0028762A" w:rsidRPr="00616402" w:rsidRDefault="0028762A" w:rsidP="0028762A">
            <w:pPr>
              <w:jc w:val="both"/>
              <w:rPr>
                <w:rFonts w:ascii="Palatino Linotype" w:hAnsi="Palatino Linotype"/>
                <w:color w:val="000000"/>
                <w:sz w:val="18"/>
                <w:szCs w:val="18"/>
              </w:rPr>
            </w:pPr>
            <w:r w:rsidRPr="00616402">
              <w:rPr>
                <w:rFonts w:ascii="Palatino Linotype" w:hAnsi="Palatino Linotype"/>
                <w:color w:val="000000"/>
                <w:sz w:val="18"/>
                <w:szCs w:val="18"/>
              </w:rPr>
              <w:t>Solicito las facturas de las compras realizadas en octubre de 2019.</w:t>
            </w:r>
          </w:p>
        </w:tc>
      </w:tr>
      <w:tr w:rsidR="0028762A" w:rsidRPr="00616402" w:rsidTr="0028762A">
        <w:trPr>
          <w:jc w:val="center"/>
        </w:trPr>
        <w:tc>
          <w:tcPr>
            <w:tcW w:w="2689" w:type="dxa"/>
            <w:vAlign w:val="center"/>
          </w:tcPr>
          <w:p w:rsidR="0028762A" w:rsidRPr="00616402" w:rsidRDefault="0028762A" w:rsidP="0028762A">
            <w:pPr>
              <w:jc w:val="center"/>
              <w:rPr>
                <w:rFonts w:ascii="Palatino Linotype" w:hAnsi="Palatino Linotype" w:cs="Arial"/>
                <w:sz w:val="18"/>
                <w:szCs w:val="18"/>
                <w:lang w:val="es-ES"/>
              </w:rPr>
            </w:pPr>
            <w:r w:rsidRPr="00616402">
              <w:rPr>
                <w:rFonts w:ascii="Palatino Linotype" w:hAnsi="Palatino Linotype" w:cs="Arial"/>
                <w:sz w:val="18"/>
                <w:szCs w:val="18"/>
                <w:lang w:val="es-ES"/>
              </w:rPr>
              <w:t>00517/CAPULHUA/IP/2019</w:t>
            </w:r>
          </w:p>
        </w:tc>
        <w:tc>
          <w:tcPr>
            <w:tcW w:w="5670" w:type="dxa"/>
          </w:tcPr>
          <w:p w:rsidR="0028762A" w:rsidRPr="00616402" w:rsidRDefault="0028762A" w:rsidP="0028762A">
            <w:pPr>
              <w:jc w:val="both"/>
              <w:rPr>
                <w:rFonts w:ascii="Palatino Linotype" w:hAnsi="Palatino Linotype"/>
                <w:color w:val="000000"/>
                <w:sz w:val="18"/>
                <w:szCs w:val="18"/>
              </w:rPr>
            </w:pPr>
            <w:r w:rsidRPr="00616402">
              <w:rPr>
                <w:rFonts w:ascii="Palatino Linotype" w:hAnsi="Palatino Linotype"/>
                <w:color w:val="000000"/>
                <w:sz w:val="18"/>
                <w:szCs w:val="18"/>
              </w:rPr>
              <w:t>Solicito las facturas de las compras realizadas en septiembre de 2019</w:t>
            </w:r>
          </w:p>
        </w:tc>
      </w:tr>
      <w:tr w:rsidR="0028762A" w:rsidRPr="00616402" w:rsidTr="0028762A">
        <w:trPr>
          <w:jc w:val="center"/>
        </w:trPr>
        <w:tc>
          <w:tcPr>
            <w:tcW w:w="2689" w:type="dxa"/>
            <w:vAlign w:val="center"/>
          </w:tcPr>
          <w:p w:rsidR="0028762A" w:rsidRPr="00616402" w:rsidRDefault="0028762A" w:rsidP="0028762A">
            <w:pPr>
              <w:jc w:val="center"/>
              <w:rPr>
                <w:rFonts w:ascii="Palatino Linotype" w:hAnsi="Palatino Linotype" w:cs="Arial"/>
                <w:sz w:val="18"/>
                <w:szCs w:val="18"/>
                <w:lang w:val="es-ES"/>
              </w:rPr>
            </w:pPr>
            <w:r w:rsidRPr="00616402">
              <w:rPr>
                <w:rFonts w:ascii="Palatino Linotype" w:hAnsi="Palatino Linotype" w:cs="Arial"/>
                <w:sz w:val="18"/>
                <w:szCs w:val="18"/>
                <w:lang w:val="es-ES"/>
              </w:rPr>
              <w:t>00516/CAPULHUA/IP/2019</w:t>
            </w:r>
          </w:p>
        </w:tc>
        <w:tc>
          <w:tcPr>
            <w:tcW w:w="5670" w:type="dxa"/>
          </w:tcPr>
          <w:p w:rsidR="0028762A" w:rsidRPr="00616402" w:rsidRDefault="0028762A" w:rsidP="0028762A">
            <w:pPr>
              <w:jc w:val="both"/>
              <w:rPr>
                <w:rFonts w:ascii="Palatino Linotype" w:hAnsi="Palatino Linotype"/>
                <w:color w:val="000000"/>
                <w:sz w:val="18"/>
                <w:szCs w:val="18"/>
              </w:rPr>
            </w:pPr>
            <w:r w:rsidRPr="00616402">
              <w:rPr>
                <w:rFonts w:ascii="Palatino Linotype" w:hAnsi="Palatino Linotype"/>
                <w:color w:val="000000"/>
                <w:sz w:val="18"/>
                <w:szCs w:val="18"/>
              </w:rPr>
              <w:t>Solicito las facturas de las compras realizadas en agosto de 2019</w:t>
            </w:r>
          </w:p>
        </w:tc>
      </w:tr>
      <w:tr w:rsidR="0028762A" w:rsidRPr="00616402" w:rsidTr="0028762A">
        <w:trPr>
          <w:jc w:val="center"/>
        </w:trPr>
        <w:tc>
          <w:tcPr>
            <w:tcW w:w="2689" w:type="dxa"/>
            <w:vAlign w:val="center"/>
          </w:tcPr>
          <w:p w:rsidR="0028762A" w:rsidRPr="00616402" w:rsidRDefault="0028762A" w:rsidP="0028762A">
            <w:pPr>
              <w:jc w:val="center"/>
              <w:rPr>
                <w:rFonts w:ascii="Palatino Linotype" w:hAnsi="Palatino Linotype" w:cs="Arial"/>
                <w:sz w:val="18"/>
                <w:szCs w:val="18"/>
                <w:lang w:val="es-ES"/>
              </w:rPr>
            </w:pPr>
            <w:r w:rsidRPr="00616402">
              <w:rPr>
                <w:rFonts w:ascii="Palatino Linotype" w:hAnsi="Palatino Linotype" w:cs="Arial"/>
                <w:sz w:val="18"/>
                <w:szCs w:val="18"/>
                <w:lang w:val="es-ES"/>
              </w:rPr>
              <w:t>00514/CAPULHUA/IP/2019</w:t>
            </w:r>
          </w:p>
        </w:tc>
        <w:tc>
          <w:tcPr>
            <w:tcW w:w="5670" w:type="dxa"/>
          </w:tcPr>
          <w:p w:rsidR="0028762A" w:rsidRPr="00616402" w:rsidRDefault="0028762A" w:rsidP="0028762A">
            <w:pPr>
              <w:jc w:val="both"/>
              <w:rPr>
                <w:rFonts w:ascii="Palatino Linotype" w:hAnsi="Palatino Linotype"/>
                <w:color w:val="000000"/>
                <w:sz w:val="18"/>
                <w:szCs w:val="18"/>
              </w:rPr>
            </w:pPr>
            <w:r w:rsidRPr="00616402">
              <w:rPr>
                <w:rFonts w:ascii="Palatino Linotype" w:hAnsi="Palatino Linotype"/>
                <w:color w:val="000000"/>
                <w:sz w:val="18"/>
                <w:szCs w:val="18"/>
              </w:rPr>
              <w:t>Solicito las facturas de las compras realizadas en junio de 2019</w:t>
            </w:r>
          </w:p>
        </w:tc>
      </w:tr>
      <w:tr w:rsidR="0028762A" w:rsidRPr="00616402" w:rsidTr="0028762A">
        <w:trPr>
          <w:jc w:val="center"/>
        </w:trPr>
        <w:tc>
          <w:tcPr>
            <w:tcW w:w="2689" w:type="dxa"/>
            <w:vAlign w:val="center"/>
          </w:tcPr>
          <w:p w:rsidR="0028762A" w:rsidRPr="00616402" w:rsidRDefault="0028762A" w:rsidP="0028762A">
            <w:pPr>
              <w:jc w:val="center"/>
              <w:rPr>
                <w:rFonts w:ascii="Palatino Linotype" w:hAnsi="Palatino Linotype" w:cs="Arial"/>
                <w:sz w:val="18"/>
                <w:szCs w:val="18"/>
                <w:lang w:val="es-ES"/>
              </w:rPr>
            </w:pPr>
            <w:r w:rsidRPr="00616402">
              <w:rPr>
                <w:rFonts w:ascii="Palatino Linotype" w:hAnsi="Palatino Linotype" w:cs="Arial"/>
                <w:sz w:val="18"/>
                <w:szCs w:val="18"/>
                <w:lang w:val="es-ES"/>
              </w:rPr>
              <w:t>00515/CAPULHUA/IP/2019</w:t>
            </w:r>
          </w:p>
        </w:tc>
        <w:tc>
          <w:tcPr>
            <w:tcW w:w="5670" w:type="dxa"/>
          </w:tcPr>
          <w:p w:rsidR="0028762A" w:rsidRPr="00616402" w:rsidRDefault="0028762A" w:rsidP="0028762A">
            <w:pPr>
              <w:jc w:val="both"/>
              <w:rPr>
                <w:rFonts w:ascii="Palatino Linotype" w:hAnsi="Palatino Linotype"/>
                <w:color w:val="000000"/>
                <w:sz w:val="18"/>
                <w:szCs w:val="18"/>
              </w:rPr>
            </w:pPr>
            <w:r w:rsidRPr="00616402">
              <w:rPr>
                <w:rFonts w:ascii="Palatino Linotype" w:hAnsi="Palatino Linotype"/>
                <w:color w:val="000000"/>
                <w:sz w:val="18"/>
                <w:szCs w:val="18"/>
              </w:rPr>
              <w:t>Solicito las facturas de las compras realizadas en julio de 2019</w:t>
            </w:r>
          </w:p>
        </w:tc>
      </w:tr>
    </w:tbl>
    <w:p w:rsidR="0028762A" w:rsidRPr="00616402" w:rsidRDefault="0028762A" w:rsidP="0028762A">
      <w:pPr>
        <w:spacing w:before="160" w:after="160"/>
        <w:ind w:right="709"/>
        <w:jc w:val="both"/>
        <w:rPr>
          <w:rFonts w:ascii="Palatino Linotype" w:hAnsi="Palatino Linotype"/>
          <w:sz w:val="22"/>
          <w:szCs w:val="22"/>
        </w:rPr>
      </w:pPr>
      <w:r w:rsidRPr="00616402">
        <w:rPr>
          <w:rFonts w:ascii="Palatino Linotype" w:hAnsi="Palatino Linotype"/>
          <w:b/>
        </w:rPr>
        <w:t>Modalidad de entrega:</w:t>
      </w:r>
      <w:r w:rsidRPr="00616402">
        <w:rPr>
          <w:rFonts w:ascii="Palatino Linotype" w:hAnsi="Palatino Linotype"/>
          <w:sz w:val="22"/>
          <w:szCs w:val="22"/>
        </w:rPr>
        <w:t xml:space="preserve"> </w:t>
      </w:r>
      <w:r w:rsidRPr="00616402">
        <w:rPr>
          <w:rFonts w:ascii="Palatino Linotype" w:hAnsi="Palatino Linotype"/>
        </w:rPr>
        <w:t>Vía SAIMEX</w:t>
      </w:r>
    </w:p>
    <w:p w:rsidR="0028762A" w:rsidRPr="00616402" w:rsidRDefault="0028762A" w:rsidP="0028762A">
      <w:pPr>
        <w:spacing w:before="100" w:beforeAutospacing="1" w:after="100" w:afterAutospacing="1" w:line="360" w:lineRule="auto"/>
        <w:jc w:val="both"/>
        <w:rPr>
          <w:rFonts w:ascii="Palatino Linotype" w:hAnsi="Palatino Linotype" w:cs="Arial"/>
        </w:rPr>
      </w:pPr>
      <w:bookmarkStart w:id="0" w:name="_Ref516764469"/>
      <w:r w:rsidRPr="00616402">
        <w:rPr>
          <w:rFonts w:ascii="Palatino Linotype" w:hAnsi="Palatino Linotype"/>
          <w:b/>
          <w:sz w:val="28"/>
          <w:szCs w:val="28"/>
        </w:rPr>
        <w:lastRenderedPageBreak/>
        <w:t>II.</w:t>
      </w:r>
      <w:r w:rsidRPr="00616402">
        <w:rPr>
          <w:rFonts w:ascii="Palatino Linotype" w:hAnsi="Palatino Linotype"/>
          <w:sz w:val="28"/>
          <w:szCs w:val="28"/>
        </w:rPr>
        <w:t xml:space="preserve"> </w:t>
      </w:r>
      <w:r w:rsidRPr="00616402">
        <w:rPr>
          <w:rFonts w:ascii="Palatino Linotype" w:hAnsi="Palatino Linotype"/>
        </w:rPr>
        <w:t xml:space="preserve">De las constancias que obran en </w:t>
      </w:r>
      <w:r w:rsidRPr="00616402">
        <w:rPr>
          <w:rFonts w:ascii="Palatino Linotype" w:hAnsi="Palatino Linotype"/>
          <w:b/>
        </w:rPr>
        <w:t>EL SAIMEX,</w:t>
      </w:r>
      <w:r w:rsidRPr="00616402">
        <w:rPr>
          <w:rFonts w:ascii="Palatino Linotype" w:hAnsi="Palatino Linotype"/>
        </w:rPr>
        <w:t xml:space="preserve"> se advierte que,</w:t>
      </w:r>
      <w:r w:rsidRPr="00616402">
        <w:rPr>
          <w:rFonts w:ascii="Palatino Linotype" w:hAnsi="Palatino Linotype"/>
          <w:b/>
        </w:rPr>
        <w:t xml:space="preserve"> </w:t>
      </w:r>
      <w:r w:rsidRPr="00616402">
        <w:rPr>
          <w:rFonts w:ascii="Palatino Linotype" w:hAnsi="Palatino Linotype" w:cs="Arial"/>
          <w:b/>
        </w:rPr>
        <w:t>EL SUJETO OBLIGADO,</w:t>
      </w:r>
      <w:r w:rsidRPr="00616402">
        <w:rPr>
          <w:rFonts w:ascii="Palatino Linotype" w:hAnsi="Palatino Linotype" w:cs="Arial"/>
        </w:rPr>
        <w:t xml:space="preserve"> fue omiso en dar trámite y respuesta a las solicitudes de información números </w:t>
      </w:r>
      <w:r w:rsidRPr="00616402">
        <w:rPr>
          <w:rFonts w:ascii="Palatino Linotype" w:hAnsi="Palatino Linotype" w:cs="Arial"/>
          <w:b/>
          <w:spacing w:val="-20"/>
          <w:lang w:val="es-ES"/>
        </w:rPr>
        <w:t xml:space="preserve">00518/CAPULHUA/IP/2019, 00517/CAPULHUA/IP/2019, 00516/CAPULHUA/IP/2019, 00514/CAPULHUA/IP/2019, </w:t>
      </w:r>
      <w:r w:rsidRPr="00616402">
        <w:rPr>
          <w:rFonts w:ascii="Palatino Linotype" w:hAnsi="Palatino Linotype" w:cs="Arial"/>
          <w:spacing w:val="-20"/>
          <w:lang w:val="es-ES"/>
        </w:rPr>
        <w:t xml:space="preserve">y </w:t>
      </w:r>
      <w:r w:rsidRPr="00616402">
        <w:rPr>
          <w:rFonts w:ascii="Palatino Linotype" w:hAnsi="Palatino Linotype" w:cs="Arial"/>
          <w:b/>
          <w:spacing w:val="-20"/>
          <w:lang w:val="es-ES"/>
        </w:rPr>
        <w:t xml:space="preserve">00515/CAPULHUA/IP/2019,  </w:t>
      </w:r>
      <w:r w:rsidRPr="00616402">
        <w:rPr>
          <w:rFonts w:ascii="Palatino Linotype" w:hAnsi="Palatino Linotype" w:cs="Arial"/>
        </w:rPr>
        <w:t>ello, de conformidad con lo establecido en el numeral 163 de la Ley de Transparencia y Acceso a la Información Pública del Estado de México y Municipios.</w:t>
      </w:r>
    </w:p>
    <w:p w:rsidR="0028762A" w:rsidRPr="00616402" w:rsidRDefault="0028762A" w:rsidP="0028762A">
      <w:pPr>
        <w:spacing w:before="100" w:beforeAutospacing="1" w:after="100" w:afterAutospacing="1" w:line="360" w:lineRule="auto"/>
        <w:jc w:val="both"/>
        <w:rPr>
          <w:rFonts w:ascii="Palatino Linotype" w:hAnsi="Palatino Linotype"/>
        </w:rPr>
      </w:pPr>
      <w:r w:rsidRPr="00616402">
        <w:rPr>
          <w:rFonts w:ascii="Palatino Linotype" w:hAnsi="Palatino Linotype"/>
          <w:b/>
          <w:sz w:val="28"/>
          <w:szCs w:val="28"/>
        </w:rPr>
        <w:t xml:space="preserve">III. </w:t>
      </w:r>
      <w:r w:rsidRPr="00616402">
        <w:rPr>
          <w:rFonts w:ascii="Palatino Linotype" w:hAnsi="Palatino Linotype"/>
        </w:rPr>
        <w:t xml:space="preserve">Inconforme con la falta de trámite y respuesta a las solicitudes de información en fecha doce de </w:t>
      </w:r>
      <w:r w:rsidRPr="00616402">
        <w:rPr>
          <w:rFonts w:ascii="Palatino Linotype" w:hAnsi="Palatino Linotype" w:cs="Arial"/>
        </w:rPr>
        <w:t xml:space="preserve">diciembre de dos mil diecinueve, </w:t>
      </w:r>
      <w:r w:rsidRPr="00616402">
        <w:rPr>
          <w:rFonts w:ascii="Palatino Linotype" w:hAnsi="Palatino Linotype"/>
          <w:b/>
        </w:rPr>
        <w:t>EL RECURRENTE</w:t>
      </w:r>
      <w:r w:rsidRPr="00616402">
        <w:rPr>
          <w:rFonts w:ascii="Palatino Linotype" w:hAnsi="Palatino Linotype"/>
        </w:rPr>
        <w:t xml:space="preserve"> interpuso los recursos de revisión objeto del presente estudio, los cuales fueron registrados en </w:t>
      </w:r>
      <w:r w:rsidRPr="00616402">
        <w:rPr>
          <w:rFonts w:ascii="Palatino Linotype" w:hAnsi="Palatino Linotype"/>
          <w:b/>
        </w:rPr>
        <w:t>EL SAIMEX</w:t>
      </w:r>
      <w:r w:rsidRPr="00616402">
        <w:rPr>
          <w:rFonts w:ascii="Palatino Linotype" w:hAnsi="Palatino Linotype"/>
        </w:rPr>
        <w:t xml:space="preserve"> y se les asignó los números de expedientes, </w:t>
      </w:r>
      <w:r w:rsidRPr="00616402">
        <w:rPr>
          <w:rFonts w:ascii="Palatino Linotype" w:hAnsi="Palatino Linotype"/>
          <w:b/>
          <w:spacing w:val="-20"/>
          <w:lang w:val="es-ES"/>
        </w:rPr>
        <w:t xml:space="preserve">09577INFOEM/IP/RR/2019, 09578/INFOEM/IP/RR/2019, 09579/INFOEM/IP/RR/2019, 09580/INFOEM/IP/RR/2019  </w:t>
      </w:r>
      <w:r w:rsidRPr="00616402">
        <w:rPr>
          <w:rFonts w:ascii="Palatino Linotype" w:hAnsi="Palatino Linotype"/>
          <w:spacing w:val="-20"/>
          <w:lang w:val="es-ES"/>
        </w:rPr>
        <w:t xml:space="preserve">y  </w:t>
      </w:r>
      <w:r w:rsidRPr="00616402">
        <w:rPr>
          <w:rFonts w:ascii="Palatino Linotype" w:hAnsi="Palatino Linotype"/>
          <w:b/>
          <w:spacing w:val="-20"/>
          <w:lang w:val="es-ES"/>
        </w:rPr>
        <w:t>09583/INFOEM/IP/RR/2019</w:t>
      </w:r>
      <w:r w:rsidRPr="00616402">
        <w:rPr>
          <w:rFonts w:ascii="Palatino Linotype" w:hAnsi="Palatino Linotype"/>
        </w:rPr>
        <w:t xml:space="preserve">, </w:t>
      </w:r>
      <w:r w:rsidRPr="00616402">
        <w:rPr>
          <w:rFonts w:ascii="Palatino Linotype" w:hAnsi="Palatino Linotype" w:cs="Arial"/>
        </w:rPr>
        <w:t>en los que señaló como acto impugnado y razones o motivos de inconformidad lo siguiente:</w:t>
      </w:r>
    </w:p>
    <w:tbl>
      <w:tblPr>
        <w:tblStyle w:val="Tablaconcuadrcula"/>
        <w:tblpPr w:leftFromText="141" w:rightFromText="141" w:vertAnchor="text" w:horzAnchor="page" w:tblpXSpec="center" w:tblpY="8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6"/>
        <w:gridCol w:w="2908"/>
        <w:gridCol w:w="2976"/>
      </w:tblGrid>
      <w:tr w:rsidR="0028762A" w:rsidRPr="00616402" w:rsidTr="0028762A">
        <w:trPr>
          <w:trHeight w:val="104"/>
        </w:trPr>
        <w:tc>
          <w:tcPr>
            <w:tcW w:w="2616" w:type="dxa"/>
            <w:shd w:val="clear" w:color="auto" w:fill="000000" w:themeFill="text1"/>
          </w:tcPr>
          <w:p w:rsidR="0028762A" w:rsidRPr="00616402" w:rsidRDefault="0028762A" w:rsidP="0028762A">
            <w:pPr>
              <w:jc w:val="center"/>
              <w:rPr>
                <w:rFonts w:ascii="Palatino Linotype" w:hAnsi="Palatino Linotype" w:cs="Arial"/>
                <w:b/>
                <w:color w:val="FFFFFF" w:themeColor="background1"/>
                <w:sz w:val="16"/>
                <w:szCs w:val="16"/>
              </w:rPr>
            </w:pPr>
            <w:r w:rsidRPr="00616402">
              <w:rPr>
                <w:rFonts w:ascii="Palatino Linotype" w:hAnsi="Palatino Linotype" w:cs="Arial"/>
                <w:b/>
                <w:color w:val="FFFFFF" w:themeColor="background1"/>
                <w:sz w:val="16"/>
                <w:szCs w:val="16"/>
              </w:rPr>
              <w:t>Número de Recurso</w:t>
            </w:r>
          </w:p>
        </w:tc>
        <w:tc>
          <w:tcPr>
            <w:tcW w:w="2908" w:type="dxa"/>
            <w:shd w:val="clear" w:color="auto" w:fill="000000" w:themeFill="text1"/>
          </w:tcPr>
          <w:p w:rsidR="0028762A" w:rsidRPr="00616402" w:rsidRDefault="0028762A" w:rsidP="0028762A">
            <w:pPr>
              <w:jc w:val="center"/>
              <w:rPr>
                <w:rFonts w:ascii="Palatino Linotype" w:hAnsi="Palatino Linotype" w:cs="Arial"/>
                <w:b/>
                <w:color w:val="FFFFFF" w:themeColor="background1"/>
                <w:sz w:val="16"/>
                <w:szCs w:val="16"/>
              </w:rPr>
            </w:pPr>
            <w:r w:rsidRPr="00616402">
              <w:rPr>
                <w:rFonts w:ascii="Palatino Linotype" w:hAnsi="Palatino Linotype" w:cs="Arial"/>
                <w:b/>
                <w:color w:val="FFFFFF" w:themeColor="background1"/>
                <w:sz w:val="16"/>
                <w:szCs w:val="16"/>
              </w:rPr>
              <w:t>Acto impugnado</w:t>
            </w:r>
          </w:p>
        </w:tc>
        <w:tc>
          <w:tcPr>
            <w:tcW w:w="2976" w:type="dxa"/>
            <w:shd w:val="clear" w:color="auto" w:fill="000000" w:themeFill="text1"/>
          </w:tcPr>
          <w:p w:rsidR="0028762A" w:rsidRPr="00616402" w:rsidRDefault="0028762A" w:rsidP="0028762A">
            <w:pPr>
              <w:jc w:val="center"/>
              <w:rPr>
                <w:rFonts w:ascii="Palatino Linotype" w:hAnsi="Palatino Linotype" w:cs="Arial"/>
                <w:b/>
                <w:color w:val="FFFFFF" w:themeColor="background1"/>
                <w:sz w:val="16"/>
                <w:szCs w:val="16"/>
              </w:rPr>
            </w:pPr>
            <w:r w:rsidRPr="00616402">
              <w:rPr>
                <w:rFonts w:ascii="Palatino Linotype" w:hAnsi="Palatino Linotype" w:cs="Arial"/>
                <w:b/>
                <w:color w:val="FFFFFF" w:themeColor="background1"/>
                <w:sz w:val="16"/>
                <w:szCs w:val="16"/>
              </w:rPr>
              <w:t>Razones o motivos de inconformidad</w:t>
            </w:r>
          </w:p>
        </w:tc>
      </w:tr>
      <w:tr w:rsidR="0028762A" w:rsidRPr="00616402" w:rsidTr="0028762A">
        <w:trPr>
          <w:trHeight w:val="539"/>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28762A" w:rsidRPr="00616402" w:rsidRDefault="0028762A" w:rsidP="0028762A">
            <w:pPr>
              <w:jc w:val="center"/>
              <w:rPr>
                <w:rFonts w:ascii="Palatino Linotype" w:hAnsi="Palatino Linotype" w:cs="Arial"/>
                <w:color w:val="FFFFFF" w:themeColor="background1"/>
                <w:sz w:val="16"/>
                <w:szCs w:val="16"/>
              </w:rPr>
            </w:pPr>
            <w:r w:rsidRPr="00616402">
              <w:rPr>
                <w:rFonts w:ascii="Palatino Linotype" w:hAnsi="Palatino Linotype"/>
                <w:b/>
                <w:color w:val="FFFFFF" w:themeColor="background1"/>
                <w:sz w:val="16"/>
                <w:szCs w:val="16"/>
                <w:lang w:val="es-ES"/>
              </w:rPr>
              <w:t>09577/INFOEM/IP/RR/2019</w:t>
            </w:r>
          </w:p>
        </w:tc>
        <w:tc>
          <w:tcPr>
            <w:tcW w:w="2908" w:type="dxa"/>
            <w:tcBorders>
              <w:left w:val="single" w:sz="4" w:space="0" w:color="FFFFFF" w:themeColor="background1"/>
            </w:tcBorders>
            <w:shd w:val="clear" w:color="auto" w:fill="auto"/>
            <w:vAlign w:val="center"/>
          </w:tcPr>
          <w:p w:rsidR="0028762A" w:rsidRPr="00616402" w:rsidRDefault="0028762A" w:rsidP="0028762A">
            <w:pPr>
              <w:jc w:val="center"/>
              <w:rPr>
                <w:rFonts w:ascii="Palatino Linotype" w:hAnsi="Palatino Linotype"/>
                <w:i/>
                <w:color w:val="000000"/>
                <w:sz w:val="16"/>
                <w:szCs w:val="16"/>
              </w:rPr>
            </w:pPr>
            <w:r w:rsidRPr="00616402">
              <w:rPr>
                <w:rFonts w:ascii="Palatino Linotype" w:hAnsi="Palatino Linotype"/>
                <w:i/>
                <w:color w:val="000000"/>
                <w:sz w:val="16"/>
                <w:szCs w:val="16"/>
              </w:rPr>
              <w:t>falta de respuesta a la solicitud</w:t>
            </w:r>
          </w:p>
        </w:tc>
        <w:tc>
          <w:tcPr>
            <w:tcW w:w="2976" w:type="dxa"/>
            <w:shd w:val="clear" w:color="auto" w:fill="auto"/>
            <w:vAlign w:val="center"/>
          </w:tcPr>
          <w:p w:rsidR="0028762A" w:rsidRPr="00616402" w:rsidRDefault="0028762A" w:rsidP="0028762A">
            <w:pPr>
              <w:jc w:val="center"/>
              <w:rPr>
                <w:rFonts w:ascii="Palatino Linotype" w:hAnsi="Palatino Linotype"/>
                <w:i/>
                <w:color w:val="000000"/>
                <w:sz w:val="16"/>
                <w:szCs w:val="16"/>
              </w:rPr>
            </w:pPr>
            <w:r w:rsidRPr="00616402">
              <w:rPr>
                <w:rFonts w:ascii="Palatino Linotype" w:hAnsi="Palatino Linotype"/>
                <w:i/>
                <w:color w:val="000000"/>
                <w:sz w:val="16"/>
                <w:szCs w:val="16"/>
              </w:rPr>
              <w:t>NO LA ATENDIERON COMO DICE LA LEY DE TRANSPARENCIA</w:t>
            </w:r>
          </w:p>
        </w:tc>
      </w:tr>
      <w:tr w:rsidR="0028762A" w:rsidRPr="00616402" w:rsidTr="0028762A">
        <w:trPr>
          <w:trHeight w:val="419"/>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28762A" w:rsidRPr="00616402" w:rsidRDefault="0028762A" w:rsidP="0028762A">
            <w:pPr>
              <w:jc w:val="center"/>
              <w:rPr>
                <w:rFonts w:ascii="Palatino Linotype" w:hAnsi="Palatino Linotype"/>
                <w:b/>
                <w:color w:val="FFFFFF" w:themeColor="background1"/>
                <w:sz w:val="16"/>
                <w:szCs w:val="16"/>
                <w:lang w:val="es-ES"/>
              </w:rPr>
            </w:pPr>
            <w:r w:rsidRPr="00616402">
              <w:rPr>
                <w:rFonts w:ascii="Palatino Linotype" w:hAnsi="Palatino Linotype"/>
                <w:b/>
                <w:color w:val="FFFFFF" w:themeColor="background1"/>
                <w:sz w:val="16"/>
                <w:szCs w:val="16"/>
                <w:lang w:val="es-ES"/>
              </w:rPr>
              <w:t>09578/INFOEM/IP/RR/2019</w:t>
            </w:r>
          </w:p>
        </w:tc>
        <w:tc>
          <w:tcPr>
            <w:tcW w:w="2908" w:type="dxa"/>
            <w:tcBorders>
              <w:left w:val="single" w:sz="4" w:space="0" w:color="FFFFFF" w:themeColor="background1"/>
            </w:tcBorders>
            <w:shd w:val="clear" w:color="auto" w:fill="auto"/>
            <w:vAlign w:val="center"/>
          </w:tcPr>
          <w:p w:rsidR="0028762A" w:rsidRPr="00616402" w:rsidRDefault="0028762A" w:rsidP="0028762A">
            <w:pPr>
              <w:jc w:val="center"/>
              <w:rPr>
                <w:rFonts w:ascii="Palatino Linotype" w:hAnsi="Palatino Linotype"/>
                <w:i/>
                <w:color w:val="000000"/>
                <w:sz w:val="16"/>
                <w:szCs w:val="16"/>
              </w:rPr>
            </w:pPr>
            <w:r w:rsidRPr="00616402">
              <w:rPr>
                <w:rFonts w:ascii="Palatino Linotype" w:hAnsi="Palatino Linotype"/>
                <w:i/>
                <w:color w:val="000000"/>
                <w:sz w:val="16"/>
                <w:szCs w:val="16"/>
              </w:rPr>
              <w:t>falta de respuesta a la solicitud</w:t>
            </w:r>
          </w:p>
        </w:tc>
        <w:tc>
          <w:tcPr>
            <w:tcW w:w="2976" w:type="dxa"/>
            <w:shd w:val="clear" w:color="auto" w:fill="auto"/>
          </w:tcPr>
          <w:p w:rsidR="0028762A" w:rsidRPr="00616402" w:rsidRDefault="0028762A" w:rsidP="0028762A">
            <w:pPr>
              <w:jc w:val="center"/>
              <w:rPr>
                <w:rFonts w:ascii="Palatino Linotype" w:hAnsi="Palatino Linotype"/>
                <w:i/>
                <w:color w:val="000000"/>
                <w:sz w:val="16"/>
                <w:szCs w:val="16"/>
              </w:rPr>
            </w:pPr>
            <w:r w:rsidRPr="00616402">
              <w:rPr>
                <w:rFonts w:ascii="Palatino Linotype" w:hAnsi="Palatino Linotype"/>
                <w:i/>
                <w:color w:val="000000"/>
                <w:sz w:val="16"/>
                <w:szCs w:val="16"/>
              </w:rPr>
              <w:t>NO LA ATENDIERON COMO DICE LA LEY DE TRANSPARENCIA</w:t>
            </w:r>
          </w:p>
        </w:tc>
      </w:tr>
      <w:tr w:rsidR="0028762A" w:rsidRPr="00616402" w:rsidTr="0028762A">
        <w:trPr>
          <w:trHeight w:val="397"/>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28762A" w:rsidRPr="00616402" w:rsidRDefault="0028762A" w:rsidP="0028762A">
            <w:pPr>
              <w:jc w:val="center"/>
              <w:rPr>
                <w:rFonts w:ascii="Palatino Linotype" w:hAnsi="Palatino Linotype"/>
                <w:b/>
                <w:color w:val="FFFFFF" w:themeColor="background1"/>
                <w:sz w:val="16"/>
                <w:szCs w:val="16"/>
                <w:lang w:val="es-ES"/>
              </w:rPr>
            </w:pPr>
            <w:r w:rsidRPr="00616402">
              <w:rPr>
                <w:rFonts w:ascii="Palatino Linotype" w:hAnsi="Palatino Linotype"/>
                <w:b/>
                <w:color w:val="FFFFFF" w:themeColor="background1"/>
                <w:sz w:val="16"/>
                <w:szCs w:val="16"/>
                <w:lang w:val="es-ES"/>
              </w:rPr>
              <w:t>09579/INFOEM/IP/RR/2019</w:t>
            </w:r>
          </w:p>
        </w:tc>
        <w:tc>
          <w:tcPr>
            <w:tcW w:w="2908" w:type="dxa"/>
            <w:tcBorders>
              <w:left w:val="single" w:sz="4" w:space="0" w:color="FFFFFF" w:themeColor="background1"/>
            </w:tcBorders>
            <w:shd w:val="clear" w:color="auto" w:fill="auto"/>
            <w:vAlign w:val="center"/>
          </w:tcPr>
          <w:p w:rsidR="0028762A" w:rsidRPr="00616402" w:rsidRDefault="0028762A" w:rsidP="0028762A">
            <w:pPr>
              <w:jc w:val="center"/>
              <w:rPr>
                <w:rFonts w:ascii="Palatino Linotype" w:hAnsi="Palatino Linotype"/>
                <w:i/>
                <w:color w:val="000000"/>
                <w:sz w:val="16"/>
                <w:szCs w:val="16"/>
              </w:rPr>
            </w:pPr>
            <w:r w:rsidRPr="00616402">
              <w:rPr>
                <w:rFonts w:ascii="Palatino Linotype" w:hAnsi="Palatino Linotype"/>
                <w:i/>
                <w:color w:val="000000"/>
                <w:sz w:val="16"/>
                <w:szCs w:val="16"/>
              </w:rPr>
              <w:t>falta de respuesta a la solicitud</w:t>
            </w:r>
          </w:p>
        </w:tc>
        <w:tc>
          <w:tcPr>
            <w:tcW w:w="2976" w:type="dxa"/>
            <w:shd w:val="clear" w:color="auto" w:fill="auto"/>
            <w:vAlign w:val="center"/>
          </w:tcPr>
          <w:p w:rsidR="0028762A" w:rsidRPr="00616402" w:rsidRDefault="0028762A" w:rsidP="0028762A">
            <w:pPr>
              <w:jc w:val="center"/>
              <w:rPr>
                <w:rFonts w:ascii="Palatino Linotype" w:hAnsi="Palatino Linotype"/>
                <w:i/>
                <w:color w:val="000000"/>
                <w:sz w:val="16"/>
                <w:szCs w:val="16"/>
              </w:rPr>
            </w:pPr>
            <w:r w:rsidRPr="00616402">
              <w:rPr>
                <w:rFonts w:ascii="Palatino Linotype" w:hAnsi="Palatino Linotype"/>
                <w:i/>
                <w:color w:val="000000"/>
                <w:sz w:val="16"/>
                <w:szCs w:val="16"/>
              </w:rPr>
              <w:t>N ATENDIERON COMO DICE LA LEY DE TRANSPARENCIA</w:t>
            </w:r>
          </w:p>
        </w:tc>
      </w:tr>
      <w:tr w:rsidR="0028762A" w:rsidRPr="00616402" w:rsidTr="0028762A">
        <w:trPr>
          <w:trHeight w:val="388"/>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28762A" w:rsidRPr="00616402" w:rsidRDefault="0028762A" w:rsidP="0028762A">
            <w:pPr>
              <w:jc w:val="center"/>
              <w:rPr>
                <w:rFonts w:ascii="Palatino Linotype" w:hAnsi="Palatino Linotype"/>
                <w:b/>
                <w:color w:val="FFFFFF" w:themeColor="background1"/>
                <w:sz w:val="16"/>
                <w:szCs w:val="16"/>
                <w:lang w:val="es-ES"/>
              </w:rPr>
            </w:pPr>
            <w:r w:rsidRPr="00616402">
              <w:rPr>
                <w:rFonts w:ascii="Palatino Linotype" w:hAnsi="Palatino Linotype"/>
                <w:b/>
                <w:color w:val="FFFFFF" w:themeColor="background1"/>
                <w:sz w:val="16"/>
                <w:szCs w:val="16"/>
                <w:lang w:val="es-ES"/>
              </w:rPr>
              <w:t>09580/INFOEM/IP/RR/2019</w:t>
            </w:r>
          </w:p>
        </w:tc>
        <w:tc>
          <w:tcPr>
            <w:tcW w:w="2908" w:type="dxa"/>
            <w:tcBorders>
              <w:left w:val="single" w:sz="4" w:space="0" w:color="FFFFFF" w:themeColor="background1"/>
            </w:tcBorders>
            <w:shd w:val="clear" w:color="auto" w:fill="auto"/>
            <w:vAlign w:val="center"/>
          </w:tcPr>
          <w:p w:rsidR="0028762A" w:rsidRPr="00616402" w:rsidRDefault="0028762A" w:rsidP="0028762A">
            <w:pPr>
              <w:jc w:val="center"/>
              <w:rPr>
                <w:rFonts w:ascii="Palatino Linotype" w:hAnsi="Palatino Linotype"/>
                <w:i/>
                <w:color w:val="000000"/>
                <w:sz w:val="16"/>
                <w:szCs w:val="16"/>
              </w:rPr>
            </w:pPr>
            <w:r w:rsidRPr="00616402">
              <w:rPr>
                <w:rFonts w:ascii="Palatino Linotype" w:hAnsi="Palatino Linotype"/>
                <w:i/>
                <w:color w:val="000000"/>
                <w:sz w:val="16"/>
                <w:szCs w:val="16"/>
              </w:rPr>
              <w:t>NO ATENDIERON LA SOLICITUD DE ACCESO A LA INFORMACIÓN</w:t>
            </w:r>
          </w:p>
        </w:tc>
        <w:tc>
          <w:tcPr>
            <w:tcW w:w="2976" w:type="dxa"/>
            <w:shd w:val="clear" w:color="auto" w:fill="auto"/>
            <w:vAlign w:val="center"/>
          </w:tcPr>
          <w:p w:rsidR="0028762A" w:rsidRPr="00616402" w:rsidRDefault="0028762A" w:rsidP="0028762A">
            <w:pPr>
              <w:jc w:val="center"/>
              <w:rPr>
                <w:rFonts w:ascii="Palatino Linotype" w:hAnsi="Palatino Linotype"/>
                <w:i/>
                <w:color w:val="000000"/>
                <w:sz w:val="16"/>
                <w:szCs w:val="16"/>
              </w:rPr>
            </w:pPr>
            <w:r w:rsidRPr="00616402">
              <w:rPr>
                <w:rFonts w:ascii="Palatino Linotype" w:hAnsi="Palatino Linotype"/>
                <w:i/>
                <w:color w:val="000000"/>
                <w:sz w:val="16"/>
                <w:szCs w:val="16"/>
              </w:rPr>
              <w:t>NO ATENDIERON CONFORME A LA LEY DE TRANSPARENCIA</w:t>
            </w:r>
          </w:p>
        </w:tc>
      </w:tr>
      <w:tr w:rsidR="0028762A" w:rsidRPr="00616402" w:rsidTr="0028762A">
        <w:trPr>
          <w:trHeight w:val="509"/>
        </w:trPr>
        <w:tc>
          <w:tcPr>
            <w:tcW w:w="261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28762A" w:rsidRPr="00616402" w:rsidRDefault="0028762A" w:rsidP="0028762A">
            <w:pPr>
              <w:jc w:val="center"/>
              <w:rPr>
                <w:rFonts w:ascii="Palatino Linotype" w:hAnsi="Palatino Linotype"/>
                <w:b/>
                <w:color w:val="FFFFFF" w:themeColor="background1"/>
                <w:sz w:val="16"/>
                <w:szCs w:val="16"/>
                <w:lang w:val="es-ES"/>
              </w:rPr>
            </w:pPr>
            <w:r w:rsidRPr="00616402">
              <w:rPr>
                <w:rFonts w:ascii="Palatino Linotype" w:hAnsi="Palatino Linotype"/>
                <w:b/>
                <w:color w:val="FFFFFF" w:themeColor="background1"/>
                <w:sz w:val="16"/>
                <w:szCs w:val="16"/>
                <w:lang w:val="es-ES"/>
              </w:rPr>
              <w:t>09583/INFOEM/IP/RR/2019</w:t>
            </w:r>
          </w:p>
        </w:tc>
        <w:tc>
          <w:tcPr>
            <w:tcW w:w="2908" w:type="dxa"/>
            <w:tcBorders>
              <w:left w:val="single" w:sz="4" w:space="0" w:color="FFFFFF" w:themeColor="background1"/>
            </w:tcBorders>
            <w:shd w:val="clear" w:color="auto" w:fill="auto"/>
            <w:vAlign w:val="center"/>
          </w:tcPr>
          <w:p w:rsidR="0028762A" w:rsidRPr="00616402" w:rsidRDefault="0028762A" w:rsidP="0028762A">
            <w:pPr>
              <w:jc w:val="center"/>
              <w:rPr>
                <w:rFonts w:ascii="Palatino Linotype" w:hAnsi="Palatino Linotype"/>
                <w:i/>
                <w:color w:val="000000"/>
                <w:sz w:val="16"/>
                <w:szCs w:val="16"/>
              </w:rPr>
            </w:pPr>
            <w:r w:rsidRPr="00616402">
              <w:rPr>
                <w:rFonts w:ascii="Palatino Linotype" w:hAnsi="Palatino Linotype"/>
                <w:i/>
                <w:color w:val="000000"/>
                <w:sz w:val="16"/>
                <w:szCs w:val="16"/>
              </w:rPr>
              <w:t>NO ATENDIERON LA SOLICITUD DE ACCESO A LA INFORMACIÓN</w:t>
            </w:r>
          </w:p>
        </w:tc>
        <w:tc>
          <w:tcPr>
            <w:tcW w:w="2976" w:type="dxa"/>
            <w:shd w:val="clear" w:color="auto" w:fill="auto"/>
            <w:vAlign w:val="center"/>
          </w:tcPr>
          <w:p w:rsidR="0028762A" w:rsidRPr="00616402" w:rsidRDefault="0028762A" w:rsidP="0028762A">
            <w:pPr>
              <w:jc w:val="center"/>
              <w:rPr>
                <w:rFonts w:ascii="Palatino Linotype" w:hAnsi="Palatino Linotype"/>
                <w:i/>
                <w:color w:val="000000"/>
                <w:sz w:val="16"/>
                <w:szCs w:val="16"/>
              </w:rPr>
            </w:pPr>
            <w:r w:rsidRPr="00616402">
              <w:rPr>
                <w:rFonts w:ascii="Palatino Linotype" w:hAnsi="Palatino Linotype"/>
                <w:i/>
                <w:color w:val="000000"/>
                <w:sz w:val="16"/>
                <w:szCs w:val="16"/>
              </w:rPr>
              <w:t>NO ATENDIERON CONFORME A LA LEY DE TRANSPARENCIA</w:t>
            </w:r>
          </w:p>
        </w:tc>
      </w:tr>
    </w:tbl>
    <w:p w:rsidR="0028762A" w:rsidRPr="00616402" w:rsidRDefault="0028762A" w:rsidP="0028762A">
      <w:pPr>
        <w:spacing w:before="100" w:beforeAutospacing="1" w:after="100" w:afterAutospacing="1" w:line="360" w:lineRule="auto"/>
        <w:jc w:val="both"/>
        <w:rPr>
          <w:rFonts w:ascii="Palatino Linotype" w:hAnsi="Palatino Linotype"/>
          <w:b/>
          <w:sz w:val="14"/>
          <w:szCs w:val="14"/>
        </w:rPr>
      </w:pPr>
    </w:p>
    <w:p w:rsidR="0028762A" w:rsidRPr="00616402" w:rsidRDefault="0028762A" w:rsidP="0028762A">
      <w:pPr>
        <w:spacing w:before="100" w:beforeAutospacing="1" w:after="100" w:afterAutospacing="1" w:line="360" w:lineRule="auto"/>
        <w:jc w:val="both"/>
        <w:rPr>
          <w:rFonts w:ascii="Palatino Linotype" w:hAnsi="Palatino Linotype" w:cs="Arial"/>
          <w:b/>
          <w:lang w:val="es-ES_tradnl"/>
        </w:rPr>
      </w:pPr>
      <w:r w:rsidRPr="00616402">
        <w:rPr>
          <w:rFonts w:ascii="Palatino Linotype" w:hAnsi="Palatino Linotype"/>
          <w:b/>
          <w:sz w:val="28"/>
          <w:szCs w:val="28"/>
        </w:rPr>
        <w:t>IV.</w:t>
      </w:r>
      <w:r w:rsidRPr="00616402">
        <w:rPr>
          <w:rFonts w:ascii="Palatino Linotype" w:hAnsi="Palatino Linotype"/>
        </w:rPr>
        <w:t xml:space="preserve"> </w:t>
      </w:r>
      <w:r w:rsidRPr="00616402">
        <w:rPr>
          <w:rFonts w:ascii="Palatino Linotype" w:hAnsi="Palatino Linotype" w:cs="Arial"/>
          <w:lang w:val="es-ES_tradnl"/>
        </w:rPr>
        <w:t xml:space="preserve">En fecha doce de diciembre de dos mil diecinueve, los recursos de revisión de que se trata se enviaron electrónicamente al Instituto de Transparencia, Acceso a la Información Pública y Protección de Datos Personales del Estado de México y </w:t>
      </w:r>
      <w:r w:rsidRPr="00616402">
        <w:rPr>
          <w:rFonts w:ascii="Palatino Linotype" w:hAnsi="Palatino Linotype" w:cs="Arial"/>
          <w:lang w:val="es-ES_tradnl"/>
        </w:rPr>
        <w:lastRenderedPageBreak/>
        <w:t xml:space="preserve">Municipios y con fundamento en el artículo 185, fracción I de la Ley de Transparencia y Acceso a la Información Pública del Estado de México y Municipios, los recursos de revisión se turnaron, a través del </w:t>
      </w:r>
      <w:r w:rsidRPr="00616402">
        <w:rPr>
          <w:rFonts w:ascii="Palatino Linotype" w:hAnsi="Palatino Linotype" w:cs="Arial"/>
          <w:b/>
          <w:lang w:val="es-ES_tradnl"/>
        </w:rPr>
        <w:t>SAIMEX</w:t>
      </w:r>
      <w:r w:rsidRPr="00616402">
        <w:rPr>
          <w:rFonts w:ascii="Palatino Linotype" w:hAnsi="Palatino Linotype" w:cs="Arial"/>
          <w:lang w:val="es-ES_tradnl"/>
        </w:rPr>
        <w:t xml:space="preserve">, a la Comisionada </w:t>
      </w:r>
      <w:r w:rsidRPr="00616402">
        <w:rPr>
          <w:rFonts w:ascii="Palatino Linotype" w:hAnsi="Palatino Linotype" w:cs="Arial"/>
          <w:b/>
          <w:lang w:val="es-ES_tradnl"/>
        </w:rPr>
        <w:t xml:space="preserve">Eva Abaid Yapur, </w:t>
      </w:r>
      <w:r w:rsidRPr="00616402">
        <w:rPr>
          <w:rFonts w:ascii="Palatino Linotype" w:hAnsi="Palatino Linotype" w:cs="Arial"/>
          <w:lang w:val="es-ES_tradnl"/>
        </w:rPr>
        <w:t xml:space="preserve">al Comisionado </w:t>
      </w:r>
      <w:r w:rsidRPr="00616402">
        <w:rPr>
          <w:rFonts w:ascii="Palatino Linotype" w:hAnsi="Palatino Linotype" w:cs="Arial"/>
          <w:b/>
          <w:lang w:val="es-ES_tradnl"/>
        </w:rPr>
        <w:t xml:space="preserve">José Guadalupe Luna Hernández, Javier Martínez Cruz, </w:t>
      </w:r>
      <w:r w:rsidRPr="00616402">
        <w:rPr>
          <w:rFonts w:ascii="Palatino Linotype" w:hAnsi="Palatino Linotype" w:cs="Arial"/>
          <w:lang w:val="es-ES_tradnl"/>
        </w:rPr>
        <w:t xml:space="preserve">y la Comisionada Presidenta </w:t>
      </w:r>
      <w:r w:rsidRPr="00616402">
        <w:rPr>
          <w:rFonts w:ascii="Palatino Linotype" w:hAnsi="Palatino Linotype" w:cs="Arial"/>
          <w:b/>
          <w:lang w:val="es-ES_tradnl"/>
        </w:rPr>
        <w:t xml:space="preserve">Zulema Martínez Sánchez, </w:t>
      </w:r>
      <w:r w:rsidRPr="00616402">
        <w:rPr>
          <w:rFonts w:ascii="Palatino Linotype" w:hAnsi="Palatino Linotype" w:cs="Arial"/>
          <w:lang w:val="es-ES_tradnl"/>
        </w:rPr>
        <w:t>respectivamente a efecto de que decretara su admisión o desechamiento.</w:t>
      </w:r>
    </w:p>
    <w:p w:rsidR="0028762A" w:rsidRPr="00616402" w:rsidRDefault="0028762A" w:rsidP="0028762A">
      <w:pPr>
        <w:spacing w:before="100" w:beforeAutospacing="1" w:after="100" w:afterAutospacing="1" w:line="360" w:lineRule="auto"/>
        <w:jc w:val="both"/>
        <w:rPr>
          <w:rFonts w:ascii="Palatino Linotype" w:hAnsi="Palatino Linotype" w:cs="Arial"/>
          <w:lang w:val="es-ES_tradnl"/>
        </w:rPr>
      </w:pPr>
      <w:r w:rsidRPr="00616402">
        <w:rPr>
          <w:rFonts w:ascii="Palatino Linotype" w:hAnsi="Palatino Linotype"/>
          <w:b/>
          <w:sz w:val="28"/>
          <w:szCs w:val="28"/>
        </w:rPr>
        <w:t>V.</w:t>
      </w:r>
      <w:r w:rsidRPr="00616402">
        <w:rPr>
          <w:rFonts w:ascii="Palatino Linotype" w:hAnsi="Palatino Linotype"/>
        </w:rPr>
        <w:t xml:space="preserve"> </w:t>
      </w:r>
      <w:r w:rsidRPr="00616402">
        <w:rPr>
          <w:rFonts w:ascii="Palatino Linotype" w:hAnsi="Palatino Linotype" w:cs="Arial"/>
          <w:lang w:val="es-ES_tradnl"/>
        </w:rPr>
        <w:t xml:space="preserve">De las constancias de los expedientes electrónicos del </w:t>
      </w:r>
      <w:r w:rsidRPr="00616402">
        <w:rPr>
          <w:rFonts w:ascii="Palatino Linotype" w:hAnsi="Palatino Linotype" w:cs="Arial"/>
          <w:b/>
          <w:lang w:val="es-ES_tradnl"/>
        </w:rPr>
        <w:t>SAIMEX</w:t>
      </w:r>
      <w:r w:rsidRPr="00616402">
        <w:rPr>
          <w:rFonts w:ascii="Palatino Linotype" w:hAnsi="Palatino Linotype" w:cs="Arial"/>
          <w:lang w:val="es-ES_tradnl"/>
        </w:rPr>
        <w:t xml:space="preserve">, se desprende que el día dieciocho de diciembre de dos mil diecinueve, se acordó la admisión a trámite de los recursos de revisión 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616402">
        <w:rPr>
          <w:rFonts w:ascii="Palatino Linotype" w:hAnsi="Palatino Linotype" w:cs="Arial"/>
          <w:b/>
          <w:lang w:val="es-ES_tradnl"/>
        </w:rPr>
        <w:t>EL SUJETO OBLIGADO</w:t>
      </w:r>
      <w:r w:rsidRPr="00616402">
        <w:rPr>
          <w:rFonts w:ascii="Palatino Linotype" w:hAnsi="Palatino Linotype" w:cs="Arial"/>
          <w:lang w:val="es-ES_tradnl"/>
        </w:rPr>
        <w:t xml:space="preserve"> rindiera sus Informes Justificados respectivamente.</w:t>
      </w:r>
    </w:p>
    <w:p w:rsidR="0028762A" w:rsidRPr="00616402" w:rsidRDefault="0028762A" w:rsidP="0028762A">
      <w:pPr>
        <w:spacing w:before="100" w:beforeAutospacing="1" w:after="100" w:afterAutospacing="1" w:line="360" w:lineRule="auto"/>
        <w:jc w:val="both"/>
        <w:rPr>
          <w:rFonts w:ascii="Palatino Linotype" w:hAnsi="Palatino Linotype" w:cs="Arial"/>
          <w:lang w:val="es-ES_tradnl"/>
        </w:rPr>
      </w:pPr>
      <w:r w:rsidRPr="00616402">
        <w:rPr>
          <w:rFonts w:ascii="Palatino Linotype" w:hAnsi="Palatino Linotype"/>
          <w:b/>
          <w:sz w:val="28"/>
          <w:szCs w:val="28"/>
        </w:rPr>
        <w:t>VI.</w:t>
      </w:r>
      <w:r w:rsidRPr="00616402">
        <w:rPr>
          <w:rFonts w:ascii="Palatino Linotype" w:hAnsi="Palatino Linotype"/>
        </w:rPr>
        <w:t xml:space="preserve"> </w:t>
      </w:r>
      <w:r w:rsidRPr="00616402">
        <w:rPr>
          <w:rFonts w:ascii="Palatino Linotype" w:hAnsi="Palatino Linotype" w:cs="Arial"/>
          <w:lang w:val="es-ES_tradnl"/>
        </w:rPr>
        <w:t xml:space="preserve">Por economía procesal y con la finalidad de evitar resoluciones contradictorias, en la Primera Sesión Ordinaria celebrada el quince de enero de dos mil veinte, el Pleno de este Instituto determinó acumular los recursos de revisión señalados en el proemio de esta resolución acordando la elaboración y presentación del proyecto por parte de la Comisionada </w:t>
      </w:r>
      <w:r w:rsidRPr="00616402">
        <w:rPr>
          <w:rFonts w:ascii="Palatino Linotype" w:hAnsi="Palatino Linotype" w:cs="Arial"/>
          <w:b/>
          <w:lang w:val="es-ES_tradnl"/>
        </w:rPr>
        <w:t>Eva Abaid Yapur</w:t>
      </w:r>
      <w:r w:rsidRPr="00616402">
        <w:rPr>
          <w:rFonts w:ascii="Palatino Linotype" w:hAnsi="Palatino Linotype" w:cs="Arial"/>
          <w:lang w:val="es-ES_tradnl"/>
        </w:rPr>
        <w:t>.</w:t>
      </w:r>
    </w:p>
    <w:p w:rsidR="0028762A" w:rsidRPr="00616402" w:rsidRDefault="0028762A" w:rsidP="0028762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616402">
        <w:rPr>
          <w:rFonts w:ascii="Palatino Linotype" w:hAnsi="Palatino Linotype"/>
          <w:b/>
          <w:sz w:val="28"/>
          <w:szCs w:val="28"/>
          <w:lang w:val="es-ES"/>
        </w:rPr>
        <w:t>VII.</w:t>
      </w:r>
      <w:r w:rsidRPr="00616402">
        <w:rPr>
          <w:rFonts w:ascii="Palatino Linotype" w:hAnsi="Palatino Linotype"/>
          <w:lang w:val="es-ES"/>
        </w:rPr>
        <w:t xml:space="preserve"> </w:t>
      </w:r>
      <w:r w:rsidRPr="00616402">
        <w:rPr>
          <w:rFonts w:ascii="Palatino Linotype" w:hAnsi="Palatino Linotype" w:cs="Arial"/>
        </w:rPr>
        <w:t xml:space="preserve">En cumplimiento a lo anterior, de las constancias de los expedientes electrónicos del </w:t>
      </w:r>
      <w:r w:rsidRPr="00616402">
        <w:rPr>
          <w:rFonts w:ascii="Palatino Linotype" w:hAnsi="Palatino Linotype" w:cs="Arial"/>
          <w:b/>
        </w:rPr>
        <w:t>SAIMEX,</w:t>
      </w:r>
      <w:r w:rsidRPr="00616402">
        <w:rPr>
          <w:rFonts w:ascii="Palatino Linotype" w:hAnsi="Palatino Linotype" w:cs="Arial"/>
        </w:rPr>
        <w:t xml:space="preserve"> se observa que </w:t>
      </w:r>
      <w:r w:rsidRPr="00616402">
        <w:rPr>
          <w:rFonts w:ascii="Palatino Linotype" w:hAnsi="Palatino Linotype" w:cs="Arial"/>
          <w:b/>
        </w:rPr>
        <w:t>EL SUJETO OBLIGADO</w:t>
      </w:r>
      <w:r w:rsidRPr="00616402">
        <w:rPr>
          <w:rFonts w:ascii="Palatino Linotype" w:hAnsi="Palatino Linotype" w:cs="Arial"/>
        </w:rPr>
        <w:t xml:space="preserve"> fue omiso en rendir los </w:t>
      </w:r>
      <w:r w:rsidRPr="00616402">
        <w:rPr>
          <w:rFonts w:ascii="Palatino Linotype" w:hAnsi="Palatino Linotype" w:cs="Arial"/>
        </w:rPr>
        <w:lastRenderedPageBreak/>
        <w:t xml:space="preserve">Informes Justificados respectivos; mientras que por su parte </w:t>
      </w:r>
      <w:r w:rsidRPr="00616402">
        <w:rPr>
          <w:rFonts w:ascii="Palatino Linotype" w:hAnsi="Palatino Linotype" w:cs="Arial"/>
          <w:b/>
        </w:rPr>
        <w:t xml:space="preserve">EL RECURRENTE </w:t>
      </w:r>
      <w:r w:rsidRPr="00616402">
        <w:rPr>
          <w:rFonts w:ascii="Palatino Linotype" w:hAnsi="Palatino Linotype" w:cs="Arial"/>
        </w:rPr>
        <w:t>del mismo modo fue omiso en presentar las manifestaciones que a su derecho convinieran en relación a los recursos de revisión materia del presenten estudio.</w:t>
      </w:r>
    </w:p>
    <w:p w:rsidR="0028762A" w:rsidRPr="00616402" w:rsidRDefault="0028762A" w:rsidP="0028762A">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rPr>
      </w:pPr>
      <w:r w:rsidRPr="00616402">
        <w:rPr>
          <w:rFonts w:ascii="Palatino Linotype" w:hAnsi="Palatino Linotype"/>
          <w:b/>
          <w:sz w:val="28"/>
          <w:szCs w:val="28"/>
          <w:lang w:val="es-ES"/>
        </w:rPr>
        <w:t>VIII.</w:t>
      </w:r>
      <w:r w:rsidRPr="00616402">
        <w:rPr>
          <w:rFonts w:ascii="Palatino Linotype" w:hAnsi="Palatino Linotype"/>
          <w:lang w:val="es-ES"/>
        </w:rPr>
        <w:t xml:space="preserve"> </w:t>
      </w:r>
      <w:r w:rsidRPr="00616402">
        <w:rPr>
          <w:rFonts w:ascii="Palatino Linotype" w:hAnsi="Palatino Linotype" w:cs="Arial"/>
        </w:rPr>
        <w:t xml:space="preserve">Una vez analizado el estado procesal que guardan los expedientes, en fecha dieciséis de enero de dos mil veinte, la Comisionada </w:t>
      </w:r>
      <w:r w:rsidRPr="00616402">
        <w:rPr>
          <w:rFonts w:ascii="Palatino Linotype" w:hAnsi="Palatino Linotype" w:cs="Arial"/>
          <w:b/>
        </w:rPr>
        <w:t>Eva Abaid Yapur</w:t>
      </w:r>
      <w:r w:rsidRPr="00616402">
        <w:rPr>
          <w:rFonts w:ascii="Palatino Linotype" w:hAnsi="Palatino Linotype" w:cs="Arial"/>
        </w:rPr>
        <w:t xml:space="preserve"> acordó el cierre de instrucción en los recursos de revisión, así como la remisión de los expedientes a efecto de ser resueltos, de conformidad con lo establecido en el artículo 185, fracciones VI y VIII de la Ley de Transparencia y Acceso a la Información Pública del Estado de México y Municipios.</w:t>
      </w:r>
    </w:p>
    <w:p w:rsidR="0028762A" w:rsidRPr="00616402" w:rsidRDefault="0028762A" w:rsidP="0028762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rPr>
      </w:pPr>
      <w:r w:rsidRPr="00616402">
        <w:rPr>
          <w:rFonts w:ascii="Palatino Linotype" w:hAnsi="Palatino Linotype" w:cs="Arial"/>
          <w:b/>
          <w:sz w:val="28"/>
          <w:szCs w:val="28"/>
        </w:rPr>
        <w:t>IX.</w:t>
      </w:r>
      <w:r w:rsidRPr="00616402">
        <w:rPr>
          <w:rFonts w:ascii="Palatino Linotype" w:hAnsi="Palatino Linotype" w:cs="Arial"/>
          <w:szCs w:val="20"/>
        </w:rPr>
        <w:t xml:space="preserve"> </w:t>
      </w:r>
      <w:bookmarkEnd w:id="0"/>
      <w:r w:rsidRPr="00616402">
        <w:rPr>
          <w:rFonts w:ascii="Palatino Linotype" w:hAnsi="Palatino Linotype"/>
        </w:rPr>
        <w:t>En fecha diecisiete de febrero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28762A" w:rsidRPr="00616402" w:rsidRDefault="0028762A" w:rsidP="0028762A">
      <w:pPr>
        <w:spacing w:before="120" w:after="120" w:line="360" w:lineRule="auto"/>
        <w:jc w:val="center"/>
        <w:rPr>
          <w:rFonts w:ascii="Palatino Linotype" w:hAnsi="Palatino Linotype"/>
          <w:b/>
          <w:bCs/>
          <w:spacing w:val="60"/>
          <w:sz w:val="28"/>
        </w:rPr>
      </w:pPr>
      <w:r w:rsidRPr="00616402">
        <w:rPr>
          <w:rFonts w:ascii="Palatino Linotype" w:hAnsi="Palatino Linotype"/>
          <w:b/>
          <w:bCs/>
          <w:spacing w:val="60"/>
          <w:sz w:val="28"/>
        </w:rPr>
        <w:t>CONSIDERANDO</w:t>
      </w:r>
    </w:p>
    <w:p w:rsidR="0028762A" w:rsidRPr="00616402" w:rsidRDefault="0028762A" w:rsidP="0028762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616402">
        <w:rPr>
          <w:rFonts w:ascii="Palatino Linotype" w:hAnsi="Palatino Linotype"/>
          <w:b/>
          <w:sz w:val="28"/>
          <w:szCs w:val="28"/>
        </w:rPr>
        <w:t>PRIMERO.</w:t>
      </w:r>
      <w:r w:rsidRPr="00616402">
        <w:rPr>
          <w:rFonts w:ascii="Palatino Linotype" w:hAnsi="Palatino Linotype"/>
          <w:b/>
        </w:rPr>
        <w:t xml:space="preserve"> Competencia</w:t>
      </w:r>
      <w:r w:rsidRPr="00616402">
        <w:rPr>
          <w:rFonts w:ascii="Palatino Linotype" w:hAnsi="Palatino Linotype"/>
        </w:rPr>
        <w:t>.</w:t>
      </w:r>
      <w:r w:rsidRPr="00616402">
        <w:rPr>
          <w:rFonts w:ascii="Palatino Linotype" w:hAnsi="Palatino Linotype"/>
          <w:b/>
        </w:rPr>
        <w:t xml:space="preserve"> </w:t>
      </w:r>
      <w:r w:rsidRPr="00616402">
        <w:rPr>
          <w:rFonts w:ascii="Palatino Linotype" w:hAnsi="Palatino Linotype"/>
        </w:rPr>
        <w:t xml:space="preserve">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w:t>
      </w:r>
      <w:r w:rsidRPr="00616402">
        <w:rPr>
          <w:rFonts w:ascii="Palatino Linotype" w:hAnsi="Palatino Linotype"/>
        </w:rPr>
        <w:lastRenderedPageBreak/>
        <w:t>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616402">
        <w:rPr>
          <w:rFonts w:ascii="Palatino Linotype" w:hAnsi="Palatino Linotype" w:cs="Arial"/>
        </w:rPr>
        <w:t>.</w:t>
      </w:r>
    </w:p>
    <w:p w:rsidR="0028762A" w:rsidRPr="00616402" w:rsidRDefault="0028762A" w:rsidP="0028762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b/>
        </w:rPr>
      </w:pPr>
      <w:r w:rsidRPr="00616402">
        <w:rPr>
          <w:rFonts w:ascii="Palatino Linotype" w:hAnsi="Palatino Linotype" w:cs="Arial"/>
          <w:b/>
          <w:sz w:val="28"/>
          <w:szCs w:val="28"/>
        </w:rPr>
        <w:t>SEGUNDO.</w:t>
      </w:r>
      <w:r w:rsidRPr="00616402">
        <w:rPr>
          <w:rFonts w:ascii="Palatino Linotype" w:hAnsi="Palatino Linotype" w:cs="Arial"/>
        </w:rPr>
        <w:t xml:space="preserve"> </w:t>
      </w:r>
      <w:r w:rsidRPr="00616402">
        <w:rPr>
          <w:rFonts w:ascii="Palatino Linotype" w:hAnsi="Palatino Linotype" w:cs="Arial"/>
          <w:b/>
        </w:rPr>
        <w:t>Interés.</w:t>
      </w:r>
      <w:r w:rsidRPr="00616402">
        <w:rPr>
          <w:rFonts w:ascii="Palatino Linotype" w:hAnsi="Palatino Linotype" w:cs="Arial"/>
        </w:rPr>
        <w:t xml:space="preserve"> Los recursos de revisión fueron interpuestos por parte legítima, en atención a que fueron presentados por </w:t>
      </w:r>
      <w:r w:rsidRPr="00616402">
        <w:rPr>
          <w:rFonts w:ascii="Palatino Linotype" w:hAnsi="Palatino Linotype" w:cs="Arial"/>
          <w:b/>
        </w:rPr>
        <w:t>EL RECURRENTE,</w:t>
      </w:r>
      <w:r w:rsidRPr="00616402">
        <w:rPr>
          <w:rFonts w:ascii="Palatino Linotype" w:hAnsi="Palatino Linotype" w:cs="Arial"/>
        </w:rPr>
        <w:t xml:space="preserve"> quien es la misma persona que formuló las solicitudes de acceso a la información pública al </w:t>
      </w:r>
      <w:r w:rsidRPr="00616402">
        <w:rPr>
          <w:rFonts w:ascii="Palatino Linotype" w:hAnsi="Palatino Linotype" w:cs="Arial"/>
          <w:b/>
        </w:rPr>
        <w:t>SUJETO OBLIGADO.</w:t>
      </w:r>
    </w:p>
    <w:p w:rsidR="0028762A" w:rsidRPr="00616402" w:rsidRDefault="0028762A" w:rsidP="0028762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616402">
        <w:rPr>
          <w:rFonts w:ascii="Palatino Linotype" w:hAnsi="Palatino Linotype"/>
          <w:b/>
          <w:sz w:val="28"/>
          <w:szCs w:val="28"/>
        </w:rPr>
        <w:t xml:space="preserve">TERCERO. </w:t>
      </w:r>
      <w:r w:rsidRPr="00616402">
        <w:rPr>
          <w:rFonts w:ascii="Palatino Linotype" w:hAnsi="Palatino Linotype"/>
          <w:b/>
        </w:rPr>
        <w:t>Justificación de la Acumulación de los recursos.</w:t>
      </w:r>
      <w:r w:rsidRPr="00616402">
        <w:rPr>
          <w:rFonts w:ascii="Palatino Linotype" w:hAnsi="Palatino Linotype"/>
        </w:rPr>
        <w:t xml:space="preserve"> De las constancias que obran en los expedientes acumulados, se advierte que en los recursos de revisión </w:t>
      </w:r>
      <w:r w:rsidRPr="00616402">
        <w:rPr>
          <w:rFonts w:ascii="Palatino Linotype" w:hAnsi="Palatino Linotype"/>
          <w:b/>
          <w:spacing w:val="-20"/>
          <w:lang w:val="es-ES"/>
        </w:rPr>
        <w:t xml:space="preserve">09577INFOEM/IP/RR/2019, 09578/INFOEM/IP/RR/2019, 09579/INFOEM/IP/RR/2019, 09580/INFOEM/IP/RR/2019  </w:t>
      </w:r>
      <w:r w:rsidRPr="00616402">
        <w:rPr>
          <w:rFonts w:ascii="Palatino Linotype" w:hAnsi="Palatino Linotype"/>
          <w:spacing w:val="-20"/>
          <w:lang w:val="es-ES"/>
        </w:rPr>
        <w:t xml:space="preserve">y  </w:t>
      </w:r>
      <w:r w:rsidRPr="00616402">
        <w:rPr>
          <w:rFonts w:ascii="Palatino Linotype" w:hAnsi="Palatino Linotype"/>
          <w:b/>
          <w:spacing w:val="-20"/>
          <w:lang w:val="es-ES"/>
        </w:rPr>
        <w:t>09583/INFOEM/IP/RR/2019</w:t>
      </w:r>
      <w:r w:rsidRPr="00616402">
        <w:rPr>
          <w:rFonts w:ascii="Palatino Linotype" w:hAnsi="Palatino Linotype"/>
        </w:rPr>
        <w:t xml:space="preserve">, fueron presentados por el mismo </w:t>
      </w:r>
      <w:r w:rsidRPr="00616402">
        <w:rPr>
          <w:rFonts w:ascii="Palatino Linotype" w:hAnsi="Palatino Linotype"/>
          <w:b/>
        </w:rPr>
        <w:t xml:space="preserve">RECURRENTE </w:t>
      </w:r>
      <w:r w:rsidRPr="00616402">
        <w:rPr>
          <w:rFonts w:ascii="Palatino Linotype" w:hAnsi="Palatino Linotype"/>
        </w:rPr>
        <w:t xml:space="preserve">respecto de los actos u omisiones del mismo </w:t>
      </w:r>
      <w:r w:rsidRPr="00616402">
        <w:rPr>
          <w:rFonts w:ascii="Palatino Linotype" w:hAnsi="Palatino Linotype"/>
          <w:b/>
        </w:rPr>
        <w:t>SUJETO OBLIGADO,</w:t>
      </w:r>
      <w:r w:rsidRPr="00616402">
        <w:rPr>
          <w:rFonts w:ascii="Palatino Linotype" w:hAnsi="Palatino Linotype"/>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28762A" w:rsidRPr="00616402" w:rsidRDefault="0028762A" w:rsidP="0028762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616402">
        <w:rPr>
          <w:rFonts w:ascii="Palatino Linotype" w:hAnsi="Palatino Linotype"/>
        </w:rPr>
        <w:t>Código de Procedimientos Administrativos del Estado de México</w:t>
      </w:r>
    </w:p>
    <w:p w:rsidR="0028762A" w:rsidRPr="00616402" w:rsidRDefault="0028762A" w:rsidP="0028762A">
      <w:pPr>
        <w:pStyle w:val="Prrafodelista"/>
        <w:widowControl w:val="0"/>
        <w:tabs>
          <w:tab w:val="left" w:pos="1701"/>
          <w:tab w:val="left" w:pos="1843"/>
        </w:tabs>
        <w:autoSpaceDE w:val="0"/>
        <w:autoSpaceDN w:val="0"/>
        <w:adjustRightInd w:val="0"/>
        <w:ind w:left="851" w:right="1043"/>
        <w:jc w:val="both"/>
        <w:rPr>
          <w:rFonts w:ascii="Palatino Linotype" w:hAnsi="Palatino Linotype"/>
          <w:i/>
          <w:sz w:val="22"/>
        </w:rPr>
      </w:pPr>
      <w:r w:rsidRPr="00616402">
        <w:rPr>
          <w:rFonts w:ascii="Palatino Linotype" w:hAnsi="Palatino Linotype"/>
          <w:b/>
          <w:i/>
          <w:sz w:val="22"/>
        </w:rPr>
        <w:t xml:space="preserve">“Artículo 18.- La autoridad administrativa o el Tribunal acordarán la </w:t>
      </w:r>
      <w:r w:rsidRPr="00616402">
        <w:rPr>
          <w:rFonts w:ascii="Palatino Linotype" w:hAnsi="Palatino Linotype"/>
          <w:b/>
          <w:i/>
          <w:sz w:val="22"/>
        </w:rPr>
        <w:lastRenderedPageBreak/>
        <w:t>acumulación de los expedientes del procedimiento y proceso administrativo que ante ellos se sigan, de oficio</w:t>
      </w:r>
      <w:r w:rsidRPr="00616402">
        <w:rPr>
          <w:rFonts w:ascii="Palatino Linotype" w:hAnsi="Palatino Linotype"/>
          <w:i/>
          <w:sz w:val="22"/>
        </w:rPr>
        <w:t xml:space="preserve"> o a petición de parte, cuando las partes o los actos administrativos </w:t>
      </w:r>
      <w:r w:rsidRPr="00616402">
        <w:rPr>
          <w:rFonts w:ascii="Palatino Linotype" w:hAnsi="Palatino Linotype"/>
          <w:b/>
          <w:i/>
          <w:sz w:val="22"/>
        </w:rPr>
        <w:t>sean iguales</w:t>
      </w:r>
      <w:r w:rsidRPr="00616402">
        <w:rPr>
          <w:rFonts w:ascii="Palatino Linotype" w:hAnsi="Palatino Linotype"/>
          <w:i/>
          <w:sz w:val="22"/>
        </w:rPr>
        <w:t xml:space="preserve">, se trate de actos conexos o </w:t>
      </w:r>
      <w:r w:rsidRPr="00616402">
        <w:rPr>
          <w:rFonts w:ascii="Palatino Linotype" w:hAnsi="Palatino Linotype"/>
          <w:b/>
          <w:i/>
          <w:sz w:val="22"/>
        </w:rPr>
        <w:t>resulte conveniente el trámite unificado de los asuntos, para evitar la emisión de resoluciones contradictorias.</w:t>
      </w:r>
      <w:r w:rsidRPr="00616402">
        <w:rPr>
          <w:rFonts w:ascii="Palatino Linotype" w:hAnsi="Palatino Linotype"/>
          <w:i/>
          <w:sz w:val="22"/>
        </w:rPr>
        <w:t xml:space="preserve"> La misma regla se aplicará, en lo conducente, para la separación de los expedientes.”</w:t>
      </w:r>
    </w:p>
    <w:p w:rsidR="0028762A" w:rsidRPr="00616402" w:rsidRDefault="0028762A" w:rsidP="0028762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616402">
        <w:rPr>
          <w:rFonts w:ascii="Palatino Linotype" w:hAnsi="Palatino Linotype"/>
        </w:rPr>
        <w:t>Ley de Transparencia y Acceso a la Información Pública del Estado de México y Municipios</w:t>
      </w:r>
    </w:p>
    <w:p w:rsidR="0028762A" w:rsidRPr="00616402" w:rsidRDefault="0028762A" w:rsidP="0028762A">
      <w:pPr>
        <w:pStyle w:val="Prrafodelista"/>
        <w:widowControl w:val="0"/>
        <w:tabs>
          <w:tab w:val="left" w:pos="1701"/>
          <w:tab w:val="left" w:pos="1843"/>
        </w:tabs>
        <w:autoSpaceDE w:val="0"/>
        <w:autoSpaceDN w:val="0"/>
        <w:adjustRightInd w:val="0"/>
        <w:ind w:left="851" w:right="1043"/>
        <w:jc w:val="both"/>
        <w:rPr>
          <w:rFonts w:ascii="Palatino Linotype" w:hAnsi="Palatino Linotype"/>
          <w:i/>
          <w:sz w:val="22"/>
        </w:rPr>
      </w:pPr>
      <w:r w:rsidRPr="00616402">
        <w:rPr>
          <w:rFonts w:ascii="Palatino Linotype" w:hAnsi="Palatino Linotype"/>
          <w:b/>
          <w:i/>
          <w:sz w:val="22"/>
        </w:rPr>
        <w:t>“Artículo 195.</w:t>
      </w:r>
      <w:r w:rsidRPr="00616402">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28762A" w:rsidRPr="00616402" w:rsidRDefault="0028762A" w:rsidP="0028762A">
      <w:pPr>
        <w:pStyle w:val="Prrafodelista"/>
        <w:widowControl w:val="0"/>
        <w:tabs>
          <w:tab w:val="left" w:pos="1701"/>
          <w:tab w:val="left" w:pos="1843"/>
        </w:tabs>
        <w:autoSpaceDE w:val="0"/>
        <w:autoSpaceDN w:val="0"/>
        <w:adjustRightInd w:val="0"/>
        <w:ind w:left="851" w:right="1043"/>
        <w:jc w:val="both"/>
        <w:rPr>
          <w:rFonts w:ascii="Palatino Linotype" w:hAnsi="Palatino Linotype"/>
          <w:i/>
          <w:sz w:val="22"/>
        </w:rPr>
      </w:pPr>
      <w:r w:rsidRPr="00616402">
        <w:rPr>
          <w:rFonts w:ascii="Palatino Linotype" w:hAnsi="Palatino Linotype"/>
          <w:i/>
          <w:sz w:val="22"/>
        </w:rPr>
        <w:t>(Énfasis añadido)</w:t>
      </w:r>
    </w:p>
    <w:p w:rsidR="0028762A" w:rsidRPr="00616402" w:rsidRDefault="0028762A" w:rsidP="0028762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616402">
        <w:rPr>
          <w:rFonts w:ascii="Palatino Linotype" w:hAnsi="Palatino Linotype"/>
        </w:rPr>
        <w:t>De lo dispuesto en la normativa anterior, dicha acumulación procede cuando:</w:t>
      </w:r>
    </w:p>
    <w:p w:rsidR="0028762A" w:rsidRPr="00616402" w:rsidRDefault="0028762A" w:rsidP="0028762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616402">
        <w:rPr>
          <w:rFonts w:ascii="Palatino Linotype" w:hAnsi="Palatino Linotype"/>
        </w:rPr>
        <w:t>a) El solicitante y la información referida sean las mismas;</w:t>
      </w:r>
    </w:p>
    <w:p w:rsidR="0028762A" w:rsidRPr="00616402" w:rsidRDefault="0028762A" w:rsidP="0028762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616402">
        <w:rPr>
          <w:rFonts w:ascii="Palatino Linotype" w:hAnsi="Palatino Linotype"/>
        </w:rPr>
        <w:t>b) Las partes o los actos impugnados sean iguales;</w:t>
      </w:r>
    </w:p>
    <w:p w:rsidR="0028762A" w:rsidRPr="00616402" w:rsidRDefault="0028762A" w:rsidP="0028762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b/>
        </w:rPr>
      </w:pPr>
      <w:r w:rsidRPr="00616402">
        <w:rPr>
          <w:rFonts w:ascii="Palatino Linotype" w:hAnsi="Palatino Linotype"/>
          <w:b/>
        </w:rPr>
        <w:t>c) Cuando se trate del mismo solicitante, el mismo Sujeto Obligado, y</w:t>
      </w:r>
    </w:p>
    <w:p w:rsidR="0028762A" w:rsidRPr="00616402" w:rsidRDefault="0028762A" w:rsidP="0028762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b/>
        </w:rPr>
      </w:pPr>
      <w:r w:rsidRPr="00616402">
        <w:rPr>
          <w:rFonts w:ascii="Palatino Linotype" w:hAnsi="Palatino Linotype"/>
          <w:b/>
        </w:rPr>
        <w:t>d) Aun tratándose de solicitudes diversas, resulte conveniente la resolución unificada de los asuntos.</w:t>
      </w:r>
    </w:p>
    <w:p w:rsidR="0028762A" w:rsidRPr="00616402" w:rsidRDefault="0028762A" w:rsidP="0028762A">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rPr>
      </w:pPr>
      <w:r w:rsidRPr="00616402">
        <w:rPr>
          <w:rFonts w:ascii="Palatino Linotype" w:hAnsi="Palatino Linotype"/>
        </w:rPr>
        <w:t xml:space="preserve">De esta suerte, tal y como se mencionó anteriormente, los recursos de revisión que nos ocupan fueron interpuestos por el mismo </w:t>
      </w:r>
      <w:r w:rsidRPr="00616402">
        <w:rPr>
          <w:rFonts w:ascii="Palatino Linotype" w:hAnsi="Palatino Linotype"/>
          <w:b/>
        </w:rPr>
        <w:t xml:space="preserve">RECURRENTE </w:t>
      </w:r>
      <w:r w:rsidRPr="00616402">
        <w:rPr>
          <w:rFonts w:ascii="Palatino Linotype" w:hAnsi="Palatino Linotype"/>
        </w:rPr>
        <w:t xml:space="preserve">ante el mismo </w:t>
      </w:r>
      <w:r w:rsidRPr="00616402">
        <w:rPr>
          <w:rFonts w:ascii="Palatino Linotype" w:hAnsi="Palatino Linotype"/>
          <w:b/>
        </w:rPr>
        <w:t>SUJETO OBLIGADO,</w:t>
      </w:r>
      <w:r w:rsidRPr="00616402">
        <w:rPr>
          <w:rFonts w:ascii="Palatino Linotype" w:hAnsi="Palatino Linotype"/>
        </w:rPr>
        <w:t xml:space="preserve"> por lo que, resulta conveniente la resolución conjunta por economía procesal y con el fin de no emitir resoluciones contradictorias entre sí, en caso de resolverlos en forma separada por Ponentes diferentes.</w:t>
      </w:r>
    </w:p>
    <w:p w:rsidR="0028762A" w:rsidRPr="00616402" w:rsidRDefault="0028762A" w:rsidP="0028762A">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616402">
        <w:rPr>
          <w:rFonts w:ascii="Palatino Linotype" w:hAnsi="Palatino Linotype" w:cs="Arial"/>
          <w:b/>
          <w:sz w:val="28"/>
          <w:szCs w:val="28"/>
        </w:rPr>
        <w:lastRenderedPageBreak/>
        <w:t>CUARTO.</w:t>
      </w:r>
      <w:r w:rsidRPr="00616402">
        <w:rPr>
          <w:rFonts w:ascii="Palatino Linotype" w:hAnsi="Palatino Linotype" w:cs="Arial"/>
          <w:b/>
        </w:rPr>
        <w:t xml:space="preserve"> Oportunidad. </w:t>
      </w:r>
      <w:r w:rsidRPr="00616402">
        <w:rPr>
          <w:rFonts w:ascii="Palatino Linotype" w:hAnsi="Palatino Linotype" w:cs="Arial"/>
        </w:rPr>
        <w:t xml:space="preserve">Es de precisar que la Ley de Transparencia y Acceso a la Información Pública </w:t>
      </w:r>
      <w:r w:rsidRPr="00616402">
        <w:rPr>
          <w:rFonts w:ascii="Palatino Linotype" w:hAnsi="Palatino Linotype"/>
        </w:rPr>
        <w:t>del</w:t>
      </w:r>
      <w:r w:rsidRPr="00616402">
        <w:rPr>
          <w:rFonts w:ascii="Palatino Linotype" w:hAnsi="Palatino Linotype" w:cs="Arial"/>
        </w:rPr>
        <w:t xml:space="preserve"> Estado de </w:t>
      </w:r>
      <w:r w:rsidRPr="00616402">
        <w:rPr>
          <w:rFonts w:ascii="Palatino Linotype" w:hAnsi="Palatino Linotype"/>
        </w:rPr>
        <w:t>México</w:t>
      </w:r>
      <w:r w:rsidRPr="00616402">
        <w:rPr>
          <w:rFonts w:ascii="Palatino Linotype" w:hAnsi="Palatino Linotype" w:cs="Arial"/>
        </w:rPr>
        <w:t xml:space="preserve"> y </w:t>
      </w:r>
      <w:r w:rsidRPr="00616402">
        <w:rPr>
          <w:rFonts w:ascii="Palatino Linotype" w:hAnsi="Palatino Linotype"/>
        </w:rPr>
        <w:t>Municipios</w:t>
      </w:r>
      <w:r w:rsidRPr="00616402">
        <w:rPr>
          <w:rFonts w:ascii="Palatino Linotype" w:hAnsi="Palatino Linotype" w:cs="Arial"/>
        </w:rPr>
        <w:t>, describe el mecanismo de procedencia del recurso de revisión, en ese sentido en su artículo 163 se indica lo siguiente:</w:t>
      </w:r>
    </w:p>
    <w:p w:rsidR="0028762A" w:rsidRPr="00616402" w:rsidRDefault="0028762A" w:rsidP="0028762A">
      <w:pPr>
        <w:ind w:left="851" w:right="899"/>
        <w:jc w:val="both"/>
        <w:rPr>
          <w:rFonts w:ascii="Palatino Linotype" w:hAnsi="Palatino Linotype" w:cs="Arial"/>
          <w:i/>
          <w:sz w:val="22"/>
          <w:szCs w:val="22"/>
        </w:rPr>
      </w:pPr>
      <w:r w:rsidRPr="00616402">
        <w:rPr>
          <w:rFonts w:ascii="Palatino Linotype" w:hAnsi="Palatino Linotype" w:cs="Arial"/>
          <w:i/>
          <w:sz w:val="22"/>
          <w:szCs w:val="22"/>
        </w:rPr>
        <w:t>“</w:t>
      </w:r>
      <w:r w:rsidRPr="00616402">
        <w:rPr>
          <w:rFonts w:ascii="Palatino Linotype" w:hAnsi="Palatino Linotype" w:cs="Arial"/>
          <w:b/>
          <w:i/>
          <w:sz w:val="22"/>
          <w:szCs w:val="22"/>
        </w:rPr>
        <w:t xml:space="preserve">Artículo 163. La Unidad de Transparencia deberá notificar la respuesta a la solicitud al interesado en el menor tiempo posible, </w:t>
      </w:r>
      <w:r w:rsidRPr="00616402">
        <w:rPr>
          <w:rFonts w:ascii="Palatino Linotype" w:hAnsi="Palatino Linotype" w:cs="Arial"/>
          <w:b/>
          <w:i/>
          <w:sz w:val="22"/>
          <w:szCs w:val="22"/>
          <w:u w:val="single"/>
        </w:rPr>
        <w:t>que no podrá exceder de quince días hábiles</w:t>
      </w:r>
      <w:r w:rsidRPr="00616402">
        <w:rPr>
          <w:rFonts w:ascii="Palatino Linotype" w:hAnsi="Palatino Linotype" w:cs="Arial"/>
          <w:i/>
          <w:sz w:val="22"/>
          <w:szCs w:val="22"/>
        </w:rPr>
        <w:t>, contados a partir del día siguiente a la presentación de aquélla.</w:t>
      </w:r>
    </w:p>
    <w:p w:rsidR="0028762A" w:rsidRPr="00616402" w:rsidRDefault="0028762A" w:rsidP="0028762A">
      <w:pPr>
        <w:ind w:left="851" w:right="899"/>
        <w:jc w:val="both"/>
        <w:rPr>
          <w:rFonts w:ascii="Palatino Linotype" w:hAnsi="Palatino Linotype" w:cs="Arial"/>
          <w:i/>
          <w:sz w:val="22"/>
          <w:szCs w:val="22"/>
        </w:rPr>
      </w:pPr>
      <w:r w:rsidRPr="00616402">
        <w:rPr>
          <w:rFonts w:ascii="Palatino Linotype" w:hAnsi="Palatino Linotype" w:cs="Arial"/>
          <w:i/>
          <w:sz w:val="22"/>
          <w:szCs w:val="22"/>
          <w:lang w:eastAsia="es-MX"/>
        </w:rPr>
        <w:t>Excepcionalmente</w:t>
      </w:r>
      <w:r w:rsidRPr="00616402">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8762A" w:rsidRPr="00616402" w:rsidRDefault="0028762A" w:rsidP="0028762A">
      <w:pPr>
        <w:ind w:left="851" w:right="902"/>
        <w:jc w:val="both"/>
        <w:rPr>
          <w:rFonts w:ascii="Palatino Linotype" w:hAnsi="Palatino Linotype" w:cs="Arial"/>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(Énfasis añadido)</w:t>
      </w:r>
    </w:p>
    <w:p w:rsidR="0028762A" w:rsidRPr="00616402" w:rsidRDefault="0028762A" w:rsidP="0028762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28762A" w:rsidRPr="00616402" w:rsidRDefault="0028762A" w:rsidP="0028762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28762A" w:rsidRPr="00616402" w:rsidRDefault="0028762A" w:rsidP="0028762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 xml:space="preserve">Derivado de lo anterior, se constituye la figura jurídica de la </w:t>
      </w:r>
      <w:r w:rsidRPr="00616402">
        <w:rPr>
          <w:rFonts w:ascii="Palatino Linotype" w:hAnsi="Palatino Linotype" w:cs="Arial"/>
          <w:b/>
        </w:rPr>
        <w:t>NEGATIVA FICTA</w:t>
      </w:r>
      <w:r w:rsidRPr="00616402">
        <w:rPr>
          <w:rFonts w:ascii="Palatino Linotype" w:hAnsi="Palatino Linotype" w:cs="Arial"/>
        </w:rPr>
        <w:t>, cuya esencia consiste en atribuir un efecto negativo al silencio de la autoridad administrativa frente a las instancias y solicitudes que hagan los particulares.</w:t>
      </w:r>
    </w:p>
    <w:p w:rsidR="0028762A" w:rsidRPr="00616402" w:rsidRDefault="0028762A" w:rsidP="0028762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lastRenderedPageBreak/>
        <w:t>Por su parte, el artículo 178 de la Ley de Transparencia y Acceso a la Información Pública del Estado de México y Municipios, establece:</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w:t>
      </w:r>
      <w:r w:rsidRPr="00616402">
        <w:rPr>
          <w:rFonts w:ascii="Palatino Linotype" w:hAnsi="Palatino Linotype" w:cs="Arial"/>
          <w:b/>
          <w:i/>
          <w:sz w:val="22"/>
          <w:szCs w:val="22"/>
        </w:rPr>
        <w:t xml:space="preserve">Artículo 178. </w:t>
      </w:r>
      <w:r w:rsidRPr="00616402">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8762A" w:rsidRPr="00616402" w:rsidRDefault="0028762A" w:rsidP="0028762A">
      <w:pPr>
        <w:ind w:left="851" w:right="902"/>
        <w:jc w:val="both"/>
        <w:rPr>
          <w:rFonts w:ascii="Palatino Linotype" w:hAnsi="Palatino Linotype" w:cs="Arial"/>
          <w:b/>
          <w:i/>
          <w:sz w:val="22"/>
          <w:szCs w:val="22"/>
          <w:u w:val="single"/>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616402">
        <w:rPr>
          <w:rFonts w:ascii="Palatino Linotype" w:hAnsi="Palatino Linotype" w:cs="Arial"/>
          <w:i/>
          <w:sz w:val="22"/>
          <w:szCs w:val="22"/>
        </w:rPr>
        <w:t>, acompañado con el documento que pruebe la fecha en que presentó la solicitud.</w:t>
      </w:r>
    </w:p>
    <w:p w:rsidR="0028762A" w:rsidRPr="00616402" w:rsidRDefault="0028762A" w:rsidP="0028762A">
      <w:pPr>
        <w:ind w:left="851" w:right="902"/>
        <w:jc w:val="both"/>
        <w:rPr>
          <w:rFonts w:ascii="Palatino Linotype" w:hAnsi="Palatino Linotype" w:cs="Arial"/>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(Énfasis añadido)</w:t>
      </w:r>
    </w:p>
    <w:p w:rsidR="0028762A" w:rsidRPr="00616402" w:rsidRDefault="0028762A" w:rsidP="0028762A">
      <w:pPr>
        <w:spacing w:before="100" w:beforeAutospacing="1" w:after="100" w:afterAutospacing="1"/>
        <w:ind w:left="851" w:right="899"/>
        <w:contextualSpacing/>
        <w:jc w:val="both"/>
        <w:rPr>
          <w:rFonts w:ascii="Palatino Linotype" w:hAnsi="Palatino Linotype" w:cs="Arial"/>
          <w:i/>
          <w:sz w:val="22"/>
          <w:szCs w:val="22"/>
        </w:rPr>
      </w:pPr>
    </w:p>
    <w:p w:rsidR="0028762A" w:rsidRPr="00616402" w:rsidRDefault="0028762A" w:rsidP="0028762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 xml:space="preserve">Es así que, los recursos de revisión se han de interponer dentro del plazo de quince días hábiles, contados a partir del día siguiente al de aquel, en que la particular tuvo conocimiento de la resolución respectiva; sin embargo, tratándose de una negativa ficta, evidentemente no existieron respuestas a las solicitudes de información por parte del </w:t>
      </w:r>
      <w:r w:rsidRPr="00616402">
        <w:rPr>
          <w:rFonts w:ascii="Palatino Linotype" w:hAnsi="Palatino Linotype" w:cs="Arial"/>
          <w:b/>
        </w:rPr>
        <w:t>SUJETO OBLIGADO</w:t>
      </w:r>
      <w:r w:rsidRPr="00616402">
        <w:rPr>
          <w:rFonts w:ascii="Palatino Linotype" w:hAnsi="Palatino Linotype" w:cs="Arial"/>
        </w:rPr>
        <w:t xml:space="preserve">, a partir de la cual pudiera computarse dicho plazo, por tal motivo, es pertinente establecer que no existe plazo específico para la interposición de los recursos de revisión, y estos pueden ser presentado </w:t>
      </w:r>
      <w:r w:rsidRPr="00616402">
        <w:rPr>
          <w:rFonts w:ascii="Palatino Linotype" w:hAnsi="Palatino Linotype" w:cs="Arial"/>
          <w:b/>
          <w:u w:val="single"/>
        </w:rPr>
        <w:t>en cualquier momento</w:t>
      </w:r>
      <w:r w:rsidRPr="00616402">
        <w:rPr>
          <w:rFonts w:ascii="Palatino Linotype" w:hAnsi="Palatino Linotype" w:cs="Arial"/>
        </w:rPr>
        <w:t>. Por lo que la interposición del presente recurso de revisión resulta oportuna.</w:t>
      </w:r>
    </w:p>
    <w:p w:rsidR="0028762A" w:rsidRPr="00616402" w:rsidRDefault="0028762A" w:rsidP="0028762A">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b/>
        </w:rPr>
      </w:pPr>
      <w:r w:rsidRPr="00616402">
        <w:rPr>
          <w:rFonts w:ascii="Palatino Linotype" w:hAnsi="Palatino Linotype" w:cs="Arial"/>
          <w:b/>
          <w:sz w:val="28"/>
          <w:szCs w:val="28"/>
        </w:rPr>
        <w:t>QUINTO.</w:t>
      </w:r>
      <w:r w:rsidRPr="00616402">
        <w:rPr>
          <w:rFonts w:ascii="Palatino Linotype" w:hAnsi="Palatino Linotype" w:cs="Arial"/>
          <w:b/>
          <w:szCs w:val="28"/>
        </w:rPr>
        <w:t xml:space="preserve"> Procedibilidad. </w:t>
      </w:r>
      <w:r w:rsidRPr="00616402">
        <w:rPr>
          <w:rFonts w:ascii="Palatino Linotype" w:hAnsi="Palatino Linotype" w:cs="Arial"/>
        </w:rPr>
        <w:t xml:space="preserve">Esta Ponencia considera importante abordar el análisis de los requisitos de procedibilidad del recurso de revisión, así que, el artículo 180 de la </w:t>
      </w:r>
      <w:r w:rsidRPr="00616402">
        <w:rPr>
          <w:rFonts w:ascii="Palatino Linotype" w:hAnsi="Palatino Linotype" w:cs="Arial"/>
          <w:lang w:eastAsia="es-MX"/>
        </w:rPr>
        <w:t xml:space="preserve">Ley de Transparencia y Acceso a la </w:t>
      </w:r>
      <w:r w:rsidRPr="00616402">
        <w:rPr>
          <w:rFonts w:ascii="Palatino Linotype" w:hAnsi="Palatino Linotype" w:cs="Arial"/>
        </w:rPr>
        <w:t>Información</w:t>
      </w:r>
      <w:r w:rsidRPr="00616402">
        <w:rPr>
          <w:rFonts w:ascii="Palatino Linotype" w:hAnsi="Palatino Linotype" w:cs="Arial"/>
          <w:lang w:eastAsia="es-MX"/>
        </w:rPr>
        <w:t xml:space="preserve"> Pública del Estado de México y </w:t>
      </w:r>
      <w:r w:rsidRPr="00616402">
        <w:rPr>
          <w:rFonts w:ascii="Palatino Linotype" w:hAnsi="Palatino Linotype" w:cs="Arial"/>
          <w:lang w:eastAsia="es-MX"/>
        </w:rPr>
        <w:lastRenderedPageBreak/>
        <w:t xml:space="preserve">Municipios, </w:t>
      </w:r>
      <w:r w:rsidRPr="00616402">
        <w:rPr>
          <w:rFonts w:ascii="Palatino Linotype" w:hAnsi="Palatino Linotype" w:cs="Arial"/>
        </w:rPr>
        <w:t>establece lo siguiente:</w:t>
      </w:r>
    </w:p>
    <w:p w:rsidR="0028762A" w:rsidRPr="00616402" w:rsidRDefault="0028762A" w:rsidP="0028762A">
      <w:pPr>
        <w:ind w:left="851" w:right="902"/>
        <w:jc w:val="both"/>
        <w:rPr>
          <w:rFonts w:ascii="Palatino Linotype" w:hAnsi="Palatino Linotype"/>
          <w:b/>
          <w:i/>
          <w:sz w:val="22"/>
          <w:szCs w:val="22"/>
        </w:rPr>
      </w:pPr>
      <w:r w:rsidRPr="00616402">
        <w:rPr>
          <w:rFonts w:ascii="Palatino Linotype" w:hAnsi="Palatino Linotype"/>
          <w:b/>
          <w:i/>
          <w:sz w:val="22"/>
          <w:szCs w:val="22"/>
        </w:rPr>
        <w:t xml:space="preserve">Artículo 180. </w:t>
      </w:r>
      <w:r w:rsidRPr="00616402">
        <w:rPr>
          <w:rFonts w:ascii="Palatino Linotype" w:hAnsi="Palatino Linotype"/>
          <w:i/>
          <w:sz w:val="22"/>
          <w:szCs w:val="22"/>
        </w:rPr>
        <w:t xml:space="preserve">El </w:t>
      </w:r>
      <w:r w:rsidRPr="00616402">
        <w:rPr>
          <w:rFonts w:ascii="Palatino Linotype" w:hAnsi="Palatino Linotype" w:cs="Arial"/>
          <w:i/>
          <w:sz w:val="22"/>
          <w:szCs w:val="22"/>
        </w:rPr>
        <w:t>recurso</w:t>
      </w:r>
      <w:r w:rsidRPr="00616402">
        <w:rPr>
          <w:rFonts w:ascii="Palatino Linotype" w:hAnsi="Palatino Linotype"/>
          <w:i/>
          <w:sz w:val="22"/>
          <w:szCs w:val="22"/>
        </w:rPr>
        <w:t xml:space="preserve"> </w:t>
      </w:r>
      <w:r w:rsidRPr="00616402">
        <w:rPr>
          <w:rFonts w:ascii="Palatino Linotype" w:hAnsi="Palatino Linotype" w:cs="Arial"/>
          <w:i/>
          <w:color w:val="222222"/>
          <w:sz w:val="22"/>
          <w:szCs w:val="22"/>
          <w:lang w:eastAsia="es-MX"/>
        </w:rPr>
        <w:t>de</w:t>
      </w:r>
      <w:r w:rsidRPr="00616402">
        <w:rPr>
          <w:rFonts w:ascii="Palatino Linotype" w:hAnsi="Palatino Linotype"/>
          <w:i/>
          <w:sz w:val="22"/>
          <w:szCs w:val="22"/>
        </w:rPr>
        <w:t xml:space="preserve"> revisión contendrá:</w:t>
      </w:r>
      <w:r w:rsidRPr="00616402">
        <w:rPr>
          <w:rFonts w:ascii="Palatino Linotype" w:hAnsi="Palatino Linotype"/>
          <w:b/>
          <w:i/>
          <w:sz w:val="22"/>
          <w:szCs w:val="22"/>
        </w:rPr>
        <w:t xml:space="preserve"> </w:t>
      </w:r>
    </w:p>
    <w:p w:rsidR="0028762A" w:rsidRPr="00616402" w:rsidRDefault="0028762A" w:rsidP="0028762A">
      <w:pPr>
        <w:ind w:left="851" w:right="902"/>
        <w:jc w:val="both"/>
        <w:rPr>
          <w:rFonts w:ascii="Palatino Linotype" w:hAnsi="Palatino Linotype"/>
          <w:b/>
          <w:i/>
          <w:sz w:val="22"/>
          <w:szCs w:val="22"/>
        </w:rPr>
      </w:pPr>
      <w:r w:rsidRPr="00616402">
        <w:rPr>
          <w:rFonts w:ascii="Palatino Linotype" w:hAnsi="Palatino Linotype"/>
          <w:b/>
          <w:i/>
          <w:sz w:val="22"/>
          <w:szCs w:val="22"/>
        </w:rPr>
        <w:t xml:space="preserve">I. </w:t>
      </w:r>
      <w:r w:rsidRPr="00616402">
        <w:rPr>
          <w:rFonts w:ascii="Palatino Linotype" w:hAnsi="Palatino Linotype"/>
          <w:i/>
          <w:sz w:val="22"/>
          <w:szCs w:val="22"/>
        </w:rPr>
        <w:t xml:space="preserve">El sujeto obligado ante </w:t>
      </w:r>
      <w:r w:rsidRPr="00616402">
        <w:rPr>
          <w:rFonts w:ascii="Palatino Linotype" w:hAnsi="Palatino Linotype" w:cs="Arial"/>
          <w:i/>
          <w:sz w:val="22"/>
          <w:szCs w:val="22"/>
        </w:rPr>
        <w:t>la</w:t>
      </w:r>
      <w:r w:rsidRPr="00616402">
        <w:rPr>
          <w:rFonts w:ascii="Palatino Linotype" w:hAnsi="Palatino Linotype"/>
          <w:i/>
          <w:sz w:val="22"/>
          <w:szCs w:val="22"/>
        </w:rPr>
        <w:t xml:space="preserve"> cual </w:t>
      </w:r>
      <w:r w:rsidRPr="00616402">
        <w:rPr>
          <w:rFonts w:ascii="Palatino Linotype" w:hAnsi="Palatino Linotype" w:cs="Arial"/>
          <w:i/>
          <w:color w:val="222222"/>
          <w:sz w:val="22"/>
          <w:szCs w:val="22"/>
          <w:lang w:eastAsia="es-MX"/>
        </w:rPr>
        <w:t>se</w:t>
      </w:r>
      <w:r w:rsidRPr="00616402">
        <w:rPr>
          <w:rFonts w:ascii="Palatino Linotype" w:hAnsi="Palatino Linotype"/>
          <w:i/>
          <w:sz w:val="22"/>
          <w:szCs w:val="22"/>
        </w:rPr>
        <w:t xml:space="preserve"> presentó la solicitud;</w:t>
      </w:r>
      <w:r w:rsidRPr="00616402">
        <w:rPr>
          <w:rFonts w:ascii="Palatino Linotype" w:hAnsi="Palatino Linotype"/>
          <w:b/>
          <w:i/>
          <w:sz w:val="22"/>
          <w:szCs w:val="22"/>
        </w:rPr>
        <w:t xml:space="preserve"> </w:t>
      </w:r>
    </w:p>
    <w:p w:rsidR="0028762A" w:rsidRPr="00616402" w:rsidRDefault="0028762A" w:rsidP="0028762A">
      <w:pPr>
        <w:ind w:left="851" w:right="902"/>
        <w:jc w:val="both"/>
        <w:rPr>
          <w:rFonts w:ascii="Palatino Linotype" w:hAnsi="Palatino Linotype"/>
          <w:b/>
          <w:i/>
          <w:sz w:val="22"/>
          <w:szCs w:val="22"/>
        </w:rPr>
      </w:pPr>
      <w:r w:rsidRPr="00616402">
        <w:rPr>
          <w:rFonts w:ascii="Palatino Linotype" w:hAnsi="Palatino Linotype"/>
          <w:b/>
          <w:i/>
          <w:sz w:val="22"/>
          <w:szCs w:val="22"/>
        </w:rPr>
        <w:t xml:space="preserve">II. El nombre del solicitante </w:t>
      </w:r>
      <w:r w:rsidRPr="00616402">
        <w:rPr>
          <w:rFonts w:ascii="Palatino Linotype" w:hAnsi="Palatino Linotype" w:cs="Arial"/>
          <w:b/>
          <w:i/>
          <w:color w:val="222222"/>
          <w:sz w:val="22"/>
          <w:szCs w:val="22"/>
          <w:lang w:eastAsia="es-MX"/>
        </w:rPr>
        <w:t>que</w:t>
      </w:r>
      <w:r w:rsidRPr="00616402">
        <w:rPr>
          <w:rFonts w:ascii="Palatino Linotype" w:hAnsi="Palatino Linotype"/>
          <w:b/>
          <w:i/>
          <w:sz w:val="22"/>
          <w:szCs w:val="22"/>
        </w:rPr>
        <w:t xml:space="preserve"> recurre </w:t>
      </w:r>
      <w:r w:rsidRPr="00616402">
        <w:rPr>
          <w:rFonts w:ascii="Palatino Linotype" w:hAnsi="Palatino Linotype"/>
          <w:i/>
          <w:sz w:val="22"/>
          <w:szCs w:val="22"/>
        </w:rPr>
        <w:t>o de su representante y, en su caso, del tercero interesado, así como la dirección o medio que señale para recibir notificaciones;</w:t>
      </w:r>
      <w:r w:rsidRPr="00616402">
        <w:rPr>
          <w:rFonts w:ascii="Palatino Linotype" w:hAnsi="Palatino Linotype"/>
          <w:b/>
          <w:i/>
          <w:sz w:val="22"/>
          <w:szCs w:val="22"/>
        </w:rPr>
        <w:t xml:space="preserve"> </w:t>
      </w:r>
    </w:p>
    <w:p w:rsidR="0028762A" w:rsidRPr="00616402" w:rsidRDefault="0028762A" w:rsidP="0028762A">
      <w:pPr>
        <w:ind w:left="851" w:right="902"/>
        <w:jc w:val="both"/>
        <w:rPr>
          <w:rFonts w:ascii="Palatino Linotype" w:hAnsi="Palatino Linotype"/>
          <w:b/>
          <w:i/>
          <w:sz w:val="22"/>
          <w:szCs w:val="22"/>
        </w:rPr>
      </w:pPr>
      <w:r w:rsidRPr="00616402">
        <w:rPr>
          <w:rFonts w:ascii="Palatino Linotype" w:hAnsi="Palatino Linotype"/>
          <w:b/>
          <w:i/>
          <w:sz w:val="22"/>
          <w:szCs w:val="22"/>
        </w:rPr>
        <w:t xml:space="preserve">III. </w:t>
      </w:r>
      <w:r w:rsidRPr="00616402">
        <w:rPr>
          <w:rFonts w:ascii="Palatino Linotype" w:hAnsi="Palatino Linotype"/>
          <w:i/>
          <w:sz w:val="22"/>
          <w:szCs w:val="22"/>
        </w:rPr>
        <w:t xml:space="preserve">El número de folio de </w:t>
      </w:r>
      <w:r w:rsidRPr="00616402">
        <w:rPr>
          <w:rFonts w:ascii="Palatino Linotype" w:hAnsi="Palatino Linotype" w:cs="Arial"/>
          <w:i/>
          <w:color w:val="222222"/>
          <w:sz w:val="22"/>
          <w:szCs w:val="22"/>
          <w:lang w:eastAsia="es-MX"/>
        </w:rPr>
        <w:t>respuesta</w:t>
      </w:r>
      <w:r w:rsidRPr="00616402">
        <w:rPr>
          <w:rFonts w:ascii="Palatino Linotype" w:hAnsi="Palatino Linotype"/>
          <w:i/>
          <w:sz w:val="22"/>
          <w:szCs w:val="22"/>
        </w:rPr>
        <w:t xml:space="preserve"> de la solicitud de acceso; </w:t>
      </w:r>
    </w:p>
    <w:p w:rsidR="0028762A" w:rsidRPr="00616402" w:rsidRDefault="0028762A" w:rsidP="0028762A">
      <w:pPr>
        <w:ind w:left="851" w:right="902"/>
        <w:jc w:val="both"/>
        <w:rPr>
          <w:rFonts w:ascii="Palatino Linotype" w:hAnsi="Palatino Linotype"/>
          <w:b/>
          <w:i/>
          <w:sz w:val="22"/>
          <w:szCs w:val="22"/>
        </w:rPr>
      </w:pPr>
      <w:r w:rsidRPr="00616402">
        <w:rPr>
          <w:rFonts w:ascii="Palatino Linotype" w:hAnsi="Palatino Linotype"/>
          <w:b/>
          <w:i/>
          <w:sz w:val="22"/>
          <w:szCs w:val="22"/>
        </w:rPr>
        <w:t xml:space="preserve">IV. </w:t>
      </w:r>
      <w:r w:rsidRPr="00616402">
        <w:rPr>
          <w:rFonts w:ascii="Palatino Linotype" w:hAnsi="Palatino Linotype"/>
          <w:i/>
          <w:sz w:val="22"/>
          <w:szCs w:val="22"/>
        </w:rPr>
        <w:t xml:space="preserve">La fecha en que fue </w:t>
      </w:r>
      <w:r w:rsidRPr="00616402">
        <w:rPr>
          <w:rFonts w:ascii="Palatino Linotype" w:hAnsi="Palatino Linotype" w:cs="Arial"/>
          <w:i/>
          <w:color w:val="222222"/>
          <w:sz w:val="22"/>
          <w:szCs w:val="22"/>
          <w:lang w:eastAsia="es-MX"/>
        </w:rPr>
        <w:t>notificada</w:t>
      </w:r>
      <w:r w:rsidRPr="00616402">
        <w:rPr>
          <w:rFonts w:ascii="Palatino Linotype" w:hAnsi="Palatino Linotype"/>
          <w:i/>
          <w:sz w:val="22"/>
          <w:szCs w:val="22"/>
        </w:rPr>
        <w:t xml:space="preserve"> la respuesta al solicitante o tuvo conocimiento del acto reclamado, o de presentación de la solicitud, en caso de falta de respuesta;</w:t>
      </w:r>
      <w:r w:rsidRPr="00616402">
        <w:rPr>
          <w:rFonts w:ascii="Palatino Linotype" w:hAnsi="Palatino Linotype"/>
          <w:b/>
          <w:i/>
          <w:sz w:val="22"/>
          <w:szCs w:val="22"/>
        </w:rPr>
        <w:t xml:space="preserve"> </w:t>
      </w:r>
    </w:p>
    <w:p w:rsidR="0028762A" w:rsidRPr="00616402" w:rsidRDefault="0028762A" w:rsidP="0028762A">
      <w:pPr>
        <w:ind w:left="851" w:right="902"/>
        <w:jc w:val="both"/>
        <w:rPr>
          <w:rFonts w:ascii="Palatino Linotype" w:hAnsi="Palatino Linotype"/>
          <w:b/>
          <w:i/>
          <w:sz w:val="22"/>
          <w:szCs w:val="22"/>
        </w:rPr>
      </w:pPr>
      <w:r w:rsidRPr="00616402">
        <w:rPr>
          <w:rFonts w:ascii="Palatino Linotype" w:hAnsi="Palatino Linotype"/>
          <w:b/>
          <w:i/>
          <w:sz w:val="22"/>
          <w:szCs w:val="22"/>
        </w:rPr>
        <w:t xml:space="preserve">V. </w:t>
      </w:r>
      <w:r w:rsidRPr="00616402">
        <w:rPr>
          <w:rFonts w:ascii="Palatino Linotype" w:hAnsi="Palatino Linotype"/>
          <w:i/>
          <w:sz w:val="22"/>
          <w:szCs w:val="22"/>
        </w:rPr>
        <w:t xml:space="preserve">El acto que se </w:t>
      </w:r>
      <w:r w:rsidRPr="00616402">
        <w:rPr>
          <w:rFonts w:ascii="Palatino Linotype" w:hAnsi="Palatino Linotype" w:cs="Arial"/>
          <w:i/>
          <w:color w:val="222222"/>
          <w:sz w:val="22"/>
          <w:szCs w:val="22"/>
          <w:lang w:eastAsia="es-MX"/>
        </w:rPr>
        <w:t>recurre</w:t>
      </w:r>
      <w:r w:rsidRPr="00616402">
        <w:rPr>
          <w:rFonts w:ascii="Palatino Linotype" w:hAnsi="Palatino Linotype"/>
          <w:i/>
          <w:sz w:val="22"/>
          <w:szCs w:val="22"/>
        </w:rPr>
        <w:t>;</w:t>
      </w:r>
      <w:r w:rsidRPr="00616402">
        <w:rPr>
          <w:rFonts w:ascii="Palatino Linotype" w:hAnsi="Palatino Linotype"/>
          <w:b/>
          <w:i/>
          <w:sz w:val="22"/>
          <w:szCs w:val="22"/>
        </w:rPr>
        <w:t xml:space="preserve"> </w:t>
      </w:r>
    </w:p>
    <w:p w:rsidR="0028762A" w:rsidRPr="00616402" w:rsidRDefault="0028762A" w:rsidP="0028762A">
      <w:pPr>
        <w:ind w:left="851" w:right="902"/>
        <w:jc w:val="both"/>
        <w:rPr>
          <w:rFonts w:ascii="Palatino Linotype" w:hAnsi="Palatino Linotype"/>
          <w:b/>
          <w:i/>
          <w:sz w:val="22"/>
          <w:szCs w:val="22"/>
        </w:rPr>
      </w:pPr>
      <w:r w:rsidRPr="00616402">
        <w:rPr>
          <w:rFonts w:ascii="Palatino Linotype" w:hAnsi="Palatino Linotype"/>
          <w:b/>
          <w:i/>
          <w:sz w:val="22"/>
          <w:szCs w:val="22"/>
        </w:rPr>
        <w:t xml:space="preserve">VI. </w:t>
      </w:r>
      <w:r w:rsidRPr="00616402">
        <w:rPr>
          <w:rFonts w:ascii="Palatino Linotype" w:hAnsi="Palatino Linotype"/>
          <w:i/>
          <w:sz w:val="22"/>
          <w:szCs w:val="22"/>
        </w:rPr>
        <w:t xml:space="preserve">Las razones o </w:t>
      </w:r>
      <w:r w:rsidRPr="00616402">
        <w:rPr>
          <w:rFonts w:ascii="Palatino Linotype" w:hAnsi="Palatino Linotype" w:cs="Arial"/>
          <w:i/>
          <w:color w:val="222222"/>
          <w:sz w:val="22"/>
          <w:szCs w:val="22"/>
          <w:lang w:eastAsia="es-MX"/>
        </w:rPr>
        <w:t>motivos</w:t>
      </w:r>
      <w:r w:rsidRPr="00616402">
        <w:rPr>
          <w:rFonts w:ascii="Palatino Linotype" w:hAnsi="Palatino Linotype"/>
          <w:i/>
          <w:sz w:val="22"/>
          <w:szCs w:val="22"/>
        </w:rPr>
        <w:t xml:space="preserve"> de inconformidad;</w:t>
      </w:r>
      <w:r w:rsidRPr="00616402">
        <w:rPr>
          <w:rFonts w:ascii="Palatino Linotype" w:hAnsi="Palatino Linotype"/>
          <w:b/>
          <w:i/>
          <w:sz w:val="22"/>
          <w:szCs w:val="22"/>
        </w:rPr>
        <w:t xml:space="preserve"> </w:t>
      </w:r>
    </w:p>
    <w:p w:rsidR="0028762A" w:rsidRPr="00616402" w:rsidRDefault="0028762A" w:rsidP="0028762A">
      <w:pPr>
        <w:ind w:left="851" w:right="902"/>
        <w:jc w:val="both"/>
        <w:rPr>
          <w:rFonts w:ascii="Palatino Linotype" w:hAnsi="Palatino Linotype"/>
          <w:b/>
          <w:i/>
          <w:sz w:val="22"/>
          <w:szCs w:val="22"/>
        </w:rPr>
      </w:pPr>
      <w:r w:rsidRPr="00616402">
        <w:rPr>
          <w:rFonts w:ascii="Palatino Linotype" w:hAnsi="Palatino Linotype"/>
          <w:b/>
          <w:i/>
          <w:sz w:val="22"/>
          <w:szCs w:val="22"/>
        </w:rPr>
        <w:t xml:space="preserve">VII. </w:t>
      </w:r>
      <w:r w:rsidRPr="00616402">
        <w:rPr>
          <w:rFonts w:ascii="Palatino Linotype" w:hAnsi="Palatino Linotype"/>
          <w:i/>
          <w:sz w:val="22"/>
          <w:szCs w:val="22"/>
        </w:rPr>
        <w:t>La copia de la respuesta que se impugna y, en su caso, de la notificación correspondiente, en el caso de respuesta de la solicitud; y</w:t>
      </w:r>
      <w:r w:rsidRPr="00616402">
        <w:rPr>
          <w:rFonts w:ascii="Palatino Linotype" w:hAnsi="Palatino Linotype"/>
          <w:b/>
          <w:i/>
          <w:sz w:val="22"/>
          <w:szCs w:val="22"/>
        </w:rPr>
        <w:t xml:space="preserve"> </w:t>
      </w:r>
    </w:p>
    <w:p w:rsidR="0028762A" w:rsidRPr="00616402" w:rsidRDefault="0028762A" w:rsidP="0028762A">
      <w:pPr>
        <w:ind w:left="851" w:right="902"/>
        <w:jc w:val="both"/>
        <w:rPr>
          <w:rFonts w:ascii="Palatino Linotype" w:hAnsi="Palatino Linotype"/>
          <w:i/>
          <w:sz w:val="22"/>
          <w:szCs w:val="22"/>
        </w:rPr>
      </w:pPr>
      <w:r w:rsidRPr="00616402">
        <w:rPr>
          <w:rFonts w:ascii="Palatino Linotype" w:hAnsi="Palatino Linotype"/>
          <w:b/>
          <w:i/>
          <w:sz w:val="22"/>
          <w:szCs w:val="22"/>
        </w:rPr>
        <w:t xml:space="preserve">VIII. </w:t>
      </w:r>
      <w:r w:rsidRPr="00616402">
        <w:rPr>
          <w:rFonts w:ascii="Palatino Linotype" w:hAnsi="Palatino Linotype"/>
          <w:i/>
          <w:sz w:val="22"/>
          <w:szCs w:val="22"/>
        </w:rPr>
        <w:t xml:space="preserve">Firma del recurrente, en su caso, cuando se presente por escrito, requisito sin el cual se dará trámite al recurso. </w:t>
      </w:r>
    </w:p>
    <w:p w:rsidR="0028762A" w:rsidRPr="00616402" w:rsidRDefault="0028762A" w:rsidP="0028762A">
      <w:pPr>
        <w:ind w:left="851" w:right="902"/>
        <w:jc w:val="both"/>
        <w:rPr>
          <w:rFonts w:ascii="Palatino Linotype" w:hAnsi="Palatino Linotype"/>
          <w:i/>
          <w:sz w:val="22"/>
          <w:szCs w:val="22"/>
        </w:rPr>
      </w:pPr>
      <w:r w:rsidRPr="00616402">
        <w:rPr>
          <w:rFonts w:ascii="Palatino Linotype" w:hAnsi="Palatino Linotype"/>
          <w:i/>
          <w:sz w:val="22"/>
          <w:szCs w:val="22"/>
        </w:rPr>
        <w:t xml:space="preserve">Adicionalmente, se podrán anexar las pruebas y demás elementos que considere procedentes someter a juicio del Instituto. </w:t>
      </w:r>
    </w:p>
    <w:p w:rsidR="0028762A" w:rsidRPr="00616402" w:rsidRDefault="0028762A" w:rsidP="0028762A">
      <w:pPr>
        <w:ind w:left="851" w:right="902"/>
        <w:jc w:val="both"/>
        <w:rPr>
          <w:rFonts w:ascii="Palatino Linotype" w:hAnsi="Palatino Linotype"/>
          <w:i/>
          <w:sz w:val="22"/>
          <w:szCs w:val="22"/>
        </w:rPr>
      </w:pPr>
      <w:r w:rsidRPr="00616402">
        <w:rPr>
          <w:rFonts w:ascii="Palatino Linotype" w:hAnsi="Palatino Linotype"/>
          <w:i/>
          <w:sz w:val="22"/>
          <w:szCs w:val="22"/>
        </w:rPr>
        <w:t xml:space="preserve">En ningún caso será necesario que el particular ratifique el recurso de revisión interpuesto. </w:t>
      </w:r>
    </w:p>
    <w:p w:rsidR="0028762A" w:rsidRPr="00616402" w:rsidRDefault="0028762A" w:rsidP="0028762A">
      <w:pPr>
        <w:ind w:left="851" w:right="902"/>
        <w:jc w:val="both"/>
        <w:rPr>
          <w:rFonts w:ascii="Palatino Linotype" w:hAnsi="Palatino Linotype"/>
          <w:i/>
          <w:sz w:val="22"/>
          <w:szCs w:val="22"/>
        </w:rPr>
      </w:pPr>
      <w:r w:rsidRPr="00616402">
        <w:rPr>
          <w:rFonts w:ascii="Palatino Linotype" w:hAnsi="Palatino Linotype"/>
          <w:b/>
          <w:i/>
          <w:sz w:val="22"/>
          <w:szCs w:val="22"/>
        </w:rPr>
        <w:t xml:space="preserve">En caso de </w:t>
      </w:r>
      <w:r w:rsidRPr="00616402">
        <w:rPr>
          <w:rFonts w:ascii="Palatino Linotype" w:hAnsi="Palatino Linotype" w:cs="Arial"/>
          <w:b/>
          <w:i/>
          <w:color w:val="222222"/>
          <w:sz w:val="22"/>
          <w:szCs w:val="22"/>
          <w:lang w:eastAsia="es-MX"/>
        </w:rPr>
        <w:t>que</w:t>
      </w:r>
      <w:r w:rsidRPr="00616402">
        <w:rPr>
          <w:rFonts w:ascii="Palatino Linotype" w:hAnsi="Palatino Linotype"/>
          <w:b/>
          <w:i/>
          <w:sz w:val="22"/>
          <w:szCs w:val="22"/>
        </w:rPr>
        <w:t xml:space="preserve"> el recurso se interponga de manera electrónica no será indispensable que contengan los requisitos establecidos en las fracciones II</w:t>
      </w:r>
      <w:r w:rsidRPr="00616402">
        <w:rPr>
          <w:rFonts w:ascii="Palatino Linotype" w:hAnsi="Palatino Linotype"/>
          <w:i/>
          <w:sz w:val="22"/>
          <w:szCs w:val="22"/>
        </w:rPr>
        <w:t xml:space="preserve">, IV, VII y VIII. </w:t>
      </w:r>
    </w:p>
    <w:p w:rsidR="0028762A" w:rsidRPr="00616402" w:rsidRDefault="0028762A" w:rsidP="0028762A">
      <w:pPr>
        <w:ind w:left="851" w:right="902"/>
        <w:jc w:val="both"/>
        <w:rPr>
          <w:rFonts w:ascii="Palatino Linotype" w:hAnsi="Palatino Linotype"/>
          <w:sz w:val="22"/>
          <w:szCs w:val="22"/>
        </w:rPr>
      </w:pPr>
      <w:r w:rsidRPr="00616402">
        <w:rPr>
          <w:rFonts w:ascii="Palatino Linotype" w:hAnsi="Palatino Linotype"/>
          <w:sz w:val="22"/>
          <w:szCs w:val="22"/>
        </w:rPr>
        <w:t>(Énfasis añadido)</w:t>
      </w:r>
    </w:p>
    <w:p w:rsidR="0028762A" w:rsidRPr="00616402" w:rsidRDefault="0028762A" w:rsidP="0028762A">
      <w:pPr>
        <w:spacing w:before="100" w:beforeAutospacing="1" w:after="100" w:afterAutospacing="1" w:line="360" w:lineRule="auto"/>
        <w:jc w:val="both"/>
        <w:rPr>
          <w:rFonts w:ascii="Palatino Linotype" w:hAnsi="Palatino Linotype"/>
        </w:rPr>
      </w:pPr>
      <w:r w:rsidRPr="00616402">
        <w:rPr>
          <w:rFonts w:ascii="Palatino Linotype" w:hAnsi="Palatino Linotype"/>
        </w:rPr>
        <w:t xml:space="preserve">En principio, de una interpretación del artículo transcrito se observa que los requisitos que </w:t>
      </w:r>
      <w:r w:rsidRPr="00616402">
        <w:rPr>
          <w:rFonts w:ascii="Palatino Linotype" w:hAnsi="Palatino Linotype" w:cs="Arial"/>
        </w:rPr>
        <w:t>deberán</w:t>
      </w:r>
      <w:r w:rsidRPr="00616402">
        <w:rPr>
          <w:rFonts w:ascii="Palatino Linotype" w:hAnsi="Palatino Linotype"/>
        </w:rPr>
        <w:t xml:space="preserve"> </w:t>
      </w:r>
      <w:r w:rsidRPr="00616402">
        <w:rPr>
          <w:rFonts w:ascii="Palatino Linotype" w:hAnsi="Palatino Linotype" w:cs="Arial"/>
        </w:rPr>
        <w:t>contener</w:t>
      </w:r>
      <w:r w:rsidRPr="00616402">
        <w:rPr>
          <w:rFonts w:ascii="Palatino Linotype" w:hAnsi="Palatino Linotype"/>
        </w:rPr>
        <w:t xml:space="preserve"> los recursos de revisión; sobre el particular, de la revisión del expediente electrónico del </w:t>
      </w:r>
      <w:r w:rsidRPr="00616402">
        <w:rPr>
          <w:rFonts w:ascii="Palatino Linotype" w:hAnsi="Palatino Linotype"/>
          <w:b/>
        </w:rPr>
        <w:t>SAIMEX</w:t>
      </w:r>
      <w:r w:rsidRPr="00616402">
        <w:rPr>
          <w:rFonts w:ascii="Palatino Linotype" w:hAnsi="Palatino Linotype"/>
        </w:rPr>
        <w:t xml:space="preserve"> se desprende que la parte solicitante y ahora </w:t>
      </w:r>
      <w:r w:rsidRPr="00616402">
        <w:rPr>
          <w:rFonts w:ascii="Palatino Linotype" w:hAnsi="Palatino Linotype"/>
          <w:b/>
        </w:rPr>
        <w:t>RECURRENTE</w:t>
      </w:r>
      <w:r w:rsidRPr="00616402">
        <w:rPr>
          <w:rFonts w:ascii="Palatino Linotype" w:hAnsi="Palatino Linotype"/>
        </w:rPr>
        <w:t xml:space="preserve">, en ejercicio de su derecho de acceso a la información pública, no proporcionó un nombre que lo hiciera identificable sino por el contrario refirió un seudónimo; por lo que, no se tiene certeza sobre su identidad, lo que en estricto sentido, provoca que </w:t>
      </w:r>
      <w:r w:rsidRPr="00616402">
        <w:rPr>
          <w:rFonts w:ascii="Palatino Linotype" w:hAnsi="Palatino Linotype" w:cs="Arial"/>
        </w:rPr>
        <w:t>no</w:t>
      </w:r>
      <w:r w:rsidRPr="00616402">
        <w:rPr>
          <w:rFonts w:ascii="Palatino Linotype" w:hAnsi="Palatino Linotype"/>
        </w:rPr>
        <w:t xml:space="preserve"> se colmen los requisitos establecidos en el citado artículo 180 de la Ley de Transparencia.</w:t>
      </w:r>
    </w:p>
    <w:p w:rsidR="0028762A" w:rsidRPr="00616402" w:rsidRDefault="0028762A" w:rsidP="0028762A">
      <w:pPr>
        <w:spacing w:before="200" w:after="200" w:line="360" w:lineRule="auto"/>
        <w:jc w:val="both"/>
        <w:rPr>
          <w:rFonts w:ascii="Palatino Linotype" w:hAnsi="Palatino Linotype" w:cs="Arial"/>
          <w:color w:val="000000"/>
        </w:rPr>
      </w:pPr>
      <w:r w:rsidRPr="00616402">
        <w:rPr>
          <w:rFonts w:ascii="Palatino Linotype" w:hAnsi="Palatino Linotype"/>
        </w:rPr>
        <w:lastRenderedPageBreak/>
        <w:t xml:space="preserve">Empero lo anterior, debe destacarse que el artículo 15 de </w:t>
      </w:r>
      <w:r w:rsidRPr="00616402">
        <w:rPr>
          <w:rFonts w:ascii="Palatino Linotype" w:hAnsi="Palatino Linotype" w:cs="Arial"/>
          <w:lang w:eastAsia="es-MX"/>
        </w:rPr>
        <w:t xml:space="preserve">Ley de Transparencia y Acceso a la </w:t>
      </w:r>
      <w:r w:rsidRPr="00616402">
        <w:rPr>
          <w:rFonts w:ascii="Palatino Linotype" w:hAnsi="Palatino Linotype" w:cs="Arial"/>
        </w:rPr>
        <w:t>Información</w:t>
      </w:r>
      <w:r w:rsidRPr="00616402">
        <w:rPr>
          <w:rFonts w:ascii="Palatino Linotype" w:hAnsi="Palatino Linotype" w:cs="Arial"/>
          <w:lang w:eastAsia="es-MX"/>
        </w:rPr>
        <w:t xml:space="preserve"> Pública del Estado de México y Municipios </w:t>
      </w:r>
      <w:r w:rsidRPr="00616402">
        <w:rPr>
          <w:rFonts w:ascii="Palatino Linotype" w:hAnsi="Palatino Linotype" w:cs="Arial"/>
          <w:iCs/>
        </w:rPr>
        <w:t xml:space="preserve">prevé que, </w:t>
      </w:r>
      <w:r w:rsidRPr="00616402">
        <w:rPr>
          <w:rFonts w:ascii="Palatino Linotype" w:hAnsi="Palatino Linotype"/>
        </w:rPr>
        <w:t xml:space="preserve">toda persona tendrá acceso a la información </w:t>
      </w:r>
      <w:r w:rsidRPr="00616402">
        <w:rPr>
          <w:rFonts w:ascii="Palatino Linotype" w:hAnsi="Palatino Linotype" w:cs="Arial"/>
          <w:color w:val="000000"/>
        </w:rPr>
        <w:t xml:space="preserve">sin necesidad de acreditar interés alguno o justificar su utilización, de lo que se infiere que para el </w:t>
      </w:r>
      <w:r w:rsidRPr="00616402">
        <w:rPr>
          <w:rFonts w:ascii="Palatino Linotype" w:hAnsi="Palatino Linotype"/>
        </w:rPr>
        <w:t>ejercicio</w:t>
      </w:r>
      <w:r w:rsidRPr="00616402">
        <w:rPr>
          <w:rFonts w:ascii="Palatino Linotype" w:hAnsi="Palatino Linotype" w:cs="Arial"/>
          <w:color w:val="000000"/>
        </w:rPr>
        <w:t xml:space="preserve"> del derecho de acceso a la información pública, </w:t>
      </w:r>
      <w:r w:rsidRPr="00616402">
        <w:rPr>
          <w:rFonts w:ascii="Palatino Linotype" w:hAnsi="Palatino Linotype" w:cs="Arial"/>
          <w:b/>
          <w:color w:val="000000"/>
        </w:rPr>
        <w:t xml:space="preserve">el nombre no es un requisito </w:t>
      </w:r>
      <w:r w:rsidRPr="00616402">
        <w:rPr>
          <w:rFonts w:ascii="Palatino Linotype" w:hAnsi="Palatino Linotype" w:cs="Arial"/>
          <w:b/>
          <w:i/>
          <w:color w:val="000000"/>
        </w:rPr>
        <w:t>sine qua non</w:t>
      </w:r>
      <w:r w:rsidRPr="00616402">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28762A" w:rsidRPr="00616402" w:rsidRDefault="0028762A" w:rsidP="0028762A">
      <w:pPr>
        <w:spacing w:before="200" w:after="200" w:line="360" w:lineRule="auto"/>
        <w:jc w:val="both"/>
        <w:rPr>
          <w:rFonts w:ascii="Palatino Linotype" w:hAnsi="Palatino Linotype"/>
        </w:rPr>
      </w:pPr>
      <w:r w:rsidRPr="00616402">
        <w:rPr>
          <w:rFonts w:ascii="Palatino Linotype" w:hAnsi="Palatino Linotype"/>
        </w:rPr>
        <w:t xml:space="preserve">Correlativo a ello, cabe mencionar que los artículos 6, Apartado A, fracciones I, III, V y VI de la </w:t>
      </w:r>
      <w:r w:rsidRPr="00616402">
        <w:rPr>
          <w:rFonts w:ascii="Palatino Linotype" w:hAnsi="Palatino Linotype" w:cs="Arial"/>
        </w:rPr>
        <w:t>Constitución</w:t>
      </w:r>
      <w:r w:rsidRPr="00616402">
        <w:rPr>
          <w:rFonts w:ascii="Palatino Linotype" w:hAnsi="Palatino Linotype"/>
        </w:rPr>
        <w:t xml:space="preserve"> Política de los Estados Unidos Mexicanos y 5 párrafos </w:t>
      </w:r>
      <w:r w:rsidR="00E75980" w:rsidRPr="00616402">
        <w:rPr>
          <w:rFonts w:ascii="Palatino Linotype" w:hAnsi="Palatino Linotype"/>
        </w:rPr>
        <w:t>vigésimo segundo, vigésimo tercero y vigésimo cuarto</w:t>
      </w:r>
      <w:r w:rsidRPr="00616402">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28762A" w:rsidRPr="00616402" w:rsidRDefault="0028762A" w:rsidP="0028762A">
      <w:pPr>
        <w:ind w:left="851" w:right="902"/>
        <w:jc w:val="center"/>
        <w:rPr>
          <w:rFonts w:ascii="Palatino Linotype" w:hAnsi="Palatino Linotype" w:cs="Arial"/>
          <w:b/>
          <w:i/>
          <w:sz w:val="22"/>
          <w:szCs w:val="22"/>
        </w:rPr>
      </w:pPr>
      <w:r w:rsidRPr="00616402">
        <w:rPr>
          <w:rFonts w:ascii="Palatino Linotype" w:hAnsi="Palatino Linotype" w:cs="Arial"/>
          <w:b/>
          <w:i/>
          <w:sz w:val="22"/>
          <w:szCs w:val="22"/>
        </w:rPr>
        <w:t>Constitución Política de los Estados Unidos Mexicanos</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w:t>
      </w:r>
      <w:r w:rsidRPr="00616402">
        <w:rPr>
          <w:rFonts w:ascii="Palatino Linotype" w:hAnsi="Palatino Linotype" w:cs="Arial"/>
          <w:b/>
          <w:i/>
          <w:sz w:val="22"/>
          <w:szCs w:val="22"/>
        </w:rPr>
        <w:t>Artículo 6o.</w:t>
      </w:r>
      <w:r w:rsidRPr="00616402">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16402">
        <w:rPr>
          <w:rFonts w:ascii="Palatino Linotype" w:hAnsi="Palatino Linotype" w:cs="Arial"/>
          <w:b/>
          <w:i/>
          <w:sz w:val="22"/>
          <w:szCs w:val="22"/>
        </w:rPr>
        <w:t>El derecho a la información será garantizado por el Estado.</w:t>
      </w:r>
      <w:r w:rsidRPr="00616402">
        <w:rPr>
          <w:rFonts w:ascii="Palatino Linotype" w:hAnsi="Palatino Linotype" w:cs="Arial"/>
          <w:i/>
          <w:sz w:val="22"/>
          <w:szCs w:val="22"/>
        </w:rPr>
        <w:t xml:space="preserve"> </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 xml:space="preserve">Toda persona tiene </w:t>
      </w:r>
      <w:r w:rsidRPr="00616402">
        <w:rPr>
          <w:rFonts w:ascii="Palatino Linotype" w:hAnsi="Palatino Linotype"/>
          <w:b/>
          <w:i/>
          <w:sz w:val="22"/>
          <w:szCs w:val="22"/>
        </w:rPr>
        <w:t>derecho</w:t>
      </w:r>
      <w:r w:rsidRPr="00616402">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616402">
        <w:rPr>
          <w:rFonts w:ascii="Palatino Linotype" w:hAnsi="Palatino Linotype" w:cs="Arial"/>
          <w:i/>
          <w:sz w:val="22"/>
          <w:szCs w:val="22"/>
        </w:rPr>
        <w:t>.</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 xml:space="preserve">Para efectos de lo </w:t>
      </w:r>
      <w:r w:rsidRPr="00616402">
        <w:rPr>
          <w:rFonts w:ascii="Palatino Linotype" w:hAnsi="Palatino Linotype"/>
          <w:i/>
          <w:sz w:val="22"/>
          <w:szCs w:val="22"/>
        </w:rPr>
        <w:t>dispuesto</w:t>
      </w:r>
      <w:r w:rsidRPr="00616402">
        <w:rPr>
          <w:rFonts w:ascii="Palatino Linotype" w:hAnsi="Palatino Linotype" w:cs="Arial"/>
          <w:i/>
          <w:sz w:val="22"/>
          <w:szCs w:val="22"/>
        </w:rPr>
        <w:t xml:space="preserve"> en el presente artículo se observará lo siguiente:</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lastRenderedPageBreak/>
        <w:t>A.</w:t>
      </w:r>
      <w:r w:rsidRPr="00616402">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28762A" w:rsidRPr="00616402" w:rsidRDefault="0028762A" w:rsidP="0028762A">
      <w:pPr>
        <w:ind w:left="851" w:right="902"/>
        <w:jc w:val="both"/>
        <w:rPr>
          <w:rFonts w:ascii="Palatino Linotype" w:hAnsi="Palatino Linotype" w:cs="Arial"/>
          <w:b/>
          <w:i/>
          <w:sz w:val="22"/>
          <w:szCs w:val="22"/>
        </w:rPr>
      </w:pPr>
      <w:r w:rsidRPr="00616402">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w:t>
      </w:r>
    </w:p>
    <w:p w:rsidR="0028762A" w:rsidRPr="00616402" w:rsidRDefault="0028762A" w:rsidP="0028762A">
      <w:pPr>
        <w:ind w:left="851" w:right="902"/>
        <w:jc w:val="both"/>
        <w:rPr>
          <w:rFonts w:ascii="Palatino Linotype" w:hAnsi="Palatino Linotype" w:cs="Arial"/>
          <w:b/>
          <w:i/>
          <w:sz w:val="22"/>
          <w:szCs w:val="22"/>
        </w:rPr>
      </w:pPr>
      <w:r w:rsidRPr="00616402">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w:t>
      </w:r>
    </w:p>
    <w:p w:rsidR="0028762A" w:rsidRPr="00616402" w:rsidRDefault="0028762A" w:rsidP="0028762A">
      <w:pPr>
        <w:ind w:left="851" w:right="902"/>
        <w:jc w:val="both"/>
        <w:rPr>
          <w:rFonts w:ascii="Palatino Linotype" w:hAnsi="Palatino Linotype" w:cs="Arial"/>
          <w:b/>
          <w:i/>
          <w:sz w:val="22"/>
          <w:szCs w:val="22"/>
        </w:rPr>
      </w:pPr>
      <w:r w:rsidRPr="00616402">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28762A" w:rsidRPr="00616402" w:rsidRDefault="0028762A" w:rsidP="0028762A">
      <w:pPr>
        <w:ind w:left="851" w:right="902"/>
        <w:jc w:val="both"/>
        <w:rPr>
          <w:rFonts w:ascii="Palatino Linotype" w:hAnsi="Palatino Linotype" w:cs="Arial"/>
          <w:b/>
          <w:i/>
          <w:sz w:val="22"/>
          <w:szCs w:val="22"/>
        </w:rPr>
      </w:pPr>
      <w:r w:rsidRPr="00616402">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616402">
        <w:rPr>
          <w:rFonts w:ascii="Palatino Linotype" w:hAnsi="Palatino Linotype" w:cs="Arial"/>
          <w:i/>
          <w:sz w:val="22"/>
          <w:szCs w:val="22"/>
        </w:rPr>
        <w:t>.”</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w:t>
      </w:r>
    </w:p>
    <w:p w:rsidR="0028762A" w:rsidRPr="00616402" w:rsidRDefault="0028762A" w:rsidP="0028762A">
      <w:pPr>
        <w:ind w:left="851" w:right="902"/>
        <w:jc w:val="both"/>
        <w:rPr>
          <w:rFonts w:ascii="Palatino Linotype" w:hAnsi="Palatino Linotype" w:cs="Arial"/>
          <w:b/>
          <w:i/>
          <w:sz w:val="22"/>
          <w:szCs w:val="22"/>
        </w:rPr>
      </w:pPr>
      <w:r w:rsidRPr="00616402">
        <w:rPr>
          <w:rFonts w:ascii="Palatino Linotype" w:hAnsi="Palatino Linotype" w:cs="Arial"/>
          <w:b/>
          <w:i/>
          <w:sz w:val="22"/>
          <w:szCs w:val="22"/>
        </w:rPr>
        <w:t>La ley establecerá aquella información que se considere reservada o confidencial.</w:t>
      </w:r>
    </w:p>
    <w:p w:rsidR="0028762A" w:rsidRPr="00616402" w:rsidRDefault="0028762A" w:rsidP="0028762A">
      <w:pPr>
        <w:ind w:left="851" w:right="902"/>
        <w:jc w:val="center"/>
        <w:rPr>
          <w:rFonts w:ascii="Palatino Linotype" w:hAnsi="Palatino Linotype" w:cs="Arial"/>
          <w:b/>
          <w:i/>
          <w:sz w:val="22"/>
          <w:szCs w:val="22"/>
        </w:rPr>
      </w:pPr>
    </w:p>
    <w:p w:rsidR="0028762A" w:rsidRPr="00616402" w:rsidRDefault="0028762A" w:rsidP="0028762A">
      <w:pPr>
        <w:ind w:left="851" w:right="902"/>
        <w:jc w:val="center"/>
        <w:rPr>
          <w:rFonts w:ascii="Palatino Linotype" w:hAnsi="Palatino Linotype" w:cs="Arial"/>
          <w:b/>
          <w:i/>
          <w:sz w:val="22"/>
          <w:szCs w:val="22"/>
        </w:rPr>
      </w:pPr>
      <w:r w:rsidRPr="00616402">
        <w:rPr>
          <w:rFonts w:ascii="Palatino Linotype" w:hAnsi="Palatino Linotype" w:cs="Arial"/>
          <w:b/>
          <w:i/>
          <w:sz w:val="22"/>
          <w:szCs w:val="22"/>
        </w:rPr>
        <w:t>Constitución Política del Estado Libre y Soberano de México</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w:t>
      </w:r>
      <w:r w:rsidRPr="00616402">
        <w:rPr>
          <w:rFonts w:ascii="Palatino Linotype" w:hAnsi="Palatino Linotype" w:cs="Arial"/>
          <w:b/>
          <w:i/>
          <w:sz w:val="22"/>
          <w:szCs w:val="22"/>
        </w:rPr>
        <w:t xml:space="preserve">Artículo 5. </w:t>
      </w:r>
      <w:r w:rsidRPr="00616402">
        <w:rPr>
          <w:rFonts w:ascii="Palatino Linotype" w:hAnsi="Palatino Linotype" w:cs="Arial"/>
          <w:i/>
          <w:sz w:val="22"/>
          <w:szCs w:val="22"/>
        </w:rPr>
        <w:t xml:space="preserve">… </w:t>
      </w:r>
    </w:p>
    <w:p w:rsidR="0028762A" w:rsidRPr="00616402" w:rsidRDefault="0028762A" w:rsidP="0028762A">
      <w:pPr>
        <w:ind w:left="851" w:right="902"/>
        <w:jc w:val="both"/>
        <w:rPr>
          <w:rFonts w:ascii="Palatino Linotype" w:hAnsi="Palatino Linotype"/>
          <w:i/>
          <w:sz w:val="22"/>
          <w:szCs w:val="22"/>
        </w:rPr>
      </w:pPr>
      <w:r w:rsidRPr="00616402">
        <w:rPr>
          <w:rFonts w:ascii="Palatino Linotype" w:hAnsi="Palatino Linotype"/>
          <w:i/>
          <w:sz w:val="22"/>
          <w:szCs w:val="22"/>
        </w:rPr>
        <w:t>…</w:t>
      </w:r>
    </w:p>
    <w:p w:rsidR="0028762A" w:rsidRPr="00616402" w:rsidRDefault="0028762A" w:rsidP="0028762A">
      <w:pPr>
        <w:ind w:left="851" w:right="902"/>
        <w:jc w:val="both"/>
        <w:rPr>
          <w:rFonts w:ascii="Palatino Linotype" w:hAnsi="Palatino Linotype"/>
          <w:i/>
          <w:sz w:val="22"/>
          <w:szCs w:val="22"/>
        </w:rPr>
      </w:pPr>
      <w:r w:rsidRPr="00616402">
        <w:rPr>
          <w:rFonts w:ascii="Palatino Linotype" w:hAnsi="Palatino Linotype"/>
          <w:b/>
          <w:i/>
          <w:sz w:val="22"/>
          <w:szCs w:val="22"/>
        </w:rPr>
        <w:t>El derecho a la información será garantizado por el Estado</w:t>
      </w:r>
      <w:r w:rsidRPr="00616402">
        <w:rPr>
          <w:rFonts w:ascii="Palatino Linotype" w:hAnsi="Palatino Linotype"/>
          <w:i/>
          <w:sz w:val="22"/>
          <w:szCs w:val="22"/>
        </w:rPr>
        <w:t>. La ley establecerá las previsiones que permitan asegurar la protección, el respeto y la difusión de este derecho.</w:t>
      </w:r>
    </w:p>
    <w:p w:rsidR="0028762A" w:rsidRPr="00616402" w:rsidRDefault="0028762A" w:rsidP="0028762A">
      <w:pPr>
        <w:ind w:left="851" w:right="902"/>
        <w:jc w:val="both"/>
        <w:rPr>
          <w:rFonts w:ascii="Palatino Linotype" w:hAnsi="Palatino Linotype"/>
          <w:i/>
          <w:sz w:val="22"/>
          <w:szCs w:val="22"/>
        </w:rPr>
      </w:pPr>
      <w:r w:rsidRPr="00616402">
        <w:rPr>
          <w:rFonts w:ascii="Palatino Linotype" w:hAnsi="Palatino Linotype"/>
          <w:i/>
          <w:sz w:val="22"/>
          <w:szCs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8762A" w:rsidRPr="00616402" w:rsidRDefault="0028762A" w:rsidP="0028762A">
      <w:pPr>
        <w:ind w:left="851" w:right="902"/>
        <w:jc w:val="both"/>
        <w:rPr>
          <w:rFonts w:ascii="Palatino Linotype" w:hAnsi="Palatino Linotype"/>
          <w:i/>
          <w:sz w:val="22"/>
          <w:szCs w:val="22"/>
        </w:rPr>
      </w:pPr>
      <w:r w:rsidRPr="00616402">
        <w:rPr>
          <w:rFonts w:ascii="Palatino Linotype" w:hAnsi="Palatino Linotype"/>
          <w:i/>
          <w:sz w:val="22"/>
          <w:szCs w:val="22"/>
        </w:rPr>
        <w:t>Este derecho se regirá por los principios y bases siguientes:</w:t>
      </w:r>
    </w:p>
    <w:p w:rsidR="0028762A" w:rsidRPr="00616402" w:rsidRDefault="0028762A" w:rsidP="0028762A">
      <w:pPr>
        <w:ind w:left="851" w:right="902"/>
        <w:jc w:val="both"/>
        <w:rPr>
          <w:rFonts w:ascii="Palatino Linotype" w:hAnsi="Palatino Linotype"/>
          <w:i/>
          <w:sz w:val="22"/>
          <w:szCs w:val="22"/>
        </w:rPr>
      </w:pPr>
      <w:r w:rsidRPr="00616402">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616402">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616402">
        <w:rPr>
          <w:rFonts w:ascii="Palatino Linotype" w:hAnsi="Palatino Linotype" w:cs="Arial"/>
          <w:i/>
          <w:sz w:val="22"/>
          <w:szCs w:val="22"/>
        </w:rPr>
        <w:t>determinará</w:t>
      </w:r>
      <w:r w:rsidRPr="00616402">
        <w:rPr>
          <w:rFonts w:ascii="Palatino Linotype" w:hAnsi="Palatino Linotype"/>
          <w:i/>
          <w:sz w:val="22"/>
          <w:szCs w:val="22"/>
        </w:rPr>
        <w:t xml:space="preserve"> los supuestos específicos bajo los cuales procederá la declaración de inexistencia de la información.</w:t>
      </w:r>
    </w:p>
    <w:p w:rsidR="0028762A" w:rsidRPr="00616402" w:rsidRDefault="0028762A" w:rsidP="0028762A">
      <w:pPr>
        <w:ind w:left="851" w:right="902"/>
        <w:jc w:val="both"/>
        <w:rPr>
          <w:rFonts w:ascii="Palatino Linotype" w:hAnsi="Palatino Linotype"/>
          <w:i/>
          <w:sz w:val="22"/>
          <w:szCs w:val="22"/>
        </w:rPr>
      </w:pPr>
      <w:r w:rsidRPr="00616402">
        <w:rPr>
          <w:rFonts w:ascii="Palatino Linotype" w:hAnsi="Palatino Linotype"/>
          <w:i/>
          <w:sz w:val="22"/>
          <w:szCs w:val="22"/>
        </w:rPr>
        <w:t>…</w:t>
      </w:r>
    </w:p>
    <w:p w:rsidR="0028762A" w:rsidRPr="00616402" w:rsidRDefault="0028762A" w:rsidP="0028762A">
      <w:pPr>
        <w:ind w:left="851" w:right="902"/>
        <w:jc w:val="both"/>
        <w:rPr>
          <w:rFonts w:ascii="Palatino Linotype" w:hAnsi="Palatino Linotype"/>
          <w:i/>
          <w:sz w:val="22"/>
          <w:szCs w:val="22"/>
        </w:rPr>
      </w:pPr>
      <w:r w:rsidRPr="00616402">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616402">
        <w:rPr>
          <w:rFonts w:ascii="Palatino Linotype" w:hAnsi="Palatino Linotype"/>
          <w:i/>
          <w:sz w:val="22"/>
          <w:szCs w:val="22"/>
        </w:rPr>
        <w:t>”</w:t>
      </w:r>
    </w:p>
    <w:p w:rsidR="0028762A" w:rsidRPr="00616402" w:rsidRDefault="0028762A" w:rsidP="0028762A">
      <w:pPr>
        <w:ind w:left="851" w:right="902"/>
        <w:jc w:val="both"/>
        <w:rPr>
          <w:rFonts w:ascii="Palatino Linotype" w:hAnsi="Palatino Linotype"/>
          <w:sz w:val="22"/>
          <w:szCs w:val="22"/>
        </w:rPr>
      </w:pPr>
      <w:r w:rsidRPr="00616402">
        <w:rPr>
          <w:rFonts w:ascii="Palatino Linotype" w:hAnsi="Palatino Linotype"/>
          <w:sz w:val="22"/>
          <w:szCs w:val="22"/>
        </w:rPr>
        <w:t>(Énfasis añadido)</w:t>
      </w:r>
    </w:p>
    <w:p w:rsidR="0028762A" w:rsidRPr="00616402" w:rsidRDefault="0028762A" w:rsidP="0028762A">
      <w:pPr>
        <w:spacing w:before="200" w:after="200" w:line="360" w:lineRule="auto"/>
        <w:jc w:val="both"/>
        <w:rPr>
          <w:rFonts w:ascii="Palatino Linotype" w:hAnsi="Palatino Linotype"/>
        </w:rPr>
      </w:pPr>
      <w:r w:rsidRPr="00616402">
        <w:rPr>
          <w:rFonts w:ascii="Palatino Linotype" w:hAnsi="Palatino Linotype"/>
        </w:rPr>
        <w:t xml:space="preserve">Por otra parte, del </w:t>
      </w:r>
      <w:r w:rsidRPr="00616402">
        <w:rPr>
          <w:rFonts w:ascii="Palatino Linotype" w:hAnsi="Palatino Linotype" w:cs="Arial"/>
        </w:rPr>
        <w:t>contenido</w:t>
      </w:r>
      <w:r w:rsidRPr="00616402">
        <w:rPr>
          <w:rFonts w:ascii="Palatino Linotype" w:hAnsi="Palatino Linotype"/>
        </w:rPr>
        <w:t xml:space="preserve"> del artículo 1 de la Constitución Política de los Estados Unidos Mexicanos, se destaca lo siguiente:</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w:t>
      </w:r>
      <w:r w:rsidRPr="00616402">
        <w:rPr>
          <w:rFonts w:ascii="Palatino Linotype" w:hAnsi="Palatino Linotype" w:cs="Arial"/>
          <w:b/>
          <w:i/>
          <w:sz w:val="22"/>
          <w:szCs w:val="22"/>
        </w:rPr>
        <w:t>Artículo 1o</w:t>
      </w:r>
      <w:r w:rsidRPr="00616402">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28762A" w:rsidRPr="00616402" w:rsidRDefault="0028762A" w:rsidP="0028762A">
      <w:pPr>
        <w:ind w:left="851" w:right="902"/>
        <w:jc w:val="both"/>
        <w:rPr>
          <w:rFonts w:ascii="Palatino Linotype" w:hAnsi="Palatino Linotype" w:cs="Arial"/>
          <w:b/>
          <w:i/>
          <w:sz w:val="22"/>
          <w:szCs w:val="22"/>
        </w:rPr>
      </w:pPr>
      <w:r w:rsidRPr="00616402">
        <w:rPr>
          <w:rFonts w:ascii="Palatino Linotype" w:hAnsi="Palatino Linotype" w:cs="Arial"/>
          <w:b/>
          <w:i/>
          <w:sz w:val="22"/>
          <w:szCs w:val="22"/>
        </w:rPr>
        <w:t>Las normas relativas a los derechos humanos se interpretarán</w:t>
      </w:r>
      <w:r w:rsidRPr="00616402">
        <w:rPr>
          <w:rFonts w:ascii="Palatino Linotype" w:hAnsi="Palatino Linotype" w:cs="Arial"/>
          <w:i/>
          <w:sz w:val="22"/>
          <w:szCs w:val="22"/>
        </w:rPr>
        <w:t xml:space="preserve"> de conformidad con esta Constitución y con los tratados internacionales de la </w:t>
      </w:r>
      <w:r w:rsidRPr="00616402">
        <w:rPr>
          <w:rFonts w:ascii="Palatino Linotype" w:hAnsi="Palatino Linotype" w:cs="Arial"/>
          <w:b/>
          <w:i/>
          <w:sz w:val="22"/>
          <w:szCs w:val="22"/>
        </w:rPr>
        <w:t>materia favoreciendo en todo tiempo a las personas la protección más amplia.</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 xml:space="preserve">Todas las autoridades, en el ámbito de sus competencias, tienen la obligación de promover, respetar, proteger y garantizar los derechos humanos de conformidad con los principios de universalidad, </w:t>
      </w:r>
      <w:r w:rsidRPr="00616402">
        <w:rPr>
          <w:rFonts w:ascii="Palatino Linotype" w:hAnsi="Palatino Linotype" w:cs="Arial"/>
          <w:b/>
          <w:i/>
          <w:sz w:val="22"/>
          <w:szCs w:val="22"/>
        </w:rPr>
        <w:lastRenderedPageBreak/>
        <w:t>interdependencia, indivisibilidad y progresividad</w:t>
      </w:r>
      <w:r w:rsidRPr="00616402">
        <w:rPr>
          <w:rFonts w:ascii="Palatino Linotype" w:hAnsi="Palatino Linotype" w:cs="Arial"/>
          <w:i/>
          <w:sz w:val="22"/>
          <w:szCs w:val="22"/>
        </w:rPr>
        <w:t>. En consecuencia, el Estado deberá prevenir, investigar, sancionar y reparar las violaciones a los derechos humanos, en los términos que establezca la ley.”</w:t>
      </w:r>
    </w:p>
    <w:p w:rsidR="0028762A" w:rsidRPr="00616402" w:rsidRDefault="0028762A" w:rsidP="0028762A">
      <w:pPr>
        <w:ind w:left="851" w:right="902"/>
        <w:jc w:val="both"/>
        <w:rPr>
          <w:rFonts w:ascii="Palatino Linotype" w:hAnsi="Palatino Linotype"/>
          <w:sz w:val="22"/>
          <w:szCs w:val="22"/>
        </w:rPr>
      </w:pPr>
      <w:r w:rsidRPr="00616402">
        <w:rPr>
          <w:rFonts w:ascii="Palatino Linotype" w:hAnsi="Palatino Linotype"/>
          <w:sz w:val="22"/>
          <w:szCs w:val="22"/>
        </w:rPr>
        <w:t>(Énfasis añadido)</w:t>
      </w:r>
    </w:p>
    <w:p w:rsidR="0028762A" w:rsidRPr="00616402" w:rsidRDefault="0028762A" w:rsidP="0028762A">
      <w:pPr>
        <w:spacing w:before="200" w:after="200" w:line="360" w:lineRule="auto"/>
        <w:jc w:val="both"/>
        <w:rPr>
          <w:rFonts w:ascii="Palatino Linotype" w:hAnsi="Palatino Linotype"/>
        </w:rPr>
      </w:pPr>
      <w:r w:rsidRPr="00616402">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616402">
        <w:rPr>
          <w:rFonts w:ascii="Palatino Linotype" w:hAnsi="Palatino Linotype" w:cs="Arial"/>
        </w:rPr>
        <w:t>alguno</w:t>
      </w:r>
      <w:r w:rsidRPr="00616402">
        <w:rPr>
          <w:rFonts w:ascii="Palatino Linotype" w:hAnsi="Palatino Linotype"/>
        </w:rPr>
        <w:t xml:space="preserve"> o justificar su utilización, deberá tener acceso a la información pública, es decir, dicho </w:t>
      </w:r>
      <w:r w:rsidRPr="00616402">
        <w:rPr>
          <w:rFonts w:ascii="Palatino Linotype" w:hAnsi="Palatino Linotype" w:cs="Arial"/>
        </w:rPr>
        <w:t>derecho</w:t>
      </w:r>
      <w:r w:rsidRPr="00616402">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8762A" w:rsidRPr="00616402" w:rsidRDefault="0028762A" w:rsidP="0028762A">
      <w:pPr>
        <w:spacing w:before="200" w:after="200" w:line="360" w:lineRule="auto"/>
        <w:jc w:val="both"/>
        <w:rPr>
          <w:rFonts w:ascii="Palatino Linotype" w:hAnsi="Palatino Linotype"/>
        </w:rPr>
      </w:pPr>
      <w:r w:rsidRPr="00616402">
        <w:rPr>
          <w:rFonts w:ascii="Palatino Linotype" w:hAnsi="Palatino Linotype"/>
        </w:rPr>
        <w:t xml:space="preserve">Robustece lo anterior, el Criterio 6/2014 del entonces </w:t>
      </w:r>
      <w:r w:rsidRPr="00616402">
        <w:rPr>
          <w:rFonts w:ascii="Palatino Linotype" w:hAnsi="Palatino Linotype"/>
          <w:szCs w:val="20"/>
        </w:rPr>
        <w:t xml:space="preserve">Instituto Federal de Acceso a la Información y </w:t>
      </w:r>
      <w:r w:rsidRPr="00616402">
        <w:rPr>
          <w:rFonts w:ascii="Palatino Linotype" w:hAnsi="Palatino Linotype" w:cs="Arial"/>
        </w:rPr>
        <w:t>Protección</w:t>
      </w:r>
      <w:r w:rsidRPr="00616402">
        <w:rPr>
          <w:rFonts w:ascii="Palatino Linotype" w:hAnsi="Palatino Linotype"/>
          <w:szCs w:val="20"/>
        </w:rPr>
        <w:t xml:space="preserve"> de Datos (IFAI) hoy Instituto Nacional de Transparencia, Acceso a la Información y Protección de Datos Personales (INAI)</w:t>
      </w:r>
      <w:r w:rsidRPr="00616402">
        <w:rPr>
          <w:rFonts w:ascii="Palatino Linotype" w:hAnsi="Palatino Linotype"/>
        </w:rPr>
        <w:t>, el cual se reproduce para una mayor referencia:</w:t>
      </w:r>
    </w:p>
    <w:p w:rsidR="0028762A" w:rsidRPr="00616402" w:rsidRDefault="0028762A" w:rsidP="002D69B2">
      <w:pPr>
        <w:ind w:left="851" w:right="902"/>
        <w:jc w:val="both"/>
        <w:rPr>
          <w:rFonts w:ascii="Palatino Linotype" w:hAnsi="Palatino Linotype" w:cs="Arial"/>
          <w:i/>
          <w:sz w:val="22"/>
          <w:szCs w:val="22"/>
        </w:rPr>
      </w:pPr>
      <w:r w:rsidRPr="00616402">
        <w:rPr>
          <w:rFonts w:ascii="Palatino Linotype" w:hAnsi="Palatino Linotype" w:cs="Arial"/>
          <w:sz w:val="22"/>
          <w:szCs w:val="22"/>
        </w:rPr>
        <w:t>“</w:t>
      </w:r>
      <w:r w:rsidRPr="00616402">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616402">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8762A" w:rsidRPr="00616402" w:rsidRDefault="0028762A" w:rsidP="002D69B2">
      <w:pPr>
        <w:ind w:left="851" w:right="902"/>
        <w:jc w:val="both"/>
        <w:rPr>
          <w:rFonts w:ascii="Palatino Linotype" w:hAnsi="Palatino Linotype" w:cs="Arial"/>
          <w:i/>
          <w:sz w:val="22"/>
          <w:szCs w:val="22"/>
        </w:rPr>
      </w:pPr>
      <w:r w:rsidRPr="00616402">
        <w:rPr>
          <w:rFonts w:ascii="Palatino Linotype" w:hAnsi="Palatino Linotype" w:cs="Arial"/>
          <w:i/>
          <w:sz w:val="22"/>
          <w:szCs w:val="22"/>
        </w:rPr>
        <w:t>Resoluciones</w:t>
      </w:r>
    </w:p>
    <w:p w:rsidR="0028762A" w:rsidRPr="00616402" w:rsidRDefault="0028762A" w:rsidP="002D69B2">
      <w:pPr>
        <w:ind w:left="851" w:right="902"/>
        <w:jc w:val="both"/>
        <w:rPr>
          <w:rFonts w:ascii="Palatino Linotype" w:hAnsi="Palatino Linotype" w:cs="Arial"/>
          <w:i/>
          <w:sz w:val="22"/>
          <w:szCs w:val="22"/>
        </w:rPr>
      </w:pPr>
      <w:r w:rsidRPr="00616402">
        <w:rPr>
          <w:rFonts w:ascii="Palatino Linotype" w:hAnsi="Palatino Linotype" w:cs="Arial"/>
          <w:b/>
          <w:i/>
          <w:sz w:val="22"/>
          <w:szCs w:val="22"/>
        </w:rPr>
        <w:lastRenderedPageBreak/>
        <w:t>• RDA 5275/13</w:t>
      </w:r>
      <w:r w:rsidRPr="00616402">
        <w:rPr>
          <w:rFonts w:ascii="Palatino Linotype" w:hAnsi="Palatino Linotype" w:cs="Arial"/>
          <w:i/>
          <w:sz w:val="22"/>
          <w:szCs w:val="22"/>
        </w:rPr>
        <w:t>. Interpuesto en contra de la Secretaría de la Defensa Nacional. Comisionado Ponente Ángel Trinidad Zaldívar.</w:t>
      </w:r>
    </w:p>
    <w:p w:rsidR="0028762A" w:rsidRPr="00616402" w:rsidRDefault="0028762A" w:rsidP="002D69B2">
      <w:pPr>
        <w:ind w:left="851" w:right="902"/>
        <w:jc w:val="both"/>
        <w:rPr>
          <w:rFonts w:ascii="Palatino Linotype" w:hAnsi="Palatino Linotype" w:cs="Arial"/>
          <w:i/>
          <w:sz w:val="22"/>
          <w:szCs w:val="22"/>
        </w:rPr>
      </w:pPr>
      <w:r w:rsidRPr="00616402">
        <w:rPr>
          <w:rFonts w:ascii="Palatino Linotype" w:hAnsi="Palatino Linotype" w:cs="Arial"/>
          <w:i/>
          <w:sz w:val="22"/>
          <w:szCs w:val="22"/>
        </w:rPr>
        <w:t xml:space="preserve">• </w:t>
      </w:r>
      <w:r w:rsidRPr="00616402">
        <w:rPr>
          <w:rFonts w:ascii="Palatino Linotype" w:hAnsi="Palatino Linotype" w:cs="Arial"/>
          <w:b/>
          <w:i/>
          <w:sz w:val="22"/>
          <w:szCs w:val="22"/>
        </w:rPr>
        <w:t>RDA 2937/13</w:t>
      </w:r>
      <w:r w:rsidRPr="00616402">
        <w:rPr>
          <w:rFonts w:ascii="Palatino Linotype" w:hAnsi="Palatino Linotype" w:cs="Arial"/>
          <w:i/>
          <w:sz w:val="22"/>
          <w:szCs w:val="22"/>
        </w:rPr>
        <w:t>. Interpuesto en contra de LICONSA, S.A. de C.V. Comisionado. Ponente Gerardo Laveaga Rendón.</w:t>
      </w:r>
    </w:p>
    <w:p w:rsidR="0028762A" w:rsidRPr="00616402" w:rsidRDefault="0028762A" w:rsidP="002D69B2">
      <w:pPr>
        <w:ind w:left="851" w:right="902"/>
        <w:jc w:val="both"/>
        <w:rPr>
          <w:rFonts w:ascii="Palatino Linotype" w:hAnsi="Palatino Linotype" w:cs="Arial"/>
          <w:i/>
          <w:sz w:val="22"/>
          <w:szCs w:val="22"/>
        </w:rPr>
      </w:pPr>
      <w:r w:rsidRPr="00616402">
        <w:rPr>
          <w:rFonts w:ascii="Palatino Linotype" w:hAnsi="Palatino Linotype" w:cs="Arial"/>
          <w:i/>
          <w:sz w:val="22"/>
          <w:szCs w:val="22"/>
        </w:rPr>
        <w:t xml:space="preserve">• </w:t>
      </w:r>
      <w:r w:rsidRPr="00616402">
        <w:rPr>
          <w:rFonts w:ascii="Palatino Linotype" w:hAnsi="Palatino Linotype" w:cs="Arial"/>
          <w:b/>
          <w:i/>
          <w:sz w:val="22"/>
          <w:szCs w:val="22"/>
        </w:rPr>
        <w:t>RDA 3609/12</w:t>
      </w:r>
      <w:r w:rsidRPr="00616402">
        <w:rPr>
          <w:rFonts w:ascii="Palatino Linotype" w:hAnsi="Palatino Linotype" w:cs="Arial"/>
          <w:i/>
          <w:sz w:val="22"/>
          <w:szCs w:val="22"/>
        </w:rPr>
        <w:t>. Interpuesto en contra de la Secretaría de Educación Pública. Comisionada Ponente Sigrid Arzt Colunga.</w:t>
      </w:r>
    </w:p>
    <w:p w:rsidR="0028762A" w:rsidRPr="00616402" w:rsidRDefault="0028762A" w:rsidP="002D69B2">
      <w:pPr>
        <w:ind w:left="851" w:right="902"/>
        <w:jc w:val="both"/>
        <w:rPr>
          <w:rFonts w:ascii="Palatino Linotype" w:hAnsi="Palatino Linotype" w:cs="Arial"/>
          <w:i/>
          <w:sz w:val="22"/>
          <w:szCs w:val="22"/>
        </w:rPr>
      </w:pPr>
      <w:r w:rsidRPr="00616402">
        <w:rPr>
          <w:rFonts w:ascii="Palatino Linotype" w:hAnsi="Palatino Linotype" w:cs="Arial"/>
          <w:i/>
          <w:sz w:val="22"/>
          <w:szCs w:val="22"/>
        </w:rPr>
        <w:t xml:space="preserve">• </w:t>
      </w:r>
      <w:r w:rsidRPr="00616402">
        <w:rPr>
          <w:rFonts w:ascii="Palatino Linotype" w:hAnsi="Palatino Linotype" w:cs="Arial"/>
          <w:b/>
          <w:i/>
          <w:sz w:val="22"/>
          <w:szCs w:val="22"/>
        </w:rPr>
        <w:t>RDA 3361/12</w:t>
      </w:r>
      <w:r w:rsidRPr="00616402">
        <w:rPr>
          <w:rFonts w:ascii="Palatino Linotype" w:hAnsi="Palatino Linotype" w:cs="Arial"/>
          <w:i/>
          <w:sz w:val="22"/>
          <w:szCs w:val="22"/>
        </w:rPr>
        <w:t>. Interpuesto en contra del Servicio de Administración Tributaria. Comisionada Ponente María Elena Pérez-Jaén Zermeño.</w:t>
      </w:r>
    </w:p>
    <w:p w:rsidR="0028762A" w:rsidRPr="00616402" w:rsidRDefault="0028762A" w:rsidP="002D69B2">
      <w:pPr>
        <w:ind w:left="851" w:right="902"/>
        <w:jc w:val="both"/>
        <w:rPr>
          <w:rFonts w:ascii="Palatino Linotype" w:hAnsi="Palatino Linotype" w:cs="Arial"/>
          <w:i/>
          <w:sz w:val="22"/>
          <w:szCs w:val="22"/>
        </w:rPr>
      </w:pPr>
      <w:r w:rsidRPr="00616402">
        <w:rPr>
          <w:rFonts w:ascii="Palatino Linotype" w:hAnsi="Palatino Linotype" w:cs="Arial"/>
          <w:i/>
          <w:sz w:val="22"/>
          <w:szCs w:val="22"/>
        </w:rPr>
        <w:t xml:space="preserve">• </w:t>
      </w:r>
      <w:r w:rsidRPr="00616402">
        <w:rPr>
          <w:rFonts w:ascii="Palatino Linotype" w:hAnsi="Palatino Linotype" w:cs="Arial"/>
          <w:b/>
          <w:i/>
          <w:sz w:val="22"/>
          <w:szCs w:val="22"/>
        </w:rPr>
        <w:t>RDA 0563/12</w:t>
      </w:r>
      <w:r w:rsidRPr="00616402">
        <w:rPr>
          <w:rFonts w:ascii="Palatino Linotype" w:hAnsi="Palatino Linotype" w:cs="Arial"/>
          <w:i/>
          <w:sz w:val="22"/>
          <w:szCs w:val="22"/>
        </w:rPr>
        <w:t>. Interpuesto en contra de la Secretaría de la Función Pública. Comisionada Ponente Jacqueline Peschard Mariscal.” (SIC)</w:t>
      </w:r>
    </w:p>
    <w:p w:rsidR="0028762A" w:rsidRPr="00616402" w:rsidRDefault="0028762A" w:rsidP="0028762A">
      <w:pPr>
        <w:spacing w:before="100" w:beforeAutospacing="1" w:after="100" w:afterAutospacing="1" w:line="360" w:lineRule="auto"/>
        <w:jc w:val="both"/>
        <w:rPr>
          <w:rFonts w:ascii="Palatino Linotype" w:hAnsi="Palatino Linotype"/>
        </w:rPr>
      </w:pPr>
      <w:r w:rsidRPr="00616402">
        <w:rPr>
          <w:rFonts w:ascii="Palatino Linotype" w:hAnsi="Palatino Linotype"/>
        </w:rPr>
        <w:t xml:space="preserve">En ese orden de ideas, se estima que el requerimiento relativo al nombre como presupuesto de procedibilidad, </w:t>
      </w:r>
      <w:r w:rsidRPr="00616402">
        <w:rPr>
          <w:rFonts w:ascii="Palatino Linotype" w:hAnsi="Palatino Linotype" w:cs="Arial"/>
        </w:rPr>
        <w:t>podría</w:t>
      </w:r>
      <w:r w:rsidRPr="00616402">
        <w:rPr>
          <w:rFonts w:ascii="Palatino Linotype" w:hAnsi="Palatino Linotype"/>
        </w:rPr>
        <w:t xml:space="preserve"> limitar el ejercicio del derecho de acceso a la información pública, debido a que, el hecho de solicitar la identificación del hoy </w:t>
      </w:r>
      <w:r w:rsidRPr="00616402">
        <w:rPr>
          <w:rFonts w:ascii="Palatino Linotype" w:hAnsi="Palatino Linotype" w:cs="Arial"/>
          <w:b/>
        </w:rPr>
        <w:t>RECURRENTE</w:t>
      </w:r>
      <w:r w:rsidRPr="00616402">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616402">
        <w:rPr>
          <w:rFonts w:ascii="Palatino Linotype" w:hAnsi="Palatino Linotype"/>
          <w:szCs w:val="20"/>
        </w:rPr>
        <w:t>derecho</w:t>
      </w:r>
      <w:r w:rsidRPr="00616402">
        <w:rPr>
          <w:rFonts w:ascii="Palatino Linotype" w:hAnsi="Palatino Linotype"/>
        </w:rPr>
        <w:t xml:space="preserve"> fundamental.</w:t>
      </w:r>
    </w:p>
    <w:p w:rsidR="0028762A" w:rsidRPr="00616402" w:rsidRDefault="0028762A" w:rsidP="0028762A">
      <w:pPr>
        <w:spacing w:before="200" w:after="200" w:line="360" w:lineRule="auto"/>
        <w:jc w:val="both"/>
        <w:rPr>
          <w:rFonts w:ascii="Palatino Linotype" w:hAnsi="Palatino Linotype"/>
        </w:rPr>
      </w:pPr>
      <w:r w:rsidRPr="00616402">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616402">
        <w:rPr>
          <w:rFonts w:ascii="Palatino Linotype" w:hAnsi="Palatino Linotype" w:cs="Arial"/>
        </w:rPr>
        <w:t>Constitución</w:t>
      </w:r>
      <w:r w:rsidRPr="00616402">
        <w:rPr>
          <w:rFonts w:ascii="Palatino Linotype" w:hAnsi="Palatino Linotype"/>
        </w:rPr>
        <w:t xml:space="preserve"> Federal, como la Constitución Política del Estado </w:t>
      </w:r>
      <w:r w:rsidRPr="00616402">
        <w:rPr>
          <w:rFonts w:ascii="Palatino Linotype" w:hAnsi="Palatino Linotype"/>
          <w:szCs w:val="20"/>
        </w:rPr>
        <w:t>Libre</w:t>
      </w:r>
      <w:r w:rsidRPr="00616402">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28762A" w:rsidRPr="00616402" w:rsidRDefault="0028762A" w:rsidP="0028762A">
      <w:pPr>
        <w:spacing w:before="200" w:after="200" w:line="360" w:lineRule="auto"/>
        <w:jc w:val="both"/>
        <w:rPr>
          <w:rFonts w:ascii="Palatino Linotype" w:hAnsi="Palatino Linotype"/>
        </w:rPr>
      </w:pPr>
      <w:r w:rsidRPr="00616402">
        <w:rPr>
          <w:rFonts w:ascii="Palatino Linotype" w:hAnsi="Palatino Linotype"/>
        </w:rPr>
        <w:t xml:space="preserve">Asimismo, se estima que el requisito relativo al nombre del solicitante no constituye un presupuesto indispensable de procedibilidad de los recursos de revisión, en </w:t>
      </w:r>
      <w:r w:rsidRPr="00616402">
        <w:rPr>
          <w:rFonts w:ascii="Palatino Linotype" w:hAnsi="Palatino Linotype"/>
        </w:rPr>
        <w:lastRenderedPageBreak/>
        <w:t xml:space="preserve">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616402">
        <w:rPr>
          <w:rFonts w:ascii="Palatino Linotype" w:hAnsi="Palatino Linotype"/>
          <w:szCs w:val="20"/>
        </w:rPr>
        <w:t>debido</w:t>
      </w:r>
      <w:r w:rsidRPr="00616402">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16402">
        <w:rPr>
          <w:rFonts w:ascii="Palatino Linotype" w:hAnsi="Palatino Linotype" w:cs="Arial"/>
          <w:b/>
        </w:rPr>
        <w:t>EL RECURRENTE</w:t>
      </w:r>
      <w:r w:rsidRPr="00616402">
        <w:rPr>
          <w:rFonts w:ascii="Palatino Linotype" w:hAnsi="Palatino Linotype"/>
        </w:rPr>
        <w:t>, es la misma persona que realizó la solicitud de acceso a la información pública que ahora se impugna.</w:t>
      </w:r>
    </w:p>
    <w:p w:rsidR="0028762A" w:rsidRPr="00616402" w:rsidRDefault="0028762A" w:rsidP="0028762A">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616402">
        <w:rPr>
          <w:rFonts w:ascii="Palatino Linotype" w:hAnsi="Palatino Linotype"/>
        </w:rPr>
        <w:t xml:space="preserve">En adición a lo anterior, el propio artículo 180 en su último párrafo establece que cuando el recurso se interponga de </w:t>
      </w:r>
      <w:r w:rsidRPr="00616402">
        <w:rPr>
          <w:rFonts w:ascii="Palatino Linotype" w:hAnsi="Palatino Linotype"/>
          <w:szCs w:val="20"/>
        </w:rPr>
        <w:t>manera</w:t>
      </w:r>
      <w:r w:rsidRPr="00616402">
        <w:rPr>
          <w:rFonts w:ascii="Palatino Linotype" w:hAnsi="Palatino Linotype"/>
        </w:rPr>
        <w:t xml:space="preserve"> electrónica no será indispensable que contenga determinados requisitos, entre ellos, el nombre del hoy</w:t>
      </w:r>
      <w:r w:rsidRPr="00616402">
        <w:rPr>
          <w:rFonts w:ascii="Palatino Linotype" w:hAnsi="Palatino Linotype" w:cs="Arial"/>
          <w:b/>
        </w:rPr>
        <w:t xml:space="preserve"> RECURRENTE</w:t>
      </w:r>
      <w:r w:rsidRPr="00616402">
        <w:rPr>
          <w:rFonts w:ascii="Palatino Linotype" w:hAnsi="Palatino Linotype"/>
        </w:rPr>
        <w:t xml:space="preserve">, por lo que en el presente caso, al haber sido presentado el recurso de revisión vía </w:t>
      </w:r>
      <w:r w:rsidRPr="00616402">
        <w:rPr>
          <w:rFonts w:ascii="Palatino Linotype" w:hAnsi="Palatino Linotype"/>
          <w:b/>
        </w:rPr>
        <w:t>SAIMEX</w:t>
      </w:r>
      <w:r w:rsidRPr="00616402">
        <w:rPr>
          <w:rFonts w:ascii="Palatino Linotype" w:hAnsi="Palatino Linotype"/>
        </w:rPr>
        <w:t>, dicho requisito resulta innecesario.</w:t>
      </w:r>
    </w:p>
    <w:p w:rsidR="002D69B2" w:rsidRPr="00616402" w:rsidRDefault="0028762A" w:rsidP="0028762A">
      <w:pPr>
        <w:autoSpaceDE w:val="0"/>
        <w:autoSpaceDN w:val="0"/>
        <w:adjustRightInd w:val="0"/>
        <w:spacing w:line="360" w:lineRule="auto"/>
        <w:ind w:right="49"/>
        <w:jc w:val="both"/>
        <w:rPr>
          <w:rFonts w:ascii="Palatino Linotype" w:hAnsi="Palatino Linotype"/>
        </w:rPr>
      </w:pPr>
      <w:r w:rsidRPr="00616402">
        <w:rPr>
          <w:rFonts w:ascii="Palatino Linotype" w:hAnsi="Palatino Linotype" w:cs="Arial"/>
          <w:b/>
          <w:sz w:val="28"/>
          <w:szCs w:val="28"/>
        </w:rPr>
        <w:t>SEXTO.</w:t>
      </w:r>
      <w:r w:rsidRPr="00616402">
        <w:rPr>
          <w:rFonts w:ascii="Palatino Linotype" w:hAnsi="Palatino Linotype" w:cs="Arial"/>
          <w:b/>
        </w:rPr>
        <w:t xml:space="preserve"> Estudio y resolución del asunto.</w:t>
      </w:r>
      <w:r w:rsidRPr="00616402">
        <w:rPr>
          <w:rFonts w:ascii="Palatino Linotype" w:hAnsi="Palatino Linotype" w:cs="Arial"/>
        </w:rPr>
        <w:t xml:space="preserve"> </w:t>
      </w:r>
      <w:r w:rsidRPr="00616402">
        <w:rPr>
          <w:rFonts w:ascii="Palatino Linotype" w:hAnsi="Palatino Linotype"/>
        </w:rPr>
        <w:t xml:space="preserve">Una vez determinada la vía sobre la que versarán los presentes recursos y previa revisión de los expedientes electrónicos formados en </w:t>
      </w:r>
      <w:r w:rsidRPr="00616402">
        <w:rPr>
          <w:rFonts w:ascii="Palatino Linotype" w:hAnsi="Palatino Linotype"/>
          <w:b/>
        </w:rPr>
        <w:t>EL SAIMEX</w:t>
      </w:r>
      <w:r w:rsidRPr="00616402">
        <w:rPr>
          <w:rFonts w:ascii="Palatino Linotype" w:hAnsi="Palatino Linotype"/>
        </w:rPr>
        <w:t xml:space="preserve"> motivo de las solicitudes de información, se precisa que </w:t>
      </w:r>
      <w:r w:rsidRPr="00616402">
        <w:rPr>
          <w:rFonts w:ascii="Palatino Linotype" w:hAnsi="Palatino Linotype"/>
          <w:b/>
        </w:rPr>
        <w:t>EL RECURRENTE</w:t>
      </w:r>
      <w:r w:rsidRPr="00616402">
        <w:rPr>
          <w:rFonts w:ascii="Palatino Linotype" w:hAnsi="Palatino Linotype"/>
        </w:rPr>
        <w:t xml:space="preserve"> solicitó al </w:t>
      </w:r>
      <w:r w:rsidRPr="00616402">
        <w:rPr>
          <w:rFonts w:ascii="Palatino Linotype" w:hAnsi="Palatino Linotype" w:cs="Arial"/>
          <w:b/>
        </w:rPr>
        <w:t>SUJETO OBLIGADO</w:t>
      </w:r>
      <w:r w:rsidRPr="00616402">
        <w:rPr>
          <w:rFonts w:ascii="Palatino Linotype" w:hAnsi="Palatino Linotype"/>
        </w:rPr>
        <w:t xml:space="preserve"> las</w:t>
      </w:r>
      <w:r w:rsidR="002D69B2" w:rsidRPr="00616402">
        <w:rPr>
          <w:rFonts w:ascii="Palatino Linotype" w:hAnsi="Palatino Linotype"/>
        </w:rPr>
        <w:t xml:space="preserve"> compras realizadas en los meses de junio a octubre de 2019.</w:t>
      </w:r>
    </w:p>
    <w:p w:rsidR="0028762A" w:rsidRPr="00616402" w:rsidRDefault="0028762A" w:rsidP="0028762A">
      <w:pPr>
        <w:widowControl w:val="0"/>
        <w:tabs>
          <w:tab w:val="left" w:pos="1418"/>
        </w:tabs>
        <w:autoSpaceDE w:val="0"/>
        <w:autoSpaceDN w:val="0"/>
        <w:adjustRightInd w:val="0"/>
        <w:spacing w:before="200" w:after="200" w:line="360" w:lineRule="auto"/>
        <w:jc w:val="both"/>
        <w:rPr>
          <w:rFonts w:ascii="Palatino Linotype" w:hAnsi="Palatino Linotype" w:cs="Arial"/>
        </w:rPr>
      </w:pPr>
      <w:r w:rsidRPr="00616402">
        <w:rPr>
          <w:rFonts w:ascii="Palatino Linotype" w:hAnsi="Palatino Linotype" w:cs="Arial"/>
        </w:rPr>
        <w:t xml:space="preserve">Bajo ese tenor, como ya se ha hecho referencia </w:t>
      </w:r>
      <w:r w:rsidRPr="00616402">
        <w:rPr>
          <w:rFonts w:ascii="Palatino Linotype" w:hAnsi="Palatino Linotype" w:cs="Arial"/>
          <w:b/>
        </w:rPr>
        <w:t>EL</w:t>
      </w:r>
      <w:r w:rsidRPr="00616402">
        <w:rPr>
          <w:rFonts w:ascii="Palatino Linotype" w:hAnsi="Palatino Linotype" w:cs="Arial"/>
        </w:rPr>
        <w:t xml:space="preserve"> </w:t>
      </w:r>
      <w:r w:rsidRPr="00616402">
        <w:rPr>
          <w:rFonts w:ascii="Palatino Linotype" w:hAnsi="Palatino Linotype" w:cs="Arial"/>
          <w:b/>
        </w:rPr>
        <w:t xml:space="preserve">SUJETO OBLIGADO </w:t>
      </w:r>
      <w:r w:rsidRPr="00616402">
        <w:rPr>
          <w:rFonts w:ascii="Palatino Linotype" w:hAnsi="Palatino Linotype" w:cs="Arial"/>
        </w:rPr>
        <w:t>fue omiso en dar trámite y respuesta a las solicitudes de información.</w:t>
      </w:r>
    </w:p>
    <w:p w:rsidR="0028762A" w:rsidRPr="00616402" w:rsidRDefault="0028762A" w:rsidP="0028762A">
      <w:pPr>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lastRenderedPageBreak/>
        <w:t xml:space="preserve">Inconforme con la falta de atención y respuesta de las solicitudes de información </w:t>
      </w:r>
      <w:r w:rsidRPr="00616402">
        <w:rPr>
          <w:rFonts w:ascii="Palatino Linotype" w:hAnsi="Palatino Linotype" w:cs="Arial"/>
          <w:b/>
        </w:rPr>
        <w:t>EL RECURRENTE</w:t>
      </w:r>
      <w:r w:rsidRPr="00616402">
        <w:rPr>
          <w:rFonts w:ascii="Palatino Linotype" w:hAnsi="Palatino Linotype" w:cs="Arial"/>
        </w:rPr>
        <w:t xml:space="preserve"> interpuso los recursos de revisión que nos ocupan, en los que refirió lo establecido en el Resultando III de la presente resolución. </w:t>
      </w:r>
    </w:p>
    <w:p w:rsidR="0028762A" w:rsidRPr="00616402" w:rsidRDefault="0028762A" w:rsidP="0028762A">
      <w:pPr>
        <w:spacing w:before="100" w:beforeAutospacing="1" w:after="100" w:afterAutospacing="1" w:line="360" w:lineRule="auto"/>
        <w:jc w:val="both"/>
        <w:rPr>
          <w:rFonts w:ascii="Palatino Linotype" w:hAnsi="Palatino Linotype" w:cs="Arial"/>
          <w:lang w:eastAsia="es-MX"/>
        </w:rPr>
      </w:pPr>
      <w:r w:rsidRPr="00616402">
        <w:rPr>
          <w:rFonts w:ascii="Palatino Linotype" w:hAnsi="Palatino Linotype" w:cs="Arial"/>
          <w:lang w:eastAsia="es-MX"/>
        </w:rPr>
        <w:t xml:space="preserve">Así, es necesario precisar que </w:t>
      </w:r>
      <w:r w:rsidRPr="00616402">
        <w:rPr>
          <w:rFonts w:ascii="Palatino Linotype" w:hAnsi="Palatino Linotype" w:cs="Arial"/>
          <w:b/>
          <w:lang w:eastAsia="es-MX"/>
        </w:rPr>
        <w:t xml:space="preserve">EL SUJETO OBLIGADO </w:t>
      </w:r>
      <w:r w:rsidRPr="00616402">
        <w:rPr>
          <w:rFonts w:ascii="Palatino Linotype" w:hAnsi="Palatino Linotype" w:cs="Arial"/>
          <w:lang w:eastAsia="es-MX"/>
        </w:rPr>
        <w:t xml:space="preserve">fue omiso en rendir el Informe Justificado correspondientes a los recursos de revisión materia de estudio; de igual forma </w:t>
      </w:r>
      <w:r w:rsidRPr="00616402">
        <w:rPr>
          <w:rFonts w:ascii="Palatino Linotype" w:hAnsi="Palatino Linotype" w:cs="Arial"/>
          <w:b/>
          <w:lang w:eastAsia="es-MX"/>
        </w:rPr>
        <w:t xml:space="preserve">EL RECURRENTE </w:t>
      </w:r>
      <w:r w:rsidRPr="00616402">
        <w:rPr>
          <w:rFonts w:ascii="Palatino Linotype" w:hAnsi="Palatino Linotype" w:cs="Arial"/>
          <w:lang w:eastAsia="es-MX"/>
        </w:rPr>
        <w:t>fue omiso en realizar las manifestaciones que a su derecho correspondiera.</w:t>
      </w:r>
    </w:p>
    <w:p w:rsidR="0028762A" w:rsidRPr="00616402" w:rsidRDefault="0028762A" w:rsidP="0028762A">
      <w:pPr>
        <w:spacing w:before="100" w:beforeAutospacing="1" w:after="100" w:afterAutospacing="1" w:line="360" w:lineRule="auto"/>
        <w:jc w:val="both"/>
        <w:rPr>
          <w:rFonts w:ascii="Palatino Linotype" w:hAnsi="Palatino Linotype"/>
        </w:rPr>
      </w:pPr>
      <w:r w:rsidRPr="00616402">
        <w:rPr>
          <w:rFonts w:ascii="Palatino Linotype" w:eastAsia="Arial Unicode MS" w:hAnsi="Palatino Linotype" w:cs="Arial"/>
          <w:color w:val="000000"/>
        </w:rPr>
        <w:t xml:space="preserve">Hechas las precisiones anteriores, </w:t>
      </w:r>
      <w:r w:rsidRPr="00616402">
        <w:rPr>
          <w:rFonts w:ascii="Palatino Linotype" w:hAnsi="Palatino Linotype"/>
        </w:rPr>
        <w:t>conviene enfatizar lo que respecto al derecho de acceso a la información pública, refiere el artículo 6°, Apartado A de la Constitución Política de los Estados Unidos Mexicanos, que señala:</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w:t>
      </w:r>
      <w:r w:rsidRPr="00616402">
        <w:rPr>
          <w:rFonts w:ascii="Palatino Linotype" w:hAnsi="Palatino Linotype" w:cs="Arial"/>
          <w:b/>
          <w:i/>
          <w:sz w:val="22"/>
          <w:szCs w:val="22"/>
        </w:rPr>
        <w:t>Artículo 6o.</w:t>
      </w:r>
      <w:r w:rsidRPr="00616402">
        <w:rPr>
          <w:rFonts w:ascii="Palatino Linotype" w:hAnsi="Palatino Linotype" w:cs="Arial"/>
          <w:i/>
          <w:sz w:val="22"/>
          <w:szCs w:val="22"/>
        </w:rPr>
        <w:t xml:space="preserve">  . . .</w:t>
      </w:r>
    </w:p>
    <w:p w:rsidR="0028762A" w:rsidRPr="00616402" w:rsidRDefault="0028762A" w:rsidP="0028762A">
      <w:pPr>
        <w:ind w:left="851" w:right="901"/>
        <w:jc w:val="both"/>
        <w:rPr>
          <w:rFonts w:ascii="Palatino Linotype" w:hAnsi="Palatino Linotype" w:cs="Arial"/>
          <w:i/>
          <w:color w:val="000000"/>
          <w:sz w:val="22"/>
          <w:szCs w:val="22"/>
          <w:lang w:eastAsia="es-MX"/>
        </w:rPr>
      </w:pPr>
      <w:r w:rsidRPr="00616402">
        <w:rPr>
          <w:rFonts w:ascii="Palatino Linotype" w:hAnsi="Palatino Linotype" w:cs="Arial"/>
          <w:b/>
          <w:bCs/>
          <w:i/>
          <w:color w:val="000000"/>
          <w:sz w:val="22"/>
          <w:szCs w:val="22"/>
          <w:lang w:eastAsia="es-MX"/>
        </w:rPr>
        <w:t>A.</w:t>
      </w:r>
      <w:r w:rsidRPr="00616402">
        <w:rPr>
          <w:rFonts w:ascii="Palatino Linotype" w:hAnsi="Palatino Linotype" w:cs="Arial"/>
          <w:i/>
          <w:color w:val="000000"/>
          <w:sz w:val="22"/>
          <w:szCs w:val="22"/>
          <w:lang w:eastAsia="es-MX"/>
        </w:rPr>
        <w:t xml:space="preserve"> Para el ejercicio del </w:t>
      </w:r>
      <w:r w:rsidRPr="00616402">
        <w:rPr>
          <w:rFonts w:ascii="Palatino Linotype" w:hAnsi="Palatino Linotype" w:cs="Arial"/>
          <w:bCs/>
          <w:i/>
          <w:color w:val="000000"/>
          <w:sz w:val="22"/>
          <w:szCs w:val="22"/>
        </w:rPr>
        <w:t>derecho</w:t>
      </w:r>
      <w:r w:rsidRPr="00616402">
        <w:rPr>
          <w:rFonts w:ascii="Palatino Linotype" w:hAnsi="Palatino Linotype" w:cs="Arial"/>
          <w:i/>
          <w:color w:val="000000"/>
          <w:sz w:val="22"/>
          <w:szCs w:val="22"/>
          <w:lang w:eastAsia="es-MX"/>
        </w:rPr>
        <w:t xml:space="preserve"> de acceso a la información, la Federación y las entidades federativas, en el ámbito de sus respectivas competencias, se regirán por los siguientes principios y bases:</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b/>
          <w:bCs/>
          <w:i/>
          <w:color w:val="000000"/>
          <w:sz w:val="22"/>
          <w:szCs w:val="22"/>
          <w:lang w:eastAsia="es-MX"/>
        </w:rPr>
        <w:t xml:space="preserve">I. </w:t>
      </w:r>
      <w:r w:rsidRPr="00616402">
        <w:rPr>
          <w:rFonts w:ascii="Palatino Linotype" w:hAnsi="Palatino Linotype" w:cs="Arial"/>
          <w:i/>
          <w:color w:val="000000"/>
          <w:sz w:val="22"/>
          <w:szCs w:val="22"/>
          <w:lang w:eastAsia="es-MX"/>
        </w:rPr>
        <w:t xml:space="preserve">Toda la información en posesión de cualquier autoridad, entidad, órgano y organismo de los Poderes Ejecutivo, </w:t>
      </w:r>
      <w:r w:rsidRPr="00616402">
        <w:rPr>
          <w:rFonts w:ascii="Palatino Linotype" w:hAnsi="Palatino Linotype" w:cs="Arial"/>
          <w:i/>
          <w:sz w:val="22"/>
          <w:szCs w:val="22"/>
        </w:rPr>
        <w:t>Legislativo</w:t>
      </w:r>
      <w:r w:rsidRPr="00616402">
        <w:rPr>
          <w:rFonts w:ascii="Palatino Linotype" w:hAnsi="Palatino Linotype" w:cs="Arial"/>
          <w:i/>
          <w:color w:val="000000"/>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16402">
        <w:rPr>
          <w:rFonts w:ascii="Palatino Linotype" w:hAnsi="Palatino Linotype" w:cs="Arial"/>
          <w:i/>
          <w:sz w:val="22"/>
          <w:szCs w:val="22"/>
        </w:rPr>
        <w:t xml:space="preserve"> </w:t>
      </w:r>
      <w:r w:rsidRPr="00616402">
        <w:rPr>
          <w:rFonts w:ascii="Palatino Linotype" w:hAnsi="Palatino Linotype" w:cs="Arial"/>
          <w:i/>
          <w:color w:val="000000"/>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28762A" w:rsidRPr="00616402" w:rsidRDefault="0028762A" w:rsidP="0028762A">
      <w:pPr>
        <w:ind w:left="851" w:right="901"/>
        <w:jc w:val="both"/>
        <w:rPr>
          <w:rFonts w:ascii="Palatino Linotype" w:hAnsi="Palatino Linotype" w:cs="Arial"/>
          <w:i/>
          <w:color w:val="000000"/>
          <w:sz w:val="22"/>
          <w:szCs w:val="22"/>
          <w:lang w:eastAsia="es-MX"/>
        </w:rPr>
      </w:pPr>
      <w:r w:rsidRPr="00616402">
        <w:rPr>
          <w:rFonts w:ascii="Palatino Linotype" w:hAnsi="Palatino Linotype" w:cs="Arial"/>
          <w:b/>
          <w:bCs/>
          <w:i/>
          <w:color w:val="000000"/>
          <w:sz w:val="22"/>
          <w:szCs w:val="22"/>
          <w:lang w:eastAsia="es-MX"/>
        </w:rPr>
        <w:t xml:space="preserve">II. </w:t>
      </w:r>
      <w:r w:rsidRPr="00616402">
        <w:rPr>
          <w:rFonts w:ascii="Palatino Linotype" w:hAnsi="Palatino Linotype" w:cs="Arial"/>
          <w:i/>
          <w:color w:val="000000"/>
          <w:sz w:val="22"/>
          <w:szCs w:val="22"/>
          <w:lang w:eastAsia="es-MX"/>
        </w:rPr>
        <w:t xml:space="preserve">La información que se refiere a la vida privada y los datos personales será protegida en los términos y con las excepciones que fijen las leyes. </w:t>
      </w:r>
    </w:p>
    <w:p w:rsidR="0028762A" w:rsidRPr="00616402" w:rsidRDefault="0028762A" w:rsidP="0028762A">
      <w:pPr>
        <w:ind w:left="851" w:right="901"/>
        <w:jc w:val="both"/>
        <w:rPr>
          <w:rFonts w:ascii="Palatino Linotype" w:hAnsi="Palatino Linotype" w:cs="Arial"/>
          <w:i/>
          <w:color w:val="000000"/>
          <w:sz w:val="22"/>
          <w:szCs w:val="22"/>
          <w:lang w:eastAsia="es-MX"/>
        </w:rPr>
      </w:pPr>
      <w:r w:rsidRPr="00616402">
        <w:rPr>
          <w:rFonts w:ascii="Palatino Linotype" w:hAnsi="Palatino Linotype" w:cs="Arial"/>
          <w:b/>
          <w:bCs/>
          <w:i/>
          <w:color w:val="000000"/>
          <w:sz w:val="22"/>
          <w:szCs w:val="22"/>
          <w:lang w:eastAsia="es-MX"/>
        </w:rPr>
        <w:t xml:space="preserve">III. </w:t>
      </w:r>
      <w:r w:rsidRPr="00616402">
        <w:rPr>
          <w:rFonts w:ascii="Palatino Linotype" w:hAnsi="Palatino Linotype" w:cs="Arial"/>
          <w:i/>
          <w:color w:val="000000"/>
          <w:sz w:val="22"/>
          <w:szCs w:val="22"/>
          <w:lang w:eastAsia="es-MX"/>
        </w:rPr>
        <w:t xml:space="preserve">Toda persona, sin necesidad de </w:t>
      </w:r>
      <w:r w:rsidRPr="00616402">
        <w:rPr>
          <w:rFonts w:ascii="Palatino Linotype" w:hAnsi="Palatino Linotype" w:cs="Arial"/>
          <w:i/>
          <w:sz w:val="22"/>
          <w:szCs w:val="22"/>
        </w:rPr>
        <w:t>acreditar</w:t>
      </w:r>
      <w:r w:rsidRPr="00616402">
        <w:rPr>
          <w:rFonts w:ascii="Palatino Linotype" w:hAnsi="Palatino Linotype" w:cs="Arial"/>
          <w:i/>
          <w:color w:val="000000"/>
          <w:sz w:val="22"/>
          <w:szCs w:val="22"/>
          <w:lang w:eastAsia="es-MX"/>
        </w:rPr>
        <w:t xml:space="preserve"> interés alguno o justificar su utilización, tendrá acceso gratuito a la información pública, a sus datos personales o a la rectificación de éstos. </w:t>
      </w:r>
    </w:p>
    <w:p w:rsidR="0028762A" w:rsidRPr="00616402" w:rsidRDefault="0028762A" w:rsidP="0028762A">
      <w:pPr>
        <w:ind w:left="851" w:right="901"/>
        <w:jc w:val="both"/>
        <w:rPr>
          <w:rFonts w:ascii="Palatino Linotype" w:hAnsi="Palatino Linotype" w:cs="Arial"/>
          <w:i/>
          <w:color w:val="000000"/>
          <w:sz w:val="22"/>
          <w:szCs w:val="22"/>
          <w:lang w:eastAsia="es-MX"/>
        </w:rPr>
      </w:pPr>
      <w:r w:rsidRPr="00616402">
        <w:rPr>
          <w:rFonts w:ascii="Palatino Linotype" w:hAnsi="Palatino Linotype" w:cs="Arial"/>
          <w:b/>
          <w:bCs/>
          <w:i/>
          <w:color w:val="000000"/>
          <w:sz w:val="22"/>
          <w:szCs w:val="22"/>
          <w:lang w:eastAsia="es-MX"/>
        </w:rPr>
        <w:lastRenderedPageBreak/>
        <w:t xml:space="preserve">IV. </w:t>
      </w:r>
      <w:r w:rsidRPr="00616402">
        <w:rPr>
          <w:rFonts w:ascii="Palatino Linotype" w:hAnsi="Palatino Linotype" w:cs="Arial"/>
          <w:i/>
          <w:color w:val="000000"/>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rsidR="0028762A" w:rsidRPr="00616402" w:rsidRDefault="0028762A" w:rsidP="0028762A">
      <w:pPr>
        <w:ind w:left="851" w:right="901"/>
        <w:jc w:val="both"/>
        <w:rPr>
          <w:rFonts w:ascii="Palatino Linotype" w:hAnsi="Palatino Linotype" w:cs="Arial"/>
          <w:i/>
          <w:color w:val="000000"/>
          <w:sz w:val="22"/>
          <w:szCs w:val="22"/>
          <w:lang w:eastAsia="es-MX"/>
        </w:rPr>
      </w:pPr>
      <w:r w:rsidRPr="00616402">
        <w:rPr>
          <w:rFonts w:ascii="Palatino Linotype" w:hAnsi="Palatino Linotype" w:cs="Arial"/>
          <w:b/>
          <w:bCs/>
          <w:i/>
          <w:color w:val="000000"/>
          <w:sz w:val="22"/>
          <w:szCs w:val="22"/>
          <w:lang w:eastAsia="es-MX"/>
        </w:rPr>
        <w:t xml:space="preserve">V. </w:t>
      </w:r>
      <w:r w:rsidRPr="00616402">
        <w:rPr>
          <w:rFonts w:ascii="Palatino Linotype" w:hAnsi="Palatino Linotype" w:cs="Arial"/>
          <w:i/>
          <w:color w:val="000000"/>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28762A" w:rsidRPr="00616402" w:rsidRDefault="0028762A" w:rsidP="0028762A">
      <w:pPr>
        <w:ind w:left="851" w:right="901"/>
        <w:jc w:val="both"/>
        <w:rPr>
          <w:rFonts w:ascii="Palatino Linotype" w:hAnsi="Palatino Linotype" w:cs="Arial"/>
          <w:i/>
          <w:color w:val="000000"/>
          <w:sz w:val="22"/>
          <w:szCs w:val="22"/>
          <w:lang w:eastAsia="es-MX"/>
        </w:rPr>
      </w:pPr>
      <w:r w:rsidRPr="00616402">
        <w:rPr>
          <w:rFonts w:ascii="Palatino Linotype" w:hAnsi="Palatino Linotype" w:cs="Arial"/>
          <w:b/>
          <w:bCs/>
          <w:i/>
          <w:color w:val="000000"/>
          <w:sz w:val="22"/>
          <w:szCs w:val="22"/>
          <w:lang w:eastAsia="es-MX"/>
        </w:rPr>
        <w:t xml:space="preserve">VI. </w:t>
      </w:r>
      <w:r w:rsidRPr="00616402">
        <w:rPr>
          <w:rFonts w:ascii="Palatino Linotype" w:hAnsi="Palatino Linotype" w:cs="Arial"/>
          <w:i/>
          <w:color w:val="000000"/>
          <w:sz w:val="22"/>
          <w:szCs w:val="22"/>
          <w:lang w:eastAsia="es-MX"/>
        </w:rPr>
        <w:t xml:space="preserve">Las leyes determinarán la manera en que los sujetos obligados deberán hacer pública la información relativa a los recursos públicos que entreguen a personas físicas o morales. </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b/>
          <w:bCs/>
          <w:i/>
          <w:color w:val="000000"/>
          <w:sz w:val="22"/>
          <w:szCs w:val="22"/>
          <w:lang w:eastAsia="es-MX"/>
        </w:rPr>
        <w:t xml:space="preserve">VII. </w:t>
      </w:r>
      <w:r w:rsidRPr="00616402">
        <w:rPr>
          <w:rFonts w:ascii="Palatino Linotype" w:hAnsi="Palatino Linotype" w:cs="Arial"/>
          <w:i/>
          <w:color w:val="000000"/>
          <w:sz w:val="22"/>
          <w:szCs w:val="22"/>
          <w:lang w:eastAsia="es-MX"/>
        </w:rPr>
        <w:t>La inobservancia a las disposiciones en materia de acceso a la información pública será sancionada en los términos que dispongan las leyes.</w:t>
      </w:r>
      <w:r w:rsidRPr="00616402">
        <w:rPr>
          <w:rFonts w:ascii="Palatino Linotype" w:hAnsi="Palatino Linotype" w:cs="Arial"/>
          <w:i/>
          <w:sz w:val="22"/>
          <w:szCs w:val="22"/>
        </w:rPr>
        <w:t xml:space="preserve">” </w:t>
      </w:r>
    </w:p>
    <w:p w:rsidR="0028762A" w:rsidRPr="00616402" w:rsidRDefault="0028762A" w:rsidP="0028762A">
      <w:pPr>
        <w:ind w:left="851" w:right="901"/>
        <w:jc w:val="both"/>
        <w:rPr>
          <w:rFonts w:ascii="Palatino Linotype" w:hAnsi="Palatino Linotype"/>
          <w:sz w:val="22"/>
          <w:szCs w:val="22"/>
        </w:rPr>
      </w:pPr>
      <w:r w:rsidRPr="00616402">
        <w:rPr>
          <w:rFonts w:ascii="Palatino Linotype" w:hAnsi="Palatino Linotype"/>
          <w:sz w:val="22"/>
          <w:szCs w:val="22"/>
        </w:rPr>
        <w:t>(Énfasis añadido)</w:t>
      </w:r>
    </w:p>
    <w:p w:rsidR="0028762A" w:rsidRPr="00616402" w:rsidRDefault="0028762A" w:rsidP="0028762A">
      <w:pPr>
        <w:spacing w:line="360" w:lineRule="auto"/>
        <w:jc w:val="both"/>
        <w:rPr>
          <w:rFonts w:ascii="Palatino Linotype" w:hAnsi="Palatino Linotype"/>
        </w:rPr>
      </w:pPr>
      <w:r w:rsidRPr="00616402">
        <w:rPr>
          <w:rFonts w:ascii="Palatino Linotype" w:hAnsi="Palatino Linotype"/>
        </w:rPr>
        <w:t>Por su parte, la Constitución Política del Estado Libre y Soberano de México, en su artículo 5°, en lo que interesa dispone lo siguiente:</w:t>
      </w:r>
    </w:p>
    <w:p w:rsidR="0028762A" w:rsidRPr="00616402" w:rsidRDefault="0028762A" w:rsidP="0028762A">
      <w:pPr>
        <w:ind w:left="851" w:right="901"/>
        <w:jc w:val="both"/>
        <w:rPr>
          <w:rFonts w:ascii="Palatino Linotype" w:hAnsi="Palatino Linotype" w:cs="Arial"/>
          <w:b/>
          <w:i/>
          <w:sz w:val="22"/>
          <w:szCs w:val="22"/>
        </w:rPr>
      </w:pPr>
      <w:r w:rsidRPr="00616402">
        <w:rPr>
          <w:rFonts w:ascii="Palatino Linotype" w:hAnsi="Palatino Linotype" w:cs="Arial"/>
          <w:i/>
          <w:sz w:val="22"/>
          <w:szCs w:val="22"/>
        </w:rPr>
        <w:t>“</w:t>
      </w:r>
      <w:r w:rsidRPr="00616402">
        <w:rPr>
          <w:rFonts w:ascii="Palatino Linotype" w:hAnsi="Palatino Linotype" w:cs="Arial"/>
          <w:b/>
          <w:i/>
          <w:sz w:val="22"/>
          <w:szCs w:val="22"/>
        </w:rPr>
        <w:t xml:space="preserve">Artículo 5.  … </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 . .</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Este derecho se regirá por los principios y bases siguientes:</w:t>
      </w:r>
    </w:p>
    <w:p w:rsidR="0028762A" w:rsidRPr="00616402" w:rsidRDefault="0028762A" w:rsidP="0028762A">
      <w:pPr>
        <w:ind w:left="851" w:right="901"/>
        <w:jc w:val="both"/>
        <w:rPr>
          <w:rFonts w:ascii="Palatino Linotype" w:hAnsi="Palatino Linotype"/>
          <w:sz w:val="22"/>
          <w:szCs w:val="22"/>
        </w:rPr>
      </w:pPr>
      <w:r w:rsidRPr="00616402">
        <w:rPr>
          <w:rFonts w:ascii="Palatino Linotype" w:hAnsi="Palatino Linotype" w:cs="Arial"/>
          <w:i/>
          <w:sz w:val="22"/>
          <w:szCs w:val="22"/>
        </w:rPr>
        <w:t xml:space="preserve">I. </w:t>
      </w:r>
      <w:r w:rsidRPr="00616402">
        <w:rPr>
          <w:rFonts w:ascii="Palatino Linotype" w:hAnsi="Palatino Linotype" w:cs="Arial"/>
          <w:b/>
          <w:i/>
          <w:sz w:val="22"/>
          <w:szCs w:val="22"/>
        </w:rPr>
        <w:t>Toda la información en posesión de cualquier autoridad, entidad, órgano y organismos de los Poderes Ejecutivo, Legislativo y Judicial, órganos autónomos, partidos políticos, fideicomisos y fondos públicos estatales y municipales</w:t>
      </w:r>
      <w:r w:rsidRPr="00616402">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616402">
        <w:rPr>
          <w:rFonts w:ascii="Palatino Linotype" w:hAnsi="Palatino Linotype" w:cs="Arial"/>
          <w:i/>
          <w:sz w:val="22"/>
          <w:szCs w:val="22"/>
        </w:rPr>
        <w:lastRenderedPageBreak/>
        <w:t>competencias o funciones, la ley determinará los supuestos específicos bajo los cuales procederá la declaración de inexistencia de la información.”</w:t>
      </w:r>
      <w:r w:rsidRPr="00616402">
        <w:rPr>
          <w:rFonts w:ascii="Palatino Linotype" w:hAnsi="Palatino Linotype"/>
          <w:sz w:val="22"/>
          <w:szCs w:val="22"/>
        </w:rPr>
        <w:t xml:space="preserve"> </w:t>
      </w:r>
    </w:p>
    <w:p w:rsidR="0028762A" w:rsidRPr="00616402" w:rsidRDefault="0028762A" w:rsidP="0028762A">
      <w:pPr>
        <w:ind w:left="851" w:right="901"/>
        <w:jc w:val="both"/>
        <w:rPr>
          <w:rFonts w:ascii="Palatino Linotype" w:hAnsi="Palatino Linotype"/>
          <w:sz w:val="22"/>
          <w:szCs w:val="22"/>
        </w:rPr>
      </w:pPr>
      <w:r w:rsidRPr="00616402">
        <w:rPr>
          <w:rFonts w:ascii="Palatino Linotype" w:hAnsi="Palatino Linotype"/>
          <w:sz w:val="22"/>
          <w:szCs w:val="22"/>
        </w:rPr>
        <w:t>(Énfasis añadido)</w:t>
      </w:r>
    </w:p>
    <w:p w:rsidR="0028762A" w:rsidRPr="00616402" w:rsidRDefault="0028762A" w:rsidP="0028762A">
      <w:pPr>
        <w:spacing w:before="100" w:beforeAutospacing="1" w:after="100" w:afterAutospacing="1" w:line="360" w:lineRule="auto"/>
        <w:jc w:val="both"/>
        <w:rPr>
          <w:rFonts w:ascii="Palatino Linotype" w:hAnsi="Palatino Linotype"/>
        </w:rPr>
      </w:pPr>
      <w:r w:rsidRPr="00616402">
        <w:rPr>
          <w:rFonts w:ascii="Palatino Linotype" w:hAnsi="Palatino Linotype"/>
        </w:rPr>
        <w:t>Asimismo, se tiene que la Ley de Transparencia y Acceso a la Información Pública del Estado de México y Municipios, prevé en su artículo 23, lo siguiente:</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w:t>
      </w:r>
      <w:r w:rsidRPr="00616402">
        <w:rPr>
          <w:rFonts w:ascii="Palatino Linotype" w:hAnsi="Palatino Linotype" w:cs="Arial"/>
          <w:b/>
          <w:i/>
          <w:sz w:val="22"/>
          <w:szCs w:val="22"/>
        </w:rPr>
        <w:t>Artículo 23.</w:t>
      </w:r>
      <w:r w:rsidRPr="00616402">
        <w:rPr>
          <w:rFonts w:ascii="Palatino Linotype" w:hAnsi="Palatino Linotype" w:cs="Arial"/>
          <w:i/>
          <w:sz w:val="22"/>
          <w:szCs w:val="22"/>
        </w:rPr>
        <w:t xml:space="preserve"> Son sujetos obligados a transparentar y permitir el acceso a su información y proteger los datos personales que obren en su poder:</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II. El Poder Legislativo del Estado, los organismos, órganos y entidades de la Legislatura y sus dependencias;</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III. El Poder Judicial, sus organismos, órganos y entidades, así como el Consejo de la Judicatura del Estado;</w:t>
      </w:r>
    </w:p>
    <w:p w:rsidR="0028762A" w:rsidRPr="00616402" w:rsidRDefault="0028762A" w:rsidP="0028762A">
      <w:pPr>
        <w:ind w:left="851" w:right="901"/>
        <w:jc w:val="both"/>
        <w:rPr>
          <w:rFonts w:ascii="Palatino Linotype" w:hAnsi="Palatino Linotype" w:cs="Arial"/>
          <w:b/>
          <w:i/>
          <w:sz w:val="22"/>
          <w:szCs w:val="22"/>
        </w:rPr>
      </w:pPr>
      <w:r w:rsidRPr="00616402">
        <w:rPr>
          <w:rFonts w:ascii="Palatino Linotype" w:hAnsi="Palatino Linotype" w:cs="Arial"/>
          <w:b/>
          <w:i/>
          <w:sz w:val="22"/>
          <w:szCs w:val="22"/>
        </w:rPr>
        <w:t>IV. Los ayuntamientos y las dependencias, organismos, órganos y entidades de la administración municipal;</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V. Los órganos autónomos;</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VI. Los tribunales administrativos y autoridades jurisdiccionales en materia laboral;</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VII. Los partidos políticos y agrupaciones políticas, en los términos de las disposiciones aplicables;</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VIII. Los fideicomisos y fondos públicos que cuenten con financiamiento público, parcial o total, o con participación de entidades de gobierno;</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IX. Los sindicatos que reciban y/o ejerzan recursos públicos en el ámbito estatal y municipal;</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X. Cualquier persona física o jurídico colectiva que reciba y ejerza recursos públicos en el ámbito estatal o municipal; y</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XI. Cualquier otra autoridad, entidad, órgano u organismo de los poderes estatal o municipal, que reciba recursos públicos.</w:t>
      </w:r>
    </w:p>
    <w:p w:rsidR="0028762A" w:rsidRPr="00616402" w:rsidRDefault="0028762A" w:rsidP="0028762A">
      <w:pPr>
        <w:ind w:left="851" w:right="901"/>
        <w:jc w:val="both"/>
        <w:rPr>
          <w:rFonts w:ascii="Palatino Linotype" w:hAnsi="Palatino Linotype" w:cs="Arial"/>
          <w:b/>
          <w:i/>
          <w:sz w:val="22"/>
          <w:szCs w:val="22"/>
        </w:rPr>
      </w:pPr>
      <w:r w:rsidRPr="00616402">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8762A" w:rsidRPr="00616402" w:rsidRDefault="0028762A" w:rsidP="0028762A">
      <w:pPr>
        <w:ind w:left="851" w:right="901"/>
        <w:jc w:val="both"/>
        <w:rPr>
          <w:rFonts w:ascii="Palatino Linotype" w:hAnsi="Palatino Linotype" w:cs="Arial"/>
          <w:b/>
          <w:i/>
          <w:sz w:val="22"/>
          <w:szCs w:val="22"/>
        </w:rPr>
      </w:pPr>
      <w:r w:rsidRPr="00616402">
        <w:rPr>
          <w:rFonts w:ascii="Palatino Linotype" w:hAnsi="Palatino Linotype" w:cs="Arial"/>
          <w:b/>
          <w:i/>
          <w:sz w:val="22"/>
          <w:szCs w:val="22"/>
        </w:rPr>
        <w:t>Los servidores públicos deberán transparentar sus acciones así como garantizar y respetar el derecho de acceso a la información pública.</w:t>
      </w:r>
    </w:p>
    <w:p w:rsidR="0028762A" w:rsidRPr="00616402" w:rsidRDefault="0028762A" w:rsidP="0028762A">
      <w:pPr>
        <w:ind w:left="851" w:right="901"/>
        <w:jc w:val="both"/>
        <w:rPr>
          <w:rFonts w:ascii="Palatino Linotype" w:hAnsi="Palatino Linotype" w:cs="Arial"/>
          <w:i/>
          <w:sz w:val="22"/>
          <w:szCs w:val="22"/>
        </w:rPr>
      </w:pP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i/>
          <w:sz w:val="22"/>
          <w:szCs w:val="22"/>
        </w:rPr>
        <w:t>(Énfasis añadido)</w:t>
      </w:r>
    </w:p>
    <w:p w:rsidR="0028762A" w:rsidRPr="00616402" w:rsidRDefault="0028762A" w:rsidP="0028762A">
      <w:pPr>
        <w:autoSpaceDE w:val="0"/>
        <w:autoSpaceDN w:val="0"/>
        <w:adjustRightInd w:val="0"/>
        <w:spacing w:before="100" w:beforeAutospacing="1" w:after="100" w:afterAutospacing="1" w:line="360" w:lineRule="auto"/>
        <w:ind w:right="51"/>
        <w:jc w:val="both"/>
        <w:rPr>
          <w:rFonts w:ascii="Palatino Linotype" w:hAnsi="Palatino Linotype" w:cs="Arial"/>
          <w:lang w:val="es-ES"/>
        </w:rPr>
      </w:pPr>
      <w:r w:rsidRPr="00616402">
        <w:rPr>
          <w:rFonts w:ascii="Palatino Linotype" w:hAnsi="Palatino Linotype" w:cs="Arial"/>
          <w:lang w:val="es-ES"/>
        </w:rPr>
        <w:lastRenderedPageBreak/>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w:t>
      </w:r>
    </w:p>
    <w:p w:rsidR="0028762A" w:rsidRPr="00616402" w:rsidRDefault="0028762A" w:rsidP="0028762A">
      <w:pPr>
        <w:tabs>
          <w:tab w:val="left" w:pos="709"/>
        </w:tabs>
        <w:spacing w:before="100" w:beforeAutospacing="1" w:after="100" w:afterAutospacing="1" w:line="360" w:lineRule="auto"/>
        <w:jc w:val="both"/>
        <w:rPr>
          <w:rFonts w:ascii="Palatino Linotype" w:hAnsi="Palatino Linotype" w:cs="Arial"/>
          <w:color w:val="000000"/>
        </w:rPr>
      </w:pPr>
      <w:r w:rsidRPr="00616402">
        <w:rPr>
          <w:rFonts w:ascii="Palatino Linotype" w:hAnsi="Palatino Linotype" w:cs="Arial"/>
          <w:color w:val="000000"/>
        </w:rPr>
        <w:t>Asimismo, en el numeral 3 de la Ley Orgánica Municipal del Estado de México, se establece que los Municipios de la entidad regularán su funcionamiento de conformidad con lo que establece la misma Ley, los Bandos Municipales, Reglamentos y demás disposiciones legales aplicables.</w:t>
      </w:r>
    </w:p>
    <w:p w:rsidR="0028762A" w:rsidRPr="00616402" w:rsidRDefault="0028762A" w:rsidP="0028762A">
      <w:pPr>
        <w:tabs>
          <w:tab w:val="left" w:pos="709"/>
        </w:tabs>
        <w:spacing w:before="100" w:beforeAutospacing="1" w:after="100" w:afterAutospacing="1" w:line="360" w:lineRule="auto"/>
        <w:jc w:val="both"/>
        <w:rPr>
          <w:rFonts w:ascii="Palatino Linotype" w:hAnsi="Palatino Linotype" w:cs="Arial"/>
        </w:rPr>
      </w:pPr>
      <w:r w:rsidRPr="00616402">
        <w:rPr>
          <w:rFonts w:ascii="Palatino Linotype" w:hAnsi="Palatino Linotype" w:cs="Arial"/>
          <w:color w:val="000000"/>
        </w:rPr>
        <w:t xml:space="preserve">Al respecto, resulta importante traer a colación el contenido de los artículos 4 y 12 de la </w:t>
      </w:r>
      <w:r w:rsidRPr="00616402">
        <w:rPr>
          <w:rFonts w:ascii="Palatino Linotype" w:hAnsi="Palatino Linotype" w:cs="Arial"/>
        </w:rPr>
        <w:t>Ley de Transparencia y Acceso a la Información Pública del Estado de México y Municipios, mismos que son del tenor siguiente:</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w:t>
      </w:r>
      <w:r w:rsidRPr="00616402">
        <w:rPr>
          <w:rFonts w:ascii="Palatino Linotype" w:hAnsi="Palatino Linotype" w:cs="Arial"/>
          <w:b/>
          <w:i/>
          <w:sz w:val="22"/>
          <w:szCs w:val="22"/>
        </w:rPr>
        <w:t>Artículo 4.</w:t>
      </w:r>
      <w:r w:rsidRPr="00616402">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Toda la información generada, obtenida, adquirida, transformada, administrada o en posesión de los sujetos obligados es pública y accesible de manera permanente a cualquier persona</w:t>
      </w:r>
      <w:r w:rsidRPr="00616402">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rsidR="0028762A" w:rsidRPr="00616402" w:rsidRDefault="0028762A" w:rsidP="0028762A">
      <w:pPr>
        <w:ind w:left="851" w:right="902"/>
        <w:jc w:val="both"/>
        <w:rPr>
          <w:rFonts w:ascii="Palatino Linotype" w:hAnsi="Palatino Linotype" w:cs="Arial"/>
          <w:b/>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lastRenderedPageBreak/>
        <w:t>Artículo 12.</w:t>
      </w:r>
      <w:r w:rsidRPr="00616402">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61640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28762A" w:rsidRPr="00616402" w:rsidRDefault="0028762A" w:rsidP="0028762A">
      <w:pPr>
        <w:ind w:left="851" w:right="902"/>
        <w:jc w:val="both"/>
        <w:rPr>
          <w:rFonts w:ascii="Palatino Linotype" w:hAnsi="Palatino Linotype" w:cs="Arial"/>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(Énfasis añadido)</w:t>
      </w:r>
    </w:p>
    <w:p w:rsidR="0028762A" w:rsidRPr="00616402" w:rsidRDefault="0028762A" w:rsidP="0028762A">
      <w:pPr>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 xml:space="preserve">Por consiguiente, los preceptos legales transcritos establecen que </w:t>
      </w:r>
      <w:r w:rsidRPr="00616402">
        <w:rPr>
          <w:rFonts w:ascii="Palatino Linotype" w:hAnsi="Palatino Linotype" w:cs="Arial"/>
          <w:b/>
        </w:rPr>
        <w:t>los Sujetos Obligados se encuentran constreñidos a entregar la información pública solicitada por los particulares</w:t>
      </w:r>
      <w:r w:rsidRPr="00616402">
        <w:rPr>
          <w:rFonts w:ascii="Palatino Linotype" w:hAnsi="Palatino Linotype" w:cs="Arial"/>
        </w:rPr>
        <w:t xml:space="preserve"> y que ésta misma se encuentre en sus archivos o que obre en su posesión, </w:t>
      </w:r>
      <w:r w:rsidRPr="00616402">
        <w:rPr>
          <w:rFonts w:ascii="Palatino Linotype" w:hAnsi="Palatino Linotype" w:cs="Arial"/>
          <w:b/>
        </w:rPr>
        <w:t>privilegiando en todo momento el principio de máxima publicidad,</w:t>
      </w:r>
      <w:r w:rsidRPr="00616402">
        <w:rPr>
          <w:rFonts w:ascii="Palatino Linotype" w:hAnsi="Palatino Linotype" w:cs="Arial"/>
        </w:rPr>
        <w:t xml:space="preserve"> sin generarla, procesarla, resumirla, ni presentarla conforme al interés del solicitante. </w:t>
      </w:r>
    </w:p>
    <w:p w:rsidR="0028762A" w:rsidRPr="00616402" w:rsidRDefault="0028762A" w:rsidP="0028762A">
      <w:pPr>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 xml:space="preserve">Queda de manifiesto entonces que, </w:t>
      </w:r>
      <w:r w:rsidRPr="00616402">
        <w:rPr>
          <w:rFonts w:ascii="Palatino Linotype" w:hAnsi="Palatino Linotype" w:cs="Arial"/>
          <w:b/>
        </w:rPr>
        <w:t>se considera información pública al conjunto de datos que posee cualquier autoridad, obtenidos en virtud del ejercicio de sus funciones de derecho público</w:t>
      </w:r>
      <w:r w:rsidRPr="00616402">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rsidR="0028762A" w:rsidRPr="00616402" w:rsidRDefault="0028762A" w:rsidP="0028762A">
      <w:pPr>
        <w:ind w:left="851" w:right="901"/>
        <w:jc w:val="both"/>
        <w:rPr>
          <w:rFonts w:ascii="Palatino Linotype" w:hAnsi="Palatino Linotype" w:cs="Arial"/>
          <w:i/>
          <w:sz w:val="22"/>
          <w:szCs w:val="22"/>
        </w:rPr>
      </w:pPr>
      <w:r w:rsidRPr="00616402">
        <w:rPr>
          <w:rFonts w:ascii="Palatino Linotype" w:hAnsi="Palatino Linotype" w:cs="Arial"/>
          <w:bCs/>
          <w:i/>
          <w:sz w:val="22"/>
          <w:szCs w:val="22"/>
        </w:rPr>
        <w:t>“</w:t>
      </w:r>
      <w:r w:rsidRPr="00616402">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1640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w:t>
      </w:r>
      <w:r w:rsidRPr="00616402">
        <w:rPr>
          <w:rFonts w:ascii="Palatino Linotype" w:hAnsi="Palatino Linotype" w:cs="Arial"/>
          <w:i/>
          <w:sz w:val="22"/>
          <w:szCs w:val="22"/>
        </w:rPr>
        <w:lastRenderedPageBreak/>
        <w:t>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rsidR="0028762A" w:rsidRPr="00616402" w:rsidRDefault="0028762A" w:rsidP="0028762A">
      <w:pPr>
        <w:spacing w:before="100" w:beforeAutospacing="1" w:after="100" w:afterAutospacing="1" w:line="360" w:lineRule="auto"/>
        <w:jc w:val="both"/>
        <w:rPr>
          <w:rFonts w:ascii="Palatino Linotype" w:hAnsi="Palatino Linotype" w:cs="Arial"/>
          <w:color w:val="000000" w:themeColor="text1"/>
        </w:rPr>
      </w:pPr>
      <w:r w:rsidRPr="00616402">
        <w:rPr>
          <w:rFonts w:ascii="Palatino Linotype" w:hAnsi="Palatino Linotype" w:cs="Arial"/>
          <w:color w:val="000000" w:themeColor="text1"/>
        </w:rPr>
        <w:t xml:space="preserve">Asimismo, el artículo 24 de la Ley de la materia, señala que los Sujetos Obligados sólo proporcionarán la información pública que </w:t>
      </w:r>
      <w:r w:rsidRPr="00616402">
        <w:rPr>
          <w:rFonts w:ascii="Palatino Linotype" w:hAnsi="Palatino Linotype" w:cs="Arial"/>
        </w:rPr>
        <w:t>generen</w:t>
      </w:r>
      <w:r w:rsidRPr="00616402">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rsidR="0028762A" w:rsidRPr="00616402" w:rsidRDefault="0028762A" w:rsidP="0028762A">
      <w:pPr>
        <w:spacing w:before="100" w:beforeAutospacing="1" w:after="100" w:afterAutospacing="1" w:line="360" w:lineRule="auto"/>
        <w:jc w:val="both"/>
        <w:rPr>
          <w:rFonts w:ascii="Palatino Linotype" w:hAnsi="Palatino Linotype" w:cs="Arial"/>
          <w:color w:val="000000" w:themeColor="text1"/>
        </w:rPr>
      </w:pPr>
      <w:r w:rsidRPr="00616402">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616402">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16402">
        <w:rPr>
          <w:rFonts w:ascii="Palatino Linotype" w:hAnsi="Palatino Linotype" w:cs="Arial"/>
          <w:color w:val="000000" w:themeColor="text1"/>
        </w:rPr>
        <w:t xml:space="preserve">; los que </w:t>
      </w:r>
      <w:r w:rsidRPr="00616402">
        <w:rPr>
          <w:rFonts w:ascii="Palatino Linotype" w:hAnsi="Palatino Linotype" w:cs="Arial"/>
        </w:rPr>
        <w:t>podrán estar en cualquier medio, sea escrito, impreso, sonoro, visual, electrónico, informático u holográfico</w:t>
      </w:r>
      <w:r w:rsidRPr="00616402">
        <w:rPr>
          <w:rFonts w:ascii="Palatino Linotype" w:hAnsi="Palatino Linotype" w:cs="Arial"/>
          <w:color w:val="000000" w:themeColor="text1"/>
        </w:rPr>
        <w:t xml:space="preserve">, de conformidad con el artículo 3, fracción XI de la Ley de la materia, el cual dispone lo siguiente: </w:t>
      </w:r>
    </w:p>
    <w:p w:rsidR="0028762A" w:rsidRPr="00616402" w:rsidRDefault="0028762A" w:rsidP="0028762A">
      <w:pPr>
        <w:ind w:left="851" w:right="901"/>
        <w:jc w:val="both"/>
        <w:rPr>
          <w:rFonts w:ascii="Palatino Linotype" w:hAnsi="Palatino Linotype" w:cs="Arial"/>
          <w:i/>
          <w:color w:val="000000"/>
          <w:sz w:val="22"/>
          <w:szCs w:val="22"/>
        </w:rPr>
      </w:pPr>
      <w:r w:rsidRPr="00616402">
        <w:rPr>
          <w:rFonts w:ascii="Palatino Linotype" w:hAnsi="Palatino Linotype" w:cs="Arial"/>
          <w:i/>
          <w:color w:val="000000"/>
          <w:sz w:val="22"/>
          <w:szCs w:val="22"/>
        </w:rPr>
        <w:t>“</w:t>
      </w:r>
      <w:r w:rsidRPr="00616402">
        <w:rPr>
          <w:rFonts w:ascii="Palatino Linotype" w:hAnsi="Palatino Linotype" w:cs="Arial"/>
          <w:b/>
          <w:i/>
          <w:color w:val="000000"/>
          <w:sz w:val="22"/>
          <w:szCs w:val="22"/>
        </w:rPr>
        <w:t xml:space="preserve">Artículo 3. </w:t>
      </w:r>
      <w:r w:rsidRPr="00616402">
        <w:rPr>
          <w:rFonts w:ascii="Palatino Linotype" w:hAnsi="Palatino Linotype" w:cs="Arial"/>
          <w:i/>
          <w:color w:val="000000"/>
          <w:sz w:val="22"/>
          <w:szCs w:val="22"/>
        </w:rPr>
        <w:t>Para los efectos de la presente Ley se entenderá por:</w:t>
      </w:r>
    </w:p>
    <w:p w:rsidR="0028762A" w:rsidRPr="00616402" w:rsidRDefault="0028762A" w:rsidP="0028762A">
      <w:pPr>
        <w:ind w:left="851" w:right="901"/>
        <w:jc w:val="both"/>
        <w:rPr>
          <w:rFonts w:ascii="Palatino Linotype" w:hAnsi="Palatino Linotype" w:cs="Arial"/>
          <w:b/>
          <w:i/>
          <w:color w:val="000000"/>
          <w:sz w:val="22"/>
          <w:szCs w:val="22"/>
        </w:rPr>
      </w:pPr>
      <w:r w:rsidRPr="00616402">
        <w:rPr>
          <w:rFonts w:ascii="Palatino Linotype" w:hAnsi="Palatino Linotype" w:cs="Arial"/>
          <w:b/>
          <w:i/>
          <w:color w:val="000000"/>
          <w:sz w:val="22"/>
          <w:szCs w:val="22"/>
        </w:rPr>
        <w:lastRenderedPageBreak/>
        <w:t>…</w:t>
      </w:r>
    </w:p>
    <w:p w:rsidR="0028762A" w:rsidRPr="00616402" w:rsidRDefault="0028762A" w:rsidP="0028762A">
      <w:pPr>
        <w:ind w:left="851" w:right="901"/>
        <w:jc w:val="both"/>
        <w:rPr>
          <w:rFonts w:ascii="Palatino Linotype" w:hAnsi="Palatino Linotype" w:cs="Arial"/>
          <w:i/>
          <w:color w:val="000000"/>
          <w:sz w:val="22"/>
          <w:szCs w:val="22"/>
        </w:rPr>
      </w:pPr>
      <w:r w:rsidRPr="00616402">
        <w:rPr>
          <w:rFonts w:ascii="Palatino Linotype" w:hAnsi="Palatino Linotype" w:cs="Arial"/>
          <w:b/>
          <w:i/>
          <w:color w:val="000000"/>
          <w:sz w:val="22"/>
          <w:szCs w:val="22"/>
        </w:rPr>
        <w:t>XI. Documento:</w:t>
      </w:r>
      <w:r w:rsidRPr="00616402">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8762A" w:rsidRPr="00616402" w:rsidRDefault="0028762A" w:rsidP="0028762A">
      <w:pPr>
        <w:ind w:left="851" w:right="901"/>
        <w:jc w:val="both"/>
        <w:rPr>
          <w:rFonts w:ascii="Palatino Linotype" w:hAnsi="Palatino Linotype" w:cs="Arial"/>
          <w:i/>
          <w:color w:val="000000"/>
          <w:sz w:val="22"/>
          <w:szCs w:val="22"/>
        </w:rPr>
      </w:pPr>
    </w:p>
    <w:p w:rsidR="0028762A" w:rsidRPr="00616402" w:rsidRDefault="0028762A" w:rsidP="0028762A">
      <w:pPr>
        <w:ind w:left="851" w:right="901"/>
        <w:jc w:val="both"/>
        <w:rPr>
          <w:rFonts w:ascii="Palatino Linotype" w:hAnsi="Palatino Linotype" w:cs="Arial"/>
          <w:i/>
          <w:color w:val="000000"/>
          <w:sz w:val="22"/>
          <w:szCs w:val="22"/>
        </w:rPr>
      </w:pPr>
      <w:r w:rsidRPr="00616402">
        <w:rPr>
          <w:rFonts w:ascii="Palatino Linotype" w:hAnsi="Palatino Linotype" w:cs="Arial"/>
          <w:i/>
          <w:color w:val="000000"/>
          <w:sz w:val="22"/>
          <w:szCs w:val="22"/>
        </w:rPr>
        <w:t>(Énfasis añadido)</w:t>
      </w:r>
    </w:p>
    <w:p w:rsidR="0028762A" w:rsidRPr="00616402" w:rsidRDefault="0028762A" w:rsidP="0028762A">
      <w:pPr>
        <w:autoSpaceDE w:val="0"/>
        <w:autoSpaceDN w:val="0"/>
        <w:adjustRightInd w:val="0"/>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 xml:space="preserve">Siendo aplicable el criterio </w:t>
      </w:r>
      <w:r w:rsidRPr="0061640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16402">
        <w:rPr>
          <w:rFonts w:ascii="Palatino Linotype" w:hAnsi="Palatino Linotype" w:cs="Arial"/>
        </w:rPr>
        <w:t>cuyo rubro y texto dispone:</w:t>
      </w:r>
    </w:p>
    <w:p w:rsidR="0028762A" w:rsidRPr="00616402" w:rsidRDefault="0028762A" w:rsidP="0028762A">
      <w:pPr>
        <w:ind w:left="851" w:right="901"/>
        <w:jc w:val="center"/>
        <w:rPr>
          <w:rFonts w:ascii="Palatino Linotype" w:hAnsi="Palatino Linotype" w:cs="Arial"/>
          <w:b/>
          <w:i/>
          <w:sz w:val="22"/>
          <w:szCs w:val="22"/>
          <w:lang w:eastAsia="es-MX"/>
        </w:rPr>
      </w:pPr>
      <w:r w:rsidRPr="00616402">
        <w:rPr>
          <w:rFonts w:ascii="Palatino Linotype" w:hAnsi="Palatino Linotype" w:cs="Arial"/>
          <w:sz w:val="22"/>
          <w:szCs w:val="22"/>
          <w:lang w:eastAsia="es-MX"/>
        </w:rPr>
        <w:t>“</w:t>
      </w:r>
      <w:r w:rsidRPr="00616402">
        <w:rPr>
          <w:rFonts w:ascii="Palatino Linotype" w:hAnsi="Palatino Linotype" w:cs="Arial"/>
          <w:b/>
          <w:i/>
          <w:sz w:val="22"/>
          <w:szCs w:val="22"/>
          <w:lang w:eastAsia="es-MX"/>
        </w:rPr>
        <w:t>CRITERIO 0002-11</w:t>
      </w:r>
    </w:p>
    <w:p w:rsidR="0028762A" w:rsidRPr="00616402" w:rsidRDefault="0028762A" w:rsidP="0028762A">
      <w:pPr>
        <w:ind w:left="851" w:right="901"/>
        <w:jc w:val="both"/>
        <w:rPr>
          <w:rFonts w:ascii="Palatino Linotype" w:hAnsi="Palatino Linotype" w:cs="Arial"/>
          <w:i/>
          <w:sz w:val="22"/>
          <w:szCs w:val="22"/>
          <w:lang w:eastAsia="es-MX"/>
        </w:rPr>
      </w:pPr>
      <w:r w:rsidRPr="00616402">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16402">
        <w:rPr>
          <w:rFonts w:ascii="Palatino Linotype" w:hAnsi="Palatino Linotype" w:cs="Arial"/>
          <w:b/>
          <w:bCs/>
          <w:i/>
          <w:sz w:val="22"/>
          <w:szCs w:val="22"/>
          <w:u w:val="single"/>
          <w:lang w:eastAsia="es-MX"/>
        </w:rPr>
        <w:t xml:space="preserve">V, XV, Y XVI, </w:t>
      </w:r>
      <w:r w:rsidRPr="00616402">
        <w:rPr>
          <w:rFonts w:ascii="Palatino Linotype" w:hAnsi="Palatino Linotype" w:cs="Arial"/>
          <w:b/>
          <w:i/>
          <w:sz w:val="22"/>
          <w:szCs w:val="22"/>
          <w:u w:val="single"/>
          <w:lang w:eastAsia="es-MX"/>
        </w:rPr>
        <w:t>3°, 4°, 11 Y 41.</w:t>
      </w:r>
      <w:r w:rsidRPr="0061640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8762A" w:rsidRPr="00616402" w:rsidRDefault="0028762A" w:rsidP="0028762A">
      <w:pPr>
        <w:ind w:left="851" w:right="901"/>
        <w:jc w:val="both"/>
        <w:rPr>
          <w:rFonts w:ascii="Palatino Linotype" w:hAnsi="Palatino Linotype" w:cs="Arial"/>
          <w:i/>
          <w:sz w:val="22"/>
          <w:szCs w:val="22"/>
          <w:lang w:eastAsia="es-MX"/>
        </w:rPr>
      </w:pPr>
      <w:r w:rsidRPr="00616402">
        <w:rPr>
          <w:rFonts w:ascii="Palatino Linotype" w:hAnsi="Palatino Linotype" w:cs="Arial"/>
          <w:i/>
          <w:sz w:val="22"/>
          <w:szCs w:val="22"/>
          <w:lang w:eastAsia="es-MX"/>
        </w:rPr>
        <w:t>En consecuencia el acceso a la información se refiere a que se cumplan cualquiera de los siguientes tres supuestos:</w:t>
      </w:r>
    </w:p>
    <w:p w:rsidR="0028762A" w:rsidRPr="00616402" w:rsidRDefault="0028762A" w:rsidP="0028762A">
      <w:pPr>
        <w:ind w:left="851" w:right="901"/>
        <w:jc w:val="both"/>
        <w:rPr>
          <w:rFonts w:ascii="Palatino Linotype" w:hAnsi="Palatino Linotype" w:cs="Arial"/>
          <w:b/>
          <w:i/>
          <w:sz w:val="22"/>
          <w:szCs w:val="22"/>
          <w:u w:val="single"/>
          <w:lang w:eastAsia="es-MX"/>
        </w:rPr>
      </w:pPr>
    </w:p>
    <w:p w:rsidR="0028762A" w:rsidRPr="00616402" w:rsidRDefault="0028762A" w:rsidP="0028762A">
      <w:pPr>
        <w:ind w:left="851" w:right="901"/>
        <w:jc w:val="both"/>
        <w:rPr>
          <w:rFonts w:ascii="Palatino Linotype" w:hAnsi="Palatino Linotype" w:cs="Arial"/>
          <w:b/>
          <w:i/>
          <w:sz w:val="22"/>
          <w:szCs w:val="22"/>
          <w:u w:val="single"/>
          <w:lang w:eastAsia="es-MX"/>
        </w:rPr>
      </w:pPr>
      <w:r w:rsidRPr="0061640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28762A" w:rsidRPr="00616402" w:rsidRDefault="0028762A" w:rsidP="0028762A">
      <w:pPr>
        <w:ind w:left="851" w:right="901"/>
        <w:jc w:val="both"/>
        <w:rPr>
          <w:rFonts w:ascii="Palatino Linotype" w:hAnsi="Palatino Linotype" w:cs="Arial"/>
          <w:i/>
          <w:sz w:val="22"/>
          <w:szCs w:val="22"/>
          <w:lang w:eastAsia="es-MX"/>
        </w:rPr>
      </w:pPr>
      <w:r w:rsidRPr="00616402">
        <w:rPr>
          <w:rFonts w:ascii="Palatino Linotype" w:hAnsi="Palatino Linotype" w:cs="Arial"/>
          <w:i/>
          <w:sz w:val="22"/>
          <w:szCs w:val="22"/>
          <w:lang w:eastAsia="es-MX"/>
        </w:rPr>
        <w:t xml:space="preserve">2) Que se trate de </w:t>
      </w:r>
      <w:r w:rsidRPr="00616402">
        <w:rPr>
          <w:rFonts w:ascii="Palatino Linotype" w:hAnsi="Palatino Linotype" w:cs="Arial"/>
          <w:b/>
          <w:i/>
          <w:sz w:val="22"/>
          <w:szCs w:val="22"/>
          <w:u w:val="single"/>
          <w:lang w:eastAsia="es-MX"/>
        </w:rPr>
        <w:t>información</w:t>
      </w:r>
      <w:r w:rsidRPr="0061640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rsidR="0028762A" w:rsidRPr="00616402" w:rsidRDefault="0028762A" w:rsidP="0028762A">
      <w:pPr>
        <w:ind w:left="851" w:right="901"/>
        <w:jc w:val="both"/>
        <w:rPr>
          <w:rFonts w:ascii="Palatino Linotype" w:hAnsi="Palatino Linotype" w:cs="Arial"/>
          <w:i/>
          <w:sz w:val="22"/>
          <w:szCs w:val="22"/>
          <w:lang w:eastAsia="es-MX"/>
        </w:rPr>
      </w:pPr>
      <w:r w:rsidRPr="00616402">
        <w:rPr>
          <w:rFonts w:ascii="Palatino Linotype" w:hAnsi="Palatino Linotype" w:cs="Arial"/>
          <w:i/>
          <w:sz w:val="22"/>
          <w:szCs w:val="22"/>
          <w:lang w:eastAsia="es-MX"/>
        </w:rPr>
        <w:lastRenderedPageBreak/>
        <w:t xml:space="preserve">3) Que se trate de información registrada en cualquier soporte documental, que en ejercicio de las atribuciones conferidas, se encuentre en posesión de los Sujetos Obligados.” </w:t>
      </w:r>
    </w:p>
    <w:p w:rsidR="0028762A" w:rsidRPr="00616402" w:rsidRDefault="0028762A" w:rsidP="0028762A">
      <w:pPr>
        <w:ind w:left="851" w:right="901"/>
        <w:jc w:val="both"/>
        <w:rPr>
          <w:rFonts w:ascii="Palatino Linotype" w:hAnsi="Palatino Linotype" w:cs="Arial"/>
          <w:i/>
          <w:sz w:val="22"/>
          <w:szCs w:val="22"/>
          <w:lang w:eastAsia="es-MX"/>
        </w:rPr>
      </w:pPr>
    </w:p>
    <w:p w:rsidR="0028762A" w:rsidRPr="00616402" w:rsidRDefault="0028762A" w:rsidP="0028762A">
      <w:pPr>
        <w:ind w:left="851" w:right="901"/>
        <w:jc w:val="both"/>
        <w:rPr>
          <w:rFonts w:ascii="Palatino Linotype" w:hAnsi="Palatino Linotype" w:cs="Arial"/>
          <w:i/>
          <w:sz w:val="22"/>
          <w:szCs w:val="22"/>
          <w:lang w:eastAsia="es-MX"/>
        </w:rPr>
      </w:pPr>
      <w:r w:rsidRPr="00616402">
        <w:rPr>
          <w:rFonts w:ascii="Palatino Linotype" w:hAnsi="Palatino Linotype" w:cs="Arial"/>
          <w:i/>
          <w:sz w:val="22"/>
          <w:szCs w:val="22"/>
          <w:lang w:eastAsia="es-MX"/>
        </w:rPr>
        <w:t>(Énfasis Añadido)</w:t>
      </w:r>
    </w:p>
    <w:p w:rsidR="0028762A" w:rsidRPr="00616402" w:rsidRDefault="0028762A" w:rsidP="002D69B2">
      <w:pPr>
        <w:spacing w:before="100" w:beforeAutospacing="1" w:after="100" w:afterAutospacing="1" w:line="360" w:lineRule="auto"/>
        <w:jc w:val="both"/>
        <w:rPr>
          <w:rFonts w:ascii="Palatino Linotype" w:eastAsiaTheme="minorEastAsia" w:hAnsi="Palatino Linotype" w:cs="Arial"/>
          <w:lang w:val="es-ES_tradnl"/>
        </w:rPr>
      </w:pPr>
      <w:r w:rsidRPr="00616402">
        <w:rPr>
          <w:rFonts w:ascii="Palatino Linotype" w:eastAsiaTheme="minorEastAsia" w:hAnsi="Palatino Linotype" w:cs="Arial"/>
          <w:lang w:val="es-ES_tradnl"/>
        </w:rPr>
        <w:t xml:space="preserve">Por tanto, en cumplimiento a las obligaciones que la Constitución Federal, la Constitución Estatal y la Ley de la materia establecen, </w:t>
      </w:r>
      <w:r w:rsidRPr="00616402">
        <w:rPr>
          <w:rFonts w:ascii="Palatino Linotype" w:eastAsiaTheme="minorEastAsia" w:hAnsi="Palatino Linotype" w:cs="Arial"/>
          <w:b/>
          <w:lang w:val="es-ES_tradnl"/>
        </w:rPr>
        <w:t>EL</w:t>
      </w:r>
      <w:r w:rsidRPr="00616402">
        <w:rPr>
          <w:rFonts w:ascii="Palatino Linotype" w:eastAsiaTheme="minorEastAsia" w:hAnsi="Palatino Linotype" w:cs="Arial"/>
          <w:lang w:val="es-ES_tradnl"/>
        </w:rPr>
        <w:t xml:space="preserve"> </w:t>
      </w:r>
      <w:r w:rsidRPr="00616402">
        <w:rPr>
          <w:rFonts w:ascii="Palatino Linotype" w:eastAsiaTheme="minorEastAsia" w:hAnsi="Palatino Linotype" w:cs="Arial"/>
          <w:b/>
          <w:lang w:val="es-ES_tradnl"/>
        </w:rPr>
        <w:t>SUJETO OBLIGADO</w:t>
      </w:r>
      <w:r w:rsidRPr="00616402">
        <w:rPr>
          <w:rFonts w:ascii="Palatino Linotype" w:eastAsiaTheme="minorEastAsia" w:hAnsi="Palatino Linotype" w:cs="Arial"/>
          <w:lang w:val="es-ES_tradnl"/>
        </w:rPr>
        <w:t xml:space="preserve"> está constreñido a dar atención a las solicitudes de información que a través del </w:t>
      </w:r>
      <w:r w:rsidRPr="00616402">
        <w:rPr>
          <w:rFonts w:ascii="Palatino Linotype" w:eastAsiaTheme="minorEastAsia" w:hAnsi="Palatino Linotype" w:cs="Arial"/>
          <w:b/>
          <w:lang w:val="es-ES_tradnl"/>
        </w:rPr>
        <w:t>SAIMEX</w:t>
      </w:r>
      <w:r w:rsidRPr="00616402">
        <w:rPr>
          <w:rFonts w:ascii="Palatino Linotype" w:eastAsiaTheme="minorEastAsia" w:hAnsi="Palatino Linotype" w:cs="Arial"/>
          <w:lang w:val="es-ES_tradnl"/>
        </w:rPr>
        <w:t xml:space="preserve"> o de vía directa le sean presentadas en ejercicio del derecho humano de acceso a la información pública, lo cual, en el caso no aconteció, pues tal y como se ha acreditado de la revisión de los expedientes electrónicos formados en el </w:t>
      </w:r>
      <w:r w:rsidRPr="00616402">
        <w:rPr>
          <w:rFonts w:ascii="Palatino Linotype" w:eastAsiaTheme="minorEastAsia" w:hAnsi="Palatino Linotype" w:cs="Arial"/>
          <w:b/>
          <w:lang w:val="es-ES_tradnl"/>
        </w:rPr>
        <w:t>SAIME</w:t>
      </w:r>
      <w:r w:rsidRPr="00616402">
        <w:rPr>
          <w:rFonts w:ascii="Palatino Linotype" w:eastAsiaTheme="minorEastAsia" w:hAnsi="Palatino Linotype" w:cs="Arial"/>
          <w:lang w:val="es-ES_tradnl"/>
        </w:rPr>
        <w:t xml:space="preserve">X, </w:t>
      </w:r>
      <w:r w:rsidRPr="00616402">
        <w:rPr>
          <w:rFonts w:ascii="Palatino Linotype" w:eastAsiaTheme="minorEastAsia" w:hAnsi="Palatino Linotype" w:cs="Arial"/>
          <w:b/>
          <w:lang w:val="es-ES_tradnl"/>
        </w:rPr>
        <w:t>EL</w:t>
      </w:r>
      <w:r w:rsidRPr="00616402">
        <w:rPr>
          <w:rFonts w:ascii="Palatino Linotype" w:eastAsiaTheme="minorEastAsia" w:hAnsi="Palatino Linotype" w:cs="Arial"/>
          <w:lang w:val="es-ES_tradnl"/>
        </w:rPr>
        <w:t xml:space="preserve"> </w:t>
      </w:r>
      <w:r w:rsidRPr="00616402">
        <w:rPr>
          <w:rFonts w:ascii="Palatino Linotype" w:eastAsiaTheme="minorEastAsia" w:hAnsi="Palatino Linotype" w:cs="Arial"/>
          <w:b/>
          <w:lang w:val="es-ES_tradnl"/>
        </w:rPr>
        <w:t>SUJETO OBLIGADO</w:t>
      </w:r>
      <w:r w:rsidRPr="00616402">
        <w:rPr>
          <w:rFonts w:ascii="Palatino Linotype" w:eastAsiaTheme="minorEastAsia" w:hAnsi="Palatino Linotype" w:cs="Arial"/>
          <w:lang w:val="es-ES_tradnl"/>
        </w:rPr>
        <w:t xml:space="preserve"> fue omiso en dar respuesta a las solicitudes de información.</w:t>
      </w:r>
    </w:p>
    <w:p w:rsidR="0028762A" w:rsidRPr="00616402" w:rsidRDefault="0028762A" w:rsidP="002D69B2">
      <w:pPr>
        <w:spacing w:before="100" w:beforeAutospacing="1" w:after="100" w:afterAutospacing="1" w:line="360" w:lineRule="auto"/>
        <w:ind w:right="49"/>
        <w:jc w:val="both"/>
        <w:rPr>
          <w:rFonts w:ascii="Palatino Linotype" w:eastAsia="Calibri" w:hAnsi="Palatino Linotype"/>
          <w:lang w:val="es-ES"/>
        </w:rPr>
      </w:pPr>
      <w:r w:rsidRPr="00616402">
        <w:rPr>
          <w:rFonts w:ascii="Palatino Linotype" w:eastAsia="Calibri" w:hAnsi="Palatino Linotype"/>
          <w:lang w:val="es-ES"/>
        </w:rPr>
        <w:t>En ese sentido, la omisión del Titular de la Unidad de Transparencia, como primer responsable de verificar que el procedimiento de acceso a la información se realice, de acuerdo a lo dispuesto por el artículo 53, fracción II</w:t>
      </w:r>
      <w:r w:rsidRPr="00616402">
        <w:rPr>
          <w:rStyle w:val="Refdenotaalpie"/>
          <w:rFonts w:ascii="Palatino Linotype" w:eastAsia="Calibri" w:hAnsi="Palatino Linotype"/>
          <w:lang w:val="es-ES"/>
        </w:rPr>
        <w:footnoteReference w:id="1"/>
      </w:r>
      <w:r w:rsidRPr="00616402">
        <w:rPr>
          <w:rFonts w:ascii="Palatino Linotype" w:eastAsia="Calibri" w:hAnsi="Palatino Linotype"/>
          <w:lang w:val="es-ES"/>
        </w:rPr>
        <w:t xml:space="preserve">de la Ley de la materia, en relación con lo dispuesto en el diverso 150 de la multicitada Ley de Transparencia, indican que el procedimiento de acceso a </w:t>
      </w:r>
      <w:r w:rsidRPr="00616402">
        <w:rPr>
          <w:rFonts w:ascii="Palatino Linotype" w:eastAsia="Calibri" w:hAnsi="Palatino Linotype"/>
          <w:b/>
          <w:lang w:val="es-ES"/>
        </w:rPr>
        <w:t>la información es la garantía</w:t>
      </w:r>
      <w:r w:rsidRPr="00616402">
        <w:rPr>
          <w:rFonts w:ascii="Palatino Linotype" w:eastAsia="Calibri" w:hAnsi="Palatino Linotype"/>
          <w:lang w:val="es-ES"/>
        </w:rPr>
        <w:t xml:space="preserve"> primaria del derecho en cuestión; motivo por el que, la falta tanto de trámite como de respuesta a una solicitud de acceso a la información constituye un incumplimiento del </w:t>
      </w:r>
      <w:r w:rsidRPr="00616402">
        <w:rPr>
          <w:rFonts w:ascii="Palatino Linotype" w:eastAsia="Calibri" w:hAnsi="Palatino Linotype"/>
          <w:b/>
          <w:lang w:val="es-ES"/>
        </w:rPr>
        <w:t>SUJETO</w:t>
      </w:r>
      <w:r w:rsidRPr="00616402">
        <w:rPr>
          <w:rFonts w:ascii="Palatino Linotype" w:eastAsia="Calibri" w:hAnsi="Palatino Linotype"/>
          <w:lang w:val="es-ES"/>
        </w:rPr>
        <w:t xml:space="preserve"> </w:t>
      </w:r>
      <w:r w:rsidRPr="00616402">
        <w:rPr>
          <w:rFonts w:ascii="Palatino Linotype" w:eastAsia="Calibri" w:hAnsi="Palatino Linotype"/>
          <w:b/>
          <w:lang w:val="es-ES"/>
        </w:rPr>
        <w:t>OBLIGADO</w:t>
      </w:r>
      <w:r w:rsidRPr="00616402">
        <w:rPr>
          <w:rFonts w:ascii="Palatino Linotype" w:eastAsia="Calibri" w:hAnsi="Palatino Linotype"/>
          <w:lang w:val="es-ES"/>
        </w:rPr>
        <w:t xml:space="preserve"> a su deber de garantizar este derecho.</w:t>
      </w:r>
    </w:p>
    <w:p w:rsidR="0028762A" w:rsidRPr="00616402" w:rsidRDefault="0028762A" w:rsidP="0028762A">
      <w:pPr>
        <w:spacing w:before="240" w:after="240" w:line="360" w:lineRule="auto"/>
        <w:jc w:val="both"/>
        <w:rPr>
          <w:rFonts w:ascii="Palatino Linotype" w:hAnsi="Palatino Linotype" w:cs="Arial"/>
        </w:rPr>
      </w:pPr>
      <w:r w:rsidRPr="00616402">
        <w:rPr>
          <w:rFonts w:ascii="Palatino Linotype" w:hAnsi="Palatino Linotype" w:cs="Arial"/>
        </w:rPr>
        <w:t xml:space="preserve">En ese sentido, conviene señalar que de conformidad con lo establecido en el numeral 159 de la Ley de Transparencia y Acceso a la Información Pública del Estado de México </w:t>
      </w:r>
      <w:r w:rsidRPr="00616402">
        <w:rPr>
          <w:rFonts w:ascii="Palatino Linotype" w:hAnsi="Palatino Linotype" w:cs="Arial"/>
        </w:rPr>
        <w:lastRenderedPageBreak/>
        <w:t xml:space="preserve">y Municipios, </w:t>
      </w:r>
      <w:r w:rsidRPr="00616402">
        <w:rPr>
          <w:rFonts w:ascii="Palatino Linotype" w:hAnsi="Palatino Linotype" w:cs="Arial"/>
          <w:b/>
        </w:rPr>
        <w:t xml:space="preserve">EL SUJETO OBLIGADO </w:t>
      </w:r>
      <w:r w:rsidRPr="00616402">
        <w:rPr>
          <w:rFonts w:ascii="Palatino Linotype" w:hAnsi="Palatino Linotype" w:cs="Arial"/>
        </w:rPr>
        <w:t>cuenta con la facultad para requerir al particular, en el caso que considere que los datos proporcionados en la solicitud de información son insuficientes, incompletos o sean erróneos para localizar los documentos, para que en el caso, en específico los subsane, por una sola vez y dentro de un plazo que cinco días hábiles contados a partir de la presentación de la solicitud, como se advierte a continuación del dispositivo indicado:</w:t>
      </w:r>
    </w:p>
    <w:p w:rsidR="0028762A" w:rsidRPr="00616402" w:rsidRDefault="0028762A" w:rsidP="0028762A">
      <w:pPr>
        <w:ind w:left="851" w:right="899"/>
        <w:jc w:val="both"/>
        <w:rPr>
          <w:rFonts w:ascii="Palatino Linotype" w:hAnsi="Palatino Linotype" w:cs="Arial"/>
          <w:i/>
          <w:sz w:val="22"/>
          <w:szCs w:val="22"/>
        </w:rPr>
      </w:pPr>
      <w:r w:rsidRPr="00616402">
        <w:rPr>
          <w:rFonts w:ascii="Palatino Linotype" w:hAnsi="Palatino Linotype" w:cs="Arial"/>
          <w:i/>
          <w:sz w:val="22"/>
          <w:szCs w:val="22"/>
        </w:rPr>
        <w:t>“</w:t>
      </w:r>
      <w:r w:rsidRPr="00616402">
        <w:rPr>
          <w:rFonts w:ascii="Palatino Linotype" w:hAnsi="Palatino Linotype" w:cs="Arial"/>
          <w:b/>
          <w:i/>
          <w:sz w:val="22"/>
          <w:szCs w:val="22"/>
        </w:rPr>
        <w:t>Artículo 159</w:t>
      </w:r>
      <w:r w:rsidRPr="00616402">
        <w:rPr>
          <w:rFonts w:ascii="Palatino Linotype" w:hAnsi="Palatino Linotype" w:cs="Arial"/>
          <w:i/>
          <w:sz w:val="22"/>
          <w:szCs w:val="22"/>
        </w:rPr>
        <w:t>.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p w:rsidR="0028762A" w:rsidRPr="00616402" w:rsidRDefault="0028762A" w:rsidP="0028762A">
      <w:pPr>
        <w:ind w:left="851" w:right="899"/>
        <w:jc w:val="both"/>
        <w:rPr>
          <w:rFonts w:ascii="Palatino Linotype" w:hAnsi="Palatino Linotype" w:cs="Arial"/>
          <w:i/>
          <w:sz w:val="22"/>
          <w:szCs w:val="22"/>
        </w:rPr>
      </w:pPr>
    </w:p>
    <w:p w:rsidR="0028762A" w:rsidRPr="00616402" w:rsidRDefault="0028762A" w:rsidP="0028762A">
      <w:pPr>
        <w:ind w:left="851" w:right="899"/>
        <w:jc w:val="both"/>
        <w:rPr>
          <w:rFonts w:ascii="Palatino Linotype" w:hAnsi="Palatino Linotype" w:cs="Arial"/>
          <w:i/>
          <w:sz w:val="22"/>
          <w:szCs w:val="22"/>
        </w:rPr>
      </w:pPr>
      <w:r w:rsidRPr="00616402">
        <w:rPr>
          <w:rFonts w:ascii="Palatino Linotype" w:hAnsi="Palatino Linotype" w:cs="Arial"/>
          <w:i/>
          <w:sz w:val="22"/>
          <w:szCs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28762A" w:rsidRPr="00616402" w:rsidRDefault="0028762A" w:rsidP="0028762A">
      <w:pPr>
        <w:ind w:left="851" w:right="899"/>
        <w:jc w:val="both"/>
        <w:rPr>
          <w:rFonts w:ascii="Palatino Linotype" w:hAnsi="Palatino Linotype" w:cs="Arial"/>
          <w:i/>
          <w:sz w:val="22"/>
          <w:szCs w:val="22"/>
        </w:rPr>
      </w:pPr>
      <w:r w:rsidRPr="00616402">
        <w:rPr>
          <w:rFonts w:ascii="Palatino Linotype" w:hAnsi="Palatino Linotype" w:cs="Arial"/>
          <w:i/>
          <w:sz w:val="22"/>
          <w:szCs w:val="22"/>
        </w:rPr>
        <w:t>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w:t>
      </w:r>
    </w:p>
    <w:p w:rsidR="0028762A" w:rsidRPr="00616402" w:rsidRDefault="0028762A" w:rsidP="0028762A">
      <w:pPr>
        <w:ind w:left="851" w:right="899"/>
        <w:jc w:val="both"/>
        <w:rPr>
          <w:rFonts w:ascii="Palatino Linotype" w:hAnsi="Palatino Linotype" w:cs="Arial"/>
          <w:i/>
          <w:sz w:val="22"/>
          <w:szCs w:val="22"/>
        </w:rPr>
      </w:pPr>
    </w:p>
    <w:p w:rsidR="0028762A" w:rsidRPr="00616402" w:rsidRDefault="0028762A" w:rsidP="0028762A">
      <w:pPr>
        <w:ind w:left="851" w:right="899"/>
        <w:jc w:val="both"/>
        <w:rPr>
          <w:rFonts w:ascii="Palatino Linotype" w:hAnsi="Palatino Linotype" w:cs="Arial"/>
          <w:i/>
          <w:sz w:val="22"/>
          <w:szCs w:val="22"/>
        </w:rPr>
      </w:pPr>
      <w:r w:rsidRPr="00616402">
        <w:rPr>
          <w:rFonts w:ascii="Palatino Linotype" w:hAnsi="Palatino Linotype" w:cs="Arial"/>
          <w:i/>
          <w:sz w:val="22"/>
          <w:szCs w:val="22"/>
        </w:rPr>
        <w:t>En el caso de requerimientos parciales no desahogados, se tendrá por presentada la solicitud por lo que respecta a los contenidos de información que no formaron parte del requerimiento.” (sic)</w:t>
      </w:r>
    </w:p>
    <w:p w:rsidR="0028762A" w:rsidRPr="00616402" w:rsidRDefault="0028762A" w:rsidP="0028762A">
      <w:pPr>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 xml:space="preserve">Por lo que, se observa que </w:t>
      </w:r>
      <w:r w:rsidRPr="00616402">
        <w:rPr>
          <w:rFonts w:ascii="Palatino Linotype" w:hAnsi="Palatino Linotype" w:cs="Arial"/>
          <w:b/>
        </w:rPr>
        <w:t xml:space="preserve">EL SUJETO OBLIGADO </w:t>
      </w:r>
      <w:r w:rsidRPr="00616402">
        <w:rPr>
          <w:rFonts w:ascii="Palatino Linotype" w:hAnsi="Palatino Linotype" w:cs="Arial"/>
        </w:rPr>
        <w:t xml:space="preserve">no siguió el procedimiento indicado; razón por la cual, en atención la solicitudes de información </w:t>
      </w:r>
      <w:r w:rsidRPr="00616402">
        <w:rPr>
          <w:rFonts w:ascii="Palatino Linotype" w:hAnsi="Palatino Linotype" w:cs="Arial"/>
          <w:i/>
        </w:rPr>
        <w:t>supra</w:t>
      </w:r>
      <w:r w:rsidRPr="00616402">
        <w:rPr>
          <w:rFonts w:ascii="Palatino Linotype" w:hAnsi="Palatino Linotype" w:cs="Arial"/>
        </w:rPr>
        <w:t xml:space="preserve"> citadas, se advierte que el Titular de la Unidad de Transparencia del </w:t>
      </w:r>
      <w:r w:rsidRPr="00616402">
        <w:rPr>
          <w:rFonts w:ascii="Palatino Linotype" w:hAnsi="Palatino Linotype" w:cs="Arial"/>
          <w:b/>
        </w:rPr>
        <w:t>SUJETO OBLIGADO</w:t>
      </w:r>
      <w:r w:rsidRPr="00616402">
        <w:rPr>
          <w:rFonts w:ascii="Palatino Linotype" w:hAnsi="Palatino Linotype" w:cs="Arial"/>
        </w:rPr>
        <w:t xml:space="preserve">, en términos del artículo </w:t>
      </w:r>
      <w:r w:rsidRPr="00616402">
        <w:rPr>
          <w:rFonts w:ascii="Palatino Linotype" w:hAnsi="Palatino Linotype" w:cs="Arial"/>
          <w:lang w:val="es-ES_tradnl"/>
        </w:rPr>
        <w:t xml:space="preserve">162 de la Ley de Transparencia y Acceso a la Información Pública </w:t>
      </w:r>
      <w:r w:rsidRPr="00616402">
        <w:rPr>
          <w:rFonts w:ascii="Palatino Linotype" w:hAnsi="Palatino Linotype" w:cs="Arial"/>
          <w:lang w:val="es-ES_tradnl"/>
        </w:rPr>
        <w:lastRenderedPageBreak/>
        <w:t>del Estado de México y Municipios</w:t>
      </w:r>
      <w:r w:rsidRPr="00616402">
        <w:rPr>
          <w:rFonts w:ascii="Palatino Linotype" w:hAnsi="Palatino Linotype" w:cs="Arial"/>
        </w:rPr>
        <w:t>, debió solicitar la información requerida, a la Dirección de Desarrollo Urbano.</w:t>
      </w:r>
    </w:p>
    <w:p w:rsidR="002D69B2" w:rsidRPr="00616402" w:rsidRDefault="002D69B2" w:rsidP="002D69B2">
      <w:pPr>
        <w:spacing w:before="100" w:beforeAutospacing="1" w:after="100" w:afterAutospacing="1" w:line="360" w:lineRule="auto"/>
        <w:jc w:val="both"/>
        <w:rPr>
          <w:rFonts w:ascii="Palatino Linotype" w:eastAsia="Calibri" w:hAnsi="Palatino Linotype"/>
          <w:lang w:val="es-ES"/>
        </w:rPr>
      </w:pPr>
      <w:r w:rsidRPr="00616402">
        <w:rPr>
          <w:rFonts w:ascii="Palatino Linotype" w:eastAsia="Calibri" w:hAnsi="Palatino Linotype"/>
          <w:lang w:val="es-ES"/>
        </w:rPr>
        <w:t>A este respecto, los artículos 31, fracciones XVIII y XIX y 95, fracciones I y IV de la Ley Orgánica Municipal del Estado de México disponen lo siguiente:</w:t>
      </w:r>
    </w:p>
    <w:p w:rsidR="002D69B2" w:rsidRPr="00616402" w:rsidRDefault="002D69B2" w:rsidP="002D69B2">
      <w:pPr>
        <w:ind w:left="851" w:right="901"/>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b/>
          <w:i/>
          <w:sz w:val="22"/>
          <w:szCs w:val="22"/>
          <w:lang w:val="es-ES_tradnl"/>
        </w:rPr>
        <w:t>“Artículo 31.-</w:t>
      </w:r>
      <w:r w:rsidRPr="00616402">
        <w:rPr>
          <w:rFonts w:ascii="Palatino Linotype" w:eastAsiaTheme="minorEastAsia" w:hAnsi="Palatino Linotype" w:cs="Arial"/>
          <w:i/>
          <w:sz w:val="22"/>
          <w:szCs w:val="22"/>
          <w:lang w:val="es-ES_tradnl"/>
        </w:rPr>
        <w:t xml:space="preserve"> Son </w:t>
      </w:r>
      <w:r w:rsidRPr="00616402">
        <w:rPr>
          <w:rFonts w:ascii="Palatino Linotype" w:eastAsiaTheme="minorEastAsia" w:hAnsi="Palatino Linotype" w:cs="Arial"/>
          <w:b/>
          <w:i/>
          <w:sz w:val="22"/>
          <w:szCs w:val="22"/>
          <w:lang w:val="es-ES_tradnl"/>
        </w:rPr>
        <w:t>atribuciones de los ayuntamientos</w:t>
      </w:r>
      <w:r w:rsidRPr="00616402">
        <w:rPr>
          <w:rFonts w:ascii="Palatino Linotype" w:eastAsiaTheme="minorEastAsia" w:hAnsi="Palatino Linotype" w:cs="Arial"/>
          <w:i/>
          <w:sz w:val="22"/>
          <w:szCs w:val="22"/>
          <w:lang w:val="es-ES_tradnl"/>
        </w:rPr>
        <w:t>:</w:t>
      </w:r>
    </w:p>
    <w:p w:rsidR="002D69B2" w:rsidRPr="00616402" w:rsidRDefault="002D69B2" w:rsidP="002D69B2">
      <w:pPr>
        <w:ind w:left="851" w:right="901"/>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i/>
          <w:sz w:val="22"/>
          <w:szCs w:val="22"/>
          <w:lang w:val="es-ES_tradnl"/>
        </w:rPr>
        <w:t>…</w:t>
      </w:r>
    </w:p>
    <w:p w:rsidR="002D69B2" w:rsidRPr="00616402" w:rsidRDefault="002D69B2" w:rsidP="002D69B2">
      <w:pPr>
        <w:ind w:left="851" w:right="901"/>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b/>
          <w:i/>
          <w:sz w:val="22"/>
          <w:szCs w:val="22"/>
          <w:lang w:val="es-ES_tradnl"/>
        </w:rPr>
        <w:t>XVIII.</w:t>
      </w:r>
      <w:r w:rsidRPr="00616402">
        <w:rPr>
          <w:rFonts w:ascii="Palatino Linotype" w:eastAsiaTheme="minorEastAsia" w:hAnsi="Palatino Linotype" w:cs="Arial"/>
          <w:i/>
          <w:sz w:val="22"/>
          <w:szCs w:val="22"/>
          <w:lang w:val="es-ES_tradnl"/>
        </w:rPr>
        <w:t xml:space="preserve"> Administrar su hacienda en términos de ley, y </w:t>
      </w:r>
      <w:r w:rsidRPr="00616402">
        <w:rPr>
          <w:rFonts w:ascii="Palatino Linotype" w:eastAsiaTheme="minorEastAsia" w:hAnsi="Palatino Linotype" w:cs="Arial"/>
          <w:b/>
          <w:i/>
          <w:sz w:val="22"/>
          <w:szCs w:val="22"/>
          <w:lang w:val="es-ES_tradnl"/>
        </w:rPr>
        <w:t>controlar a través del presidente y síndico la aplicación del presupuesto de egresos del municipio</w:t>
      </w:r>
      <w:r w:rsidRPr="00616402">
        <w:rPr>
          <w:rFonts w:ascii="Palatino Linotype" w:eastAsiaTheme="minorEastAsia" w:hAnsi="Palatino Linotype" w:cs="Arial"/>
          <w:i/>
          <w:sz w:val="22"/>
          <w:szCs w:val="22"/>
          <w:lang w:val="es-ES_tradnl"/>
        </w:rPr>
        <w:t>;</w:t>
      </w:r>
    </w:p>
    <w:p w:rsidR="002D69B2" w:rsidRPr="00616402" w:rsidRDefault="002D69B2" w:rsidP="002D69B2">
      <w:pPr>
        <w:ind w:left="851" w:right="901"/>
        <w:jc w:val="both"/>
        <w:rPr>
          <w:rFonts w:ascii="Palatino Linotype" w:eastAsiaTheme="minorEastAsia" w:hAnsi="Palatino Linotype" w:cs="Arial"/>
          <w:b/>
          <w:i/>
          <w:sz w:val="22"/>
          <w:szCs w:val="22"/>
          <w:lang w:val="es-ES_tradnl"/>
        </w:rPr>
      </w:pPr>
      <w:r w:rsidRPr="00616402">
        <w:rPr>
          <w:rFonts w:ascii="Palatino Linotype" w:eastAsiaTheme="minorEastAsia" w:hAnsi="Palatino Linotype" w:cs="Arial"/>
          <w:b/>
          <w:i/>
          <w:sz w:val="22"/>
          <w:szCs w:val="22"/>
          <w:lang w:val="es-ES_tradnl"/>
        </w:rPr>
        <w:t>…</w:t>
      </w:r>
    </w:p>
    <w:p w:rsidR="002D69B2" w:rsidRPr="00616402" w:rsidRDefault="002D69B2" w:rsidP="002D69B2">
      <w:pPr>
        <w:ind w:left="851" w:right="901"/>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b/>
          <w:i/>
          <w:sz w:val="22"/>
          <w:szCs w:val="22"/>
          <w:lang w:val="es-ES_tradnl"/>
        </w:rPr>
        <w:t>XIX.</w:t>
      </w:r>
      <w:r w:rsidRPr="00616402">
        <w:rPr>
          <w:rFonts w:ascii="Palatino Linotype" w:eastAsiaTheme="minorEastAsia" w:hAnsi="Palatino Linotype" w:cs="Arial"/>
          <w:i/>
          <w:sz w:val="22"/>
          <w:szCs w:val="22"/>
          <w:lang w:val="es-ES_tradnl"/>
        </w:rPr>
        <w:t xml:space="preserve"> </w:t>
      </w:r>
      <w:r w:rsidRPr="00616402">
        <w:rPr>
          <w:rFonts w:ascii="Palatino Linotype" w:eastAsiaTheme="minorEastAsia" w:hAnsi="Palatino Linotype" w:cs="Arial"/>
          <w:b/>
          <w:i/>
          <w:sz w:val="22"/>
          <w:szCs w:val="22"/>
          <w:lang w:val="es-ES_tradnl"/>
        </w:rPr>
        <w:t>Aprobar anualmente a más tardar el 20 de diciembre, su Presupuesto de Egresos, en base a los ingresos presupuestados para el ejercicio que corresponda</w:t>
      </w:r>
      <w:r w:rsidRPr="00616402">
        <w:rPr>
          <w:rFonts w:ascii="Palatino Linotype" w:eastAsiaTheme="minorEastAsia" w:hAnsi="Palatino Linotype" w:cs="Arial"/>
          <w:i/>
          <w:sz w:val="22"/>
          <w:szCs w:val="22"/>
          <w:lang w:val="es-ES_tradnl"/>
        </w:rPr>
        <w:t>, el cual podrá ser adecuado en función de las implicaciones que deriven de la aprobación de la Ley de Ingresos Municipal que haga la Legislatura, así como por la asignación de las participaciones y aportaciones federales y estatales</w:t>
      </w:r>
    </w:p>
    <w:p w:rsidR="002D69B2" w:rsidRPr="00616402" w:rsidRDefault="002D69B2" w:rsidP="002D69B2">
      <w:pPr>
        <w:ind w:left="851" w:right="901"/>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i/>
          <w:sz w:val="22"/>
          <w:szCs w:val="22"/>
          <w:lang w:val="es-ES_tradnl"/>
        </w:rPr>
        <w:t>…</w:t>
      </w:r>
    </w:p>
    <w:p w:rsidR="002D69B2" w:rsidRPr="00616402" w:rsidRDefault="002D69B2" w:rsidP="002D69B2">
      <w:pPr>
        <w:ind w:left="851" w:right="901"/>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i/>
          <w:sz w:val="22"/>
          <w:szCs w:val="22"/>
          <w:lang w:val="es-ES_tradnl"/>
        </w:rPr>
        <w:t xml:space="preserve">Artículo 95.- Son </w:t>
      </w:r>
      <w:r w:rsidRPr="00616402">
        <w:rPr>
          <w:rFonts w:ascii="Palatino Linotype" w:eastAsiaTheme="minorEastAsia" w:hAnsi="Palatino Linotype" w:cs="Arial"/>
          <w:b/>
          <w:i/>
          <w:sz w:val="22"/>
          <w:szCs w:val="22"/>
          <w:lang w:val="es-ES_tradnl"/>
        </w:rPr>
        <w:t>atribuciones del tesorero municipal</w:t>
      </w:r>
      <w:r w:rsidRPr="00616402">
        <w:rPr>
          <w:rFonts w:ascii="Palatino Linotype" w:eastAsiaTheme="minorEastAsia" w:hAnsi="Palatino Linotype" w:cs="Arial"/>
          <w:i/>
          <w:sz w:val="22"/>
          <w:szCs w:val="22"/>
          <w:lang w:val="es-ES_tradnl"/>
        </w:rPr>
        <w:t>:</w:t>
      </w:r>
    </w:p>
    <w:p w:rsidR="002D69B2" w:rsidRPr="00616402" w:rsidRDefault="002D69B2" w:rsidP="002D69B2">
      <w:pPr>
        <w:ind w:left="851" w:right="901"/>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i/>
          <w:sz w:val="22"/>
          <w:szCs w:val="22"/>
          <w:lang w:val="es-ES_tradnl"/>
        </w:rPr>
        <w:t xml:space="preserve">I. </w:t>
      </w:r>
      <w:r w:rsidRPr="00616402">
        <w:rPr>
          <w:rFonts w:ascii="Palatino Linotype" w:eastAsiaTheme="minorEastAsia" w:hAnsi="Palatino Linotype" w:cs="Arial"/>
          <w:b/>
          <w:i/>
          <w:sz w:val="22"/>
          <w:szCs w:val="22"/>
          <w:lang w:val="es-ES_tradnl"/>
        </w:rPr>
        <w:t>Administrar la hacienda pública municipal</w:t>
      </w:r>
      <w:r w:rsidRPr="00616402">
        <w:rPr>
          <w:rFonts w:ascii="Palatino Linotype" w:eastAsiaTheme="minorEastAsia" w:hAnsi="Palatino Linotype" w:cs="Arial"/>
          <w:i/>
          <w:sz w:val="22"/>
          <w:szCs w:val="22"/>
          <w:lang w:val="es-ES_tradnl"/>
        </w:rPr>
        <w:t>, de conformidad con las disposiciones legales aplicables;</w:t>
      </w:r>
    </w:p>
    <w:p w:rsidR="002D69B2" w:rsidRPr="00616402" w:rsidRDefault="002D69B2" w:rsidP="002D69B2">
      <w:pPr>
        <w:ind w:left="851" w:right="901"/>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i/>
          <w:sz w:val="22"/>
          <w:szCs w:val="22"/>
          <w:lang w:val="es-ES_tradnl"/>
        </w:rPr>
        <w:t>…</w:t>
      </w:r>
    </w:p>
    <w:p w:rsidR="002D69B2" w:rsidRPr="00616402" w:rsidRDefault="002D69B2" w:rsidP="002D69B2">
      <w:pPr>
        <w:ind w:left="851" w:right="901"/>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b/>
          <w:i/>
          <w:sz w:val="22"/>
          <w:szCs w:val="22"/>
          <w:lang w:val="es-ES_tradnl"/>
        </w:rPr>
        <w:t>IV. Llevar los registros contables, financieros y administrativos de los ingresos, egresos, e inventarios;</w:t>
      </w:r>
    </w:p>
    <w:p w:rsidR="002D69B2" w:rsidRPr="00616402" w:rsidRDefault="002D69B2" w:rsidP="002D69B2">
      <w:pPr>
        <w:ind w:left="851" w:right="901"/>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i/>
          <w:sz w:val="22"/>
          <w:szCs w:val="22"/>
          <w:lang w:val="es-ES_tradnl"/>
        </w:rPr>
        <w:t>…”</w:t>
      </w:r>
    </w:p>
    <w:p w:rsidR="002D69B2" w:rsidRPr="00616402" w:rsidRDefault="002D69B2" w:rsidP="002D69B2">
      <w:pPr>
        <w:ind w:left="851" w:right="901"/>
        <w:jc w:val="both"/>
        <w:rPr>
          <w:rFonts w:ascii="Palatino Linotype" w:eastAsiaTheme="minorEastAsia" w:hAnsi="Palatino Linotype" w:cs="Arial"/>
          <w:sz w:val="22"/>
          <w:szCs w:val="22"/>
          <w:lang w:val="es-ES_tradnl"/>
        </w:rPr>
      </w:pPr>
      <w:r w:rsidRPr="00616402">
        <w:rPr>
          <w:rFonts w:ascii="Palatino Linotype" w:eastAsiaTheme="minorEastAsia" w:hAnsi="Palatino Linotype" w:cs="Arial"/>
          <w:sz w:val="22"/>
          <w:szCs w:val="22"/>
          <w:lang w:val="es-ES_tradnl"/>
        </w:rPr>
        <w:t>(Énfasis añadido).</w:t>
      </w:r>
    </w:p>
    <w:p w:rsidR="002D69B2" w:rsidRPr="00616402" w:rsidRDefault="002D69B2" w:rsidP="002D69B2">
      <w:pPr>
        <w:spacing w:before="100" w:beforeAutospacing="1" w:after="100" w:afterAutospacing="1" w:line="360" w:lineRule="auto"/>
        <w:jc w:val="both"/>
        <w:rPr>
          <w:rFonts w:ascii="Palatino Linotype" w:eastAsia="Calibri" w:hAnsi="Palatino Linotype"/>
          <w:lang w:val="es-ES"/>
        </w:rPr>
      </w:pPr>
      <w:r w:rsidRPr="00616402">
        <w:rPr>
          <w:rFonts w:ascii="Palatino Linotype" w:eastAsia="Calibri" w:hAnsi="Palatino Linotype"/>
          <w:lang w:val="es-ES"/>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rsidR="002D69B2" w:rsidRPr="00616402" w:rsidRDefault="002D69B2" w:rsidP="002D69B2">
      <w:pPr>
        <w:spacing w:before="100" w:beforeAutospacing="1" w:after="100" w:afterAutospacing="1" w:line="360" w:lineRule="auto"/>
        <w:jc w:val="both"/>
        <w:rPr>
          <w:rFonts w:ascii="Palatino Linotype" w:eastAsia="Calibri" w:hAnsi="Palatino Linotype"/>
          <w:lang w:val="es-ES"/>
        </w:rPr>
      </w:pPr>
      <w:r w:rsidRPr="00616402">
        <w:rPr>
          <w:rFonts w:ascii="Palatino Linotype" w:eastAsia="Calibri" w:hAnsi="Palatino Linotype"/>
          <w:lang w:val="es-ES"/>
        </w:rPr>
        <w:t xml:space="preserve">En este orden de ideas, es importante referir lo dispuesto en los artículos 342, 343, 344 y 345 del Código Financiero del Estado de México y Municipios, los cuales establecen </w:t>
      </w:r>
      <w:r w:rsidRPr="00616402">
        <w:rPr>
          <w:rFonts w:ascii="Palatino Linotype" w:eastAsia="Calibri" w:hAnsi="Palatino Linotype"/>
          <w:lang w:val="es-ES"/>
        </w:rPr>
        <w:lastRenderedPageBreak/>
        <w:t>las políticas que deben seguirse para llevar el registro contable y presupuestal de las operaciones financieras, en los siguientes términos:</w:t>
      </w:r>
    </w:p>
    <w:p w:rsidR="002D69B2" w:rsidRPr="00616402" w:rsidRDefault="002D69B2" w:rsidP="002D69B2">
      <w:pPr>
        <w:ind w:left="851" w:right="901"/>
        <w:jc w:val="both"/>
        <w:rPr>
          <w:rFonts w:ascii="Palatino Linotype" w:eastAsiaTheme="minorEastAsia" w:hAnsi="Palatino Linotype" w:cstheme="minorBidi"/>
          <w:b/>
          <w:i/>
          <w:sz w:val="22"/>
          <w:szCs w:val="22"/>
          <w:lang w:val="es-ES_tradnl"/>
        </w:rPr>
      </w:pPr>
      <w:r w:rsidRPr="00616402">
        <w:rPr>
          <w:rFonts w:ascii="Palatino Linotype" w:eastAsiaTheme="minorEastAsia" w:hAnsi="Palatino Linotype" w:cs="Arial"/>
          <w:b/>
          <w:bCs/>
          <w:i/>
          <w:color w:val="000000"/>
          <w:sz w:val="22"/>
          <w:szCs w:val="22"/>
          <w:lang w:val="es-ES_tradnl"/>
        </w:rPr>
        <w:t>“</w:t>
      </w:r>
      <w:r w:rsidRPr="00616402">
        <w:rPr>
          <w:rFonts w:ascii="Palatino Linotype" w:eastAsiaTheme="minorEastAsia" w:hAnsi="Palatino Linotype" w:cstheme="minorBidi"/>
          <w:b/>
          <w:i/>
          <w:sz w:val="22"/>
          <w:szCs w:val="22"/>
          <w:lang w:val="es-ES_tradnl"/>
        </w:rPr>
        <w:t>Artículo 342.-</w:t>
      </w:r>
      <w:r w:rsidRPr="00616402">
        <w:rPr>
          <w:rFonts w:ascii="Palatino Linotype" w:eastAsiaTheme="minorEastAsia" w:hAnsi="Palatino Linotype" w:cstheme="minorBidi"/>
          <w:i/>
          <w:sz w:val="22"/>
          <w:szCs w:val="22"/>
          <w:lang w:val="es-ES_tradnl"/>
        </w:rPr>
        <w:t xml:space="preserve"> </w:t>
      </w:r>
      <w:r w:rsidRPr="00616402">
        <w:rPr>
          <w:rFonts w:ascii="Palatino Linotype" w:eastAsiaTheme="minorEastAsia" w:hAnsi="Palatino Linotype" w:cstheme="minorBidi"/>
          <w:b/>
          <w:i/>
          <w:sz w:val="22"/>
          <w:szCs w:val="22"/>
          <w:lang w:val="es-ES_tradnl"/>
        </w:rPr>
        <w:t xml:space="preserve">El registro contable del efecto patrimonial y presupuestal de las operaciones financieras, se realizará conforme al sistema y a las disposiciones que se aprueben en materia </w:t>
      </w:r>
      <w:r w:rsidRPr="00616402">
        <w:rPr>
          <w:rFonts w:ascii="Palatino Linotype" w:eastAsiaTheme="minorEastAsia" w:hAnsi="Palatino Linotype" w:cstheme="minorBidi"/>
          <w:i/>
          <w:sz w:val="22"/>
          <w:szCs w:val="22"/>
          <w:lang w:val="es-ES_tradnl"/>
        </w:rPr>
        <w:t xml:space="preserve">de </w:t>
      </w:r>
      <w:r w:rsidRPr="00616402">
        <w:rPr>
          <w:rFonts w:ascii="Palatino Linotype" w:eastAsiaTheme="minorEastAsia" w:hAnsi="Palatino Linotype" w:cs="Arial"/>
          <w:i/>
          <w:color w:val="000000"/>
          <w:sz w:val="22"/>
          <w:szCs w:val="22"/>
          <w:lang w:val="es-ES_tradnl"/>
        </w:rPr>
        <w:t>planeación</w:t>
      </w:r>
      <w:r w:rsidRPr="00616402">
        <w:rPr>
          <w:rFonts w:ascii="Palatino Linotype" w:eastAsiaTheme="minorEastAsia" w:hAnsi="Palatino Linotype" w:cstheme="minorBidi"/>
          <w:i/>
          <w:sz w:val="22"/>
          <w:szCs w:val="22"/>
          <w:lang w:val="es-ES_tradnl"/>
        </w:rPr>
        <w:t>,</w:t>
      </w:r>
      <w:r w:rsidRPr="00616402">
        <w:rPr>
          <w:rFonts w:ascii="Palatino Linotype" w:eastAsiaTheme="minorEastAsia" w:hAnsi="Palatino Linotype" w:cstheme="minorBidi"/>
          <w:b/>
          <w:i/>
          <w:sz w:val="22"/>
          <w:szCs w:val="22"/>
          <w:lang w:val="es-ES_tradnl"/>
        </w:rPr>
        <w:t xml:space="preserve"> programación, presupuestación</w:t>
      </w:r>
      <w:r w:rsidRPr="00616402">
        <w:rPr>
          <w:rFonts w:ascii="Palatino Linotype" w:eastAsiaTheme="minorEastAsia" w:hAnsi="Palatino Linotype" w:cstheme="minorBidi"/>
          <w:i/>
          <w:sz w:val="22"/>
          <w:szCs w:val="22"/>
          <w:lang w:val="es-ES_tradnl"/>
        </w:rPr>
        <w:t xml:space="preserve">, evaluación y </w:t>
      </w:r>
      <w:r w:rsidRPr="00616402">
        <w:rPr>
          <w:rFonts w:ascii="Palatino Linotype" w:eastAsiaTheme="minorEastAsia" w:hAnsi="Palatino Linotype" w:cs="Arial"/>
          <w:b/>
          <w:i/>
          <w:color w:val="000000"/>
          <w:sz w:val="22"/>
          <w:szCs w:val="22"/>
          <w:lang w:val="es-ES_tradnl"/>
        </w:rPr>
        <w:t>contabilidad</w:t>
      </w:r>
      <w:r w:rsidRPr="00616402">
        <w:rPr>
          <w:rFonts w:ascii="Palatino Linotype" w:eastAsiaTheme="minorEastAsia" w:hAnsi="Palatino Linotype" w:cstheme="minorBidi"/>
          <w:b/>
          <w:i/>
          <w:sz w:val="22"/>
          <w:szCs w:val="22"/>
          <w:lang w:val="es-ES_tradnl"/>
        </w:rPr>
        <w:t xml:space="preserve"> gubernamental.</w:t>
      </w:r>
      <w:r w:rsidRPr="00616402">
        <w:rPr>
          <w:rFonts w:ascii="Palatino Linotype" w:eastAsiaTheme="minorEastAsia" w:hAnsi="Palatino Linotype" w:cstheme="minorBidi"/>
          <w:i/>
          <w:sz w:val="22"/>
          <w:szCs w:val="22"/>
          <w:lang w:val="es-ES_tradnl"/>
        </w:rPr>
        <w:t xml:space="preserve"> </w:t>
      </w:r>
    </w:p>
    <w:p w:rsidR="002D69B2" w:rsidRPr="00616402" w:rsidRDefault="002D69B2" w:rsidP="002D69B2">
      <w:pPr>
        <w:ind w:left="851" w:right="901"/>
        <w:jc w:val="both"/>
        <w:rPr>
          <w:rFonts w:ascii="Palatino Linotype" w:eastAsiaTheme="minorEastAsia" w:hAnsi="Palatino Linotype" w:cstheme="minorBidi"/>
          <w:b/>
          <w:i/>
          <w:sz w:val="22"/>
          <w:szCs w:val="22"/>
          <w:lang w:val="es-ES_tradnl"/>
        </w:rPr>
      </w:pPr>
      <w:r w:rsidRPr="00616402">
        <w:rPr>
          <w:rFonts w:ascii="Palatino Linotype" w:eastAsiaTheme="minorEastAsia" w:hAnsi="Palatino Linotype" w:cs="Arial"/>
          <w:b/>
          <w:bCs/>
          <w:i/>
          <w:color w:val="000000"/>
          <w:sz w:val="22"/>
          <w:szCs w:val="22"/>
          <w:lang w:val="es-ES_tradnl"/>
        </w:rPr>
        <w:t>…</w:t>
      </w:r>
    </w:p>
    <w:p w:rsidR="002D69B2" w:rsidRPr="00616402" w:rsidRDefault="002D69B2" w:rsidP="002D69B2">
      <w:pPr>
        <w:ind w:left="851" w:right="901"/>
        <w:jc w:val="both"/>
        <w:rPr>
          <w:rFonts w:ascii="Palatino Linotype" w:eastAsiaTheme="minorEastAsia" w:hAnsi="Palatino Linotype" w:cstheme="minorBidi"/>
          <w:i/>
          <w:sz w:val="22"/>
          <w:szCs w:val="22"/>
          <w:lang w:val="es-ES_tradnl"/>
        </w:rPr>
      </w:pPr>
      <w:r w:rsidRPr="00616402">
        <w:rPr>
          <w:rFonts w:ascii="Palatino Linotype" w:eastAsiaTheme="minorEastAsia" w:hAnsi="Palatino Linotype" w:cstheme="minorBidi"/>
          <w:b/>
          <w:i/>
          <w:sz w:val="22"/>
          <w:szCs w:val="22"/>
          <w:lang w:val="es-ES_tradnl"/>
        </w:rPr>
        <w:t>Artículo 343.-</w:t>
      </w:r>
      <w:r w:rsidRPr="00616402">
        <w:rPr>
          <w:rFonts w:ascii="Palatino Linotype" w:eastAsiaTheme="minorEastAsia" w:hAnsi="Palatino Linotype" w:cstheme="minorBidi"/>
          <w:i/>
          <w:sz w:val="22"/>
          <w:szCs w:val="22"/>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2D69B2" w:rsidRPr="00616402" w:rsidRDefault="002D69B2" w:rsidP="002D69B2">
      <w:pPr>
        <w:ind w:left="851" w:right="901"/>
        <w:jc w:val="both"/>
        <w:rPr>
          <w:rFonts w:ascii="Palatino Linotype" w:eastAsiaTheme="minorEastAsia" w:hAnsi="Palatino Linotype" w:cstheme="minorBidi"/>
          <w:i/>
          <w:sz w:val="22"/>
          <w:szCs w:val="22"/>
          <w:lang w:val="es-ES_tradnl"/>
        </w:rPr>
      </w:pPr>
      <w:r w:rsidRPr="00616402">
        <w:rPr>
          <w:rFonts w:ascii="Palatino Linotype" w:eastAsiaTheme="minorEastAsia" w:hAnsi="Palatino Linotype" w:cstheme="minorBidi"/>
          <w:i/>
          <w:sz w:val="22"/>
          <w:szCs w:val="22"/>
          <w:lang w:val="es-ES_tradnl"/>
        </w:rPr>
        <w:t xml:space="preserve">El sistema de contabilidad sobre base acumulativa total se sustentará en los postulados básicos y el marco conceptual de la contabilidad gubernamental. </w:t>
      </w:r>
    </w:p>
    <w:p w:rsidR="002D69B2" w:rsidRPr="00616402" w:rsidRDefault="002D69B2" w:rsidP="002D69B2">
      <w:pPr>
        <w:ind w:left="851" w:right="901"/>
        <w:jc w:val="both"/>
        <w:rPr>
          <w:rFonts w:ascii="Palatino Linotype" w:eastAsiaTheme="minorEastAsia" w:hAnsi="Palatino Linotype" w:cstheme="minorBidi"/>
          <w:i/>
          <w:sz w:val="22"/>
          <w:szCs w:val="22"/>
          <w:lang w:val="es-ES_tradnl"/>
        </w:rPr>
      </w:pPr>
      <w:r w:rsidRPr="00616402">
        <w:rPr>
          <w:rFonts w:ascii="Palatino Linotype" w:eastAsiaTheme="minorEastAsia" w:hAnsi="Palatino Linotype" w:cstheme="minorBidi"/>
          <w:b/>
          <w:i/>
          <w:sz w:val="22"/>
          <w:szCs w:val="22"/>
          <w:lang w:val="es-ES_tradnl"/>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616402">
        <w:rPr>
          <w:rFonts w:ascii="Palatino Linotype" w:eastAsiaTheme="minorEastAsia" w:hAnsi="Palatino Linotype" w:cstheme="minorBidi"/>
          <w:i/>
          <w:sz w:val="22"/>
          <w:szCs w:val="22"/>
          <w:lang w:val="es-ES_tradnl"/>
        </w:rPr>
        <w:t xml:space="preserve">en el caso de los Municipios se hará por la Tesorería. </w:t>
      </w:r>
    </w:p>
    <w:p w:rsidR="002D69B2" w:rsidRPr="00616402" w:rsidRDefault="002D69B2" w:rsidP="002D69B2">
      <w:pPr>
        <w:ind w:left="851" w:right="901"/>
        <w:jc w:val="both"/>
        <w:rPr>
          <w:rFonts w:ascii="Palatino Linotype" w:eastAsiaTheme="minorEastAsia" w:hAnsi="Palatino Linotype" w:cstheme="minorBidi"/>
          <w:i/>
          <w:sz w:val="22"/>
          <w:szCs w:val="22"/>
          <w:lang w:val="es-ES_tradnl"/>
        </w:rPr>
      </w:pPr>
      <w:r w:rsidRPr="00616402">
        <w:rPr>
          <w:rFonts w:ascii="Palatino Linotype" w:eastAsiaTheme="minorEastAsia" w:hAnsi="Palatino Linotype" w:cstheme="minorBidi"/>
          <w:i/>
          <w:sz w:val="22"/>
          <w:szCs w:val="22"/>
          <w:lang w:val="es-ES_tradnl"/>
        </w:rPr>
        <w:t xml:space="preserve">Derogado. </w:t>
      </w:r>
    </w:p>
    <w:p w:rsidR="002D69B2" w:rsidRPr="00616402" w:rsidRDefault="002D69B2" w:rsidP="002D69B2">
      <w:pPr>
        <w:ind w:left="851" w:right="850"/>
        <w:jc w:val="both"/>
        <w:rPr>
          <w:rFonts w:ascii="Palatino Linotype" w:eastAsiaTheme="minorEastAsia" w:hAnsi="Palatino Linotype" w:cstheme="minorBidi"/>
          <w:i/>
          <w:sz w:val="22"/>
          <w:szCs w:val="22"/>
          <w:lang w:val="es-ES_tradnl"/>
        </w:rPr>
      </w:pPr>
      <w:r w:rsidRPr="00616402">
        <w:rPr>
          <w:rFonts w:ascii="Palatino Linotype" w:eastAsiaTheme="minorEastAsia" w:hAnsi="Palatino Linotype" w:cstheme="minorBidi"/>
          <w:b/>
          <w:i/>
          <w:sz w:val="22"/>
          <w:szCs w:val="22"/>
          <w:lang w:val="es-ES_tradnl"/>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616402">
        <w:rPr>
          <w:rFonts w:ascii="Palatino Linotype" w:eastAsiaTheme="minorEastAsia" w:hAnsi="Palatino Linotype" w:cstheme="minorBidi"/>
          <w:i/>
          <w:sz w:val="22"/>
          <w:szCs w:val="22"/>
          <w:lang w:val="es-ES_tradnl"/>
        </w:rPr>
        <w:t xml:space="preserve"> a partir del ejercicio presupuestal siguiente al que corresponda, en el caso de los municipios se hará por la Tesorería. </w:t>
      </w:r>
    </w:p>
    <w:p w:rsidR="002D69B2" w:rsidRPr="00616402" w:rsidRDefault="002D69B2" w:rsidP="002D69B2">
      <w:pPr>
        <w:ind w:left="851" w:right="901"/>
        <w:jc w:val="both"/>
        <w:rPr>
          <w:rFonts w:ascii="Palatino Linotype" w:eastAsiaTheme="minorEastAsia" w:hAnsi="Palatino Linotype" w:cstheme="minorBidi"/>
          <w:i/>
          <w:sz w:val="22"/>
          <w:szCs w:val="22"/>
          <w:lang w:val="es-ES_tradnl"/>
        </w:rPr>
      </w:pPr>
      <w:r w:rsidRPr="00616402">
        <w:rPr>
          <w:rFonts w:ascii="Palatino Linotype" w:eastAsiaTheme="minorEastAsia" w:hAnsi="Palatino Linotype" w:cstheme="minorBidi"/>
          <w:i/>
          <w:sz w:val="22"/>
          <w:szCs w:val="22"/>
          <w:lang w:val="es-ES_tradnl"/>
        </w:rPr>
        <w:t>…</w:t>
      </w:r>
    </w:p>
    <w:p w:rsidR="002D69B2" w:rsidRPr="00616402" w:rsidRDefault="002D69B2" w:rsidP="002D69B2">
      <w:pPr>
        <w:ind w:left="851" w:right="901"/>
        <w:jc w:val="both"/>
        <w:rPr>
          <w:rFonts w:ascii="Palatino Linotype" w:eastAsiaTheme="minorEastAsia" w:hAnsi="Palatino Linotype" w:cstheme="minorBidi"/>
          <w:i/>
          <w:sz w:val="22"/>
          <w:szCs w:val="22"/>
          <w:lang w:val="es-ES_tradnl"/>
        </w:rPr>
      </w:pPr>
      <w:r w:rsidRPr="00616402">
        <w:rPr>
          <w:rFonts w:ascii="Palatino Linotype" w:eastAsiaTheme="minorEastAsia" w:hAnsi="Palatino Linotype" w:cstheme="minorBidi"/>
          <w:b/>
          <w:i/>
          <w:sz w:val="22"/>
          <w:szCs w:val="22"/>
          <w:lang w:val="es-ES_tradnl"/>
        </w:rPr>
        <w:t>Artículo 345.-</w:t>
      </w:r>
      <w:r w:rsidRPr="00616402">
        <w:rPr>
          <w:rFonts w:ascii="Palatino Linotype" w:eastAsiaTheme="minorEastAsia" w:hAnsi="Palatino Linotype" w:cstheme="minorBidi"/>
          <w:i/>
          <w:sz w:val="22"/>
          <w:szCs w:val="22"/>
          <w:lang w:val="es-ES_tradnl"/>
        </w:rPr>
        <w:t xml:space="preserve"> </w:t>
      </w:r>
      <w:r w:rsidRPr="00616402">
        <w:rPr>
          <w:rFonts w:ascii="Palatino Linotype" w:eastAsiaTheme="minorEastAsia" w:hAnsi="Palatino Linotype" w:cstheme="minorBidi"/>
          <w:b/>
          <w:i/>
          <w:sz w:val="22"/>
          <w:szCs w:val="22"/>
          <w:lang w:val="es-ES_tradnl"/>
        </w:rPr>
        <w:t>Las Dependencias, Entidades Públicas y unidades administrativas deberán conservar la documentación contable del año en curso y la de ejercicios anteriores cuyas cuentas públicas hayan sido revisadas y fiscalizadas por la Legislatura</w:t>
      </w:r>
      <w:r w:rsidRPr="00616402">
        <w:rPr>
          <w:rFonts w:ascii="Palatino Linotype" w:eastAsiaTheme="minorEastAsia" w:hAnsi="Palatino Linotype" w:cstheme="minorBidi"/>
          <w:i/>
          <w:sz w:val="22"/>
          <w:szCs w:val="22"/>
          <w:lang w:val="es-ES_tradnl"/>
        </w:rPr>
        <w:t xml:space="preserve">, la remitirán en un plazo que no excederá de seis meses al Archivo Contable Gubernamental. </w:t>
      </w:r>
      <w:r w:rsidRPr="00616402">
        <w:rPr>
          <w:rFonts w:ascii="Palatino Linotype" w:eastAsiaTheme="minorEastAsia" w:hAnsi="Palatino Linotype" w:cstheme="minorBidi"/>
          <w:b/>
          <w:i/>
          <w:sz w:val="22"/>
          <w:szCs w:val="22"/>
          <w:lang w:val="es-ES_tradnl"/>
        </w:rPr>
        <w:t>Tratándose de los comprobantes fiscales digitales, estos deberán estar agregados en forma electrónica en cada póliza de registro contable</w:t>
      </w:r>
      <w:r w:rsidRPr="00616402">
        <w:rPr>
          <w:rFonts w:ascii="Palatino Linotype" w:eastAsiaTheme="minorEastAsia" w:hAnsi="Palatino Linotype" w:cstheme="minorBidi"/>
          <w:i/>
          <w:sz w:val="22"/>
          <w:szCs w:val="22"/>
          <w:lang w:val="es-ES_tradnl"/>
        </w:rPr>
        <w:t xml:space="preserve">. </w:t>
      </w:r>
    </w:p>
    <w:p w:rsidR="002D69B2" w:rsidRPr="00616402" w:rsidRDefault="002D69B2" w:rsidP="002D69B2">
      <w:pPr>
        <w:ind w:left="851" w:right="901"/>
        <w:jc w:val="both"/>
        <w:rPr>
          <w:rFonts w:ascii="Palatino Linotype" w:eastAsiaTheme="minorEastAsia" w:hAnsi="Palatino Linotype" w:cs="Arial"/>
          <w:bCs/>
          <w:i/>
          <w:color w:val="000000"/>
          <w:sz w:val="22"/>
          <w:szCs w:val="22"/>
          <w:lang w:val="es-ES_tradnl"/>
        </w:rPr>
      </w:pPr>
      <w:r w:rsidRPr="00616402">
        <w:rPr>
          <w:rFonts w:ascii="Palatino Linotype" w:eastAsiaTheme="minorEastAsia" w:hAnsi="Palatino Linotype" w:cstheme="minorBidi"/>
          <w:i/>
          <w:sz w:val="22"/>
          <w:szCs w:val="22"/>
          <w:lang w:val="es-ES_tradnl"/>
        </w:rPr>
        <w:lastRenderedPageBreak/>
        <w:t>El plazo señalado en el párrafo anterior, empezará a contar a partir de la publicación en el Periódico Oficial, del decreto correspondiente.</w:t>
      </w:r>
      <w:r w:rsidRPr="00616402">
        <w:rPr>
          <w:rFonts w:ascii="Palatino Linotype" w:eastAsiaTheme="minorEastAsia" w:hAnsi="Palatino Linotype" w:cs="Arial"/>
          <w:bCs/>
          <w:i/>
          <w:color w:val="000000"/>
          <w:sz w:val="22"/>
          <w:szCs w:val="22"/>
          <w:lang w:val="es-ES_tradnl"/>
        </w:rPr>
        <w:t xml:space="preserve"> “</w:t>
      </w:r>
      <w:r w:rsidRPr="00616402">
        <w:rPr>
          <w:rFonts w:ascii="Palatino Linotype" w:eastAsiaTheme="minorEastAsia" w:hAnsi="Palatino Linotype" w:cs="Arial"/>
          <w:bCs/>
          <w:i/>
          <w:color w:val="000000"/>
          <w:sz w:val="22"/>
          <w:szCs w:val="22"/>
          <w:lang w:val="es-ES_tradnl"/>
        </w:rPr>
        <w:cr/>
        <w:t>(Énfasis añadido)</w:t>
      </w:r>
    </w:p>
    <w:p w:rsidR="002D69B2" w:rsidRPr="00616402" w:rsidRDefault="002D69B2" w:rsidP="002D69B2">
      <w:p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lang w:val="es-ES"/>
        </w:rPr>
        <w:t>De una interpretación sistemática de los artículos transcritos, se desprende, que el</w:t>
      </w:r>
      <w:r w:rsidRPr="00616402">
        <w:rPr>
          <w:rFonts w:ascii="Palatino Linotype" w:hAnsi="Palatino Linotype" w:cs="Arial"/>
          <w:bCs/>
          <w:color w:val="000000"/>
          <w:lang w:val="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2D69B2" w:rsidRPr="00616402" w:rsidRDefault="002D69B2" w:rsidP="002D69B2">
      <w:pPr>
        <w:spacing w:before="100" w:beforeAutospacing="1" w:after="100" w:afterAutospacing="1" w:line="360" w:lineRule="auto"/>
        <w:jc w:val="both"/>
        <w:rPr>
          <w:rFonts w:ascii="Palatino Linotype" w:hAnsi="Palatino Linotype" w:cs="Arial"/>
          <w:lang w:val="es-ES" w:eastAsia="es-MX"/>
        </w:rPr>
      </w:pPr>
      <w:r w:rsidRPr="00616402">
        <w:rPr>
          <w:rFonts w:ascii="Palatino Linotype" w:hAnsi="Palatino Linotype" w:cs="Arial"/>
          <w:lang w:val="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616402">
        <w:rPr>
          <w:rFonts w:ascii="Palatino Linotype" w:hAnsi="Palatino Linotype" w:cs="Arial"/>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2D69B2" w:rsidRPr="00616402" w:rsidRDefault="002D69B2" w:rsidP="002D69B2">
      <w:pPr>
        <w:ind w:left="851" w:right="850"/>
        <w:jc w:val="both"/>
        <w:rPr>
          <w:rFonts w:ascii="Palatino Linotype" w:hAnsi="Palatino Linotype" w:cs="Arial"/>
          <w:b/>
          <w:i/>
          <w:sz w:val="22"/>
          <w:szCs w:val="20"/>
          <w:lang w:val="es-ES" w:eastAsia="es-MX"/>
        </w:rPr>
      </w:pPr>
      <w:r w:rsidRPr="00616402">
        <w:rPr>
          <w:rFonts w:ascii="Palatino Linotype" w:hAnsi="Palatino Linotype" w:cs="Arial"/>
          <w:b/>
          <w:i/>
          <w:sz w:val="22"/>
          <w:szCs w:val="20"/>
          <w:lang w:val="es-ES" w:eastAsia="es-MX"/>
        </w:rPr>
        <w:t xml:space="preserve">“REGISTRO CONTABLE </w:t>
      </w:r>
    </w:p>
    <w:p w:rsidR="002D69B2" w:rsidRPr="00616402" w:rsidRDefault="002D69B2" w:rsidP="002D69B2">
      <w:pPr>
        <w:ind w:left="851" w:right="850"/>
        <w:jc w:val="both"/>
        <w:rPr>
          <w:rFonts w:ascii="Palatino Linotype" w:hAnsi="Palatino Linotype" w:cs="Arial"/>
          <w:i/>
          <w:sz w:val="22"/>
          <w:szCs w:val="20"/>
          <w:lang w:val="es-ES" w:eastAsia="es-MX"/>
        </w:rPr>
      </w:pPr>
      <w:r w:rsidRPr="00616402">
        <w:rPr>
          <w:rFonts w:ascii="Palatino Linotype" w:hAnsi="Palatino Linotype" w:cs="Arial"/>
          <w:i/>
          <w:sz w:val="22"/>
          <w:szCs w:val="20"/>
          <w:lang w:val="es-ES" w:eastAsia="es-MX"/>
        </w:rPr>
        <w:t>Asiento que se realiza en los libros de contabilidad de las actividades relacionadas con el ingreso y egresos de un ente económico.”</w:t>
      </w:r>
    </w:p>
    <w:p w:rsidR="002D69B2" w:rsidRPr="00616402" w:rsidRDefault="002D69B2" w:rsidP="002D69B2">
      <w:pPr>
        <w:ind w:left="851" w:right="850"/>
        <w:jc w:val="both"/>
        <w:rPr>
          <w:rFonts w:ascii="Palatino Linotype" w:hAnsi="Palatino Linotype" w:cs="Arial"/>
          <w:b/>
          <w:i/>
          <w:sz w:val="22"/>
          <w:szCs w:val="20"/>
          <w:lang w:val="es-ES" w:eastAsia="es-MX"/>
        </w:rPr>
      </w:pPr>
      <w:r w:rsidRPr="00616402">
        <w:rPr>
          <w:rFonts w:ascii="Palatino Linotype" w:hAnsi="Palatino Linotype" w:cs="Arial"/>
          <w:b/>
          <w:i/>
          <w:sz w:val="22"/>
          <w:szCs w:val="20"/>
          <w:lang w:val="es-ES" w:eastAsia="es-MX"/>
        </w:rPr>
        <w:t>“REGISTRO PRESUPUESTARIO</w:t>
      </w:r>
    </w:p>
    <w:p w:rsidR="002D69B2" w:rsidRPr="00616402" w:rsidRDefault="002D69B2" w:rsidP="002D69B2">
      <w:pPr>
        <w:ind w:left="851" w:right="850"/>
        <w:jc w:val="both"/>
        <w:rPr>
          <w:rFonts w:ascii="Palatino Linotype" w:hAnsi="Palatino Linotype" w:cs="Arial"/>
          <w:i/>
          <w:sz w:val="22"/>
          <w:szCs w:val="20"/>
          <w:lang w:val="es-ES" w:eastAsia="es-MX"/>
        </w:rPr>
      </w:pPr>
      <w:r w:rsidRPr="00616402">
        <w:rPr>
          <w:rFonts w:ascii="Palatino Linotype" w:hAnsi="Palatino Linotype" w:cs="Arial"/>
          <w:i/>
          <w:sz w:val="22"/>
          <w:szCs w:val="20"/>
          <w:lang w:val="es-ES" w:eastAsia="es-MX"/>
        </w:rPr>
        <w:t>Asiento contable de las erogaciones realizadas por las dependencias y entidades con relación a la asignación, modificación y ejercicio de los recursos presupuestarios que se les hayan autorizado.”</w:t>
      </w:r>
    </w:p>
    <w:p w:rsidR="002D69B2" w:rsidRPr="00616402" w:rsidRDefault="002D69B2" w:rsidP="002D69B2">
      <w:p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lastRenderedPageBreak/>
        <w:t>Por otra parte, se establece que el sistema de contabilidad sobre base acumulativa total se sustentará en los principios de contabilidad gubernamental.</w:t>
      </w:r>
    </w:p>
    <w:p w:rsidR="002D69B2" w:rsidRPr="00616402" w:rsidRDefault="002D69B2" w:rsidP="002D69B2">
      <w:p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Igualmente, los preceptos legales citados señalan que los Sujetos Obligados deben contar con una unidad administrativa que registre contablemente el efecto patrimonial y presupuestal de las operaciones financieras que realizan, en el momento en que ocurran, con base en el sistema y políticas de registro establecidas.</w:t>
      </w:r>
    </w:p>
    <w:p w:rsidR="002D69B2" w:rsidRPr="00616402" w:rsidRDefault="002D69B2" w:rsidP="002D69B2">
      <w:p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Cabe destacar, que el ordenamiento legal en cita establece que todo registro contable y presupuestal deberá estar soportado con los documentos comprobatorios originales, los que deberán permanecer en custodia y conservación de la unidad administrativa correspondiente y a disposición del Órgano Superior de Fiscalización del Estado de México (OSFEM), por un término de cinco años contados a partir del ejercicio presupuestal siguiente al que corresponda.</w:t>
      </w:r>
    </w:p>
    <w:p w:rsidR="002D69B2" w:rsidRPr="00616402" w:rsidRDefault="002D69B2" w:rsidP="002D69B2">
      <w:p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 xml:space="preserve">Atento a lo anterior, es de referir que, en términos del penúltimo párrafo del artículo 23 de la Ley de Transparencia y Acceso a la Información Pública del Estado de México y Municipios, es deber de los Sujetos Obligados hacer pública toda la información relativa a los montos y personas a quienes se entreguen recursos públicos. </w:t>
      </w:r>
    </w:p>
    <w:p w:rsidR="002D69B2" w:rsidRPr="00616402" w:rsidRDefault="002D69B2" w:rsidP="002D69B2">
      <w:p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 xml:space="preserve">Aunado a lo anterior, este Instituto advirtió que de conformidad con lo dispuesto por los artículos 29 y 29-A del Código Fiscal de la Federación; así como por la Resolución Miscelánea Fiscal para el ejercicio de 2019 y en tención a la información publicada por el Servicio de Administración Tributaria (SAT), ubicable en la liga electrónica: </w:t>
      </w:r>
      <w:hyperlink r:id="rId7" w:history="1">
        <w:r w:rsidRPr="00616402">
          <w:rPr>
            <w:rStyle w:val="Hipervnculo"/>
            <w:rFonts w:ascii="Palatino Linotype" w:hAnsi="Palatino Linotype" w:cs="Arial"/>
            <w:bCs/>
            <w:lang w:val="es-ES"/>
          </w:rPr>
          <w:t>http://omawww.sat.gob.mx/factura/Paginas/solicita_requisitos.htm</w:t>
        </w:r>
      </w:hyperlink>
      <w:r w:rsidRPr="00616402">
        <w:rPr>
          <w:rFonts w:ascii="Palatino Linotype" w:hAnsi="Palatino Linotype" w:cs="Arial"/>
          <w:bCs/>
          <w:color w:val="000000"/>
          <w:lang w:val="es-ES"/>
        </w:rPr>
        <w:t>, las facturas deben reunir los siguientes requisitos:</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lastRenderedPageBreak/>
        <w:t>Clave del Registro Federal de Contribuyentes de quien los expida;</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Régimen Fiscal en que tributen conforme a la Ley del Impuesto Sobre la Renta;</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Sí se tiene más de un local o establecimiento, se deberá señalar el domicilio del local o establecimiento en el que se expidan las Facturas;</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Contener el número de folio asignado por el SAT y el sello digital del SAT;</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Sello digital del contribuyente que lo expide;</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Lugar y fecha de expedición;</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Clave del Registro Federal de Contribuyentes de la persona a favor de quien se expida;</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Cantidad, unidad de medida y clase de los bienes, mercancías o descripción del servicio o del uso o goce que amparen;</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Valor unitario consignado en número;</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Importe total señalado en número o en letra;</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Señalamiento expreso cuando la prestación se pague en una sola exhibición o en parcialidades;</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Cuando proceda, se indicará el monto de los impuestos trasladados, desglosados por tasa de impuesto y, en su caso, el monto de los impuestos retenidos;</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Forma en que se realizó el pago (efectivo, transferencia electrónica de fondos, cheque nominativos o tarjeta de débito, de crédito, de servicio o la denominada monedero electrónico que autorice el SAT);</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Número y fecha del documento aduanero, tratándose de ventas de primera mano de mercancías de importación;</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Fecha y hora de certificación;</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lastRenderedPageBreak/>
        <w:t>Número de serie del certificado digital del SAT con el que se realizó el sellado;</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Código de barras generado conforme al rubro I.D del Anexo 20 o el número de folio fiscal del comprobante;</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Número de serie del CSD del emisor y del SAT;</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La leyenda “Este documento es una representación impresa de un CFDI”;</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Fecha y hora de emisión y de certificación de la Factura; y,</w:t>
      </w:r>
    </w:p>
    <w:p w:rsidR="002D69B2" w:rsidRPr="00616402" w:rsidRDefault="002D69B2" w:rsidP="002D69B2">
      <w:pPr>
        <w:pStyle w:val="Prrafodelista"/>
        <w:numPr>
          <w:ilvl w:val="0"/>
          <w:numId w:val="23"/>
        </w:num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Cadena original del complemento de certificación digital del SAT.</w:t>
      </w:r>
    </w:p>
    <w:p w:rsidR="002D69B2" w:rsidRPr="00616402" w:rsidRDefault="002D69B2" w:rsidP="002D69B2">
      <w:pPr>
        <w:spacing w:before="100" w:beforeAutospacing="1" w:after="100" w:afterAutospacing="1" w:line="360" w:lineRule="auto"/>
        <w:jc w:val="both"/>
        <w:rPr>
          <w:rFonts w:ascii="Palatino Linotype" w:hAnsi="Palatino Linotype" w:cs="Arial"/>
          <w:bCs/>
          <w:color w:val="000000"/>
          <w:lang w:val="es-ES"/>
        </w:rPr>
      </w:pPr>
      <w:r w:rsidRPr="00616402">
        <w:rPr>
          <w:rFonts w:ascii="Palatino Linotype" w:hAnsi="Palatino Linotype" w:cs="Arial"/>
          <w:bCs/>
          <w:color w:val="000000"/>
          <w:lang w:val="es-ES"/>
        </w:rPr>
        <w:t xml:space="preserve">Por tal motivo, </w:t>
      </w:r>
      <w:r w:rsidRPr="00616402">
        <w:rPr>
          <w:rFonts w:ascii="Palatino Linotype" w:hAnsi="Palatino Linotype" w:cs="Arial"/>
          <w:b/>
          <w:bCs/>
          <w:color w:val="000000"/>
          <w:lang w:val="es-ES"/>
        </w:rPr>
        <w:t>EL SUJETO OBLIGADO</w:t>
      </w:r>
      <w:r w:rsidRPr="00616402">
        <w:rPr>
          <w:rFonts w:ascii="Palatino Linotype" w:hAnsi="Palatino Linotype" w:cs="Arial"/>
          <w:bCs/>
          <w:color w:val="000000"/>
          <w:lang w:val="es-ES"/>
        </w:rPr>
        <w:t xml:space="preserve"> pudiese satisfacer la solicitud de acceso a la información marcada en los puntos </w:t>
      </w:r>
      <w:r w:rsidRPr="00616402">
        <w:rPr>
          <w:rFonts w:ascii="Palatino Linotype" w:eastAsia="Calibri" w:hAnsi="Palatino Linotype"/>
          <w:lang w:val="es-ES"/>
        </w:rPr>
        <w:t>referidos</w:t>
      </w:r>
      <w:r w:rsidRPr="00616402">
        <w:rPr>
          <w:rFonts w:ascii="Palatino Linotype" w:hAnsi="Palatino Linotype" w:cs="Arial"/>
          <w:bCs/>
          <w:color w:val="000000"/>
          <w:lang w:val="es-ES"/>
        </w:rPr>
        <w:t xml:space="preserve"> con la entrega de las facturas y comprobantes que amparen la adquisición de bienes y servicios del Ayuntamiento durante los meses de junio y julio de 2019; entrega que deberá hacerse, de ser procedente, en </w:t>
      </w:r>
      <w:r w:rsidRPr="00616402">
        <w:rPr>
          <w:rFonts w:ascii="Palatino Linotype" w:hAnsi="Palatino Linotype" w:cs="Arial"/>
          <w:b/>
          <w:bCs/>
          <w:color w:val="000000"/>
          <w:lang w:val="es-ES"/>
        </w:rPr>
        <w:t>versión pública</w:t>
      </w:r>
      <w:r w:rsidRPr="00616402">
        <w:rPr>
          <w:rFonts w:ascii="Palatino Linotype" w:hAnsi="Palatino Linotype" w:cs="Arial"/>
          <w:bCs/>
          <w:color w:val="000000"/>
          <w:lang w:val="es-ES"/>
        </w:rPr>
        <w:t xml:space="preserve">, cumpliendo con las formalidades que en líneas posteriores se estudiarán. </w:t>
      </w:r>
    </w:p>
    <w:p w:rsidR="0028762A" w:rsidRPr="00616402" w:rsidRDefault="0028762A" w:rsidP="0028762A">
      <w:pPr>
        <w:spacing w:before="100" w:beforeAutospacing="1" w:after="100" w:afterAutospacing="1" w:line="360" w:lineRule="auto"/>
        <w:ind w:right="49"/>
        <w:jc w:val="both"/>
        <w:rPr>
          <w:rFonts w:ascii="Palatino Linotype" w:hAnsi="Palatino Linotype" w:cs="Arial"/>
        </w:rPr>
      </w:pPr>
      <w:r w:rsidRPr="00616402">
        <w:rPr>
          <w:rFonts w:ascii="Palatino Linotype" w:hAnsi="Palatino Linotype" w:cs="Arial"/>
        </w:rPr>
        <w:t xml:space="preserve">Ahora bien, cabe señalar que de las constancias que integran los expedientes electrónicos del </w:t>
      </w:r>
      <w:r w:rsidRPr="00616402">
        <w:rPr>
          <w:rFonts w:ascii="Palatino Linotype" w:hAnsi="Palatino Linotype" w:cs="Arial"/>
          <w:b/>
        </w:rPr>
        <w:t xml:space="preserve">SAIMEX, </w:t>
      </w:r>
      <w:r w:rsidRPr="00616402">
        <w:rPr>
          <w:rFonts w:ascii="Palatino Linotype" w:hAnsi="Palatino Linotype" w:cs="Arial"/>
        </w:rPr>
        <w:t xml:space="preserve">no se advierte que el Titular de la Unidad de Transparencia haya turnado a las áreas que conforme a sus atribuciones pudieran tener la información solicitada por el particular; razón por la cual, </w:t>
      </w:r>
      <w:r w:rsidRPr="00616402">
        <w:rPr>
          <w:rFonts w:ascii="Palatino Linotype" w:hAnsi="Palatino Linotype" w:cs="Bookman Old Style,Bold"/>
          <w:bCs/>
        </w:rPr>
        <w:t xml:space="preserve">es </w:t>
      </w:r>
      <w:r w:rsidRPr="00616402">
        <w:rPr>
          <w:rFonts w:ascii="Palatino Linotype" w:hAnsi="Palatino Linotype" w:cs="Arial"/>
        </w:rPr>
        <w:t xml:space="preserve">importante determinar en quién recae la figura de los Servidores Públicos Habilitados competentes, los cuales son los encargados dentro de las diversas unidades administrativas o áreas de los Sujeto Obligados, de apoyar, gestionar y entregar la información o datos personales que se ubiquen en la misma, a sus respectivas Unidades de Transparencia, en términos de lo dispuesto en los artículos </w:t>
      </w:r>
      <w:r w:rsidRPr="00616402">
        <w:rPr>
          <w:rFonts w:ascii="Palatino Linotype" w:hAnsi="Palatino Linotype" w:cs="Arial"/>
          <w:lang w:val="es-ES_tradnl"/>
        </w:rPr>
        <w:t>3 fracción XXXIX, 50, 51, 53, 54 y 59 fracciones I, II y III, de la Ley de la materia, mismos que se transcriben a continuación:</w:t>
      </w:r>
    </w:p>
    <w:p w:rsidR="0028762A" w:rsidRPr="00616402" w:rsidRDefault="0028762A" w:rsidP="0028762A">
      <w:pPr>
        <w:ind w:left="567" w:right="616"/>
        <w:jc w:val="both"/>
        <w:rPr>
          <w:rFonts w:ascii="Palatino Linotype" w:hAnsi="Palatino Linotype" w:cs="Arial"/>
          <w:i/>
          <w:sz w:val="22"/>
          <w:szCs w:val="22"/>
        </w:rPr>
      </w:pPr>
      <w:r w:rsidRPr="00616402">
        <w:rPr>
          <w:rFonts w:ascii="Palatino Linotype" w:hAnsi="Palatino Linotype" w:cs="Arial"/>
          <w:i/>
          <w:sz w:val="22"/>
          <w:szCs w:val="22"/>
        </w:rPr>
        <w:lastRenderedPageBreak/>
        <w:t>“</w:t>
      </w:r>
      <w:r w:rsidRPr="00616402">
        <w:rPr>
          <w:rFonts w:ascii="Palatino Linotype" w:hAnsi="Palatino Linotype" w:cs="Arial"/>
          <w:b/>
          <w:i/>
          <w:sz w:val="22"/>
          <w:szCs w:val="22"/>
        </w:rPr>
        <w:t>Artículo 3</w:t>
      </w:r>
      <w:r w:rsidRPr="00616402">
        <w:rPr>
          <w:rFonts w:ascii="Palatino Linotype" w:hAnsi="Palatino Linotype" w:cs="Arial"/>
          <w:i/>
          <w:sz w:val="22"/>
          <w:szCs w:val="22"/>
        </w:rPr>
        <w:t xml:space="preserve">. </w:t>
      </w:r>
      <w:r w:rsidRPr="00616402">
        <w:rPr>
          <w:rFonts w:ascii="Palatino Linotype" w:hAnsi="Palatino Linotype" w:cs="Arial"/>
          <w:b/>
          <w:i/>
          <w:sz w:val="22"/>
          <w:szCs w:val="22"/>
          <w:u w:val="single"/>
        </w:rPr>
        <w:t>Para los efectos de la presente Ley se entenderá por</w:t>
      </w:r>
      <w:r w:rsidRPr="00616402">
        <w:rPr>
          <w:rFonts w:ascii="Palatino Linotype" w:hAnsi="Palatino Linotype" w:cs="Arial"/>
          <w:i/>
          <w:sz w:val="22"/>
          <w:szCs w:val="22"/>
        </w:rPr>
        <w:t xml:space="preserve">: </w:t>
      </w:r>
    </w:p>
    <w:p w:rsidR="0028762A" w:rsidRPr="00616402" w:rsidRDefault="0028762A" w:rsidP="0028762A">
      <w:pPr>
        <w:ind w:left="567" w:right="616"/>
        <w:jc w:val="both"/>
        <w:rPr>
          <w:rFonts w:ascii="Palatino Linotype" w:hAnsi="Palatino Linotype" w:cs="Arial"/>
          <w:b/>
          <w:i/>
          <w:sz w:val="22"/>
          <w:szCs w:val="22"/>
        </w:rPr>
      </w:pPr>
      <w:r w:rsidRPr="00616402">
        <w:rPr>
          <w:rFonts w:ascii="Palatino Linotype" w:hAnsi="Palatino Linotype" w:cs="Arial"/>
          <w:b/>
          <w:i/>
          <w:sz w:val="22"/>
          <w:szCs w:val="22"/>
        </w:rPr>
        <w:t>…</w:t>
      </w:r>
    </w:p>
    <w:p w:rsidR="0028762A" w:rsidRPr="00616402" w:rsidRDefault="0028762A" w:rsidP="0028762A">
      <w:pPr>
        <w:ind w:left="567" w:right="616"/>
        <w:jc w:val="both"/>
        <w:rPr>
          <w:rFonts w:ascii="Palatino Linotype" w:hAnsi="Palatino Linotype" w:cs="Arial"/>
          <w:i/>
          <w:sz w:val="22"/>
          <w:szCs w:val="22"/>
        </w:rPr>
      </w:pPr>
      <w:r w:rsidRPr="00616402">
        <w:rPr>
          <w:rFonts w:ascii="Palatino Linotype" w:hAnsi="Palatino Linotype" w:cs="Arial"/>
          <w:b/>
          <w:i/>
          <w:sz w:val="22"/>
          <w:szCs w:val="22"/>
        </w:rPr>
        <w:t>XXXIX</w:t>
      </w:r>
      <w:r w:rsidRPr="00616402">
        <w:rPr>
          <w:rFonts w:ascii="Palatino Linotype" w:hAnsi="Palatino Linotype" w:cs="Arial"/>
          <w:i/>
          <w:sz w:val="22"/>
          <w:szCs w:val="22"/>
        </w:rPr>
        <w:t xml:space="preserve">. </w:t>
      </w:r>
      <w:r w:rsidRPr="00616402">
        <w:rPr>
          <w:rFonts w:ascii="Palatino Linotype" w:hAnsi="Palatino Linotype" w:cs="Arial"/>
          <w:b/>
          <w:i/>
          <w:sz w:val="22"/>
          <w:szCs w:val="22"/>
          <w:u w:val="single"/>
        </w:rPr>
        <w:t>Servidor público habilitado</w:t>
      </w:r>
      <w:r w:rsidRPr="00616402">
        <w:rPr>
          <w:rFonts w:ascii="Palatino Linotype" w:hAnsi="Palatino Linotype" w:cs="Arial"/>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8762A" w:rsidRPr="00616402" w:rsidRDefault="0028762A" w:rsidP="0028762A">
      <w:pPr>
        <w:ind w:left="567" w:right="616"/>
        <w:jc w:val="both"/>
        <w:rPr>
          <w:rFonts w:ascii="Palatino Linotype" w:hAnsi="Palatino Linotype" w:cs="Arial"/>
          <w:i/>
          <w:sz w:val="22"/>
          <w:szCs w:val="22"/>
        </w:rPr>
      </w:pPr>
      <w:r w:rsidRPr="00616402">
        <w:rPr>
          <w:rFonts w:ascii="Palatino Linotype" w:hAnsi="Palatino Linotype" w:cs="Arial"/>
          <w:i/>
          <w:sz w:val="22"/>
          <w:szCs w:val="22"/>
        </w:rPr>
        <w:t>…</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b/>
          <w:i/>
          <w:sz w:val="22"/>
          <w:szCs w:val="22"/>
        </w:rPr>
        <w:t>Artículo 50.</w:t>
      </w:r>
      <w:r w:rsidRPr="00616402">
        <w:rPr>
          <w:rFonts w:ascii="Palatino Linotype" w:hAnsi="Palatino Linotype"/>
          <w:i/>
          <w:sz w:val="22"/>
          <w:szCs w:val="22"/>
        </w:rPr>
        <w:t xml:space="preserve"> Los sujetos obligados contarán con un </w:t>
      </w:r>
      <w:r w:rsidRPr="00616402">
        <w:rPr>
          <w:rFonts w:ascii="Palatino Linotype" w:hAnsi="Palatino Linotype"/>
          <w:b/>
          <w:i/>
          <w:sz w:val="22"/>
          <w:szCs w:val="22"/>
        </w:rPr>
        <w:t>área responsable para la atención de las solicitudes de información</w:t>
      </w:r>
      <w:r w:rsidRPr="00616402">
        <w:rPr>
          <w:rFonts w:ascii="Palatino Linotype" w:hAnsi="Palatino Linotype"/>
          <w:i/>
          <w:sz w:val="22"/>
          <w:szCs w:val="22"/>
        </w:rPr>
        <w:t>, a la que se le denominará Unidad de Transparencia.</w:t>
      </w:r>
    </w:p>
    <w:p w:rsidR="0028762A" w:rsidRPr="00616402" w:rsidRDefault="0028762A" w:rsidP="0028762A">
      <w:pPr>
        <w:ind w:left="567" w:right="618"/>
        <w:jc w:val="both"/>
        <w:rPr>
          <w:rFonts w:ascii="Palatino Linotype" w:hAnsi="Palatino Linotype"/>
          <w:b/>
          <w:i/>
          <w:sz w:val="22"/>
          <w:szCs w:val="22"/>
        </w:rPr>
      </w:pP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b/>
          <w:i/>
          <w:sz w:val="22"/>
          <w:szCs w:val="22"/>
        </w:rPr>
        <w:t>Artículo 51</w:t>
      </w:r>
      <w:r w:rsidRPr="00616402">
        <w:rPr>
          <w:rFonts w:ascii="Palatino Linotype" w:hAnsi="Palatino Linotype"/>
          <w:i/>
          <w:sz w:val="22"/>
          <w:szCs w:val="22"/>
        </w:rPr>
        <w:t xml:space="preserve">. Los sujetos obligados </w:t>
      </w:r>
      <w:r w:rsidRPr="00616402">
        <w:rPr>
          <w:rFonts w:ascii="Palatino Linotype" w:hAnsi="Palatino Linotype"/>
          <w:b/>
          <w:i/>
          <w:sz w:val="22"/>
          <w:szCs w:val="22"/>
        </w:rPr>
        <w:t>designaran a un responsable para atender la Unidad de Transparencia, quien fungirá como enlace entre éstos y los solicitantes</w:t>
      </w:r>
      <w:r w:rsidRPr="00616402">
        <w:rPr>
          <w:rFonts w:ascii="Palatino Linotype" w:hAnsi="Palatino Linotype"/>
          <w:i/>
          <w:sz w:val="22"/>
          <w:szCs w:val="22"/>
        </w:rPr>
        <w:t xml:space="preserve">. Dicha Unidad </w:t>
      </w:r>
      <w:r w:rsidRPr="00616402">
        <w:rPr>
          <w:rFonts w:ascii="Palatino Linotype" w:hAnsi="Palatino Linotype"/>
          <w:b/>
          <w:i/>
          <w:sz w:val="22"/>
          <w:szCs w:val="22"/>
        </w:rPr>
        <w:t>será la encargada de tramitar internamente la solicitud de información y tendrá la responsabilidad de verificar en cada caso que la misma no sea confidencial o reservada.</w:t>
      </w:r>
      <w:r w:rsidRPr="00616402">
        <w:rPr>
          <w:rFonts w:ascii="Palatino Linotype" w:hAnsi="Palatino Linotype"/>
          <w:i/>
          <w:sz w:val="22"/>
          <w:szCs w:val="22"/>
        </w:rPr>
        <w:t xml:space="preserve"> Dicha Unidad contará con las facultades internas necesarias para gestionar la atención a las solicitudes de información en los términos de la Ley General y la presente Ley.</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b/>
          <w:i/>
          <w:sz w:val="22"/>
          <w:szCs w:val="22"/>
        </w:rPr>
        <w:t>Artículo 53</w:t>
      </w:r>
      <w:r w:rsidRPr="00616402">
        <w:rPr>
          <w:rFonts w:ascii="Palatino Linotype" w:hAnsi="Palatino Linotype"/>
          <w:i/>
          <w:sz w:val="22"/>
          <w:szCs w:val="22"/>
        </w:rPr>
        <w:t xml:space="preserve">. Las Unidades de Transparencia tendrán las siguientes </w:t>
      </w:r>
      <w:r w:rsidRPr="00616402">
        <w:rPr>
          <w:rFonts w:ascii="Palatino Linotype" w:hAnsi="Palatino Linotype"/>
          <w:b/>
          <w:i/>
          <w:sz w:val="22"/>
          <w:szCs w:val="22"/>
        </w:rPr>
        <w:t>funciones:</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28762A" w:rsidRPr="00616402" w:rsidRDefault="0028762A" w:rsidP="0028762A">
      <w:pPr>
        <w:ind w:left="567" w:right="618"/>
        <w:jc w:val="both"/>
        <w:rPr>
          <w:rFonts w:ascii="Palatino Linotype" w:hAnsi="Palatino Linotype"/>
          <w:b/>
          <w:i/>
          <w:sz w:val="22"/>
          <w:szCs w:val="22"/>
        </w:rPr>
      </w:pPr>
      <w:r w:rsidRPr="00616402">
        <w:rPr>
          <w:rFonts w:ascii="Palatino Linotype" w:hAnsi="Palatino Linotype"/>
          <w:b/>
          <w:i/>
          <w:sz w:val="22"/>
          <w:szCs w:val="22"/>
        </w:rPr>
        <w:t xml:space="preserve">II. Recibir, </w:t>
      </w:r>
      <w:r w:rsidRPr="00616402">
        <w:rPr>
          <w:rFonts w:ascii="Palatino Linotype" w:hAnsi="Palatino Linotype"/>
          <w:b/>
          <w:i/>
          <w:sz w:val="22"/>
          <w:szCs w:val="22"/>
          <w:u w:val="single"/>
        </w:rPr>
        <w:t>tramitar</w:t>
      </w:r>
      <w:r w:rsidRPr="00616402">
        <w:rPr>
          <w:rFonts w:ascii="Palatino Linotype" w:hAnsi="Palatino Linotype"/>
          <w:b/>
          <w:i/>
          <w:sz w:val="22"/>
          <w:szCs w:val="22"/>
        </w:rPr>
        <w:t xml:space="preserve"> y dar respuesta a las solicitudes de acceso a la información;</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IV. Realizar, con efectividad, los trámites internos necesarios para la atención de las solicitudes de acceso a la información;</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V. Entregar, en su caso, a los particulares la información solicitada;</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VI. Efectuar las notificaciones a los solicitantes;</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lastRenderedPageBreak/>
        <w:t>X. Presentar ante el Comité, el proyecto de clasificación de información;</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XI. Promover e implementar políticas de transparencia proactiva procurando su accesibilidad;</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XII. Fomentar la transparencia y accesibilidad al interior del sujeto obligado;</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XIII. Hacer del conocimiento de la instancia competente la probable responsabilidad por el incumplimiento de las obligaciones previstas en la presente Ley; y</w:t>
      </w: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28762A" w:rsidRPr="00616402" w:rsidRDefault="0028762A" w:rsidP="0028762A">
      <w:pPr>
        <w:ind w:left="567" w:right="618"/>
        <w:jc w:val="both"/>
        <w:rPr>
          <w:rFonts w:ascii="Palatino Linotype" w:hAnsi="Palatino Linotype"/>
          <w:i/>
          <w:sz w:val="22"/>
          <w:szCs w:val="22"/>
        </w:rPr>
      </w:pP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28762A" w:rsidRPr="00616402" w:rsidRDefault="0028762A" w:rsidP="0028762A">
      <w:pPr>
        <w:ind w:left="567" w:right="618"/>
        <w:jc w:val="both"/>
        <w:rPr>
          <w:rFonts w:ascii="Palatino Linotype" w:hAnsi="Palatino Linotype"/>
          <w:i/>
          <w:sz w:val="22"/>
          <w:szCs w:val="22"/>
        </w:rPr>
      </w:pP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28762A" w:rsidRPr="00616402" w:rsidRDefault="0028762A" w:rsidP="0028762A">
      <w:pPr>
        <w:ind w:left="567" w:right="618"/>
        <w:jc w:val="both"/>
        <w:rPr>
          <w:rFonts w:ascii="Palatino Linotype" w:hAnsi="Palatino Linotype"/>
          <w:b/>
          <w:i/>
          <w:sz w:val="22"/>
          <w:szCs w:val="22"/>
        </w:rPr>
      </w:pPr>
    </w:p>
    <w:p w:rsidR="0028762A" w:rsidRPr="00616402" w:rsidRDefault="0028762A" w:rsidP="0028762A">
      <w:pPr>
        <w:ind w:left="567" w:right="618"/>
        <w:jc w:val="both"/>
        <w:rPr>
          <w:rFonts w:ascii="Palatino Linotype" w:hAnsi="Palatino Linotype"/>
          <w:b/>
          <w:i/>
          <w:sz w:val="22"/>
          <w:szCs w:val="22"/>
        </w:rPr>
      </w:pPr>
      <w:r w:rsidRPr="00616402">
        <w:rPr>
          <w:rFonts w:ascii="Palatino Linotype" w:hAnsi="Palatino Linotype"/>
          <w:b/>
          <w:i/>
          <w:sz w:val="22"/>
          <w:szCs w:val="22"/>
        </w:rPr>
        <w:t>Artículo 54.</w:t>
      </w:r>
      <w:r w:rsidRPr="00616402">
        <w:rPr>
          <w:rFonts w:ascii="Palatino Linotype" w:hAnsi="Palatino Linotype"/>
          <w:i/>
          <w:sz w:val="22"/>
          <w:szCs w:val="22"/>
        </w:rPr>
        <w:t xml:space="preserve"> </w:t>
      </w:r>
      <w:r w:rsidRPr="00616402">
        <w:rPr>
          <w:rFonts w:ascii="Palatino Linotype" w:hAnsi="Palatino Linotype"/>
          <w:b/>
          <w:i/>
          <w:sz w:val="22"/>
          <w:szCs w:val="22"/>
        </w:rPr>
        <w:t>Cuando alguna área de los sujetos obligados se negara a colaborar con la Unidad de Transparencia, esta dará aviso al superior jerárquico para que le ordene realizar sin demora las acciones conducentes.</w:t>
      </w:r>
    </w:p>
    <w:p w:rsidR="0028762A" w:rsidRPr="00616402" w:rsidRDefault="0028762A" w:rsidP="0028762A">
      <w:pPr>
        <w:ind w:left="567" w:right="618"/>
        <w:jc w:val="both"/>
        <w:rPr>
          <w:rFonts w:ascii="Palatino Linotype" w:hAnsi="Palatino Linotype"/>
          <w:i/>
          <w:sz w:val="22"/>
          <w:szCs w:val="22"/>
        </w:rPr>
      </w:pPr>
    </w:p>
    <w:p w:rsidR="0028762A" w:rsidRPr="00616402" w:rsidRDefault="0028762A" w:rsidP="0028762A">
      <w:pPr>
        <w:ind w:left="567" w:right="618"/>
        <w:jc w:val="both"/>
        <w:rPr>
          <w:rFonts w:ascii="Palatino Linotype" w:hAnsi="Palatino Linotype"/>
          <w:i/>
          <w:sz w:val="22"/>
          <w:szCs w:val="22"/>
        </w:rPr>
      </w:pPr>
      <w:r w:rsidRPr="00616402">
        <w:rPr>
          <w:rFonts w:ascii="Palatino Linotype" w:hAnsi="Palatino Linotype"/>
          <w:i/>
          <w:sz w:val="22"/>
          <w:szCs w:val="22"/>
        </w:rPr>
        <w:t>Cuando persista la negativa de colaboración, la Unidad de Transparencia lo hará del conocimiento de la autoridad competente para que esta inicie, en su caso, el procedimiento de responsabilidad respectivo.</w:t>
      </w:r>
    </w:p>
    <w:p w:rsidR="0028762A" w:rsidRPr="00616402" w:rsidRDefault="0028762A" w:rsidP="0028762A">
      <w:pPr>
        <w:ind w:left="567" w:right="616"/>
        <w:jc w:val="both"/>
        <w:rPr>
          <w:rFonts w:ascii="Palatino Linotype" w:hAnsi="Palatino Linotype" w:cs="Arial"/>
          <w:b/>
          <w:i/>
          <w:sz w:val="22"/>
          <w:szCs w:val="22"/>
        </w:rPr>
      </w:pPr>
    </w:p>
    <w:p w:rsidR="0028762A" w:rsidRPr="00616402" w:rsidRDefault="0028762A" w:rsidP="0028762A">
      <w:pPr>
        <w:ind w:left="567" w:right="616"/>
        <w:jc w:val="both"/>
        <w:rPr>
          <w:rFonts w:ascii="Palatino Linotype" w:hAnsi="Palatino Linotype" w:cs="Arial"/>
          <w:i/>
          <w:sz w:val="22"/>
          <w:szCs w:val="22"/>
        </w:rPr>
      </w:pPr>
      <w:r w:rsidRPr="00616402">
        <w:rPr>
          <w:rFonts w:ascii="Palatino Linotype" w:hAnsi="Palatino Linotype" w:cs="Arial"/>
          <w:b/>
          <w:i/>
          <w:sz w:val="22"/>
          <w:szCs w:val="22"/>
        </w:rPr>
        <w:t>Artículo 59</w:t>
      </w:r>
      <w:r w:rsidRPr="00616402">
        <w:rPr>
          <w:rFonts w:ascii="Palatino Linotype" w:hAnsi="Palatino Linotype" w:cs="Arial"/>
          <w:i/>
          <w:sz w:val="22"/>
          <w:szCs w:val="22"/>
        </w:rPr>
        <w:t xml:space="preserve">. </w:t>
      </w:r>
      <w:r w:rsidRPr="00616402">
        <w:rPr>
          <w:rFonts w:ascii="Palatino Linotype" w:hAnsi="Palatino Linotype" w:cs="Arial"/>
          <w:b/>
          <w:i/>
          <w:sz w:val="22"/>
          <w:szCs w:val="22"/>
          <w:u w:val="single"/>
        </w:rPr>
        <w:t>Los servidores públicos habilitados tendrán las funciones siguientes</w:t>
      </w:r>
      <w:r w:rsidRPr="00616402">
        <w:rPr>
          <w:rFonts w:ascii="Palatino Linotype" w:hAnsi="Palatino Linotype" w:cs="Arial"/>
          <w:i/>
          <w:sz w:val="22"/>
          <w:szCs w:val="22"/>
        </w:rPr>
        <w:t xml:space="preserve">: </w:t>
      </w:r>
    </w:p>
    <w:p w:rsidR="0028762A" w:rsidRPr="00616402" w:rsidRDefault="0028762A" w:rsidP="0028762A">
      <w:pPr>
        <w:ind w:left="567" w:right="616"/>
        <w:jc w:val="both"/>
        <w:rPr>
          <w:rFonts w:ascii="Palatino Linotype" w:hAnsi="Palatino Linotype" w:cs="Arial"/>
          <w:i/>
          <w:sz w:val="22"/>
          <w:szCs w:val="22"/>
        </w:rPr>
      </w:pPr>
      <w:r w:rsidRPr="00616402">
        <w:rPr>
          <w:rFonts w:ascii="Palatino Linotype" w:hAnsi="Palatino Linotype" w:cs="Arial"/>
          <w:b/>
          <w:i/>
          <w:sz w:val="22"/>
          <w:szCs w:val="22"/>
        </w:rPr>
        <w:t xml:space="preserve">I. </w:t>
      </w:r>
      <w:r w:rsidRPr="00616402">
        <w:rPr>
          <w:rFonts w:ascii="Palatino Linotype" w:hAnsi="Palatino Linotype" w:cs="Arial"/>
          <w:b/>
          <w:i/>
          <w:sz w:val="22"/>
          <w:szCs w:val="22"/>
          <w:u w:val="single"/>
        </w:rPr>
        <w:t>Localizar la información que le solicite la Unidad de Transparencia</w:t>
      </w:r>
      <w:r w:rsidRPr="00616402">
        <w:rPr>
          <w:rFonts w:ascii="Palatino Linotype" w:hAnsi="Palatino Linotype" w:cs="Arial"/>
          <w:i/>
          <w:sz w:val="22"/>
          <w:szCs w:val="22"/>
        </w:rPr>
        <w:t xml:space="preserve">; </w:t>
      </w:r>
    </w:p>
    <w:p w:rsidR="0028762A" w:rsidRPr="00616402" w:rsidRDefault="0028762A" w:rsidP="0028762A">
      <w:pPr>
        <w:ind w:left="567" w:right="616"/>
        <w:jc w:val="both"/>
        <w:rPr>
          <w:rFonts w:ascii="Palatino Linotype" w:hAnsi="Palatino Linotype" w:cs="Arial"/>
          <w:b/>
          <w:i/>
          <w:sz w:val="22"/>
          <w:szCs w:val="22"/>
        </w:rPr>
      </w:pPr>
      <w:r w:rsidRPr="00616402">
        <w:rPr>
          <w:rFonts w:ascii="Palatino Linotype" w:hAnsi="Palatino Linotype" w:cs="Arial"/>
          <w:b/>
          <w:i/>
          <w:sz w:val="22"/>
          <w:szCs w:val="22"/>
        </w:rPr>
        <w:t xml:space="preserve">II. </w:t>
      </w:r>
      <w:r w:rsidRPr="00616402">
        <w:rPr>
          <w:rFonts w:ascii="Palatino Linotype" w:hAnsi="Palatino Linotype" w:cs="Arial"/>
          <w:b/>
          <w:i/>
          <w:sz w:val="22"/>
          <w:szCs w:val="22"/>
          <w:u w:val="single"/>
        </w:rPr>
        <w:t>Proporcionar la información que obre en los archivos y que le sea solicitada por la Unidad de Transparencia</w:t>
      </w:r>
      <w:r w:rsidRPr="00616402">
        <w:rPr>
          <w:rFonts w:ascii="Palatino Linotype" w:hAnsi="Palatino Linotype" w:cs="Arial"/>
          <w:b/>
          <w:i/>
          <w:sz w:val="22"/>
          <w:szCs w:val="22"/>
        </w:rPr>
        <w:t xml:space="preserve">; </w:t>
      </w:r>
    </w:p>
    <w:p w:rsidR="0028762A" w:rsidRPr="00616402" w:rsidRDefault="0028762A" w:rsidP="0028762A">
      <w:pPr>
        <w:ind w:left="567" w:right="616"/>
        <w:jc w:val="both"/>
        <w:rPr>
          <w:rFonts w:ascii="Palatino Linotype" w:hAnsi="Palatino Linotype" w:cs="Arial"/>
          <w:b/>
          <w:i/>
          <w:sz w:val="22"/>
          <w:szCs w:val="22"/>
        </w:rPr>
      </w:pPr>
      <w:r w:rsidRPr="00616402">
        <w:rPr>
          <w:rFonts w:ascii="Palatino Linotype" w:hAnsi="Palatino Linotype" w:cs="Arial"/>
          <w:b/>
          <w:i/>
          <w:sz w:val="22"/>
          <w:szCs w:val="22"/>
        </w:rPr>
        <w:t xml:space="preserve">III. </w:t>
      </w:r>
      <w:r w:rsidRPr="00616402">
        <w:rPr>
          <w:rFonts w:ascii="Palatino Linotype" w:hAnsi="Palatino Linotype" w:cs="Arial"/>
          <w:b/>
          <w:i/>
          <w:sz w:val="22"/>
          <w:szCs w:val="22"/>
          <w:u w:val="single"/>
        </w:rPr>
        <w:t>Apoyar a la Unidad de Transparencia en lo que esta le solicite para el cumplimiento de sus funciones</w:t>
      </w:r>
      <w:r w:rsidRPr="00616402">
        <w:rPr>
          <w:rFonts w:ascii="Palatino Linotype" w:hAnsi="Palatino Linotype" w:cs="Arial"/>
          <w:b/>
          <w:i/>
          <w:sz w:val="22"/>
          <w:szCs w:val="22"/>
        </w:rPr>
        <w:t xml:space="preserve">; </w:t>
      </w:r>
    </w:p>
    <w:p w:rsidR="0028762A" w:rsidRPr="00616402" w:rsidRDefault="0028762A" w:rsidP="0028762A">
      <w:pPr>
        <w:ind w:left="567" w:right="616"/>
        <w:jc w:val="both"/>
        <w:rPr>
          <w:rFonts w:ascii="Palatino Linotype" w:hAnsi="Palatino Linotype" w:cs="Arial"/>
          <w:b/>
          <w:i/>
          <w:sz w:val="22"/>
          <w:szCs w:val="22"/>
        </w:rPr>
      </w:pPr>
      <w:r w:rsidRPr="00616402">
        <w:rPr>
          <w:rFonts w:ascii="Palatino Linotype" w:hAnsi="Palatino Linotype" w:cs="Arial"/>
          <w:b/>
          <w:i/>
          <w:sz w:val="22"/>
          <w:szCs w:val="22"/>
        </w:rPr>
        <w:t>…</w:t>
      </w:r>
      <w:r w:rsidRPr="00616402">
        <w:rPr>
          <w:rFonts w:ascii="Palatino Linotype" w:hAnsi="Palatino Linotype" w:cs="Arial"/>
          <w:i/>
          <w:sz w:val="22"/>
          <w:szCs w:val="22"/>
        </w:rPr>
        <w:t>”</w:t>
      </w:r>
    </w:p>
    <w:p w:rsidR="0028762A" w:rsidRPr="00616402" w:rsidRDefault="0028762A" w:rsidP="0028762A">
      <w:pPr>
        <w:ind w:left="567" w:right="616"/>
        <w:jc w:val="both"/>
        <w:rPr>
          <w:rFonts w:ascii="Palatino Linotype" w:hAnsi="Palatino Linotype" w:cs="Arial"/>
          <w:sz w:val="22"/>
          <w:szCs w:val="22"/>
          <w:lang w:eastAsia="es-MX"/>
        </w:rPr>
      </w:pPr>
      <w:r w:rsidRPr="00616402">
        <w:rPr>
          <w:rFonts w:ascii="Palatino Linotype" w:hAnsi="Palatino Linotype" w:cs="Arial"/>
          <w:sz w:val="22"/>
          <w:szCs w:val="22"/>
          <w:lang w:eastAsia="es-MX"/>
        </w:rPr>
        <w:t>(Énfasis añadido)</w:t>
      </w:r>
    </w:p>
    <w:p w:rsidR="0028762A" w:rsidRPr="00616402" w:rsidRDefault="0028762A" w:rsidP="0028762A">
      <w:pPr>
        <w:spacing w:before="240" w:after="240" w:line="360" w:lineRule="auto"/>
        <w:jc w:val="both"/>
        <w:rPr>
          <w:rFonts w:ascii="Palatino Linotype" w:eastAsia="Calibri" w:hAnsi="Palatino Linotype"/>
        </w:rPr>
      </w:pPr>
      <w:r w:rsidRPr="00616402">
        <w:rPr>
          <w:rFonts w:ascii="Palatino Linotype" w:eastAsia="Calibri" w:hAnsi="Palatino Linotype"/>
        </w:rPr>
        <w:lastRenderedPageBreak/>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rsidR="0028762A" w:rsidRPr="00616402" w:rsidRDefault="0028762A" w:rsidP="0028762A">
      <w:pPr>
        <w:spacing w:before="240" w:after="240" w:line="360" w:lineRule="auto"/>
        <w:jc w:val="both"/>
        <w:rPr>
          <w:rFonts w:ascii="Palatino Linotype" w:eastAsia="Calibri" w:hAnsi="Palatino Linotype"/>
        </w:rPr>
      </w:pPr>
      <w:r w:rsidRPr="00616402">
        <w:rPr>
          <w:rFonts w:ascii="Palatino Linotype" w:eastAsia="Calibri" w:hAnsi="Palatino Linotype"/>
        </w:rPr>
        <w:t xml:space="preserve">De tal manera que, si bien, el Titular de la Unidad de Transparencia no tiene bajo su resguardo el archivo que pudiese contener la documentación solicitada, sino que puede obrar en las distintas áreas que conforman la estructura del </w:t>
      </w:r>
      <w:r w:rsidRPr="00616402">
        <w:rPr>
          <w:rFonts w:ascii="Palatino Linotype" w:eastAsia="Calibri" w:hAnsi="Palatino Linotype"/>
          <w:b/>
        </w:rPr>
        <w:t>SUJETO OBLIGADO</w:t>
      </w:r>
      <w:r w:rsidRPr="00616402">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rsidR="0028762A" w:rsidRPr="00616402" w:rsidRDefault="0028762A" w:rsidP="0028762A">
      <w:pPr>
        <w:spacing w:before="240" w:after="240" w:line="360" w:lineRule="auto"/>
        <w:jc w:val="both"/>
        <w:rPr>
          <w:rFonts w:ascii="Palatino Linotype" w:eastAsia="Calibri" w:hAnsi="Palatino Linotype"/>
        </w:rPr>
      </w:pPr>
      <w:r w:rsidRPr="00616402">
        <w:rPr>
          <w:rFonts w:ascii="Palatino Linotype" w:eastAsia="Calibri" w:hAnsi="Palatino Linotype"/>
        </w:rPr>
        <w:t xml:space="preserve">Es por ello, que corresponde al Titular de la Unidad de Transparencia el garantizar que las solicitudes se turnen a todas las áreas competentes que puedan contar con la información, </w:t>
      </w:r>
      <w:r w:rsidRPr="00616402">
        <w:rPr>
          <w:rFonts w:ascii="Palatino Linotype" w:eastAsia="Calibri" w:hAnsi="Palatino Linotype"/>
          <w:b/>
        </w:rPr>
        <w:t>con el objeto de que se realice una búsqueda exhaustiva y razonable de la información solicitada</w:t>
      </w:r>
      <w:r w:rsidRPr="00616402">
        <w:rPr>
          <w:rFonts w:ascii="Palatino Linotype" w:eastAsia="Calibri" w:hAnsi="Palatino Linotype"/>
        </w:rPr>
        <w:t>.</w:t>
      </w:r>
    </w:p>
    <w:p w:rsidR="002D69B2" w:rsidRPr="00616402" w:rsidRDefault="0028762A" w:rsidP="0028762A">
      <w:pPr>
        <w:spacing w:before="100" w:beforeAutospacing="1" w:after="100" w:afterAutospacing="1" w:line="360" w:lineRule="auto"/>
        <w:ind w:right="49"/>
        <w:jc w:val="both"/>
        <w:rPr>
          <w:rFonts w:ascii="Palatino Linotype" w:hAnsi="Palatino Linotype" w:cs="Arial"/>
        </w:rPr>
      </w:pPr>
      <w:r w:rsidRPr="00616402">
        <w:rPr>
          <w:rFonts w:ascii="Palatino Linotype" w:hAnsi="Palatino Linotype" w:cs="Arial"/>
        </w:rPr>
        <w:t xml:space="preserve">En consecuencia, este Órgano Garante determina ordenar la búsqueda exhaustiva y razonable, a efecto de que se entregue de ser procedente en </w:t>
      </w:r>
      <w:r w:rsidRPr="00616402">
        <w:rPr>
          <w:rFonts w:ascii="Palatino Linotype" w:hAnsi="Palatino Linotype" w:cs="Arial"/>
          <w:b/>
        </w:rPr>
        <w:t>versión</w:t>
      </w:r>
      <w:r w:rsidRPr="00616402">
        <w:rPr>
          <w:rFonts w:ascii="Palatino Linotype" w:hAnsi="Palatino Linotype" w:cs="Arial"/>
        </w:rPr>
        <w:t xml:space="preserve"> </w:t>
      </w:r>
      <w:r w:rsidRPr="00616402">
        <w:rPr>
          <w:rFonts w:ascii="Palatino Linotype" w:hAnsi="Palatino Linotype" w:cs="Arial"/>
          <w:b/>
        </w:rPr>
        <w:t>pública</w:t>
      </w:r>
      <w:r w:rsidRPr="00616402">
        <w:rPr>
          <w:rFonts w:ascii="Palatino Linotype" w:hAnsi="Palatino Linotype" w:cs="Arial"/>
        </w:rPr>
        <w:t xml:space="preserve">, las </w:t>
      </w:r>
      <w:r w:rsidR="002D69B2" w:rsidRPr="00616402">
        <w:rPr>
          <w:rFonts w:ascii="Palatino Linotype" w:hAnsi="Palatino Linotype" w:cs="Arial"/>
        </w:rPr>
        <w:t xml:space="preserve">facturas o pólizas de egresos que amparen las compras realizadas por </w:t>
      </w:r>
      <w:r w:rsidR="002D69B2" w:rsidRPr="00616402">
        <w:rPr>
          <w:rFonts w:ascii="Palatino Linotype" w:hAnsi="Palatino Linotype" w:cs="Arial"/>
          <w:b/>
        </w:rPr>
        <w:t xml:space="preserve">EL SUJETO OBLIGADO </w:t>
      </w:r>
      <w:r w:rsidR="002D69B2" w:rsidRPr="00616402">
        <w:rPr>
          <w:rFonts w:ascii="Palatino Linotype" w:hAnsi="Palatino Linotype" w:cs="Arial"/>
        </w:rPr>
        <w:t xml:space="preserve">en los meses de junio a octubre de 2019. </w:t>
      </w:r>
    </w:p>
    <w:p w:rsidR="0028762A" w:rsidRPr="00616402" w:rsidRDefault="0028762A" w:rsidP="0028762A">
      <w:pPr>
        <w:shd w:val="clear" w:color="auto" w:fill="FFFFFF"/>
        <w:spacing w:before="100" w:beforeAutospacing="1" w:after="100" w:afterAutospacing="1" w:line="360" w:lineRule="auto"/>
        <w:jc w:val="both"/>
        <w:rPr>
          <w:rFonts w:ascii="Palatino Linotype" w:hAnsi="Palatino Linotype" w:cs="Arial"/>
        </w:rPr>
      </w:pPr>
      <w:r w:rsidRPr="00616402">
        <w:rPr>
          <w:rFonts w:ascii="Palatino Linotype" w:hAnsi="Palatino Linotype"/>
          <w:bCs/>
          <w:lang w:val="es-ES"/>
        </w:rPr>
        <w:t xml:space="preserve">Lo anterior es así, pues si del contenido de </w:t>
      </w:r>
      <w:r w:rsidRPr="00616402">
        <w:rPr>
          <w:rFonts w:ascii="Palatino Linotype" w:hAnsi="Palatino Linotype" w:cs="Arial"/>
        </w:rPr>
        <w:t xml:space="preserve">los documentos de los cuales se ordena su entrega se advierten datos personales susceptibles de ser testados, éstos deberán ser entregados en </w:t>
      </w:r>
      <w:r w:rsidRPr="00616402">
        <w:rPr>
          <w:rFonts w:ascii="Palatino Linotype" w:hAnsi="Palatino Linotype" w:cs="Arial"/>
          <w:b/>
        </w:rPr>
        <w:t>versión pública</w:t>
      </w:r>
      <w:r w:rsidRPr="00616402">
        <w:rPr>
          <w:rFonts w:ascii="Palatino Linotype" w:hAnsi="Palatino Linotype" w:cs="Arial"/>
        </w:rPr>
        <w:t>; pues, el</w:t>
      </w:r>
      <w:r w:rsidRPr="00616402">
        <w:rPr>
          <w:rFonts w:ascii="Palatino Linotype" w:hAnsi="Palatino Linotype" w:cs="Arial"/>
          <w:bCs/>
        </w:rPr>
        <w:t xml:space="preserve"> derecho de acceso a la información pública </w:t>
      </w:r>
      <w:r w:rsidRPr="00616402">
        <w:rPr>
          <w:rFonts w:ascii="Palatino Linotype" w:hAnsi="Palatino Linotype" w:cs="Arial"/>
          <w:bCs/>
        </w:rPr>
        <w:lastRenderedPageBreak/>
        <w:t xml:space="preserve">tiene como limitante el respeto a la intimidad y a la vida privada de las personas, es por ello que este Instituto debe cuidar que los datos personales que obren en poder de los Sujetos Obligados sean protegidos y </w:t>
      </w:r>
      <w:r w:rsidRPr="00616402">
        <w:rPr>
          <w:rFonts w:ascii="Palatino Linotype" w:hAnsi="Palatino Linotype" w:cs="Arial"/>
          <w:b/>
          <w:bCs/>
        </w:rPr>
        <w:t>únicamente se den a conocer aquéllos que abonen a la rendición de cuentas y a la transparencia en el ejercicio de las atribuciones que tienen conferidas</w:t>
      </w:r>
      <w:r w:rsidRPr="00616402">
        <w:rPr>
          <w:rFonts w:ascii="Palatino Linotype" w:hAnsi="Palatino Linotype" w:cs="Arial"/>
          <w:bCs/>
        </w:rPr>
        <w:t>.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8762A" w:rsidRPr="00616402" w:rsidRDefault="0028762A" w:rsidP="0028762A">
      <w:pPr>
        <w:spacing w:before="100" w:beforeAutospacing="1" w:after="100" w:afterAutospacing="1" w:line="360" w:lineRule="auto"/>
        <w:jc w:val="both"/>
        <w:rPr>
          <w:rFonts w:ascii="Palatino Linotype" w:hAnsi="Palatino Linotype" w:cs="Arial"/>
          <w:bCs/>
        </w:rPr>
      </w:pPr>
      <w:r w:rsidRPr="00616402">
        <w:rPr>
          <w:rFonts w:ascii="Palatino Linotype" w:hAnsi="Palatino Linotype" w:cs="Arial"/>
          <w:bCs/>
        </w:rPr>
        <w:t>A este respecto, los artículos 3, fracciones IX, XX, XXI y XLV; 51 y 52 de la Ley de Transparencia y Acceso a la Información Pública del Estado de México y Municipios establecen:</w:t>
      </w:r>
    </w:p>
    <w:p w:rsidR="0028762A" w:rsidRPr="00616402" w:rsidRDefault="0028762A" w:rsidP="0028762A">
      <w:pPr>
        <w:ind w:left="851" w:right="901"/>
        <w:jc w:val="both"/>
        <w:rPr>
          <w:rFonts w:ascii="Palatino Linotype" w:hAnsi="Palatino Linotype"/>
          <w:i/>
          <w:sz w:val="22"/>
          <w:szCs w:val="22"/>
        </w:rPr>
      </w:pPr>
      <w:r w:rsidRPr="00616402">
        <w:rPr>
          <w:rFonts w:ascii="Palatino Linotype" w:hAnsi="Palatino Linotype" w:cs="Arial"/>
          <w:b/>
          <w:bCs/>
          <w:i/>
          <w:noProof/>
          <w:sz w:val="22"/>
          <w:szCs w:val="22"/>
        </w:rPr>
        <w:t>“</w:t>
      </w:r>
      <w:r w:rsidRPr="00616402">
        <w:rPr>
          <w:rFonts w:ascii="Palatino Linotype" w:hAnsi="Palatino Linotype" w:cs="Arial"/>
          <w:b/>
          <w:bCs/>
          <w:i/>
          <w:sz w:val="22"/>
          <w:szCs w:val="22"/>
        </w:rPr>
        <w:t xml:space="preserve">Artículo 3. </w:t>
      </w:r>
      <w:r w:rsidRPr="00616402">
        <w:rPr>
          <w:rFonts w:ascii="Palatino Linotype" w:hAnsi="Palatino Linotype"/>
          <w:i/>
          <w:sz w:val="22"/>
          <w:szCs w:val="22"/>
        </w:rPr>
        <w:t xml:space="preserve">Para los efectos de la presente Ley se entenderá por: </w:t>
      </w:r>
    </w:p>
    <w:p w:rsidR="0028762A" w:rsidRPr="00616402" w:rsidRDefault="0028762A" w:rsidP="0028762A">
      <w:pPr>
        <w:ind w:left="851" w:right="899"/>
        <w:jc w:val="both"/>
        <w:rPr>
          <w:rFonts w:ascii="Palatino Linotype" w:hAnsi="Palatino Linotype" w:cs="Arial"/>
          <w:b/>
          <w:i/>
          <w:sz w:val="22"/>
          <w:szCs w:val="22"/>
        </w:rPr>
      </w:pPr>
      <w:r w:rsidRPr="00616402">
        <w:rPr>
          <w:rFonts w:ascii="Palatino Linotype" w:hAnsi="Palatino Linotype" w:cs="Arial"/>
          <w:b/>
          <w:i/>
          <w:sz w:val="22"/>
          <w:szCs w:val="22"/>
        </w:rPr>
        <w:t>…</w:t>
      </w:r>
    </w:p>
    <w:p w:rsidR="0028762A" w:rsidRPr="00616402" w:rsidRDefault="0028762A" w:rsidP="0028762A">
      <w:pPr>
        <w:ind w:left="851" w:right="899"/>
        <w:jc w:val="both"/>
        <w:rPr>
          <w:rFonts w:ascii="Palatino Linotype" w:hAnsi="Palatino Linotype" w:cs="Arial"/>
          <w:i/>
          <w:sz w:val="22"/>
          <w:szCs w:val="22"/>
        </w:rPr>
      </w:pPr>
      <w:r w:rsidRPr="00616402">
        <w:rPr>
          <w:rFonts w:ascii="Palatino Linotype" w:hAnsi="Palatino Linotype" w:cs="Arial"/>
          <w:b/>
          <w:i/>
          <w:sz w:val="22"/>
          <w:szCs w:val="22"/>
        </w:rPr>
        <w:t>IX.</w:t>
      </w:r>
      <w:r w:rsidRPr="00616402">
        <w:rPr>
          <w:rFonts w:ascii="Palatino Linotype" w:hAnsi="Palatino Linotype" w:cs="Arial"/>
          <w:i/>
          <w:sz w:val="22"/>
          <w:szCs w:val="22"/>
        </w:rPr>
        <w:t xml:space="preserve"> </w:t>
      </w:r>
      <w:r w:rsidRPr="00616402">
        <w:rPr>
          <w:rFonts w:ascii="Palatino Linotype" w:hAnsi="Palatino Linotype" w:cs="Arial"/>
          <w:b/>
          <w:i/>
          <w:sz w:val="22"/>
          <w:szCs w:val="22"/>
        </w:rPr>
        <w:t xml:space="preserve">Datos personales: </w:t>
      </w:r>
      <w:r w:rsidRPr="00616402">
        <w:rPr>
          <w:rFonts w:ascii="Palatino Linotype" w:hAnsi="Palatino Linotype" w:cs="Arial"/>
          <w:i/>
          <w:sz w:val="22"/>
          <w:szCs w:val="22"/>
        </w:rPr>
        <w:t xml:space="preserve">La información concerniente a una persona, identificada o identificable según lo dispuesto por la Ley de </w:t>
      </w:r>
      <w:r w:rsidRPr="00616402">
        <w:rPr>
          <w:rFonts w:ascii="Palatino Linotype" w:hAnsi="Palatino Linotype"/>
          <w:i/>
          <w:sz w:val="22"/>
          <w:szCs w:val="22"/>
        </w:rPr>
        <w:t>Protección</w:t>
      </w:r>
      <w:r w:rsidRPr="00616402">
        <w:rPr>
          <w:rFonts w:ascii="Palatino Linotype" w:hAnsi="Palatino Linotype" w:cs="Arial"/>
          <w:i/>
          <w:sz w:val="22"/>
          <w:szCs w:val="22"/>
        </w:rPr>
        <w:t xml:space="preserve"> de Datos Personales del Estado de México; </w:t>
      </w:r>
    </w:p>
    <w:p w:rsidR="0028762A" w:rsidRPr="00616402" w:rsidRDefault="0028762A" w:rsidP="0028762A">
      <w:pPr>
        <w:ind w:left="851" w:right="899"/>
        <w:jc w:val="both"/>
        <w:rPr>
          <w:rFonts w:ascii="Palatino Linotype" w:hAnsi="Palatino Linotype" w:cs="Arial"/>
          <w:i/>
          <w:sz w:val="22"/>
          <w:szCs w:val="22"/>
        </w:rPr>
      </w:pPr>
      <w:r w:rsidRPr="00616402">
        <w:rPr>
          <w:rFonts w:ascii="Palatino Linotype" w:hAnsi="Palatino Linotype" w:cs="Arial"/>
          <w:b/>
          <w:i/>
          <w:sz w:val="22"/>
          <w:szCs w:val="22"/>
        </w:rPr>
        <w:t>XX.</w:t>
      </w:r>
      <w:r w:rsidRPr="00616402">
        <w:rPr>
          <w:rFonts w:ascii="Palatino Linotype" w:hAnsi="Palatino Linotype" w:cs="Arial"/>
          <w:i/>
          <w:sz w:val="22"/>
          <w:szCs w:val="22"/>
        </w:rPr>
        <w:t xml:space="preserve"> </w:t>
      </w:r>
      <w:r w:rsidRPr="00616402">
        <w:rPr>
          <w:rFonts w:ascii="Palatino Linotype" w:hAnsi="Palatino Linotype" w:cs="Arial"/>
          <w:b/>
          <w:i/>
          <w:sz w:val="22"/>
          <w:szCs w:val="22"/>
        </w:rPr>
        <w:t>Información clasificada:</w:t>
      </w:r>
      <w:r w:rsidRPr="00616402">
        <w:rPr>
          <w:rFonts w:ascii="Palatino Linotype" w:hAnsi="Palatino Linotype" w:cs="Arial"/>
          <w:i/>
          <w:sz w:val="22"/>
          <w:szCs w:val="22"/>
        </w:rPr>
        <w:t xml:space="preserve"> Aquella considerada por la presente Ley como reservada o confidencial; </w:t>
      </w:r>
    </w:p>
    <w:p w:rsidR="0028762A" w:rsidRPr="00616402" w:rsidRDefault="0028762A" w:rsidP="0028762A">
      <w:pPr>
        <w:ind w:left="851" w:right="899"/>
        <w:jc w:val="both"/>
        <w:rPr>
          <w:rFonts w:ascii="Palatino Linotype" w:hAnsi="Palatino Linotype" w:cs="Arial"/>
          <w:i/>
          <w:sz w:val="22"/>
          <w:szCs w:val="22"/>
        </w:rPr>
      </w:pPr>
      <w:r w:rsidRPr="00616402">
        <w:rPr>
          <w:rFonts w:ascii="Palatino Linotype" w:hAnsi="Palatino Linotype" w:cs="Arial"/>
          <w:b/>
          <w:i/>
          <w:sz w:val="22"/>
          <w:szCs w:val="22"/>
        </w:rPr>
        <w:t>XXI.</w:t>
      </w:r>
      <w:r w:rsidRPr="00616402">
        <w:rPr>
          <w:rFonts w:ascii="Palatino Linotype" w:hAnsi="Palatino Linotype" w:cs="Arial"/>
          <w:i/>
          <w:sz w:val="22"/>
          <w:szCs w:val="22"/>
        </w:rPr>
        <w:t xml:space="preserve"> </w:t>
      </w:r>
      <w:r w:rsidRPr="00616402">
        <w:rPr>
          <w:rFonts w:ascii="Palatino Linotype" w:hAnsi="Palatino Linotype" w:cs="Arial"/>
          <w:b/>
          <w:i/>
          <w:sz w:val="22"/>
          <w:szCs w:val="22"/>
        </w:rPr>
        <w:t>Información confidencial</w:t>
      </w:r>
      <w:r w:rsidRPr="0061640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28762A" w:rsidRPr="00616402" w:rsidRDefault="0028762A" w:rsidP="0028762A">
      <w:pPr>
        <w:ind w:left="851" w:right="899"/>
        <w:jc w:val="both"/>
        <w:rPr>
          <w:rFonts w:ascii="Palatino Linotype" w:hAnsi="Palatino Linotype" w:cs="Arial"/>
          <w:b/>
          <w:i/>
          <w:sz w:val="22"/>
          <w:szCs w:val="22"/>
        </w:rPr>
      </w:pPr>
      <w:r w:rsidRPr="00616402">
        <w:rPr>
          <w:rFonts w:ascii="Palatino Linotype" w:hAnsi="Palatino Linotype" w:cs="Arial"/>
          <w:b/>
          <w:i/>
          <w:sz w:val="22"/>
          <w:szCs w:val="22"/>
        </w:rPr>
        <w:t>…</w:t>
      </w:r>
    </w:p>
    <w:p w:rsidR="0028762A" w:rsidRPr="00616402" w:rsidRDefault="0028762A" w:rsidP="0028762A">
      <w:pPr>
        <w:ind w:left="851" w:right="899"/>
        <w:jc w:val="both"/>
        <w:rPr>
          <w:rFonts w:ascii="Palatino Linotype" w:hAnsi="Palatino Linotype" w:cs="Arial"/>
          <w:i/>
          <w:sz w:val="22"/>
          <w:szCs w:val="22"/>
        </w:rPr>
      </w:pPr>
      <w:r w:rsidRPr="00616402">
        <w:rPr>
          <w:rFonts w:ascii="Palatino Linotype" w:hAnsi="Palatino Linotype" w:cs="Arial"/>
          <w:b/>
          <w:i/>
          <w:sz w:val="22"/>
          <w:szCs w:val="22"/>
        </w:rPr>
        <w:t>XLV. Versión pública:</w:t>
      </w:r>
      <w:r w:rsidRPr="00616402">
        <w:rPr>
          <w:rFonts w:ascii="Palatino Linotype" w:hAnsi="Palatino Linotype" w:cs="Arial"/>
          <w:i/>
          <w:sz w:val="22"/>
          <w:szCs w:val="22"/>
        </w:rPr>
        <w:t xml:space="preserve"> Documento en el que se elimine, suprime o borra la información clasificada como reservada o confidencial para permitir su acceso. </w:t>
      </w:r>
    </w:p>
    <w:p w:rsidR="0028762A" w:rsidRPr="00616402" w:rsidRDefault="0028762A" w:rsidP="0028762A">
      <w:pPr>
        <w:ind w:left="851" w:right="899"/>
        <w:jc w:val="both"/>
        <w:rPr>
          <w:rFonts w:ascii="Palatino Linotype" w:hAnsi="Palatino Linotype" w:cs="Arial"/>
          <w:b/>
          <w:i/>
          <w:sz w:val="22"/>
          <w:szCs w:val="22"/>
        </w:rPr>
      </w:pPr>
    </w:p>
    <w:p w:rsidR="0028762A" w:rsidRPr="00616402" w:rsidRDefault="0028762A" w:rsidP="0028762A">
      <w:pPr>
        <w:ind w:left="851" w:right="899"/>
        <w:jc w:val="both"/>
        <w:rPr>
          <w:rFonts w:ascii="Palatino Linotype" w:hAnsi="Palatino Linotype" w:cs="Arial"/>
          <w:i/>
          <w:sz w:val="22"/>
          <w:szCs w:val="22"/>
        </w:rPr>
      </w:pPr>
      <w:r w:rsidRPr="00616402">
        <w:rPr>
          <w:rFonts w:ascii="Palatino Linotype" w:hAnsi="Palatino Linotype" w:cs="Arial"/>
          <w:b/>
          <w:i/>
          <w:sz w:val="22"/>
          <w:szCs w:val="22"/>
        </w:rPr>
        <w:t>Artículo 51.</w:t>
      </w:r>
      <w:r w:rsidRPr="0061640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16402">
        <w:rPr>
          <w:rFonts w:ascii="Palatino Linotype" w:hAnsi="Palatino Linotype" w:cs="Arial"/>
          <w:b/>
          <w:i/>
          <w:sz w:val="22"/>
          <w:szCs w:val="22"/>
        </w:rPr>
        <w:t xml:space="preserve">y tendrá la responsabilidad de verificar en cada caso que la </w:t>
      </w:r>
      <w:r w:rsidRPr="00616402">
        <w:rPr>
          <w:rFonts w:ascii="Palatino Linotype" w:hAnsi="Palatino Linotype" w:cs="Arial"/>
          <w:b/>
          <w:i/>
          <w:sz w:val="22"/>
          <w:szCs w:val="22"/>
        </w:rPr>
        <w:lastRenderedPageBreak/>
        <w:t xml:space="preserve">misma no sea confidencial o reservada. </w:t>
      </w:r>
      <w:r w:rsidRPr="0061640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28762A" w:rsidRPr="00616402" w:rsidRDefault="0028762A" w:rsidP="0028762A">
      <w:pPr>
        <w:ind w:left="851" w:right="899"/>
        <w:jc w:val="both"/>
        <w:rPr>
          <w:rFonts w:ascii="Palatino Linotype" w:hAnsi="Palatino Linotype" w:cs="Arial"/>
          <w:b/>
          <w:i/>
          <w:sz w:val="22"/>
          <w:szCs w:val="22"/>
        </w:rPr>
      </w:pPr>
    </w:p>
    <w:p w:rsidR="0028762A" w:rsidRPr="00616402" w:rsidRDefault="0028762A" w:rsidP="0028762A">
      <w:pPr>
        <w:ind w:left="851" w:right="899"/>
        <w:jc w:val="both"/>
        <w:rPr>
          <w:rFonts w:ascii="Palatino Linotype" w:hAnsi="Palatino Linotype" w:cs="Arial"/>
          <w:i/>
          <w:sz w:val="22"/>
          <w:szCs w:val="22"/>
        </w:rPr>
      </w:pPr>
      <w:r w:rsidRPr="00616402">
        <w:rPr>
          <w:rFonts w:ascii="Palatino Linotype" w:hAnsi="Palatino Linotype" w:cs="Arial"/>
          <w:b/>
          <w:i/>
          <w:sz w:val="22"/>
          <w:szCs w:val="22"/>
        </w:rPr>
        <w:t>Artículo 52.</w:t>
      </w:r>
      <w:r w:rsidRPr="00616402">
        <w:rPr>
          <w:rFonts w:ascii="Palatino Linotype" w:hAnsi="Palatino Linotype" w:cs="Arial"/>
          <w:i/>
          <w:sz w:val="22"/>
          <w:szCs w:val="22"/>
        </w:rPr>
        <w:t xml:space="preserve"> Las solicitudes de acceso a la información y las respuestas que se les dé, incluyendo, en su caso, </w:t>
      </w:r>
      <w:r w:rsidRPr="0061640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16402">
        <w:rPr>
          <w:rFonts w:ascii="Palatino Linotype" w:hAnsi="Palatino Linotype" w:cs="Arial"/>
          <w:i/>
          <w:sz w:val="22"/>
          <w:szCs w:val="22"/>
        </w:rPr>
        <w:t>, siempre y cuando la resolución de referencia se someta a un proceso de disociación, es decir, no haga identificable al titular de tales datos personales.</w:t>
      </w:r>
      <w:r w:rsidRPr="00616402">
        <w:rPr>
          <w:rFonts w:ascii="Palatino Linotype" w:hAnsi="Palatino Linotype" w:cs="Arial"/>
          <w:bCs/>
          <w:i/>
          <w:noProof/>
          <w:sz w:val="22"/>
          <w:szCs w:val="22"/>
        </w:rPr>
        <w:t>”</w:t>
      </w:r>
    </w:p>
    <w:p w:rsidR="0028762A" w:rsidRPr="00616402" w:rsidRDefault="0028762A" w:rsidP="0028762A">
      <w:pPr>
        <w:ind w:right="899" w:firstLine="708"/>
        <w:jc w:val="both"/>
        <w:rPr>
          <w:rFonts w:ascii="Palatino Linotype" w:hAnsi="Palatino Linotype" w:cs="Arial"/>
          <w:sz w:val="22"/>
          <w:szCs w:val="22"/>
        </w:rPr>
      </w:pPr>
    </w:p>
    <w:p w:rsidR="0028762A" w:rsidRPr="00616402" w:rsidRDefault="0028762A" w:rsidP="0028762A">
      <w:pPr>
        <w:ind w:right="899" w:firstLine="708"/>
        <w:jc w:val="both"/>
        <w:rPr>
          <w:rFonts w:ascii="Palatino Linotype" w:hAnsi="Palatino Linotype" w:cs="Arial"/>
          <w:sz w:val="22"/>
          <w:szCs w:val="22"/>
        </w:rPr>
      </w:pPr>
      <w:r w:rsidRPr="00616402">
        <w:rPr>
          <w:rFonts w:ascii="Palatino Linotype" w:hAnsi="Palatino Linotype" w:cs="Arial"/>
          <w:sz w:val="22"/>
          <w:szCs w:val="22"/>
        </w:rPr>
        <w:t>(Énfasis añadido)</w:t>
      </w:r>
    </w:p>
    <w:p w:rsidR="0028762A" w:rsidRPr="00616402" w:rsidRDefault="0028762A" w:rsidP="0028762A">
      <w:pPr>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28762A" w:rsidRPr="00616402" w:rsidRDefault="0028762A" w:rsidP="0028762A">
      <w:pPr>
        <w:ind w:left="851" w:right="902"/>
        <w:jc w:val="both"/>
        <w:rPr>
          <w:rFonts w:ascii="Palatino Linotype" w:eastAsia="Arial Unicode MS" w:hAnsi="Palatino Linotype" w:cs="Arial"/>
          <w:i/>
          <w:sz w:val="22"/>
          <w:szCs w:val="22"/>
        </w:rPr>
      </w:pPr>
      <w:r w:rsidRPr="00616402">
        <w:rPr>
          <w:rFonts w:ascii="Palatino Linotype" w:eastAsia="Arial Unicode MS" w:hAnsi="Palatino Linotype" w:cs="Arial"/>
          <w:b/>
          <w:i/>
          <w:sz w:val="22"/>
          <w:szCs w:val="22"/>
        </w:rPr>
        <w:t>“Artículo 22.</w:t>
      </w:r>
      <w:r w:rsidRPr="0061640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28762A" w:rsidRPr="00616402" w:rsidRDefault="0028762A" w:rsidP="0028762A">
      <w:pPr>
        <w:ind w:left="851" w:right="902"/>
        <w:jc w:val="both"/>
        <w:rPr>
          <w:rFonts w:ascii="Palatino Linotype" w:eastAsia="Arial Unicode MS" w:hAnsi="Palatino Linotype" w:cs="Arial"/>
          <w:b/>
          <w:i/>
          <w:sz w:val="22"/>
          <w:szCs w:val="22"/>
        </w:rPr>
      </w:pPr>
    </w:p>
    <w:p w:rsidR="0028762A" w:rsidRPr="00616402" w:rsidRDefault="0028762A" w:rsidP="0028762A">
      <w:pPr>
        <w:ind w:left="851" w:right="902"/>
        <w:jc w:val="both"/>
        <w:rPr>
          <w:rFonts w:ascii="Palatino Linotype" w:eastAsia="Arial Unicode MS" w:hAnsi="Palatino Linotype" w:cs="Arial"/>
          <w:i/>
          <w:sz w:val="22"/>
          <w:szCs w:val="22"/>
        </w:rPr>
      </w:pPr>
      <w:r w:rsidRPr="00616402">
        <w:rPr>
          <w:rFonts w:ascii="Palatino Linotype" w:eastAsia="Arial Unicode MS" w:hAnsi="Palatino Linotype" w:cs="Arial"/>
          <w:b/>
          <w:i/>
          <w:sz w:val="22"/>
          <w:szCs w:val="22"/>
        </w:rPr>
        <w:t>Artículo 38.</w:t>
      </w:r>
      <w:r w:rsidRPr="0061640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16402">
        <w:rPr>
          <w:rFonts w:ascii="Palatino Linotype" w:eastAsia="Arial Unicode MS" w:hAnsi="Palatino Linotype" w:cs="Arial"/>
          <w:b/>
          <w:i/>
          <w:sz w:val="22"/>
          <w:szCs w:val="22"/>
        </w:rPr>
        <w:t>”</w:t>
      </w:r>
      <w:r w:rsidRPr="00616402">
        <w:rPr>
          <w:rFonts w:ascii="Palatino Linotype" w:eastAsia="Arial Unicode MS" w:hAnsi="Palatino Linotype" w:cs="Arial"/>
          <w:i/>
          <w:sz w:val="22"/>
          <w:szCs w:val="22"/>
        </w:rPr>
        <w:t xml:space="preserve"> </w:t>
      </w:r>
    </w:p>
    <w:p w:rsidR="0028762A" w:rsidRPr="00616402" w:rsidRDefault="0028762A" w:rsidP="0028762A">
      <w:pPr>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28762A" w:rsidRPr="00616402" w:rsidRDefault="0028762A" w:rsidP="0028762A">
      <w:pPr>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16402">
        <w:rPr>
          <w:rFonts w:ascii="Palatino Linotype" w:eastAsia="Arial Unicode MS" w:hAnsi="Palatino Linotype" w:cs="Arial"/>
        </w:rPr>
        <w:t xml:space="preserve"> que debe ser protegida por </w:t>
      </w:r>
      <w:r w:rsidRPr="00616402">
        <w:rPr>
          <w:rFonts w:ascii="Palatino Linotype" w:eastAsia="Arial Unicode MS" w:hAnsi="Palatino Linotype" w:cs="Arial"/>
          <w:b/>
        </w:rPr>
        <w:t>EL SUJETO OBLIGADO,</w:t>
      </w:r>
      <w:r w:rsidRPr="00616402">
        <w:rPr>
          <w:rFonts w:ascii="Palatino Linotype" w:eastAsia="Arial Unicode MS" w:hAnsi="Palatino Linotype" w:cs="Arial"/>
        </w:rPr>
        <w:t xml:space="preserve"> por lo </w:t>
      </w:r>
      <w:r w:rsidRPr="00616402">
        <w:rPr>
          <w:rFonts w:ascii="Palatino Linotype" w:hAnsi="Palatino Linotype" w:cs="Arial"/>
        </w:rPr>
        <w:t>que, todo dato personal susceptible de clasificación debe ser protegido.</w:t>
      </w:r>
    </w:p>
    <w:p w:rsidR="0028762A" w:rsidRPr="00616402" w:rsidRDefault="0028762A" w:rsidP="0028762A">
      <w:pPr>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2D69B2" w:rsidRPr="00616402" w:rsidRDefault="002D69B2" w:rsidP="002D69B2">
      <w:pPr>
        <w:widowControl w:val="0"/>
        <w:autoSpaceDE w:val="0"/>
        <w:autoSpaceDN w:val="0"/>
        <w:adjustRightInd w:val="0"/>
        <w:spacing w:before="240" w:after="240" w:line="360" w:lineRule="auto"/>
        <w:jc w:val="both"/>
        <w:rPr>
          <w:rFonts w:ascii="Palatino Linotype" w:hAnsi="Palatino Linotype" w:cs="Arial"/>
        </w:rPr>
      </w:pPr>
      <w:r w:rsidRPr="00616402">
        <w:rPr>
          <w:rFonts w:ascii="Palatino Linotype" w:hAnsi="Palatino Linotype" w:cs="Arial"/>
        </w:rPr>
        <w:t xml:space="preserve">En el caso específico, la </w:t>
      </w:r>
      <w:r w:rsidRPr="00616402">
        <w:rPr>
          <w:rFonts w:ascii="Palatino Linotype" w:hAnsi="Palatino Linotype"/>
        </w:rPr>
        <w:t>información</w:t>
      </w:r>
      <w:r w:rsidRPr="00616402">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616402">
        <w:rPr>
          <w:rFonts w:ascii="Palatino Linotype" w:eastAsia="Arial Unicode MS" w:hAnsi="Palatino Linotype" w:cs="Arial"/>
        </w:rPr>
        <w:t>tales como:</w:t>
      </w:r>
      <w:r w:rsidRPr="00616402">
        <w:rPr>
          <w:rFonts w:ascii="Palatino Linotype" w:hAnsi="Palatino Linotype"/>
          <w:b/>
          <w:lang w:eastAsia="es-MX"/>
        </w:rPr>
        <w:t xml:space="preserve"> </w:t>
      </w:r>
      <w:r w:rsidRPr="00616402">
        <w:rPr>
          <w:rFonts w:ascii="Palatino Linotype" w:eastAsia="Arial Unicode MS" w:hAnsi="Palatino Linotype" w:cs="Arial"/>
          <w:b/>
        </w:rPr>
        <w:t>números de cuenta y CLABE’s interbancarias.</w:t>
      </w:r>
    </w:p>
    <w:p w:rsidR="002D69B2" w:rsidRPr="00616402" w:rsidRDefault="002D69B2" w:rsidP="002D69B2">
      <w:pPr>
        <w:widowControl w:val="0"/>
        <w:autoSpaceDE w:val="0"/>
        <w:autoSpaceDN w:val="0"/>
        <w:adjustRightInd w:val="0"/>
        <w:spacing w:before="240" w:after="240" w:line="360" w:lineRule="auto"/>
        <w:jc w:val="both"/>
        <w:rPr>
          <w:rFonts w:ascii="Palatino Linotype" w:hAnsi="Palatino Linotype" w:cs="Arial"/>
        </w:rPr>
      </w:pPr>
      <w:r w:rsidRPr="00616402">
        <w:rPr>
          <w:rFonts w:ascii="Palatino Linotype" w:hAnsi="Palatino Linotype" w:cs="Arial"/>
        </w:rPr>
        <w:t xml:space="preserve">Por cuanto hace a las </w:t>
      </w:r>
      <w:r w:rsidRPr="00616402">
        <w:rPr>
          <w:rFonts w:ascii="Palatino Linotype" w:hAnsi="Palatino Linotype" w:cs="Arial"/>
          <w:b/>
        </w:rPr>
        <w:t>cuentas bancarias y clabes interbancarias</w:t>
      </w:r>
      <w:r w:rsidRPr="00616402">
        <w:rPr>
          <w:rFonts w:ascii="Palatino Linotype" w:hAnsi="Palatino Linotype" w:cs="Arial"/>
        </w:rPr>
        <w:t xml:space="preserve">, es de precisar que </w:t>
      </w:r>
      <w:r w:rsidRPr="00616402">
        <w:rPr>
          <w:rFonts w:ascii="Palatino Linotype" w:hAnsi="Palatino Linotype" w:cs="Arial"/>
        </w:rPr>
        <w:lastRenderedPageBreak/>
        <w:t xml:space="preserve">dicha información es información confidencial únicamente por lo que concierne a los particulares, no así del </w:t>
      </w:r>
      <w:r w:rsidRPr="00616402">
        <w:rPr>
          <w:rFonts w:ascii="Palatino Linotype" w:hAnsi="Palatino Linotype" w:cs="Arial"/>
          <w:b/>
        </w:rPr>
        <w:t xml:space="preserve">SUJETO OBLIGADO, </w:t>
      </w:r>
      <w:r w:rsidRPr="00616402">
        <w:rPr>
          <w:rFonts w:ascii="Palatino Linotype" w:hAnsi="Palatino Linotype" w:cs="Arial"/>
        </w:rPr>
        <w:t>toda vez que su publicidad abona a la transparencia y a la rendición de cuentas.</w:t>
      </w:r>
    </w:p>
    <w:p w:rsidR="002D69B2" w:rsidRPr="00616402" w:rsidRDefault="002D69B2" w:rsidP="002D69B2">
      <w:pPr>
        <w:spacing w:before="240" w:after="240" w:line="360" w:lineRule="auto"/>
        <w:jc w:val="both"/>
        <w:rPr>
          <w:rFonts w:ascii="Palatino Linotype" w:eastAsia="Calibri" w:hAnsi="Palatino Linotype"/>
        </w:rPr>
      </w:pPr>
      <w:r w:rsidRPr="00616402">
        <w:rPr>
          <w:rFonts w:ascii="Palatino Linotype" w:eastAsia="Calibri" w:hAnsi="Palatino Linotype"/>
        </w:rPr>
        <w:t xml:space="preserve">En este sentido, es importante precisar que, de acuerdo al </w:t>
      </w:r>
      <w:r w:rsidRPr="00616402">
        <w:rPr>
          <w:rFonts w:ascii="Palatino Linotype" w:eastAsia="Calibri" w:hAnsi="Palatino Linotype"/>
          <w:b/>
        </w:rPr>
        <w:t>criterio 11/17</w:t>
      </w:r>
      <w:r w:rsidRPr="00616402">
        <w:rPr>
          <w:rFonts w:ascii="Palatino Linotype" w:eastAsia="Calibri" w:hAnsi="Palatino Linotype"/>
        </w:rPr>
        <w:t xml:space="preserve"> emitido por el INAI, las cuentas bancarias y/o clabes interbancarias de los Sujetos Obligados es información de carácter público. </w:t>
      </w:r>
    </w:p>
    <w:p w:rsidR="002D69B2" w:rsidRPr="00616402" w:rsidRDefault="002D69B2" w:rsidP="002D69B2">
      <w:pPr>
        <w:tabs>
          <w:tab w:val="left" w:pos="8222"/>
        </w:tabs>
        <w:ind w:left="851" w:right="902"/>
        <w:jc w:val="center"/>
        <w:rPr>
          <w:rFonts w:ascii="Palatino Linotype" w:hAnsi="Palatino Linotype" w:cs="Arial"/>
          <w:b/>
          <w:color w:val="000000"/>
          <w:sz w:val="22"/>
          <w:szCs w:val="22"/>
        </w:rPr>
      </w:pPr>
      <w:r w:rsidRPr="00616402">
        <w:rPr>
          <w:rFonts w:ascii="Palatino Linotype" w:hAnsi="Palatino Linotype" w:cs="Arial"/>
          <w:color w:val="000000"/>
          <w:sz w:val="22"/>
          <w:szCs w:val="22"/>
        </w:rPr>
        <w:t>“</w:t>
      </w:r>
      <w:r w:rsidRPr="00616402">
        <w:rPr>
          <w:rFonts w:ascii="Palatino Linotype" w:hAnsi="Palatino Linotype" w:cs="Arial"/>
          <w:b/>
          <w:color w:val="000000"/>
          <w:sz w:val="22"/>
          <w:szCs w:val="22"/>
        </w:rPr>
        <w:t>Criterio 11/17</w:t>
      </w:r>
    </w:p>
    <w:p w:rsidR="002D69B2" w:rsidRPr="00616402" w:rsidRDefault="002D69B2" w:rsidP="002D69B2">
      <w:pPr>
        <w:tabs>
          <w:tab w:val="left" w:pos="8222"/>
        </w:tabs>
        <w:ind w:left="851" w:right="902"/>
        <w:jc w:val="both"/>
        <w:rPr>
          <w:rFonts w:ascii="Palatino Linotype" w:hAnsi="Palatino Linotype"/>
          <w:i/>
          <w:sz w:val="22"/>
          <w:szCs w:val="22"/>
        </w:rPr>
      </w:pPr>
      <w:r w:rsidRPr="00616402">
        <w:rPr>
          <w:rFonts w:ascii="Palatino Linotype" w:hAnsi="Palatino Linotype"/>
          <w:b/>
          <w:i/>
          <w:sz w:val="22"/>
          <w:szCs w:val="22"/>
        </w:rPr>
        <w:t>Cuentas bancarias y/o CLABE interbancaria de sujetos obligados que reciben y/o transfieren recursos públicos, son información pública.</w:t>
      </w:r>
      <w:r w:rsidRPr="00616402">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2D69B2" w:rsidRPr="00616402" w:rsidRDefault="002D69B2" w:rsidP="002D69B2">
      <w:pPr>
        <w:tabs>
          <w:tab w:val="left" w:pos="8222"/>
        </w:tabs>
        <w:ind w:left="851" w:right="902"/>
        <w:jc w:val="both"/>
        <w:rPr>
          <w:rFonts w:ascii="Palatino Linotype" w:hAnsi="Palatino Linotype"/>
          <w:i/>
          <w:sz w:val="22"/>
          <w:szCs w:val="22"/>
        </w:rPr>
      </w:pPr>
      <w:r w:rsidRPr="00616402">
        <w:rPr>
          <w:rFonts w:ascii="Palatino Linotype" w:hAnsi="Palatino Linotype"/>
          <w:i/>
          <w:sz w:val="22"/>
          <w:szCs w:val="22"/>
        </w:rPr>
        <w:t xml:space="preserve">Resoluciones: </w:t>
      </w:r>
    </w:p>
    <w:p w:rsidR="002D69B2" w:rsidRPr="00616402" w:rsidRDefault="002D69B2" w:rsidP="002D69B2">
      <w:pPr>
        <w:tabs>
          <w:tab w:val="left" w:pos="8222"/>
        </w:tabs>
        <w:ind w:left="851" w:right="902"/>
        <w:jc w:val="both"/>
        <w:rPr>
          <w:rFonts w:ascii="Palatino Linotype" w:hAnsi="Palatino Linotype"/>
          <w:i/>
          <w:sz w:val="22"/>
          <w:szCs w:val="22"/>
        </w:rPr>
      </w:pPr>
      <w:r w:rsidRPr="00616402">
        <w:rPr>
          <w:rFonts w:ascii="Palatino Linotype" w:hAnsi="Palatino Linotype"/>
          <w:i/>
          <w:sz w:val="22"/>
          <w:szCs w:val="22"/>
        </w:rPr>
        <w:sym w:font="Symbol" w:char="F0B7"/>
      </w:r>
      <w:r w:rsidRPr="00616402">
        <w:rPr>
          <w:rFonts w:ascii="Palatino Linotype" w:hAnsi="Palatino Linotype"/>
          <w:i/>
          <w:sz w:val="22"/>
          <w:szCs w:val="22"/>
        </w:rPr>
        <w:t xml:space="preserve"> RRA 0448/16. NOTIMEX, Agencia de Noticias del Estado Mexicano. 24 de agosto de 2016. Por unanimidad. Comisionado Ponente Joel Salas Suárez.</w:t>
      </w:r>
    </w:p>
    <w:p w:rsidR="002D69B2" w:rsidRPr="00616402" w:rsidRDefault="002D69B2" w:rsidP="002D69B2">
      <w:pPr>
        <w:tabs>
          <w:tab w:val="left" w:pos="8222"/>
        </w:tabs>
        <w:ind w:left="851" w:right="902"/>
        <w:jc w:val="both"/>
        <w:rPr>
          <w:rFonts w:ascii="Palatino Linotype" w:hAnsi="Palatino Linotype"/>
          <w:i/>
          <w:sz w:val="22"/>
          <w:szCs w:val="22"/>
        </w:rPr>
      </w:pPr>
      <w:r w:rsidRPr="00616402">
        <w:rPr>
          <w:rFonts w:ascii="Palatino Linotype" w:hAnsi="Palatino Linotype"/>
          <w:i/>
          <w:sz w:val="22"/>
          <w:szCs w:val="22"/>
        </w:rPr>
        <w:sym w:font="Symbol" w:char="F0B7"/>
      </w:r>
      <w:r w:rsidRPr="00616402">
        <w:rPr>
          <w:rFonts w:ascii="Palatino Linotype" w:hAnsi="Palatino Linotype"/>
          <w:i/>
          <w:sz w:val="22"/>
          <w:szCs w:val="22"/>
        </w:rPr>
        <w:t xml:space="preserve"> RRA 2787/16. Colegio de Postgraduados. 01 de noviembre de 2016. Por unanimidad. Comisionado Ponente Francisco Javier Acuña Llamas.</w:t>
      </w:r>
    </w:p>
    <w:p w:rsidR="002D69B2" w:rsidRPr="00616402" w:rsidRDefault="002D69B2" w:rsidP="002D69B2">
      <w:pPr>
        <w:tabs>
          <w:tab w:val="left" w:pos="8222"/>
        </w:tabs>
        <w:ind w:left="851" w:right="902"/>
        <w:jc w:val="both"/>
        <w:rPr>
          <w:rFonts w:ascii="Palatino Linotype" w:hAnsi="Palatino Linotype"/>
          <w:i/>
          <w:sz w:val="22"/>
          <w:szCs w:val="22"/>
        </w:rPr>
      </w:pPr>
      <w:r w:rsidRPr="00616402">
        <w:rPr>
          <w:rFonts w:ascii="Palatino Linotype" w:hAnsi="Palatino Linotype"/>
          <w:i/>
          <w:sz w:val="22"/>
          <w:szCs w:val="22"/>
        </w:rPr>
        <w:sym w:font="Symbol" w:char="F0B7"/>
      </w:r>
      <w:r w:rsidRPr="00616402">
        <w:rPr>
          <w:rFonts w:ascii="Palatino Linotype" w:hAnsi="Palatino Linotype"/>
          <w:i/>
          <w:sz w:val="22"/>
          <w:szCs w:val="22"/>
        </w:rPr>
        <w:t xml:space="preserve"> RRA 4756/16. Instituto Mexicano del Seguro Social. 08 de febrero de 2017. Por unanimidad. Comisionado Ponente Oscar Mauricio Guerra Ford.” </w:t>
      </w:r>
      <w:r w:rsidRPr="00616402">
        <w:rPr>
          <w:rFonts w:ascii="Palatino Linotype" w:hAnsi="Palatino Linotype"/>
          <w:sz w:val="22"/>
          <w:szCs w:val="22"/>
        </w:rPr>
        <w:t>(</w:t>
      </w:r>
      <w:r w:rsidRPr="00616402">
        <w:rPr>
          <w:rFonts w:ascii="Palatino Linotype" w:hAnsi="Palatino Linotype"/>
          <w:i/>
          <w:sz w:val="22"/>
          <w:szCs w:val="22"/>
        </w:rPr>
        <w:t>Sic</w:t>
      </w:r>
      <w:r w:rsidRPr="00616402">
        <w:rPr>
          <w:rFonts w:ascii="Palatino Linotype" w:hAnsi="Palatino Linotype"/>
          <w:sz w:val="22"/>
          <w:szCs w:val="22"/>
        </w:rPr>
        <w:t>)</w:t>
      </w:r>
    </w:p>
    <w:p w:rsidR="002D69B2" w:rsidRPr="00616402" w:rsidRDefault="002D69B2" w:rsidP="002D69B2">
      <w:pPr>
        <w:spacing w:before="240" w:after="240" w:line="360" w:lineRule="auto"/>
        <w:ind w:right="49"/>
        <w:jc w:val="both"/>
        <w:rPr>
          <w:rFonts w:ascii="Palatino Linotype" w:hAnsi="Palatino Linotype" w:cs="Arial"/>
          <w:lang w:val="es-ES_tradnl"/>
        </w:rPr>
      </w:pPr>
      <w:r w:rsidRPr="00616402">
        <w:rPr>
          <w:rFonts w:ascii="Palatino Linotype" w:hAnsi="Palatino Linotype" w:cs="Arial"/>
          <w:lang w:val="es-ES_tradnl"/>
        </w:rPr>
        <w:t xml:space="preserve">Caso contrario a los particulares, como lo refiere el </w:t>
      </w:r>
      <w:r w:rsidRPr="00616402">
        <w:rPr>
          <w:rFonts w:ascii="Palatino Linotype" w:eastAsia="Calibri" w:hAnsi="Palatino Linotype"/>
          <w:b/>
        </w:rPr>
        <w:t>criterio 10/17</w:t>
      </w:r>
      <w:r w:rsidRPr="00616402">
        <w:rPr>
          <w:rFonts w:ascii="Palatino Linotype" w:eastAsia="Calibri" w:hAnsi="Palatino Linotype"/>
        </w:rPr>
        <w:t xml:space="preserve"> emitido por el INAI, que es del tenor literal siguiente:</w:t>
      </w:r>
    </w:p>
    <w:p w:rsidR="002D69B2" w:rsidRPr="00616402" w:rsidRDefault="002D69B2" w:rsidP="002D69B2">
      <w:pPr>
        <w:ind w:left="851" w:right="902"/>
        <w:jc w:val="both"/>
        <w:rPr>
          <w:rFonts w:ascii="Palatino Linotype" w:hAnsi="Palatino Linotype" w:cs="Arial"/>
          <w:i/>
          <w:sz w:val="22"/>
          <w:szCs w:val="22"/>
          <w:lang w:val="es-ES_tradnl"/>
        </w:rPr>
      </w:pPr>
      <w:r w:rsidRPr="00616402">
        <w:rPr>
          <w:rFonts w:ascii="Palatino Linotype" w:hAnsi="Palatino Linotype" w:cs="Arial"/>
          <w:b/>
          <w:i/>
          <w:sz w:val="22"/>
          <w:szCs w:val="22"/>
          <w:lang w:val="es-ES_tradnl"/>
        </w:rPr>
        <w:t>Cuentas bancarias y/o CLABE interbancaria de personas físicas y morales privadas. El número de cuenta bancaria y/o CLABE interbancaria de particulares es información confidencial</w:t>
      </w:r>
      <w:r w:rsidRPr="00616402">
        <w:rPr>
          <w:rFonts w:ascii="Palatino Linotype" w:hAnsi="Palatino Linotype" w:cs="Arial"/>
          <w:i/>
          <w:sz w:val="22"/>
          <w:szCs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2D69B2" w:rsidRPr="00616402" w:rsidRDefault="002D69B2" w:rsidP="002D69B2">
      <w:pPr>
        <w:ind w:left="851" w:right="902"/>
        <w:jc w:val="both"/>
        <w:rPr>
          <w:rFonts w:ascii="Palatino Linotype" w:hAnsi="Palatino Linotype" w:cs="Arial"/>
          <w:i/>
          <w:sz w:val="22"/>
          <w:szCs w:val="22"/>
          <w:lang w:val="es-ES_tradnl"/>
        </w:rPr>
      </w:pPr>
      <w:r w:rsidRPr="00616402">
        <w:rPr>
          <w:rFonts w:ascii="Palatino Linotype" w:hAnsi="Palatino Linotype" w:cs="Arial"/>
          <w:i/>
          <w:sz w:val="22"/>
          <w:szCs w:val="22"/>
          <w:lang w:val="es-ES_tradnl"/>
        </w:rPr>
        <w:lastRenderedPageBreak/>
        <w:t xml:space="preserve">Resoluciones:  </w:t>
      </w:r>
    </w:p>
    <w:p w:rsidR="002D69B2" w:rsidRPr="00616402" w:rsidRDefault="002D69B2" w:rsidP="002D69B2">
      <w:pPr>
        <w:ind w:left="851" w:right="902"/>
        <w:jc w:val="both"/>
        <w:rPr>
          <w:rFonts w:ascii="Palatino Linotype" w:hAnsi="Palatino Linotype" w:cs="Arial"/>
          <w:i/>
          <w:sz w:val="22"/>
          <w:szCs w:val="22"/>
          <w:lang w:val="es-ES_tradnl"/>
        </w:rPr>
      </w:pPr>
      <w:r w:rsidRPr="00616402">
        <w:rPr>
          <w:rFonts w:ascii="Palatino Linotype" w:hAnsi="Palatino Linotype" w:cs="Arial"/>
          <w:i/>
          <w:sz w:val="22"/>
          <w:szCs w:val="22"/>
          <w:lang w:val="es-ES_tradnl"/>
        </w:rPr>
        <w:t>RRA 1276/16 Grupo Aeroportuario de la Ciudad de México. S.A. de C.V. 01 de noviembre de 2016. Por unanimidad. Comisionada Ponente Areli Cano Guadiana.</w:t>
      </w:r>
    </w:p>
    <w:p w:rsidR="002D69B2" w:rsidRPr="00616402" w:rsidRDefault="002D69B2" w:rsidP="002D69B2">
      <w:pPr>
        <w:ind w:left="851" w:right="902"/>
        <w:jc w:val="both"/>
        <w:rPr>
          <w:rFonts w:ascii="Palatino Linotype" w:hAnsi="Palatino Linotype" w:cs="Arial"/>
          <w:i/>
          <w:sz w:val="22"/>
          <w:szCs w:val="22"/>
          <w:lang w:val="es-ES_tradnl"/>
        </w:rPr>
      </w:pPr>
      <w:r w:rsidRPr="00616402">
        <w:rPr>
          <w:rFonts w:ascii="Palatino Linotype" w:hAnsi="Palatino Linotype" w:cs="Arial"/>
          <w:i/>
          <w:sz w:val="22"/>
          <w:szCs w:val="22"/>
          <w:lang w:val="es-ES_tradnl"/>
        </w:rPr>
        <w:t xml:space="preserve">RRA 3527/16 Servicio de Administración Tributaria. 07 de diciembre de 2016. Por unanimidad. Comisionada Ponente Ximena Puente de la Mora.  </w:t>
      </w:r>
      <w:r w:rsidRPr="00616402">
        <w:rPr>
          <w:rFonts w:ascii="Palatino Linotype" w:hAnsi="Palatino Linotype" w:cs="Arial"/>
          <w:i/>
          <w:sz w:val="22"/>
          <w:szCs w:val="22"/>
          <w:lang w:val="es-ES_tradnl"/>
        </w:rPr>
        <w:t xml:space="preserve"> </w:t>
      </w:r>
    </w:p>
    <w:p w:rsidR="002D69B2" w:rsidRPr="00616402" w:rsidRDefault="002D69B2" w:rsidP="002D69B2">
      <w:pPr>
        <w:ind w:left="851" w:right="902"/>
        <w:jc w:val="both"/>
        <w:rPr>
          <w:rFonts w:ascii="Palatino Linotype" w:hAnsi="Palatino Linotype" w:cs="Arial"/>
          <w:i/>
          <w:sz w:val="22"/>
          <w:szCs w:val="22"/>
          <w:lang w:val="es-ES_tradnl"/>
        </w:rPr>
      </w:pPr>
      <w:r w:rsidRPr="00616402">
        <w:rPr>
          <w:rFonts w:ascii="Palatino Linotype" w:hAnsi="Palatino Linotype" w:cs="Arial"/>
          <w:i/>
          <w:sz w:val="22"/>
          <w:szCs w:val="22"/>
          <w:lang w:val="es-ES_tradnl"/>
        </w:rPr>
        <w:t>RRA 4404/16 Partido del Trabajo. 01 de febrero de 2017. Por unanimidad. Comisionado Ponente Francisco Acuña Llamas.</w:t>
      </w:r>
    </w:p>
    <w:p w:rsidR="002D69B2" w:rsidRPr="00616402" w:rsidRDefault="002D69B2" w:rsidP="002D69B2">
      <w:pPr>
        <w:spacing w:before="240" w:after="240" w:line="360" w:lineRule="auto"/>
        <w:ind w:right="49"/>
        <w:jc w:val="both"/>
        <w:rPr>
          <w:rFonts w:ascii="Palatino Linotype" w:hAnsi="Palatino Linotype" w:cs="Arial"/>
          <w:lang w:val="es-ES_tradnl"/>
        </w:rPr>
      </w:pPr>
      <w:r w:rsidRPr="00616402">
        <w:rPr>
          <w:rFonts w:ascii="Palatino Linotype" w:hAnsi="Palatino Linotype" w:cs="Arial"/>
          <w:lang w:val="es-ES_tradnl"/>
        </w:rPr>
        <w:t xml:space="preserve">Por lo tanto, </w:t>
      </w:r>
      <w:r w:rsidRPr="00616402">
        <w:rPr>
          <w:rFonts w:ascii="Palatino Linotype" w:hAnsi="Palatino Linotype" w:cs="Arial"/>
          <w:b/>
          <w:lang w:val="es-ES_tradnl"/>
        </w:rPr>
        <w:t>la entrega de documentos, en su versión pública, debe acompañarse necesariamente del Acuerdo del Comité de Transparencia que la sustente</w:t>
      </w:r>
      <w:r w:rsidRPr="00616402">
        <w:rPr>
          <w:rFonts w:ascii="Palatino Linotype" w:hAnsi="Palatino Linotype" w:cs="Arial"/>
          <w:lang w:val="es-ES_tradnl"/>
        </w:rPr>
        <w:t xml:space="preserve">, en el que se expongan los fundamentos y razonamientos que llevaron al </w:t>
      </w:r>
      <w:r w:rsidRPr="00616402">
        <w:rPr>
          <w:rFonts w:ascii="Palatino Linotype" w:hAnsi="Palatino Linotype" w:cs="Arial"/>
          <w:b/>
          <w:lang w:val="es-ES_tradnl"/>
        </w:rPr>
        <w:t>SUJETO OBLIGADO</w:t>
      </w:r>
      <w:r w:rsidRPr="00616402">
        <w:rPr>
          <w:rFonts w:ascii="Palatino Linotype" w:hAnsi="Palatino Linotype" w:cs="Arial"/>
          <w:lang w:val="es-ES_tradnl"/>
        </w:rPr>
        <w:t xml:space="preserve"> a testar, suprimir o eliminar datos de dicho soporte documental, </w:t>
      </w:r>
      <w:r w:rsidRPr="00616402">
        <w:rPr>
          <w:rFonts w:ascii="Palatino Linotype" w:hAnsi="Palatino Linotype" w:cs="Arial"/>
          <w:b/>
          <w:lang w:val="es-ES_tradnl"/>
        </w:rPr>
        <w:t>ya que no hacerlo implica que lo entregado no es legal ni formalmente una versión pública, sino más bien una documentación ilegible, incompleta o tachada</w:t>
      </w:r>
      <w:r w:rsidRPr="00616402">
        <w:rPr>
          <w:rFonts w:ascii="Palatino Linotype" w:hAnsi="Palatino Linotype" w:cs="Arial"/>
          <w:lang w:val="es-ES_tradnl"/>
        </w:rPr>
        <w:t>; pues no señalar las razones por las que no se aprecian determinados datos, ya sea porque se testan o suprimen, deja al solicitante en estado de incertidumbre, al no conocer o comprender por qué no aparecen en la documentación respectiva, es decir, si no se exponen de manera puntual las razones de ello se estaría violentando desde un inicio el derecho de acceso a la información del solicitante.</w:t>
      </w:r>
    </w:p>
    <w:p w:rsidR="0028762A" w:rsidRPr="00616402" w:rsidRDefault="0028762A" w:rsidP="0028762A">
      <w:pPr>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 xml:space="preserve">Ahora bien, es importante señalar que la clasificación de información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w:t>
      </w:r>
      <w:r w:rsidRPr="00616402">
        <w:rPr>
          <w:rFonts w:ascii="Palatino Linotype" w:hAnsi="Palatino Linotype" w:cs="Arial"/>
        </w:rPr>
        <w:lastRenderedPageBreak/>
        <w:t>Información, así como para la elaboración de Versiones Públicas, que literalmente expresan:</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 xml:space="preserve">“Artículo 49. </w:t>
      </w:r>
      <w:r w:rsidRPr="00616402">
        <w:rPr>
          <w:rFonts w:ascii="Palatino Linotype" w:hAnsi="Palatino Linotype" w:cs="Arial"/>
          <w:i/>
          <w:sz w:val="22"/>
          <w:szCs w:val="22"/>
        </w:rPr>
        <w:t>Los Comités de Transparencia tendrán las siguientes atribuciones:</w:t>
      </w:r>
    </w:p>
    <w:p w:rsidR="0028762A" w:rsidRPr="00616402" w:rsidRDefault="0028762A" w:rsidP="0028762A">
      <w:pPr>
        <w:ind w:left="851" w:right="902"/>
        <w:jc w:val="both"/>
        <w:rPr>
          <w:rFonts w:ascii="Palatino Linotype" w:hAnsi="Palatino Linotype" w:cs="Arial"/>
          <w:b/>
          <w:i/>
          <w:sz w:val="22"/>
          <w:szCs w:val="22"/>
        </w:rPr>
      </w:pPr>
      <w:r w:rsidRPr="00616402">
        <w:rPr>
          <w:rFonts w:ascii="Palatino Linotype" w:hAnsi="Palatino Linotype" w:cs="Arial"/>
          <w:b/>
          <w:i/>
          <w:sz w:val="22"/>
          <w:szCs w:val="22"/>
        </w:rPr>
        <w:t>…</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VIII.</w:t>
      </w:r>
      <w:r w:rsidRPr="00616402">
        <w:rPr>
          <w:rFonts w:ascii="Palatino Linotype" w:hAnsi="Palatino Linotype" w:cs="Arial"/>
          <w:i/>
          <w:sz w:val="22"/>
          <w:szCs w:val="22"/>
        </w:rPr>
        <w:t xml:space="preserve"> Aprobar, modificar o revocar la clasificación de la información;</w:t>
      </w:r>
    </w:p>
    <w:p w:rsidR="0028762A" w:rsidRPr="00616402" w:rsidRDefault="0028762A" w:rsidP="0028762A">
      <w:pPr>
        <w:ind w:left="851" w:right="902"/>
        <w:jc w:val="both"/>
        <w:rPr>
          <w:rFonts w:ascii="Palatino Linotype" w:hAnsi="Palatino Linotype" w:cs="Arial"/>
          <w:b/>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Artículo 132.</w:t>
      </w:r>
      <w:r w:rsidRPr="00616402">
        <w:rPr>
          <w:rFonts w:ascii="Palatino Linotype" w:hAnsi="Palatino Linotype" w:cs="Arial"/>
          <w:i/>
          <w:sz w:val="22"/>
          <w:szCs w:val="22"/>
        </w:rPr>
        <w:t xml:space="preserve"> La clasificación de la información se llevará a cabo en el momento en que:</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I.</w:t>
      </w:r>
      <w:r w:rsidRPr="00616402">
        <w:rPr>
          <w:rFonts w:ascii="Palatino Linotype" w:hAnsi="Palatino Linotype" w:cs="Arial"/>
          <w:i/>
          <w:sz w:val="22"/>
          <w:szCs w:val="22"/>
        </w:rPr>
        <w:t xml:space="preserve"> Se reciba una solicitud de acceso a la información;</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II.</w:t>
      </w:r>
      <w:r w:rsidRPr="00616402">
        <w:rPr>
          <w:rFonts w:ascii="Palatino Linotype" w:hAnsi="Palatino Linotype" w:cs="Arial"/>
          <w:i/>
          <w:sz w:val="22"/>
          <w:szCs w:val="22"/>
        </w:rPr>
        <w:t xml:space="preserve"> Se determine mediante resolución de autoridad competente; o</w:t>
      </w:r>
    </w:p>
    <w:p w:rsidR="0028762A" w:rsidRPr="00616402" w:rsidRDefault="0028762A" w:rsidP="0028762A">
      <w:pPr>
        <w:ind w:left="851" w:right="902"/>
        <w:jc w:val="both"/>
        <w:rPr>
          <w:rFonts w:ascii="Palatino Linotype" w:hAnsi="Palatino Linotype" w:cs="Arial"/>
          <w:b/>
          <w:i/>
          <w:sz w:val="22"/>
          <w:szCs w:val="22"/>
        </w:rPr>
      </w:pPr>
      <w:r w:rsidRPr="00616402">
        <w:rPr>
          <w:rFonts w:ascii="Palatino Linotype" w:hAnsi="Palatino Linotype" w:cs="Arial"/>
          <w:i/>
          <w:sz w:val="22"/>
          <w:szCs w:val="22"/>
        </w:rPr>
        <w:t>III. Se generen versiones públicas para dar cumplimiento a las obligaciones de transparencia previstas en esta Ley.</w:t>
      </w:r>
      <w:r w:rsidRPr="00616402">
        <w:rPr>
          <w:rFonts w:ascii="Palatino Linotype" w:hAnsi="Palatino Linotype" w:cs="Arial"/>
          <w:b/>
          <w:i/>
          <w:sz w:val="22"/>
          <w:szCs w:val="22"/>
        </w:rPr>
        <w:t>”</w:t>
      </w:r>
    </w:p>
    <w:p w:rsidR="0028762A" w:rsidRPr="00616402" w:rsidRDefault="0028762A" w:rsidP="0028762A">
      <w:pPr>
        <w:ind w:left="851" w:right="902"/>
        <w:jc w:val="both"/>
        <w:rPr>
          <w:rFonts w:ascii="Palatino Linotype" w:hAnsi="Palatino Linotype" w:cs="Arial"/>
          <w:b/>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“Segundo.-</w:t>
      </w:r>
      <w:r w:rsidRPr="00616402">
        <w:rPr>
          <w:rFonts w:ascii="Palatino Linotype" w:hAnsi="Palatino Linotype" w:cs="Arial"/>
          <w:i/>
          <w:sz w:val="22"/>
          <w:szCs w:val="22"/>
        </w:rPr>
        <w:t xml:space="preserve"> Para efectos de los presentes Lineamientos Generales, se entenderá por:</w:t>
      </w:r>
    </w:p>
    <w:p w:rsidR="0028762A" w:rsidRPr="00616402" w:rsidRDefault="0028762A" w:rsidP="0028762A">
      <w:pPr>
        <w:ind w:left="851" w:right="902"/>
        <w:jc w:val="both"/>
        <w:rPr>
          <w:rFonts w:ascii="Palatino Linotype" w:hAnsi="Palatino Linotype" w:cs="Arial"/>
          <w:b/>
          <w:i/>
          <w:sz w:val="22"/>
          <w:szCs w:val="22"/>
        </w:rPr>
      </w:pPr>
      <w:r w:rsidRPr="00616402">
        <w:rPr>
          <w:rFonts w:ascii="Palatino Linotype" w:hAnsi="Palatino Linotype" w:cs="Arial"/>
          <w:b/>
          <w:i/>
          <w:sz w:val="22"/>
          <w:szCs w:val="22"/>
        </w:rPr>
        <w:t>…</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XVIII.</w:t>
      </w:r>
      <w:r w:rsidRPr="00616402">
        <w:rPr>
          <w:rFonts w:ascii="Palatino Linotype" w:hAnsi="Palatino Linotype" w:cs="Arial"/>
          <w:i/>
          <w:sz w:val="22"/>
          <w:szCs w:val="22"/>
        </w:rPr>
        <w:t xml:space="preserve">  </w:t>
      </w:r>
      <w:r w:rsidRPr="00616402">
        <w:rPr>
          <w:rFonts w:ascii="Palatino Linotype" w:hAnsi="Palatino Linotype" w:cs="Arial"/>
          <w:b/>
          <w:i/>
          <w:sz w:val="22"/>
          <w:szCs w:val="22"/>
        </w:rPr>
        <w:t>Versión pública:</w:t>
      </w:r>
      <w:r w:rsidRPr="0061640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8762A" w:rsidRPr="00616402" w:rsidRDefault="0028762A" w:rsidP="0028762A">
      <w:pPr>
        <w:ind w:left="851" w:right="902"/>
        <w:jc w:val="both"/>
        <w:rPr>
          <w:rFonts w:ascii="Palatino Linotype" w:hAnsi="Palatino Linotype" w:cs="Arial"/>
          <w:b/>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Cuarto.</w:t>
      </w:r>
      <w:r w:rsidRPr="0061640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28762A" w:rsidRPr="00616402" w:rsidRDefault="0028762A" w:rsidP="0028762A">
      <w:pPr>
        <w:ind w:left="851" w:right="902"/>
        <w:jc w:val="both"/>
        <w:rPr>
          <w:rFonts w:ascii="Palatino Linotype" w:hAnsi="Palatino Linotype" w:cs="Arial"/>
          <w:b/>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Quinto.</w:t>
      </w:r>
      <w:r w:rsidRPr="0061640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8762A" w:rsidRPr="00616402" w:rsidRDefault="0028762A" w:rsidP="0028762A">
      <w:pPr>
        <w:ind w:left="851" w:right="902"/>
        <w:jc w:val="both"/>
        <w:rPr>
          <w:rFonts w:ascii="Palatino Linotype" w:hAnsi="Palatino Linotype" w:cs="Arial"/>
          <w:b/>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lastRenderedPageBreak/>
        <w:t>Sexto.</w:t>
      </w:r>
      <w:r w:rsidRPr="00616402">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La clasificación de información se realizará conforme a un análisis caso por caso, mediante la aplicación de la prueba de daño y de interés público.</w:t>
      </w:r>
    </w:p>
    <w:p w:rsidR="0028762A" w:rsidRPr="00616402" w:rsidRDefault="0028762A" w:rsidP="0028762A">
      <w:pPr>
        <w:ind w:left="851" w:right="902"/>
        <w:jc w:val="both"/>
        <w:rPr>
          <w:rFonts w:ascii="Palatino Linotype" w:hAnsi="Palatino Linotype" w:cs="Arial"/>
          <w:b/>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Séptimo.</w:t>
      </w:r>
      <w:r w:rsidRPr="00616402">
        <w:rPr>
          <w:rFonts w:ascii="Palatino Linotype" w:hAnsi="Palatino Linotype" w:cs="Arial"/>
          <w:i/>
          <w:sz w:val="22"/>
          <w:szCs w:val="22"/>
        </w:rPr>
        <w:t xml:space="preserve"> La clasificación de la información se llevará a cabo en el momento en que:</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I.</w:t>
      </w:r>
      <w:r w:rsidRPr="00616402">
        <w:rPr>
          <w:rFonts w:ascii="Palatino Linotype" w:hAnsi="Palatino Linotype" w:cs="Arial"/>
          <w:i/>
          <w:sz w:val="22"/>
          <w:szCs w:val="22"/>
        </w:rPr>
        <w:t xml:space="preserve">        Se reciba una solicitud de acceso a la información;</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II.</w:t>
      </w:r>
      <w:r w:rsidRPr="00616402">
        <w:rPr>
          <w:rFonts w:ascii="Palatino Linotype" w:hAnsi="Palatino Linotype" w:cs="Arial"/>
          <w:i/>
          <w:sz w:val="22"/>
          <w:szCs w:val="22"/>
        </w:rPr>
        <w:t xml:space="preserve">       Se determine mediante resolución de autoridad competente, o</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III.</w:t>
      </w:r>
      <w:r w:rsidRPr="00616402">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28762A" w:rsidRPr="00616402" w:rsidRDefault="0028762A" w:rsidP="0028762A">
      <w:pPr>
        <w:ind w:left="851" w:right="902"/>
        <w:jc w:val="both"/>
        <w:rPr>
          <w:rFonts w:ascii="Palatino Linotype" w:hAnsi="Palatino Linotype" w:cs="Arial"/>
          <w:b/>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Octavo.</w:t>
      </w:r>
      <w:r w:rsidRPr="00616402">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28762A" w:rsidRPr="00616402" w:rsidRDefault="0028762A" w:rsidP="0028762A">
      <w:pPr>
        <w:ind w:left="851" w:right="902"/>
        <w:jc w:val="both"/>
        <w:rPr>
          <w:rFonts w:ascii="Palatino Linotype" w:hAnsi="Palatino Linotype" w:cs="Arial"/>
          <w:b/>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t>Noveno.</w:t>
      </w:r>
      <w:r w:rsidRPr="0061640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8762A" w:rsidRPr="00616402" w:rsidRDefault="0028762A" w:rsidP="0028762A">
      <w:pPr>
        <w:ind w:left="851" w:right="902"/>
        <w:jc w:val="both"/>
        <w:rPr>
          <w:rFonts w:ascii="Palatino Linotype" w:hAnsi="Palatino Linotype" w:cs="Arial"/>
          <w:b/>
          <w:i/>
          <w:sz w:val="22"/>
          <w:szCs w:val="22"/>
        </w:rPr>
      </w:pP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b/>
          <w:i/>
          <w:sz w:val="22"/>
          <w:szCs w:val="22"/>
        </w:rPr>
        <w:lastRenderedPageBreak/>
        <w:t>Décimo.</w:t>
      </w:r>
      <w:r w:rsidRPr="00616402">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8762A" w:rsidRPr="00616402" w:rsidRDefault="0028762A" w:rsidP="0028762A">
      <w:pPr>
        <w:ind w:left="851" w:right="902"/>
        <w:jc w:val="both"/>
        <w:rPr>
          <w:rFonts w:ascii="Palatino Linotype" w:hAnsi="Palatino Linotype" w:cs="Arial"/>
          <w:i/>
          <w:sz w:val="22"/>
          <w:szCs w:val="22"/>
        </w:rPr>
      </w:pPr>
      <w:r w:rsidRPr="00616402">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28762A" w:rsidRPr="00616402" w:rsidRDefault="0028762A" w:rsidP="0028762A">
      <w:pPr>
        <w:ind w:left="851" w:right="899"/>
        <w:jc w:val="both"/>
        <w:rPr>
          <w:rFonts w:ascii="Palatino Linotype" w:hAnsi="Palatino Linotype" w:cs="Arial"/>
          <w:b/>
          <w:i/>
          <w:sz w:val="22"/>
          <w:szCs w:val="22"/>
        </w:rPr>
      </w:pPr>
    </w:p>
    <w:p w:rsidR="0028762A" w:rsidRPr="00616402" w:rsidRDefault="0028762A" w:rsidP="0028762A">
      <w:pPr>
        <w:ind w:left="851" w:right="899"/>
        <w:jc w:val="both"/>
        <w:rPr>
          <w:rFonts w:ascii="Palatino Linotype" w:hAnsi="Palatino Linotype" w:cs="Arial"/>
          <w:b/>
          <w:i/>
          <w:sz w:val="22"/>
          <w:szCs w:val="22"/>
        </w:rPr>
      </w:pPr>
      <w:r w:rsidRPr="00616402">
        <w:rPr>
          <w:rFonts w:ascii="Palatino Linotype" w:hAnsi="Palatino Linotype" w:cs="Arial"/>
          <w:b/>
          <w:i/>
          <w:sz w:val="22"/>
          <w:szCs w:val="22"/>
        </w:rPr>
        <w:t>Décimo primero.</w:t>
      </w:r>
      <w:r w:rsidRPr="0061640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16402">
        <w:rPr>
          <w:rFonts w:ascii="Palatino Linotype" w:hAnsi="Palatino Linotype" w:cs="Arial"/>
          <w:b/>
          <w:i/>
          <w:sz w:val="22"/>
          <w:szCs w:val="22"/>
        </w:rPr>
        <w:t>”</w:t>
      </w:r>
    </w:p>
    <w:p w:rsidR="0028762A" w:rsidRPr="00616402" w:rsidRDefault="0028762A" w:rsidP="0028762A">
      <w:pPr>
        <w:spacing w:before="100" w:beforeAutospacing="1" w:after="100" w:afterAutospacing="1" w:line="360" w:lineRule="auto"/>
        <w:jc w:val="both"/>
        <w:rPr>
          <w:rFonts w:ascii="Palatino Linotype" w:hAnsi="Palatino Linotype" w:cs="Arial"/>
        </w:rPr>
      </w:pPr>
      <w:r w:rsidRPr="0061640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28762A" w:rsidRPr="00616402" w:rsidRDefault="0028762A" w:rsidP="0028762A">
      <w:pPr>
        <w:spacing w:before="100" w:beforeAutospacing="1" w:after="100" w:afterAutospacing="1" w:line="360" w:lineRule="auto"/>
        <w:jc w:val="both"/>
        <w:rPr>
          <w:rFonts w:ascii="Palatino Linotype" w:eastAsia="Calibri" w:hAnsi="Palatino Linotype"/>
          <w:lang w:eastAsia="en-US"/>
        </w:rPr>
      </w:pPr>
      <w:r w:rsidRPr="00616402">
        <w:rPr>
          <w:rFonts w:ascii="Palatino Linotype" w:hAnsi="Palatino Linotype" w:cs="Arial"/>
        </w:rPr>
        <w:t xml:space="preserve">Consecuentemente, se destaca que la versión pública que elabore </w:t>
      </w:r>
      <w:r w:rsidRPr="00616402">
        <w:rPr>
          <w:rFonts w:ascii="Palatino Linotype" w:hAnsi="Palatino Linotype" w:cs="Arial"/>
          <w:b/>
        </w:rPr>
        <w:t>EL SUJETO OBLIGADO</w:t>
      </w:r>
      <w:r w:rsidRPr="00616402">
        <w:rPr>
          <w:rFonts w:ascii="Palatino Linotype" w:hAnsi="Palatino Linotype" w:cs="Arial"/>
        </w:rPr>
        <w:t xml:space="preserve"> debe cumplir con las formalidades exigidas en la Ley, por lo que para tal efecto emitirá el </w:t>
      </w:r>
      <w:r w:rsidRPr="00616402">
        <w:rPr>
          <w:rFonts w:ascii="Palatino Linotype" w:hAnsi="Palatino Linotype" w:cs="Arial"/>
          <w:b/>
        </w:rPr>
        <w:t>Acuerdo del Comité de Transparencia</w:t>
      </w:r>
      <w:r w:rsidRPr="0061640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16402">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616402">
        <w:rPr>
          <w:rFonts w:ascii="Palatino Linotype" w:hAnsi="Palatino Linotype" w:cs="Arial"/>
          <w:lang w:eastAsia="es-CO"/>
        </w:rPr>
        <w:lastRenderedPageBreak/>
        <w:t>en la documentación respectiva, es decir, si no se exponen de manera puntual las razones de ello se estaría violentando desde un inicio el derecho de acceso a la información del solicitante.</w:t>
      </w:r>
    </w:p>
    <w:p w:rsidR="0028762A" w:rsidRPr="00616402" w:rsidRDefault="0028762A" w:rsidP="0028762A">
      <w:pPr>
        <w:spacing w:before="100" w:beforeAutospacing="1" w:after="100" w:afterAutospacing="1" w:line="360" w:lineRule="auto"/>
        <w:ind w:right="49"/>
        <w:jc w:val="both"/>
        <w:rPr>
          <w:rFonts w:ascii="Palatino Linotype" w:hAnsi="Palatino Linotype" w:cs="Arial"/>
        </w:rPr>
      </w:pPr>
      <w:r w:rsidRPr="00616402">
        <w:rPr>
          <w:rFonts w:ascii="Palatino Linotype" w:hAnsi="Palatino Linotype" w:cstheme="majorBidi"/>
          <w:b/>
        </w:rPr>
        <w:t>El cumplimiento a esta resolución es susceptible de ser impugnado.</w:t>
      </w:r>
    </w:p>
    <w:p w:rsidR="0028762A" w:rsidRPr="00616402" w:rsidRDefault="0028762A" w:rsidP="0028762A">
      <w:pPr>
        <w:spacing w:before="100" w:beforeAutospacing="1" w:after="100" w:afterAutospacing="1" w:line="360" w:lineRule="auto"/>
        <w:jc w:val="both"/>
        <w:rPr>
          <w:rFonts w:ascii="Palatino Linotype" w:eastAsiaTheme="minorEastAsia" w:hAnsi="Palatino Linotype" w:cs="Arial"/>
          <w:lang w:val="es-ES_tradnl"/>
        </w:rPr>
      </w:pPr>
      <w:r w:rsidRPr="00616402">
        <w:rPr>
          <w:rFonts w:ascii="Palatino Linotype" w:eastAsiaTheme="minorEastAsia" w:hAnsi="Palatino Linotype" w:cs="Arial"/>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8762A" w:rsidRPr="00616402" w:rsidRDefault="0028762A" w:rsidP="0028762A">
      <w:pPr>
        <w:spacing w:before="240" w:after="240"/>
        <w:ind w:left="851" w:right="899"/>
        <w:contextualSpacing/>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i/>
          <w:sz w:val="22"/>
          <w:szCs w:val="22"/>
          <w:lang w:val="es-ES_tradnl"/>
        </w:rPr>
        <w:t>“….</w:t>
      </w:r>
    </w:p>
    <w:p w:rsidR="0028762A" w:rsidRPr="00616402" w:rsidRDefault="0028762A" w:rsidP="0028762A">
      <w:pPr>
        <w:spacing w:before="240" w:after="240"/>
        <w:ind w:left="851" w:right="899"/>
        <w:contextualSpacing/>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b/>
          <w:i/>
          <w:sz w:val="22"/>
          <w:szCs w:val="22"/>
          <w:lang w:val="es-ES_tradnl"/>
        </w:rPr>
        <w:t xml:space="preserve">La respuesta que den los sujetos obligados derivada </w:t>
      </w:r>
      <w:r w:rsidRPr="00616402">
        <w:rPr>
          <w:rFonts w:ascii="Palatino Linotype" w:eastAsiaTheme="minorEastAsia" w:hAnsi="Palatino Linotype" w:cs="Arial"/>
          <w:b/>
          <w:i/>
          <w:sz w:val="22"/>
          <w:szCs w:val="22"/>
          <w:u w:val="single"/>
          <w:lang w:val="es-ES_tradnl"/>
        </w:rPr>
        <w:t>de la resolución</w:t>
      </w:r>
      <w:r w:rsidRPr="00616402">
        <w:rPr>
          <w:rFonts w:ascii="Palatino Linotype" w:eastAsiaTheme="minorEastAsia" w:hAnsi="Palatino Linotype" w:cs="Arial"/>
          <w:i/>
          <w:sz w:val="22"/>
          <w:szCs w:val="22"/>
          <w:lang w:val="es-ES_tradnl"/>
        </w:rPr>
        <w:t xml:space="preserve"> a un recurso de revisión que proceda por las causales señaladas en las fracciones </w:t>
      </w:r>
      <w:r w:rsidRPr="00616402">
        <w:rPr>
          <w:rFonts w:ascii="Palatino Linotype" w:eastAsiaTheme="minorEastAsia" w:hAnsi="Palatino Linotype" w:cs="Arial"/>
          <w:i/>
          <w:sz w:val="22"/>
          <w:szCs w:val="22"/>
          <w:u w:val="single"/>
          <w:lang w:val="es-ES_tradnl"/>
        </w:rPr>
        <w:t xml:space="preserve">IV, VII, IX, X, XI y XII </w:t>
      </w:r>
      <w:r w:rsidRPr="00616402">
        <w:rPr>
          <w:rFonts w:ascii="Palatino Linotype" w:eastAsiaTheme="minorEastAsia" w:hAnsi="Palatino Linotype" w:cs="Arial"/>
          <w:i/>
          <w:sz w:val="22"/>
          <w:szCs w:val="22"/>
          <w:lang w:val="es-ES_tradnl"/>
        </w:rPr>
        <w:t xml:space="preserve">es </w:t>
      </w:r>
      <w:r w:rsidRPr="00616402">
        <w:rPr>
          <w:rFonts w:ascii="Palatino Linotype" w:eastAsiaTheme="minorEastAsia" w:hAnsi="Palatino Linotype" w:cs="Arial"/>
          <w:i/>
          <w:sz w:val="22"/>
          <w:szCs w:val="22"/>
          <w:u w:val="single"/>
          <w:lang w:val="es-ES_tradnl"/>
        </w:rPr>
        <w:t>susceptible de ser impugnada</w:t>
      </w:r>
      <w:r w:rsidRPr="00616402">
        <w:rPr>
          <w:rFonts w:ascii="Palatino Linotype" w:eastAsiaTheme="minorEastAsia" w:hAnsi="Palatino Linotype" w:cs="Arial"/>
          <w:i/>
          <w:sz w:val="22"/>
          <w:szCs w:val="22"/>
          <w:lang w:val="es-ES_tradnl"/>
        </w:rPr>
        <w:t xml:space="preserve"> de nueva cuenta, mediante recurso de revisión, ante el Instituto. “</w:t>
      </w:r>
    </w:p>
    <w:p w:rsidR="0028762A" w:rsidRPr="00616402" w:rsidRDefault="0028762A" w:rsidP="0028762A">
      <w:pPr>
        <w:spacing w:before="240" w:after="240"/>
        <w:ind w:left="851" w:right="899"/>
        <w:contextualSpacing/>
        <w:jc w:val="both"/>
        <w:rPr>
          <w:rFonts w:ascii="Palatino Linotype" w:eastAsiaTheme="minorEastAsia" w:hAnsi="Palatino Linotype" w:cs="Arial"/>
          <w:i/>
          <w:sz w:val="22"/>
          <w:szCs w:val="22"/>
          <w:lang w:val="es-ES_tradnl"/>
        </w:rPr>
      </w:pPr>
    </w:p>
    <w:p w:rsidR="0028762A" w:rsidRPr="00616402" w:rsidRDefault="0028762A" w:rsidP="0028762A">
      <w:pPr>
        <w:spacing w:before="240" w:after="240"/>
        <w:ind w:left="851" w:right="899"/>
        <w:contextualSpacing/>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i/>
          <w:sz w:val="22"/>
          <w:szCs w:val="22"/>
          <w:lang w:val="es-ES_tradnl"/>
        </w:rPr>
        <w:t>(Énfasis añadido)</w:t>
      </w:r>
    </w:p>
    <w:p w:rsidR="0028762A" w:rsidRPr="00616402" w:rsidRDefault="0028762A" w:rsidP="0028762A">
      <w:pPr>
        <w:spacing w:before="100" w:beforeAutospacing="1" w:after="100" w:afterAutospacing="1" w:line="360" w:lineRule="auto"/>
        <w:jc w:val="both"/>
        <w:rPr>
          <w:rFonts w:ascii="Palatino Linotype" w:eastAsiaTheme="minorEastAsia" w:hAnsi="Palatino Linotype" w:cs="Arial"/>
          <w:lang w:val="es-ES_tradnl"/>
        </w:rPr>
      </w:pPr>
      <w:r w:rsidRPr="00616402">
        <w:rPr>
          <w:rFonts w:ascii="Palatino Linotype" w:eastAsiaTheme="minorEastAsia" w:hAnsi="Palatino Linotype" w:cs="Arial"/>
          <w:lang w:val="es-ES_tradnl"/>
        </w:rPr>
        <w:t xml:space="preserve">Es así que en este asunto en el que se está ante la presencia de una falta de respuesta y una falta de trámite a la solicitud de información por parte del </w:t>
      </w:r>
      <w:r w:rsidRPr="00616402">
        <w:rPr>
          <w:rFonts w:ascii="Palatino Linotype" w:eastAsiaTheme="minorEastAsia" w:hAnsi="Palatino Linotype" w:cs="Arial"/>
          <w:b/>
          <w:lang w:val="es-ES_tradnl"/>
        </w:rPr>
        <w:t>SUJETO OBLIGADO</w:t>
      </w:r>
      <w:r w:rsidRPr="00616402">
        <w:rPr>
          <w:rFonts w:ascii="Palatino Linotype" w:eastAsiaTheme="minorEastAsia" w:hAnsi="Palatino Linotype" w:cs="Arial"/>
          <w:lang w:val="es-ES_tradnl"/>
        </w:rPr>
        <w:t>, se encuadra en los supuestos que contempla el artículo 179 en sus fracciones VII y XI, mismas que señalan lo siguiente:</w:t>
      </w:r>
    </w:p>
    <w:p w:rsidR="0028762A" w:rsidRPr="00616402" w:rsidRDefault="0028762A" w:rsidP="0028762A">
      <w:pPr>
        <w:ind w:left="851" w:right="899"/>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b/>
          <w:i/>
          <w:sz w:val="22"/>
          <w:szCs w:val="22"/>
          <w:lang w:val="es-ES_tradnl"/>
        </w:rPr>
        <w:t>“Artículo 179.</w:t>
      </w:r>
      <w:r w:rsidRPr="00616402">
        <w:rPr>
          <w:rFonts w:ascii="Palatino Linotype" w:eastAsiaTheme="minorEastAsia" w:hAnsi="Palatino Linotype" w:cs="Arial"/>
          <w:i/>
          <w:sz w:val="22"/>
          <w:szCs w:val="22"/>
          <w:lang w:val="es-ES_tradnl"/>
        </w:rPr>
        <w:t xml:space="preserve"> El recurso de revisión es un medio de protección que la Ley otorga a los particulares, para hacer valer su derecho de acceso a la información pública, y procederá en contra de las siguientes causas:</w:t>
      </w:r>
    </w:p>
    <w:p w:rsidR="0028762A" w:rsidRPr="00616402" w:rsidRDefault="0028762A" w:rsidP="0028762A">
      <w:pPr>
        <w:ind w:left="851" w:right="899"/>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i/>
          <w:sz w:val="22"/>
          <w:szCs w:val="22"/>
          <w:lang w:val="es-ES_tradnl"/>
        </w:rPr>
        <w:t>….</w:t>
      </w:r>
    </w:p>
    <w:p w:rsidR="0028762A" w:rsidRPr="00616402" w:rsidRDefault="0028762A" w:rsidP="0028762A">
      <w:pPr>
        <w:ind w:left="851" w:right="899"/>
        <w:jc w:val="both"/>
        <w:rPr>
          <w:rFonts w:ascii="Palatino Linotype" w:eastAsiaTheme="minorEastAsia" w:hAnsi="Palatino Linotype" w:cs="Arial"/>
          <w:b/>
          <w:i/>
          <w:sz w:val="22"/>
          <w:szCs w:val="22"/>
          <w:lang w:val="es-ES_tradnl"/>
        </w:rPr>
      </w:pPr>
      <w:r w:rsidRPr="00616402">
        <w:rPr>
          <w:rFonts w:ascii="Palatino Linotype" w:eastAsiaTheme="minorEastAsia" w:hAnsi="Palatino Linotype" w:cs="Arial"/>
          <w:b/>
          <w:i/>
          <w:sz w:val="22"/>
          <w:szCs w:val="22"/>
          <w:lang w:val="es-ES_tradnl"/>
        </w:rPr>
        <w:t>VII. La falta de respuesta a una solicitud de acceso a la información;</w:t>
      </w:r>
    </w:p>
    <w:p w:rsidR="0028762A" w:rsidRPr="00616402" w:rsidRDefault="0028762A" w:rsidP="0028762A">
      <w:pPr>
        <w:ind w:left="851" w:right="899"/>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i/>
          <w:sz w:val="22"/>
          <w:szCs w:val="22"/>
          <w:lang w:val="es-ES_tradnl"/>
        </w:rPr>
        <w:t>…</w:t>
      </w:r>
    </w:p>
    <w:p w:rsidR="0028762A" w:rsidRPr="00616402" w:rsidRDefault="0028762A" w:rsidP="0028762A">
      <w:pPr>
        <w:ind w:left="851" w:right="899"/>
        <w:jc w:val="both"/>
        <w:rPr>
          <w:rFonts w:ascii="Palatino Linotype" w:eastAsiaTheme="minorEastAsia" w:hAnsi="Palatino Linotype" w:cs="Arial"/>
          <w:b/>
          <w:i/>
          <w:sz w:val="22"/>
          <w:szCs w:val="22"/>
          <w:lang w:val="es-ES_tradnl"/>
        </w:rPr>
      </w:pPr>
      <w:r w:rsidRPr="00616402">
        <w:rPr>
          <w:rFonts w:ascii="Palatino Linotype" w:eastAsiaTheme="minorEastAsia" w:hAnsi="Palatino Linotype" w:cs="Arial"/>
          <w:b/>
          <w:i/>
          <w:sz w:val="22"/>
          <w:szCs w:val="22"/>
          <w:lang w:val="es-ES_tradnl"/>
        </w:rPr>
        <w:t>XI. La falta de trámite a una solicitud;</w:t>
      </w:r>
    </w:p>
    <w:p w:rsidR="0028762A" w:rsidRPr="00616402" w:rsidRDefault="0028762A" w:rsidP="0028762A">
      <w:pPr>
        <w:ind w:left="851" w:right="899"/>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i/>
          <w:sz w:val="22"/>
          <w:szCs w:val="22"/>
          <w:lang w:val="es-ES_tradnl"/>
        </w:rPr>
        <w:lastRenderedPageBreak/>
        <w:t>…”</w:t>
      </w:r>
    </w:p>
    <w:p w:rsidR="0028762A" w:rsidRPr="00616402" w:rsidRDefault="0028762A" w:rsidP="0028762A">
      <w:pPr>
        <w:ind w:left="851" w:right="899"/>
        <w:jc w:val="both"/>
        <w:rPr>
          <w:rFonts w:ascii="Palatino Linotype" w:eastAsiaTheme="minorEastAsia" w:hAnsi="Palatino Linotype" w:cs="Arial"/>
          <w:i/>
          <w:sz w:val="22"/>
          <w:szCs w:val="22"/>
          <w:lang w:val="es-ES_tradnl"/>
        </w:rPr>
      </w:pPr>
      <w:r w:rsidRPr="00616402">
        <w:rPr>
          <w:rFonts w:ascii="Palatino Linotype" w:eastAsiaTheme="minorEastAsia" w:hAnsi="Palatino Linotype" w:cs="Arial"/>
          <w:i/>
          <w:sz w:val="22"/>
          <w:szCs w:val="22"/>
          <w:lang w:val="es-ES_tradnl"/>
        </w:rPr>
        <w:t>(Énfasis añadido)</w:t>
      </w:r>
    </w:p>
    <w:p w:rsidR="0028762A" w:rsidRPr="00616402" w:rsidRDefault="0028762A" w:rsidP="0028762A">
      <w:pPr>
        <w:spacing w:before="100" w:beforeAutospacing="1" w:after="100" w:afterAutospacing="1" w:line="360" w:lineRule="auto"/>
        <w:jc w:val="both"/>
        <w:rPr>
          <w:rFonts w:ascii="Palatino Linotype" w:eastAsiaTheme="minorEastAsia" w:hAnsi="Palatino Linotype" w:cs="Arial"/>
          <w:lang w:val="es-ES_tradnl"/>
        </w:rPr>
      </w:pPr>
      <w:r w:rsidRPr="00616402">
        <w:rPr>
          <w:rFonts w:ascii="Palatino Linotype" w:eastAsiaTheme="minorEastAsia" w:hAnsi="Palatino Linotype" w:cs="Arial"/>
          <w:lang w:val="es-ES_tradnl"/>
        </w:rPr>
        <w:t xml:space="preserve">En ese tenor, en el asunto particular derivado de la negativa por parte del </w:t>
      </w:r>
      <w:r w:rsidRPr="00616402">
        <w:rPr>
          <w:rFonts w:ascii="Palatino Linotype" w:eastAsiaTheme="minorEastAsia" w:hAnsi="Palatino Linotype" w:cs="Arial"/>
          <w:b/>
          <w:lang w:val="es-ES_tradnl"/>
        </w:rPr>
        <w:t>SUJETO</w:t>
      </w:r>
      <w:r w:rsidRPr="00616402">
        <w:rPr>
          <w:rFonts w:ascii="Palatino Linotype" w:eastAsiaTheme="minorEastAsia" w:hAnsi="Palatino Linotype" w:cs="Arial"/>
          <w:lang w:val="es-ES_tradnl"/>
        </w:rPr>
        <w:t xml:space="preserve"> </w:t>
      </w:r>
      <w:r w:rsidRPr="00616402">
        <w:rPr>
          <w:rFonts w:ascii="Palatino Linotype" w:eastAsiaTheme="minorEastAsia" w:hAnsi="Palatino Linotype" w:cs="Arial"/>
          <w:b/>
          <w:lang w:val="es-ES_tradnl"/>
        </w:rPr>
        <w:t>OBLIGADO</w:t>
      </w:r>
      <w:r w:rsidRPr="00616402">
        <w:rPr>
          <w:rFonts w:ascii="Palatino Linotype" w:eastAsiaTheme="minorEastAsia" w:hAnsi="Palatino Linotype" w:cs="Arial"/>
          <w:lang w:val="es-ES_tradnl"/>
        </w:rPr>
        <w:t xml:space="preserve"> a dar trámite a las solicitudes por parte del Titular de la Unidad de Transparencia y posteriormente requerir la información a las distintas áreas para que estas a su vez, a través del servidor público habilitado realicen las gestiones correspondientes para localizar la información y ésta puede dar proporcionada en respuesta para dar atención a la solicitud, por lo que se configura de manera clara la fracción señalada con anterioridad y este Órgano Garante procede a ordenar a través de la presente resolución, dar atención a las solicitudes de información número  </w:t>
      </w:r>
      <w:r w:rsidR="002D69B2" w:rsidRPr="00616402">
        <w:rPr>
          <w:rFonts w:ascii="Palatino Linotype" w:hAnsi="Palatino Linotype" w:cs="Arial"/>
          <w:b/>
          <w:lang w:val="es-ES"/>
        </w:rPr>
        <w:t xml:space="preserve">00518/CAPULHUA/IP/2019, 00517/CAPULHUA/IP/2019, 00516/CAPULHUA/IP/2019, 00514/CAPULHUA/IP/2019, </w:t>
      </w:r>
      <w:r w:rsidR="002D69B2" w:rsidRPr="00616402">
        <w:rPr>
          <w:rFonts w:ascii="Palatino Linotype" w:hAnsi="Palatino Linotype" w:cs="Arial"/>
          <w:lang w:val="es-ES"/>
        </w:rPr>
        <w:t xml:space="preserve">y </w:t>
      </w:r>
      <w:r w:rsidR="002D69B2" w:rsidRPr="00616402">
        <w:rPr>
          <w:rFonts w:ascii="Palatino Linotype" w:hAnsi="Palatino Linotype" w:cs="Arial"/>
          <w:b/>
          <w:lang w:val="es-ES"/>
        </w:rPr>
        <w:t xml:space="preserve">00515/CAPULHUA/IP/2019 </w:t>
      </w:r>
      <w:r w:rsidRPr="00616402">
        <w:rPr>
          <w:rFonts w:ascii="Palatino Linotype" w:eastAsiaTheme="minorEastAsia" w:hAnsi="Palatino Linotype" w:cs="Arial"/>
          <w:lang w:val="es-ES_tradnl"/>
        </w:rPr>
        <w:t>y además de ello entregar la información correspondiente, con las formalidades previstas en la normatividad aplicable.</w:t>
      </w:r>
    </w:p>
    <w:p w:rsidR="0028762A" w:rsidRPr="00616402" w:rsidRDefault="0028762A" w:rsidP="0028762A">
      <w:pPr>
        <w:spacing w:before="100" w:beforeAutospacing="1" w:after="100" w:afterAutospacing="1" w:line="360" w:lineRule="auto"/>
        <w:jc w:val="both"/>
        <w:rPr>
          <w:rFonts w:ascii="Palatino Linotype" w:eastAsiaTheme="minorEastAsia" w:hAnsi="Palatino Linotype" w:cs="Arial"/>
          <w:lang w:val="es-ES_tradnl"/>
        </w:rPr>
      </w:pPr>
      <w:r w:rsidRPr="00616402">
        <w:rPr>
          <w:rFonts w:ascii="Palatino Linotype" w:eastAsiaTheme="minorEastAsia" w:hAnsi="Palatino Linotype" w:cs="Arial"/>
          <w:lang w:val="es-ES_tradnl"/>
        </w:rPr>
        <w:t xml:space="preserve">Así, el último párrafo del artículo 179 de la ley de la materia, se configura entonces en aquellos casos en donde los </w:t>
      </w:r>
      <w:r w:rsidRPr="00616402">
        <w:rPr>
          <w:rFonts w:ascii="Palatino Linotype" w:eastAsiaTheme="minorEastAsia" w:hAnsi="Palatino Linotype" w:cs="Arial"/>
          <w:b/>
          <w:u w:val="single"/>
          <w:lang w:val="es-ES_tradnl"/>
        </w:rPr>
        <w:t>sujetos obligados emiten respuesta derivada de una resolución a un recurso de revisión que proceda por la causal prevista en las fracciones VII y  XI de la Ley en cita como es este el caso</w:t>
      </w:r>
      <w:r w:rsidRPr="00616402">
        <w:rPr>
          <w:rFonts w:ascii="Palatino Linotype" w:eastAsiaTheme="minorEastAsia" w:hAnsi="Palatino Linotype" w:cs="Arial"/>
          <w:lang w:val="es-ES_tradnl"/>
        </w:rPr>
        <w:t xml:space="preserve">, dicha respuesta es susceptible de ser impugnada de nueva cuenta, mediante recurso de revisión ante el Instituto. Esto es, que el acto que genere el </w:t>
      </w:r>
      <w:r w:rsidRPr="00616402">
        <w:rPr>
          <w:rFonts w:ascii="Palatino Linotype" w:eastAsiaTheme="minorEastAsia" w:hAnsi="Palatino Linotype" w:cs="Arial"/>
          <w:b/>
          <w:lang w:val="es-ES_tradnl"/>
        </w:rPr>
        <w:t>SUJETO OBLIGADO</w:t>
      </w:r>
      <w:r w:rsidRPr="00616402">
        <w:rPr>
          <w:rFonts w:ascii="Palatino Linotype" w:eastAsiaTheme="minorEastAsia"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w:t>
      </w:r>
      <w:r w:rsidRPr="00616402">
        <w:rPr>
          <w:rFonts w:ascii="Palatino Linotype" w:eastAsiaTheme="minorEastAsia" w:hAnsi="Palatino Linotype" w:cs="Arial"/>
          <w:lang w:val="es-ES_tradnl"/>
        </w:rPr>
        <w:lastRenderedPageBreak/>
        <w:t xml:space="preserve">información pública, </w:t>
      </w:r>
      <w:r w:rsidRPr="00616402">
        <w:rPr>
          <w:rFonts w:ascii="Palatino Linotype" w:eastAsiaTheme="minorEastAsia" w:hAnsi="Palatino Linotype" w:cs="Arial"/>
          <w:b/>
          <w:lang w:val="es-ES_tradnl"/>
        </w:rPr>
        <w:t>queda al alcance de la persona la interposición de un nuevo recurso de revisión</w:t>
      </w:r>
      <w:r w:rsidRPr="00616402">
        <w:rPr>
          <w:rFonts w:ascii="Palatino Linotype" w:eastAsiaTheme="minorEastAsia"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28762A" w:rsidRPr="00616402" w:rsidRDefault="0028762A" w:rsidP="0028762A">
      <w:pPr>
        <w:spacing w:before="100" w:beforeAutospacing="1" w:after="100" w:afterAutospacing="1" w:line="360" w:lineRule="auto"/>
        <w:jc w:val="both"/>
        <w:rPr>
          <w:rFonts w:ascii="Palatino Linotype" w:hAnsi="Palatino Linotype" w:cs="Arial"/>
        </w:rPr>
      </w:pPr>
      <w:r w:rsidRPr="00616402">
        <w:rPr>
          <w:rFonts w:ascii="Palatino Linotype" w:hAnsi="Palatino Linotype" w:cs="Arial"/>
          <w:color w:val="000000"/>
        </w:rPr>
        <w:t xml:space="preserve">Finalmente, es de señalar que en razón de que </w:t>
      </w:r>
      <w:r w:rsidRPr="00616402">
        <w:rPr>
          <w:rFonts w:ascii="Palatino Linotype" w:hAnsi="Palatino Linotype" w:cs="Arial"/>
          <w:b/>
          <w:color w:val="000000"/>
        </w:rPr>
        <w:t xml:space="preserve">EL SUJETO OBLIGADO </w:t>
      </w:r>
      <w:r w:rsidRPr="00616402">
        <w:rPr>
          <w:rFonts w:ascii="Palatino Linotype" w:hAnsi="Palatino Linotype" w:cs="Arial"/>
        </w:rPr>
        <w:t xml:space="preserve">fue omiso en atender el derecho de acceso a la información accionado y dado que el recurso de revisión materia del presente asunto, </w:t>
      </w:r>
      <w:r w:rsidRPr="00616402">
        <w:rPr>
          <w:rFonts w:ascii="Palatino Linotype" w:hAnsi="Palatino Linotype"/>
        </w:rPr>
        <w:t xml:space="preserve">no es el medio para investigar y en su caso, sancionar a servidores públicos </w:t>
      </w:r>
      <w:r w:rsidRPr="00616402">
        <w:rPr>
          <w:rFonts w:ascii="Palatino Linotype" w:hAnsi="Palatino Linotype"/>
          <w:b/>
        </w:rPr>
        <w:t>por la omisión de la entrega de información pública</w:t>
      </w:r>
      <w:r w:rsidRPr="00616402">
        <w:rPr>
          <w:rFonts w:ascii="Palatino Linotype" w:hAnsi="Palatino Linotype"/>
        </w:rPr>
        <w:t>, toda vez que el artículo 163 de la Ley de la materia, prevé el plazo de respuesta y atención a solicitudes de información es de máximo quince días hábiles; atento a ello, este Instituto en el ámbito de sus atribuciones, hará  d</w:t>
      </w:r>
      <w:r w:rsidRPr="00616402">
        <w:rPr>
          <w:rFonts w:ascii="Palatino Linotype" w:hAnsi="Palatino Linotype" w:cs="Arial"/>
        </w:rPr>
        <w:t xml:space="preserve">el conocimiento al Contralor de este Instituto a fin de que en términos del ordinal 190 de la Ley de la materia determine lo conducente. </w:t>
      </w:r>
    </w:p>
    <w:p w:rsidR="0028762A" w:rsidRPr="00616402" w:rsidRDefault="0028762A" w:rsidP="0028762A">
      <w:pPr>
        <w:spacing w:before="100" w:beforeAutospacing="1" w:after="100" w:afterAutospacing="1" w:line="360" w:lineRule="auto"/>
        <w:jc w:val="both"/>
        <w:rPr>
          <w:rFonts w:ascii="Palatino Linotype" w:eastAsia="Calibri" w:hAnsi="Palatino Linotype" w:cs="Arial"/>
        </w:rPr>
      </w:pPr>
      <w:r w:rsidRPr="00616402">
        <w:rPr>
          <w:rFonts w:ascii="Palatino Linotype" w:eastAsia="Calibri" w:hAnsi="Palatino Linotype" w:cs="Arial"/>
        </w:rPr>
        <w:t>Así, con fundamento en lo prescrito en los artículos 5, párrafos vigésimo segundo, vigésimo tercero y vigésimo cuarto,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rsidR="0028762A" w:rsidRPr="00E75980" w:rsidRDefault="0028762A" w:rsidP="0028762A">
      <w:pPr>
        <w:jc w:val="center"/>
        <w:rPr>
          <w:rFonts w:ascii="Palatino Linotype" w:hAnsi="Palatino Linotype" w:cs="Arial"/>
          <w:b/>
          <w:spacing w:val="44"/>
          <w:sz w:val="28"/>
        </w:rPr>
      </w:pPr>
      <w:r w:rsidRPr="00E75980">
        <w:rPr>
          <w:rFonts w:ascii="Palatino Linotype" w:hAnsi="Palatino Linotype" w:cs="Arial"/>
          <w:b/>
          <w:spacing w:val="44"/>
          <w:sz w:val="28"/>
        </w:rPr>
        <w:t>RESUELVE</w:t>
      </w:r>
    </w:p>
    <w:p w:rsidR="0028762A" w:rsidRPr="00616402" w:rsidRDefault="0028762A" w:rsidP="0028762A">
      <w:pPr>
        <w:spacing w:before="100" w:beforeAutospacing="1" w:after="100" w:afterAutospacing="1" w:line="360" w:lineRule="auto"/>
        <w:jc w:val="both"/>
        <w:rPr>
          <w:rFonts w:ascii="Palatino Linotype" w:hAnsi="Palatino Linotype" w:cs="Arial"/>
        </w:rPr>
      </w:pPr>
      <w:r w:rsidRPr="00616402">
        <w:rPr>
          <w:rFonts w:ascii="Palatino Linotype" w:hAnsi="Palatino Linotype" w:cs="Arial"/>
          <w:b/>
          <w:bCs/>
          <w:color w:val="222222"/>
          <w:sz w:val="28"/>
          <w:lang w:eastAsia="es-MX"/>
        </w:rPr>
        <w:t>PRIMERO</w:t>
      </w:r>
      <w:r w:rsidRPr="00616402">
        <w:rPr>
          <w:rFonts w:ascii="Palatino Linotype" w:hAnsi="Palatino Linotype" w:cs="Arial"/>
        </w:rPr>
        <w:t xml:space="preserve">. Resultan </w:t>
      </w:r>
      <w:r w:rsidRPr="00616402">
        <w:rPr>
          <w:rFonts w:ascii="Palatino Linotype" w:hAnsi="Palatino Linotype" w:cs="Arial"/>
          <w:b/>
        </w:rPr>
        <w:t>fundadas</w:t>
      </w:r>
      <w:r w:rsidRPr="00616402">
        <w:rPr>
          <w:rFonts w:ascii="Palatino Linotype" w:hAnsi="Palatino Linotype" w:cs="Arial"/>
        </w:rPr>
        <w:t xml:space="preserve"> las razones o motivos de inconformidad planteadas por </w:t>
      </w:r>
      <w:r w:rsidRPr="00616402">
        <w:rPr>
          <w:rFonts w:ascii="Palatino Linotype" w:hAnsi="Palatino Linotype" w:cs="Arial"/>
          <w:b/>
        </w:rPr>
        <w:t>EL RECURRENTE</w:t>
      </w:r>
      <w:r w:rsidRPr="00616402">
        <w:rPr>
          <w:rFonts w:ascii="Palatino Linotype" w:hAnsi="Palatino Linotype" w:cs="Arial"/>
        </w:rPr>
        <w:t xml:space="preserve"> en términos del Considerando </w:t>
      </w:r>
      <w:r w:rsidRPr="00616402">
        <w:rPr>
          <w:rFonts w:ascii="Palatino Linotype" w:hAnsi="Palatino Linotype" w:cs="Arial"/>
          <w:b/>
        </w:rPr>
        <w:t xml:space="preserve">SEXTO </w:t>
      </w:r>
      <w:r w:rsidRPr="00616402">
        <w:rPr>
          <w:rFonts w:ascii="Palatino Linotype" w:hAnsi="Palatino Linotype" w:cs="Arial"/>
        </w:rPr>
        <w:t>de esta Resolución.</w:t>
      </w:r>
    </w:p>
    <w:p w:rsidR="0028762A" w:rsidRPr="00616402" w:rsidRDefault="0028762A" w:rsidP="0028762A">
      <w:pPr>
        <w:spacing w:before="240" w:after="240" w:line="360" w:lineRule="auto"/>
        <w:jc w:val="both"/>
        <w:rPr>
          <w:rFonts w:ascii="Palatino Linotype" w:hAnsi="Palatino Linotype"/>
          <w:color w:val="222222"/>
          <w:lang w:eastAsia="es-MX"/>
        </w:rPr>
      </w:pPr>
      <w:r w:rsidRPr="00616402">
        <w:rPr>
          <w:rFonts w:ascii="Palatino Linotype" w:hAnsi="Palatino Linotype" w:cs="Arial"/>
          <w:b/>
          <w:bCs/>
          <w:color w:val="222222"/>
          <w:sz w:val="28"/>
          <w:lang w:eastAsia="es-MX"/>
        </w:rPr>
        <w:lastRenderedPageBreak/>
        <w:t>SEGUNDO</w:t>
      </w:r>
      <w:r w:rsidRPr="00616402">
        <w:rPr>
          <w:rFonts w:ascii="Palatino Linotype" w:eastAsia="Calibri" w:hAnsi="Palatino Linotype" w:cs="Arial"/>
          <w:b/>
          <w:bCs/>
        </w:rPr>
        <w:t xml:space="preserve">. </w:t>
      </w:r>
      <w:r w:rsidRPr="00616402">
        <w:rPr>
          <w:rFonts w:ascii="Palatino Linotype" w:eastAsia="Calibri" w:hAnsi="Palatino Linotype" w:cs="Arial"/>
          <w:bCs/>
        </w:rPr>
        <w:t xml:space="preserve">Se </w:t>
      </w:r>
      <w:r w:rsidRPr="00616402">
        <w:rPr>
          <w:rFonts w:ascii="Palatino Linotype" w:eastAsia="Calibri" w:hAnsi="Palatino Linotype" w:cs="Arial"/>
          <w:b/>
          <w:bCs/>
        </w:rPr>
        <w:t xml:space="preserve">ORDENA </w:t>
      </w:r>
      <w:r w:rsidRPr="00616402">
        <w:rPr>
          <w:rFonts w:ascii="Palatino Linotype" w:hAnsi="Palatino Linotype"/>
          <w:color w:val="222222"/>
          <w:lang w:eastAsia="es-MX"/>
        </w:rPr>
        <w:t xml:space="preserve">al </w:t>
      </w:r>
      <w:r w:rsidRPr="00616402">
        <w:rPr>
          <w:rFonts w:ascii="Palatino Linotype" w:hAnsi="Palatino Linotype"/>
          <w:b/>
          <w:bCs/>
          <w:color w:val="222222"/>
          <w:lang w:eastAsia="es-MX"/>
        </w:rPr>
        <w:t xml:space="preserve">SUJETO OBLIGADO </w:t>
      </w:r>
      <w:r w:rsidRPr="00616402">
        <w:rPr>
          <w:rFonts w:ascii="Palatino Linotype" w:hAnsi="Palatino Linotype"/>
          <w:color w:val="222222"/>
          <w:lang w:eastAsia="es-MX"/>
        </w:rPr>
        <w:t xml:space="preserve">dé trámite a las solicitudes de acceso a la información pública números </w:t>
      </w:r>
      <w:r w:rsidR="002D69B2" w:rsidRPr="00616402">
        <w:rPr>
          <w:rFonts w:ascii="Palatino Linotype" w:hAnsi="Palatino Linotype" w:cs="Arial"/>
          <w:b/>
          <w:lang w:val="es-ES"/>
        </w:rPr>
        <w:t xml:space="preserve">00518/CAPULHUA/IP/2019, 00517/CAPULHUA/IP/2019, 00516/CAPULHUA/IP/2019, 00514/CAPULHUA/IP/2019, </w:t>
      </w:r>
      <w:r w:rsidR="002D69B2" w:rsidRPr="00616402">
        <w:rPr>
          <w:rFonts w:ascii="Palatino Linotype" w:hAnsi="Palatino Linotype" w:cs="Arial"/>
          <w:lang w:val="es-ES"/>
        </w:rPr>
        <w:t xml:space="preserve">y </w:t>
      </w:r>
      <w:r w:rsidR="002D69B2" w:rsidRPr="00616402">
        <w:rPr>
          <w:rFonts w:ascii="Palatino Linotype" w:hAnsi="Palatino Linotype" w:cs="Arial"/>
          <w:b/>
          <w:lang w:val="es-ES"/>
        </w:rPr>
        <w:t>00515/CAPULHUA/IP/2019</w:t>
      </w:r>
      <w:r w:rsidRPr="00616402">
        <w:rPr>
          <w:rFonts w:ascii="Palatino Linotype" w:hAnsi="Palatino Linotype"/>
          <w:bCs/>
          <w:color w:val="222222"/>
          <w:lang w:eastAsia="es-MX"/>
        </w:rPr>
        <w:t>,</w:t>
      </w:r>
      <w:r w:rsidRPr="00616402">
        <w:rPr>
          <w:rFonts w:ascii="Palatino Linotype" w:hAnsi="Palatino Linotype"/>
          <w:b/>
          <w:bCs/>
          <w:color w:val="222222"/>
          <w:lang w:eastAsia="es-MX"/>
        </w:rPr>
        <w:t xml:space="preserve"> </w:t>
      </w:r>
      <w:r w:rsidRPr="00616402">
        <w:rPr>
          <w:rFonts w:ascii="Palatino Linotype" w:hAnsi="Palatino Linotype"/>
          <w:color w:val="222222"/>
          <w:lang w:eastAsia="es-MX"/>
        </w:rPr>
        <w:t xml:space="preserve">vía </w:t>
      </w:r>
      <w:r w:rsidRPr="00616402">
        <w:rPr>
          <w:rFonts w:ascii="Palatino Linotype" w:hAnsi="Palatino Linotype"/>
          <w:b/>
          <w:bCs/>
          <w:color w:val="222222"/>
          <w:lang w:eastAsia="es-MX"/>
        </w:rPr>
        <w:t xml:space="preserve">SAIMEX, </w:t>
      </w:r>
      <w:r w:rsidRPr="00616402">
        <w:rPr>
          <w:rFonts w:ascii="Palatino Linotype" w:hAnsi="Palatino Linotype"/>
          <w:color w:val="222222"/>
          <w:lang w:eastAsia="es-MX"/>
        </w:rPr>
        <w:t>en términos del Considerando </w:t>
      </w:r>
      <w:r w:rsidRPr="00616402">
        <w:rPr>
          <w:rFonts w:ascii="Palatino Linotype" w:hAnsi="Palatino Linotype"/>
          <w:b/>
          <w:bCs/>
          <w:color w:val="222222"/>
          <w:lang w:eastAsia="es-MX"/>
        </w:rPr>
        <w:t>SEXTO</w:t>
      </w:r>
      <w:r w:rsidRPr="00616402">
        <w:rPr>
          <w:rFonts w:ascii="Palatino Linotype" w:hAnsi="Palatino Linotype"/>
          <w:color w:val="222222"/>
          <w:lang w:eastAsia="es-MX"/>
        </w:rPr>
        <w:t> </w:t>
      </w:r>
      <w:r w:rsidRPr="00616402">
        <w:rPr>
          <w:rFonts w:ascii="Palatino Linotype" w:hAnsi="Palatino Linotype"/>
          <w:b/>
          <w:bCs/>
          <w:color w:val="222222"/>
          <w:lang w:eastAsia="es-MX"/>
        </w:rPr>
        <w:t xml:space="preserve"> </w:t>
      </w:r>
      <w:r w:rsidRPr="00616402">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28762A" w:rsidRPr="00616402" w:rsidRDefault="0028762A" w:rsidP="0028762A">
      <w:pPr>
        <w:spacing w:before="100" w:beforeAutospacing="1" w:after="100" w:afterAutospacing="1" w:line="360" w:lineRule="auto"/>
        <w:jc w:val="both"/>
        <w:rPr>
          <w:rFonts w:ascii="Palatino Linotype" w:hAnsi="Palatino Linotype"/>
          <w:color w:val="222222"/>
          <w:shd w:val="clear" w:color="auto" w:fill="FFFFFF"/>
        </w:rPr>
      </w:pPr>
      <w:r w:rsidRPr="00616402">
        <w:rPr>
          <w:rFonts w:ascii="Palatino Linotype" w:hAnsi="Palatino Linotype"/>
          <w:b/>
          <w:color w:val="222222"/>
          <w:sz w:val="28"/>
          <w:szCs w:val="28"/>
          <w:shd w:val="clear" w:color="auto" w:fill="FFFFFF"/>
        </w:rPr>
        <w:t>TERCERO.</w:t>
      </w:r>
      <w:r w:rsidRPr="00616402">
        <w:rPr>
          <w:rFonts w:ascii="Palatino Linotype" w:hAnsi="Palatino Linotype"/>
          <w:b/>
          <w:color w:val="222222"/>
          <w:shd w:val="clear" w:color="auto" w:fill="FFFFFF"/>
        </w:rPr>
        <w:t> </w:t>
      </w:r>
      <w:r w:rsidRPr="00616402">
        <w:rPr>
          <w:rFonts w:ascii="Palatino Linotype" w:hAnsi="Palatino Linotype"/>
          <w:b/>
          <w:color w:val="222222"/>
          <w:lang w:eastAsia="es-ES_tradnl"/>
        </w:rPr>
        <w:t>Notifíquese</w:t>
      </w:r>
      <w:r w:rsidRPr="00616402">
        <w:rPr>
          <w:rFonts w:ascii="Palatino Linotype" w:hAnsi="Palatino Linotype"/>
          <w:color w:val="222222"/>
          <w:lang w:eastAsia="es-ES_tradnl"/>
        </w:rPr>
        <w:t xml:space="preserve"> </w:t>
      </w:r>
      <w:r w:rsidRPr="00616402">
        <w:rPr>
          <w:rFonts w:ascii="Palatino Linotype" w:hAnsi="Palatino Linotype"/>
          <w:color w:val="222222"/>
          <w:shd w:val="clear" w:color="auto" w:fill="FFFFFF"/>
        </w:rPr>
        <w:t>al Titular de la Unidad de Transparencia del</w:t>
      </w:r>
      <w:r w:rsidRPr="00616402">
        <w:rPr>
          <w:rFonts w:ascii="Palatino Linotype" w:hAnsi="Palatino Linotype"/>
          <w:b/>
          <w:color w:val="222222"/>
          <w:shd w:val="clear" w:color="auto" w:fill="FFFFFF"/>
        </w:rPr>
        <w:t> SUJETO OBLIGADO</w:t>
      </w:r>
      <w:r w:rsidRPr="00616402">
        <w:rPr>
          <w:rFonts w:ascii="Palatino Linotype" w:hAnsi="Palatino Linotype"/>
          <w:color w:val="222222"/>
          <w:shd w:val="clear" w:color="auto" w:fill="FFFFFF"/>
        </w:rPr>
        <w:t xml:space="preserve">, para que conforme a los artículos 186, último párrafo y 189, párrafo segundo de la Ley de </w:t>
      </w:r>
      <w:r w:rsidRPr="00616402">
        <w:rPr>
          <w:rFonts w:ascii="Palatino Linotype" w:hAnsi="Palatino Linotype" w:cs="Arial"/>
        </w:rPr>
        <w:t>Transparencia</w:t>
      </w:r>
      <w:r w:rsidRPr="00616402">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616402">
        <w:rPr>
          <w:rFonts w:ascii="Palatino Linotype" w:hAnsi="Palatino Linotype"/>
          <w:color w:val="222222"/>
          <w:lang w:eastAsia="es-ES_tradnl"/>
        </w:rPr>
        <w:t>de</w:t>
      </w:r>
      <w:r w:rsidRPr="00616402">
        <w:rPr>
          <w:rFonts w:ascii="Palatino Linotype" w:hAnsi="Palatino Linotype"/>
          <w:color w:val="222222"/>
          <w:shd w:val="clear" w:color="auto" w:fill="FFFFFF"/>
        </w:rPr>
        <w:t xml:space="preserve"> tres días hábiles siguientes sobre el cumplimiento dado a la presente resolución.</w:t>
      </w:r>
    </w:p>
    <w:p w:rsidR="0028762A" w:rsidRPr="00616402" w:rsidRDefault="0028762A" w:rsidP="0028762A">
      <w:pPr>
        <w:spacing w:before="100" w:beforeAutospacing="1" w:after="100" w:afterAutospacing="1" w:line="360" w:lineRule="auto"/>
        <w:ind w:right="49"/>
        <w:jc w:val="both"/>
        <w:rPr>
          <w:rFonts w:ascii="Palatino Linotype" w:hAnsi="Palatino Linotype"/>
          <w:color w:val="222222"/>
          <w:lang w:eastAsia="es-ES_tradnl"/>
        </w:rPr>
      </w:pPr>
      <w:r w:rsidRPr="00616402">
        <w:rPr>
          <w:rFonts w:ascii="Palatino Linotype" w:hAnsi="Palatino Linotype" w:cs="Arial"/>
          <w:b/>
          <w:bCs/>
          <w:color w:val="222222"/>
          <w:sz w:val="28"/>
          <w:lang w:eastAsia="es-MX"/>
        </w:rPr>
        <w:t xml:space="preserve">CUARTO. </w:t>
      </w:r>
      <w:r w:rsidRPr="00616402">
        <w:rPr>
          <w:rFonts w:ascii="Palatino Linotype" w:hAnsi="Palatino Linotype"/>
          <w:b/>
          <w:color w:val="222222"/>
          <w:lang w:eastAsia="es-ES_tradnl"/>
        </w:rPr>
        <w:t>Notifíquese</w:t>
      </w:r>
      <w:r w:rsidRPr="00616402">
        <w:rPr>
          <w:rFonts w:ascii="Palatino Linotype" w:hAnsi="Palatino Linotype"/>
          <w:color w:val="222222"/>
          <w:lang w:eastAsia="es-ES_tradnl"/>
        </w:rPr>
        <w:t xml:space="preserve"> al </w:t>
      </w:r>
      <w:r w:rsidRPr="00616402">
        <w:rPr>
          <w:rFonts w:ascii="Palatino Linotype" w:hAnsi="Palatino Linotype"/>
          <w:b/>
          <w:color w:val="222222"/>
          <w:lang w:eastAsia="es-ES_tradnl"/>
        </w:rPr>
        <w:t>RECURRENTE</w:t>
      </w:r>
      <w:r w:rsidRPr="00616402">
        <w:rPr>
          <w:rFonts w:ascii="Palatino Linotype" w:hAnsi="Palatino Linotype"/>
          <w:color w:val="222222"/>
          <w:lang w:eastAsia="es-ES_tradnl"/>
        </w:rPr>
        <w:t xml:space="preserve"> la </w:t>
      </w:r>
      <w:r w:rsidRPr="00616402">
        <w:rPr>
          <w:rFonts w:ascii="Palatino Linotype" w:hAnsi="Palatino Linotype" w:cs="Arial"/>
        </w:rPr>
        <w:t>presente</w:t>
      </w:r>
      <w:r w:rsidRPr="00616402">
        <w:rPr>
          <w:rFonts w:ascii="Palatino Linotype" w:hAnsi="Palatino Linotype"/>
          <w:color w:val="222222"/>
          <w:lang w:eastAsia="es-ES_tradnl"/>
        </w:rPr>
        <w:t xml:space="preserve"> resolución.</w:t>
      </w:r>
    </w:p>
    <w:p w:rsidR="0028762A" w:rsidRPr="00616402" w:rsidRDefault="0028762A" w:rsidP="0028762A">
      <w:pPr>
        <w:spacing w:before="100" w:beforeAutospacing="1" w:after="100" w:afterAutospacing="1" w:line="360" w:lineRule="auto"/>
        <w:ind w:right="49"/>
        <w:jc w:val="both"/>
        <w:rPr>
          <w:rFonts w:ascii="Palatino Linotype" w:hAnsi="Palatino Linotype"/>
          <w:color w:val="222222"/>
          <w:lang w:eastAsia="es-ES_tradnl"/>
        </w:rPr>
      </w:pPr>
      <w:r w:rsidRPr="00616402">
        <w:rPr>
          <w:rFonts w:ascii="Palatino Linotype" w:hAnsi="Palatino Linotype" w:cs="Arial"/>
          <w:b/>
          <w:bCs/>
          <w:color w:val="222222"/>
          <w:sz w:val="28"/>
          <w:lang w:eastAsia="es-MX"/>
        </w:rPr>
        <w:t>QUINTO.</w:t>
      </w:r>
      <w:r w:rsidRPr="00616402">
        <w:rPr>
          <w:rFonts w:ascii="Palatino Linotype" w:hAnsi="Palatino Linotype"/>
          <w:color w:val="222222"/>
          <w:szCs w:val="17"/>
          <w:lang w:eastAsia="es-ES_tradnl"/>
        </w:rPr>
        <w:t xml:space="preserve"> </w:t>
      </w:r>
      <w:r w:rsidRPr="00616402">
        <w:rPr>
          <w:rFonts w:ascii="Palatino Linotype" w:hAnsi="Palatino Linotype"/>
          <w:b/>
          <w:color w:val="222222"/>
          <w:lang w:eastAsia="es-ES_tradnl"/>
        </w:rPr>
        <w:t>Hágase del conocimiento</w:t>
      </w:r>
      <w:r w:rsidRPr="00616402">
        <w:rPr>
          <w:rFonts w:ascii="Palatino Linotype" w:hAnsi="Palatino Linotype"/>
          <w:color w:val="222222"/>
          <w:lang w:eastAsia="es-ES_tradnl"/>
        </w:rPr>
        <w:t xml:space="preserve"> al </w:t>
      </w:r>
      <w:r w:rsidRPr="00616402">
        <w:rPr>
          <w:rFonts w:ascii="Palatino Linotype" w:hAnsi="Palatino Linotype"/>
          <w:b/>
          <w:color w:val="222222"/>
          <w:lang w:eastAsia="es-ES_tradnl"/>
        </w:rPr>
        <w:t>RECURRENTE</w:t>
      </w:r>
      <w:r w:rsidRPr="00616402">
        <w:rPr>
          <w:rFonts w:ascii="Palatino Linotype" w:hAnsi="Palatino Linotype"/>
          <w:color w:val="222222"/>
          <w:lang w:eastAsia="es-ES_tradnl"/>
        </w:rPr>
        <w:t xml:space="preserve"> que, de conformidad con lo establecido en el artículo 196 de la </w:t>
      </w:r>
      <w:r w:rsidRPr="00616402">
        <w:rPr>
          <w:rFonts w:ascii="Palatino Linotype" w:hAnsi="Palatino Linotype" w:cs="Arial"/>
        </w:rPr>
        <w:t>Ley</w:t>
      </w:r>
      <w:r w:rsidRPr="00616402">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28762A" w:rsidRPr="00616402" w:rsidRDefault="0028762A" w:rsidP="0028762A">
      <w:pPr>
        <w:spacing w:before="240" w:after="240" w:line="360" w:lineRule="auto"/>
        <w:ind w:right="49"/>
        <w:jc w:val="both"/>
        <w:rPr>
          <w:rFonts w:ascii="Palatino Linotype" w:hAnsi="Palatino Linotype"/>
          <w:color w:val="222222"/>
          <w:lang w:eastAsia="es-ES_tradnl"/>
        </w:rPr>
      </w:pPr>
      <w:r w:rsidRPr="00616402">
        <w:rPr>
          <w:rFonts w:ascii="Palatino Linotype" w:hAnsi="Palatino Linotype" w:cs="Arial"/>
          <w:b/>
          <w:bCs/>
          <w:color w:val="000000"/>
          <w:sz w:val="28"/>
          <w:lang w:eastAsia="es-MX"/>
        </w:rPr>
        <w:t>SEXTO.</w:t>
      </w:r>
      <w:r w:rsidRPr="00616402">
        <w:rPr>
          <w:rFonts w:ascii="Palatino Linotype" w:hAnsi="Palatino Linotype" w:cs="Arial"/>
          <w:b/>
          <w:bCs/>
          <w:color w:val="222222"/>
          <w:sz w:val="28"/>
          <w:szCs w:val="28"/>
          <w:shd w:val="clear" w:color="auto" w:fill="FFFFFF"/>
        </w:rPr>
        <w:t> </w:t>
      </w:r>
      <w:r w:rsidRPr="00616402">
        <w:rPr>
          <w:rFonts w:ascii="Palatino Linotype" w:hAnsi="Palatino Linotype"/>
          <w:b/>
          <w:color w:val="222222"/>
          <w:szCs w:val="17"/>
          <w:lang w:eastAsia="es-ES_tradnl"/>
        </w:rPr>
        <w:t xml:space="preserve">Hágase del conocimiento </w:t>
      </w:r>
      <w:r w:rsidRPr="00616402">
        <w:rPr>
          <w:rFonts w:ascii="Palatino Linotype" w:hAnsi="Palatino Linotype"/>
          <w:color w:val="222222"/>
          <w:szCs w:val="17"/>
          <w:lang w:eastAsia="es-ES_tradnl"/>
        </w:rPr>
        <w:t xml:space="preserve">del </w:t>
      </w:r>
      <w:r w:rsidRPr="00616402">
        <w:rPr>
          <w:rFonts w:ascii="Palatino Linotype" w:hAnsi="Palatino Linotype"/>
          <w:b/>
          <w:color w:val="222222"/>
          <w:szCs w:val="17"/>
          <w:lang w:eastAsia="es-ES_tradnl"/>
        </w:rPr>
        <w:t xml:space="preserve">RECURRENTE </w:t>
      </w:r>
      <w:r w:rsidRPr="00616402">
        <w:rPr>
          <w:rFonts w:ascii="Palatino Linotype" w:hAnsi="Palatino Linotype"/>
          <w:color w:val="222222"/>
          <w:szCs w:val="17"/>
          <w:lang w:eastAsia="es-ES_tradnl"/>
        </w:rPr>
        <w:t xml:space="preserve">que la respuesta que dé </w:t>
      </w:r>
      <w:r w:rsidRPr="00616402">
        <w:rPr>
          <w:rFonts w:ascii="Palatino Linotype" w:hAnsi="Palatino Linotype"/>
          <w:b/>
          <w:color w:val="222222"/>
          <w:szCs w:val="17"/>
          <w:lang w:eastAsia="es-ES_tradnl"/>
        </w:rPr>
        <w:t>EL SUJETO OBLIGADO</w:t>
      </w:r>
      <w:r w:rsidRPr="00616402">
        <w:rPr>
          <w:rFonts w:ascii="Palatino Linotype" w:hAnsi="Palatino Linotype"/>
          <w:color w:val="222222"/>
          <w:szCs w:val="17"/>
          <w:lang w:eastAsia="es-ES_tradnl"/>
        </w:rPr>
        <w:t xml:space="preserve"> derivada de la presente resolución es susceptible de ser impugnada nuevamente, mediante recurso de revisión, ante el Instituto; ello, con </w:t>
      </w:r>
      <w:r w:rsidRPr="00616402">
        <w:rPr>
          <w:rFonts w:ascii="Palatino Linotype" w:hAnsi="Palatino Linotype"/>
          <w:color w:val="222222"/>
          <w:szCs w:val="17"/>
          <w:lang w:eastAsia="es-ES_tradnl"/>
        </w:rPr>
        <w:lastRenderedPageBreak/>
        <w:t xml:space="preserve">fundamento en el último párrafo del artículo 179 de la Ley de la </w:t>
      </w:r>
      <w:r w:rsidRPr="00616402">
        <w:rPr>
          <w:rFonts w:ascii="Palatino Linotype" w:hAnsi="Palatino Linotype"/>
          <w:color w:val="222222"/>
          <w:lang w:eastAsia="es-ES_tradnl"/>
        </w:rPr>
        <w:t>Transparencia y Acceso a la Información Pública del Estado de México y Municipios.</w:t>
      </w:r>
    </w:p>
    <w:p w:rsidR="0028762A" w:rsidRDefault="0028762A" w:rsidP="0028762A">
      <w:pPr>
        <w:spacing w:before="240" w:after="240" w:line="360" w:lineRule="auto"/>
        <w:ind w:right="49"/>
        <w:jc w:val="both"/>
        <w:rPr>
          <w:rFonts w:ascii="Palatino Linotype" w:hAnsi="Palatino Linotype"/>
          <w:color w:val="222222"/>
          <w:szCs w:val="17"/>
          <w:lang w:eastAsia="es-ES_tradnl"/>
        </w:rPr>
      </w:pPr>
      <w:r w:rsidRPr="00616402">
        <w:rPr>
          <w:rFonts w:ascii="Palatino Linotype" w:hAnsi="Palatino Linotype" w:cs="Arial"/>
          <w:b/>
          <w:bCs/>
          <w:color w:val="000000"/>
          <w:sz w:val="28"/>
          <w:lang w:eastAsia="es-MX"/>
        </w:rPr>
        <w:t>SÉPTIMO. </w:t>
      </w:r>
      <w:r w:rsidRPr="00616402">
        <w:rPr>
          <w:rFonts w:ascii="Palatino Linotype" w:hAnsi="Palatino Linotype"/>
          <w:b/>
          <w:color w:val="222222"/>
          <w:szCs w:val="17"/>
          <w:lang w:eastAsia="es-ES_tradnl"/>
        </w:rPr>
        <w:t xml:space="preserve">Gírese oficio </w:t>
      </w:r>
      <w:r w:rsidRPr="00616402">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 a fin de que determine lo conducen</w:t>
      </w:r>
      <w:r w:rsidR="00961550" w:rsidRPr="00616402">
        <w:rPr>
          <w:rFonts w:ascii="Palatino Linotype" w:hAnsi="Palatino Linotype"/>
          <w:color w:val="222222"/>
          <w:szCs w:val="17"/>
          <w:lang w:eastAsia="es-ES_tradnl"/>
        </w:rPr>
        <w:t xml:space="preserve">te en términos del Considerando </w:t>
      </w:r>
      <w:r w:rsidR="00961550" w:rsidRPr="00616402">
        <w:rPr>
          <w:rFonts w:ascii="Palatino Linotype" w:hAnsi="Palatino Linotype"/>
          <w:b/>
          <w:color w:val="222222"/>
          <w:szCs w:val="17"/>
          <w:lang w:eastAsia="es-ES_tradnl"/>
        </w:rPr>
        <w:t>SEX</w:t>
      </w:r>
      <w:r w:rsidRPr="00616402">
        <w:rPr>
          <w:rFonts w:ascii="Palatino Linotype" w:hAnsi="Palatino Linotype"/>
          <w:b/>
          <w:color w:val="222222"/>
          <w:szCs w:val="17"/>
          <w:lang w:eastAsia="es-ES_tradnl"/>
        </w:rPr>
        <w:t>TO</w:t>
      </w:r>
      <w:r w:rsidRPr="00616402">
        <w:rPr>
          <w:rFonts w:ascii="Palatino Linotype" w:hAnsi="Palatino Linotype"/>
          <w:color w:val="222222"/>
          <w:szCs w:val="17"/>
          <w:lang w:eastAsia="es-ES_tradnl"/>
        </w:rPr>
        <w:t> de la presente resolución.</w:t>
      </w:r>
    </w:p>
    <w:p w:rsidR="00E75980" w:rsidRDefault="00E75980" w:rsidP="00E75980">
      <w:pPr>
        <w:spacing w:before="100" w:beforeAutospacing="1" w:after="100" w:afterAutospacing="1" w:line="360" w:lineRule="auto"/>
        <w:jc w:val="both"/>
        <w:rPr>
          <w:rFonts w:ascii="Palatino Linotype" w:hAnsi="Palatino Linotype" w:cs="Arial"/>
        </w:rPr>
      </w:pPr>
      <w:r w:rsidRPr="00F26BCD">
        <w:rPr>
          <w:rFonts w:ascii="Palatino Linotype" w:hAnsi="Palatino Linotype" w:cs="Arial"/>
        </w:rPr>
        <w:t xml:space="preserve">ASÍ LO RESUELVE, </w:t>
      </w:r>
      <w:r w:rsidRPr="0047309A">
        <w:rPr>
          <w:rFonts w:ascii="Palatino Linotype" w:hAnsi="Palatino Linotype" w:cs="Arial"/>
        </w:rPr>
        <w:t>POR UNANIMIDAD DE VOTOS EL PLENO DEL</w:t>
      </w:r>
      <w:r w:rsidRPr="0047309A">
        <w:rPr>
          <w:rFonts w:ascii="Palatino Linotype" w:eastAsia="Arial Unicode MS" w:hAnsi="Palatino Linotype" w:cs="Arial"/>
        </w:rPr>
        <w:t xml:space="preserve"> INSTITUTO DE </w:t>
      </w:r>
      <w:r w:rsidRPr="0047309A">
        <w:rPr>
          <w:rFonts w:ascii="Palatino Linotype" w:hAnsi="Palatino Linotype"/>
          <w:lang w:eastAsia="en-US"/>
        </w:rPr>
        <w:t>TRANSPARENCIA</w:t>
      </w:r>
      <w:r w:rsidRPr="0047309A">
        <w:rPr>
          <w:rFonts w:ascii="Palatino Linotype" w:eastAsia="Arial Unicode MS" w:hAnsi="Palatino Linotype" w:cs="Arial"/>
        </w:rPr>
        <w:t>, ACCESO A LA INFORMACIÓN PÚBLICA Y PROTECCIÓN DE DATOS PERSONALES DEL ESTADO DE MÉXICO Y MUNICIPIOS</w:t>
      </w:r>
      <w:r w:rsidRPr="0047309A">
        <w:rPr>
          <w:rFonts w:ascii="Palatino Linotype" w:hAnsi="Palatino Linotype" w:cs="Arial"/>
        </w:rPr>
        <w:t>, CONFORMADO POR LOS COMISIONADOS ZULEMA MARTÍNEZ SÁNCHEZ; EVA ABAID YAPUR; JOSÉ GUADALUPE LUNA HERNÁNDEZ; JAVIER MARTÍNEZ CRUZ</w:t>
      </w:r>
      <w:r w:rsidR="00456FE4">
        <w:rPr>
          <w:rFonts w:ascii="Palatino Linotype" w:hAnsi="Palatino Linotype" w:cs="Arial"/>
        </w:rPr>
        <w:t xml:space="preserve">, </w:t>
      </w:r>
      <w:r w:rsidR="00456FE4">
        <w:rPr>
          <w:rFonts w:ascii="Palatino Linotype" w:hAnsi="Palatino Linotype" w:cs="Arial"/>
        </w:rPr>
        <w:t>EMITIENDO VOTO PARTICULAR</w:t>
      </w:r>
      <w:r w:rsidRPr="0047309A">
        <w:rPr>
          <w:rFonts w:ascii="Palatino Linotype" w:hAnsi="Palatino Linotype" w:cs="Arial"/>
        </w:rPr>
        <w:t xml:space="preserve"> Y LUIS GUSTAVO PARRA NORIEGA; EN</w:t>
      </w:r>
      <w:r w:rsidRPr="0047309A">
        <w:rPr>
          <w:rFonts w:ascii="Palatino Linotype" w:hAnsi="Palatino Linotype" w:cs="Arial"/>
          <w:shd w:val="clear" w:color="auto" w:fill="FFFFFF" w:themeFill="background1"/>
        </w:rPr>
        <w:t xml:space="preserve"> LA </w:t>
      </w:r>
      <w:r w:rsidRPr="0047309A">
        <w:rPr>
          <w:rFonts w:ascii="Palatino Linotype" w:hAnsi="Palatino Linotype" w:cs="Arial"/>
        </w:rPr>
        <w:t>SÉPTIMA SESIÓN ORDINARIA CELEBRADA EL DÍA VEINTISÉ</w:t>
      </w:r>
      <w:r>
        <w:rPr>
          <w:rFonts w:ascii="Palatino Linotype" w:hAnsi="Palatino Linotype" w:cs="Arial"/>
        </w:rPr>
        <w:t>I</w:t>
      </w:r>
      <w:r w:rsidRPr="0047309A">
        <w:rPr>
          <w:rFonts w:ascii="Palatino Linotype" w:hAnsi="Palatino Linotype" w:cs="Arial"/>
        </w:rPr>
        <w:t>S DE</w:t>
      </w:r>
      <w:r>
        <w:rPr>
          <w:rFonts w:ascii="Palatino Linotype" w:hAnsi="Palatino Linotype" w:cs="Arial"/>
        </w:rPr>
        <w:t xml:space="preserve"> FEBRERO DE DOS MIL VEINTE</w:t>
      </w:r>
      <w:r w:rsidRPr="00F26BCD">
        <w:rPr>
          <w:rFonts w:ascii="Palatino Linotype" w:hAnsi="Palatino Linotype" w:cs="Arial"/>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28762A" w:rsidRPr="005E7982" w:rsidTr="0028762A">
        <w:trPr>
          <w:jc w:val="center"/>
        </w:trPr>
        <w:tc>
          <w:tcPr>
            <w:tcW w:w="10365" w:type="dxa"/>
            <w:gridSpan w:val="2"/>
          </w:tcPr>
          <w:p w:rsidR="0028762A" w:rsidRDefault="0028762A" w:rsidP="0028762A">
            <w:pPr>
              <w:jc w:val="center"/>
              <w:rPr>
                <w:rFonts w:ascii="Palatino Linotype" w:hAnsi="Palatino Linotype" w:cs="Arial"/>
                <w:b/>
              </w:rPr>
            </w:pPr>
          </w:p>
          <w:p w:rsidR="00E75980" w:rsidRDefault="00E75980" w:rsidP="0028762A">
            <w:pPr>
              <w:jc w:val="center"/>
              <w:rPr>
                <w:rFonts w:ascii="Palatino Linotype" w:hAnsi="Palatino Linotype" w:cs="Arial"/>
                <w:b/>
              </w:rPr>
            </w:pPr>
          </w:p>
          <w:p w:rsidR="00E75980" w:rsidRDefault="00E75980" w:rsidP="0028762A">
            <w:pPr>
              <w:jc w:val="center"/>
              <w:rPr>
                <w:rFonts w:ascii="Palatino Linotype" w:hAnsi="Palatino Linotype" w:cs="Arial"/>
                <w:b/>
              </w:rPr>
            </w:pPr>
            <w:bookmarkStart w:id="1" w:name="_GoBack"/>
            <w:bookmarkEnd w:id="1"/>
          </w:p>
          <w:p w:rsidR="00ED19DC" w:rsidRDefault="00ED19DC" w:rsidP="0028762A">
            <w:pPr>
              <w:jc w:val="center"/>
              <w:rPr>
                <w:rFonts w:ascii="Palatino Linotype" w:hAnsi="Palatino Linotype" w:cs="Arial"/>
                <w:b/>
              </w:rPr>
            </w:pPr>
          </w:p>
          <w:p w:rsidR="00ED19DC" w:rsidRDefault="00ED19DC"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28762A" w:rsidRPr="005E7982" w:rsidRDefault="0028762A" w:rsidP="0028762A">
            <w:pPr>
              <w:jc w:val="center"/>
              <w:rPr>
                <w:rFonts w:ascii="Palatino Linotype" w:hAnsi="Palatino Linotype" w:cs="Arial"/>
                <w:b/>
              </w:rPr>
            </w:pPr>
            <w:r w:rsidRPr="005E7982">
              <w:rPr>
                <w:rFonts w:ascii="Palatino Linotype" w:hAnsi="Palatino Linotype" w:cs="Arial"/>
                <w:b/>
              </w:rPr>
              <w:t>Zulema Martínez Sánchez</w:t>
            </w:r>
          </w:p>
          <w:p w:rsidR="0028762A" w:rsidRPr="005E7982" w:rsidRDefault="0028762A" w:rsidP="0028762A">
            <w:pPr>
              <w:jc w:val="center"/>
              <w:rPr>
                <w:rFonts w:ascii="Palatino Linotype" w:hAnsi="Palatino Linotype" w:cs="Arial"/>
                <w:b/>
              </w:rPr>
            </w:pPr>
            <w:r w:rsidRPr="005E7982">
              <w:rPr>
                <w:rFonts w:ascii="Palatino Linotype" w:hAnsi="Palatino Linotype" w:cs="Arial"/>
              </w:rPr>
              <w:t>Comisionada Presidenta</w:t>
            </w:r>
          </w:p>
          <w:p w:rsidR="0028762A" w:rsidRPr="005E7982" w:rsidRDefault="0028762A" w:rsidP="0028762A">
            <w:pPr>
              <w:jc w:val="center"/>
              <w:rPr>
                <w:rFonts w:ascii="Palatino Linotype" w:hAnsi="Palatino Linotype" w:cs="Arial"/>
                <w:b/>
              </w:rPr>
            </w:pPr>
            <w:r w:rsidRPr="005E7982">
              <w:rPr>
                <w:rFonts w:ascii="Palatino Linotype" w:hAnsi="Palatino Linotype" w:cs="Arial"/>
                <w:b/>
              </w:rPr>
              <w:t xml:space="preserve">(RÚBRICA) </w:t>
            </w:r>
          </w:p>
        </w:tc>
      </w:tr>
      <w:tr w:rsidR="0028762A" w:rsidRPr="005E7982" w:rsidTr="0028762A">
        <w:trPr>
          <w:jc w:val="center"/>
        </w:trPr>
        <w:tc>
          <w:tcPr>
            <w:tcW w:w="5182" w:type="dxa"/>
          </w:tcPr>
          <w:p w:rsidR="0028762A" w:rsidRDefault="0028762A"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E75980" w:rsidRDefault="00E75980" w:rsidP="0028762A">
            <w:pPr>
              <w:jc w:val="center"/>
              <w:rPr>
                <w:rFonts w:ascii="Palatino Linotype" w:hAnsi="Palatino Linotype" w:cs="Arial"/>
                <w:b/>
              </w:rPr>
            </w:pPr>
          </w:p>
          <w:p w:rsidR="00E75980" w:rsidRDefault="00E75980" w:rsidP="0028762A">
            <w:pPr>
              <w:jc w:val="center"/>
              <w:rPr>
                <w:rFonts w:ascii="Palatino Linotype" w:hAnsi="Palatino Linotype" w:cs="Arial"/>
                <w:b/>
              </w:rPr>
            </w:pPr>
          </w:p>
          <w:p w:rsidR="0028762A" w:rsidRPr="005E7982" w:rsidRDefault="0028762A" w:rsidP="0028762A">
            <w:pPr>
              <w:jc w:val="center"/>
              <w:rPr>
                <w:rFonts w:ascii="Palatino Linotype" w:hAnsi="Palatino Linotype" w:cs="Arial"/>
                <w:b/>
              </w:rPr>
            </w:pPr>
          </w:p>
          <w:p w:rsidR="0028762A" w:rsidRPr="005E7982" w:rsidRDefault="0028762A" w:rsidP="0028762A">
            <w:pPr>
              <w:jc w:val="center"/>
              <w:rPr>
                <w:rFonts w:ascii="Palatino Linotype" w:hAnsi="Palatino Linotype" w:cs="Arial"/>
                <w:b/>
              </w:rPr>
            </w:pPr>
            <w:r w:rsidRPr="005E7982">
              <w:rPr>
                <w:rFonts w:ascii="Palatino Linotype" w:hAnsi="Palatino Linotype" w:cs="Arial"/>
                <w:b/>
              </w:rPr>
              <w:t>Eva Abaid Yapur</w:t>
            </w:r>
          </w:p>
          <w:p w:rsidR="0028762A" w:rsidRPr="005E7982" w:rsidRDefault="0028762A" w:rsidP="0028762A">
            <w:pPr>
              <w:jc w:val="center"/>
              <w:rPr>
                <w:rFonts w:ascii="Palatino Linotype" w:hAnsi="Palatino Linotype" w:cs="Arial"/>
              </w:rPr>
            </w:pPr>
            <w:r w:rsidRPr="005E7982">
              <w:rPr>
                <w:rFonts w:ascii="Palatino Linotype" w:hAnsi="Palatino Linotype" w:cs="Arial"/>
              </w:rPr>
              <w:t>Comisionada</w:t>
            </w:r>
          </w:p>
          <w:p w:rsidR="0028762A" w:rsidRPr="005E7982" w:rsidRDefault="0028762A" w:rsidP="0028762A">
            <w:pPr>
              <w:jc w:val="center"/>
              <w:rPr>
                <w:rFonts w:ascii="Palatino Linotype" w:hAnsi="Palatino Linotype" w:cs="Arial"/>
                <w:b/>
              </w:rPr>
            </w:pPr>
            <w:r w:rsidRPr="005E7982">
              <w:rPr>
                <w:rFonts w:ascii="Palatino Linotype" w:hAnsi="Palatino Linotype" w:cs="Arial"/>
                <w:b/>
              </w:rPr>
              <w:t>(RÚBRICA)</w:t>
            </w:r>
          </w:p>
        </w:tc>
        <w:tc>
          <w:tcPr>
            <w:tcW w:w="5183" w:type="dxa"/>
          </w:tcPr>
          <w:p w:rsidR="0028762A" w:rsidRDefault="0028762A"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E75980" w:rsidRDefault="00E75980" w:rsidP="0028762A">
            <w:pPr>
              <w:jc w:val="center"/>
              <w:rPr>
                <w:rFonts w:ascii="Palatino Linotype" w:hAnsi="Palatino Linotype" w:cs="Arial"/>
                <w:b/>
              </w:rPr>
            </w:pPr>
          </w:p>
          <w:p w:rsidR="00E75980" w:rsidRDefault="00E75980"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28762A" w:rsidRPr="005E7982" w:rsidRDefault="0028762A" w:rsidP="0028762A">
            <w:pPr>
              <w:jc w:val="center"/>
              <w:rPr>
                <w:rFonts w:ascii="Palatino Linotype" w:hAnsi="Palatino Linotype" w:cs="Arial"/>
                <w:b/>
              </w:rPr>
            </w:pPr>
          </w:p>
          <w:p w:rsidR="0028762A" w:rsidRPr="005E7982" w:rsidRDefault="0028762A" w:rsidP="0028762A">
            <w:pPr>
              <w:jc w:val="center"/>
              <w:rPr>
                <w:rFonts w:ascii="Palatino Linotype" w:hAnsi="Palatino Linotype" w:cs="Arial"/>
                <w:b/>
              </w:rPr>
            </w:pPr>
            <w:r w:rsidRPr="005E7982">
              <w:rPr>
                <w:rFonts w:ascii="Palatino Linotype" w:hAnsi="Palatino Linotype" w:cs="Arial"/>
                <w:b/>
              </w:rPr>
              <w:t>José Guadalupe Luna Hernández</w:t>
            </w:r>
          </w:p>
          <w:p w:rsidR="0028762A" w:rsidRPr="005E7982" w:rsidRDefault="0028762A" w:rsidP="0028762A">
            <w:pPr>
              <w:jc w:val="center"/>
              <w:rPr>
                <w:rFonts w:ascii="Palatino Linotype" w:hAnsi="Palatino Linotype" w:cs="Arial"/>
              </w:rPr>
            </w:pPr>
            <w:r w:rsidRPr="005E7982">
              <w:rPr>
                <w:rFonts w:ascii="Palatino Linotype" w:hAnsi="Palatino Linotype" w:cs="Arial"/>
              </w:rPr>
              <w:t>Comisionado</w:t>
            </w:r>
          </w:p>
          <w:p w:rsidR="0028762A" w:rsidRPr="005E7982" w:rsidRDefault="0028762A" w:rsidP="0028762A">
            <w:pPr>
              <w:jc w:val="center"/>
              <w:rPr>
                <w:rFonts w:ascii="Palatino Linotype" w:hAnsi="Palatino Linotype" w:cs="Arial"/>
                <w:b/>
              </w:rPr>
            </w:pPr>
            <w:r w:rsidRPr="005E7982">
              <w:rPr>
                <w:rFonts w:ascii="Palatino Linotype" w:hAnsi="Palatino Linotype" w:cs="Arial"/>
                <w:b/>
              </w:rPr>
              <w:t>(RÚBRICA)</w:t>
            </w:r>
          </w:p>
        </w:tc>
      </w:tr>
      <w:tr w:rsidR="0028762A" w:rsidRPr="005E7982" w:rsidTr="0028762A">
        <w:trPr>
          <w:jc w:val="center"/>
        </w:trPr>
        <w:tc>
          <w:tcPr>
            <w:tcW w:w="5182" w:type="dxa"/>
          </w:tcPr>
          <w:p w:rsidR="0028762A" w:rsidRDefault="0028762A"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28762A" w:rsidRPr="005E7982" w:rsidRDefault="0028762A" w:rsidP="0028762A">
            <w:pPr>
              <w:jc w:val="center"/>
              <w:rPr>
                <w:rFonts w:ascii="Palatino Linotype" w:hAnsi="Palatino Linotype" w:cs="Arial"/>
                <w:b/>
              </w:rPr>
            </w:pPr>
          </w:p>
          <w:p w:rsidR="0028762A" w:rsidRPr="005E7982" w:rsidRDefault="0028762A" w:rsidP="0028762A">
            <w:pPr>
              <w:jc w:val="center"/>
              <w:rPr>
                <w:rFonts w:ascii="Palatino Linotype" w:hAnsi="Palatino Linotype" w:cs="Arial"/>
                <w:b/>
              </w:rPr>
            </w:pPr>
            <w:r w:rsidRPr="005E7982">
              <w:rPr>
                <w:rFonts w:ascii="Palatino Linotype" w:hAnsi="Palatino Linotype" w:cs="Arial"/>
                <w:b/>
              </w:rPr>
              <w:t>Javier Martínez Cruz</w:t>
            </w:r>
          </w:p>
          <w:p w:rsidR="0028762A" w:rsidRPr="005E7982" w:rsidRDefault="0028762A" w:rsidP="0028762A">
            <w:pPr>
              <w:jc w:val="center"/>
              <w:rPr>
                <w:rFonts w:ascii="Palatino Linotype" w:hAnsi="Palatino Linotype" w:cs="Arial"/>
              </w:rPr>
            </w:pPr>
            <w:r w:rsidRPr="005E7982">
              <w:rPr>
                <w:rFonts w:ascii="Palatino Linotype" w:hAnsi="Palatino Linotype" w:cs="Arial"/>
              </w:rPr>
              <w:t>Comisionado</w:t>
            </w:r>
          </w:p>
          <w:p w:rsidR="0028762A" w:rsidRPr="005E7982" w:rsidRDefault="0028762A" w:rsidP="0028762A">
            <w:pPr>
              <w:jc w:val="center"/>
              <w:rPr>
                <w:rFonts w:ascii="Palatino Linotype" w:hAnsi="Palatino Linotype" w:cs="Arial"/>
              </w:rPr>
            </w:pPr>
            <w:r w:rsidRPr="005E7982">
              <w:rPr>
                <w:rFonts w:ascii="Palatino Linotype" w:hAnsi="Palatino Linotype" w:cs="Arial"/>
                <w:b/>
              </w:rPr>
              <w:t>(RÚBRICA)</w:t>
            </w:r>
          </w:p>
        </w:tc>
        <w:tc>
          <w:tcPr>
            <w:tcW w:w="5183" w:type="dxa"/>
          </w:tcPr>
          <w:p w:rsidR="0028762A" w:rsidRDefault="0028762A"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28762A" w:rsidRPr="005E7982" w:rsidRDefault="0028762A" w:rsidP="0028762A">
            <w:pPr>
              <w:jc w:val="center"/>
              <w:rPr>
                <w:rFonts w:ascii="Palatino Linotype" w:hAnsi="Palatino Linotype" w:cs="Arial"/>
                <w:b/>
              </w:rPr>
            </w:pPr>
            <w:r w:rsidRPr="005E7982">
              <w:rPr>
                <w:rFonts w:ascii="Palatino Linotype" w:hAnsi="Palatino Linotype" w:cs="Arial"/>
                <w:b/>
              </w:rPr>
              <w:t>Luis Gustavo Parra Noriega</w:t>
            </w:r>
          </w:p>
          <w:p w:rsidR="0028762A" w:rsidRPr="005E7982" w:rsidRDefault="0028762A" w:rsidP="0028762A">
            <w:pPr>
              <w:jc w:val="center"/>
              <w:rPr>
                <w:rFonts w:ascii="Palatino Linotype" w:hAnsi="Palatino Linotype" w:cs="Arial"/>
              </w:rPr>
            </w:pPr>
            <w:r w:rsidRPr="005E7982">
              <w:rPr>
                <w:rFonts w:ascii="Palatino Linotype" w:hAnsi="Palatino Linotype" w:cs="Arial"/>
              </w:rPr>
              <w:t>Comisionado</w:t>
            </w:r>
          </w:p>
          <w:p w:rsidR="0028762A" w:rsidRPr="005E7982" w:rsidRDefault="0028762A" w:rsidP="0028762A">
            <w:pPr>
              <w:jc w:val="center"/>
              <w:rPr>
                <w:rFonts w:ascii="Palatino Linotype" w:hAnsi="Palatino Linotype" w:cs="Arial"/>
                <w:b/>
              </w:rPr>
            </w:pPr>
            <w:r w:rsidRPr="005E7982">
              <w:rPr>
                <w:rFonts w:ascii="Palatino Linotype" w:hAnsi="Palatino Linotype" w:cs="Arial"/>
                <w:b/>
              </w:rPr>
              <w:t>(RÚBRICA)</w:t>
            </w:r>
          </w:p>
        </w:tc>
      </w:tr>
      <w:tr w:rsidR="0028762A" w:rsidRPr="005E7982" w:rsidTr="0028762A">
        <w:trPr>
          <w:jc w:val="center"/>
        </w:trPr>
        <w:tc>
          <w:tcPr>
            <w:tcW w:w="10365" w:type="dxa"/>
            <w:gridSpan w:val="2"/>
          </w:tcPr>
          <w:p w:rsidR="0028762A" w:rsidRDefault="0028762A"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E75980" w:rsidRDefault="00E75980" w:rsidP="0028762A">
            <w:pPr>
              <w:jc w:val="center"/>
              <w:rPr>
                <w:rFonts w:ascii="Palatino Linotype" w:hAnsi="Palatino Linotype" w:cs="Arial"/>
                <w:b/>
              </w:rPr>
            </w:pPr>
          </w:p>
          <w:p w:rsidR="00E75980" w:rsidRDefault="00E75980" w:rsidP="0028762A">
            <w:pPr>
              <w:jc w:val="center"/>
              <w:rPr>
                <w:rFonts w:ascii="Palatino Linotype" w:hAnsi="Palatino Linotype" w:cs="Arial"/>
                <w:b/>
              </w:rPr>
            </w:pPr>
          </w:p>
          <w:p w:rsidR="0028762A" w:rsidRDefault="0028762A" w:rsidP="0028762A">
            <w:pPr>
              <w:jc w:val="center"/>
              <w:rPr>
                <w:rFonts w:ascii="Palatino Linotype" w:hAnsi="Palatino Linotype" w:cs="Arial"/>
                <w:b/>
              </w:rPr>
            </w:pPr>
          </w:p>
          <w:p w:rsidR="0028762A" w:rsidRPr="005E7982" w:rsidRDefault="0028762A" w:rsidP="0028762A">
            <w:pPr>
              <w:jc w:val="center"/>
              <w:rPr>
                <w:rFonts w:ascii="Palatino Linotype" w:hAnsi="Palatino Linotype" w:cs="Arial"/>
                <w:b/>
              </w:rPr>
            </w:pPr>
            <w:r w:rsidRPr="005E7982">
              <w:rPr>
                <w:rFonts w:ascii="Palatino Linotype" w:hAnsi="Palatino Linotype" w:cs="Arial"/>
                <w:b/>
              </w:rPr>
              <w:t>Alexis Tapia Ramírez</w:t>
            </w:r>
          </w:p>
          <w:p w:rsidR="0028762A" w:rsidRPr="005E7982" w:rsidRDefault="0028762A" w:rsidP="0028762A">
            <w:pPr>
              <w:jc w:val="center"/>
              <w:rPr>
                <w:rFonts w:ascii="Palatino Linotype" w:hAnsi="Palatino Linotype" w:cs="Arial"/>
              </w:rPr>
            </w:pPr>
            <w:r w:rsidRPr="005E7982">
              <w:rPr>
                <w:rFonts w:ascii="Palatino Linotype" w:hAnsi="Palatino Linotype" w:cs="Arial"/>
              </w:rPr>
              <w:t>Secretario Técnico del Pleno</w:t>
            </w:r>
          </w:p>
          <w:p w:rsidR="0028762A" w:rsidRPr="005E7982" w:rsidRDefault="0028762A" w:rsidP="0028762A">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28762A" w:rsidRDefault="0028762A" w:rsidP="0028762A">
      <w:pPr>
        <w:jc w:val="both"/>
        <w:rPr>
          <w:rFonts w:ascii="Palatino Linotype" w:hAnsi="Palatino Linotype" w:cs="Arial"/>
          <w:sz w:val="20"/>
        </w:rPr>
      </w:pPr>
    </w:p>
    <w:p w:rsidR="00E75980" w:rsidRDefault="00E75980" w:rsidP="0028762A">
      <w:pPr>
        <w:jc w:val="both"/>
        <w:rPr>
          <w:rFonts w:ascii="Palatino Linotype" w:hAnsi="Palatino Linotype" w:cs="Arial"/>
          <w:sz w:val="20"/>
        </w:rPr>
      </w:pPr>
    </w:p>
    <w:p w:rsidR="00E75980" w:rsidRDefault="00E75980" w:rsidP="0028762A">
      <w:pPr>
        <w:jc w:val="both"/>
        <w:rPr>
          <w:rFonts w:ascii="Palatino Linotype" w:hAnsi="Palatino Linotype" w:cs="Arial"/>
          <w:sz w:val="20"/>
        </w:rPr>
      </w:pPr>
    </w:p>
    <w:p w:rsidR="0028762A" w:rsidRPr="005E7982" w:rsidRDefault="0028762A" w:rsidP="0028762A">
      <w:pPr>
        <w:jc w:val="both"/>
        <w:rPr>
          <w:rFonts w:ascii="Palatino Linotype" w:hAnsi="Palatino Linotype" w:cs="Arial"/>
          <w:sz w:val="16"/>
          <w:szCs w:val="20"/>
          <w:lang w:val="es-ES_tradnl"/>
        </w:rPr>
      </w:pPr>
      <w:r w:rsidRPr="005E7982">
        <w:rPr>
          <w:rFonts w:ascii="Palatino Linotype" w:hAnsi="Palatino Linotype" w:cs="Arial"/>
          <w:sz w:val="20"/>
        </w:rPr>
        <w:t>Esta hoja corres</w:t>
      </w:r>
      <w:r>
        <w:rPr>
          <w:rFonts w:ascii="Palatino Linotype" w:hAnsi="Palatino Linotype" w:cs="Arial"/>
          <w:sz w:val="20"/>
        </w:rPr>
        <w:t xml:space="preserve">ponde a la resolución de fecha veintiséis de febrero de </w:t>
      </w:r>
      <w:r w:rsidRPr="005E7982">
        <w:rPr>
          <w:rFonts w:ascii="Palatino Linotype" w:hAnsi="Palatino Linotype" w:cs="Arial"/>
          <w:sz w:val="20"/>
        </w:rPr>
        <w:t xml:space="preserve">dos mil </w:t>
      </w:r>
      <w:r>
        <w:rPr>
          <w:rFonts w:ascii="Palatino Linotype" w:hAnsi="Palatino Linotype" w:cs="Arial"/>
          <w:sz w:val="20"/>
        </w:rPr>
        <w:t>veinte</w:t>
      </w:r>
      <w:r w:rsidRPr="005E7982">
        <w:rPr>
          <w:rFonts w:ascii="Palatino Linotype" w:hAnsi="Palatino Linotype" w:cs="Arial"/>
          <w:sz w:val="20"/>
        </w:rPr>
        <w:t xml:space="preserve">, emitida en el recurso de revisión </w:t>
      </w:r>
      <w:r w:rsidR="00ED19DC">
        <w:rPr>
          <w:rFonts w:ascii="Palatino Linotype" w:hAnsi="Palatino Linotype" w:cs="Arial"/>
          <w:sz w:val="20"/>
        </w:rPr>
        <w:t>09577</w:t>
      </w:r>
      <w:r w:rsidRPr="005E7982">
        <w:rPr>
          <w:rFonts w:ascii="Palatino Linotype" w:hAnsi="Palatino Linotype" w:cs="Arial"/>
          <w:sz w:val="20"/>
        </w:rPr>
        <w:t>/INFOEM/IP/RR/2019</w:t>
      </w:r>
      <w:r>
        <w:rPr>
          <w:rFonts w:ascii="Palatino Linotype" w:hAnsi="Palatino Linotype" w:cs="Arial"/>
          <w:sz w:val="20"/>
        </w:rPr>
        <w:t xml:space="preserve"> y acumulados. </w:t>
      </w:r>
    </w:p>
    <w:p w:rsidR="00C23B43" w:rsidRDefault="0028762A" w:rsidP="00ED19DC">
      <w:pPr>
        <w:pStyle w:val="Piedepgina"/>
      </w:pPr>
      <w:r w:rsidRPr="005E7982">
        <w:rPr>
          <w:rFonts w:ascii="Palatino Linotype" w:hAnsi="Palatino Linotype" w:cs="Arial"/>
          <w:sz w:val="20"/>
        </w:rPr>
        <w:t>YSM/AMV</w:t>
      </w:r>
    </w:p>
    <w:sectPr w:rsidR="00C23B43" w:rsidSect="0028762A">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8D6" w:rsidRDefault="007C48D6" w:rsidP="0028762A">
      <w:r>
        <w:separator/>
      </w:r>
    </w:p>
  </w:endnote>
  <w:endnote w:type="continuationSeparator" w:id="0">
    <w:p w:rsidR="007C48D6" w:rsidRDefault="007C48D6" w:rsidP="0028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2A" w:rsidRPr="00A2780F" w:rsidRDefault="0028762A" w:rsidP="0028762A">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56FE4">
      <w:rPr>
        <w:rFonts w:ascii="Arial" w:hAnsi="Arial" w:cs="Arial"/>
        <w:b/>
        <w:bCs/>
        <w:noProof/>
        <w:sz w:val="20"/>
        <w:szCs w:val="20"/>
      </w:rPr>
      <w:t>45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56FE4">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2A" w:rsidRDefault="0028762A" w:rsidP="0028762A">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456FE4">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456FE4">
      <w:rPr>
        <w:rFonts w:ascii="Arial" w:hAnsi="Arial" w:cs="Arial"/>
        <w:b/>
        <w:bCs/>
        <w:noProof/>
        <w:sz w:val="20"/>
        <w:szCs w:val="20"/>
      </w:rPr>
      <w:t>47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8D6" w:rsidRDefault="007C48D6" w:rsidP="0028762A">
      <w:r>
        <w:separator/>
      </w:r>
    </w:p>
  </w:footnote>
  <w:footnote w:type="continuationSeparator" w:id="0">
    <w:p w:rsidR="007C48D6" w:rsidRDefault="007C48D6" w:rsidP="0028762A">
      <w:r>
        <w:continuationSeparator/>
      </w:r>
    </w:p>
  </w:footnote>
  <w:footnote w:id="1">
    <w:p w:rsidR="0028762A" w:rsidRPr="009B30AD" w:rsidRDefault="0028762A" w:rsidP="0028762A">
      <w:pPr>
        <w:ind w:right="51"/>
        <w:jc w:val="both"/>
        <w:rPr>
          <w:rFonts w:ascii="Palatino Linotype" w:eastAsiaTheme="minorEastAsia" w:hAnsi="Palatino Linotype"/>
          <w:i/>
          <w:sz w:val="16"/>
          <w:szCs w:val="16"/>
          <w:lang w:val="es-ES_tradnl"/>
        </w:rPr>
      </w:pPr>
      <w:r>
        <w:rPr>
          <w:rStyle w:val="Refdenotaalpie"/>
        </w:rPr>
        <w:footnoteRef/>
      </w:r>
      <w:r>
        <w:t xml:space="preserve"> </w:t>
      </w:r>
      <w:r w:rsidRPr="009B30AD">
        <w:rPr>
          <w:rFonts w:ascii="Palatino Linotype" w:eastAsiaTheme="minorEastAsia" w:hAnsi="Palatino Linotype"/>
          <w:b/>
          <w:i/>
          <w:sz w:val="16"/>
          <w:szCs w:val="16"/>
          <w:lang w:val="es-ES_tradnl"/>
        </w:rPr>
        <w:t>Artículo 53.</w:t>
      </w:r>
      <w:r w:rsidRPr="009B30AD">
        <w:rPr>
          <w:rFonts w:ascii="Palatino Linotype" w:eastAsiaTheme="minorEastAsia" w:hAnsi="Palatino Linotype"/>
          <w:i/>
          <w:sz w:val="16"/>
          <w:szCs w:val="16"/>
          <w:lang w:val="es-ES_tradnl"/>
        </w:rPr>
        <w:t xml:space="preserve"> Las Unidades de Transparencia tendrán las siguientes funciones:</w:t>
      </w:r>
    </w:p>
    <w:p w:rsidR="0028762A" w:rsidRPr="009B30AD" w:rsidRDefault="0028762A" w:rsidP="0028762A">
      <w:pPr>
        <w:ind w:right="51"/>
        <w:jc w:val="both"/>
        <w:rPr>
          <w:rFonts w:ascii="Palatino Linotype" w:eastAsiaTheme="minorEastAsia" w:hAnsi="Palatino Linotype"/>
          <w:i/>
          <w:sz w:val="16"/>
          <w:szCs w:val="16"/>
          <w:lang w:val="es-ES_tradnl"/>
        </w:rPr>
      </w:pPr>
      <w:r w:rsidRPr="009B30AD">
        <w:rPr>
          <w:rFonts w:ascii="Palatino Linotype" w:eastAsiaTheme="minorEastAsia" w:hAnsi="Palatino Linotype"/>
          <w:i/>
          <w:sz w:val="16"/>
          <w:szCs w:val="16"/>
          <w:lang w:val="es-ES_tradnl"/>
        </w:rPr>
        <w:t>…</w:t>
      </w:r>
    </w:p>
    <w:p w:rsidR="0028762A" w:rsidRPr="009B30AD" w:rsidRDefault="0028762A" w:rsidP="0028762A">
      <w:pPr>
        <w:ind w:right="51"/>
        <w:jc w:val="both"/>
        <w:rPr>
          <w:rFonts w:ascii="Palatino Linotype" w:eastAsiaTheme="minorEastAsia" w:hAnsi="Palatino Linotype"/>
          <w:i/>
          <w:sz w:val="16"/>
          <w:szCs w:val="16"/>
          <w:lang w:val="es-ES_tradnl"/>
        </w:rPr>
      </w:pPr>
      <w:r w:rsidRPr="009B30AD">
        <w:rPr>
          <w:rFonts w:ascii="Palatino Linotype" w:eastAsiaTheme="minorEastAsia" w:hAnsi="Palatino Linotype"/>
          <w:b/>
          <w:i/>
          <w:sz w:val="16"/>
          <w:szCs w:val="16"/>
          <w:u w:val="single"/>
          <w:lang w:val="es-ES_tradnl"/>
        </w:rPr>
        <w:t>II. Recibir, tramitar y dar respuesta a las solicitudes de acceso a la información</w:t>
      </w:r>
      <w:r>
        <w:rPr>
          <w:rFonts w:ascii="Palatino Linotype" w:eastAsiaTheme="minorEastAsia" w:hAnsi="Palatino Linotype"/>
          <w:i/>
          <w:sz w:val="16"/>
          <w:szCs w:val="16"/>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2A" w:rsidRPr="00E75980" w:rsidRDefault="0028762A" w:rsidP="0028762A">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261"/>
      <w:gridCol w:w="2551"/>
      <w:gridCol w:w="3544"/>
    </w:tblGrid>
    <w:tr w:rsidR="0028762A" w:rsidRPr="007769F3" w:rsidTr="0028762A">
      <w:tc>
        <w:tcPr>
          <w:tcW w:w="3261" w:type="dxa"/>
        </w:tcPr>
        <w:p w:rsidR="0028762A" w:rsidRPr="007769F3" w:rsidRDefault="0028762A" w:rsidP="0028762A">
          <w:pPr>
            <w:rPr>
              <w:rFonts w:ascii="Palatino Linotype" w:hAnsi="Palatino Linotype"/>
              <w:b/>
              <w:lang w:val="es-ES_tradnl"/>
            </w:rPr>
          </w:pPr>
        </w:p>
      </w:tc>
      <w:tc>
        <w:tcPr>
          <w:tcW w:w="2551" w:type="dxa"/>
          <w:shd w:val="clear" w:color="auto" w:fill="auto"/>
        </w:tcPr>
        <w:p w:rsidR="0028762A" w:rsidRPr="007769F3" w:rsidRDefault="0028762A" w:rsidP="0028762A">
          <w:pPr>
            <w:rPr>
              <w:rFonts w:ascii="Palatino Linotype" w:hAnsi="Palatino Linotype"/>
              <w:b/>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28762A" w:rsidRPr="007769F3" w:rsidRDefault="0028762A" w:rsidP="0028762A">
          <w:pPr>
            <w:jc w:val="both"/>
            <w:rPr>
              <w:rFonts w:ascii="Palatino Linotype" w:hAnsi="Palatino Linotype"/>
              <w:b/>
              <w:lang w:val="es-ES_tradnl"/>
            </w:rPr>
          </w:pPr>
          <w:r>
            <w:rPr>
              <w:rFonts w:ascii="Palatino Linotype" w:hAnsi="Palatino Linotype"/>
              <w:b/>
              <w:sz w:val="22"/>
              <w:szCs w:val="22"/>
              <w:lang w:val="es-ES_tradnl"/>
            </w:rPr>
            <w:t>09577/INFOEM/IP/RR/2019 y acumulados</w:t>
          </w:r>
        </w:p>
      </w:tc>
    </w:tr>
    <w:tr w:rsidR="0028762A" w:rsidRPr="007769F3" w:rsidTr="0028762A">
      <w:tc>
        <w:tcPr>
          <w:tcW w:w="3261" w:type="dxa"/>
        </w:tcPr>
        <w:p w:rsidR="0028762A" w:rsidRPr="007769F3" w:rsidRDefault="0028762A" w:rsidP="0028762A">
          <w:pPr>
            <w:rPr>
              <w:rFonts w:ascii="Palatino Linotype" w:hAnsi="Palatino Linotype"/>
              <w:b/>
              <w:lang w:val="es-ES_tradnl"/>
            </w:rPr>
          </w:pPr>
        </w:p>
      </w:tc>
      <w:tc>
        <w:tcPr>
          <w:tcW w:w="2551" w:type="dxa"/>
          <w:shd w:val="clear" w:color="auto" w:fill="auto"/>
        </w:tcPr>
        <w:p w:rsidR="0028762A" w:rsidRPr="007769F3" w:rsidRDefault="0028762A" w:rsidP="0028762A">
          <w:pPr>
            <w:rPr>
              <w:rFonts w:ascii="Palatino Linotype" w:hAnsi="Palatino Linotype"/>
              <w:b/>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28762A" w:rsidRPr="007769F3" w:rsidRDefault="0028762A" w:rsidP="0028762A">
          <w:pPr>
            <w:ind w:right="34"/>
            <w:jc w:val="both"/>
            <w:rPr>
              <w:rFonts w:ascii="Palatino Linotype" w:hAnsi="Palatino Linotype"/>
              <w:b/>
            </w:rPr>
          </w:pPr>
          <w:r>
            <w:rPr>
              <w:rFonts w:ascii="Palatino Linotype" w:hAnsi="Palatino Linotype"/>
              <w:b/>
              <w:sz w:val="22"/>
              <w:szCs w:val="22"/>
              <w:lang w:val="es-ES_tradnl"/>
            </w:rPr>
            <w:t xml:space="preserve">Ayuntamiento de Capulhuac  </w:t>
          </w:r>
        </w:p>
      </w:tc>
    </w:tr>
    <w:tr w:rsidR="0028762A" w:rsidRPr="007769F3" w:rsidTr="0028762A">
      <w:trPr>
        <w:trHeight w:val="228"/>
      </w:trPr>
      <w:tc>
        <w:tcPr>
          <w:tcW w:w="3261" w:type="dxa"/>
        </w:tcPr>
        <w:p w:rsidR="0028762A" w:rsidRPr="007769F3" w:rsidRDefault="0028762A" w:rsidP="0028762A">
          <w:pPr>
            <w:rPr>
              <w:rFonts w:ascii="Palatino Linotype" w:hAnsi="Palatino Linotype"/>
              <w:b/>
              <w:lang w:val="es-ES_tradnl"/>
            </w:rPr>
          </w:pPr>
        </w:p>
      </w:tc>
      <w:tc>
        <w:tcPr>
          <w:tcW w:w="2551" w:type="dxa"/>
          <w:shd w:val="clear" w:color="auto" w:fill="auto"/>
        </w:tcPr>
        <w:p w:rsidR="0028762A" w:rsidRPr="007769F3" w:rsidRDefault="0028762A" w:rsidP="0028762A">
          <w:pPr>
            <w:rPr>
              <w:rFonts w:ascii="Palatino Linotype" w:hAnsi="Palatino Linotype"/>
              <w:b/>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28762A" w:rsidRPr="007769F3" w:rsidRDefault="0028762A" w:rsidP="0028762A">
          <w:pPr>
            <w:jc w:val="both"/>
            <w:rPr>
              <w:rFonts w:ascii="Palatino Linotype" w:hAnsi="Palatino Linotype"/>
              <w:b/>
              <w:lang w:val="es-ES_tradnl"/>
            </w:rPr>
          </w:pPr>
          <w:r w:rsidRPr="007769F3">
            <w:rPr>
              <w:rFonts w:ascii="Palatino Linotype" w:hAnsi="Palatino Linotype"/>
              <w:b/>
              <w:sz w:val="22"/>
              <w:szCs w:val="22"/>
              <w:lang w:val="es-ES_tradnl"/>
            </w:rPr>
            <w:t>Eva Abaid Yapur</w:t>
          </w:r>
        </w:p>
      </w:tc>
    </w:tr>
  </w:tbl>
  <w:p w:rsidR="0028762A" w:rsidRPr="00E75980" w:rsidRDefault="0028762A" w:rsidP="0028762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2A" w:rsidRDefault="0028762A" w:rsidP="0028762A">
    <w:pPr>
      <w:rPr>
        <w:rFonts w:ascii="Palatino Linotype" w:hAnsi="Palatino Linotype"/>
        <w:sz w:val="28"/>
        <w:szCs w:val="28"/>
      </w:rPr>
    </w:pPr>
  </w:p>
  <w:tbl>
    <w:tblPr>
      <w:tblW w:w="9214" w:type="dxa"/>
      <w:tblInd w:w="-142" w:type="dxa"/>
      <w:tblLayout w:type="fixed"/>
      <w:tblLook w:val="04A0" w:firstRow="1" w:lastRow="0" w:firstColumn="1" w:lastColumn="0" w:noHBand="0" w:noVBand="1"/>
    </w:tblPr>
    <w:tblGrid>
      <w:gridCol w:w="3544"/>
      <w:gridCol w:w="2552"/>
      <w:gridCol w:w="3118"/>
    </w:tblGrid>
    <w:tr w:rsidR="00E75980" w:rsidRPr="008F2CCC" w:rsidTr="00CE4BBD">
      <w:tc>
        <w:tcPr>
          <w:tcW w:w="3544" w:type="dxa"/>
          <w:vMerge w:val="restart"/>
        </w:tcPr>
        <w:p w:rsidR="00E75980" w:rsidRPr="008F2CCC" w:rsidRDefault="00E75980" w:rsidP="00E75980">
          <w:pPr>
            <w:ind w:right="34"/>
            <w:rPr>
              <w:rFonts w:ascii="Palatino Linotype" w:hAnsi="Palatino Linotype"/>
              <w:b/>
              <w:lang w:val="es-ES_tradnl"/>
            </w:rPr>
          </w:pPr>
        </w:p>
      </w:tc>
      <w:tc>
        <w:tcPr>
          <w:tcW w:w="2552" w:type="dxa"/>
          <w:shd w:val="clear" w:color="auto" w:fill="auto"/>
        </w:tcPr>
        <w:p w:rsidR="00E75980" w:rsidRPr="008F2CCC" w:rsidRDefault="00E75980" w:rsidP="00E75980">
          <w:pPr>
            <w:rPr>
              <w:rFonts w:ascii="Palatino Linotype" w:hAnsi="Palatino Linotype"/>
              <w:b/>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rsidR="00E75980" w:rsidRPr="008F2CCC" w:rsidRDefault="00E75980" w:rsidP="00E75980">
          <w:pPr>
            <w:jc w:val="both"/>
            <w:rPr>
              <w:rFonts w:ascii="Palatino Linotype" w:hAnsi="Palatino Linotype"/>
              <w:b/>
              <w:lang w:val="es-ES_tradnl"/>
            </w:rPr>
          </w:pPr>
          <w:r>
            <w:rPr>
              <w:rFonts w:ascii="Palatino Linotype" w:hAnsi="Palatino Linotype"/>
              <w:b/>
              <w:sz w:val="22"/>
              <w:szCs w:val="22"/>
              <w:lang w:val="es-ES_tradnl"/>
            </w:rPr>
            <w:t>09577/INFOEM/IP/RR/2019 y acumulados</w:t>
          </w:r>
        </w:p>
      </w:tc>
    </w:tr>
    <w:tr w:rsidR="00E75980" w:rsidRPr="008F2CCC" w:rsidTr="00CE4BBD">
      <w:tc>
        <w:tcPr>
          <w:tcW w:w="3544" w:type="dxa"/>
          <w:vMerge/>
        </w:tcPr>
        <w:p w:rsidR="00E75980" w:rsidRPr="008F2CCC" w:rsidRDefault="00E75980" w:rsidP="00E75980">
          <w:pPr>
            <w:rPr>
              <w:rFonts w:ascii="Palatino Linotype" w:hAnsi="Palatino Linotype"/>
              <w:b/>
              <w:lang w:val="es-ES_tradnl"/>
            </w:rPr>
          </w:pPr>
        </w:p>
      </w:tc>
      <w:tc>
        <w:tcPr>
          <w:tcW w:w="2552" w:type="dxa"/>
          <w:shd w:val="clear" w:color="auto" w:fill="auto"/>
        </w:tcPr>
        <w:p w:rsidR="00E75980" w:rsidRPr="008F2CCC" w:rsidRDefault="00E75980" w:rsidP="00E75980">
          <w:pPr>
            <w:rPr>
              <w:rFonts w:ascii="Palatino Linotype" w:hAnsi="Palatino Linotype"/>
              <w:b/>
              <w:lang w:val="es-ES_tradnl"/>
            </w:rPr>
          </w:pPr>
          <w:r w:rsidRPr="008F2CCC">
            <w:rPr>
              <w:rFonts w:ascii="Palatino Linotype" w:hAnsi="Palatino Linotype"/>
              <w:b/>
              <w:sz w:val="22"/>
              <w:szCs w:val="22"/>
              <w:lang w:val="es-ES_tradnl"/>
            </w:rPr>
            <w:t>Recurrente:</w:t>
          </w:r>
        </w:p>
      </w:tc>
      <w:tc>
        <w:tcPr>
          <w:tcW w:w="3118" w:type="dxa"/>
          <w:shd w:val="clear" w:color="auto" w:fill="auto"/>
          <w:vAlign w:val="center"/>
        </w:tcPr>
        <w:p w:rsidR="00E75980" w:rsidRPr="008F2CCC" w:rsidRDefault="00E75980" w:rsidP="00E75980">
          <w:pPr>
            <w:ind w:left="34" w:right="34"/>
            <w:jc w:val="both"/>
            <w:rPr>
              <w:rFonts w:ascii="Palatino Linotype" w:hAnsi="Palatino Linotype"/>
              <w:b/>
              <w:lang w:val="es-ES_tradnl"/>
            </w:rPr>
          </w:pPr>
        </w:p>
      </w:tc>
    </w:tr>
    <w:tr w:rsidR="00E75980" w:rsidRPr="008F2CCC" w:rsidTr="00CE4BBD">
      <w:trPr>
        <w:trHeight w:val="228"/>
      </w:trPr>
      <w:tc>
        <w:tcPr>
          <w:tcW w:w="3544" w:type="dxa"/>
          <w:vMerge/>
        </w:tcPr>
        <w:p w:rsidR="00E75980" w:rsidRPr="008F2CCC" w:rsidRDefault="00E75980" w:rsidP="00E75980">
          <w:pPr>
            <w:rPr>
              <w:rFonts w:ascii="Palatino Linotype" w:hAnsi="Palatino Linotype"/>
              <w:b/>
              <w:lang w:val="es-ES_tradnl"/>
            </w:rPr>
          </w:pPr>
        </w:p>
      </w:tc>
      <w:tc>
        <w:tcPr>
          <w:tcW w:w="2552" w:type="dxa"/>
          <w:shd w:val="clear" w:color="auto" w:fill="auto"/>
        </w:tcPr>
        <w:p w:rsidR="00E75980" w:rsidRPr="008F2CCC" w:rsidRDefault="00E75980" w:rsidP="00E75980">
          <w:pPr>
            <w:rPr>
              <w:rFonts w:ascii="Palatino Linotype" w:hAnsi="Palatino Linotype"/>
              <w:b/>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rsidR="00E75980" w:rsidRPr="004C1DCD" w:rsidRDefault="00E75980" w:rsidP="00E75980">
          <w:pPr>
            <w:jc w:val="both"/>
            <w:rPr>
              <w:rFonts w:ascii="Palatino Linotype" w:hAnsi="Palatino Linotype"/>
              <w:b/>
              <w:lang w:val="es-ES_tradnl"/>
            </w:rPr>
          </w:pPr>
          <w:r>
            <w:rPr>
              <w:rFonts w:ascii="Palatino Linotype" w:hAnsi="Palatino Linotype"/>
              <w:b/>
              <w:sz w:val="22"/>
              <w:szCs w:val="22"/>
              <w:lang w:val="es-ES_tradnl"/>
            </w:rPr>
            <w:t>Ayuntamiento de Capulhuac</w:t>
          </w:r>
        </w:p>
      </w:tc>
    </w:tr>
    <w:tr w:rsidR="00E75980" w:rsidRPr="008F2CCC" w:rsidTr="00CE4BBD">
      <w:tc>
        <w:tcPr>
          <w:tcW w:w="3544" w:type="dxa"/>
          <w:vMerge/>
        </w:tcPr>
        <w:p w:rsidR="00E75980" w:rsidRPr="008F2CCC" w:rsidRDefault="00E75980" w:rsidP="00E75980">
          <w:pPr>
            <w:rPr>
              <w:rFonts w:ascii="Palatino Linotype" w:hAnsi="Palatino Linotype"/>
              <w:b/>
              <w:lang w:val="es-ES_tradnl"/>
            </w:rPr>
          </w:pPr>
        </w:p>
      </w:tc>
      <w:tc>
        <w:tcPr>
          <w:tcW w:w="2552" w:type="dxa"/>
          <w:shd w:val="clear" w:color="auto" w:fill="auto"/>
        </w:tcPr>
        <w:p w:rsidR="00E75980" w:rsidRPr="008F2CCC" w:rsidRDefault="00E75980" w:rsidP="00E75980">
          <w:pPr>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rsidR="00E75980" w:rsidRPr="008F2CCC" w:rsidRDefault="00E75980" w:rsidP="00E75980">
          <w:pPr>
            <w:jc w:val="both"/>
            <w:rPr>
              <w:rFonts w:ascii="Palatino Linotype" w:hAnsi="Palatino Linotype"/>
              <w:b/>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75980" w:rsidRPr="00E75980" w:rsidRDefault="00E75980" w:rsidP="0028762A">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9853F3"/>
    <w:multiLevelType w:val="hybridMultilevel"/>
    <w:tmpl w:val="9B0E0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86088B"/>
    <w:multiLevelType w:val="hybridMultilevel"/>
    <w:tmpl w:val="16066234"/>
    <w:lvl w:ilvl="0" w:tplc="080A0017">
      <w:start w:val="1"/>
      <w:numFmt w:val="lowerLetter"/>
      <w:lvlText w:val="%1)"/>
      <w:lvlJc w:val="left"/>
      <w:pPr>
        <w:ind w:left="2487" w:hanging="36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3" w15:restartNumberingAfterBreak="0">
    <w:nsid w:val="10170553"/>
    <w:multiLevelType w:val="hybridMultilevel"/>
    <w:tmpl w:val="16066234"/>
    <w:lvl w:ilvl="0" w:tplc="080A0017">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4" w15:restartNumberingAfterBreak="0">
    <w:nsid w:val="13D5792D"/>
    <w:multiLevelType w:val="hybridMultilevel"/>
    <w:tmpl w:val="160662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A2310C"/>
    <w:multiLevelType w:val="hybridMultilevel"/>
    <w:tmpl w:val="160662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205094"/>
    <w:multiLevelType w:val="hybridMultilevel"/>
    <w:tmpl w:val="2AB61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F1463E"/>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03F69CC"/>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937E7D"/>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873093"/>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0A3CB1"/>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F787D79"/>
    <w:multiLevelType w:val="hybridMultilevel"/>
    <w:tmpl w:val="160662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DA424DE"/>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99241DE"/>
    <w:multiLevelType w:val="hybridMultilevel"/>
    <w:tmpl w:val="3F0E86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AB1645"/>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756E83"/>
    <w:multiLevelType w:val="hybridMultilevel"/>
    <w:tmpl w:val="E116C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1E415EB"/>
    <w:multiLevelType w:val="hybridMultilevel"/>
    <w:tmpl w:val="BE0083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2C113A1"/>
    <w:multiLevelType w:val="hybridMultilevel"/>
    <w:tmpl w:val="EC7CE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605605"/>
    <w:multiLevelType w:val="hybridMultilevel"/>
    <w:tmpl w:val="790AE5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E07ED5"/>
    <w:multiLevelType w:val="hybridMultilevel"/>
    <w:tmpl w:val="96443A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9"/>
  </w:num>
  <w:num w:numId="3">
    <w:abstractNumId w:val="15"/>
  </w:num>
  <w:num w:numId="4">
    <w:abstractNumId w:val="18"/>
  </w:num>
  <w:num w:numId="5">
    <w:abstractNumId w:val="6"/>
  </w:num>
  <w:num w:numId="6">
    <w:abstractNumId w:val="2"/>
  </w:num>
  <w:num w:numId="7">
    <w:abstractNumId w:val="13"/>
  </w:num>
  <w:num w:numId="8">
    <w:abstractNumId w:val="17"/>
  </w:num>
  <w:num w:numId="9">
    <w:abstractNumId w:val="5"/>
  </w:num>
  <w:num w:numId="10">
    <w:abstractNumId w:val="3"/>
  </w:num>
  <w:num w:numId="11">
    <w:abstractNumId w:val="4"/>
  </w:num>
  <w:num w:numId="12">
    <w:abstractNumId w:val="1"/>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1"/>
  </w:num>
  <w:num w:numId="16">
    <w:abstractNumId w:val="8"/>
  </w:num>
  <w:num w:numId="17">
    <w:abstractNumId w:val="16"/>
  </w:num>
  <w:num w:numId="18">
    <w:abstractNumId w:val="14"/>
  </w:num>
  <w:num w:numId="19">
    <w:abstractNumId w:val="9"/>
  </w:num>
  <w:num w:numId="20">
    <w:abstractNumId w:val="10"/>
  </w:num>
  <w:num w:numId="21">
    <w:abstractNumId w:val="12"/>
  </w:num>
  <w:num w:numId="22">
    <w:abstractNumId w:val="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2A"/>
    <w:rsid w:val="001C6FE9"/>
    <w:rsid w:val="0028762A"/>
    <w:rsid w:val="002D69B2"/>
    <w:rsid w:val="00456FE4"/>
    <w:rsid w:val="00616402"/>
    <w:rsid w:val="007C48D6"/>
    <w:rsid w:val="00961550"/>
    <w:rsid w:val="00A800C0"/>
    <w:rsid w:val="00BE1FC8"/>
    <w:rsid w:val="00C23B43"/>
    <w:rsid w:val="00C9714C"/>
    <w:rsid w:val="00DC5849"/>
    <w:rsid w:val="00E75980"/>
    <w:rsid w:val="00ED19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E4F22-044B-49E6-AF9A-D84CB388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62A"/>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2876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8762A"/>
    <w:rPr>
      <w:rFonts w:asciiTheme="majorHAnsi" w:eastAsiaTheme="majorEastAsia" w:hAnsiTheme="majorHAnsi" w:cstheme="majorBidi"/>
      <w:color w:val="2E74B5" w:themeColor="accent1" w:themeShade="BF"/>
      <w:sz w:val="26"/>
      <w:szCs w:val="26"/>
      <w:lang w:eastAsia="es-ES"/>
    </w:rPr>
  </w:style>
  <w:style w:type="paragraph" w:styleId="Encabezado">
    <w:name w:val="header"/>
    <w:basedOn w:val="Normal"/>
    <w:link w:val="EncabezadoCar"/>
    <w:uiPriority w:val="99"/>
    <w:unhideWhenUsed/>
    <w:rsid w:val="0028762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8762A"/>
    <w:rPr>
      <w:rFonts w:eastAsiaTheme="minorEastAsia"/>
      <w:sz w:val="24"/>
      <w:szCs w:val="24"/>
      <w:lang w:val="es-ES_tradnl" w:eastAsia="es-ES"/>
    </w:rPr>
  </w:style>
  <w:style w:type="paragraph" w:styleId="Piedepgina">
    <w:name w:val="footer"/>
    <w:basedOn w:val="Normal"/>
    <w:link w:val="PiedepginaCar"/>
    <w:uiPriority w:val="99"/>
    <w:unhideWhenUsed/>
    <w:rsid w:val="0028762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8762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8762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8762A"/>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28762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8762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8762A"/>
    <w:rPr>
      <w:sz w:val="20"/>
      <w:szCs w:val="20"/>
    </w:rPr>
  </w:style>
  <w:style w:type="table" w:styleId="Tablaconcuadrcula">
    <w:name w:val="Table Grid"/>
    <w:basedOn w:val="Tablanormal"/>
    <w:uiPriority w:val="39"/>
    <w:rsid w:val="0028762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28762A"/>
    <w:rPr>
      <w:color w:val="0000FF"/>
      <w:u w:val="single"/>
    </w:rPr>
  </w:style>
  <w:style w:type="paragraph" w:styleId="Textodeglobo">
    <w:name w:val="Balloon Text"/>
    <w:basedOn w:val="Normal"/>
    <w:link w:val="TextodegloboCar"/>
    <w:uiPriority w:val="99"/>
    <w:semiHidden/>
    <w:unhideWhenUsed/>
    <w:rsid w:val="002876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762A"/>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unhideWhenUsed/>
    <w:rsid w:val="0028762A"/>
    <w:pPr>
      <w:spacing w:after="120" w:line="480" w:lineRule="auto"/>
    </w:pPr>
  </w:style>
  <w:style w:type="character" w:customStyle="1" w:styleId="Textoindependiente2Car">
    <w:name w:val="Texto independiente 2 Car"/>
    <w:basedOn w:val="Fuentedeprrafopredeter"/>
    <w:link w:val="Textoindependiente2"/>
    <w:uiPriority w:val="99"/>
    <w:rsid w:val="0028762A"/>
    <w:rPr>
      <w:rFonts w:ascii="Times New Roman" w:eastAsia="Times New Roman" w:hAnsi="Times New Roman" w:cs="Times New Roman"/>
      <w:sz w:val="24"/>
      <w:szCs w:val="24"/>
      <w:lang w:eastAsia="es-ES"/>
    </w:rPr>
  </w:style>
  <w:style w:type="paragraph" w:customStyle="1" w:styleId="FAFunotente1">
    <w:name w:val="FA Fu?notente1"/>
    <w:basedOn w:val="Normal"/>
    <w:next w:val="Textonotapie"/>
    <w:uiPriority w:val="99"/>
    <w:unhideWhenUsed/>
    <w:rsid w:val="0028762A"/>
    <w:rPr>
      <w:rFonts w:ascii="Palatino Linotype" w:eastAsia="Cambria" w:hAnsi="Palatino Linotype"/>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mawww.sat.gob.mx/factura/Paginas/solicita_requisito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13527</Words>
  <Characters>74400</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2020-02-18T00:32:00Z</cp:lastPrinted>
  <dcterms:created xsi:type="dcterms:W3CDTF">2020-02-19T23:50:00Z</dcterms:created>
  <dcterms:modified xsi:type="dcterms:W3CDTF">2020-02-27T16:22:00Z</dcterms:modified>
</cp:coreProperties>
</file>