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488" w:rsidRPr="00417BE9" w:rsidRDefault="004D6488" w:rsidP="004D6488">
      <w:pPr>
        <w:spacing w:before="100" w:beforeAutospacing="1" w:after="100" w:afterAutospacing="1" w:line="360" w:lineRule="auto"/>
        <w:jc w:val="both"/>
        <w:rPr>
          <w:rFonts w:ascii="Palatino Linotype" w:hAnsi="Palatino Linotype"/>
        </w:rPr>
      </w:pPr>
      <w:r w:rsidRPr="00417BE9">
        <w:rPr>
          <w:rFonts w:ascii="Palatino Linotype" w:hAnsi="Palatino Linotype"/>
        </w:rPr>
        <w:t>Resolución del Pleno del Instituto de Transparencia, Acceso a la Información Pública y Protección de Datos Personales del Estado de México y Municipios, con domicilio en Metepec, Estado de México, de fecha once de diciembre de dos mil diecinueve.</w:t>
      </w:r>
    </w:p>
    <w:p w:rsidR="004D6488" w:rsidRPr="00417BE9" w:rsidRDefault="004D6488" w:rsidP="004D6488">
      <w:pPr>
        <w:spacing w:before="100" w:beforeAutospacing="1" w:after="100" w:afterAutospacing="1" w:line="360" w:lineRule="auto"/>
        <w:jc w:val="both"/>
        <w:rPr>
          <w:rFonts w:ascii="Palatino Linotype" w:hAnsi="Palatino Linotype"/>
        </w:rPr>
      </w:pPr>
      <w:r w:rsidRPr="00417BE9">
        <w:rPr>
          <w:rFonts w:ascii="Palatino Linotype" w:hAnsi="Palatino Linotype"/>
          <w:b/>
        </w:rPr>
        <w:t>VISTO</w:t>
      </w:r>
      <w:r w:rsidRPr="00417BE9">
        <w:rPr>
          <w:rFonts w:ascii="Palatino Linotype" w:hAnsi="Palatino Linotype"/>
        </w:rPr>
        <w:t xml:space="preserve"> el expediente formado con motivo del recurso de revisión </w:t>
      </w:r>
      <w:r w:rsidRPr="00417BE9">
        <w:rPr>
          <w:rFonts w:ascii="Palatino Linotype" w:hAnsi="Palatino Linotype"/>
          <w:b/>
        </w:rPr>
        <w:t>08357/INFOEM/IP/RR/2019</w:t>
      </w:r>
      <w:r w:rsidRPr="00417BE9">
        <w:rPr>
          <w:rFonts w:ascii="Palatino Linotype" w:hAnsi="Palatino Linotype"/>
        </w:rPr>
        <w:t xml:space="preserve">, promovido por </w:t>
      </w:r>
      <w:r w:rsidR="00394A31">
        <w:rPr>
          <w:rFonts w:ascii="Palatino Linotype" w:hAnsi="Palatino Linotype"/>
        </w:rPr>
        <w:t>XXXXXXXXXXXXXXXXX</w:t>
      </w:r>
      <w:r w:rsidRPr="00417BE9">
        <w:rPr>
          <w:rFonts w:ascii="Palatino Linotype" w:hAnsi="Palatino Linotype"/>
        </w:rPr>
        <w:t xml:space="preserve">, en lo sucesivo </w:t>
      </w:r>
      <w:r w:rsidRPr="00417BE9">
        <w:rPr>
          <w:rFonts w:ascii="Palatino Linotype" w:hAnsi="Palatino Linotype"/>
          <w:b/>
        </w:rPr>
        <w:t>EL RECURRENTE,</w:t>
      </w:r>
      <w:r w:rsidRPr="00417BE9">
        <w:rPr>
          <w:rFonts w:ascii="Palatino Linotype" w:hAnsi="Palatino Linotype"/>
        </w:rPr>
        <w:t xml:space="preserve"> en contra de la respuesta emitida por el</w:t>
      </w:r>
      <w:r w:rsidRPr="00417BE9">
        <w:rPr>
          <w:rFonts w:ascii="Palatino Linotype" w:hAnsi="Palatino Linotype"/>
          <w:b/>
        </w:rPr>
        <w:t xml:space="preserve"> </w:t>
      </w:r>
      <w:r w:rsidRPr="00417BE9">
        <w:rPr>
          <w:rFonts w:ascii="Palatino Linotype" w:hAnsi="Palatino Linotype"/>
          <w:b/>
          <w:lang w:val="es-ES_tradnl"/>
        </w:rPr>
        <w:t>Organismo Público Descentralizado para la Prestación de Los Servicios de Agua Potable Alcantarillado y Saneamiento de Atizapán de Zaragoza por sus siglas S.A.P.A.S.A.</w:t>
      </w:r>
      <w:r w:rsidRPr="00417BE9">
        <w:rPr>
          <w:rFonts w:ascii="Palatino Linotype" w:hAnsi="Palatino Linotype"/>
        </w:rPr>
        <w:t xml:space="preserve">, en lo sucesivo </w:t>
      </w:r>
      <w:r w:rsidRPr="00417BE9">
        <w:rPr>
          <w:rFonts w:ascii="Palatino Linotype" w:hAnsi="Palatino Linotype"/>
          <w:b/>
        </w:rPr>
        <w:t>EL SUJETO OBLIGADO</w:t>
      </w:r>
      <w:r w:rsidRPr="00417BE9">
        <w:rPr>
          <w:rFonts w:ascii="Palatino Linotype" w:hAnsi="Palatino Linotype"/>
        </w:rPr>
        <w:t xml:space="preserve">, se procede a dictar la presente resolución con base en lo siguiente: </w:t>
      </w:r>
    </w:p>
    <w:p w:rsidR="004D6488" w:rsidRPr="00417BE9" w:rsidRDefault="004D6488" w:rsidP="004D6488">
      <w:pPr>
        <w:spacing w:before="100" w:beforeAutospacing="1" w:after="100" w:afterAutospacing="1" w:line="360" w:lineRule="auto"/>
        <w:jc w:val="center"/>
        <w:rPr>
          <w:rFonts w:ascii="Palatino Linotype" w:hAnsi="Palatino Linotype"/>
          <w:b/>
          <w:bCs/>
          <w:spacing w:val="60"/>
          <w:sz w:val="28"/>
        </w:rPr>
      </w:pPr>
      <w:r w:rsidRPr="00417BE9">
        <w:rPr>
          <w:rFonts w:ascii="Palatino Linotype" w:hAnsi="Palatino Linotype"/>
          <w:b/>
          <w:bCs/>
          <w:spacing w:val="60"/>
          <w:sz w:val="28"/>
        </w:rPr>
        <w:t>RESULTANDO</w:t>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cs="Arial"/>
        </w:rPr>
      </w:pPr>
      <w:r w:rsidRPr="00417BE9">
        <w:rPr>
          <w:rFonts w:ascii="Palatino Linotype" w:hAnsi="Palatino Linotype"/>
          <w:b/>
          <w:sz w:val="28"/>
          <w:szCs w:val="28"/>
        </w:rPr>
        <w:t>I.</w:t>
      </w:r>
      <w:r w:rsidRPr="00417BE9">
        <w:rPr>
          <w:rFonts w:ascii="Palatino Linotype" w:hAnsi="Palatino Linotype"/>
        </w:rPr>
        <w:t xml:space="preserve"> En fecha nueve de octubre de dos mil diecinueve, </w:t>
      </w:r>
      <w:r w:rsidRPr="00417BE9">
        <w:rPr>
          <w:rFonts w:ascii="Palatino Linotype" w:hAnsi="Palatino Linotype"/>
          <w:b/>
        </w:rPr>
        <w:t>EL RECURRENTE</w:t>
      </w:r>
      <w:r w:rsidRPr="00417BE9">
        <w:rPr>
          <w:rFonts w:ascii="Palatino Linotype" w:hAnsi="Palatino Linotype"/>
        </w:rPr>
        <w:t xml:space="preserve"> presentó a través del Sistema de </w:t>
      </w:r>
      <w:r w:rsidRPr="00417BE9">
        <w:rPr>
          <w:rFonts w:ascii="Palatino Linotype" w:hAnsi="Palatino Linotype" w:cs="Arial"/>
        </w:rPr>
        <w:t>Acceso</w:t>
      </w:r>
      <w:r w:rsidRPr="00417BE9">
        <w:rPr>
          <w:rFonts w:ascii="Palatino Linotype" w:hAnsi="Palatino Linotype"/>
        </w:rPr>
        <w:t xml:space="preserve"> a la Información Mexiquense, en lo subsecuente </w:t>
      </w:r>
      <w:r w:rsidRPr="00417BE9">
        <w:rPr>
          <w:rFonts w:ascii="Palatino Linotype" w:hAnsi="Palatino Linotype"/>
          <w:b/>
        </w:rPr>
        <w:t>EL SAIMEX</w:t>
      </w:r>
      <w:r w:rsidRPr="00417BE9">
        <w:rPr>
          <w:rFonts w:ascii="Palatino Linotype" w:hAnsi="Palatino Linotype"/>
        </w:rPr>
        <w:t xml:space="preserve">, ante </w:t>
      </w:r>
      <w:r w:rsidRPr="00417BE9">
        <w:rPr>
          <w:rFonts w:ascii="Palatino Linotype" w:hAnsi="Palatino Linotype"/>
          <w:b/>
        </w:rPr>
        <w:t>EL SUJETO OBLIGADO</w:t>
      </w:r>
      <w:r w:rsidRPr="00417BE9">
        <w:rPr>
          <w:rFonts w:ascii="Palatino Linotype" w:hAnsi="Palatino Linotype"/>
        </w:rPr>
        <w:t xml:space="preserve">, la solicitud de acceso a información pública, a la que se le asignó el número </w:t>
      </w:r>
      <w:r w:rsidRPr="00417BE9">
        <w:rPr>
          <w:rFonts w:ascii="Palatino Linotype" w:hAnsi="Palatino Linotype"/>
          <w:b/>
          <w:bCs/>
        </w:rPr>
        <w:t>00196/OASATIZARA/IP/2019,</w:t>
      </w:r>
      <w:r w:rsidRPr="00417BE9">
        <w:rPr>
          <w:rFonts w:ascii="Palatino Linotype" w:hAnsi="Palatino Linotype"/>
        </w:rPr>
        <w:t xml:space="preserve"> mediante la cual solicitó: </w:t>
      </w:r>
    </w:p>
    <w:p w:rsidR="004D6488" w:rsidRPr="00417BE9" w:rsidRDefault="004D6488" w:rsidP="004D6488">
      <w:pPr>
        <w:pStyle w:val="Prrafodelista"/>
        <w:ind w:left="851" w:right="899"/>
        <w:jc w:val="both"/>
        <w:rPr>
          <w:rFonts w:ascii="Palatino Linotype" w:hAnsi="Palatino Linotype"/>
          <w:i/>
          <w:sz w:val="22"/>
        </w:rPr>
      </w:pPr>
      <w:r w:rsidRPr="00417BE9">
        <w:rPr>
          <w:rFonts w:ascii="Palatino Linotype" w:hAnsi="Palatino Linotype"/>
          <w:i/>
          <w:sz w:val="22"/>
        </w:rPr>
        <w:t xml:space="preserve">“Con fundamento en el artículo 6° de la Constitución Política de los Estados Unidos Mexicanos, 5° de la Constitución Política del Estado Libre y Soberano de México, 4, 11, 15, 16, 17 y 23 fracción IV de la Ley de Transparencia y Acceso a la Información Pública del Estado de México y Municipios; solicito de manera atenta, tenga a bien proporcionarme la siguiente información pública: Solicito tenga a bien proporcionarme en copia simple, el Acuerdo de Cabildo a través del cual se nombró </w:t>
      </w:r>
      <w:r w:rsidRPr="00417BE9">
        <w:rPr>
          <w:rFonts w:ascii="Palatino Linotype" w:hAnsi="Palatino Linotype"/>
          <w:i/>
          <w:sz w:val="22"/>
        </w:rPr>
        <w:lastRenderedPageBreak/>
        <w:t xml:space="preserve">a los integrantes del Consejo Directivo del Organismo del Agua de </w:t>
      </w:r>
      <w:proofErr w:type="spellStart"/>
      <w:r w:rsidRPr="00417BE9">
        <w:rPr>
          <w:rFonts w:ascii="Palatino Linotype" w:hAnsi="Palatino Linotype"/>
          <w:i/>
          <w:sz w:val="22"/>
        </w:rPr>
        <w:t>Atizapan</w:t>
      </w:r>
      <w:proofErr w:type="spellEnd"/>
      <w:r w:rsidRPr="00417BE9">
        <w:rPr>
          <w:rFonts w:ascii="Palatino Linotype" w:hAnsi="Palatino Linotype"/>
          <w:i/>
          <w:sz w:val="22"/>
        </w:rPr>
        <w:t>, indicando el cargo con el que cuentan en la Administración Pública, si fuera el caso, y el cargo que ocupan dentro del mencionado Consejo.” (Sic)</w:t>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cs="Arial"/>
          <w:b/>
        </w:rPr>
      </w:pPr>
      <w:r w:rsidRPr="00417BE9">
        <w:rPr>
          <w:rFonts w:ascii="Palatino Linotype" w:hAnsi="Palatino Linotype" w:cs="Arial"/>
          <w:b/>
        </w:rPr>
        <w:t>Modalidad de entrega:</w:t>
      </w:r>
      <w:r w:rsidRPr="00417BE9">
        <w:rPr>
          <w:rFonts w:ascii="Palatino Linotype" w:hAnsi="Palatino Linotype" w:cs="Arial"/>
        </w:rPr>
        <w:t xml:space="preserve"> vía </w:t>
      </w:r>
      <w:r w:rsidRPr="00417BE9">
        <w:rPr>
          <w:rFonts w:ascii="Palatino Linotype" w:hAnsi="Palatino Linotype" w:cs="Arial"/>
          <w:b/>
        </w:rPr>
        <w:t>SAIMEX.</w:t>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cs="Arial"/>
        </w:rPr>
      </w:pPr>
      <w:r w:rsidRPr="00417BE9">
        <w:rPr>
          <w:rFonts w:ascii="Palatino Linotype" w:hAnsi="Palatino Linotype" w:cs="Arial"/>
          <w:b/>
          <w:sz w:val="28"/>
          <w:szCs w:val="28"/>
        </w:rPr>
        <w:t>II.</w:t>
      </w:r>
      <w:r w:rsidRPr="00417BE9">
        <w:rPr>
          <w:rFonts w:ascii="Palatino Linotype" w:hAnsi="Palatino Linotype" w:cs="Arial"/>
        </w:rPr>
        <w:t xml:space="preserve"> De las constancias que obran en el expediente electrónico del </w:t>
      </w:r>
      <w:r w:rsidRPr="00417BE9">
        <w:rPr>
          <w:rFonts w:ascii="Palatino Linotype" w:hAnsi="Palatino Linotype" w:cs="Arial"/>
          <w:b/>
        </w:rPr>
        <w:t>SAIMEX,</w:t>
      </w:r>
      <w:r w:rsidRPr="00417BE9">
        <w:rPr>
          <w:rFonts w:ascii="Palatino Linotype" w:hAnsi="Palatino Linotype" w:cs="Arial"/>
        </w:rPr>
        <w:t xml:space="preserve"> en fecha veinticinco de octubre de dos mil diecinueve, la Titular de la Unidad de Transparencia del </w:t>
      </w:r>
      <w:r w:rsidRPr="00417BE9">
        <w:rPr>
          <w:rFonts w:ascii="Palatino Linotype" w:hAnsi="Palatino Linotype" w:cs="Arial"/>
          <w:b/>
        </w:rPr>
        <w:t>SUJETO OBLIGADO,</w:t>
      </w:r>
      <w:r w:rsidRPr="00417BE9">
        <w:rPr>
          <w:rFonts w:ascii="Palatino Linotype" w:hAnsi="Palatino Linotype" w:cs="Arial"/>
        </w:rPr>
        <w:t xml:space="preserve"> turnó la solicitud de información a la Servidora Pública Habilitada que estimó pertinente, a fin de colmar el derecho de acceso a la información del particular; tal y como, se aprecia en la i</w:t>
      </w:r>
      <w:bookmarkStart w:id="0" w:name="_GoBack"/>
      <w:bookmarkEnd w:id="0"/>
      <w:r w:rsidRPr="00417BE9">
        <w:rPr>
          <w:rFonts w:ascii="Palatino Linotype" w:hAnsi="Palatino Linotype" w:cs="Arial"/>
        </w:rPr>
        <w:t>magen siguiente:</w:t>
      </w:r>
    </w:p>
    <w:p w:rsidR="004D6488" w:rsidRPr="00417BE9" w:rsidRDefault="004D6488" w:rsidP="004D6488">
      <w:pPr>
        <w:pStyle w:val="Prrafodelista"/>
        <w:spacing w:before="100" w:beforeAutospacing="1" w:after="100" w:afterAutospacing="1" w:line="360" w:lineRule="auto"/>
        <w:ind w:left="0"/>
        <w:jc w:val="center"/>
        <w:rPr>
          <w:rFonts w:ascii="Palatino Linotype" w:hAnsi="Palatino Linotype" w:cs="Arial"/>
          <w:b/>
          <w:sz w:val="28"/>
          <w:szCs w:val="28"/>
        </w:rPr>
      </w:pPr>
      <w:r w:rsidRPr="00417BE9">
        <w:rPr>
          <w:noProof/>
          <w:lang w:eastAsia="es-MX"/>
        </w:rPr>
        <w:drawing>
          <wp:inline distT="0" distB="0" distL="0" distR="0" wp14:anchorId="2EFCF15B" wp14:editId="49250943">
            <wp:extent cx="5443831" cy="69000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43" t="38398" r="7308" b="50241"/>
                    <a:stretch/>
                  </pic:blipFill>
                  <pic:spPr bwMode="auto">
                    <a:xfrm>
                      <a:off x="0" y="0"/>
                      <a:ext cx="5735020" cy="726915"/>
                    </a:xfrm>
                    <a:prstGeom prst="rect">
                      <a:avLst/>
                    </a:prstGeom>
                    <a:ln>
                      <a:noFill/>
                    </a:ln>
                    <a:extLst>
                      <a:ext uri="{53640926-AAD7-44D8-BBD7-CCE9431645EC}">
                        <a14:shadowObscured xmlns:a14="http://schemas.microsoft.com/office/drawing/2010/main"/>
                      </a:ext>
                    </a:extLst>
                  </pic:spPr>
                </pic:pic>
              </a:graphicData>
            </a:graphic>
          </wp:inline>
        </w:drawing>
      </w:r>
    </w:p>
    <w:p w:rsidR="004D6488" w:rsidRPr="00417BE9" w:rsidRDefault="00535D24" w:rsidP="004D6488">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67456" behindDoc="0" locked="0" layoutInCell="1" allowOverlap="1">
                <wp:simplePos x="0" y="0"/>
                <wp:positionH relativeFrom="column">
                  <wp:posOffset>5714</wp:posOffset>
                </wp:positionH>
                <wp:positionV relativeFrom="paragraph">
                  <wp:posOffset>909955</wp:posOffset>
                </wp:positionV>
                <wp:extent cx="5781675" cy="20193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781675" cy="2019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8C7BE3"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pt,71.65pt" to="455.7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" strokecolor="#5b9bd5 [3204]" strokeweight=".5pt">
                <v:stroke joinstyle="miter"/>
              </v:line>
            </w:pict>
          </mc:Fallback>
        </mc:AlternateContent>
      </w:r>
      <w:r w:rsidR="004D6488" w:rsidRPr="00417BE9">
        <w:rPr>
          <w:rFonts w:ascii="Palatino Linotype" w:hAnsi="Palatino Linotype" w:cs="Arial"/>
          <w:b/>
          <w:sz w:val="28"/>
          <w:szCs w:val="28"/>
        </w:rPr>
        <w:t>III.</w:t>
      </w:r>
      <w:r w:rsidR="004D6488" w:rsidRPr="00417BE9">
        <w:rPr>
          <w:rFonts w:ascii="Palatino Linotype" w:hAnsi="Palatino Linotype" w:cs="Arial"/>
        </w:rPr>
        <w:t xml:space="preserve"> En fecha veintinueve de octubre de dos mil diecinueve, </w:t>
      </w:r>
      <w:r w:rsidR="004D6488" w:rsidRPr="00417BE9">
        <w:rPr>
          <w:rFonts w:ascii="Palatino Linotype" w:hAnsi="Palatino Linotype" w:cs="Arial"/>
          <w:b/>
        </w:rPr>
        <w:t>EL SUJETO OBLIGADO</w:t>
      </w:r>
      <w:r w:rsidR="004D6488" w:rsidRPr="00417BE9">
        <w:rPr>
          <w:rFonts w:ascii="Palatino Linotype" w:hAnsi="Palatino Linotype" w:cs="Arial"/>
        </w:rPr>
        <w:t xml:space="preserve"> dio respuesta a la solicitud de acceso a la información pública requerida por </w:t>
      </w:r>
      <w:r w:rsidR="004D6488" w:rsidRPr="00417BE9">
        <w:rPr>
          <w:rFonts w:ascii="Palatino Linotype" w:hAnsi="Palatino Linotype" w:cs="Arial"/>
          <w:b/>
        </w:rPr>
        <w:t>EL RECURRENTE</w:t>
      </w:r>
      <w:r w:rsidR="004D6488" w:rsidRPr="00417BE9">
        <w:rPr>
          <w:rFonts w:ascii="Palatino Linotype" w:hAnsi="Palatino Linotype" w:cs="Arial"/>
        </w:rPr>
        <w:t>, tal y como, se aprecia enseguida:</w:t>
      </w:r>
    </w:p>
    <w:p w:rsidR="004D6488" w:rsidRPr="00417BE9" w:rsidRDefault="004D6488" w:rsidP="004D6488">
      <w:pPr>
        <w:pStyle w:val="Prrafodelista"/>
        <w:spacing w:before="100" w:beforeAutospacing="1" w:after="100" w:afterAutospacing="1" w:line="360" w:lineRule="auto"/>
        <w:ind w:left="0"/>
        <w:jc w:val="center"/>
        <w:rPr>
          <w:rFonts w:ascii="Palatino Linotype" w:hAnsi="Palatino Linotype" w:cs="Arial"/>
        </w:rPr>
      </w:pPr>
      <w:r w:rsidRPr="00417BE9">
        <w:rPr>
          <w:noProof/>
          <w:lang w:eastAsia="es-MX"/>
        </w:rPr>
        <w:lastRenderedPageBreak/>
        <w:drawing>
          <wp:inline distT="0" distB="0" distL="0" distR="0" wp14:anchorId="1B8578FA" wp14:editId="321A7000">
            <wp:extent cx="4769978" cy="28860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086" t="12571" r="23967" b="19421"/>
                    <a:stretch/>
                  </pic:blipFill>
                  <pic:spPr bwMode="auto">
                    <a:xfrm>
                      <a:off x="0" y="0"/>
                      <a:ext cx="4809969" cy="2910272"/>
                    </a:xfrm>
                    <a:prstGeom prst="rect">
                      <a:avLst/>
                    </a:prstGeom>
                    <a:ln>
                      <a:noFill/>
                    </a:ln>
                    <a:extLst>
                      <a:ext uri="{53640926-AAD7-44D8-BBD7-CCE9431645EC}">
                        <a14:shadowObscured xmlns:a14="http://schemas.microsoft.com/office/drawing/2010/main"/>
                      </a:ext>
                    </a:extLst>
                  </pic:spPr>
                </pic:pic>
              </a:graphicData>
            </a:graphic>
          </wp:inline>
        </w:drawing>
      </w:r>
    </w:p>
    <w:p w:rsidR="004D6488" w:rsidRPr="00417BE9" w:rsidRDefault="004D6488" w:rsidP="004D6488">
      <w:pPr>
        <w:pStyle w:val="Prrafodelista"/>
        <w:spacing w:before="100" w:beforeAutospacing="1" w:after="100" w:afterAutospacing="1" w:line="360" w:lineRule="auto"/>
        <w:ind w:left="0"/>
        <w:jc w:val="center"/>
        <w:rPr>
          <w:rFonts w:ascii="Palatino Linotype" w:hAnsi="Palatino Linotype" w:cs="Arial"/>
        </w:rPr>
      </w:pPr>
      <w:r w:rsidRPr="00417BE9">
        <w:rPr>
          <w:noProof/>
          <w:lang w:eastAsia="es-MX"/>
        </w:rPr>
        <w:drawing>
          <wp:inline distT="0" distB="0" distL="0" distR="0" wp14:anchorId="78AB0AEE" wp14:editId="12945E55">
            <wp:extent cx="5232024" cy="3696869"/>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7" t="16015" r="25130" b="11846"/>
                    <a:stretch/>
                  </pic:blipFill>
                  <pic:spPr bwMode="auto">
                    <a:xfrm>
                      <a:off x="0" y="0"/>
                      <a:ext cx="5243506" cy="3704982"/>
                    </a:xfrm>
                    <a:prstGeom prst="rect">
                      <a:avLst/>
                    </a:prstGeom>
                    <a:ln>
                      <a:noFill/>
                    </a:ln>
                    <a:extLst>
                      <a:ext uri="{53640926-AAD7-44D8-BBD7-CCE9431645EC}">
                        <a14:shadowObscured xmlns:a14="http://schemas.microsoft.com/office/drawing/2010/main"/>
                      </a:ext>
                    </a:extLst>
                  </pic:spPr>
                </pic:pic>
              </a:graphicData>
            </a:graphic>
          </wp:inline>
        </w:drawing>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cs="Arial"/>
        </w:rPr>
      </w:pPr>
      <w:r w:rsidRPr="00417BE9">
        <w:rPr>
          <w:rFonts w:ascii="Palatino Linotype" w:hAnsi="Palatino Linotype" w:cs="Arial"/>
          <w:b/>
          <w:sz w:val="28"/>
          <w:szCs w:val="28"/>
        </w:rPr>
        <w:lastRenderedPageBreak/>
        <w:t>III.</w:t>
      </w:r>
      <w:r w:rsidRPr="00417BE9">
        <w:rPr>
          <w:rFonts w:ascii="Palatino Linotype" w:hAnsi="Palatino Linotype" w:cs="Arial"/>
        </w:rPr>
        <w:t xml:space="preserve"> </w:t>
      </w:r>
      <w:r w:rsidRPr="00417BE9">
        <w:rPr>
          <w:rFonts w:ascii="Palatino Linotype" w:hAnsi="Palatino Linotype"/>
        </w:rPr>
        <w:t xml:space="preserve">Inconforme con la </w:t>
      </w:r>
      <w:r w:rsidRPr="00417BE9">
        <w:rPr>
          <w:rFonts w:ascii="Palatino Linotype" w:hAnsi="Palatino Linotype" w:cs="Arial"/>
        </w:rPr>
        <w:t xml:space="preserve">respuesta </w:t>
      </w:r>
      <w:r w:rsidRPr="00417BE9">
        <w:rPr>
          <w:rFonts w:ascii="Palatino Linotype" w:hAnsi="Palatino Linotype"/>
        </w:rPr>
        <w:t xml:space="preserve">del </w:t>
      </w:r>
      <w:r w:rsidRPr="00417BE9">
        <w:rPr>
          <w:rFonts w:ascii="Palatino Linotype" w:hAnsi="Palatino Linotype"/>
          <w:b/>
        </w:rPr>
        <w:t>SUJETO OBLIGADO</w:t>
      </w:r>
      <w:r w:rsidRPr="00417BE9">
        <w:rPr>
          <w:rFonts w:ascii="Palatino Linotype" w:hAnsi="Palatino Linotype"/>
        </w:rPr>
        <w:t xml:space="preserve">, el treinta de octubre de dos mil diecinueve, </w:t>
      </w:r>
      <w:r w:rsidRPr="00417BE9">
        <w:rPr>
          <w:rFonts w:ascii="Palatino Linotype" w:hAnsi="Palatino Linotype"/>
          <w:b/>
        </w:rPr>
        <w:t>EL RECURRENTE</w:t>
      </w:r>
      <w:r w:rsidRPr="00417BE9">
        <w:rPr>
          <w:rFonts w:ascii="Palatino Linotype" w:hAnsi="Palatino Linotype"/>
        </w:rPr>
        <w:t xml:space="preserve"> interpuso el recurso de revisión objeto del presente estudio, el cual fue registrado en </w:t>
      </w:r>
      <w:r w:rsidRPr="00417BE9">
        <w:rPr>
          <w:rFonts w:ascii="Palatino Linotype" w:hAnsi="Palatino Linotype"/>
          <w:b/>
        </w:rPr>
        <w:t>EL SAIMEX</w:t>
      </w:r>
      <w:r w:rsidRPr="00417BE9">
        <w:rPr>
          <w:rFonts w:ascii="Palatino Linotype" w:hAnsi="Palatino Linotype"/>
        </w:rPr>
        <w:t xml:space="preserve"> y se le asignó el número de expediente </w:t>
      </w:r>
      <w:r w:rsidRPr="00417BE9">
        <w:rPr>
          <w:rFonts w:ascii="Palatino Linotype" w:hAnsi="Palatino Linotype" w:cs="Arial"/>
          <w:b/>
          <w:bCs/>
        </w:rPr>
        <w:t>08357/INFOEM/IP/RR/2019</w:t>
      </w:r>
      <w:r w:rsidRPr="00417BE9">
        <w:rPr>
          <w:rFonts w:ascii="Palatino Linotype" w:hAnsi="Palatino Linotype" w:cs="Arial"/>
        </w:rPr>
        <w:t>, en el que señaló como acto impugnado lo siguiente:</w:t>
      </w:r>
    </w:p>
    <w:p w:rsidR="004D6488" w:rsidRPr="00417BE9" w:rsidRDefault="004D6488" w:rsidP="00BC623A">
      <w:pPr>
        <w:pStyle w:val="Prrafodelista"/>
        <w:ind w:left="851" w:right="899"/>
        <w:jc w:val="both"/>
        <w:rPr>
          <w:rFonts w:ascii="Palatino Linotype" w:hAnsi="Palatino Linotype"/>
          <w:i/>
          <w:color w:val="000000"/>
          <w:sz w:val="22"/>
        </w:rPr>
      </w:pPr>
      <w:r w:rsidRPr="00417BE9">
        <w:rPr>
          <w:rFonts w:ascii="Palatino Linotype" w:hAnsi="Palatino Linotype"/>
          <w:i/>
          <w:color w:val="000000"/>
          <w:sz w:val="22"/>
        </w:rPr>
        <w:t>“</w:t>
      </w:r>
      <w:r w:rsidR="00BC623A" w:rsidRPr="00417BE9">
        <w:rPr>
          <w:rFonts w:ascii="Palatino Linotype" w:hAnsi="Palatino Linotype"/>
          <w:i/>
          <w:color w:val="000000"/>
          <w:sz w:val="22"/>
        </w:rPr>
        <w:t>La negativa en la entrega de información</w:t>
      </w:r>
      <w:r w:rsidRPr="00417BE9">
        <w:rPr>
          <w:rFonts w:ascii="Palatino Linotype" w:hAnsi="Palatino Linotype"/>
          <w:i/>
          <w:color w:val="000000"/>
          <w:sz w:val="22"/>
        </w:rPr>
        <w:t>.” (Sic)</w:t>
      </w:r>
    </w:p>
    <w:p w:rsidR="004D6488" w:rsidRPr="00417BE9" w:rsidRDefault="004D6488" w:rsidP="004D6488">
      <w:pPr>
        <w:spacing w:before="100" w:beforeAutospacing="1" w:after="100" w:afterAutospacing="1" w:line="360" w:lineRule="auto"/>
        <w:ind w:right="709"/>
        <w:jc w:val="both"/>
        <w:rPr>
          <w:rFonts w:ascii="Palatino Linotype" w:hAnsi="Palatino Linotype" w:cs="Arial"/>
        </w:rPr>
      </w:pPr>
      <w:r w:rsidRPr="00417BE9">
        <w:rPr>
          <w:rFonts w:ascii="Palatino Linotype" w:hAnsi="Palatino Linotype" w:cs="Arial"/>
          <w:spacing w:val="-6"/>
          <w:lang w:eastAsia="es-MX"/>
        </w:rPr>
        <w:t xml:space="preserve">Asimismo, manifestó como </w:t>
      </w:r>
      <w:r w:rsidRPr="00417BE9">
        <w:rPr>
          <w:rFonts w:ascii="Palatino Linotype" w:hAnsi="Palatino Linotype" w:cs="Arial"/>
        </w:rPr>
        <w:t>razones o motivos de inconformidad:</w:t>
      </w:r>
    </w:p>
    <w:p w:rsidR="004D6488" w:rsidRPr="00417BE9" w:rsidRDefault="004D6488" w:rsidP="004D6488">
      <w:pPr>
        <w:pStyle w:val="Prrafodelista"/>
        <w:ind w:left="851" w:right="899"/>
        <w:jc w:val="both"/>
        <w:rPr>
          <w:rFonts w:ascii="Palatino Linotype" w:hAnsi="Palatino Linotype"/>
          <w:i/>
          <w:color w:val="000000"/>
          <w:sz w:val="22"/>
        </w:rPr>
      </w:pPr>
      <w:r w:rsidRPr="00417BE9">
        <w:rPr>
          <w:rFonts w:ascii="Palatino Linotype" w:hAnsi="Palatino Linotype"/>
          <w:i/>
          <w:color w:val="000000"/>
          <w:sz w:val="22"/>
        </w:rPr>
        <w:t>“</w:t>
      </w:r>
      <w:r w:rsidR="00BC623A" w:rsidRPr="00417BE9">
        <w:rPr>
          <w:rFonts w:ascii="Palatino Linotype" w:hAnsi="Palatino Linotype"/>
          <w:i/>
          <w:color w:val="000000"/>
          <w:sz w:val="22"/>
        </w:rPr>
        <w:t>Resulta evidente la falta de conocimiento por parte del Servidor Público Habilitado que solicitó el cambio de modalidad de entrega de información, y lo que es peor aún del o la Titular de la Unidad de Transparencia que lo autorizó, pues la Plataforma del Sistema de Acceso a la Información Mexiquense (SAIMEX) tiene la capacidad de procesar la carga de alrededor de 3000 fojas en formato .</w:t>
      </w:r>
      <w:proofErr w:type="spellStart"/>
      <w:r w:rsidR="00BC623A" w:rsidRPr="00417BE9">
        <w:rPr>
          <w:rFonts w:ascii="Palatino Linotype" w:hAnsi="Palatino Linotype"/>
          <w:i/>
          <w:color w:val="000000"/>
          <w:sz w:val="22"/>
        </w:rPr>
        <w:t>pdf</w:t>
      </w:r>
      <w:proofErr w:type="spellEnd"/>
      <w:r w:rsidR="00BC623A" w:rsidRPr="00417BE9">
        <w:rPr>
          <w:rFonts w:ascii="Palatino Linotype" w:hAnsi="Palatino Linotype"/>
          <w:i/>
          <w:color w:val="000000"/>
          <w:sz w:val="22"/>
        </w:rPr>
        <w:t xml:space="preserve">, lo que sería </w:t>
      </w:r>
      <w:proofErr w:type="spellStart"/>
      <w:r w:rsidR="00BC623A" w:rsidRPr="00417BE9">
        <w:rPr>
          <w:rFonts w:ascii="Palatino Linotype" w:hAnsi="Palatino Linotype"/>
          <w:i/>
          <w:color w:val="000000"/>
          <w:sz w:val="22"/>
        </w:rPr>
        <w:t>mas</w:t>
      </w:r>
      <w:proofErr w:type="spellEnd"/>
      <w:r w:rsidR="00BC623A" w:rsidRPr="00417BE9">
        <w:rPr>
          <w:rFonts w:ascii="Palatino Linotype" w:hAnsi="Palatino Linotype"/>
          <w:i/>
          <w:color w:val="000000"/>
          <w:sz w:val="22"/>
        </w:rPr>
        <w:t xml:space="preserve"> que suficiente para proporcionar, si así se requiriera, todas las Actas de Cabildo y/o Juntas de Gobierno de lo que va del presente año, máxime de la información que se requiere en la solicitud de origen, consistente en lo siguiente: "Solicito tenga a bien proporcionarme en copia simple, el Acuerdo de Cabildo a través del cual se nombró a los integrantes del Consejo Directivo del Organismo del Agua de </w:t>
      </w:r>
      <w:proofErr w:type="spellStart"/>
      <w:r w:rsidR="00BC623A" w:rsidRPr="00417BE9">
        <w:rPr>
          <w:rFonts w:ascii="Palatino Linotype" w:hAnsi="Palatino Linotype"/>
          <w:i/>
          <w:color w:val="000000"/>
          <w:sz w:val="22"/>
        </w:rPr>
        <w:t>Atizapan</w:t>
      </w:r>
      <w:proofErr w:type="spellEnd"/>
      <w:r w:rsidR="00BC623A" w:rsidRPr="00417BE9">
        <w:rPr>
          <w:rFonts w:ascii="Palatino Linotype" w:hAnsi="Palatino Linotype"/>
          <w:i/>
          <w:color w:val="000000"/>
          <w:sz w:val="22"/>
        </w:rPr>
        <w:t>, indicando el cargo con el que cuentan en la Administración Pública, si fuera el caso, y el cargo que ocupan dentro del mencionado Consejo", pues resulta poco creíble que tal Acuerdo u Acta de Cabildo sobrepase ese límite, por lo que no encuadra en los supuestos del artículo 158 de la Ley de la Materia, razón por la cual se interpone el presente Recurso de Revisión</w:t>
      </w:r>
      <w:r w:rsidRPr="00417BE9">
        <w:rPr>
          <w:rFonts w:ascii="Palatino Linotype" w:hAnsi="Palatino Linotype"/>
          <w:i/>
          <w:color w:val="000000"/>
          <w:sz w:val="22"/>
        </w:rPr>
        <w:t>.” (Sic)</w:t>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cs="Arial"/>
        </w:rPr>
      </w:pPr>
      <w:r w:rsidRPr="00417BE9">
        <w:rPr>
          <w:rFonts w:ascii="Palatino Linotype" w:hAnsi="Palatino Linotype"/>
          <w:b/>
          <w:sz w:val="28"/>
          <w:szCs w:val="28"/>
        </w:rPr>
        <w:t>IV.</w:t>
      </w:r>
      <w:r w:rsidRPr="00417BE9">
        <w:rPr>
          <w:rFonts w:ascii="Palatino Linotype" w:hAnsi="Palatino Linotype"/>
        </w:rPr>
        <w:t xml:space="preserve"> </w:t>
      </w:r>
      <w:r w:rsidRPr="00417BE9">
        <w:rPr>
          <w:rFonts w:ascii="Palatino Linotype" w:hAnsi="Palatino Linotype" w:cs="Arial"/>
        </w:rPr>
        <w:t xml:space="preserve">El recurso de que se trata se envió electrónicamente al Instituto de </w:t>
      </w:r>
      <w:r w:rsidRPr="00417BE9">
        <w:rPr>
          <w:rFonts w:ascii="Palatino Linotype" w:eastAsia="Arial Unicode MS" w:hAnsi="Palatino Linotype" w:cs="Arial"/>
        </w:rPr>
        <w:t>Transparencia</w:t>
      </w:r>
      <w:r w:rsidRPr="00417BE9">
        <w:rPr>
          <w:rFonts w:ascii="Palatino Linotype" w:hAnsi="Palatino Linotype" w:cs="Arial"/>
        </w:rPr>
        <w:t xml:space="preserve">, Acceso a la Información Pública y Protección de Datos Personales del Estado de México y Municipios en fecha </w:t>
      </w:r>
      <w:r w:rsidR="00BC623A" w:rsidRPr="00417BE9">
        <w:rPr>
          <w:rFonts w:ascii="Palatino Linotype" w:hAnsi="Palatino Linotype" w:cs="Arial"/>
        </w:rPr>
        <w:t xml:space="preserve">treinta de octubre </w:t>
      </w:r>
      <w:r w:rsidRPr="00417BE9">
        <w:rPr>
          <w:rFonts w:ascii="Palatino Linotype" w:hAnsi="Palatino Linotype" w:cs="Arial"/>
        </w:rPr>
        <w:t xml:space="preserve">de dos mil diecinueve y con fundamento en el artículo 185, fracción I de la </w:t>
      </w:r>
      <w:r w:rsidRPr="00417BE9">
        <w:rPr>
          <w:rFonts w:ascii="Palatino Linotype" w:hAnsi="Palatino Linotype"/>
        </w:rPr>
        <w:t xml:space="preserve">Ley de Transparencia y Acceso a la Información Pública </w:t>
      </w:r>
      <w:r w:rsidRPr="00417BE9">
        <w:rPr>
          <w:rFonts w:ascii="Palatino Linotype" w:hAnsi="Palatino Linotype"/>
        </w:rPr>
        <w:lastRenderedPageBreak/>
        <w:t>del Estado de México y Municipios</w:t>
      </w:r>
      <w:r w:rsidRPr="00417BE9">
        <w:rPr>
          <w:rFonts w:ascii="Palatino Linotype" w:hAnsi="Palatino Linotype" w:cs="Arial"/>
        </w:rPr>
        <w:t>, se turnó, a través del</w:t>
      </w:r>
      <w:r w:rsidRPr="00417BE9">
        <w:rPr>
          <w:rFonts w:ascii="Palatino Linotype" w:eastAsia="Arial Unicode MS" w:hAnsi="Palatino Linotype" w:cs="Arial"/>
        </w:rPr>
        <w:t xml:space="preserve"> </w:t>
      </w:r>
      <w:r w:rsidRPr="00417BE9">
        <w:rPr>
          <w:rFonts w:ascii="Palatino Linotype" w:eastAsia="Arial Unicode MS" w:hAnsi="Palatino Linotype" w:cs="Arial"/>
          <w:b/>
        </w:rPr>
        <w:t>SAIMEX</w:t>
      </w:r>
      <w:r w:rsidRPr="00417BE9">
        <w:rPr>
          <w:rFonts w:ascii="Palatino Linotype" w:hAnsi="Palatino Linotype"/>
        </w:rPr>
        <w:t xml:space="preserve">, a la </w:t>
      </w:r>
      <w:r w:rsidRPr="00417BE9">
        <w:rPr>
          <w:rFonts w:ascii="Palatino Linotype" w:hAnsi="Palatino Linotype" w:cs="Arial"/>
        </w:rPr>
        <w:t xml:space="preserve">Comisionada </w:t>
      </w:r>
      <w:r w:rsidRPr="00417BE9">
        <w:rPr>
          <w:rFonts w:ascii="Palatino Linotype" w:hAnsi="Palatino Linotype" w:cs="Arial"/>
          <w:b/>
        </w:rPr>
        <w:t xml:space="preserve">Eva </w:t>
      </w:r>
      <w:proofErr w:type="spellStart"/>
      <w:r w:rsidRPr="00417BE9">
        <w:rPr>
          <w:rFonts w:ascii="Palatino Linotype" w:hAnsi="Palatino Linotype" w:cs="Arial"/>
          <w:b/>
        </w:rPr>
        <w:t>Abaid</w:t>
      </w:r>
      <w:proofErr w:type="spellEnd"/>
      <w:r w:rsidRPr="00417BE9">
        <w:rPr>
          <w:rFonts w:ascii="Palatino Linotype" w:hAnsi="Palatino Linotype" w:cs="Arial"/>
          <w:b/>
        </w:rPr>
        <w:t xml:space="preserve"> </w:t>
      </w:r>
      <w:proofErr w:type="spellStart"/>
      <w:r w:rsidRPr="00417BE9">
        <w:rPr>
          <w:rFonts w:ascii="Palatino Linotype" w:hAnsi="Palatino Linotype" w:cs="Arial"/>
          <w:b/>
        </w:rPr>
        <w:t>Yapur</w:t>
      </w:r>
      <w:proofErr w:type="spellEnd"/>
      <w:r w:rsidRPr="00417BE9">
        <w:rPr>
          <w:rFonts w:ascii="Palatino Linotype" w:hAnsi="Palatino Linotype" w:cs="Arial"/>
        </w:rPr>
        <w:t xml:space="preserve">, a efecto de que decretara su admisión o </w:t>
      </w:r>
      <w:proofErr w:type="spellStart"/>
      <w:r w:rsidRPr="00417BE9">
        <w:rPr>
          <w:rFonts w:ascii="Palatino Linotype" w:hAnsi="Palatino Linotype" w:cs="Arial"/>
        </w:rPr>
        <w:t>desechamiento</w:t>
      </w:r>
      <w:proofErr w:type="spellEnd"/>
      <w:r w:rsidRPr="00417BE9">
        <w:rPr>
          <w:rFonts w:ascii="Palatino Linotype" w:hAnsi="Palatino Linotype" w:cs="Arial"/>
        </w:rPr>
        <w:t>.</w:t>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cs="Arial"/>
        </w:rPr>
      </w:pPr>
      <w:r w:rsidRPr="00417BE9">
        <w:rPr>
          <w:rFonts w:ascii="Palatino Linotype" w:hAnsi="Palatino Linotype" w:cs="Arial"/>
          <w:b/>
          <w:sz w:val="28"/>
          <w:szCs w:val="28"/>
        </w:rPr>
        <w:t>V.</w:t>
      </w:r>
      <w:r w:rsidRPr="00417BE9">
        <w:rPr>
          <w:rFonts w:ascii="Palatino Linotype" w:hAnsi="Palatino Linotype" w:cs="Arial"/>
        </w:rPr>
        <w:t xml:space="preserve"> En fecha </w:t>
      </w:r>
      <w:r w:rsidR="00BC623A" w:rsidRPr="00417BE9">
        <w:rPr>
          <w:rFonts w:ascii="Palatino Linotype" w:hAnsi="Palatino Linotype" w:cs="Arial"/>
        </w:rPr>
        <w:t xml:space="preserve">cinco de noviembre de </w:t>
      </w:r>
      <w:r w:rsidRPr="00417BE9">
        <w:rPr>
          <w:rFonts w:ascii="Palatino Linotype" w:hAnsi="Palatino Linotype" w:cs="Arial"/>
        </w:rPr>
        <w:t xml:space="preserve">dos mil diecinueve, atento a lo dispuesto en el artículo 185, fracciones I, II y IV de la </w:t>
      </w:r>
      <w:r w:rsidRPr="00417BE9">
        <w:rPr>
          <w:rFonts w:ascii="Palatino Linotype" w:hAnsi="Palatino Linotype"/>
        </w:rPr>
        <w:t>Ley de Transparencia y Acceso a la Información Pública del Estado de México y Municipios, se a</w:t>
      </w:r>
      <w:r w:rsidRPr="00417BE9">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417BE9">
        <w:rPr>
          <w:rFonts w:ascii="Palatino Linotype" w:hAnsi="Palatino Linotype" w:cs="Arial"/>
          <w:b/>
        </w:rPr>
        <w:t>EL RECURRENTE</w:t>
      </w:r>
      <w:r w:rsidRPr="00417BE9">
        <w:rPr>
          <w:rFonts w:ascii="Palatino Linotype" w:hAnsi="Palatino Linotype" w:cs="Arial"/>
        </w:rPr>
        <w:t xml:space="preserve"> realizara manifestaciones y alegatos, así como ofreciera las pruebas que a su derecho conviniera y, en el caso del</w:t>
      </w:r>
      <w:r w:rsidRPr="00417BE9">
        <w:rPr>
          <w:rFonts w:ascii="Palatino Linotype" w:hAnsi="Palatino Linotype" w:cs="Arial"/>
          <w:b/>
        </w:rPr>
        <w:t xml:space="preserve"> SUJETO OBLIGADO</w:t>
      </w:r>
      <w:r w:rsidRPr="00417BE9">
        <w:rPr>
          <w:rFonts w:ascii="Palatino Linotype" w:hAnsi="Palatino Linotype" w:cs="Arial"/>
        </w:rPr>
        <w:t xml:space="preserve"> exhibiera el Informe Justificado. </w:t>
      </w:r>
    </w:p>
    <w:p w:rsidR="004D6488" w:rsidRPr="00417BE9" w:rsidRDefault="00535D24" w:rsidP="004D6488">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68480" behindDoc="0" locked="0" layoutInCell="1" allowOverlap="1">
                <wp:simplePos x="0" y="0"/>
                <wp:positionH relativeFrom="column">
                  <wp:posOffset>24765</wp:posOffset>
                </wp:positionH>
                <wp:positionV relativeFrom="paragraph">
                  <wp:posOffset>1508124</wp:posOffset>
                </wp:positionV>
                <wp:extent cx="5695950" cy="195262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695950" cy="1952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1BD59"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5pt,118.75pt" to="450.4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" strokecolor="#5b9bd5 [3204]" strokeweight=".5pt">
                <v:stroke joinstyle="miter"/>
              </v:line>
            </w:pict>
          </mc:Fallback>
        </mc:AlternateContent>
      </w:r>
      <w:r w:rsidR="004D6488" w:rsidRPr="00417BE9">
        <w:rPr>
          <w:rFonts w:ascii="Palatino Linotype" w:hAnsi="Palatino Linotype" w:cs="Arial"/>
          <w:b/>
          <w:sz w:val="28"/>
          <w:szCs w:val="28"/>
        </w:rPr>
        <w:t>VI.</w:t>
      </w:r>
      <w:r w:rsidR="004D6488" w:rsidRPr="00417BE9">
        <w:rPr>
          <w:rFonts w:ascii="Palatino Linotype" w:hAnsi="Palatino Linotype" w:cs="Arial"/>
        </w:rPr>
        <w:t xml:space="preserve"> De las constancias que obran en el </w:t>
      </w:r>
      <w:r w:rsidR="004D6488" w:rsidRPr="00417BE9">
        <w:rPr>
          <w:rFonts w:ascii="Palatino Linotype" w:hAnsi="Palatino Linotype" w:cs="Arial"/>
          <w:b/>
        </w:rPr>
        <w:t>SAIMEX,</w:t>
      </w:r>
      <w:r w:rsidR="004D6488" w:rsidRPr="00417BE9">
        <w:rPr>
          <w:rFonts w:ascii="Palatino Linotype" w:hAnsi="Palatino Linotype" w:cs="Arial"/>
        </w:rPr>
        <w:t xml:space="preserve"> se advierte que </w:t>
      </w:r>
      <w:r w:rsidR="004D6488" w:rsidRPr="00417BE9">
        <w:rPr>
          <w:rFonts w:ascii="Palatino Linotype" w:hAnsi="Palatino Linotype" w:cs="Arial"/>
          <w:b/>
        </w:rPr>
        <w:t>EL SUJETO OBLIGADO</w:t>
      </w:r>
      <w:r w:rsidR="004D6488" w:rsidRPr="00417BE9">
        <w:rPr>
          <w:rFonts w:ascii="Palatino Linotype" w:hAnsi="Palatino Linotype" w:cs="Arial"/>
        </w:rPr>
        <w:t xml:space="preserve"> rindió el Informe Justificado correspondiente en fecha </w:t>
      </w:r>
      <w:r w:rsidR="00BC623A" w:rsidRPr="00417BE9">
        <w:rPr>
          <w:rFonts w:ascii="Palatino Linotype" w:hAnsi="Palatino Linotype" w:cs="Arial"/>
        </w:rPr>
        <w:t xml:space="preserve">catorce de noviembre </w:t>
      </w:r>
      <w:r w:rsidR="004D6488" w:rsidRPr="00417BE9">
        <w:rPr>
          <w:rFonts w:ascii="Palatino Linotype" w:hAnsi="Palatino Linotype" w:cs="Arial"/>
        </w:rPr>
        <w:t>de dos mil diecinueve; mismo que al actualizar el supuesto previsto en la fracción III del artíc</w:t>
      </w:r>
      <w:r w:rsidR="00BC623A" w:rsidRPr="00417BE9">
        <w:rPr>
          <w:rFonts w:ascii="Palatino Linotype" w:hAnsi="Palatino Linotype" w:cs="Arial"/>
        </w:rPr>
        <w:t>ulo 185 de la Ley de la materia</w:t>
      </w:r>
      <w:r w:rsidR="004D6488" w:rsidRPr="00417BE9">
        <w:rPr>
          <w:rFonts w:ascii="Palatino Linotype" w:hAnsi="Palatino Linotype" w:cs="Arial"/>
        </w:rPr>
        <w:t xml:space="preserve"> fue puesto a disposición del particular; tal y como se aprecia a continuación:</w:t>
      </w:r>
    </w:p>
    <w:p w:rsidR="004D6488" w:rsidRPr="00417BE9" w:rsidRDefault="00BC623A" w:rsidP="004D6488">
      <w:pPr>
        <w:pStyle w:val="Prrafodelista"/>
        <w:spacing w:before="100" w:beforeAutospacing="1" w:after="100" w:afterAutospacing="1" w:line="360" w:lineRule="auto"/>
        <w:ind w:left="0"/>
        <w:jc w:val="center"/>
        <w:rPr>
          <w:rFonts w:ascii="Palatino Linotype" w:hAnsi="Palatino Linotype" w:cs="Arial"/>
        </w:rPr>
      </w:pPr>
      <w:r w:rsidRPr="00417BE9">
        <w:rPr>
          <w:noProof/>
          <w:lang w:eastAsia="es-MX"/>
        </w:rPr>
        <w:lastRenderedPageBreak/>
        <w:drawing>
          <wp:inline distT="0" distB="0" distL="0" distR="0" wp14:anchorId="3C336229" wp14:editId="54491CF2">
            <wp:extent cx="5858280" cy="4038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29" t="26522" r="27938" b="16839"/>
                    <a:stretch/>
                  </pic:blipFill>
                  <pic:spPr bwMode="auto">
                    <a:xfrm>
                      <a:off x="0" y="0"/>
                      <a:ext cx="5908913" cy="4073505"/>
                    </a:xfrm>
                    <a:prstGeom prst="rect">
                      <a:avLst/>
                    </a:prstGeom>
                    <a:ln>
                      <a:noFill/>
                    </a:ln>
                    <a:extLst>
                      <a:ext uri="{53640926-AAD7-44D8-BBD7-CCE9431645EC}">
                        <a14:shadowObscured xmlns:a14="http://schemas.microsoft.com/office/drawing/2010/main"/>
                      </a:ext>
                    </a:extLst>
                  </pic:spPr>
                </pic:pic>
              </a:graphicData>
            </a:graphic>
          </wp:inline>
        </w:drawing>
      </w:r>
    </w:p>
    <w:p w:rsidR="00BC623A" w:rsidRPr="00417BE9" w:rsidRDefault="004D6488" w:rsidP="004D6488">
      <w:pPr>
        <w:pStyle w:val="Prrafodelista"/>
        <w:spacing w:before="100" w:beforeAutospacing="1" w:after="100" w:afterAutospacing="1" w:line="360" w:lineRule="auto"/>
        <w:ind w:left="0"/>
        <w:jc w:val="both"/>
        <w:rPr>
          <w:rFonts w:ascii="Palatino Linotype" w:hAnsi="Palatino Linotype" w:cs="Arial"/>
        </w:rPr>
      </w:pPr>
      <w:r w:rsidRPr="00417BE9">
        <w:rPr>
          <w:rFonts w:ascii="Palatino Linotype" w:hAnsi="Palatino Linotype" w:cs="Arial"/>
        </w:rPr>
        <w:t xml:space="preserve">Por su parte, </w:t>
      </w:r>
      <w:r w:rsidRPr="00417BE9">
        <w:rPr>
          <w:rFonts w:ascii="Palatino Linotype" w:hAnsi="Palatino Linotype" w:cs="Arial"/>
          <w:b/>
        </w:rPr>
        <w:t>EL RECURRENTE</w:t>
      </w:r>
      <w:r w:rsidRPr="00417BE9">
        <w:rPr>
          <w:rFonts w:ascii="Palatino Linotype" w:hAnsi="Palatino Linotype" w:cs="Arial"/>
        </w:rPr>
        <w:t xml:space="preserve"> en </w:t>
      </w:r>
      <w:r w:rsidR="00BC623A" w:rsidRPr="00417BE9">
        <w:rPr>
          <w:rFonts w:ascii="Palatino Linotype" w:hAnsi="Palatino Linotype" w:cs="Arial"/>
        </w:rPr>
        <w:t>fue omiso en realizar manifestación alguna tanto del recurso de revisión, como de la vista del Informe Justificado.</w:t>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rPr>
      </w:pPr>
      <w:r w:rsidRPr="00417BE9">
        <w:rPr>
          <w:rFonts w:ascii="Palatino Linotype" w:hAnsi="Palatino Linotype" w:cs="Arial"/>
          <w:b/>
          <w:sz w:val="28"/>
          <w:szCs w:val="28"/>
        </w:rPr>
        <w:t>VII.</w:t>
      </w:r>
      <w:r w:rsidRPr="00417BE9">
        <w:rPr>
          <w:rFonts w:ascii="Palatino Linotype" w:hAnsi="Palatino Linotype" w:cs="Arial"/>
        </w:rPr>
        <w:t xml:space="preserve"> Transcurrido el plazo señalado en el párrafo anterior y, una vez analizado el estado procesal que guardaba el expediente, en fecha </w:t>
      </w:r>
      <w:r w:rsidR="00BC623A" w:rsidRPr="00417BE9">
        <w:rPr>
          <w:rFonts w:ascii="Palatino Linotype" w:hAnsi="Palatino Linotype" w:cs="Arial"/>
        </w:rPr>
        <w:t xml:space="preserve">veintiséis de noviembre </w:t>
      </w:r>
      <w:r w:rsidRPr="00417BE9">
        <w:rPr>
          <w:rFonts w:ascii="Palatino Linotype" w:hAnsi="Palatino Linotype" w:cs="Arial"/>
        </w:rPr>
        <w:t>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4D6488" w:rsidRPr="00417BE9" w:rsidRDefault="004D6488" w:rsidP="004D6488">
      <w:pPr>
        <w:spacing w:before="100" w:beforeAutospacing="1" w:after="100" w:afterAutospacing="1" w:line="360" w:lineRule="auto"/>
        <w:jc w:val="center"/>
        <w:rPr>
          <w:rFonts w:ascii="Palatino Linotype" w:hAnsi="Palatino Linotype"/>
          <w:b/>
          <w:bCs/>
          <w:spacing w:val="60"/>
          <w:sz w:val="28"/>
        </w:rPr>
      </w:pPr>
      <w:r w:rsidRPr="00417BE9">
        <w:rPr>
          <w:rFonts w:ascii="Palatino Linotype" w:hAnsi="Palatino Linotype"/>
          <w:b/>
          <w:bCs/>
          <w:spacing w:val="60"/>
          <w:sz w:val="28"/>
        </w:rPr>
        <w:lastRenderedPageBreak/>
        <w:t>CONSIDERANDO</w:t>
      </w:r>
    </w:p>
    <w:p w:rsidR="004D6488" w:rsidRPr="00417BE9" w:rsidRDefault="004D6488" w:rsidP="004D648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17BE9">
        <w:rPr>
          <w:rFonts w:ascii="Palatino Linotype" w:hAnsi="Palatino Linotype" w:cs="Arial"/>
          <w:b/>
          <w:sz w:val="28"/>
          <w:szCs w:val="28"/>
        </w:rPr>
        <w:t>PRIMERO</w:t>
      </w:r>
      <w:r w:rsidRPr="00417BE9">
        <w:rPr>
          <w:rFonts w:ascii="Palatino Linotype" w:hAnsi="Palatino Linotype" w:cs="Arial"/>
          <w:b/>
        </w:rPr>
        <w:t>. Competencia.</w:t>
      </w:r>
      <w:r w:rsidRPr="00417BE9">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4D6488" w:rsidRPr="00417BE9" w:rsidRDefault="004D6488" w:rsidP="004D648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17BE9">
        <w:rPr>
          <w:rFonts w:ascii="Palatino Linotype" w:hAnsi="Palatino Linotype" w:cs="Arial"/>
          <w:b/>
          <w:sz w:val="28"/>
          <w:szCs w:val="28"/>
        </w:rPr>
        <w:t>SEGUNDO</w:t>
      </w:r>
      <w:r w:rsidRPr="00417BE9">
        <w:rPr>
          <w:rFonts w:ascii="Palatino Linotype" w:hAnsi="Palatino Linotype" w:cs="Arial"/>
          <w:b/>
        </w:rPr>
        <w:t>. Interés.</w:t>
      </w:r>
      <w:r w:rsidRPr="00417BE9">
        <w:rPr>
          <w:rFonts w:ascii="Palatino Linotype" w:hAnsi="Palatino Linotype" w:cs="Arial"/>
        </w:rPr>
        <w:t xml:space="preserve"> El recurso de revisión fue interpuesto por parte legítima en atención a que fue presentado por </w:t>
      </w:r>
      <w:r w:rsidRPr="00417BE9">
        <w:rPr>
          <w:rFonts w:ascii="Palatino Linotype" w:hAnsi="Palatino Linotype" w:cs="Arial"/>
          <w:b/>
        </w:rPr>
        <w:t>EL RECURRENTE</w:t>
      </w:r>
      <w:r w:rsidRPr="00417BE9">
        <w:rPr>
          <w:rFonts w:ascii="Palatino Linotype" w:hAnsi="Palatino Linotype" w:cs="Arial"/>
          <w:snapToGrid w:val="0"/>
        </w:rPr>
        <w:t xml:space="preserve">, quien es la misma persona que formuló la </w:t>
      </w:r>
      <w:r w:rsidRPr="00417BE9">
        <w:rPr>
          <w:rFonts w:ascii="Palatino Linotype" w:hAnsi="Palatino Linotype" w:cs="Arial"/>
        </w:rPr>
        <w:t>solicitud</w:t>
      </w:r>
      <w:r w:rsidRPr="00417BE9">
        <w:rPr>
          <w:rFonts w:ascii="Palatino Linotype" w:hAnsi="Palatino Linotype" w:cs="Arial"/>
          <w:snapToGrid w:val="0"/>
        </w:rPr>
        <w:t xml:space="preserve"> de información pública número </w:t>
      </w:r>
      <w:r w:rsidR="00BC623A" w:rsidRPr="00417BE9">
        <w:rPr>
          <w:rFonts w:ascii="Palatino Linotype" w:hAnsi="Palatino Linotype" w:cs="Arial"/>
          <w:b/>
          <w:bCs/>
          <w:snapToGrid w:val="0"/>
        </w:rPr>
        <w:t>00196</w:t>
      </w:r>
      <w:r w:rsidRPr="00417BE9">
        <w:rPr>
          <w:rFonts w:ascii="Palatino Linotype" w:hAnsi="Palatino Linotype" w:cs="Arial"/>
          <w:b/>
          <w:bCs/>
          <w:snapToGrid w:val="0"/>
        </w:rPr>
        <w:t>/</w:t>
      </w:r>
      <w:r w:rsidR="00BC623A" w:rsidRPr="00417BE9">
        <w:rPr>
          <w:rFonts w:ascii="Palatino Linotype" w:hAnsi="Palatino Linotype" w:cs="Arial"/>
          <w:b/>
          <w:bCs/>
          <w:snapToGrid w:val="0"/>
        </w:rPr>
        <w:t>OASATIZARA/</w:t>
      </w:r>
      <w:r w:rsidRPr="00417BE9">
        <w:rPr>
          <w:rFonts w:ascii="Palatino Linotype" w:hAnsi="Palatino Linotype" w:cs="Arial"/>
          <w:b/>
          <w:bCs/>
          <w:snapToGrid w:val="0"/>
        </w:rPr>
        <w:t xml:space="preserve">IP/2019 </w:t>
      </w:r>
      <w:r w:rsidRPr="00417BE9">
        <w:rPr>
          <w:rFonts w:ascii="Palatino Linotype" w:hAnsi="Palatino Linotype" w:cs="Arial"/>
          <w:snapToGrid w:val="0"/>
        </w:rPr>
        <w:t>al</w:t>
      </w:r>
      <w:r w:rsidRPr="00417BE9">
        <w:rPr>
          <w:rFonts w:ascii="Palatino Linotype" w:hAnsi="Palatino Linotype" w:cs="Arial"/>
          <w:b/>
          <w:snapToGrid w:val="0"/>
        </w:rPr>
        <w:t xml:space="preserve"> SUJETO OBLIGADO</w:t>
      </w:r>
      <w:r w:rsidRPr="00417BE9">
        <w:rPr>
          <w:rFonts w:ascii="Palatino Linotype" w:hAnsi="Palatino Linotype" w:cs="Arial"/>
        </w:rPr>
        <w:t>.</w:t>
      </w:r>
    </w:p>
    <w:p w:rsidR="004D6488" w:rsidRPr="00417BE9" w:rsidRDefault="004D6488" w:rsidP="004D648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17BE9">
        <w:rPr>
          <w:rFonts w:ascii="Palatino Linotype" w:hAnsi="Palatino Linotype" w:cs="Arial"/>
          <w:b/>
          <w:sz w:val="28"/>
          <w:szCs w:val="28"/>
        </w:rPr>
        <w:t>TERCERO</w:t>
      </w:r>
      <w:r w:rsidRPr="00417BE9">
        <w:rPr>
          <w:rFonts w:ascii="Palatino Linotype" w:hAnsi="Palatino Linotype" w:cs="Arial"/>
          <w:b/>
        </w:rPr>
        <w:t xml:space="preserve">. Oportunidad. </w:t>
      </w:r>
      <w:r w:rsidRPr="00417BE9">
        <w:rPr>
          <w:rFonts w:ascii="Palatino Linotype" w:hAnsi="Palatino Linotype" w:cs="Arial"/>
        </w:rPr>
        <w:t xml:space="preserve">El recurso de revisión fue interpuesto dentro del plazo de quince días hábiles contados a partir del día siguiente a aquel en que </w:t>
      </w:r>
      <w:r w:rsidRPr="00417BE9">
        <w:rPr>
          <w:rFonts w:ascii="Palatino Linotype" w:hAnsi="Palatino Linotype" w:cs="Arial"/>
          <w:b/>
        </w:rPr>
        <w:t xml:space="preserve">EL RECURRENTE </w:t>
      </w:r>
      <w:r w:rsidRPr="00417BE9">
        <w:rPr>
          <w:rFonts w:ascii="Palatino Linotype" w:hAnsi="Palatino Linotype" w:cs="Arial"/>
        </w:rPr>
        <w:t xml:space="preserve">tuvo conocimiento de la respuesta impugnada, tal y como lo prevé el artículo 178 de la Ley de Transparencia y Acceso a la Información Pública del Estado </w:t>
      </w:r>
      <w:r w:rsidRPr="00417BE9">
        <w:rPr>
          <w:rFonts w:ascii="Palatino Linotype" w:hAnsi="Palatino Linotype" w:cs="Arial"/>
        </w:rPr>
        <w:lastRenderedPageBreak/>
        <w:t>de México y Municipios, que establece:</w:t>
      </w:r>
    </w:p>
    <w:p w:rsidR="004D6488" w:rsidRPr="00417BE9" w:rsidRDefault="004D6488" w:rsidP="004D6488">
      <w:pPr>
        <w:ind w:left="709" w:right="760"/>
        <w:jc w:val="both"/>
        <w:rPr>
          <w:rFonts w:ascii="Palatino Linotype" w:hAnsi="Palatino Linotype" w:cs="Arial"/>
          <w:i/>
          <w:sz w:val="22"/>
        </w:rPr>
      </w:pPr>
      <w:r w:rsidRPr="00417BE9">
        <w:rPr>
          <w:rFonts w:ascii="Palatino Linotype" w:hAnsi="Palatino Linotype" w:cs="Arial"/>
          <w:i/>
          <w:sz w:val="22"/>
        </w:rPr>
        <w:t>“</w:t>
      </w:r>
      <w:r w:rsidRPr="00417BE9">
        <w:rPr>
          <w:rFonts w:ascii="Palatino Linotype" w:hAnsi="Palatino Linotype" w:cs="Arial"/>
          <w:b/>
          <w:i/>
          <w:sz w:val="22"/>
        </w:rPr>
        <w:t>Artículo 178.</w:t>
      </w:r>
      <w:r w:rsidRPr="00417BE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D6488" w:rsidRPr="00417BE9" w:rsidRDefault="004D6488" w:rsidP="004D6488">
      <w:pPr>
        <w:ind w:left="709" w:right="760"/>
        <w:jc w:val="both"/>
        <w:rPr>
          <w:rFonts w:ascii="Palatino Linotype" w:hAnsi="Palatino Linotype" w:cs="Arial"/>
          <w:i/>
          <w:sz w:val="22"/>
        </w:rPr>
      </w:pPr>
    </w:p>
    <w:p w:rsidR="004D6488" w:rsidRPr="00417BE9" w:rsidRDefault="004D6488" w:rsidP="004D6488">
      <w:pPr>
        <w:ind w:left="709" w:right="760"/>
        <w:jc w:val="both"/>
        <w:rPr>
          <w:rFonts w:ascii="Palatino Linotype" w:hAnsi="Palatino Linotype" w:cs="Arial"/>
          <w:i/>
          <w:sz w:val="22"/>
        </w:rPr>
      </w:pPr>
      <w:r w:rsidRPr="00417BE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D6488" w:rsidRPr="00417BE9" w:rsidRDefault="004D6488" w:rsidP="004D6488">
      <w:pPr>
        <w:ind w:left="709" w:right="760"/>
        <w:jc w:val="both"/>
        <w:rPr>
          <w:rFonts w:ascii="Palatino Linotype" w:hAnsi="Palatino Linotype" w:cs="Arial"/>
          <w:i/>
          <w:sz w:val="22"/>
        </w:rPr>
      </w:pPr>
    </w:p>
    <w:p w:rsidR="004D6488" w:rsidRPr="00417BE9" w:rsidRDefault="004D6488" w:rsidP="004D6488">
      <w:pPr>
        <w:ind w:left="709" w:right="760"/>
        <w:jc w:val="both"/>
        <w:rPr>
          <w:rFonts w:ascii="Palatino Linotype" w:hAnsi="Palatino Linotype" w:cs="Arial"/>
          <w:i/>
          <w:sz w:val="22"/>
        </w:rPr>
      </w:pPr>
      <w:r w:rsidRPr="00417BE9">
        <w:rPr>
          <w:rFonts w:ascii="Palatino Linotype" w:hAnsi="Palatino Linotype" w:cs="Arial"/>
          <w:i/>
          <w:sz w:val="22"/>
        </w:rPr>
        <w:t xml:space="preserve">En el caso de que se interponga ante la Unidad de Transparencia, ésta deberá remitir el recurso de revisión al Instituto a más tardar al día </w:t>
      </w:r>
      <w:r w:rsidRPr="00417BE9">
        <w:rPr>
          <w:rFonts w:ascii="Palatino Linotype" w:hAnsi="Palatino Linotype" w:cs="Arial"/>
          <w:i/>
          <w:sz w:val="22"/>
          <w:lang w:eastAsia="es-MX"/>
        </w:rPr>
        <w:t>siguiente</w:t>
      </w:r>
      <w:r w:rsidRPr="00417BE9">
        <w:rPr>
          <w:rFonts w:ascii="Palatino Linotype" w:hAnsi="Palatino Linotype" w:cs="Arial"/>
          <w:i/>
          <w:sz w:val="22"/>
        </w:rPr>
        <w:t xml:space="preserve"> de haberlo recibido.”</w:t>
      </w:r>
    </w:p>
    <w:p w:rsidR="004D6488" w:rsidRPr="00417BE9" w:rsidRDefault="004D6488" w:rsidP="004D6488">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417BE9">
        <w:rPr>
          <w:rFonts w:ascii="Palatino Linotype" w:hAnsi="Palatino Linotype" w:cs="Arial"/>
        </w:rPr>
        <w:t xml:space="preserve">En esa tesitura, atendiendo a que </w:t>
      </w:r>
      <w:r w:rsidRPr="00417BE9">
        <w:rPr>
          <w:rFonts w:ascii="Palatino Linotype" w:hAnsi="Palatino Linotype" w:cs="Arial"/>
          <w:b/>
        </w:rPr>
        <w:t>EL SUJETO OBLIGADO</w:t>
      </w:r>
      <w:r w:rsidRPr="00417BE9">
        <w:rPr>
          <w:rFonts w:ascii="Palatino Linotype" w:hAnsi="Palatino Linotype" w:cs="Arial"/>
        </w:rPr>
        <w:t xml:space="preserve"> notificó la respuesta a la solicitud de información pública el día</w:t>
      </w:r>
      <w:r w:rsidRPr="00417BE9">
        <w:rPr>
          <w:rFonts w:ascii="Palatino Linotype" w:hAnsi="Palatino Linotype" w:cs="Arial"/>
          <w:b/>
        </w:rPr>
        <w:t xml:space="preserve"> </w:t>
      </w:r>
      <w:r w:rsidR="00BC623A" w:rsidRPr="00417BE9">
        <w:rPr>
          <w:rFonts w:ascii="Palatino Linotype" w:hAnsi="Palatino Linotype" w:cs="Arial"/>
          <w:b/>
        </w:rPr>
        <w:t xml:space="preserve">veintinueve de octubre </w:t>
      </w:r>
      <w:r w:rsidRPr="00417BE9">
        <w:rPr>
          <w:rFonts w:ascii="Palatino Linotype" w:hAnsi="Palatino Linotype" w:cs="Arial"/>
          <w:b/>
        </w:rPr>
        <w:t>de dos mil diecinueve</w:t>
      </w:r>
      <w:r w:rsidRPr="00417BE9">
        <w:rPr>
          <w:rFonts w:ascii="Palatino Linotype" w:hAnsi="Palatino Linotype" w:cs="Arial"/>
        </w:rPr>
        <w:t>; sí, el plazo de quince días hábiles que el artículo 178 de la Ley de la materia otorga al</w:t>
      </w:r>
      <w:r w:rsidRPr="00417BE9">
        <w:rPr>
          <w:rFonts w:ascii="Palatino Linotype" w:hAnsi="Palatino Linotype" w:cs="Arial"/>
          <w:b/>
        </w:rPr>
        <w:t xml:space="preserve"> RECURRENTE</w:t>
      </w:r>
      <w:r w:rsidRPr="00417BE9">
        <w:rPr>
          <w:rFonts w:ascii="Palatino Linotype" w:hAnsi="Palatino Linotype" w:cs="Arial"/>
        </w:rPr>
        <w:t xml:space="preserve"> para presentar el recurso de revisión, transcurrió del </w:t>
      </w:r>
      <w:r w:rsidR="00BC623A" w:rsidRPr="00417BE9">
        <w:rPr>
          <w:rFonts w:ascii="Palatino Linotype" w:hAnsi="Palatino Linotype" w:cs="Arial"/>
          <w:b/>
        </w:rPr>
        <w:t xml:space="preserve">treinta de octubre al veinte de noviembre de </w:t>
      </w:r>
      <w:r w:rsidRPr="00417BE9">
        <w:rPr>
          <w:rFonts w:ascii="Palatino Linotype" w:hAnsi="Palatino Linotype" w:cs="Arial"/>
          <w:b/>
        </w:rPr>
        <w:t>dos mil diecinueve</w:t>
      </w:r>
      <w:r w:rsidRPr="00417BE9">
        <w:rPr>
          <w:rFonts w:ascii="Palatino Linotype" w:hAnsi="Palatino Linotype" w:cs="Arial"/>
        </w:rPr>
        <w:t>, sin contemplar en el cómputo los días</w:t>
      </w:r>
      <w:r w:rsidR="00BC623A" w:rsidRPr="00417BE9">
        <w:rPr>
          <w:rFonts w:ascii="Palatino Linotype" w:hAnsi="Palatino Linotype" w:cs="Arial"/>
        </w:rPr>
        <w:t xml:space="preserve"> dos, tres, nueve, diez, dieciséis y diecisiete de noviembre del presente año, </w:t>
      </w:r>
      <w:r w:rsidRPr="00417BE9">
        <w:rPr>
          <w:rFonts w:ascii="Palatino Linotype" w:hAnsi="Palatino Linotype" w:cs="Arial"/>
        </w:rPr>
        <w:t xml:space="preserve">por corresponder a sábados y domingos, considerados como días inhábiles, en términos del artículo 3, fracción X de la </w:t>
      </w:r>
      <w:r w:rsidRPr="00417BE9">
        <w:rPr>
          <w:rFonts w:ascii="Palatino Linotype" w:hAnsi="Palatino Linotype"/>
        </w:rPr>
        <w:t xml:space="preserve">Ley de Transparencia y Acceso a la Información Pública del Estado de México y Municipios; </w:t>
      </w:r>
      <w:r w:rsidR="00BC623A" w:rsidRPr="00417BE9">
        <w:rPr>
          <w:rFonts w:ascii="Palatino Linotype" w:hAnsi="Palatino Linotype" w:cs="Arial"/>
        </w:rPr>
        <w:t xml:space="preserve">así como, el día dieciocho de noviembre del dos mil diecinueve, al corresponder a un día de supleción de labores </w:t>
      </w:r>
      <w:r w:rsidRPr="00417BE9">
        <w:rPr>
          <w:rFonts w:ascii="Palatino Linotype" w:hAnsi="Palatino Linotype" w:cs="Arial"/>
        </w:rPr>
        <w:t xml:space="preserve">de conformidad con el Calendario Oficial en Materia de Transparencia, Acceso a la Información Pública y Protección de Datos Personales del Estado de México y Municipios, para el año dos mil diecinueve y enero dos mil veinte, publicado en el Periódico Oficial “Gaceta del </w:t>
      </w:r>
      <w:r w:rsidRPr="00417BE9">
        <w:rPr>
          <w:rFonts w:ascii="Palatino Linotype" w:hAnsi="Palatino Linotype" w:cs="Arial"/>
        </w:rPr>
        <w:lastRenderedPageBreak/>
        <w:t>Gobierno”, el diecinueve de diciembre de dos mil dieciocho.</w:t>
      </w:r>
    </w:p>
    <w:p w:rsidR="004D6488" w:rsidRPr="00417BE9" w:rsidRDefault="004D6488" w:rsidP="004D6488">
      <w:pPr>
        <w:spacing w:before="100" w:beforeAutospacing="1" w:after="100" w:afterAutospacing="1" w:line="360" w:lineRule="auto"/>
        <w:jc w:val="both"/>
        <w:rPr>
          <w:rFonts w:ascii="Palatino Linotype" w:hAnsi="Palatino Linotype" w:cs="Arial"/>
          <w:b/>
        </w:rPr>
      </w:pPr>
      <w:r w:rsidRPr="00417BE9">
        <w:rPr>
          <w:rFonts w:ascii="Palatino Linotype" w:hAnsi="Palatino Linotype" w:cs="Arial"/>
        </w:rPr>
        <w:t>En ese tenor, si el recurso de revisión que nos ocupa, se interpuso el</w:t>
      </w:r>
      <w:r w:rsidRPr="00417BE9">
        <w:rPr>
          <w:rFonts w:ascii="Palatino Linotype" w:hAnsi="Palatino Linotype" w:cs="Arial"/>
          <w:b/>
        </w:rPr>
        <w:t xml:space="preserve"> </w:t>
      </w:r>
      <w:r w:rsidR="00BC623A" w:rsidRPr="00417BE9">
        <w:rPr>
          <w:rFonts w:ascii="Palatino Linotype" w:hAnsi="Palatino Linotype" w:cs="Arial"/>
          <w:b/>
        </w:rPr>
        <w:t xml:space="preserve">treinta de octubre </w:t>
      </w:r>
      <w:r w:rsidRPr="00417BE9">
        <w:rPr>
          <w:rFonts w:ascii="Palatino Linotype" w:hAnsi="Palatino Linotype" w:cs="Arial"/>
          <w:b/>
        </w:rPr>
        <w:t>de dos mil diecinueve</w:t>
      </w:r>
      <w:r w:rsidRPr="00417BE9">
        <w:rPr>
          <w:rFonts w:ascii="Palatino Linotype" w:hAnsi="Palatino Linotype" w:cs="Arial"/>
        </w:rPr>
        <w:t>, éste se encuentra dentro de los márgenes temporales previstos en el precepto legal citado en el párrafo anterior y, por tanto, su interposición se considera oportuna.</w:t>
      </w:r>
    </w:p>
    <w:p w:rsidR="004D6488" w:rsidRPr="00417BE9" w:rsidRDefault="004D6488" w:rsidP="004D6488">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417BE9">
        <w:rPr>
          <w:rFonts w:ascii="Palatino Linotype" w:hAnsi="Palatino Linotype" w:cs="Arial"/>
          <w:b/>
          <w:sz w:val="28"/>
          <w:szCs w:val="28"/>
        </w:rPr>
        <w:t>CUARTO</w:t>
      </w:r>
      <w:r w:rsidRPr="00417BE9">
        <w:rPr>
          <w:rFonts w:ascii="Palatino Linotype" w:hAnsi="Palatino Linotype" w:cs="Arial"/>
          <w:b/>
        </w:rPr>
        <w:t>. Procedibilidad.</w:t>
      </w:r>
      <w:r w:rsidRPr="00417BE9">
        <w:rPr>
          <w:rFonts w:ascii="Palatino Linotype" w:hAnsi="Palatino Linotype" w:cs="Arial"/>
        </w:rPr>
        <w:t xml:space="preserve"> Esta Ponencia considera importante abordar el análisis de los requisitos de procedibilidad del recurso de revisión, así que, el artículo 180 de la </w:t>
      </w:r>
      <w:r w:rsidRPr="00417BE9">
        <w:rPr>
          <w:rFonts w:ascii="Palatino Linotype" w:hAnsi="Palatino Linotype" w:cs="Arial"/>
          <w:lang w:eastAsia="es-MX"/>
        </w:rPr>
        <w:t xml:space="preserve">Ley de Transparencia y Acceso a la </w:t>
      </w:r>
      <w:r w:rsidRPr="00417BE9">
        <w:rPr>
          <w:rFonts w:ascii="Palatino Linotype" w:hAnsi="Palatino Linotype" w:cs="Arial"/>
        </w:rPr>
        <w:t>Información</w:t>
      </w:r>
      <w:r w:rsidRPr="00417BE9">
        <w:rPr>
          <w:rFonts w:ascii="Palatino Linotype" w:hAnsi="Palatino Linotype" w:cs="Arial"/>
          <w:lang w:eastAsia="es-MX"/>
        </w:rPr>
        <w:t xml:space="preserve"> Pública del Estado de México y Municipios, </w:t>
      </w:r>
      <w:r w:rsidRPr="00417BE9">
        <w:rPr>
          <w:rFonts w:ascii="Palatino Linotype" w:hAnsi="Palatino Linotype" w:cs="Arial"/>
        </w:rPr>
        <w:t>establece lo siguiente:</w:t>
      </w:r>
    </w:p>
    <w:p w:rsidR="004D6488" w:rsidRPr="00417BE9" w:rsidRDefault="004D6488" w:rsidP="004D6488">
      <w:pPr>
        <w:ind w:left="851" w:right="902"/>
        <w:jc w:val="both"/>
        <w:rPr>
          <w:rFonts w:ascii="Palatino Linotype" w:hAnsi="Palatino Linotype"/>
          <w:b/>
          <w:i/>
          <w:sz w:val="22"/>
          <w:szCs w:val="22"/>
        </w:rPr>
      </w:pPr>
      <w:r w:rsidRPr="00417BE9">
        <w:rPr>
          <w:rFonts w:ascii="Palatino Linotype" w:hAnsi="Palatino Linotype"/>
          <w:b/>
          <w:i/>
          <w:sz w:val="22"/>
          <w:szCs w:val="22"/>
        </w:rPr>
        <w:t xml:space="preserve">Artículo 180. </w:t>
      </w:r>
      <w:r w:rsidRPr="00417BE9">
        <w:rPr>
          <w:rFonts w:ascii="Palatino Linotype" w:hAnsi="Palatino Linotype"/>
          <w:i/>
          <w:sz w:val="22"/>
          <w:szCs w:val="22"/>
        </w:rPr>
        <w:t xml:space="preserve">El </w:t>
      </w:r>
      <w:r w:rsidRPr="00417BE9">
        <w:rPr>
          <w:rFonts w:ascii="Palatino Linotype" w:hAnsi="Palatino Linotype" w:cs="Arial"/>
          <w:i/>
          <w:sz w:val="22"/>
          <w:szCs w:val="22"/>
        </w:rPr>
        <w:t>recurso</w:t>
      </w:r>
      <w:r w:rsidRPr="00417BE9">
        <w:rPr>
          <w:rFonts w:ascii="Palatino Linotype" w:hAnsi="Palatino Linotype"/>
          <w:i/>
          <w:sz w:val="22"/>
          <w:szCs w:val="22"/>
        </w:rPr>
        <w:t xml:space="preserve"> </w:t>
      </w:r>
      <w:r w:rsidRPr="00417BE9">
        <w:rPr>
          <w:rFonts w:ascii="Palatino Linotype" w:hAnsi="Palatino Linotype" w:cs="Arial"/>
          <w:i/>
          <w:color w:val="222222"/>
          <w:sz w:val="22"/>
          <w:szCs w:val="22"/>
          <w:lang w:eastAsia="es-MX"/>
        </w:rPr>
        <w:t>de</w:t>
      </w:r>
      <w:r w:rsidRPr="00417BE9">
        <w:rPr>
          <w:rFonts w:ascii="Palatino Linotype" w:hAnsi="Palatino Linotype"/>
          <w:i/>
          <w:sz w:val="22"/>
          <w:szCs w:val="22"/>
        </w:rPr>
        <w:t xml:space="preserve"> revisión contendrá:</w:t>
      </w:r>
      <w:r w:rsidRPr="00417BE9">
        <w:rPr>
          <w:rFonts w:ascii="Palatino Linotype" w:hAnsi="Palatino Linotype"/>
          <w:b/>
          <w:i/>
          <w:sz w:val="22"/>
          <w:szCs w:val="22"/>
        </w:rPr>
        <w:t xml:space="preserve"> </w:t>
      </w:r>
    </w:p>
    <w:p w:rsidR="004D6488" w:rsidRPr="00417BE9" w:rsidRDefault="004D6488" w:rsidP="004D6488">
      <w:pPr>
        <w:ind w:left="851" w:right="902"/>
        <w:jc w:val="both"/>
        <w:rPr>
          <w:rFonts w:ascii="Palatino Linotype" w:hAnsi="Palatino Linotype"/>
          <w:b/>
          <w:i/>
          <w:sz w:val="22"/>
          <w:szCs w:val="22"/>
        </w:rPr>
      </w:pPr>
    </w:p>
    <w:p w:rsidR="004D6488" w:rsidRPr="00417BE9" w:rsidRDefault="004D6488" w:rsidP="004D6488">
      <w:pPr>
        <w:ind w:left="851" w:right="902"/>
        <w:jc w:val="both"/>
        <w:rPr>
          <w:rFonts w:ascii="Palatino Linotype" w:hAnsi="Palatino Linotype"/>
          <w:b/>
          <w:i/>
          <w:sz w:val="22"/>
          <w:szCs w:val="22"/>
        </w:rPr>
      </w:pPr>
      <w:r w:rsidRPr="00417BE9">
        <w:rPr>
          <w:rFonts w:ascii="Palatino Linotype" w:hAnsi="Palatino Linotype"/>
          <w:b/>
          <w:i/>
          <w:sz w:val="22"/>
          <w:szCs w:val="22"/>
        </w:rPr>
        <w:t xml:space="preserve">I. </w:t>
      </w:r>
      <w:r w:rsidRPr="00417BE9">
        <w:rPr>
          <w:rFonts w:ascii="Palatino Linotype" w:hAnsi="Palatino Linotype"/>
          <w:i/>
          <w:sz w:val="22"/>
          <w:szCs w:val="22"/>
        </w:rPr>
        <w:t xml:space="preserve">El sujeto obligado ante </w:t>
      </w:r>
      <w:r w:rsidRPr="00417BE9">
        <w:rPr>
          <w:rFonts w:ascii="Palatino Linotype" w:hAnsi="Palatino Linotype" w:cs="Arial"/>
          <w:i/>
          <w:sz w:val="22"/>
          <w:szCs w:val="22"/>
        </w:rPr>
        <w:t>la</w:t>
      </w:r>
      <w:r w:rsidRPr="00417BE9">
        <w:rPr>
          <w:rFonts w:ascii="Palatino Linotype" w:hAnsi="Palatino Linotype"/>
          <w:i/>
          <w:sz w:val="22"/>
          <w:szCs w:val="22"/>
        </w:rPr>
        <w:t xml:space="preserve"> cual </w:t>
      </w:r>
      <w:r w:rsidRPr="00417BE9">
        <w:rPr>
          <w:rFonts w:ascii="Palatino Linotype" w:hAnsi="Palatino Linotype" w:cs="Arial"/>
          <w:i/>
          <w:color w:val="222222"/>
          <w:sz w:val="22"/>
          <w:szCs w:val="22"/>
          <w:lang w:eastAsia="es-MX"/>
        </w:rPr>
        <w:t>se</w:t>
      </w:r>
      <w:r w:rsidRPr="00417BE9">
        <w:rPr>
          <w:rFonts w:ascii="Palatino Linotype" w:hAnsi="Palatino Linotype"/>
          <w:i/>
          <w:sz w:val="22"/>
          <w:szCs w:val="22"/>
        </w:rPr>
        <w:t xml:space="preserve"> presentó la solicitud;</w:t>
      </w:r>
      <w:r w:rsidRPr="00417BE9">
        <w:rPr>
          <w:rFonts w:ascii="Palatino Linotype" w:hAnsi="Palatino Linotype"/>
          <w:b/>
          <w:i/>
          <w:sz w:val="22"/>
          <w:szCs w:val="22"/>
        </w:rPr>
        <w:t xml:space="preserve"> </w:t>
      </w:r>
    </w:p>
    <w:p w:rsidR="004D6488" w:rsidRPr="00417BE9" w:rsidRDefault="004D6488" w:rsidP="004D6488">
      <w:pPr>
        <w:ind w:left="851" w:right="902"/>
        <w:jc w:val="both"/>
        <w:rPr>
          <w:rFonts w:ascii="Palatino Linotype" w:hAnsi="Palatino Linotype"/>
          <w:b/>
          <w:i/>
          <w:sz w:val="22"/>
          <w:szCs w:val="22"/>
        </w:rPr>
      </w:pPr>
      <w:r w:rsidRPr="00417BE9">
        <w:rPr>
          <w:rFonts w:ascii="Palatino Linotype" w:hAnsi="Palatino Linotype"/>
          <w:b/>
          <w:i/>
          <w:sz w:val="22"/>
          <w:szCs w:val="22"/>
        </w:rPr>
        <w:t xml:space="preserve">II. El nombre del solicitante </w:t>
      </w:r>
      <w:r w:rsidRPr="00417BE9">
        <w:rPr>
          <w:rFonts w:ascii="Palatino Linotype" w:hAnsi="Palatino Linotype" w:cs="Arial"/>
          <w:b/>
          <w:i/>
          <w:color w:val="222222"/>
          <w:sz w:val="22"/>
          <w:szCs w:val="22"/>
          <w:lang w:eastAsia="es-MX"/>
        </w:rPr>
        <w:t>que</w:t>
      </w:r>
      <w:r w:rsidRPr="00417BE9">
        <w:rPr>
          <w:rFonts w:ascii="Palatino Linotype" w:hAnsi="Palatino Linotype"/>
          <w:b/>
          <w:i/>
          <w:sz w:val="22"/>
          <w:szCs w:val="22"/>
        </w:rPr>
        <w:t xml:space="preserve"> recurre </w:t>
      </w:r>
      <w:r w:rsidRPr="00417BE9">
        <w:rPr>
          <w:rFonts w:ascii="Palatino Linotype" w:hAnsi="Palatino Linotype"/>
          <w:i/>
          <w:sz w:val="22"/>
          <w:szCs w:val="22"/>
        </w:rPr>
        <w:t>o de su representante y, en su caso, del tercero interesado, así como la dirección o medio que señale para recibir notificaciones;</w:t>
      </w:r>
      <w:r w:rsidRPr="00417BE9">
        <w:rPr>
          <w:rFonts w:ascii="Palatino Linotype" w:hAnsi="Palatino Linotype"/>
          <w:b/>
          <w:i/>
          <w:sz w:val="22"/>
          <w:szCs w:val="22"/>
        </w:rPr>
        <w:t xml:space="preserve"> </w:t>
      </w:r>
    </w:p>
    <w:p w:rsidR="004D6488" w:rsidRPr="00417BE9" w:rsidRDefault="004D6488" w:rsidP="004D6488">
      <w:pPr>
        <w:ind w:left="851" w:right="902"/>
        <w:jc w:val="both"/>
        <w:rPr>
          <w:rFonts w:ascii="Palatino Linotype" w:hAnsi="Palatino Linotype"/>
          <w:b/>
          <w:i/>
          <w:sz w:val="22"/>
          <w:szCs w:val="22"/>
        </w:rPr>
      </w:pPr>
      <w:r w:rsidRPr="00417BE9">
        <w:rPr>
          <w:rFonts w:ascii="Palatino Linotype" w:hAnsi="Palatino Linotype"/>
          <w:b/>
          <w:i/>
          <w:sz w:val="22"/>
          <w:szCs w:val="22"/>
        </w:rPr>
        <w:t xml:space="preserve">III. </w:t>
      </w:r>
      <w:r w:rsidRPr="00417BE9">
        <w:rPr>
          <w:rFonts w:ascii="Palatino Linotype" w:hAnsi="Palatino Linotype"/>
          <w:i/>
          <w:sz w:val="22"/>
          <w:szCs w:val="22"/>
        </w:rPr>
        <w:t xml:space="preserve">El número de folio de </w:t>
      </w:r>
      <w:r w:rsidRPr="00417BE9">
        <w:rPr>
          <w:rFonts w:ascii="Palatino Linotype" w:hAnsi="Palatino Linotype" w:cs="Arial"/>
          <w:i/>
          <w:color w:val="222222"/>
          <w:sz w:val="22"/>
          <w:szCs w:val="22"/>
          <w:lang w:eastAsia="es-MX"/>
        </w:rPr>
        <w:t>respuesta</w:t>
      </w:r>
      <w:r w:rsidRPr="00417BE9">
        <w:rPr>
          <w:rFonts w:ascii="Palatino Linotype" w:hAnsi="Palatino Linotype"/>
          <w:i/>
          <w:sz w:val="22"/>
          <w:szCs w:val="22"/>
        </w:rPr>
        <w:t xml:space="preserve"> de la solicitud de acceso; </w:t>
      </w:r>
    </w:p>
    <w:p w:rsidR="004D6488" w:rsidRPr="00417BE9" w:rsidRDefault="004D6488" w:rsidP="004D6488">
      <w:pPr>
        <w:ind w:left="851" w:right="902"/>
        <w:jc w:val="both"/>
        <w:rPr>
          <w:rFonts w:ascii="Palatino Linotype" w:hAnsi="Palatino Linotype"/>
          <w:b/>
          <w:i/>
          <w:sz w:val="22"/>
          <w:szCs w:val="22"/>
        </w:rPr>
      </w:pPr>
      <w:r w:rsidRPr="00417BE9">
        <w:rPr>
          <w:rFonts w:ascii="Palatino Linotype" w:hAnsi="Palatino Linotype"/>
          <w:b/>
          <w:i/>
          <w:sz w:val="22"/>
          <w:szCs w:val="22"/>
        </w:rPr>
        <w:t xml:space="preserve">IV. </w:t>
      </w:r>
      <w:r w:rsidRPr="00417BE9">
        <w:rPr>
          <w:rFonts w:ascii="Palatino Linotype" w:hAnsi="Palatino Linotype"/>
          <w:i/>
          <w:sz w:val="22"/>
          <w:szCs w:val="22"/>
        </w:rPr>
        <w:t xml:space="preserve">La fecha en que fue </w:t>
      </w:r>
      <w:r w:rsidRPr="00417BE9">
        <w:rPr>
          <w:rFonts w:ascii="Palatino Linotype" w:hAnsi="Palatino Linotype" w:cs="Arial"/>
          <w:i/>
          <w:color w:val="222222"/>
          <w:sz w:val="22"/>
          <w:szCs w:val="22"/>
          <w:lang w:eastAsia="es-MX"/>
        </w:rPr>
        <w:t>notificada</w:t>
      </w:r>
      <w:r w:rsidRPr="00417BE9">
        <w:rPr>
          <w:rFonts w:ascii="Palatino Linotype" w:hAnsi="Palatino Linotype"/>
          <w:i/>
          <w:sz w:val="22"/>
          <w:szCs w:val="22"/>
        </w:rPr>
        <w:t xml:space="preserve"> la respuesta al solicitante o tuvo conocimiento del acto reclamado, o de presentación de la solicitud, en caso de falta de respuesta;</w:t>
      </w:r>
      <w:r w:rsidRPr="00417BE9">
        <w:rPr>
          <w:rFonts w:ascii="Palatino Linotype" w:hAnsi="Palatino Linotype"/>
          <w:b/>
          <w:i/>
          <w:sz w:val="22"/>
          <w:szCs w:val="22"/>
        </w:rPr>
        <w:t xml:space="preserve"> </w:t>
      </w:r>
    </w:p>
    <w:p w:rsidR="004D6488" w:rsidRPr="00417BE9" w:rsidRDefault="004D6488" w:rsidP="004D6488">
      <w:pPr>
        <w:ind w:left="851" w:right="902"/>
        <w:jc w:val="both"/>
        <w:rPr>
          <w:rFonts w:ascii="Palatino Linotype" w:hAnsi="Palatino Linotype"/>
          <w:b/>
          <w:i/>
          <w:sz w:val="22"/>
          <w:szCs w:val="22"/>
        </w:rPr>
      </w:pPr>
      <w:r w:rsidRPr="00417BE9">
        <w:rPr>
          <w:rFonts w:ascii="Palatino Linotype" w:hAnsi="Palatino Linotype"/>
          <w:b/>
          <w:i/>
          <w:sz w:val="22"/>
          <w:szCs w:val="22"/>
        </w:rPr>
        <w:t xml:space="preserve">V. </w:t>
      </w:r>
      <w:r w:rsidRPr="00417BE9">
        <w:rPr>
          <w:rFonts w:ascii="Palatino Linotype" w:hAnsi="Palatino Linotype"/>
          <w:i/>
          <w:sz w:val="22"/>
          <w:szCs w:val="22"/>
        </w:rPr>
        <w:t xml:space="preserve">El acto que se </w:t>
      </w:r>
      <w:r w:rsidRPr="00417BE9">
        <w:rPr>
          <w:rFonts w:ascii="Palatino Linotype" w:hAnsi="Palatino Linotype" w:cs="Arial"/>
          <w:i/>
          <w:color w:val="222222"/>
          <w:sz w:val="22"/>
          <w:szCs w:val="22"/>
          <w:lang w:eastAsia="es-MX"/>
        </w:rPr>
        <w:t>recurre</w:t>
      </w:r>
      <w:r w:rsidRPr="00417BE9">
        <w:rPr>
          <w:rFonts w:ascii="Palatino Linotype" w:hAnsi="Palatino Linotype"/>
          <w:i/>
          <w:sz w:val="22"/>
          <w:szCs w:val="22"/>
        </w:rPr>
        <w:t>;</w:t>
      </w:r>
      <w:r w:rsidRPr="00417BE9">
        <w:rPr>
          <w:rFonts w:ascii="Palatino Linotype" w:hAnsi="Palatino Linotype"/>
          <w:b/>
          <w:i/>
          <w:sz w:val="22"/>
          <w:szCs w:val="22"/>
        </w:rPr>
        <w:t xml:space="preserve"> </w:t>
      </w:r>
    </w:p>
    <w:p w:rsidR="004D6488" w:rsidRPr="00417BE9" w:rsidRDefault="004D6488" w:rsidP="004D6488">
      <w:pPr>
        <w:ind w:left="851" w:right="902"/>
        <w:jc w:val="both"/>
        <w:rPr>
          <w:rFonts w:ascii="Palatino Linotype" w:hAnsi="Palatino Linotype"/>
          <w:b/>
          <w:i/>
          <w:sz w:val="22"/>
          <w:szCs w:val="22"/>
        </w:rPr>
      </w:pPr>
      <w:r w:rsidRPr="00417BE9">
        <w:rPr>
          <w:rFonts w:ascii="Palatino Linotype" w:hAnsi="Palatino Linotype"/>
          <w:b/>
          <w:i/>
          <w:sz w:val="22"/>
          <w:szCs w:val="22"/>
        </w:rPr>
        <w:t xml:space="preserve">VI. </w:t>
      </w:r>
      <w:r w:rsidRPr="00417BE9">
        <w:rPr>
          <w:rFonts w:ascii="Palatino Linotype" w:hAnsi="Palatino Linotype"/>
          <w:i/>
          <w:sz w:val="22"/>
          <w:szCs w:val="22"/>
        </w:rPr>
        <w:t xml:space="preserve">Las razones o </w:t>
      </w:r>
      <w:r w:rsidRPr="00417BE9">
        <w:rPr>
          <w:rFonts w:ascii="Palatino Linotype" w:hAnsi="Palatino Linotype" w:cs="Arial"/>
          <w:i/>
          <w:color w:val="222222"/>
          <w:sz w:val="22"/>
          <w:szCs w:val="22"/>
          <w:lang w:eastAsia="es-MX"/>
        </w:rPr>
        <w:t>motivos</w:t>
      </w:r>
      <w:r w:rsidRPr="00417BE9">
        <w:rPr>
          <w:rFonts w:ascii="Palatino Linotype" w:hAnsi="Palatino Linotype"/>
          <w:i/>
          <w:sz w:val="22"/>
          <w:szCs w:val="22"/>
        </w:rPr>
        <w:t xml:space="preserve"> de inconformidad;</w:t>
      </w:r>
      <w:r w:rsidRPr="00417BE9">
        <w:rPr>
          <w:rFonts w:ascii="Palatino Linotype" w:hAnsi="Palatino Linotype"/>
          <w:b/>
          <w:i/>
          <w:sz w:val="22"/>
          <w:szCs w:val="22"/>
        </w:rPr>
        <w:t xml:space="preserve"> </w:t>
      </w:r>
    </w:p>
    <w:p w:rsidR="004D6488" w:rsidRPr="00417BE9" w:rsidRDefault="004D6488" w:rsidP="004D6488">
      <w:pPr>
        <w:ind w:left="851" w:right="902"/>
        <w:jc w:val="both"/>
        <w:rPr>
          <w:rFonts w:ascii="Palatino Linotype" w:hAnsi="Palatino Linotype"/>
          <w:b/>
          <w:i/>
          <w:sz w:val="22"/>
          <w:szCs w:val="22"/>
        </w:rPr>
      </w:pPr>
      <w:r w:rsidRPr="00417BE9">
        <w:rPr>
          <w:rFonts w:ascii="Palatino Linotype" w:hAnsi="Palatino Linotype"/>
          <w:b/>
          <w:i/>
          <w:sz w:val="22"/>
          <w:szCs w:val="22"/>
        </w:rPr>
        <w:t xml:space="preserve">VII. </w:t>
      </w:r>
      <w:r w:rsidRPr="00417BE9">
        <w:rPr>
          <w:rFonts w:ascii="Palatino Linotype" w:hAnsi="Palatino Linotype"/>
          <w:i/>
          <w:sz w:val="22"/>
          <w:szCs w:val="22"/>
        </w:rPr>
        <w:t>La copia de la respuesta que se impugna y, en su caso, de la notificación correspondiente, en el caso de respuesta de la solicitud; y</w:t>
      </w:r>
      <w:r w:rsidRPr="00417BE9">
        <w:rPr>
          <w:rFonts w:ascii="Palatino Linotype" w:hAnsi="Palatino Linotype"/>
          <w:b/>
          <w:i/>
          <w:sz w:val="22"/>
          <w:szCs w:val="22"/>
        </w:rPr>
        <w:t xml:space="preserve"> </w:t>
      </w:r>
    </w:p>
    <w:p w:rsidR="004D6488" w:rsidRPr="00417BE9" w:rsidRDefault="004D6488" w:rsidP="004D6488">
      <w:pPr>
        <w:ind w:left="851" w:right="902"/>
        <w:jc w:val="both"/>
        <w:rPr>
          <w:rFonts w:ascii="Palatino Linotype" w:hAnsi="Palatino Linotype"/>
          <w:i/>
          <w:sz w:val="22"/>
          <w:szCs w:val="22"/>
        </w:rPr>
      </w:pPr>
      <w:r w:rsidRPr="00417BE9">
        <w:rPr>
          <w:rFonts w:ascii="Palatino Linotype" w:hAnsi="Palatino Linotype"/>
          <w:b/>
          <w:i/>
          <w:sz w:val="22"/>
          <w:szCs w:val="22"/>
        </w:rPr>
        <w:t xml:space="preserve">VIII. </w:t>
      </w:r>
      <w:r w:rsidRPr="00417BE9">
        <w:rPr>
          <w:rFonts w:ascii="Palatino Linotype" w:hAnsi="Palatino Linotype"/>
          <w:i/>
          <w:sz w:val="22"/>
          <w:szCs w:val="22"/>
        </w:rPr>
        <w:t xml:space="preserve">Firma del recurrente, en su caso, cuando se presente por escrito, requisito sin el cual se dará trámite al recurso. </w:t>
      </w:r>
    </w:p>
    <w:p w:rsidR="004D6488" w:rsidRPr="00417BE9" w:rsidRDefault="004D6488" w:rsidP="004D6488">
      <w:pPr>
        <w:ind w:left="851" w:right="902"/>
        <w:jc w:val="both"/>
        <w:rPr>
          <w:rFonts w:ascii="Palatino Linotype" w:hAnsi="Palatino Linotype"/>
          <w:i/>
          <w:sz w:val="22"/>
          <w:szCs w:val="22"/>
        </w:rPr>
      </w:pPr>
      <w:r w:rsidRPr="00417BE9">
        <w:rPr>
          <w:rFonts w:ascii="Palatino Linotype" w:hAnsi="Palatino Linotype"/>
          <w:i/>
          <w:sz w:val="22"/>
          <w:szCs w:val="22"/>
        </w:rPr>
        <w:t xml:space="preserve">Adicionalmente, se podrán anexar las pruebas y demás elementos que considere procedentes someter a juicio del Instituto. </w:t>
      </w:r>
    </w:p>
    <w:p w:rsidR="004D6488" w:rsidRPr="00417BE9" w:rsidRDefault="004D6488" w:rsidP="004D6488">
      <w:pPr>
        <w:ind w:left="851" w:right="902"/>
        <w:jc w:val="both"/>
        <w:rPr>
          <w:rFonts w:ascii="Palatino Linotype" w:hAnsi="Palatino Linotype"/>
          <w:i/>
          <w:sz w:val="22"/>
          <w:szCs w:val="22"/>
        </w:rPr>
      </w:pPr>
      <w:r w:rsidRPr="00417BE9">
        <w:rPr>
          <w:rFonts w:ascii="Palatino Linotype" w:hAnsi="Palatino Linotype"/>
          <w:i/>
          <w:sz w:val="22"/>
          <w:szCs w:val="22"/>
        </w:rPr>
        <w:t xml:space="preserve">En ningún caso será necesario que el particular ratifique el recurso de revisión interpuesto. </w:t>
      </w:r>
    </w:p>
    <w:p w:rsidR="004D6488" w:rsidRPr="00417BE9" w:rsidRDefault="004D6488" w:rsidP="004D6488">
      <w:pPr>
        <w:ind w:left="851" w:right="902"/>
        <w:jc w:val="both"/>
        <w:rPr>
          <w:rFonts w:ascii="Palatino Linotype" w:hAnsi="Palatino Linotype"/>
          <w:i/>
          <w:sz w:val="22"/>
          <w:szCs w:val="22"/>
        </w:rPr>
      </w:pPr>
      <w:r w:rsidRPr="00417BE9">
        <w:rPr>
          <w:rFonts w:ascii="Palatino Linotype" w:hAnsi="Palatino Linotype"/>
          <w:b/>
          <w:i/>
          <w:sz w:val="22"/>
          <w:szCs w:val="22"/>
        </w:rPr>
        <w:lastRenderedPageBreak/>
        <w:t xml:space="preserve">En caso de </w:t>
      </w:r>
      <w:r w:rsidRPr="00417BE9">
        <w:rPr>
          <w:rFonts w:ascii="Palatino Linotype" w:hAnsi="Palatino Linotype" w:cs="Arial"/>
          <w:b/>
          <w:i/>
          <w:color w:val="222222"/>
          <w:sz w:val="22"/>
          <w:szCs w:val="22"/>
          <w:lang w:eastAsia="es-MX"/>
        </w:rPr>
        <w:t>que</w:t>
      </w:r>
      <w:r w:rsidRPr="00417BE9">
        <w:rPr>
          <w:rFonts w:ascii="Palatino Linotype" w:hAnsi="Palatino Linotype"/>
          <w:b/>
          <w:i/>
          <w:sz w:val="22"/>
          <w:szCs w:val="22"/>
        </w:rPr>
        <w:t xml:space="preserve"> el recurso se interponga de manera electrónica no será indispensable que contengan los requisitos establecidos en las fracciones II</w:t>
      </w:r>
      <w:r w:rsidRPr="00417BE9">
        <w:rPr>
          <w:rFonts w:ascii="Palatino Linotype" w:hAnsi="Palatino Linotype"/>
          <w:i/>
          <w:sz w:val="22"/>
          <w:szCs w:val="22"/>
        </w:rPr>
        <w:t xml:space="preserve">, IV, VII y VIII. </w:t>
      </w:r>
    </w:p>
    <w:p w:rsidR="00535D24" w:rsidRDefault="00535D24" w:rsidP="004D6488">
      <w:pPr>
        <w:ind w:left="851" w:right="902"/>
        <w:jc w:val="both"/>
        <w:rPr>
          <w:rFonts w:ascii="Palatino Linotype" w:hAnsi="Palatino Linotype"/>
          <w:sz w:val="22"/>
          <w:szCs w:val="22"/>
        </w:rPr>
      </w:pPr>
    </w:p>
    <w:p w:rsidR="004D6488" w:rsidRPr="00417BE9" w:rsidRDefault="004D6488" w:rsidP="004D6488">
      <w:pPr>
        <w:ind w:left="851" w:right="902"/>
        <w:jc w:val="both"/>
        <w:rPr>
          <w:rFonts w:ascii="Palatino Linotype" w:hAnsi="Palatino Linotype"/>
          <w:sz w:val="22"/>
          <w:szCs w:val="22"/>
        </w:rPr>
      </w:pPr>
      <w:r w:rsidRPr="00417BE9">
        <w:rPr>
          <w:rFonts w:ascii="Palatino Linotype" w:hAnsi="Palatino Linotype"/>
          <w:sz w:val="22"/>
          <w:szCs w:val="22"/>
        </w:rPr>
        <w:t>(Énfasis añadido)</w:t>
      </w:r>
    </w:p>
    <w:p w:rsidR="004D6488" w:rsidRPr="00417BE9" w:rsidRDefault="004D6488" w:rsidP="004D6488">
      <w:pPr>
        <w:spacing w:before="100" w:beforeAutospacing="1" w:after="100" w:afterAutospacing="1" w:line="360" w:lineRule="auto"/>
        <w:jc w:val="both"/>
        <w:rPr>
          <w:rFonts w:ascii="Palatino Linotype" w:hAnsi="Palatino Linotype"/>
        </w:rPr>
      </w:pPr>
      <w:r w:rsidRPr="00417BE9">
        <w:rPr>
          <w:rFonts w:ascii="Palatino Linotype" w:hAnsi="Palatino Linotype"/>
        </w:rPr>
        <w:t xml:space="preserve">En principio, de una interpretación del artículo transcrito se observa que los requisitos que </w:t>
      </w:r>
      <w:r w:rsidRPr="00417BE9">
        <w:rPr>
          <w:rFonts w:ascii="Palatino Linotype" w:hAnsi="Palatino Linotype" w:cs="Arial"/>
        </w:rPr>
        <w:t>deberán</w:t>
      </w:r>
      <w:r w:rsidRPr="00417BE9">
        <w:rPr>
          <w:rFonts w:ascii="Palatino Linotype" w:hAnsi="Palatino Linotype"/>
        </w:rPr>
        <w:t xml:space="preserve"> </w:t>
      </w:r>
      <w:r w:rsidRPr="00417BE9">
        <w:rPr>
          <w:rFonts w:ascii="Palatino Linotype" w:hAnsi="Palatino Linotype" w:cs="Arial"/>
        </w:rPr>
        <w:t>contener</w:t>
      </w:r>
      <w:r w:rsidRPr="00417BE9">
        <w:rPr>
          <w:rFonts w:ascii="Palatino Linotype" w:hAnsi="Palatino Linotype"/>
        </w:rPr>
        <w:t xml:space="preserve"> los recursos de revisión; sobre el particular, de la revisión del expediente electrónico del </w:t>
      </w:r>
      <w:r w:rsidRPr="00417BE9">
        <w:rPr>
          <w:rFonts w:ascii="Palatino Linotype" w:hAnsi="Palatino Linotype"/>
          <w:b/>
        </w:rPr>
        <w:t>SAIMEX</w:t>
      </w:r>
      <w:r w:rsidRPr="00417BE9">
        <w:rPr>
          <w:rFonts w:ascii="Palatino Linotype" w:hAnsi="Palatino Linotype"/>
        </w:rPr>
        <w:t xml:space="preserve"> se desprende que la parte solicitante y ahora </w:t>
      </w:r>
      <w:r w:rsidRPr="00417BE9">
        <w:rPr>
          <w:rFonts w:ascii="Palatino Linotype" w:hAnsi="Palatino Linotype"/>
          <w:b/>
        </w:rPr>
        <w:t>RECURRENTE</w:t>
      </w:r>
      <w:r w:rsidRPr="00417BE9">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417BE9">
        <w:rPr>
          <w:rFonts w:ascii="Palatino Linotype" w:hAnsi="Palatino Linotype" w:cs="Arial"/>
        </w:rPr>
        <w:t>no</w:t>
      </w:r>
      <w:r w:rsidRPr="00417BE9">
        <w:rPr>
          <w:rFonts w:ascii="Palatino Linotype" w:hAnsi="Palatino Linotype"/>
        </w:rPr>
        <w:t xml:space="preserve"> se colmen los requisitos establecidos en el citado artículo 180 de la Ley de Transparencia.</w:t>
      </w:r>
    </w:p>
    <w:p w:rsidR="004D6488" w:rsidRPr="00417BE9" w:rsidRDefault="004D6488" w:rsidP="004D6488">
      <w:pPr>
        <w:spacing w:before="200" w:after="200" w:line="360" w:lineRule="auto"/>
        <w:jc w:val="both"/>
        <w:rPr>
          <w:rFonts w:ascii="Palatino Linotype" w:hAnsi="Palatino Linotype" w:cs="Arial"/>
          <w:color w:val="000000"/>
        </w:rPr>
      </w:pPr>
      <w:r w:rsidRPr="00417BE9">
        <w:rPr>
          <w:rFonts w:ascii="Palatino Linotype" w:hAnsi="Palatino Linotype"/>
        </w:rPr>
        <w:t xml:space="preserve">Empero lo anterior, debe destacarse que el artículo 15 de </w:t>
      </w:r>
      <w:r w:rsidRPr="00417BE9">
        <w:rPr>
          <w:rFonts w:ascii="Palatino Linotype" w:hAnsi="Palatino Linotype" w:cs="Arial"/>
          <w:lang w:eastAsia="es-MX"/>
        </w:rPr>
        <w:t xml:space="preserve">Ley de Transparencia y Acceso a la </w:t>
      </w:r>
      <w:r w:rsidRPr="00417BE9">
        <w:rPr>
          <w:rFonts w:ascii="Palatino Linotype" w:hAnsi="Palatino Linotype" w:cs="Arial"/>
        </w:rPr>
        <w:t>Información</w:t>
      </w:r>
      <w:r w:rsidRPr="00417BE9">
        <w:rPr>
          <w:rFonts w:ascii="Palatino Linotype" w:hAnsi="Palatino Linotype" w:cs="Arial"/>
          <w:lang w:eastAsia="es-MX"/>
        </w:rPr>
        <w:t xml:space="preserve"> Pública del Estado de México y Municipios </w:t>
      </w:r>
      <w:r w:rsidRPr="00417BE9">
        <w:rPr>
          <w:rFonts w:ascii="Palatino Linotype" w:hAnsi="Palatino Linotype" w:cs="Arial"/>
          <w:iCs/>
        </w:rPr>
        <w:t xml:space="preserve">prevé que, </w:t>
      </w:r>
      <w:r w:rsidRPr="00417BE9">
        <w:rPr>
          <w:rFonts w:ascii="Palatino Linotype" w:hAnsi="Palatino Linotype"/>
        </w:rPr>
        <w:t xml:space="preserve">toda persona tendrá acceso a la información </w:t>
      </w:r>
      <w:r w:rsidRPr="00417BE9">
        <w:rPr>
          <w:rFonts w:ascii="Palatino Linotype" w:hAnsi="Palatino Linotype" w:cs="Arial"/>
          <w:color w:val="000000"/>
        </w:rPr>
        <w:t xml:space="preserve">sin necesidad de acreditar interés alguno o justificar su utilización, de lo que se infiere que para el </w:t>
      </w:r>
      <w:r w:rsidRPr="00417BE9">
        <w:rPr>
          <w:rFonts w:ascii="Palatino Linotype" w:hAnsi="Palatino Linotype"/>
        </w:rPr>
        <w:t>ejercicio</w:t>
      </w:r>
      <w:r w:rsidRPr="00417BE9">
        <w:rPr>
          <w:rFonts w:ascii="Palatino Linotype" w:hAnsi="Palatino Linotype" w:cs="Arial"/>
          <w:color w:val="000000"/>
        </w:rPr>
        <w:t xml:space="preserve"> del derecho de acceso a la información pública, </w:t>
      </w:r>
      <w:r w:rsidRPr="00417BE9">
        <w:rPr>
          <w:rFonts w:ascii="Palatino Linotype" w:hAnsi="Palatino Linotype" w:cs="Arial"/>
          <w:b/>
          <w:color w:val="000000"/>
        </w:rPr>
        <w:t xml:space="preserve">el nombre no es un requisito </w:t>
      </w:r>
      <w:r w:rsidRPr="00417BE9">
        <w:rPr>
          <w:rFonts w:ascii="Palatino Linotype" w:hAnsi="Palatino Linotype" w:cs="Arial"/>
          <w:b/>
          <w:i/>
          <w:color w:val="000000"/>
        </w:rPr>
        <w:t>sine qua non</w:t>
      </w:r>
      <w:r w:rsidRPr="00417BE9">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4D6488" w:rsidRPr="00417BE9" w:rsidRDefault="004D6488" w:rsidP="004D6488">
      <w:pPr>
        <w:spacing w:before="200" w:after="200" w:line="360" w:lineRule="auto"/>
        <w:jc w:val="both"/>
        <w:rPr>
          <w:rFonts w:ascii="Palatino Linotype" w:hAnsi="Palatino Linotype"/>
        </w:rPr>
      </w:pPr>
      <w:r w:rsidRPr="00417BE9">
        <w:rPr>
          <w:rFonts w:ascii="Palatino Linotype" w:hAnsi="Palatino Linotype"/>
        </w:rPr>
        <w:lastRenderedPageBreak/>
        <w:t xml:space="preserve">Correlativo a ello, cabe mencionar que los artículos 6, Apartado A, fracciones I, III, V y VI de la </w:t>
      </w:r>
      <w:r w:rsidRPr="00417BE9">
        <w:rPr>
          <w:rFonts w:ascii="Palatino Linotype" w:hAnsi="Palatino Linotype" w:cs="Arial"/>
        </w:rPr>
        <w:t>Constitución</w:t>
      </w:r>
      <w:r w:rsidRPr="00417BE9">
        <w:rPr>
          <w:rFonts w:ascii="Palatino Linotype" w:hAnsi="Palatino Linotype"/>
        </w:rPr>
        <w:t xml:space="preserve"> Política de los Estados Unidos Mexicanos y 5 párrafos vigésimo</w:t>
      </w:r>
      <w:r w:rsidR="00535D24">
        <w:rPr>
          <w:rFonts w:ascii="Palatino Linotype" w:hAnsi="Palatino Linotype"/>
        </w:rPr>
        <w:t xml:space="preserve"> segundo</w:t>
      </w:r>
      <w:r w:rsidRPr="00417BE9">
        <w:rPr>
          <w:rFonts w:ascii="Palatino Linotype" w:hAnsi="Palatino Linotype"/>
        </w:rPr>
        <w:t xml:space="preserve">, vigésimo </w:t>
      </w:r>
      <w:r w:rsidR="00535D24">
        <w:rPr>
          <w:rFonts w:ascii="Palatino Linotype" w:hAnsi="Palatino Linotype"/>
        </w:rPr>
        <w:t xml:space="preserve">tercero </w:t>
      </w:r>
      <w:r w:rsidRPr="00417BE9">
        <w:rPr>
          <w:rFonts w:ascii="Palatino Linotype" w:hAnsi="Palatino Linotype"/>
        </w:rPr>
        <w:t xml:space="preserve">y vigésimo </w:t>
      </w:r>
      <w:r w:rsidR="00535D24">
        <w:rPr>
          <w:rFonts w:ascii="Palatino Linotype" w:hAnsi="Palatino Linotype"/>
        </w:rPr>
        <w:t xml:space="preserve">cuarto, </w:t>
      </w:r>
      <w:r w:rsidRPr="00417BE9">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D6488" w:rsidRPr="00417BE9" w:rsidRDefault="004D6488" w:rsidP="004D6488">
      <w:pPr>
        <w:spacing w:before="120" w:after="120"/>
        <w:ind w:left="851" w:right="899"/>
        <w:jc w:val="center"/>
        <w:rPr>
          <w:rFonts w:ascii="Palatino Linotype" w:hAnsi="Palatino Linotype" w:cs="Arial"/>
          <w:b/>
          <w:i/>
          <w:sz w:val="22"/>
          <w:szCs w:val="22"/>
        </w:rPr>
      </w:pPr>
      <w:r w:rsidRPr="00417BE9">
        <w:rPr>
          <w:rFonts w:ascii="Palatino Linotype" w:hAnsi="Palatino Linotype" w:cs="Arial"/>
          <w:b/>
          <w:i/>
          <w:sz w:val="22"/>
          <w:szCs w:val="22"/>
        </w:rPr>
        <w:t>Constitución Política de los Estados Unidos Mexicanos</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w:t>
      </w:r>
      <w:r w:rsidRPr="00417BE9">
        <w:rPr>
          <w:rFonts w:ascii="Palatino Linotype" w:hAnsi="Palatino Linotype" w:cs="Arial"/>
          <w:b/>
          <w:i/>
          <w:sz w:val="22"/>
          <w:szCs w:val="22"/>
        </w:rPr>
        <w:t>Artículo 6o.</w:t>
      </w:r>
      <w:r w:rsidRPr="00417BE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17BE9">
        <w:rPr>
          <w:rFonts w:ascii="Palatino Linotype" w:hAnsi="Palatino Linotype" w:cs="Arial"/>
          <w:b/>
          <w:i/>
          <w:sz w:val="22"/>
          <w:szCs w:val="22"/>
        </w:rPr>
        <w:t>El derecho a la información será garantizado por el Estado.</w:t>
      </w:r>
      <w:r w:rsidRPr="00417BE9">
        <w:rPr>
          <w:rFonts w:ascii="Palatino Linotype" w:hAnsi="Palatino Linotype" w:cs="Arial"/>
          <w:i/>
          <w:sz w:val="22"/>
          <w:szCs w:val="22"/>
        </w:rPr>
        <w:t xml:space="preserve"> </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b/>
          <w:i/>
          <w:sz w:val="22"/>
          <w:szCs w:val="22"/>
        </w:rPr>
        <w:t xml:space="preserve">Toda persona tiene </w:t>
      </w:r>
      <w:r w:rsidRPr="00417BE9">
        <w:rPr>
          <w:rFonts w:ascii="Palatino Linotype" w:hAnsi="Palatino Linotype"/>
          <w:b/>
          <w:i/>
          <w:sz w:val="22"/>
          <w:szCs w:val="22"/>
        </w:rPr>
        <w:t>derecho</w:t>
      </w:r>
      <w:r w:rsidRPr="00417BE9">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417BE9">
        <w:rPr>
          <w:rFonts w:ascii="Palatino Linotype" w:hAnsi="Palatino Linotype" w:cs="Arial"/>
          <w:i/>
          <w:sz w:val="22"/>
          <w:szCs w:val="22"/>
        </w:rPr>
        <w:t>.</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 xml:space="preserve">Para efectos de lo </w:t>
      </w:r>
      <w:r w:rsidRPr="00417BE9">
        <w:rPr>
          <w:rFonts w:ascii="Palatino Linotype" w:hAnsi="Palatino Linotype"/>
          <w:i/>
          <w:sz w:val="22"/>
          <w:szCs w:val="22"/>
        </w:rPr>
        <w:t>dispuesto</w:t>
      </w:r>
      <w:r w:rsidRPr="00417BE9">
        <w:rPr>
          <w:rFonts w:ascii="Palatino Linotype" w:hAnsi="Palatino Linotype" w:cs="Arial"/>
          <w:i/>
          <w:sz w:val="22"/>
          <w:szCs w:val="22"/>
        </w:rPr>
        <w:t xml:space="preserve"> en el presente artículo se observará lo siguiente:</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b/>
          <w:i/>
          <w:sz w:val="22"/>
          <w:szCs w:val="22"/>
        </w:rPr>
        <w:t>A.</w:t>
      </w:r>
      <w:r w:rsidRPr="00417BE9">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4D6488" w:rsidRPr="00417BE9" w:rsidRDefault="004D6488" w:rsidP="004D6488">
      <w:pPr>
        <w:spacing w:before="120" w:after="120"/>
        <w:ind w:left="851" w:right="899"/>
        <w:jc w:val="both"/>
        <w:rPr>
          <w:rFonts w:ascii="Palatino Linotype" w:hAnsi="Palatino Linotype" w:cs="Arial"/>
          <w:b/>
          <w:i/>
          <w:sz w:val="22"/>
          <w:szCs w:val="22"/>
        </w:rPr>
      </w:pPr>
      <w:r w:rsidRPr="00417BE9">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w:t>
      </w:r>
      <w:r w:rsidRPr="00417BE9">
        <w:rPr>
          <w:rFonts w:ascii="Palatino Linotype" w:hAnsi="Palatino Linotype" w:cs="Arial"/>
          <w:b/>
          <w:i/>
          <w:sz w:val="22"/>
          <w:szCs w:val="22"/>
        </w:rPr>
        <w:lastRenderedPageBreak/>
        <w:t>del ejercicio de sus facultades, competencias o funciones, la ley determinará los supuestos específicos bajo los cuales procederá la declaración de inexistencia de la información.</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w:t>
      </w:r>
    </w:p>
    <w:p w:rsidR="004D6488" w:rsidRPr="00417BE9" w:rsidRDefault="004D6488" w:rsidP="004D6488">
      <w:pPr>
        <w:spacing w:before="120" w:after="120"/>
        <w:ind w:left="851" w:right="899"/>
        <w:jc w:val="both"/>
        <w:rPr>
          <w:rFonts w:ascii="Palatino Linotype" w:hAnsi="Palatino Linotype" w:cs="Arial"/>
          <w:b/>
          <w:i/>
          <w:sz w:val="22"/>
          <w:szCs w:val="22"/>
        </w:rPr>
      </w:pPr>
      <w:r w:rsidRPr="00417BE9">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w:t>
      </w:r>
    </w:p>
    <w:p w:rsidR="004D6488" w:rsidRPr="00417BE9" w:rsidRDefault="004D6488" w:rsidP="004D6488">
      <w:pPr>
        <w:spacing w:before="120" w:after="120"/>
        <w:ind w:left="851" w:right="899"/>
        <w:jc w:val="both"/>
        <w:rPr>
          <w:rFonts w:ascii="Palatino Linotype" w:hAnsi="Palatino Linotype" w:cs="Arial"/>
          <w:b/>
          <w:i/>
          <w:sz w:val="22"/>
          <w:szCs w:val="22"/>
        </w:rPr>
      </w:pPr>
      <w:r w:rsidRPr="00417BE9">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D6488" w:rsidRPr="00417BE9" w:rsidRDefault="004D6488" w:rsidP="004D6488">
      <w:pPr>
        <w:spacing w:before="120" w:after="120"/>
        <w:ind w:left="851" w:right="899"/>
        <w:jc w:val="both"/>
        <w:rPr>
          <w:rFonts w:ascii="Palatino Linotype" w:hAnsi="Palatino Linotype" w:cs="Arial"/>
          <w:b/>
          <w:i/>
          <w:sz w:val="22"/>
          <w:szCs w:val="22"/>
        </w:rPr>
      </w:pPr>
      <w:r w:rsidRPr="00417BE9">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417BE9">
        <w:rPr>
          <w:rFonts w:ascii="Palatino Linotype" w:hAnsi="Palatino Linotype" w:cs="Arial"/>
          <w:i/>
          <w:sz w:val="22"/>
          <w:szCs w:val="22"/>
        </w:rPr>
        <w:t>.”</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w:t>
      </w:r>
    </w:p>
    <w:p w:rsidR="004D6488" w:rsidRPr="00417BE9" w:rsidRDefault="004D6488" w:rsidP="004D6488">
      <w:pPr>
        <w:spacing w:before="120" w:after="120"/>
        <w:ind w:left="851" w:right="899"/>
        <w:jc w:val="both"/>
        <w:rPr>
          <w:rFonts w:ascii="Palatino Linotype" w:hAnsi="Palatino Linotype" w:cs="Arial"/>
          <w:b/>
          <w:i/>
          <w:sz w:val="22"/>
          <w:szCs w:val="22"/>
        </w:rPr>
      </w:pPr>
      <w:r w:rsidRPr="00417BE9">
        <w:rPr>
          <w:rFonts w:ascii="Palatino Linotype" w:hAnsi="Palatino Linotype" w:cs="Arial"/>
          <w:b/>
          <w:i/>
          <w:sz w:val="22"/>
          <w:szCs w:val="22"/>
        </w:rPr>
        <w:t>La ley establecerá aquella información que se considere reservada o confidencial.</w:t>
      </w:r>
    </w:p>
    <w:p w:rsidR="004D6488" w:rsidRPr="00417BE9" w:rsidRDefault="004D6488" w:rsidP="004D6488">
      <w:pPr>
        <w:spacing w:before="120" w:after="120"/>
        <w:ind w:left="851" w:right="899"/>
        <w:jc w:val="center"/>
        <w:rPr>
          <w:rFonts w:ascii="Palatino Linotype" w:hAnsi="Palatino Linotype" w:cs="Arial"/>
          <w:b/>
          <w:i/>
          <w:sz w:val="22"/>
          <w:szCs w:val="22"/>
        </w:rPr>
      </w:pPr>
    </w:p>
    <w:p w:rsidR="004D6488" w:rsidRPr="00417BE9" w:rsidRDefault="004D6488" w:rsidP="004D6488">
      <w:pPr>
        <w:spacing w:before="120" w:after="120"/>
        <w:ind w:left="851" w:right="899"/>
        <w:jc w:val="center"/>
        <w:rPr>
          <w:rFonts w:ascii="Palatino Linotype" w:hAnsi="Palatino Linotype" w:cs="Arial"/>
          <w:b/>
          <w:i/>
          <w:sz w:val="22"/>
          <w:szCs w:val="22"/>
        </w:rPr>
      </w:pPr>
      <w:r w:rsidRPr="00417BE9">
        <w:rPr>
          <w:rFonts w:ascii="Palatino Linotype" w:hAnsi="Palatino Linotype" w:cs="Arial"/>
          <w:b/>
          <w:i/>
          <w:sz w:val="22"/>
          <w:szCs w:val="22"/>
        </w:rPr>
        <w:t>Constitución Política del Estado Libre y Soberano de México</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w:t>
      </w:r>
      <w:r w:rsidRPr="00417BE9">
        <w:rPr>
          <w:rFonts w:ascii="Palatino Linotype" w:hAnsi="Palatino Linotype" w:cs="Arial"/>
          <w:b/>
          <w:i/>
          <w:sz w:val="22"/>
          <w:szCs w:val="22"/>
        </w:rPr>
        <w:t xml:space="preserve">Artículo 5. </w:t>
      </w:r>
      <w:r w:rsidRPr="00417BE9">
        <w:rPr>
          <w:rFonts w:ascii="Palatino Linotype" w:hAnsi="Palatino Linotype" w:cs="Arial"/>
          <w:i/>
          <w:sz w:val="22"/>
          <w:szCs w:val="22"/>
        </w:rPr>
        <w:t xml:space="preserve">… </w:t>
      </w:r>
    </w:p>
    <w:p w:rsidR="004D6488" w:rsidRPr="00417BE9" w:rsidRDefault="004D6488" w:rsidP="004D6488">
      <w:pPr>
        <w:spacing w:before="120" w:after="120"/>
        <w:ind w:left="851" w:right="899"/>
        <w:jc w:val="both"/>
        <w:rPr>
          <w:rFonts w:ascii="Palatino Linotype" w:hAnsi="Palatino Linotype"/>
          <w:i/>
          <w:sz w:val="22"/>
          <w:szCs w:val="22"/>
        </w:rPr>
      </w:pPr>
      <w:r w:rsidRPr="00417BE9">
        <w:rPr>
          <w:rFonts w:ascii="Palatino Linotype" w:hAnsi="Palatino Linotype"/>
          <w:i/>
          <w:sz w:val="22"/>
          <w:szCs w:val="22"/>
        </w:rPr>
        <w:t>…</w:t>
      </w:r>
    </w:p>
    <w:p w:rsidR="004D6488" w:rsidRPr="00417BE9" w:rsidRDefault="004D6488" w:rsidP="004D6488">
      <w:pPr>
        <w:spacing w:before="120" w:after="120"/>
        <w:ind w:left="851" w:right="899"/>
        <w:jc w:val="both"/>
        <w:rPr>
          <w:rFonts w:ascii="Palatino Linotype" w:hAnsi="Palatino Linotype"/>
          <w:i/>
          <w:sz w:val="22"/>
          <w:szCs w:val="22"/>
        </w:rPr>
      </w:pPr>
      <w:r w:rsidRPr="00417BE9">
        <w:rPr>
          <w:rFonts w:ascii="Palatino Linotype" w:hAnsi="Palatino Linotype"/>
          <w:b/>
          <w:i/>
          <w:sz w:val="22"/>
          <w:szCs w:val="22"/>
        </w:rPr>
        <w:t>El derecho a la información será garantizado por el Estado</w:t>
      </w:r>
      <w:r w:rsidRPr="00417BE9">
        <w:rPr>
          <w:rFonts w:ascii="Palatino Linotype" w:hAnsi="Palatino Linotype"/>
          <w:i/>
          <w:sz w:val="22"/>
          <w:szCs w:val="22"/>
        </w:rPr>
        <w:t>. La ley establecerá las previsiones que permitan asegurar la protección, el respeto y la difusión de este derecho.</w:t>
      </w:r>
    </w:p>
    <w:p w:rsidR="004D6488" w:rsidRPr="00417BE9" w:rsidRDefault="004D6488" w:rsidP="004D6488">
      <w:pPr>
        <w:spacing w:before="120" w:after="120"/>
        <w:ind w:left="851" w:right="899"/>
        <w:jc w:val="both"/>
        <w:rPr>
          <w:rFonts w:ascii="Palatino Linotype" w:hAnsi="Palatino Linotype"/>
          <w:i/>
          <w:sz w:val="22"/>
          <w:szCs w:val="22"/>
        </w:rPr>
      </w:pPr>
      <w:r w:rsidRPr="00417BE9">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D6488" w:rsidRPr="00417BE9" w:rsidRDefault="004D6488" w:rsidP="004D6488">
      <w:pPr>
        <w:spacing w:before="120" w:after="120"/>
        <w:ind w:left="851" w:right="899"/>
        <w:jc w:val="both"/>
        <w:rPr>
          <w:rFonts w:ascii="Palatino Linotype" w:hAnsi="Palatino Linotype"/>
          <w:i/>
          <w:sz w:val="22"/>
          <w:szCs w:val="22"/>
        </w:rPr>
      </w:pPr>
      <w:r w:rsidRPr="00417BE9">
        <w:rPr>
          <w:rFonts w:ascii="Palatino Linotype" w:hAnsi="Palatino Linotype"/>
          <w:i/>
          <w:sz w:val="22"/>
          <w:szCs w:val="22"/>
        </w:rPr>
        <w:lastRenderedPageBreak/>
        <w:t>Este derecho se regirá por los principios y bases siguientes:</w:t>
      </w:r>
    </w:p>
    <w:p w:rsidR="004D6488" w:rsidRPr="00417BE9" w:rsidRDefault="004D6488" w:rsidP="004D6488">
      <w:pPr>
        <w:spacing w:before="120" w:after="120"/>
        <w:ind w:left="851" w:right="899"/>
        <w:jc w:val="both"/>
        <w:rPr>
          <w:rFonts w:ascii="Palatino Linotype" w:hAnsi="Palatino Linotype"/>
          <w:i/>
          <w:sz w:val="22"/>
          <w:szCs w:val="22"/>
        </w:rPr>
      </w:pPr>
      <w:r w:rsidRPr="00417BE9">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417BE9">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417BE9">
        <w:rPr>
          <w:rFonts w:ascii="Palatino Linotype" w:hAnsi="Palatino Linotype" w:cs="Arial"/>
          <w:i/>
          <w:sz w:val="22"/>
          <w:szCs w:val="22"/>
        </w:rPr>
        <w:t>determinará</w:t>
      </w:r>
      <w:r w:rsidRPr="00417BE9">
        <w:rPr>
          <w:rFonts w:ascii="Palatino Linotype" w:hAnsi="Palatino Linotype"/>
          <w:i/>
          <w:sz w:val="22"/>
          <w:szCs w:val="22"/>
        </w:rPr>
        <w:t xml:space="preserve"> los supuestos específicos bajo los cuales procederá la declaración de inexistencia de la información.</w:t>
      </w:r>
    </w:p>
    <w:p w:rsidR="004D6488" w:rsidRPr="00417BE9" w:rsidRDefault="004D6488" w:rsidP="004D6488">
      <w:pPr>
        <w:spacing w:before="120" w:after="120"/>
        <w:ind w:left="851" w:right="899"/>
        <w:jc w:val="both"/>
        <w:rPr>
          <w:rFonts w:ascii="Palatino Linotype" w:hAnsi="Palatino Linotype"/>
          <w:i/>
          <w:sz w:val="22"/>
          <w:szCs w:val="22"/>
        </w:rPr>
      </w:pPr>
      <w:r w:rsidRPr="00417BE9">
        <w:rPr>
          <w:rFonts w:ascii="Palatino Linotype" w:hAnsi="Palatino Linotype"/>
          <w:i/>
          <w:sz w:val="22"/>
          <w:szCs w:val="22"/>
        </w:rPr>
        <w:t>…</w:t>
      </w:r>
    </w:p>
    <w:p w:rsidR="004D6488" w:rsidRPr="00417BE9" w:rsidRDefault="004D6488" w:rsidP="004D6488">
      <w:pPr>
        <w:spacing w:before="120" w:after="120"/>
        <w:ind w:left="851" w:right="899"/>
        <w:jc w:val="both"/>
        <w:rPr>
          <w:rFonts w:ascii="Palatino Linotype" w:hAnsi="Palatino Linotype"/>
          <w:i/>
          <w:sz w:val="22"/>
          <w:szCs w:val="22"/>
        </w:rPr>
      </w:pPr>
      <w:r w:rsidRPr="00417BE9">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417BE9">
        <w:rPr>
          <w:rFonts w:ascii="Palatino Linotype" w:hAnsi="Palatino Linotype"/>
          <w:i/>
          <w:sz w:val="22"/>
          <w:szCs w:val="22"/>
        </w:rPr>
        <w:t>”</w:t>
      </w:r>
    </w:p>
    <w:p w:rsidR="004D6488" w:rsidRPr="00417BE9" w:rsidRDefault="004D6488" w:rsidP="004D6488">
      <w:pPr>
        <w:spacing w:before="120" w:after="120"/>
        <w:ind w:left="851" w:right="899"/>
        <w:jc w:val="both"/>
        <w:rPr>
          <w:rFonts w:ascii="Palatino Linotype" w:hAnsi="Palatino Linotype"/>
          <w:sz w:val="22"/>
          <w:szCs w:val="22"/>
        </w:rPr>
      </w:pPr>
      <w:r w:rsidRPr="00417BE9">
        <w:rPr>
          <w:rFonts w:ascii="Palatino Linotype" w:hAnsi="Palatino Linotype"/>
          <w:sz w:val="22"/>
          <w:szCs w:val="22"/>
        </w:rPr>
        <w:t>(Énfasis añadido)</w:t>
      </w:r>
    </w:p>
    <w:p w:rsidR="004D6488" w:rsidRPr="00417BE9" w:rsidRDefault="004D6488" w:rsidP="004D6488">
      <w:pPr>
        <w:spacing w:before="200" w:after="200" w:line="360" w:lineRule="auto"/>
        <w:jc w:val="both"/>
        <w:rPr>
          <w:rFonts w:ascii="Palatino Linotype" w:hAnsi="Palatino Linotype"/>
        </w:rPr>
      </w:pPr>
      <w:r w:rsidRPr="00417BE9">
        <w:rPr>
          <w:rFonts w:ascii="Palatino Linotype" w:hAnsi="Palatino Linotype"/>
        </w:rPr>
        <w:t xml:space="preserve">Por otra parte, del </w:t>
      </w:r>
      <w:r w:rsidRPr="00417BE9">
        <w:rPr>
          <w:rFonts w:ascii="Palatino Linotype" w:hAnsi="Palatino Linotype" w:cs="Arial"/>
        </w:rPr>
        <w:t>contenido</w:t>
      </w:r>
      <w:r w:rsidRPr="00417BE9">
        <w:rPr>
          <w:rFonts w:ascii="Palatino Linotype" w:hAnsi="Palatino Linotype"/>
        </w:rPr>
        <w:t xml:space="preserve"> del artículo 1 de la Constitución Política de los Estados Unidos Mexicanos, se destaca lo siguiente:</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w:t>
      </w:r>
      <w:r w:rsidRPr="00417BE9">
        <w:rPr>
          <w:rFonts w:ascii="Palatino Linotype" w:hAnsi="Palatino Linotype" w:cs="Arial"/>
          <w:b/>
          <w:i/>
          <w:sz w:val="22"/>
          <w:szCs w:val="22"/>
        </w:rPr>
        <w:t>Artículo 1o</w:t>
      </w:r>
      <w:r w:rsidRPr="00417BE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D6488" w:rsidRPr="00417BE9" w:rsidRDefault="004D6488" w:rsidP="004D6488">
      <w:pPr>
        <w:spacing w:before="120" w:after="120"/>
        <w:ind w:left="851" w:right="899"/>
        <w:jc w:val="both"/>
        <w:rPr>
          <w:rFonts w:ascii="Palatino Linotype" w:hAnsi="Palatino Linotype" w:cs="Arial"/>
          <w:b/>
          <w:i/>
          <w:sz w:val="22"/>
          <w:szCs w:val="22"/>
        </w:rPr>
      </w:pPr>
      <w:r w:rsidRPr="00417BE9">
        <w:rPr>
          <w:rFonts w:ascii="Palatino Linotype" w:hAnsi="Palatino Linotype" w:cs="Arial"/>
          <w:b/>
          <w:i/>
          <w:sz w:val="22"/>
          <w:szCs w:val="22"/>
        </w:rPr>
        <w:t>Las normas relativas a los derechos humanos se interpretarán</w:t>
      </w:r>
      <w:r w:rsidRPr="00417BE9">
        <w:rPr>
          <w:rFonts w:ascii="Palatino Linotype" w:hAnsi="Palatino Linotype" w:cs="Arial"/>
          <w:i/>
          <w:sz w:val="22"/>
          <w:szCs w:val="22"/>
        </w:rPr>
        <w:t xml:space="preserve"> de conformidad con esta Constitución y con los tratados internacionales de la </w:t>
      </w:r>
      <w:r w:rsidRPr="00417BE9">
        <w:rPr>
          <w:rFonts w:ascii="Palatino Linotype" w:hAnsi="Palatino Linotype" w:cs="Arial"/>
          <w:b/>
          <w:i/>
          <w:sz w:val="22"/>
          <w:szCs w:val="22"/>
        </w:rPr>
        <w:t>materia favoreciendo en todo tiempo a las personas la protección más amplia.</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b/>
          <w:i/>
          <w:sz w:val="22"/>
          <w:szCs w:val="22"/>
        </w:rPr>
        <w:t xml:space="preserve">Todas las autoridades, en el ámbito de sus competencias, tienen la obligación de promover, respetar, proteger y garantizar los derechos </w:t>
      </w:r>
      <w:r w:rsidRPr="00417BE9">
        <w:rPr>
          <w:rFonts w:ascii="Palatino Linotype" w:hAnsi="Palatino Linotype" w:cs="Arial"/>
          <w:b/>
          <w:i/>
          <w:sz w:val="22"/>
          <w:szCs w:val="22"/>
        </w:rPr>
        <w:lastRenderedPageBreak/>
        <w:t>humanos de conformidad con los principios de universalidad, interdependencia, indivisibilidad y progresividad</w:t>
      </w:r>
      <w:r w:rsidRPr="00417BE9">
        <w:rPr>
          <w:rFonts w:ascii="Palatino Linotype" w:hAnsi="Palatino Linotype" w:cs="Arial"/>
          <w:i/>
          <w:sz w:val="22"/>
          <w:szCs w:val="22"/>
        </w:rPr>
        <w:t>. En consecuencia, el Estado deberá prevenir, investigar, sancionar y reparar las violaciones a los derechos humanos, en los términos que establezca la ley.”</w:t>
      </w:r>
    </w:p>
    <w:p w:rsidR="00535D24" w:rsidRDefault="00535D24" w:rsidP="004D6488">
      <w:pPr>
        <w:spacing w:before="120" w:after="120"/>
        <w:ind w:left="851" w:right="899"/>
        <w:jc w:val="both"/>
        <w:rPr>
          <w:rFonts w:ascii="Palatino Linotype" w:hAnsi="Palatino Linotype"/>
          <w:sz w:val="22"/>
          <w:szCs w:val="22"/>
        </w:rPr>
      </w:pPr>
    </w:p>
    <w:p w:rsidR="004D6488" w:rsidRPr="00417BE9" w:rsidRDefault="004D6488" w:rsidP="004D6488">
      <w:pPr>
        <w:spacing w:before="120" w:after="120"/>
        <w:ind w:left="851" w:right="899"/>
        <w:jc w:val="both"/>
        <w:rPr>
          <w:rFonts w:ascii="Palatino Linotype" w:hAnsi="Palatino Linotype"/>
          <w:sz w:val="22"/>
          <w:szCs w:val="22"/>
        </w:rPr>
      </w:pPr>
      <w:r w:rsidRPr="00417BE9">
        <w:rPr>
          <w:rFonts w:ascii="Palatino Linotype" w:hAnsi="Palatino Linotype"/>
          <w:sz w:val="22"/>
          <w:szCs w:val="22"/>
        </w:rPr>
        <w:t>(Énfasis añadido)</w:t>
      </w:r>
    </w:p>
    <w:p w:rsidR="004D6488" w:rsidRPr="00417BE9" w:rsidRDefault="004D6488" w:rsidP="004D6488">
      <w:pPr>
        <w:spacing w:before="200" w:after="200" w:line="360" w:lineRule="auto"/>
        <w:jc w:val="both"/>
        <w:rPr>
          <w:rFonts w:ascii="Palatino Linotype" w:hAnsi="Palatino Linotype"/>
        </w:rPr>
      </w:pPr>
      <w:r w:rsidRPr="00417BE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417BE9">
        <w:rPr>
          <w:rFonts w:ascii="Palatino Linotype" w:hAnsi="Palatino Linotype" w:cs="Arial"/>
        </w:rPr>
        <w:t>alguno</w:t>
      </w:r>
      <w:r w:rsidRPr="00417BE9">
        <w:rPr>
          <w:rFonts w:ascii="Palatino Linotype" w:hAnsi="Palatino Linotype"/>
        </w:rPr>
        <w:t xml:space="preserve"> o justificar su utilización, deberá tener acceso a la información pública, es decir, dicho </w:t>
      </w:r>
      <w:r w:rsidRPr="00417BE9">
        <w:rPr>
          <w:rFonts w:ascii="Palatino Linotype" w:hAnsi="Palatino Linotype" w:cs="Arial"/>
        </w:rPr>
        <w:t>derecho</w:t>
      </w:r>
      <w:r w:rsidRPr="00417BE9">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D6488" w:rsidRPr="00417BE9" w:rsidRDefault="004D6488" w:rsidP="004D6488">
      <w:pPr>
        <w:spacing w:before="200" w:after="200" w:line="360" w:lineRule="auto"/>
        <w:jc w:val="both"/>
        <w:rPr>
          <w:rFonts w:ascii="Palatino Linotype" w:hAnsi="Palatino Linotype"/>
        </w:rPr>
      </w:pPr>
      <w:r w:rsidRPr="00417BE9">
        <w:rPr>
          <w:rFonts w:ascii="Palatino Linotype" w:hAnsi="Palatino Linotype"/>
        </w:rPr>
        <w:t xml:space="preserve">Robustece lo anterior, el Criterio 6/2014 del entonces </w:t>
      </w:r>
      <w:r w:rsidRPr="00417BE9">
        <w:rPr>
          <w:rFonts w:ascii="Palatino Linotype" w:hAnsi="Palatino Linotype"/>
          <w:szCs w:val="20"/>
        </w:rPr>
        <w:t xml:space="preserve">Instituto Federal de Acceso a la Información y </w:t>
      </w:r>
      <w:r w:rsidRPr="00417BE9">
        <w:rPr>
          <w:rFonts w:ascii="Palatino Linotype" w:hAnsi="Palatino Linotype" w:cs="Arial"/>
        </w:rPr>
        <w:t>Protección</w:t>
      </w:r>
      <w:r w:rsidRPr="00417BE9">
        <w:rPr>
          <w:rFonts w:ascii="Palatino Linotype" w:hAnsi="Palatino Linotype"/>
          <w:szCs w:val="20"/>
        </w:rPr>
        <w:t xml:space="preserve"> de Datos (IFAI) hoy Instituto Nacional de Transparencia, Acceso a la Información y Protección de Datos Personales (INAI)</w:t>
      </w:r>
      <w:r w:rsidRPr="00417BE9">
        <w:rPr>
          <w:rFonts w:ascii="Palatino Linotype" w:hAnsi="Palatino Linotype"/>
        </w:rPr>
        <w:t>, el cual se reproduce para una mayor referencia:</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sz w:val="22"/>
          <w:szCs w:val="22"/>
        </w:rPr>
        <w:t>“</w:t>
      </w:r>
      <w:r w:rsidRPr="00417BE9">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417BE9">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417BE9">
        <w:rPr>
          <w:rFonts w:ascii="Palatino Linotype" w:hAnsi="Palatino Linotype" w:cs="Arial"/>
          <w:i/>
          <w:sz w:val="22"/>
          <w:szCs w:val="22"/>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Resoluciones</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b/>
          <w:i/>
          <w:sz w:val="22"/>
          <w:szCs w:val="22"/>
        </w:rPr>
        <w:t>• RDA 5275/13</w:t>
      </w:r>
      <w:r w:rsidRPr="00417BE9">
        <w:rPr>
          <w:rFonts w:ascii="Palatino Linotype" w:hAnsi="Palatino Linotype" w:cs="Arial"/>
          <w:i/>
          <w:sz w:val="22"/>
          <w:szCs w:val="22"/>
        </w:rPr>
        <w:t>. Interpuesto en contra de la Secretaría de la Defensa Nacional. Comisionado Ponente Ángel Trinidad Zaldívar.</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 xml:space="preserve">• </w:t>
      </w:r>
      <w:r w:rsidRPr="00417BE9">
        <w:rPr>
          <w:rFonts w:ascii="Palatino Linotype" w:hAnsi="Palatino Linotype" w:cs="Arial"/>
          <w:b/>
          <w:i/>
          <w:sz w:val="22"/>
          <w:szCs w:val="22"/>
        </w:rPr>
        <w:t>RDA 2937/13</w:t>
      </w:r>
      <w:r w:rsidRPr="00417BE9">
        <w:rPr>
          <w:rFonts w:ascii="Palatino Linotype" w:hAnsi="Palatino Linotype" w:cs="Arial"/>
          <w:i/>
          <w:sz w:val="22"/>
          <w:szCs w:val="22"/>
        </w:rPr>
        <w:t xml:space="preserve">. Interpuesto en contra de LICONSA, S.A. de C.V. Comisionado. Ponente Gerardo </w:t>
      </w:r>
      <w:proofErr w:type="spellStart"/>
      <w:r w:rsidRPr="00417BE9">
        <w:rPr>
          <w:rFonts w:ascii="Palatino Linotype" w:hAnsi="Palatino Linotype" w:cs="Arial"/>
          <w:i/>
          <w:sz w:val="22"/>
          <w:szCs w:val="22"/>
        </w:rPr>
        <w:t>Laveaga</w:t>
      </w:r>
      <w:proofErr w:type="spellEnd"/>
      <w:r w:rsidRPr="00417BE9">
        <w:rPr>
          <w:rFonts w:ascii="Palatino Linotype" w:hAnsi="Palatino Linotype" w:cs="Arial"/>
          <w:i/>
          <w:sz w:val="22"/>
          <w:szCs w:val="22"/>
        </w:rPr>
        <w:t xml:space="preserve"> Rendón.</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 xml:space="preserve">• </w:t>
      </w:r>
      <w:r w:rsidRPr="00417BE9">
        <w:rPr>
          <w:rFonts w:ascii="Palatino Linotype" w:hAnsi="Palatino Linotype" w:cs="Arial"/>
          <w:b/>
          <w:i/>
          <w:sz w:val="22"/>
          <w:szCs w:val="22"/>
        </w:rPr>
        <w:t>RDA 3609/12</w:t>
      </w:r>
      <w:r w:rsidRPr="00417BE9">
        <w:rPr>
          <w:rFonts w:ascii="Palatino Linotype" w:hAnsi="Palatino Linotype" w:cs="Arial"/>
          <w:i/>
          <w:sz w:val="22"/>
          <w:szCs w:val="22"/>
        </w:rPr>
        <w:t xml:space="preserve">. Interpuesto en contra de la Secretaría de Educación Pública. Comisionada Ponente Sigrid </w:t>
      </w:r>
      <w:proofErr w:type="spellStart"/>
      <w:r w:rsidRPr="00417BE9">
        <w:rPr>
          <w:rFonts w:ascii="Palatino Linotype" w:hAnsi="Palatino Linotype" w:cs="Arial"/>
          <w:i/>
          <w:sz w:val="22"/>
          <w:szCs w:val="22"/>
        </w:rPr>
        <w:t>Arzt</w:t>
      </w:r>
      <w:proofErr w:type="spellEnd"/>
      <w:r w:rsidRPr="00417BE9">
        <w:rPr>
          <w:rFonts w:ascii="Palatino Linotype" w:hAnsi="Palatino Linotype" w:cs="Arial"/>
          <w:i/>
          <w:sz w:val="22"/>
          <w:szCs w:val="22"/>
        </w:rPr>
        <w:t xml:space="preserve"> Colunga.</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 xml:space="preserve">• </w:t>
      </w:r>
      <w:r w:rsidRPr="00417BE9">
        <w:rPr>
          <w:rFonts w:ascii="Palatino Linotype" w:hAnsi="Palatino Linotype" w:cs="Arial"/>
          <w:b/>
          <w:i/>
          <w:sz w:val="22"/>
          <w:szCs w:val="22"/>
        </w:rPr>
        <w:t>RDA 3361/12</w:t>
      </w:r>
      <w:r w:rsidRPr="00417BE9">
        <w:rPr>
          <w:rFonts w:ascii="Palatino Linotype" w:hAnsi="Palatino Linotype" w:cs="Arial"/>
          <w:i/>
          <w:sz w:val="22"/>
          <w:szCs w:val="22"/>
        </w:rPr>
        <w:t>. Interpuesto en contra del Servicio de Administración Tributaria. Comisionada Ponente María Elena Pérez-Jaén Zermeño.</w:t>
      </w:r>
    </w:p>
    <w:p w:rsidR="004D6488" w:rsidRPr="00417BE9" w:rsidRDefault="004D6488" w:rsidP="004D6488">
      <w:pPr>
        <w:spacing w:before="120" w:after="120"/>
        <w:ind w:left="851" w:right="899"/>
        <w:jc w:val="both"/>
        <w:rPr>
          <w:rFonts w:ascii="Palatino Linotype" w:hAnsi="Palatino Linotype" w:cs="Arial"/>
          <w:i/>
          <w:sz w:val="22"/>
          <w:szCs w:val="22"/>
        </w:rPr>
      </w:pPr>
      <w:r w:rsidRPr="00417BE9">
        <w:rPr>
          <w:rFonts w:ascii="Palatino Linotype" w:hAnsi="Palatino Linotype" w:cs="Arial"/>
          <w:i/>
          <w:sz w:val="22"/>
          <w:szCs w:val="22"/>
        </w:rPr>
        <w:t xml:space="preserve">• </w:t>
      </w:r>
      <w:r w:rsidRPr="00417BE9">
        <w:rPr>
          <w:rFonts w:ascii="Palatino Linotype" w:hAnsi="Palatino Linotype" w:cs="Arial"/>
          <w:b/>
          <w:i/>
          <w:sz w:val="22"/>
          <w:szCs w:val="22"/>
        </w:rPr>
        <w:t>RDA 0563/12</w:t>
      </w:r>
      <w:r w:rsidRPr="00417BE9">
        <w:rPr>
          <w:rFonts w:ascii="Palatino Linotype" w:hAnsi="Palatino Linotype" w:cs="Arial"/>
          <w:i/>
          <w:sz w:val="22"/>
          <w:szCs w:val="22"/>
        </w:rPr>
        <w:t xml:space="preserve">. Interpuesto en contra de la Secretaría de la Función Pública. Comisionada Ponente Jacqueline </w:t>
      </w:r>
      <w:proofErr w:type="spellStart"/>
      <w:r w:rsidRPr="00417BE9">
        <w:rPr>
          <w:rFonts w:ascii="Palatino Linotype" w:hAnsi="Palatino Linotype" w:cs="Arial"/>
          <w:i/>
          <w:sz w:val="22"/>
          <w:szCs w:val="22"/>
        </w:rPr>
        <w:t>Peschard</w:t>
      </w:r>
      <w:proofErr w:type="spellEnd"/>
      <w:r w:rsidRPr="00417BE9">
        <w:rPr>
          <w:rFonts w:ascii="Palatino Linotype" w:hAnsi="Palatino Linotype" w:cs="Arial"/>
          <w:i/>
          <w:sz w:val="22"/>
          <w:szCs w:val="22"/>
        </w:rPr>
        <w:t xml:space="preserve"> Mariscal.” (SIC)</w:t>
      </w:r>
    </w:p>
    <w:p w:rsidR="004D6488" w:rsidRPr="00417BE9" w:rsidRDefault="004D6488" w:rsidP="004D6488">
      <w:pPr>
        <w:spacing w:before="100" w:beforeAutospacing="1" w:after="100" w:afterAutospacing="1" w:line="360" w:lineRule="auto"/>
        <w:jc w:val="both"/>
        <w:rPr>
          <w:rFonts w:ascii="Palatino Linotype" w:hAnsi="Palatino Linotype"/>
        </w:rPr>
      </w:pPr>
      <w:r w:rsidRPr="00417BE9">
        <w:rPr>
          <w:rFonts w:ascii="Palatino Linotype" w:hAnsi="Palatino Linotype"/>
        </w:rPr>
        <w:t xml:space="preserve">En ese orden de ideas, se estima que el requerimiento relativo al nombre como presupuesto de procedibilidad, </w:t>
      </w:r>
      <w:r w:rsidRPr="00417BE9">
        <w:rPr>
          <w:rFonts w:ascii="Palatino Linotype" w:hAnsi="Palatino Linotype" w:cs="Arial"/>
        </w:rPr>
        <w:t>podría</w:t>
      </w:r>
      <w:r w:rsidRPr="00417BE9">
        <w:rPr>
          <w:rFonts w:ascii="Palatino Linotype" w:hAnsi="Palatino Linotype"/>
        </w:rPr>
        <w:t xml:space="preserve"> limitar el ejercicio del derecho de acceso a la información pública, debido a que, el hecho de solicitar la identificación del hoy </w:t>
      </w:r>
      <w:r w:rsidRPr="00417BE9">
        <w:rPr>
          <w:rFonts w:ascii="Palatino Linotype" w:hAnsi="Palatino Linotype" w:cs="Arial"/>
          <w:b/>
        </w:rPr>
        <w:t>RECURRENTE</w:t>
      </w:r>
      <w:r w:rsidRPr="00417BE9">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417BE9">
        <w:rPr>
          <w:rFonts w:ascii="Palatino Linotype" w:hAnsi="Palatino Linotype"/>
          <w:szCs w:val="20"/>
        </w:rPr>
        <w:t>derecho</w:t>
      </w:r>
      <w:r w:rsidRPr="00417BE9">
        <w:rPr>
          <w:rFonts w:ascii="Palatino Linotype" w:hAnsi="Palatino Linotype"/>
        </w:rPr>
        <w:t xml:space="preserve"> fundamental.</w:t>
      </w:r>
    </w:p>
    <w:p w:rsidR="004D6488" w:rsidRPr="00417BE9" w:rsidRDefault="004D6488" w:rsidP="004D6488">
      <w:pPr>
        <w:spacing w:before="200" w:after="200" w:line="360" w:lineRule="auto"/>
        <w:jc w:val="both"/>
        <w:rPr>
          <w:rFonts w:ascii="Palatino Linotype" w:hAnsi="Palatino Linotype"/>
        </w:rPr>
      </w:pPr>
      <w:r w:rsidRPr="00417BE9">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417BE9">
        <w:rPr>
          <w:rFonts w:ascii="Palatino Linotype" w:hAnsi="Palatino Linotype" w:cs="Arial"/>
        </w:rPr>
        <w:t>Constitución</w:t>
      </w:r>
      <w:r w:rsidRPr="00417BE9">
        <w:rPr>
          <w:rFonts w:ascii="Palatino Linotype" w:hAnsi="Palatino Linotype"/>
        </w:rPr>
        <w:t xml:space="preserve"> Federal, como la Constitución Política del Estado </w:t>
      </w:r>
      <w:r w:rsidRPr="00417BE9">
        <w:rPr>
          <w:rFonts w:ascii="Palatino Linotype" w:hAnsi="Palatino Linotype"/>
          <w:szCs w:val="20"/>
        </w:rPr>
        <w:t>Libre</w:t>
      </w:r>
      <w:r w:rsidRPr="00417BE9">
        <w:rPr>
          <w:rFonts w:ascii="Palatino Linotype" w:hAnsi="Palatino Linotype"/>
        </w:rPr>
        <w:t xml:space="preserve"> y Soberano de México, reconocen la prerrogativa de los </w:t>
      </w:r>
      <w:r w:rsidRPr="00417BE9">
        <w:rPr>
          <w:rFonts w:ascii="Palatino Linotype" w:hAnsi="Palatino Linotype"/>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4D6488" w:rsidRPr="00417BE9" w:rsidRDefault="004D6488" w:rsidP="004D6488">
      <w:pPr>
        <w:spacing w:before="200" w:after="200" w:line="360" w:lineRule="auto"/>
        <w:jc w:val="both"/>
        <w:rPr>
          <w:rFonts w:ascii="Palatino Linotype" w:hAnsi="Palatino Linotype"/>
        </w:rPr>
      </w:pPr>
      <w:r w:rsidRPr="00417BE9">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417BE9">
        <w:rPr>
          <w:rFonts w:ascii="Palatino Linotype" w:hAnsi="Palatino Linotype"/>
          <w:szCs w:val="20"/>
        </w:rPr>
        <w:t>debido</w:t>
      </w:r>
      <w:r w:rsidRPr="00417BE9">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17BE9">
        <w:rPr>
          <w:rFonts w:ascii="Palatino Linotype" w:hAnsi="Palatino Linotype" w:cs="Arial"/>
          <w:b/>
        </w:rPr>
        <w:t>EL RECURRENTE</w:t>
      </w:r>
      <w:r w:rsidRPr="00417BE9">
        <w:rPr>
          <w:rFonts w:ascii="Palatino Linotype" w:hAnsi="Palatino Linotype"/>
        </w:rPr>
        <w:t>, es la misma persona que realizó la solicitud de acceso a la información pública que ahora se impugna.</w:t>
      </w:r>
    </w:p>
    <w:p w:rsidR="004D6488" w:rsidRPr="00417BE9" w:rsidRDefault="004D6488" w:rsidP="004D6488">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417BE9">
        <w:rPr>
          <w:rFonts w:ascii="Palatino Linotype" w:hAnsi="Palatino Linotype"/>
        </w:rPr>
        <w:t xml:space="preserve">En adición a lo anterior, el propio artículo 180 en su último párrafo establece que cuando el recurso se interponga de </w:t>
      </w:r>
      <w:r w:rsidRPr="00417BE9">
        <w:rPr>
          <w:rFonts w:ascii="Palatino Linotype" w:hAnsi="Palatino Linotype"/>
          <w:szCs w:val="20"/>
        </w:rPr>
        <w:t>manera</w:t>
      </w:r>
      <w:r w:rsidRPr="00417BE9">
        <w:rPr>
          <w:rFonts w:ascii="Palatino Linotype" w:hAnsi="Palatino Linotype"/>
        </w:rPr>
        <w:t xml:space="preserve"> electrónica no será indispensable que contenga determinados requisitos, entre ellos, el nombre del hoy</w:t>
      </w:r>
      <w:r w:rsidRPr="00417BE9">
        <w:rPr>
          <w:rFonts w:ascii="Palatino Linotype" w:hAnsi="Palatino Linotype" w:cs="Arial"/>
          <w:b/>
        </w:rPr>
        <w:t xml:space="preserve"> RECURRENTE</w:t>
      </w:r>
      <w:r w:rsidRPr="00417BE9">
        <w:rPr>
          <w:rFonts w:ascii="Palatino Linotype" w:hAnsi="Palatino Linotype"/>
        </w:rPr>
        <w:t xml:space="preserve">, por lo que en el presente caso, al haber sido presentado el recurso de revisión vía </w:t>
      </w:r>
      <w:r w:rsidRPr="00417BE9">
        <w:rPr>
          <w:rFonts w:ascii="Palatino Linotype" w:hAnsi="Palatino Linotype"/>
          <w:b/>
        </w:rPr>
        <w:t>SAIMEX</w:t>
      </w:r>
      <w:r w:rsidRPr="00417BE9">
        <w:rPr>
          <w:rFonts w:ascii="Palatino Linotype" w:hAnsi="Palatino Linotype"/>
        </w:rPr>
        <w:t>, dicho requisito resulta innecesario.</w:t>
      </w:r>
    </w:p>
    <w:p w:rsidR="004D6488" w:rsidRPr="00417BE9" w:rsidRDefault="004D6488" w:rsidP="004D648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417BE9">
        <w:rPr>
          <w:rFonts w:ascii="Palatino Linotype" w:hAnsi="Palatino Linotype" w:cs="Arial"/>
          <w:b/>
          <w:sz w:val="28"/>
          <w:szCs w:val="28"/>
        </w:rPr>
        <w:t>QUINTO</w:t>
      </w:r>
      <w:r w:rsidRPr="00417BE9">
        <w:rPr>
          <w:rFonts w:ascii="Palatino Linotype" w:hAnsi="Palatino Linotype" w:cs="Arial"/>
        </w:rPr>
        <w:t xml:space="preserve">. </w:t>
      </w:r>
      <w:r w:rsidRPr="00417BE9">
        <w:rPr>
          <w:rFonts w:ascii="Palatino Linotype" w:hAnsi="Palatino Linotype" w:cs="Arial"/>
          <w:b/>
        </w:rPr>
        <w:t>Análisis de las causales de sobreseimiento</w:t>
      </w:r>
      <w:r w:rsidRPr="00417BE9">
        <w:rPr>
          <w:rFonts w:ascii="Palatino Linotype" w:hAnsi="Palatino Linotype" w:cs="Arial"/>
        </w:rPr>
        <w:t>. E</w:t>
      </w:r>
      <w:r w:rsidRPr="00417BE9">
        <w:rPr>
          <w:rFonts w:ascii="Palatino Linotype" w:hAnsi="Palatino Linotype"/>
        </w:rPr>
        <w:t xml:space="preserve">ste Órgano Colegiado </w:t>
      </w:r>
      <w:r w:rsidRPr="00417BE9">
        <w:rPr>
          <w:rFonts w:ascii="Palatino Linotype" w:hAnsi="Palatino Linotype"/>
        </w:rPr>
        <w:lastRenderedPageBreak/>
        <w:t xml:space="preserve">advierte que en el presente asunto se actualiza la causal de sobreseimiento prevista en la fracción III del artículo 192 de la </w:t>
      </w:r>
      <w:r w:rsidRPr="00417BE9">
        <w:rPr>
          <w:rFonts w:ascii="Palatino Linotype" w:hAnsi="Palatino Linotype" w:cs="Arial"/>
        </w:rPr>
        <w:t>de la Ley de Transparencia y Acceso a la Información Pública del Estado de México y Municipios</w:t>
      </w:r>
      <w:r w:rsidRPr="00417BE9">
        <w:rPr>
          <w:rFonts w:ascii="Palatino Linotype" w:hAnsi="Palatino Linotype"/>
        </w:rPr>
        <w:t xml:space="preserve"> que dispone lo siguiente:</w:t>
      </w:r>
    </w:p>
    <w:p w:rsidR="004D6488" w:rsidRPr="00417BE9" w:rsidRDefault="004D6488" w:rsidP="004D6488">
      <w:pPr>
        <w:ind w:left="851" w:right="899"/>
        <w:jc w:val="both"/>
        <w:rPr>
          <w:rFonts w:ascii="Palatino Linotype" w:hAnsi="Palatino Linotype" w:cs="Arial"/>
          <w:i/>
          <w:sz w:val="22"/>
          <w:szCs w:val="22"/>
        </w:rPr>
      </w:pPr>
      <w:r w:rsidRPr="00417BE9">
        <w:rPr>
          <w:rFonts w:ascii="Palatino Linotype" w:hAnsi="Palatino Linotype" w:cs="Arial"/>
          <w:b/>
          <w:i/>
          <w:sz w:val="22"/>
          <w:szCs w:val="22"/>
        </w:rPr>
        <w:t>“Artículo 192.</w:t>
      </w:r>
      <w:r w:rsidRPr="00417BE9">
        <w:rPr>
          <w:rFonts w:ascii="Palatino Linotype" w:hAnsi="Palatino Linotype" w:cs="Arial"/>
          <w:i/>
          <w:sz w:val="22"/>
          <w:szCs w:val="22"/>
        </w:rPr>
        <w:t xml:space="preserve"> El recurso será sobreseído, en todo o en parte, cuando una vez admitido, se actualicen alguno de los siguientes supuestos:</w:t>
      </w:r>
    </w:p>
    <w:p w:rsidR="004D6488" w:rsidRPr="00417BE9" w:rsidRDefault="004D6488" w:rsidP="004D6488">
      <w:pPr>
        <w:ind w:left="851" w:right="899"/>
        <w:jc w:val="both"/>
        <w:rPr>
          <w:rFonts w:ascii="Palatino Linotype" w:hAnsi="Palatino Linotype" w:cs="Arial"/>
          <w:i/>
          <w:sz w:val="22"/>
          <w:szCs w:val="22"/>
        </w:rPr>
      </w:pPr>
      <w:r w:rsidRPr="00417BE9">
        <w:rPr>
          <w:rFonts w:ascii="Palatino Linotype" w:hAnsi="Palatino Linotype" w:cs="Arial"/>
          <w:i/>
          <w:sz w:val="22"/>
          <w:szCs w:val="22"/>
        </w:rPr>
        <w:t>…</w:t>
      </w:r>
    </w:p>
    <w:p w:rsidR="004D6488" w:rsidRPr="00417BE9" w:rsidRDefault="004D6488" w:rsidP="004D6488">
      <w:pPr>
        <w:ind w:left="851" w:right="899"/>
        <w:jc w:val="both"/>
        <w:rPr>
          <w:rFonts w:ascii="Palatino Linotype" w:hAnsi="Palatino Linotype" w:cs="Arial"/>
          <w:i/>
          <w:sz w:val="22"/>
          <w:szCs w:val="22"/>
        </w:rPr>
      </w:pPr>
      <w:r w:rsidRPr="00417BE9">
        <w:rPr>
          <w:rFonts w:ascii="Palatino Linotype" w:hAnsi="Palatino Linotype" w:cs="Arial"/>
          <w:b/>
          <w:i/>
          <w:sz w:val="22"/>
          <w:szCs w:val="22"/>
        </w:rPr>
        <w:t>III. El sujeto obligado responsable del acto lo modifique o revoque de tal manera que el recurso de revisión quede sin materia</w:t>
      </w:r>
      <w:r w:rsidRPr="00417BE9">
        <w:rPr>
          <w:rFonts w:ascii="Palatino Linotype" w:hAnsi="Palatino Linotype" w:cs="Arial"/>
          <w:i/>
          <w:sz w:val="22"/>
          <w:szCs w:val="22"/>
        </w:rPr>
        <w:t>;…”</w:t>
      </w:r>
    </w:p>
    <w:p w:rsidR="004D6488" w:rsidRPr="00417BE9" w:rsidRDefault="004D6488" w:rsidP="004D6488">
      <w:pPr>
        <w:ind w:left="851" w:right="899"/>
        <w:jc w:val="both"/>
        <w:rPr>
          <w:rFonts w:ascii="Palatino Linotype" w:hAnsi="Palatino Linotype" w:cs="Arial"/>
          <w:i/>
          <w:sz w:val="22"/>
          <w:szCs w:val="22"/>
        </w:rPr>
      </w:pPr>
      <w:r w:rsidRPr="00417BE9">
        <w:rPr>
          <w:rFonts w:ascii="Palatino Linotype" w:hAnsi="Palatino Linotype" w:cs="Arial"/>
          <w:i/>
          <w:sz w:val="22"/>
          <w:szCs w:val="22"/>
        </w:rPr>
        <w:t>(Énfasis añadido)</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Luego, conforme a la transcripción que antecede conviene desglosar los elementos de la disposición enunciada:</w:t>
      </w:r>
    </w:p>
    <w:p w:rsidR="004D6488" w:rsidRPr="00417BE9" w:rsidRDefault="004D6488" w:rsidP="004D6488">
      <w:pPr>
        <w:spacing w:line="360" w:lineRule="auto"/>
        <w:ind w:left="993"/>
        <w:jc w:val="both"/>
        <w:rPr>
          <w:rFonts w:ascii="Palatino Linotype" w:hAnsi="Palatino Linotype" w:cs="Arial"/>
        </w:rPr>
      </w:pPr>
      <w:r w:rsidRPr="00417BE9">
        <w:rPr>
          <w:rFonts w:ascii="Palatino Linotype" w:hAnsi="Palatino Linotype" w:cs="Arial"/>
        </w:rPr>
        <w:t xml:space="preserve">1.- El sujeto obligado responsable; </w:t>
      </w:r>
    </w:p>
    <w:p w:rsidR="004D6488" w:rsidRPr="00417BE9" w:rsidRDefault="004D6488" w:rsidP="004D6488">
      <w:pPr>
        <w:spacing w:line="360" w:lineRule="auto"/>
        <w:ind w:left="993"/>
        <w:jc w:val="both"/>
        <w:rPr>
          <w:rFonts w:ascii="Palatino Linotype" w:hAnsi="Palatino Linotype" w:cs="Arial"/>
        </w:rPr>
      </w:pPr>
      <w:r w:rsidRPr="00417BE9">
        <w:rPr>
          <w:rFonts w:ascii="Palatino Linotype" w:hAnsi="Palatino Linotype" w:cs="Arial"/>
        </w:rPr>
        <w:t>2.- Acto;</w:t>
      </w:r>
    </w:p>
    <w:p w:rsidR="004D6488" w:rsidRPr="00417BE9" w:rsidRDefault="004D6488" w:rsidP="004D6488">
      <w:pPr>
        <w:spacing w:line="360" w:lineRule="auto"/>
        <w:ind w:left="993"/>
        <w:jc w:val="both"/>
        <w:rPr>
          <w:rFonts w:ascii="Palatino Linotype" w:hAnsi="Palatino Linotype" w:cs="Arial"/>
        </w:rPr>
      </w:pPr>
      <w:r w:rsidRPr="00417BE9">
        <w:rPr>
          <w:rFonts w:ascii="Palatino Linotype" w:hAnsi="Palatino Linotype" w:cs="Arial"/>
        </w:rPr>
        <w:t>3.- Que se modifique o revoque; y</w:t>
      </w:r>
    </w:p>
    <w:p w:rsidR="004D6488" w:rsidRPr="00417BE9" w:rsidRDefault="004D6488" w:rsidP="004D6488">
      <w:pPr>
        <w:spacing w:line="360" w:lineRule="auto"/>
        <w:ind w:left="993"/>
        <w:jc w:val="both"/>
        <w:rPr>
          <w:rFonts w:ascii="Palatino Linotype" w:hAnsi="Palatino Linotype" w:cs="Arial"/>
        </w:rPr>
      </w:pPr>
      <w:r w:rsidRPr="00417BE9">
        <w:rPr>
          <w:rFonts w:ascii="Palatino Linotype" w:hAnsi="Palatino Linotype" w:cs="Arial"/>
        </w:rPr>
        <w:t>4.- De tal manera que el medio de impugnación quede sin efecto o materia.</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 xml:space="preserve">El primer elemento normativo se actualiza ya que, </w:t>
      </w:r>
      <w:r w:rsidRPr="00417BE9">
        <w:rPr>
          <w:rFonts w:ascii="Palatino Linotype" w:hAnsi="Palatino Linotype" w:cs="Arial"/>
          <w:b/>
        </w:rPr>
        <w:t xml:space="preserve">EL SUJETO OBLIGADO </w:t>
      </w:r>
      <w:r w:rsidRPr="00417BE9">
        <w:rPr>
          <w:rFonts w:ascii="Palatino Linotype" w:hAnsi="Palatino Linotype" w:cs="Arial"/>
        </w:rPr>
        <w:t xml:space="preserve">responsable es el </w:t>
      </w:r>
      <w:r w:rsidR="00BC623A" w:rsidRPr="00417BE9">
        <w:rPr>
          <w:rFonts w:ascii="Palatino Linotype" w:hAnsi="Palatino Linotype"/>
          <w:b/>
          <w:lang w:val="es-ES_tradnl"/>
        </w:rPr>
        <w:t>Organismo Público Descentralizado para la Prestación de Los Servicios de Agua Potable Alcantarillado y Saneamiento de Atizapán de Zaragoza por sus siglas S.A.P.A.S.A.</w:t>
      </w:r>
    </w:p>
    <w:p w:rsidR="00BC623A" w:rsidRPr="00417BE9" w:rsidRDefault="004D6488" w:rsidP="004D6488">
      <w:pPr>
        <w:spacing w:before="100" w:beforeAutospacing="1" w:after="100" w:afterAutospacing="1" w:line="360" w:lineRule="auto"/>
        <w:jc w:val="both"/>
        <w:rPr>
          <w:rFonts w:ascii="Palatino Linotype" w:hAnsi="Palatino Linotype" w:cs="Arial"/>
          <w:b/>
        </w:rPr>
      </w:pPr>
      <w:r w:rsidRPr="00417BE9">
        <w:rPr>
          <w:rFonts w:ascii="Palatino Linotype" w:hAnsi="Palatino Linotype" w:cs="Arial"/>
        </w:rPr>
        <w:t xml:space="preserve">El segundo elemento normativo es la existencia de un acto, en el caso en concreto que nos ocupa, se acredita con la existencia de la respuesta del </w:t>
      </w:r>
      <w:r w:rsidRPr="00417BE9">
        <w:rPr>
          <w:rFonts w:ascii="Palatino Linotype" w:hAnsi="Palatino Linotype" w:cs="Arial"/>
          <w:b/>
        </w:rPr>
        <w:t>SUJETO OBLIGADO</w:t>
      </w:r>
      <w:r w:rsidRPr="00417BE9">
        <w:rPr>
          <w:rFonts w:ascii="Palatino Linotype" w:hAnsi="Palatino Linotype" w:cs="Arial"/>
        </w:rPr>
        <w:t>, la cual precisamente es la que se impugna; porque es la que, a decir del hoy</w:t>
      </w:r>
      <w:r w:rsidRPr="00417BE9">
        <w:rPr>
          <w:rFonts w:ascii="Palatino Linotype" w:hAnsi="Palatino Linotype" w:cs="Arial"/>
          <w:b/>
        </w:rPr>
        <w:t xml:space="preserve"> </w:t>
      </w:r>
      <w:r w:rsidRPr="00417BE9">
        <w:rPr>
          <w:rFonts w:ascii="Palatino Linotype" w:hAnsi="Palatino Linotype" w:cs="Arial"/>
          <w:b/>
        </w:rPr>
        <w:lastRenderedPageBreak/>
        <w:t>RECURRENTE</w:t>
      </w:r>
      <w:r w:rsidRPr="00417BE9">
        <w:rPr>
          <w:rFonts w:ascii="Palatino Linotype" w:hAnsi="Palatino Linotype" w:cs="Arial"/>
        </w:rPr>
        <w:t xml:space="preserve"> se le negó la información solicitada al </w:t>
      </w:r>
      <w:r w:rsidR="00BC623A" w:rsidRPr="00417BE9">
        <w:rPr>
          <w:rFonts w:ascii="Palatino Linotype" w:hAnsi="Palatino Linotype" w:cs="Arial"/>
        </w:rPr>
        <w:t xml:space="preserve">cambiar la modalidad de entrega; sin que, se fundara y motivara dicha determinación de parte del </w:t>
      </w:r>
      <w:r w:rsidR="00BC623A" w:rsidRPr="00417BE9">
        <w:rPr>
          <w:rFonts w:ascii="Palatino Linotype" w:hAnsi="Palatino Linotype" w:cs="Arial"/>
          <w:b/>
        </w:rPr>
        <w:t>SUJETO OBLIGADO.</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Cabe destacar que la respuesta del</w:t>
      </w:r>
      <w:r w:rsidRPr="00417BE9">
        <w:rPr>
          <w:rFonts w:ascii="Palatino Linotype" w:hAnsi="Palatino Linotype" w:cs="Arial"/>
          <w:b/>
        </w:rPr>
        <w:t xml:space="preserve"> SUJETO OBLIGADO</w:t>
      </w:r>
      <w:r w:rsidRPr="00417BE9">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417BE9">
        <w:rPr>
          <w:rFonts w:ascii="Palatino Linotype" w:hAnsi="Palatino Linotype" w:cs="Arial"/>
          <w:b/>
        </w:rPr>
        <w:t>SUJETO OBLIGADO</w:t>
      </w:r>
      <w:r w:rsidRPr="00417BE9">
        <w:rPr>
          <w:rFonts w:ascii="Palatino Linotype" w:hAnsi="Palatino Linotype" w:cs="Arial"/>
        </w:rPr>
        <w:t xml:space="preserve"> se observa a través de sus actos que necesariamente ejecuta y con las que ejerce sus atribuciones legalmente conferidas. </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b/>
          <w:i/>
          <w:sz w:val="22"/>
          <w:szCs w:val="22"/>
        </w:rPr>
        <w:t>“Artículo 53</w:t>
      </w:r>
      <w:r w:rsidRPr="00417BE9">
        <w:rPr>
          <w:rFonts w:ascii="Palatino Linotype" w:hAnsi="Palatino Linotype" w:cs="Arial"/>
          <w:i/>
          <w:sz w:val="22"/>
          <w:szCs w:val="22"/>
        </w:rPr>
        <w:t xml:space="preserve">. Las Unidades de Transparencia tendrán las siguientes funciones: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b/>
          <w:i/>
          <w:sz w:val="22"/>
          <w:szCs w:val="22"/>
        </w:rPr>
        <w:t>II. Recibir, tramitar y dar respuesta a las solicitudes de acceso a la información</w:t>
      </w:r>
      <w:r w:rsidRPr="00417BE9">
        <w:rPr>
          <w:rFonts w:ascii="Palatino Linotype" w:hAnsi="Palatino Linotype" w:cs="Arial"/>
          <w:i/>
          <w:sz w:val="22"/>
          <w:szCs w:val="22"/>
        </w:rPr>
        <w:t xml:space="preserve">;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lastRenderedPageBreak/>
        <w:t xml:space="preserve">III. Auxiliar a los particulares en la elaboración de solicitudes de acceso a la información y, en su caso, orientarlos sobre los sujetos obligados competentes conforme a la normatividad aplicable;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IV. Realizar, con efectividad, los trámites internos necesarios para la atención de las solicitudes de acceso a la información;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V. Entregar, en su caso, a los particulares la información solicitada;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VI. Efectuar las notificaciones a los solicitantes;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X. Presentar ante el Comité, el proyecto de clasificación de información;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XI. Promover e implementar políticas de transparencia proactiva procurando su accesibilidad;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XII. Fomentar la transparencia y accesibilidad al interior del sujeto obligado; </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4D6488" w:rsidRPr="00417BE9" w:rsidRDefault="004D6488" w:rsidP="004D6488">
      <w:pPr>
        <w:ind w:left="851" w:right="902"/>
        <w:jc w:val="both"/>
        <w:rPr>
          <w:rFonts w:ascii="Palatino Linotype" w:hAnsi="Palatino Linotype" w:cs="Arial"/>
          <w:b/>
          <w:i/>
          <w:sz w:val="22"/>
          <w:szCs w:val="22"/>
        </w:rPr>
      </w:pPr>
      <w:r w:rsidRPr="00417BE9">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417BE9">
        <w:rPr>
          <w:rFonts w:ascii="Palatino Linotype" w:hAnsi="Palatino Linotype" w:cs="Arial"/>
          <w:b/>
          <w:i/>
          <w:sz w:val="22"/>
          <w:szCs w:val="22"/>
        </w:rPr>
        <w:t>”</w:t>
      </w:r>
    </w:p>
    <w:p w:rsidR="004D6488" w:rsidRPr="00417BE9" w:rsidRDefault="004D6488" w:rsidP="004D6488">
      <w:pPr>
        <w:ind w:left="851" w:right="902"/>
        <w:jc w:val="both"/>
        <w:rPr>
          <w:rFonts w:ascii="Palatino Linotype" w:hAnsi="Palatino Linotype" w:cs="Arial"/>
          <w:i/>
          <w:sz w:val="22"/>
          <w:szCs w:val="22"/>
        </w:rPr>
      </w:pPr>
      <w:r w:rsidRPr="00417BE9">
        <w:rPr>
          <w:rFonts w:ascii="Palatino Linotype" w:hAnsi="Palatino Linotype" w:cs="Arial"/>
          <w:i/>
          <w:sz w:val="22"/>
          <w:szCs w:val="22"/>
        </w:rPr>
        <w:t>(Énfasis añadido)</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Es decir, la impugnación del</w:t>
      </w:r>
      <w:r w:rsidRPr="00417BE9">
        <w:rPr>
          <w:rFonts w:ascii="Palatino Linotype" w:hAnsi="Palatino Linotype" w:cs="Arial"/>
          <w:b/>
        </w:rPr>
        <w:t xml:space="preserve"> RECURRENTE</w:t>
      </w:r>
      <w:r w:rsidRPr="00417BE9">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417BE9">
        <w:rPr>
          <w:rFonts w:ascii="Palatino Linotype" w:hAnsi="Palatino Linotype" w:cs="Arial"/>
          <w:b/>
        </w:rPr>
        <w:t>EL SUJETO OBLIGADO</w:t>
      </w:r>
      <w:r w:rsidRPr="00417BE9">
        <w:rPr>
          <w:rFonts w:ascii="Palatino Linotype" w:hAnsi="Palatino Linotype" w:cs="Arial"/>
        </w:rPr>
        <w:t>.</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417BE9">
        <w:rPr>
          <w:rFonts w:ascii="Palatino Linotype" w:hAnsi="Palatino Linotype" w:cs="Arial"/>
          <w:b/>
        </w:rPr>
        <w:t>la modifique o revoque</w:t>
      </w:r>
      <w:r w:rsidRPr="00417BE9">
        <w:rPr>
          <w:rFonts w:ascii="Palatino Linotype" w:hAnsi="Palatino Linotype" w:cs="Arial"/>
        </w:rPr>
        <w:t xml:space="preserve">; en cuanto hace a la modificación, </w:t>
      </w:r>
      <w:r w:rsidRPr="00417BE9">
        <w:rPr>
          <w:rFonts w:ascii="Palatino Linotype" w:hAnsi="Palatino Linotype" w:cs="Arial"/>
        </w:rPr>
        <w:lastRenderedPageBreak/>
        <w:t>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Por cuanto hace a la revocación, a diferencia de la modificación, ocurre cuando la dependencia o entidad responsable (</w:t>
      </w:r>
      <w:r w:rsidRPr="00417BE9">
        <w:rPr>
          <w:rFonts w:ascii="Palatino Linotype" w:hAnsi="Palatino Linotype" w:cs="Arial"/>
          <w:b/>
        </w:rPr>
        <w:t>SUJETO OBLIGADO</w:t>
      </w:r>
      <w:r w:rsidRPr="00417BE9">
        <w:rPr>
          <w:rFonts w:ascii="Palatino Linotype" w:hAnsi="Palatino Linotype" w:cs="Arial"/>
        </w:rPr>
        <w:t>) del acto o resolución impugnada, suprime, elimina o cancela la totalidad de su respuesta y emite otra en su lugar dejando sin efecto lo que en un principio respondió.</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En ese tenor, un acto impugnado queda sin efectos, aun cuando existiendo jurídicamente (esto es, que no se ha modificado, ni revocado) no genera ninguna consecuencia legal.</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 xml:space="preserve">En tanto que, un acto impugnado queda sin materia, cuando ha sido satisfecha la pretensión de lo pedido o exigido por </w:t>
      </w:r>
      <w:r w:rsidRPr="00417BE9">
        <w:rPr>
          <w:rFonts w:ascii="Palatino Linotype" w:hAnsi="Palatino Linotype" w:cs="Arial"/>
          <w:b/>
        </w:rPr>
        <w:t xml:space="preserve">EL RECURRENTE </w:t>
      </w:r>
      <w:r w:rsidRPr="00417BE9">
        <w:rPr>
          <w:rFonts w:ascii="Palatino Linotype" w:hAnsi="Palatino Linotype" w:cs="Arial"/>
        </w:rPr>
        <w:t xml:space="preserve">de manera que </w:t>
      </w:r>
      <w:r w:rsidRPr="00417BE9">
        <w:rPr>
          <w:rFonts w:ascii="Palatino Linotype" w:hAnsi="Palatino Linotype" w:cs="Arial"/>
          <w:b/>
        </w:rPr>
        <w:t xml:space="preserve">EL SUJETO OBLIGADO </w:t>
      </w:r>
      <w:r w:rsidRPr="00417BE9">
        <w:rPr>
          <w:rFonts w:ascii="Palatino Linotype" w:hAnsi="Palatino Linotype" w:cs="Arial"/>
        </w:rPr>
        <w:t xml:space="preserve">entrega una respuesta que, aunque sea posterior a los términos previstos en la Ley, y mediante ésta concede la información solicitada. </w:t>
      </w:r>
    </w:p>
    <w:p w:rsidR="004D6488"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417BE9">
        <w:rPr>
          <w:rFonts w:ascii="Palatino Linotype" w:hAnsi="Palatino Linotype" w:cs="Arial"/>
          <w:b/>
        </w:rPr>
        <w:t>EL SUJETO OBLIGADO</w:t>
      </w:r>
      <w:r w:rsidRPr="00417BE9">
        <w:rPr>
          <w:rFonts w:ascii="Palatino Linotype" w:hAnsi="Palatino Linotype" w:cs="Arial"/>
        </w:rPr>
        <w:t xml:space="preserve"> mediante un acto posterior a su respuesta, como lo fue el Informe Justificado, remitió la información que co</w:t>
      </w:r>
      <w:r w:rsidR="0020132F" w:rsidRPr="00417BE9">
        <w:rPr>
          <w:rFonts w:ascii="Palatino Linotype" w:hAnsi="Palatino Linotype" w:cs="Arial"/>
        </w:rPr>
        <w:t>lma el derecho de acceso del</w:t>
      </w:r>
      <w:r w:rsidRPr="00417BE9">
        <w:rPr>
          <w:rFonts w:ascii="Palatino Linotype" w:hAnsi="Palatino Linotype" w:cs="Arial"/>
        </w:rPr>
        <w:t xml:space="preserve"> particular, con la cual dejó sin materia el presente recurso.</w:t>
      </w:r>
    </w:p>
    <w:p w:rsidR="0020132F" w:rsidRPr="00417BE9" w:rsidRDefault="004D6488" w:rsidP="0020132F">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lastRenderedPageBreak/>
        <w:t xml:space="preserve">A fin de corroborar lo anterior, es preciso recordar que </w:t>
      </w:r>
      <w:r w:rsidRPr="00417BE9">
        <w:rPr>
          <w:rFonts w:ascii="Palatino Linotype" w:hAnsi="Palatino Linotype" w:cs="Arial"/>
          <w:b/>
        </w:rPr>
        <w:t xml:space="preserve">EL RECURRENTE </w:t>
      </w:r>
      <w:r w:rsidRPr="00417BE9">
        <w:rPr>
          <w:rFonts w:ascii="Palatino Linotype" w:hAnsi="Palatino Linotype" w:cs="Arial"/>
        </w:rPr>
        <w:t xml:space="preserve">requirió del </w:t>
      </w:r>
      <w:r w:rsidRPr="00417BE9">
        <w:rPr>
          <w:rFonts w:ascii="Palatino Linotype" w:hAnsi="Palatino Linotype" w:cs="Arial"/>
          <w:b/>
        </w:rPr>
        <w:t xml:space="preserve">SUJETO OBLIGADO </w:t>
      </w:r>
      <w:r w:rsidRPr="00417BE9">
        <w:rPr>
          <w:rFonts w:ascii="Palatino Linotype" w:hAnsi="Palatino Linotype" w:cs="Arial"/>
        </w:rPr>
        <w:t xml:space="preserve">le proporcionará </w:t>
      </w:r>
      <w:r w:rsidR="0020132F" w:rsidRPr="00417BE9">
        <w:rPr>
          <w:rFonts w:ascii="Palatino Linotype" w:hAnsi="Palatino Linotype" w:cs="Arial"/>
        </w:rPr>
        <w:t>en copia simple, el Acuerdo de Cabildo a través del cual se nombró a los integrantes del Consejo Directivo del Organismo del Agua de Atizapán, debiendo indicar el cargo con el que cuentan en la Administración Pública, si fuera el caso, y el cargo que ocupan dentro del mencionado Consejo.</w:t>
      </w:r>
    </w:p>
    <w:p w:rsidR="0020132F" w:rsidRPr="00417BE9" w:rsidRDefault="004D6488" w:rsidP="004D6488">
      <w:pPr>
        <w:spacing w:before="100" w:beforeAutospacing="1" w:after="100" w:afterAutospacing="1" w:line="360" w:lineRule="auto"/>
        <w:jc w:val="both"/>
        <w:rPr>
          <w:rFonts w:ascii="Palatino Linotype" w:hAnsi="Palatino Linotype" w:cs="Arial"/>
        </w:rPr>
      </w:pPr>
      <w:r w:rsidRPr="00417BE9">
        <w:rPr>
          <w:rFonts w:ascii="Palatino Linotype" w:hAnsi="Palatino Linotype" w:cs="Arial"/>
        </w:rPr>
        <w:t xml:space="preserve">Bajo ese tenor, </w:t>
      </w:r>
      <w:r w:rsidRPr="00417BE9">
        <w:rPr>
          <w:rFonts w:ascii="Palatino Linotype" w:hAnsi="Palatino Linotype" w:cs="Arial"/>
          <w:b/>
        </w:rPr>
        <w:t xml:space="preserve">EL SUJETO OBLIGADO </w:t>
      </w:r>
      <w:r w:rsidRPr="00417BE9">
        <w:rPr>
          <w:rFonts w:ascii="Palatino Linotype" w:hAnsi="Palatino Linotype" w:cs="Arial"/>
        </w:rPr>
        <w:t>mediante la respuesta le señaló al particular que la información solicitada</w:t>
      </w:r>
      <w:r w:rsidR="0020132F" w:rsidRPr="00417BE9">
        <w:rPr>
          <w:rFonts w:ascii="Palatino Linotype" w:hAnsi="Palatino Linotype" w:cs="Arial"/>
        </w:rPr>
        <w:t xml:space="preserve"> sobrepasaba sus capacidades técnicas administrativas y humanas; por lo que, se ponía a disposición del solicitante los documentos en Consulta Directa en las oficinas de la Dirección General.</w:t>
      </w:r>
    </w:p>
    <w:p w:rsidR="004D6488" w:rsidRPr="00417BE9" w:rsidRDefault="004D6488" w:rsidP="004D648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417BE9">
        <w:rPr>
          <w:rFonts w:ascii="Palatino Linotype" w:hAnsi="Palatino Linotype" w:cs="Arial"/>
        </w:rPr>
        <w:t xml:space="preserve">Inconforme con la respuesta otorgada, </w:t>
      </w:r>
      <w:r w:rsidRPr="00417BE9">
        <w:rPr>
          <w:rFonts w:ascii="Palatino Linotype" w:hAnsi="Palatino Linotype" w:cs="Arial"/>
          <w:b/>
        </w:rPr>
        <w:t>EL RECURRENTE</w:t>
      </w:r>
      <w:r w:rsidRPr="00417BE9">
        <w:rPr>
          <w:rFonts w:ascii="Palatino Linotype" w:hAnsi="Palatino Linotype" w:cs="Arial"/>
        </w:rPr>
        <w:t xml:space="preserve"> interpuso el recurso de revisión que nos ocupa, en el que medularmente refirió que se le había negado la información al </w:t>
      </w:r>
      <w:r w:rsidR="0020132F" w:rsidRPr="00417BE9">
        <w:rPr>
          <w:rFonts w:ascii="Palatino Linotype" w:hAnsi="Palatino Linotype" w:cs="Arial"/>
        </w:rPr>
        <w:t>cambiar la modalidad de entrega de manera deliberada.</w:t>
      </w:r>
    </w:p>
    <w:p w:rsidR="004D6488" w:rsidRPr="00417BE9" w:rsidRDefault="00535D24" w:rsidP="004D6488">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81915</wp:posOffset>
                </wp:positionH>
                <wp:positionV relativeFrom="paragraph">
                  <wp:posOffset>1146175</wp:posOffset>
                </wp:positionV>
                <wp:extent cx="5638800" cy="15240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638800"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B37B47" id="Conector recto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45pt,90.25pt" to="450.45pt,2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" strokecolor="#5b9bd5 [3204]" strokeweight=".5pt">
                <v:stroke joinstyle="miter"/>
              </v:line>
            </w:pict>
          </mc:Fallback>
        </mc:AlternateContent>
      </w:r>
      <w:r w:rsidR="004D6488" w:rsidRPr="00417BE9">
        <w:rPr>
          <w:rFonts w:ascii="Palatino Linotype" w:hAnsi="Palatino Linotype" w:cs="Arial"/>
          <w:lang w:eastAsia="es-MX"/>
        </w:rPr>
        <w:t xml:space="preserve">En ese contexto, </w:t>
      </w:r>
      <w:r w:rsidR="004D6488" w:rsidRPr="00417BE9">
        <w:rPr>
          <w:rFonts w:ascii="Palatino Linotype" w:hAnsi="Palatino Linotype" w:cs="Arial"/>
          <w:b/>
          <w:lang w:eastAsia="es-MX"/>
        </w:rPr>
        <w:t xml:space="preserve">EL RECURRENTE </w:t>
      </w:r>
      <w:r w:rsidR="004D6488" w:rsidRPr="00417BE9">
        <w:rPr>
          <w:rFonts w:ascii="Palatino Linotype" w:hAnsi="Palatino Linotype" w:cs="Arial"/>
          <w:lang w:eastAsia="es-MX"/>
        </w:rPr>
        <w:t xml:space="preserve">fue omiso en realizar manifestaciones en torno al recurso de revisión objeto del presente estudio; mientras que por su parte </w:t>
      </w:r>
      <w:r w:rsidR="004D6488" w:rsidRPr="00417BE9">
        <w:rPr>
          <w:rFonts w:ascii="Palatino Linotype" w:hAnsi="Palatino Linotype" w:cs="Arial"/>
          <w:b/>
          <w:lang w:eastAsia="es-MX"/>
        </w:rPr>
        <w:t xml:space="preserve">EL SUJETO OBLIGADO </w:t>
      </w:r>
      <w:r w:rsidR="004D6488" w:rsidRPr="00417BE9">
        <w:rPr>
          <w:rFonts w:ascii="Palatino Linotype" w:hAnsi="Palatino Linotype" w:cs="Arial"/>
          <w:lang w:eastAsia="es-MX"/>
        </w:rPr>
        <w:t>rindió el Informe Justificado correspondiente, mediante el cual modificó su r</w:t>
      </w:r>
      <w:r w:rsidR="0020132F" w:rsidRPr="00417BE9">
        <w:rPr>
          <w:rFonts w:ascii="Palatino Linotype" w:hAnsi="Palatino Linotype" w:cs="Arial"/>
          <w:lang w:eastAsia="es-MX"/>
        </w:rPr>
        <w:t>espuesta señalando lo siguiente:</w:t>
      </w:r>
    </w:p>
    <w:p w:rsidR="0020132F" w:rsidRPr="00417BE9" w:rsidRDefault="0020132F" w:rsidP="0020132F">
      <w:pPr>
        <w:spacing w:before="100" w:beforeAutospacing="1" w:after="100" w:afterAutospacing="1" w:line="360" w:lineRule="auto"/>
        <w:jc w:val="center"/>
        <w:rPr>
          <w:rFonts w:ascii="Palatino Linotype" w:hAnsi="Palatino Linotype" w:cs="Arial"/>
          <w:lang w:eastAsia="es-MX"/>
        </w:rPr>
      </w:pPr>
      <w:r w:rsidRPr="00417BE9">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862965</wp:posOffset>
                </wp:positionH>
                <wp:positionV relativeFrom="paragraph">
                  <wp:posOffset>1094105</wp:posOffset>
                </wp:positionV>
                <wp:extent cx="4358827" cy="1752600"/>
                <wp:effectExtent l="19050" t="19050" r="22860" b="19050"/>
                <wp:wrapNone/>
                <wp:docPr id="20" name="Rectángulo 20"/>
                <wp:cNvGraphicFramePr/>
                <a:graphic xmlns:a="http://schemas.openxmlformats.org/drawingml/2006/main">
                  <a:graphicData uri="http://schemas.microsoft.com/office/word/2010/wordprocessingShape">
                    <wps:wsp>
                      <wps:cNvSpPr/>
                      <wps:spPr>
                        <a:xfrm>
                          <a:off x="0" y="0"/>
                          <a:ext cx="4358827" cy="17526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61E98" id="Rectángulo 20" o:spid="_x0000_s1026" style="position:absolute;margin-left:67.95pt;margin-top:86.15pt;width:343.2pt;height:1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" filled="f" strokecolor="#1f4d78 [1604]" strokeweight="2.25pt"/>
            </w:pict>
          </mc:Fallback>
        </mc:AlternateContent>
      </w:r>
      <w:r w:rsidRPr="00417BE9">
        <w:rPr>
          <w:noProof/>
          <w:lang w:eastAsia="es-MX"/>
        </w:rPr>
        <w:drawing>
          <wp:inline distT="0" distB="0" distL="0" distR="0" wp14:anchorId="738B73F4" wp14:editId="4CB66DB7">
            <wp:extent cx="4730266" cy="6667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15" t="11191" r="30553" b="15806"/>
                    <a:stretch/>
                  </pic:blipFill>
                  <pic:spPr bwMode="auto">
                    <a:xfrm>
                      <a:off x="0" y="0"/>
                      <a:ext cx="4754397" cy="6701513"/>
                    </a:xfrm>
                    <a:prstGeom prst="rect">
                      <a:avLst/>
                    </a:prstGeom>
                    <a:ln>
                      <a:noFill/>
                    </a:ln>
                    <a:extLst>
                      <a:ext uri="{53640926-AAD7-44D8-BBD7-CCE9431645EC}">
                        <a14:shadowObscured xmlns:a14="http://schemas.microsoft.com/office/drawing/2010/main"/>
                      </a:ext>
                    </a:extLst>
                  </pic:spPr>
                </pic:pic>
              </a:graphicData>
            </a:graphic>
          </wp:inline>
        </w:drawing>
      </w:r>
    </w:p>
    <w:p w:rsidR="004D6488" w:rsidRPr="00417BE9" w:rsidRDefault="002D2C7B" w:rsidP="004D6488">
      <w:pPr>
        <w:spacing w:before="100" w:beforeAutospacing="1" w:after="100" w:afterAutospacing="1" w:line="360" w:lineRule="auto"/>
        <w:jc w:val="center"/>
        <w:rPr>
          <w:rFonts w:ascii="Palatino Linotype" w:hAnsi="Palatino Linotype" w:cs="Arial"/>
          <w:lang w:eastAsia="es-MX"/>
        </w:rPr>
      </w:pPr>
      <w:r w:rsidRPr="00417BE9">
        <w:rPr>
          <w:noProof/>
          <w:lang w:eastAsia="es-MX"/>
        </w:rPr>
        <w:lastRenderedPageBreak/>
        <mc:AlternateContent>
          <mc:Choice Requires="wps">
            <w:drawing>
              <wp:anchor distT="0" distB="0" distL="114300" distR="114300" simplePos="0" relativeHeight="251665408" behindDoc="0" locked="0" layoutInCell="1" allowOverlap="1" wp14:anchorId="280FBCA4" wp14:editId="7EC4A46F">
                <wp:simplePos x="0" y="0"/>
                <wp:positionH relativeFrom="column">
                  <wp:posOffset>815983</wp:posOffset>
                </wp:positionH>
                <wp:positionV relativeFrom="paragraph">
                  <wp:posOffset>3545840</wp:posOffset>
                </wp:positionV>
                <wp:extent cx="4137025" cy="1334536"/>
                <wp:effectExtent l="19050" t="19050" r="15875" b="18415"/>
                <wp:wrapNone/>
                <wp:docPr id="35" name="Rectángulo 35"/>
                <wp:cNvGraphicFramePr/>
                <a:graphic xmlns:a="http://schemas.openxmlformats.org/drawingml/2006/main">
                  <a:graphicData uri="http://schemas.microsoft.com/office/word/2010/wordprocessingShape">
                    <wps:wsp>
                      <wps:cNvSpPr/>
                      <wps:spPr>
                        <a:xfrm>
                          <a:off x="0" y="0"/>
                          <a:ext cx="4137025" cy="133453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E4488" id="Rectángulo 35" o:spid="_x0000_s1026" style="position:absolute;margin-left:64.25pt;margin-top:279.2pt;width:325.75pt;height:10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" filled="f" strokecolor="#1f4d78 [1604]" strokeweight="2.25pt"/>
            </w:pict>
          </mc:Fallback>
        </mc:AlternateContent>
      </w:r>
      <w:r w:rsidR="0020132F" w:rsidRPr="00417BE9">
        <w:rPr>
          <w:noProof/>
          <w:lang w:eastAsia="es-MX"/>
        </w:rPr>
        <mc:AlternateContent>
          <mc:Choice Requires="wps">
            <w:drawing>
              <wp:anchor distT="0" distB="0" distL="114300" distR="114300" simplePos="0" relativeHeight="251664384" behindDoc="0" locked="0" layoutInCell="1" allowOverlap="1" wp14:anchorId="6A1B86AD" wp14:editId="3D0A78A9">
                <wp:simplePos x="0" y="0"/>
                <wp:positionH relativeFrom="column">
                  <wp:posOffset>989887</wp:posOffset>
                </wp:positionH>
                <wp:positionV relativeFrom="paragraph">
                  <wp:posOffset>6046</wp:posOffset>
                </wp:positionV>
                <wp:extent cx="3848334" cy="3281742"/>
                <wp:effectExtent l="19050" t="19050" r="19050" b="13970"/>
                <wp:wrapNone/>
                <wp:docPr id="21" name="Rectángulo 21"/>
                <wp:cNvGraphicFramePr/>
                <a:graphic xmlns:a="http://schemas.openxmlformats.org/drawingml/2006/main">
                  <a:graphicData uri="http://schemas.microsoft.com/office/word/2010/wordprocessingShape">
                    <wps:wsp>
                      <wps:cNvSpPr/>
                      <wps:spPr>
                        <a:xfrm>
                          <a:off x="0" y="0"/>
                          <a:ext cx="3848334" cy="328174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DFD5A" id="Rectángulo 21" o:spid="_x0000_s1026" style="position:absolute;margin-left:77.95pt;margin-top:.5pt;width:303pt;height:25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" filled="f" strokecolor="#1f4d78 [1604]" strokeweight="2.25pt"/>
            </w:pict>
          </mc:Fallback>
        </mc:AlternateContent>
      </w:r>
      <w:r w:rsidR="0020132F" w:rsidRPr="00417BE9">
        <w:rPr>
          <w:noProof/>
          <w:lang w:eastAsia="es-MX"/>
        </w:rPr>
        <w:drawing>
          <wp:inline distT="0" distB="0" distL="0" distR="0" wp14:anchorId="55C3AEC1" wp14:editId="4F140744">
            <wp:extent cx="3916593" cy="3309792"/>
            <wp:effectExtent l="0" t="0" r="825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25" t="16187" r="32200" b="13396"/>
                    <a:stretch/>
                  </pic:blipFill>
                  <pic:spPr bwMode="auto">
                    <a:xfrm>
                      <a:off x="0" y="0"/>
                      <a:ext cx="3931145" cy="3322089"/>
                    </a:xfrm>
                    <a:prstGeom prst="rect">
                      <a:avLst/>
                    </a:prstGeom>
                    <a:ln>
                      <a:noFill/>
                    </a:ln>
                    <a:extLst>
                      <a:ext uri="{53640926-AAD7-44D8-BBD7-CCE9431645EC}">
                        <a14:shadowObscured xmlns:a14="http://schemas.microsoft.com/office/drawing/2010/main"/>
                      </a:ext>
                    </a:extLst>
                  </pic:spPr>
                </pic:pic>
              </a:graphicData>
            </a:graphic>
          </wp:inline>
        </w:drawing>
      </w:r>
    </w:p>
    <w:p w:rsidR="0020132F" w:rsidRPr="00417BE9" w:rsidRDefault="0020132F" w:rsidP="004D6488">
      <w:pPr>
        <w:spacing w:before="100" w:beforeAutospacing="1" w:after="100" w:afterAutospacing="1" w:line="360" w:lineRule="auto"/>
        <w:jc w:val="center"/>
        <w:rPr>
          <w:rFonts w:ascii="Palatino Linotype" w:hAnsi="Palatino Linotype" w:cs="Arial"/>
          <w:lang w:eastAsia="es-MX"/>
        </w:rPr>
      </w:pPr>
      <w:r w:rsidRPr="00417BE9">
        <w:rPr>
          <w:noProof/>
          <w:lang w:eastAsia="es-MX"/>
        </w:rPr>
        <w:drawing>
          <wp:inline distT="0" distB="0" distL="0" distR="0" wp14:anchorId="496DE914" wp14:editId="2CC14AB7">
            <wp:extent cx="4126865" cy="320040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72" t="10848" r="25807" b="14084"/>
                    <a:stretch/>
                  </pic:blipFill>
                  <pic:spPr bwMode="auto">
                    <a:xfrm>
                      <a:off x="0" y="0"/>
                      <a:ext cx="4137080" cy="3208322"/>
                    </a:xfrm>
                    <a:prstGeom prst="rect">
                      <a:avLst/>
                    </a:prstGeom>
                    <a:ln>
                      <a:noFill/>
                    </a:ln>
                    <a:extLst>
                      <a:ext uri="{53640926-AAD7-44D8-BBD7-CCE9431645EC}">
                        <a14:shadowObscured xmlns:a14="http://schemas.microsoft.com/office/drawing/2010/main"/>
                      </a:ext>
                    </a:extLst>
                  </pic:spPr>
                </pic:pic>
              </a:graphicData>
            </a:graphic>
          </wp:inline>
        </w:drawing>
      </w:r>
    </w:p>
    <w:p w:rsidR="0020132F" w:rsidRPr="00417BE9" w:rsidRDefault="002D2C7B" w:rsidP="004D6488">
      <w:pPr>
        <w:spacing w:before="100" w:beforeAutospacing="1" w:after="100" w:afterAutospacing="1" w:line="360" w:lineRule="auto"/>
        <w:jc w:val="center"/>
        <w:rPr>
          <w:rFonts w:ascii="Palatino Linotype" w:hAnsi="Palatino Linotype" w:cs="Arial"/>
          <w:lang w:eastAsia="es-MX"/>
        </w:rPr>
      </w:pPr>
      <w:r w:rsidRPr="00417BE9">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1034766</wp:posOffset>
                </wp:positionH>
                <wp:positionV relativeFrom="paragraph">
                  <wp:posOffset>1722650</wp:posOffset>
                </wp:positionV>
                <wp:extent cx="3820284" cy="2193438"/>
                <wp:effectExtent l="19050" t="19050" r="27940" b="16510"/>
                <wp:wrapNone/>
                <wp:docPr id="36" name="Rectángulo 36"/>
                <wp:cNvGraphicFramePr/>
                <a:graphic xmlns:a="http://schemas.openxmlformats.org/drawingml/2006/main">
                  <a:graphicData uri="http://schemas.microsoft.com/office/word/2010/wordprocessingShape">
                    <wps:wsp>
                      <wps:cNvSpPr/>
                      <wps:spPr>
                        <a:xfrm>
                          <a:off x="0" y="0"/>
                          <a:ext cx="3820284" cy="219343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F1DD1" id="Rectángulo 36" o:spid="_x0000_s1026" style="position:absolute;margin-left:81.5pt;margin-top:135.65pt;width:300.8pt;height:17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" filled="f" strokecolor="#1f4d78 [1604]" strokeweight="2.25pt"/>
            </w:pict>
          </mc:Fallback>
        </mc:AlternateContent>
      </w:r>
      <w:r w:rsidR="0020132F" w:rsidRPr="00417BE9">
        <w:rPr>
          <w:noProof/>
          <w:lang w:eastAsia="es-MX"/>
        </w:rPr>
        <w:drawing>
          <wp:inline distT="0" distB="0" distL="0" distR="0" wp14:anchorId="4118A70C" wp14:editId="2300C53E">
            <wp:extent cx="4120439" cy="156513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45" t="21354" r="25517" b="46276"/>
                    <a:stretch/>
                  </pic:blipFill>
                  <pic:spPr bwMode="auto">
                    <a:xfrm>
                      <a:off x="0" y="0"/>
                      <a:ext cx="4120439" cy="1565139"/>
                    </a:xfrm>
                    <a:prstGeom prst="rect">
                      <a:avLst/>
                    </a:prstGeom>
                    <a:ln>
                      <a:noFill/>
                    </a:ln>
                    <a:extLst>
                      <a:ext uri="{53640926-AAD7-44D8-BBD7-CCE9431645EC}">
                        <a14:shadowObscured xmlns:a14="http://schemas.microsoft.com/office/drawing/2010/main"/>
                      </a:ext>
                    </a:extLst>
                  </pic:spPr>
                </pic:pic>
              </a:graphicData>
            </a:graphic>
          </wp:inline>
        </w:drawing>
      </w:r>
    </w:p>
    <w:p w:rsidR="0020132F" w:rsidRPr="00417BE9" w:rsidRDefault="0020132F" w:rsidP="004D6488">
      <w:pPr>
        <w:spacing w:before="100" w:beforeAutospacing="1" w:after="100" w:afterAutospacing="1" w:line="360" w:lineRule="auto"/>
        <w:jc w:val="center"/>
        <w:rPr>
          <w:rFonts w:ascii="Palatino Linotype" w:hAnsi="Palatino Linotype" w:cs="Arial"/>
          <w:lang w:eastAsia="es-MX"/>
        </w:rPr>
      </w:pPr>
      <w:r w:rsidRPr="00417BE9">
        <w:rPr>
          <w:noProof/>
          <w:lang w:eastAsia="es-MX"/>
        </w:rPr>
        <w:drawing>
          <wp:inline distT="0" distB="0" distL="0" distR="0" wp14:anchorId="692DEE4B" wp14:editId="7DCFB3F1">
            <wp:extent cx="3914775" cy="246233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96" t="9988" r="26776" b="30956"/>
                    <a:stretch/>
                  </pic:blipFill>
                  <pic:spPr bwMode="auto">
                    <a:xfrm>
                      <a:off x="0" y="0"/>
                      <a:ext cx="3947400" cy="2482860"/>
                    </a:xfrm>
                    <a:prstGeom prst="rect">
                      <a:avLst/>
                    </a:prstGeom>
                    <a:ln>
                      <a:noFill/>
                    </a:ln>
                    <a:extLst>
                      <a:ext uri="{53640926-AAD7-44D8-BBD7-CCE9431645EC}">
                        <a14:shadowObscured xmlns:a14="http://schemas.microsoft.com/office/drawing/2010/main"/>
                      </a:ext>
                    </a:extLst>
                  </pic:spPr>
                </pic:pic>
              </a:graphicData>
            </a:graphic>
          </wp:inline>
        </w:drawing>
      </w:r>
    </w:p>
    <w:p w:rsidR="0020132F" w:rsidRPr="00417BE9" w:rsidRDefault="0020132F" w:rsidP="004D6488">
      <w:pPr>
        <w:spacing w:before="100" w:beforeAutospacing="1" w:after="100" w:afterAutospacing="1" w:line="360" w:lineRule="auto"/>
        <w:jc w:val="center"/>
        <w:rPr>
          <w:rFonts w:ascii="Palatino Linotype" w:hAnsi="Palatino Linotype" w:cs="Arial"/>
          <w:lang w:eastAsia="es-MX"/>
        </w:rPr>
      </w:pPr>
      <w:r w:rsidRPr="00417BE9">
        <w:rPr>
          <w:noProof/>
          <w:lang w:eastAsia="es-MX"/>
        </w:rPr>
        <w:drawing>
          <wp:inline distT="0" distB="0" distL="0" distR="0" wp14:anchorId="6E9A48D4" wp14:editId="05D52656">
            <wp:extent cx="4347210" cy="22764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089" t="8782" r="25710" b="24243"/>
                    <a:stretch/>
                  </pic:blipFill>
                  <pic:spPr bwMode="auto">
                    <a:xfrm>
                      <a:off x="0" y="0"/>
                      <a:ext cx="4383651" cy="2295558"/>
                    </a:xfrm>
                    <a:prstGeom prst="rect">
                      <a:avLst/>
                    </a:prstGeom>
                    <a:ln>
                      <a:noFill/>
                    </a:ln>
                    <a:extLst>
                      <a:ext uri="{53640926-AAD7-44D8-BBD7-CCE9431645EC}">
                        <a14:shadowObscured xmlns:a14="http://schemas.microsoft.com/office/drawing/2010/main"/>
                      </a:ext>
                    </a:extLst>
                  </pic:spPr>
                </pic:pic>
              </a:graphicData>
            </a:graphic>
          </wp:inline>
        </w:drawing>
      </w:r>
    </w:p>
    <w:p w:rsidR="00535D24" w:rsidRDefault="00535D24" w:rsidP="00535D24">
      <w:pPr>
        <w:spacing w:line="360" w:lineRule="auto"/>
        <w:jc w:val="both"/>
        <w:rPr>
          <w:rFonts w:ascii="Palatino Linotype" w:eastAsia="Calibri" w:hAnsi="Palatino Linotype" w:cs="Bookman Old Style,Bold"/>
          <w:bCs/>
          <w:lang w:eastAsia="en-US"/>
        </w:rPr>
      </w:pPr>
    </w:p>
    <w:p w:rsidR="004D6488" w:rsidRPr="00417BE9" w:rsidRDefault="004D6488" w:rsidP="00535D24">
      <w:pPr>
        <w:spacing w:line="360" w:lineRule="auto"/>
        <w:jc w:val="both"/>
        <w:rPr>
          <w:rFonts w:ascii="Palatino Linotype" w:eastAsia="Calibri" w:hAnsi="Palatino Linotype" w:cs="Bookman Old Style,Bold"/>
          <w:bCs/>
          <w:lang w:eastAsia="en-US"/>
        </w:rPr>
      </w:pPr>
      <w:r w:rsidRPr="00417BE9">
        <w:rPr>
          <w:rFonts w:ascii="Palatino Linotype" w:eastAsia="Calibri" w:hAnsi="Palatino Linotype" w:cs="Bookman Old Style,Bold"/>
          <w:bCs/>
          <w:lang w:eastAsia="en-US"/>
        </w:rPr>
        <w:t>De</w:t>
      </w:r>
      <w:r w:rsidR="002D2C7B" w:rsidRPr="00417BE9">
        <w:rPr>
          <w:rFonts w:ascii="Palatino Linotype" w:eastAsia="Calibri" w:hAnsi="Palatino Linotype" w:cs="Bookman Old Style,Bold"/>
          <w:bCs/>
          <w:lang w:eastAsia="en-US"/>
        </w:rPr>
        <w:t xml:space="preserve">l análisis a las imágenes insertas, es que esta Ponencia Resolutora determinó </w:t>
      </w:r>
      <w:r w:rsidRPr="00417BE9">
        <w:rPr>
          <w:rFonts w:ascii="Palatino Linotype" w:eastAsia="Calibri" w:hAnsi="Palatino Linotype" w:cs="Bookman Old Style,Bold"/>
          <w:bCs/>
          <w:lang w:eastAsia="en-US"/>
        </w:rPr>
        <w:t xml:space="preserve">hacer del conocimiento del </w:t>
      </w:r>
      <w:r w:rsidR="002D2C7B" w:rsidRPr="00417BE9">
        <w:rPr>
          <w:rFonts w:ascii="Palatino Linotype" w:eastAsia="Calibri" w:hAnsi="Palatino Linotype" w:cs="Bookman Old Style,Bold"/>
          <w:b/>
          <w:bCs/>
          <w:lang w:eastAsia="en-US"/>
        </w:rPr>
        <w:t xml:space="preserve">RECURRENTE </w:t>
      </w:r>
      <w:r w:rsidR="002D2C7B" w:rsidRPr="00417BE9">
        <w:rPr>
          <w:rFonts w:ascii="Palatino Linotype" w:eastAsia="Calibri" w:hAnsi="Palatino Linotype" w:cs="Bookman Old Style,Bold"/>
          <w:bCs/>
          <w:lang w:eastAsia="en-US"/>
        </w:rPr>
        <w:t xml:space="preserve">dicho Informe Justificado </w:t>
      </w:r>
      <w:r w:rsidRPr="00417BE9">
        <w:rPr>
          <w:rFonts w:ascii="Palatino Linotype" w:eastAsia="Calibri" w:hAnsi="Palatino Linotype" w:cs="Bookman Old Style,Bold"/>
          <w:bCs/>
          <w:lang w:eastAsia="en-US"/>
        </w:rPr>
        <w:t xml:space="preserve">mismo que </w:t>
      </w:r>
      <w:r w:rsidR="002D2C7B" w:rsidRPr="00417BE9">
        <w:rPr>
          <w:rFonts w:ascii="Palatino Linotype" w:eastAsia="Calibri" w:hAnsi="Palatino Linotype" w:cs="Bookman Old Style,Bold"/>
          <w:bCs/>
          <w:lang w:eastAsia="en-US"/>
        </w:rPr>
        <w:t>contiene</w:t>
      </w:r>
      <w:r w:rsidRPr="00417BE9">
        <w:rPr>
          <w:rFonts w:ascii="Palatino Linotype" w:eastAsia="Calibri" w:hAnsi="Palatino Linotype" w:cs="Bookman Old Style,Bold"/>
          <w:bCs/>
          <w:lang w:eastAsia="en-US"/>
        </w:rPr>
        <w:t xml:space="preserve"> la información </w:t>
      </w:r>
      <w:r w:rsidR="002D2C7B" w:rsidRPr="00417BE9">
        <w:rPr>
          <w:rFonts w:ascii="Palatino Linotype" w:eastAsia="Calibri" w:hAnsi="Palatino Linotype" w:cs="Bookman Old Style,Bold"/>
          <w:bCs/>
          <w:lang w:eastAsia="en-US"/>
        </w:rPr>
        <w:t xml:space="preserve">solicitada, destacando que el particular no realizó manifestación alguna al </w:t>
      </w:r>
      <w:r w:rsidRPr="00417BE9">
        <w:rPr>
          <w:rFonts w:ascii="Palatino Linotype" w:eastAsia="Calibri" w:hAnsi="Palatino Linotype" w:cs="Bookman Old Style,Bold"/>
          <w:bCs/>
          <w:lang w:eastAsia="en-US"/>
        </w:rPr>
        <w:t xml:space="preserve">respecto; razón por la cual, </w:t>
      </w:r>
      <w:r w:rsidRPr="00417BE9">
        <w:rPr>
          <w:rFonts w:ascii="Palatino Linotype" w:hAnsi="Palatino Linotype" w:cs="Arial"/>
        </w:rPr>
        <w:t xml:space="preserve">es necesario precisar que, al haber realizado </w:t>
      </w:r>
      <w:r w:rsidRPr="00417BE9">
        <w:rPr>
          <w:rFonts w:ascii="Palatino Linotype" w:hAnsi="Palatino Linotype" w:cs="Arial"/>
          <w:b/>
        </w:rPr>
        <w:t xml:space="preserve">EL SUJETO OBLIGADO </w:t>
      </w:r>
      <w:r w:rsidRPr="00417BE9">
        <w:rPr>
          <w:rFonts w:ascii="Palatino Linotype" w:hAnsi="Palatino Linotype" w:cs="Arial"/>
        </w:rPr>
        <w:t xml:space="preserve">un pronunciamiento, </w:t>
      </w:r>
      <w:r w:rsidRPr="00417BE9">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4D6488" w:rsidRDefault="004D6488" w:rsidP="00535D24">
      <w:pPr>
        <w:shd w:val="clear" w:color="auto" w:fill="FFFFFF"/>
        <w:spacing w:line="360" w:lineRule="auto"/>
        <w:jc w:val="both"/>
        <w:rPr>
          <w:rFonts w:ascii="Palatino Linotype" w:hAnsi="Palatino Linotype"/>
          <w:color w:val="222222"/>
        </w:rPr>
      </w:pPr>
      <w:r w:rsidRPr="00417BE9">
        <w:rPr>
          <w:rFonts w:ascii="Palatino Linotype" w:hAnsi="Palatino Linotype"/>
          <w:color w:val="222222"/>
        </w:rPr>
        <w:t>Sirve de apoyo a lo anterior, por analogía, el criterio 31-10 emitido por el entonces Instituto Federal de Acceso a la Información que a la letra dice:</w:t>
      </w:r>
    </w:p>
    <w:p w:rsidR="00535D24" w:rsidRPr="00417BE9" w:rsidRDefault="00535D24" w:rsidP="00535D24">
      <w:pPr>
        <w:shd w:val="clear" w:color="auto" w:fill="FFFFFF"/>
        <w:spacing w:line="360" w:lineRule="auto"/>
        <w:jc w:val="both"/>
        <w:rPr>
          <w:rFonts w:ascii="Palatino Linotype" w:hAnsi="Palatino Linotype"/>
          <w:color w:val="222222"/>
        </w:rPr>
      </w:pPr>
    </w:p>
    <w:p w:rsidR="004D6488" w:rsidRPr="00417BE9" w:rsidRDefault="004D6488" w:rsidP="00535D24">
      <w:pPr>
        <w:shd w:val="clear" w:color="auto" w:fill="FFFFFF"/>
        <w:ind w:left="851" w:right="1276"/>
        <w:jc w:val="both"/>
        <w:rPr>
          <w:rFonts w:ascii="Palatino Linotype" w:hAnsi="Palatino Linotype"/>
          <w:i/>
          <w:iCs/>
          <w:color w:val="222222"/>
          <w:sz w:val="22"/>
          <w:szCs w:val="22"/>
        </w:rPr>
      </w:pPr>
      <w:r w:rsidRPr="00417BE9">
        <w:rPr>
          <w:rFonts w:ascii="Palatino Linotype" w:hAnsi="Palatino Linotype"/>
          <w:b/>
          <w:i/>
          <w:iCs/>
          <w:color w:val="222222"/>
          <w:sz w:val="22"/>
          <w:szCs w:val="22"/>
        </w:rPr>
        <w:t>“</w:t>
      </w:r>
      <w:r w:rsidRPr="00535D24">
        <w:rPr>
          <w:rFonts w:ascii="Palatino Linotype" w:hAnsi="Palatino Linotype"/>
          <w:b/>
          <w:i/>
          <w:iCs/>
          <w:color w:val="222222"/>
          <w:sz w:val="22"/>
          <w:szCs w:val="22"/>
        </w:rPr>
        <w:t>El Instituto Federal de Acceso a la Información y Protección de Datos no cuenta con facultades para pronunciarse respecto de la veracidad de los documentos proporcionados por los sujetos obligados.</w:t>
      </w:r>
      <w:r w:rsidRPr="00417BE9">
        <w:rPr>
          <w:rFonts w:ascii="Palatino Linotype" w:hAnsi="Palatino Linotype"/>
          <w:i/>
          <w:iCs/>
          <w:color w:val="222222"/>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4D6488" w:rsidRPr="00417BE9" w:rsidRDefault="004D6488" w:rsidP="004D6488">
      <w:pPr>
        <w:spacing w:before="100" w:beforeAutospacing="1" w:after="100" w:afterAutospacing="1" w:line="360" w:lineRule="auto"/>
        <w:jc w:val="both"/>
        <w:rPr>
          <w:rFonts w:ascii="Palatino Linotype" w:hAnsi="Palatino Linotype" w:cs="Arial"/>
          <w:i/>
          <w:sz w:val="22"/>
          <w:szCs w:val="22"/>
        </w:rPr>
      </w:pPr>
      <w:r w:rsidRPr="00417BE9">
        <w:rPr>
          <w:rFonts w:ascii="Palatino Linotype" w:hAnsi="Palatino Linotype"/>
        </w:rPr>
        <w:lastRenderedPageBreak/>
        <w:t xml:space="preserve">Entonces, es importante señalar </w:t>
      </w:r>
      <w:r w:rsidRPr="00417BE9">
        <w:rPr>
          <w:rFonts w:ascii="Palatino Linotype" w:hAnsi="Palatino Linotype" w:cs="Arial"/>
        </w:rPr>
        <w:t>que, el artículo 4, párrafo segundo de la Ley de Transparencia y Acceso a la Información Pública del Estado de México y Municipios</w:t>
      </w:r>
      <w:r w:rsidRPr="00417BE9">
        <w:rPr>
          <w:rStyle w:val="Refdenotaalpie"/>
          <w:rFonts w:ascii="Palatino Linotype" w:hAnsi="Palatino Linotype" w:cs="Arial"/>
        </w:rPr>
        <w:footnoteReference w:id="1"/>
      </w:r>
      <w:r w:rsidRPr="00417BE9">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417BE9">
        <w:rPr>
          <w:rFonts w:ascii="Palatino Linotype" w:hAnsi="Palatino Linotype" w:cs="Arial"/>
          <w:i/>
          <w:sz w:val="22"/>
          <w:szCs w:val="22"/>
        </w:rPr>
        <w:t xml:space="preserve"> </w:t>
      </w:r>
    </w:p>
    <w:p w:rsidR="004D6488" w:rsidRPr="00417BE9" w:rsidRDefault="004D6488" w:rsidP="004D6488">
      <w:pPr>
        <w:spacing w:before="100" w:beforeAutospacing="1" w:after="100" w:afterAutospacing="1" w:line="360" w:lineRule="auto"/>
        <w:jc w:val="both"/>
        <w:rPr>
          <w:rFonts w:ascii="Palatino Linotype" w:hAnsi="Palatino Linotype" w:cs="Arial"/>
          <w:i/>
          <w:sz w:val="22"/>
          <w:szCs w:val="22"/>
        </w:rPr>
      </w:pPr>
      <w:r w:rsidRPr="00417BE9">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417BE9">
        <w:rPr>
          <w:rFonts w:ascii="Palatino Linotype" w:hAnsi="Palatino Linotype" w:cs="Arial"/>
          <w:b/>
          <w:color w:val="000000"/>
        </w:rPr>
        <w:t xml:space="preserve"> </w:t>
      </w:r>
      <w:r w:rsidRPr="00417BE9">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417BE9">
        <w:rPr>
          <w:rFonts w:ascii="Palatino Linotype" w:hAnsi="Palatino Linotype" w:cs="Arial"/>
          <w:i/>
          <w:color w:val="000000"/>
        </w:rPr>
        <w:t>ad hoc</w:t>
      </w:r>
      <w:r w:rsidRPr="00417BE9">
        <w:rPr>
          <w:rFonts w:ascii="Palatino Linotype" w:hAnsi="Palatino Linotype" w:cs="Arial"/>
          <w:color w:val="000000"/>
        </w:rPr>
        <w:t>, para satisfacer el derecho de acceso a la información pública.</w:t>
      </w:r>
    </w:p>
    <w:p w:rsidR="004D6488" w:rsidRPr="00417BE9" w:rsidRDefault="004D6488" w:rsidP="004D6488">
      <w:pPr>
        <w:spacing w:before="240" w:after="240" w:line="360" w:lineRule="auto"/>
        <w:jc w:val="both"/>
        <w:rPr>
          <w:rFonts w:ascii="Palatino Linotype" w:hAnsi="Palatino Linotype"/>
          <w:b/>
          <w:bCs/>
          <w:color w:val="000000"/>
        </w:rPr>
      </w:pPr>
      <w:r w:rsidRPr="00417BE9">
        <w:rPr>
          <w:rFonts w:ascii="Palatino Linotype" w:hAnsi="Palatino Linotype" w:cs="Arial"/>
          <w:color w:val="000000"/>
        </w:rPr>
        <w:t xml:space="preserve">Como apoyo a lo anterior, es aplicable el Criterio 03-17, emitido por </w:t>
      </w:r>
      <w:r w:rsidRPr="00417BE9">
        <w:rPr>
          <w:rFonts w:ascii="Palatino Linotype" w:eastAsia="Arial Unicode MS" w:hAnsi="Palatino Linotype" w:cs="Arial"/>
          <w:color w:val="000000"/>
        </w:rPr>
        <w:t>el Instituto Nacional de Transparencia, Acceso a la Información y Protección de Datos Personales,</w:t>
      </w:r>
      <w:r w:rsidRPr="00417BE9">
        <w:rPr>
          <w:rFonts w:ascii="Palatino Linotype" w:hAnsi="Palatino Linotype"/>
          <w:bCs/>
          <w:color w:val="000000"/>
        </w:rPr>
        <w:t xml:space="preserve"> que dice:</w:t>
      </w:r>
      <w:r w:rsidRPr="00417BE9">
        <w:rPr>
          <w:rFonts w:ascii="Palatino Linotype" w:hAnsi="Palatino Linotype"/>
          <w:b/>
          <w:bCs/>
          <w:color w:val="000000"/>
        </w:rPr>
        <w:t xml:space="preserve"> </w:t>
      </w:r>
    </w:p>
    <w:p w:rsidR="004D6488" w:rsidRPr="00417BE9" w:rsidRDefault="004D6488" w:rsidP="004D6488">
      <w:pPr>
        <w:ind w:left="851" w:right="902"/>
        <w:jc w:val="both"/>
        <w:rPr>
          <w:rFonts w:ascii="Palatino Linotype" w:hAnsi="Palatino Linotype" w:cs="Arial"/>
          <w:i/>
          <w:color w:val="000000"/>
          <w:sz w:val="22"/>
          <w:szCs w:val="22"/>
        </w:rPr>
      </w:pPr>
      <w:r w:rsidRPr="00417BE9">
        <w:rPr>
          <w:rFonts w:ascii="Palatino Linotype" w:hAnsi="Palatino Linotype" w:cs="Arial"/>
          <w:b/>
          <w:i/>
          <w:color w:val="000000"/>
          <w:sz w:val="22"/>
          <w:szCs w:val="22"/>
        </w:rPr>
        <w:t>“No existe obligación de elaborar documentos ad hoc para atender las solicitudes de acceso a la información.</w:t>
      </w:r>
      <w:r w:rsidRPr="00417BE9">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w:t>
      </w:r>
      <w:r w:rsidRPr="00417BE9">
        <w:rPr>
          <w:rFonts w:ascii="Palatino Linotype" w:hAnsi="Palatino Linotype" w:cs="Arial"/>
          <w:i/>
          <w:color w:val="000000"/>
          <w:sz w:val="22"/>
          <w:szCs w:val="22"/>
        </w:rPr>
        <w:lastRenderedPageBreak/>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35D24" w:rsidRDefault="00535D24" w:rsidP="004D6488">
      <w:pPr>
        <w:ind w:left="851" w:right="902"/>
        <w:jc w:val="both"/>
        <w:rPr>
          <w:rFonts w:ascii="Palatino Linotype" w:hAnsi="Palatino Linotype" w:cs="Arial"/>
          <w:i/>
          <w:color w:val="000000"/>
          <w:sz w:val="22"/>
          <w:szCs w:val="22"/>
        </w:rPr>
      </w:pPr>
    </w:p>
    <w:p w:rsidR="00535D24" w:rsidRPr="00417BE9" w:rsidRDefault="004D6488" w:rsidP="00535D24">
      <w:pPr>
        <w:ind w:left="851" w:right="902"/>
        <w:jc w:val="both"/>
        <w:rPr>
          <w:rFonts w:ascii="Palatino Linotype" w:hAnsi="Palatino Linotype" w:cs="Arial"/>
          <w:i/>
          <w:color w:val="000000"/>
          <w:sz w:val="22"/>
          <w:szCs w:val="22"/>
        </w:rPr>
      </w:pPr>
      <w:r w:rsidRPr="00417BE9">
        <w:rPr>
          <w:rFonts w:ascii="Palatino Linotype" w:hAnsi="Palatino Linotype" w:cs="Arial"/>
          <w:i/>
          <w:color w:val="000000"/>
          <w:sz w:val="22"/>
          <w:szCs w:val="22"/>
        </w:rPr>
        <w:t xml:space="preserve">Resoluciones: </w:t>
      </w:r>
    </w:p>
    <w:p w:rsidR="004D6488" w:rsidRPr="00417BE9" w:rsidRDefault="004D6488" w:rsidP="004D6488">
      <w:pPr>
        <w:ind w:left="851" w:right="902"/>
        <w:jc w:val="both"/>
        <w:rPr>
          <w:rFonts w:ascii="Palatino Linotype" w:hAnsi="Palatino Linotype" w:cs="Arial"/>
          <w:i/>
          <w:color w:val="000000"/>
          <w:sz w:val="22"/>
          <w:szCs w:val="22"/>
        </w:rPr>
      </w:pPr>
      <w:r w:rsidRPr="00417BE9">
        <w:rPr>
          <w:rFonts w:ascii="Palatino Linotype" w:hAnsi="Palatino Linotype" w:cs="Arial"/>
          <w:i/>
          <w:color w:val="000000"/>
          <w:sz w:val="22"/>
          <w:szCs w:val="22"/>
        </w:rPr>
        <w:sym w:font="Symbol" w:char="F0B7"/>
      </w:r>
      <w:r w:rsidRPr="00417BE9">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D6488" w:rsidRPr="00417BE9" w:rsidRDefault="004D6488" w:rsidP="004D6488">
      <w:pPr>
        <w:ind w:left="851" w:right="902"/>
        <w:jc w:val="both"/>
        <w:rPr>
          <w:rFonts w:ascii="Palatino Linotype" w:hAnsi="Palatino Linotype" w:cs="Arial"/>
          <w:i/>
          <w:color w:val="000000"/>
          <w:sz w:val="22"/>
          <w:szCs w:val="22"/>
        </w:rPr>
      </w:pPr>
      <w:r w:rsidRPr="00417BE9">
        <w:rPr>
          <w:rFonts w:ascii="Palatino Linotype" w:hAnsi="Palatino Linotype" w:cs="Arial"/>
          <w:i/>
          <w:color w:val="000000"/>
          <w:sz w:val="22"/>
          <w:szCs w:val="22"/>
        </w:rPr>
        <w:sym w:font="Symbol" w:char="F0B7"/>
      </w:r>
      <w:r w:rsidRPr="00417BE9">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D6488" w:rsidRPr="00417BE9" w:rsidRDefault="004D6488" w:rsidP="004D6488">
      <w:pPr>
        <w:ind w:left="851" w:right="902"/>
        <w:jc w:val="both"/>
        <w:rPr>
          <w:rFonts w:ascii="Palatino Linotype" w:hAnsi="Palatino Linotype" w:cs="Arial"/>
          <w:i/>
          <w:color w:val="000000"/>
          <w:sz w:val="22"/>
          <w:szCs w:val="22"/>
        </w:rPr>
      </w:pPr>
      <w:r w:rsidRPr="00417BE9">
        <w:rPr>
          <w:rFonts w:ascii="Palatino Linotype" w:hAnsi="Palatino Linotype" w:cs="Arial"/>
          <w:i/>
          <w:color w:val="000000"/>
          <w:sz w:val="22"/>
          <w:szCs w:val="22"/>
        </w:rPr>
        <w:sym w:font="Symbol" w:char="F0B7"/>
      </w:r>
      <w:r w:rsidRPr="00417BE9">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4D6488" w:rsidRPr="00417BE9" w:rsidRDefault="004D6488" w:rsidP="004D6488">
      <w:pPr>
        <w:spacing w:before="240" w:after="240" w:line="360" w:lineRule="auto"/>
        <w:jc w:val="both"/>
        <w:rPr>
          <w:rFonts w:ascii="Palatino Linotype" w:hAnsi="Palatino Linotype" w:cs="Arial"/>
          <w:color w:val="000000" w:themeColor="text1"/>
        </w:rPr>
      </w:pPr>
      <w:r w:rsidRPr="00417BE9">
        <w:rPr>
          <w:rFonts w:ascii="Palatino Linotype" w:hAnsi="Palatino Linotype" w:cs="Arial"/>
          <w:color w:val="000000" w:themeColor="text1"/>
        </w:rPr>
        <w:t xml:space="preserve">Asimismo, el artículo 24 de la Ley de la materia, dispone que los Sujetos Obligados </w:t>
      </w:r>
      <w:r w:rsidRPr="00417BE9">
        <w:rPr>
          <w:rFonts w:ascii="Palatino Linotype" w:hAnsi="Palatino Linotype" w:cs="Arial"/>
          <w:b/>
          <w:color w:val="000000" w:themeColor="text1"/>
        </w:rPr>
        <w:t xml:space="preserve">sólo proporcionarán la información pública que </w:t>
      </w:r>
      <w:r w:rsidRPr="00417BE9">
        <w:rPr>
          <w:rFonts w:ascii="Palatino Linotype" w:hAnsi="Palatino Linotype" w:cs="Arial"/>
          <w:b/>
        </w:rPr>
        <w:t>generen</w:t>
      </w:r>
      <w:r w:rsidRPr="00417BE9">
        <w:rPr>
          <w:rFonts w:ascii="Palatino Linotype" w:hAnsi="Palatino Linotype" w:cs="Arial"/>
          <w:b/>
          <w:color w:val="000000" w:themeColor="text1"/>
        </w:rPr>
        <w:t>, administren o posean en el ejercicio de sus atribuciones</w:t>
      </w:r>
      <w:r w:rsidRPr="00417BE9">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4D6488" w:rsidRPr="00417BE9" w:rsidRDefault="004D6488" w:rsidP="004D6488">
      <w:pPr>
        <w:spacing w:before="100" w:beforeAutospacing="1" w:after="100" w:afterAutospacing="1" w:line="360" w:lineRule="auto"/>
        <w:ind w:right="51"/>
        <w:jc w:val="both"/>
        <w:rPr>
          <w:rFonts w:ascii="Palatino Linotype" w:hAnsi="Palatino Linotype" w:cs="Arial"/>
        </w:rPr>
      </w:pPr>
      <w:r w:rsidRPr="00417BE9">
        <w:rPr>
          <w:rFonts w:ascii="Palatino Linotype" w:hAnsi="Palatino Linotype"/>
        </w:rPr>
        <w:t xml:space="preserve">En mérito de lo anteriormente expuesto, resulta evidente que </w:t>
      </w:r>
      <w:r w:rsidRPr="00417BE9">
        <w:rPr>
          <w:rFonts w:ascii="Palatino Linotype" w:hAnsi="Palatino Linotype" w:cs="Arial"/>
        </w:rPr>
        <w:t xml:space="preserve">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 pues se insiste, </w:t>
      </w:r>
      <w:r w:rsidRPr="00417BE9">
        <w:rPr>
          <w:rFonts w:ascii="Palatino Linotype" w:hAnsi="Palatino Linotype" w:cs="Arial"/>
          <w:b/>
        </w:rPr>
        <w:t xml:space="preserve">EL SUJETO OBLIGADO </w:t>
      </w:r>
      <w:r w:rsidRPr="00417BE9">
        <w:rPr>
          <w:rFonts w:ascii="Palatino Linotype" w:hAnsi="Palatino Linotype" w:cs="Arial"/>
        </w:rPr>
        <w:t xml:space="preserve">remitió </w:t>
      </w:r>
      <w:r w:rsidR="00C4306D" w:rsidRPr="00417BE9">
        <w:rPr>
          <w:rFonts w:ascii="Palatino Linotype" w:hAnsi="Palatino Linotype" w:cs="Arial"/>
        </w:rPr>
        <w:t xml:space="preserve">el Acta de Cabildo mediante la cual se aprobó el nombramiento </w:t>
      </w:r>
      <w:r w:rsidR="00C4306D" w:rsidRPr="00417BE9">
        <w:rPr>
          <w:rFonts w:ascii="Palatino Linotype" w:hAnsi="Palatino Linotype" w:cs="Arial"/>
        </w:rPr>
        <w:lastRenderedPageBreak/>
        <w:t xml:space="preserve">de los integrantes del Consejo Directivo del Organismo de Agua del Municipio, de la cual, se pudo advertir el cargo con que cuentan los servidores públicos en la actual administración y el que ocuparan en el </w:t>
      </w:r>
      <w:proofErr w:type="spellStart"/>
      <w:r w:rsidR="00C4306D" w:rsidRPr="00417BE9">
        <w:rPr>
          <w:rFonts w:ascii="Palatino Linotype" w:hAnsi="Palatino Linotype" w:cs="Arial"/>
        </w:rPr>
        <w:t>multireferido</w:t>
      </w:r>
      <w:proofErr w:type="spellEnd"/>
      <w:r w:rsidR="00C4306D" w:rsidRPr="00417BE9">
        <w:rPr>
          <w:rFonts w:ascii="Palatino Linotype" w:hAnsi="Palatino Linotype" w:cs="Arial"/>
        </w:rPr>
        <w:t xml:space="preserve"> Consejo Directivo; lo que en estricto sentido dejó </w:t>
      </w:r>
      <w:r w:rsidRPr="00417BE9">
        <w:rPr>
          <w:rFonts w:ascii="Palatino Linotype" w:hAnsi="Palatino Linotype" w:cs="Arial"/>
        </w:rPr>
        <w:t>sin materia el presente medio de impugnación.</w:t>
      </w:r>
    </w:p>
    <w:p w:rsidR="004D6488" w:rsidRPr="00417BE9" w:rsidRDefault="004D6488" w:rsidP="004D6488">
      <w:pPr>
        <w:spacing w:before="100" w:beforeAutospacing="1" w:after="100" w:afterAutospacing="1" w:line="360" w:lineRule="auto"/>
        <w:jc w:val="both"/>
        <w:rPr>
          <w:rFonts w:ascii="Palatino Linotype" w:eastAsia="Calibri" w:hAnsi="Palatino Linotype" w:cs="Arial"/>
        </w:rPr>
      </w:pPr>
      <w:r w:rsidRPr="00417BE9">
        <w:rPr>
          <w:rFonts w:ascii="Palatino Linotype" w:eastAsia="Calibri" w:hAnsi="Palatino Linotype" w:cs="Arial"/>
        </w:rPr>
        <w:t xml:space="preserve">Así, con fundamento en lo prescrito en los artículos 5 párrafos </w:t>
      </w:r>
      <w:r w:rsidRPr="00417BE9">
        <w:rPr>
          <w:rFonts w:ascii="Palatino Linotype" w:hAnsi="Palatino Linotype"/>
        </w:rPr>
        <w:t xml:space="preserve">vigésimo segundo, vigésimo tercero y vigésimo cuarto, fracciones IV y V </w:t>
      </w:r>
      <w:r w:rsidRPr="00417BE9">
        <w:rPr>
          <w:rFonts w:ascii="Palatino Linotype" w:eastAsia="Calibri" w:hAnsi="Palatino Linotype" w:cs="Arial"/>
        </w:rPr>
        <w:t xml:space="preserve">de la Constitución Política del Estado Libre y Soberano de México; </w:t>
      </w:r>
      <w:r w:rsidRPr="00417BE9">
        <w:rPr>
          <w:rFonts w:ascii="Palatino Linotype" w:hAnsi="Palatino Linotype" w:cs="Arial"/>
        </w:rPr>
        <w:t>2 fracción II, 29, 36 fracciones I y II, 176, 178, 179, 181, 185 fracción I, 186 y 188</w:t>
      </w:r>
      <w:r w:rsidRPr="00417BE9">
        <w:rPr>
          <w:rFonts w:ascii="Palatino Linotype" w:eastAsia="Calibri" w:hAnsi="Palatino Linotype" w:cs="Arial"/>
        </w:rPr>
        <w:t xml:space="preserve"> de la Ley de Transparencia y Acceso a la Información Pública del Estado de México y Municipios, este Pleno: </w:t>
      </w:r>
    </w:p>
    <w:p w:rsidR="004D6488" w:rsidRPr="00417BE9" w:rsidRDefault="004D6488" w:rsidP="004D6488">
      <w:pPr>
        <w:spacing w:before="240" w:after="120" w:line="360" w:lineRule="auto"/>
        <w:jc w:val="center"/>
        <w:rPr>
          <w:rFonts w:ascii="Palatino Linotype" w:hAnsi="Palatino Linotype" w:cs="Arial"/>
          <w:b/>
          <w:bCs/>
          <w:spacing w:val="40"/>
          <w:sz w:val="28"/>
          <w:szCs w:val="28"/>
          <w:lang w:val="es-ES_tradnl"/>
        </w:rPr>
      </w:pPr>
      <w:r w:rsidRPr="00417BE9">
        <w:rPr>
          <w:rFonts w:ascii="Palatino Linotype" w:hAnsi="Palatino Linotype" w:cs="Arial"/>
          <w:b/>
          <w:bCs/>
          <w:spacing w:val="40"/>
          <w:sz w:val="28"/>
          <w:szCs w:val="28"/>
          <w:lang w:val="es-ES_tradnl"/>
        </w:rPr>
        <w:t>RESUELVE</w:t>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cs="Arial"/>
          <w:szCs w:val="28"/>
        </w:rPr>
      </w:pPr>
      <w:r w:rsidRPr="00417BE9">
        <w:rPr>
          <w:rFonts w:ascii="Palatino Linotype" w:hAnsi="Palatino Linotype" w:cs="Arial"/>
          <w:b/>
          <w:sz w:val="28"/>
          <w:szCs w:val="28"/>
        </w:rPr>
        <w:t>PRIMERO.</w:t>
      </w:r>
      <w:r w:rsidRPr="00417BE9">
        <w:rPr>
          <w:rFonts w:ascii="Palatino Linotype" w:hAnsi="Palatino Linotype" w:cs="Arial"/>
          <w:b/>
          <w:szCs w:val="28"/>
        </w:rPr>
        <w:t xml:space="preserve"> </w:t>
      </w:r>
      <w:r w:rsidRPr="00417BE9">
        <w:rPr>
          <w:rFonts w:ascii="Palatino Linotype" w:hAnsi="Palatino Linotype" w:cs="Arial"/>
          <w:szCs w:val="28"/>
        </w:rPr>
        <w:t xml:space="preserve">Se </w:t>
      </w:r>
      <w:r w:rsidRPr="00417BE9">
        <w:rPr>
          <w:rFonts w:ascii="Palatino Linotype" w:hAnsi="Palatino Linotype" w:cs="Arial"/>
          <w:b/>
          <w:szCs w:val="28"/>
        </w:rPr>
        <w:t>SOBRESEE</w:t>
      </w:r>
      <w:r w:rsidRPr="00417BE9">
        <w:rPr>
          <w:rFonts w:ascii="Palatino Linotype" w:hAnsi="Palatino Linotype" w:cs="Arial"/>
          <w:szCs w:val="28"/>
        </w:rPr>
        <w:t xml:space="preserve"> el </w:t>
      </w:r>
      <w:r w:rsidR="00C4306D" w:rsidRPr="00417BE9">
        <w:rPr>
          <w:rFonts w:ascii="Palatino Linotype" w:hAnsi="Palatino Linotype" w:cs="Arial"/>
          <w:szCs w:val="28"/>
        </w:rPr>
        <w:t>recurso de revisión número 08357</w:t>
      </w:r>
      <w:r w:rsidRPr="00417BE9">
        <w:rPr>
          <w:rFonts w:ascii="Palatino Linotype" w:hAnsi="Palatino Linotype" w:cs="Arial"/>
          <w:szCs w:val="28"/>
        </w:rPr>
        <w:t>/INFOEM/IP/RR/2019</w:t>
      </w:r>
      <w:r w:rsidRPr="00417BE9">
        <w:rPr>
          <w:rFonts w:ascii="Palatino Linotype" w:hAnsi="Palatino Linotype" w:cs="Arial"/>
          <w:b/>
          <w:szCs w:val="28"/>
        </w:rPr>
        <w:t>,</w:t>
      </w:r>
      <w:r w:rsidRPr="00417BE9">
        <w:rPr>
          <w:rFonts w:ascii="Palatino Linotype" w:hAnsi="Palatino Linotype" w:cs="Arial"/>
          <w:szCs w:val="28"/>
        </w:rPr>
        <w:t xml:space="preserve"> </w:t>
      </w:r>
      <w:r w:rsidRPr="00417BE9">
        <w:rPr>
          <w:rFonts w:ascii="Palatino Linotype" w:hAnsi="Palatino Linotype" w:cs="Arial"/>
          <w:szCs w:val="28"/>
          <w:lang w:val="es-ES"/>
        </w:rPr>
        <w:t xml:space="preserve">porque al </w:t>
      </w:r>
      <w:r w:rsidRPr="00417BE9">
        <w:rPr>
          <w:rFonts w:ascii="Palatino Linotype" w:hAnsi="Palatino Linotype" w:cs="Arial"/>
          <w:b/>
          <w:szCs w:val="28"/>
          <w:lang w:val="es-ES"/>
        </w:rPr>
        <w:t>modificar la respuesta el recurso de revisión quedó sin materia</w:t>
      </w:r>
      <w:r w:rsidRPr="00417BE9">
        <w:rPr>
          <w:rFonts w:ascii="Palatino Linotype" w:hAnsi="Palatino Linotype" w:cs="Arial"/>
          <w:szCs w:val="28"/>
          <w:lang w:val="es-ES"/>
        </w:rPr>
        <w:t xml:space="preserve">, en términos del Considerando </w:t>
      </w:r>
      <w:r w:rsidRPr="00417BE9">
        <w:rPr>
          <w:rFonts w:ascii="Palatino Linotype" w:hAnsi="Palatino Linotype" w:cs="Arial"/>
          <w:b/>
          <w:szCs w:val="28"/>
          <w:lang w:val="es-ES"/>
        </w:rPr>
        <w:t>QUINTO</w:t>
      </w:r>
      <w:r w:rsidRPr="00417BE9">
        <w:rPr>
          <w:rFonts w:ascii="Palatino Linotype" w:hAnsi="Palatino Linotype" w:cs="Arial"/>
          <w:szCs w:val="28"/>
          <w:lang w:val="es-ES"/>
        </w:rPr>
        <w:t xml:space="preserve"> de la presente resolución.</w:t>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cs="Arial"/>
          <w:szCs w:val="28"/>
        </w:rPr>
      </w:pPr>
      <w:r w:rsidRPr="00417BE9">
        <w:rPr>
          <w:rFonts w:ascii="Palatino Linotype" w:hAnsi="Palatino Linotype"/>
          <w:b/>
          <w:sz w:val="28"/>
          <w:szCs w:val="28"/>
        </w:rPr>
        <w:t>SEGUNDO</w:t>
      </w:r>
      <w:r w:rsidRPr="00417BE9">
        <w:rPr>
          <w:rFonts w:ascii="Palatino Linotype" w:hAnsi="Palatino Linotype"/>
          <w:b/>
        </w:rPr>
        <w:t>. Notifíquese</w:t>
      </w:r>
      <w:r w:rsidRPr="00417BE9">
        <w:rPr>
          <w:rFonts w:ascii="Palatino Linotype" w:hAnsi="Palatino Linotype"/>
        </w:rPr>
        <w:t xml:space="preserve"> la presente resolución al Titular de la Unidad de Transparencia del </w:t>
      </w:r>
      <w:r w:rsidRPr="00417BE9">
        <w:rPr>
          <w:rFonts w:ascii="Palatino Linotype" w:hAnsi="Palatino Linotype"/>
          <w:b/>
        </w:rPr>
        <w:t>SUJETO OBLIGADO</w:t>
      </w:r>
      <w:r w:rsidRPr="00417BE9">
        <w:rPr>
          <w:rFonts w:ascii="Palatino Linotype" w:hAnsi="Palatino Linotype"/>
        </w:rPr>
        <w:t xml:space="preserve"> para su conocimiento.</w:t>
      </w:r>
    </w:p>
    <w:p w:rsidR="004D6488" w:rsidRPr="00417BE9" w:rsidRDefault="004D6488" w:rsidP="004D6488">
      <w:pPr>
        <w:pStyle w:val="Prrafodelista"/>
        <w:spacing w:before="100" w:beforeAutospacing="1" w:after="100" w:afterAutospacing="1" w:line="360" w:lineRule="auto"/>
        <w:ind w:left="0"/>
        <w:jc w:val="both"/>
        <w:rPr>
          <w:rFonts w:ascii="Palatino Linotype" w:hAnsi="Palatino Linotype"/>
          <w:lang w:eastAsia="es-ES_tradnl"/>
        </w:rPr>
      </w:pPr>
      <w:r w:rsidRPr="00417BE9">
        <w:rPr>
          <w:rFonts w:ascii="Palatino Linotype" w:hAnsi="Palatino Linotype"/>
          <w:b/>
          <w:sz w:val="28"/>
          <w:szCs w:val="28"/>
          <w:lang w:eastAsia="es-ES_tradnl"/>
        </w:rPr>
        <w:t>TERCERO</w:t>
      </w:r>
      <w:r w:rsidRPr="00417BE9">
        <w:rPr>
          <w:rFonts w:ascii="Palatino Linotype" w:hAnsi="Palatino Linotype"/>
          <w:b/>
          <w:lang w:eastAsia="es-ES_tradnl"/>
        </w:rPr>
        <w:t>. Notifíquese</w:t>
      </w:r>
      <w:r w:rsidRPr="00417BE9">
        <w:rPr>
          <w:rFonts w:ascii="Palatino Linotype" w:hAnsi="Palatino Linotype"/>
          <w:lang w:eastAsia="es-ES_tradnl"/>
        </w:rPr>
        <w:t xml:space="preserve"> al </w:t>
      </w:r>
      <w:r w:rsidRPr="00417BE9">
        <w:rPr>
          <w:rFonts w:ascii="Palatino Linotype" w:hAnsi="Palatino Linotype"/>
          <w:b/>
          <w:lang w:eastAsia="es-ES_tradnl"/>
        </w:rPr>
        <w:t>RECURRENTE</w:t>
      </w:r>
      <w:r w:rsidRPr="00417BE9">
        <w:rPr>
          <w:rFonts w:ascii="Palatino Linotype" w:hAnsi="Palatino Linotype"/>
          <w:lang w:eastAsia="es-ES_tradnl"/>
        </w:rPr>
        <w:t xml:space="preserve"> la </w:t>
      </w:r>
      <w:r w:rsidRPr="00417BE9">
        <w:rPr>
          <w:rFonts w:ascii="Palatino Linotype" w:hAnsi="Palatino Linotype"/>
        </w:rPr>
        <w:t>presente</w:t>
      </w:r>
      <w:r w:rsidRPr="00417BE9">
        <w:rPr>
          <w:rFonts w:ascii="Palatino Linotype" w:hAnsi="Palatino Linotype"/>
          <w:lang w:eastAsia="es-ES_tradnl"/>
        </w:rPr>
        <w:t xml:space="preserve"> resolución.</w:t>
      </w:r>
    </w:p>
    <w:p w:rsidR="004D6488" w:rsidRDefault="004D6488" w:rsidP="004D6488">
      <w:pPr>
        <w:pStyle w:val="Prrafodelista"/>
        <w:spacing w:before="100" w:beforeAutospacing="1" w:after="100" w:afterAutospacing="1" w:line="360" w:lineRule="auto"/>
        <w:ind w:left="0"/>
        <w:jc w:val="both"/>
        <w:rPr>
          <w:rFonts w:ascii="Palatino Linotype" w:hAnsi="Palatino Linotype"/>
          <w:color w:val="222222"/>
          <w:shd w:val="clear" w:color="auto" w:fill="FFFFFF"/>
        </w:rPr>
      </w:pPr>
      <w:r w:rsidRPr="00417BE9">
        <w:rPr>
          <w:rFonts w:ascii="Palatino Linotype" w:hAnsi="Palatino Linotype"/>
          <w:b/>
          <w:sz w:val="28"/>
          <w:szCs w:val="28"/>
          <w:lang w:eastAsia="es-ES_tradnl"/>
        </w:rPr>
        <w:t>CUARTO</w:t>
      </w:r>
      <w:r w:rsidRPr="00417BE9">
        <w:rPr>
          <w:rFonts w:ascii="Palatino Linotype" w:hAnsi="Palatino Linotype"/>
          <w:b/>
          <w:lang w:eastAsia="es-ES_tradnl"/>
        </w:rPr>
        <w:t>. Hágase</w:t>
      </w:r>
      <w:r w:rsidRPr="00417BE9">
        <w:rPr>
          <w:rFonts w:ascii="Palatino Linotype" w:hAnsi="Palatino Linotype"/>
          <w:lang w:eastAsia="es-ES_tradnl"/>
        </w:rPr>
        <w:t xml:space="preserve"> </w:t>
      </w:r>
      <w:r w:rsidRPr="00417BE9">
        <w:rPr>
          <w:rFonts w:ascii="Palatino Linotype" w:hAnsi="Palatino Linotype"/>
          <w:b/>
          <w:lang w:eastAsia="es-ES_tradnl"/>
        </w:rPr>
        <w:t xml:space="preserve">del </w:t>
      </w:r>
      <w:r w:rsidRPr="00417BE9">
        <w:rPr>
          <w:rFonts w:ascii="Palatino Linotype" w:hAnsi="Palatino Linotype"/>
          <w:b/>
        </w:rPr>
        <w:t>conocimiento</w:t>
      </w:r>
      <w:r w:rsidRPr="00417BE9">
        <w:rPr>
          <w:rFonts w:ascii="Palatino Linotype" w:hAnsi="Palatino Linotype"/>
          <w:b/>
          <w:lang w:eastAsia="es-ES_tradnl"/>
        </w:rPr>
        <w:t xml:space="preserve"> </w:t>
      </w:r>
      <w:r w:rsidRPr="00417BE9">
        <w:rPr>
          <w:rFonts w:ascii="Palatino Linotype" w:hAnsi="Palatino Linotype"/>
          <w:lang w:eastAsia="es-ES_tradnl"/>
        </w:rPr>
        <w:t xml:space="preserve">del </w:t>
      </w:r>
      <w:r w:rsidRPr="00417BE9">
        <w:rPr>
          <w:rFonts w:ascii="Palatino Linotype" w:hAnsi="Palatino Linotype"/>
          <w:b/>
          <w:lang w:eastAsia="es-ES_tradnl"/>
        </w:rPr>
        <w:t>RECURRENTE</w:t>
      </w:r>
      <w:r w:rsidRPr="00417BE9">
        <w:rPr>
          <w:rFonts w:ascii="Palatino Linotype" w:hAnsi="Palatino Linotype"/>
          <w:lang w:eastAsia="es-ES_tradnl"/>
        </w:rPr>
        <w:t xml:space="preserve">, </w:t>
      </w:r>
      <w:r w:rsidRPr="00417BE9">
        <w:rPr>
          <w:rFonts w:ascii="Palatino Linotype" w:hAnsi="Palatino Linotype"/>
          <w:color w:val="222222"/>
          <w:shd w:val="clear" w:color="auto" w:fill="FFFFFF"/>
        </w:rPr>
        <w:t xml:space="preserve">que de conformidad con lo establecido en el artículo 196 de la Ley de Transparencia y Acceso a la Información </w:t>
      </w:r>
      <w:r w:rsidRPr="00417BE9">
        <w:rPr>
          <w:rFonts w:ascii="Palatino Linotype" w:hAnsi="Palatino Linotype"/>
          <w:color w:val="222222"/>
          <w:shd w:val="clear" w:color="auto" w:fill="FFFFFF"/>
        </w:rPr>
        <w:lastRenderedPageBreak/>
        <w:t>Pública del Estado de México y Municipios, podrá impugnarla vía Juicio de Amparo en términos de las leyes aplicables.</w:t>
      </w:r>
    </w:p>
    <w:p w:rsidR="004D6488" w:rsidRDefault="00535D24" w:rsidP="00535D24">
      <w:pPr>
        <w:tabs>
          <w:tab w:val="left" w:pos="709"/>
        </w:tabs>
        <w:spacing w:line="360" w:lineRule="auto"/>
        <w:ind w:right="51"/>
        <w:jc w:val="both"/>
        <w:rPr>
          <w:rFonts w:ascii="Palatino Linotype" w:hAnsi="Palatino Linotype" w:cs="Arial"/>
        </w:rPr>
      </w:pPr>
      <w:r w:rsidRPr="007C2C57">
        <w:rPr>
          <w:rFonts w:ascii="Palatino Linotype" w:hAnsi="Palatino Linotype" w:cs="Arial"/>
        </w:rPr>
        <w:t>ASÍ LO RESUELVE, POR UNANIMIDAD DE VOTOS EL PLENO DEL</w:t>
      </w:r>
      <w:r w:rsidRPr="007C2C57">
        <w:rPr>
          <w:rFonts w:ascii="Palatino Linotype" w:eastAsia="Arial Unicode MS" w:hAnsi="Palatino Linotype" w:cs="Arial"/>
        </w:rPr>
        <w:t xml:space="preserve"> INSTITUTO DE </w:t>
      </w:r>
      <w:r w:rsidRPr="007C2C57">
        <w:rPr>
          <w:rFonts w:ascii="Palatino Linotype" w:hAnsi="Palatino Linotype"/>
          <w:lang w:eastAsia="en-US"/>
        </w:rPr>
        <w:t>TRANSPARENCIA</w:t>
      </w:r>
      <w:r w:rsidRPr="007C2C57">
        <w:rPr>
          <w:rFonts w:ascii="Palatino Linotype" w:eastAsia="Arial Unicode MS" w:hAnsi="Palatino Linotype" w:cs="Arial"/>
        </w:rPr>
        <w:t>, ACCESO A LA INFORMACIÓN PÚBLICA Y PROTECCIÓN DE DATOS PERSONALES DEL ESTADO DE MÉXICO Y MUNICIPIOS</w:t>
      </w:r>
      <w:r w:rsidRPr="007C2C57">
        <w:rPr>
          <w:rFonts w:ascii="Palatino Linotype" w:hAnsi="Palatino Linotype" w:cs="Arial"/>
        </w:rPr>
        <w:t xml:space="preserve">, CONFORMADO POR LOS COMISIONADOS ZULEMA MARTÍNEZ SÁNCHEZ; EVA ABAID YAPUR; JOSÉ GUADALUPE LUNA HERNÁNDEZ, JAVIER MARTÍNEZ CRUZ Y LUIS GUSTAVO PARRA NORIEGA; </w:t>
      </w:r>
      <w:r w:rsidRPr="007C2C57">
        <w:rPr>
          <w:rFonts w:ascii="Palatino Linotype" w:hAnsi="Palatino Linotype" w:cs="Arial"/>
          <w:shd w:val="clear" w:color="auto" w:fill="FFFFFF" w:themeFill="background1"/>
        </w:rPr>
        <w:t xml:space="preserve">EN LA </w:t>
      </w:r>
      <w:r w:rsidRPr="007C2C57">
        <w:rPr>
          <w:rFonts w:ascii="Palatino Linotype" w:hAnsi="Palatino Linotype" w:cs="Arial"/>
        </w:rPr>
        <w:t xml:space="preserve">CUADRAGÉSIMA SEXTA SESIÓN ORDINARIA CELEBRADA EL </w:t>
      </w:r>
      <w:r>
        <w:rPr>
          <w:rFonts w:ascii="Palatino Linotype" w:hAnsi="Palatino Linotype" w:cs="Arial"/>
        </w:rPr>
        <w:t xml:space="preserve">DÍA </w:t>
      </w:r>
      <w:r w:rsidRPr="007C2C57">
        <w:rPr>
          <w:rFonts w:ascii="Palatino Linotype" w:hAnsi="Palatino Linotype" w:cs="Arial"/>
        </w:rPr>
        <w:t xml:space="preserve">ONCE DE DICIEMBRE DE DOS MIL DIECINUEVE, ANTE EL SECRETARIO TÉCNICO DEL PLENO, </w:t>
      </w:r>
      <w:r w:rsidRPr="007C2C57">
        <w:rPr>
          <w:rFonts w:ascii="Palatino Linotype" w:eastAsia="Arial Unicode MS" w:hAnsi="Palatino Linotype" w:cs="Arial"/>
        </w:rPr>
        <w:t>ALEXIS</w:t>
      </w:r>
      <w:r w:rsidRPr="007C2C57">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4D6488" w:rsidRPr="005E7982" w:rsidTr="00A50ED3">
        <w:trPr>
          <w:jc w:val="center"/>
        </w:trPr>
        <w:tc>
          <w:tcPr>
            <w:tcW w:w="10365" w:type="dxa"/>
            <w:gridSpan w:val="2"/>
          </w:tcPr>
          <w:p w:rsidR="004D6488" w:rsidRDefault="004D6488" w:rsidP="00A50ED3">
            <w:pPr>
              <w:jc w:val="center"/>
              <w:rPr>
                <w:rFonts w:ascii="Palatino Linotype" w:hAnsi="Palatino Linotype" w:cs="Arial"/>
                <w:b/>
              </w:rPr>
            </w:pPr>
          </w:p>
          <w:p w:rsidR="004D6488" w:rsidRDefault="004D6488" w:rsidP="00A50ED3">
            <w:pPr>
              <w:jc w:val="center"/>
              <w:rPr>
                <w:rFonts w:ascii="Palatino Linotype" w:hAnsi="Palatino Linotype" w:cs="Arial"/>
                <w:b/>
              </w:rPr>
            </w:pPr>
          </w:p>
          <w:p w:rsidR="004D6488" w:rsidRDefault="004D6488" w:rsidP="00A50ED3">
            <w:pPr>
              <w:jc w:val="center"/>
              <w:rPr>
                <w:rFonts w:ascii="Palatino Linotype" w:hAnsi="Palatino Linotype" w:cs="Arial"/>
                <w:b/>
              </w:rPr>
            </w:pPr>
          </w:p>
          <w:p w:rsidR="00535D24" w:rsidRDefault="00535D24" w:rsidP="00A50ED3">
            <w:pPr>
              <w:jc w:val="center"/>
              <w:rPr>
                <w:rFonts w:ascii="Palatino Linotype" w:hAnsi="Palatino Linotype" w:cs="Arial"/>
                <w:b/>
              </w:rPr>
            </w:pPr>
          </w:p>
          <w:p w:rsidR="00535D24" w:rsidRDefault="00535D24" w:rsidP="00A50ED3">
            <w:pPr>
              <w:jc w:val="center"/>
              <w:rPr>
                <w:rFonts w:ascii="Palatino Linotype" w:hAnsi="Palatino Linotype" w:cs="Arial"/>
                <w:b/>
              </w:rPr>
            </w:pPr>
          </w:p>
          <w:p w:rsidR="004D6488" w:rsidRPr="005E7982" w:rsidRDefault="004D6488" w:rsidP="00A50ED3">
            <w:pPr>
              <w:jc w:val="center"/>
              <w:rPr>
                <w:rFonts w:ascii="Palatino Linotype" w:hAnsi="Palatino Linotype" w:cs="Arial"/>
                <w:b/>
              </w:rPr>
            </w:pPr>
            <w:r w:rsidRPr="005E7982">
              <w:rPr>
                <w:rFonts w:ascii="Palatino Linotype" w:hAnsi="Palatino Linotype" w:cs="Arial"/>
                <w:b/>
              </w:rPr>
              <w:t>Zulema Martínez Sánchez</w:t>
            </w:r>
          </w:p>
          <w:p w:rsidR="004D6488" w:rsidRPr="005E7982" w:rsidRDefault="004D6488" w:rsidP="00A50ED3">
            <w:pPr>
              <w:jc w:val="center"/>
              <w:rPr>
                <w:rFonts w:ascii="Palatino Linotype" w:hAnsi="Palatino Linotype" w:cs="Arial"/>
                <w:b/>
              </w:rPr>
            </w:pPr>
            <w:r w:rsidRPr="005E7982">
              <w:rPr>
                <w:rFonts w:ascii="Palatino Linotype" w:hAnsi="Palatino Linotype" w:cs="Arial"/>
              </w:rPr>
              <w:t>Comisionada Presidenta</w:t>
            </w:r>
          </w:p>
          <w:p w:rsidR="004D6488" w:rsidRPr="005E7982" w:rsidRDefault="004D6488" w:rsidP="00A50ED3">
            <w:pPr>
              <w:jc w:val="center"/>
              <w:rPr>
                <w:rFonts w:ascii="Palatino Linotype" w:hAnsi="Palatino Linotype" w:cs="Arial"/>
                <w:b/>
              </w:rPr>
            </w:pPr>
            <w:r w:rsidRPr="00B57BF0">
              <w:rPr>
                <w:rFonts w:ascii="Palatino Linotype" w:hAnsi="Palatino Linotype" w:cs="Arial"/>
                <w:b/>
                <w:color w:val="FFFFFF" w:themeColor="background1"/>
              </w:rPr>
              <w:t xml:space="preserve">(RÚBRICA) </w:t>
            </w:r>
          </w:p>
        </w:tc>
      </w:tr>
      <w:tr w:rsidR="004D6488" w:rsidRPr="005E7982" w:rsidTr="00A50ED3">
        <w:trPr>
          <w:jc w:val="center"/>
        </w:trPr>
        <w:tc>
          <w:tcPr>
            <w:tcW w:w="5182" w:type="dxa"/>
          </w:tcPr>
          <w:p w:rsidR="004D6488" w:rsidRDefault="004D6488" w:rsidP="00A50ED3">
            <w:pPr>
              <w:jc w:val="center"/>
              <w:rPr>
                <w:rFonts w:ascii="Palatino Linotype" w:hAnsi="Palatino Linotype" w:cs="Arial"/>
                <w:b/>
              </w:rPr>
            </w:pPr>
          </w:p>
          <w:p w:rsidR="004D6488" w:rsidRDefault="004D6488" w:rsidP="00A50ED3">
            <w:pPr>
              <w:jc w:val="center"/>
              <w:rPr>
                <w:rFonts w:ascii="Palatino Linotype" w:hAnsi="Palatino Linotype" w:cs="Arial"/>
                <w:b/>
              </w:rPr>
            </w:pPr>
          </w:p>
          <w:p w:rsidR="004D6488" w:rsidRDefault="004D6488" w:rsidP="00A50ED3">
            <w:pPr>
              <w:jc w:val="center"/>
              <w:rPr>
                <w:rFonts w:ascii="Palatino Linotype" w:hAnsi="Palatino Linotype" w:cs="Arial"/>
                <w:b/>
              </w:rPr>
            </w:pPr>
          </w:p>
          <w:p w:rsidR="00535D24" w:rsidRDefault="00535D24" w:rsidP="00A50ED3">
            <w:pPr>
              <w:jc w:val="center"/>
              <w:rPr>
                <w:rFonts w:ascii="Palatino Linotype" w:hAnsi="Palatino Linotype" w:cs="Arial"/>
                <w:b/>
              </w:rPr>
            </w:pPr>
          </w:p>
          <w:p w:rsidR="00535D24" w:rsidRDefault="00535D24" w:rsidP="00A50ED3">
            <w:pPr>
              <w:jc w:val="center"/>
              <w:rPr>
                <w:rFonts w:ascii="Palatino Linotype" w:hAnsi="Palatino Linotype" w:cs="Arial"/>
                <w:b/>
              </w:rPr>
            </w:pPr>
          </w:p>
          <w:p w:rsidR="004D6488" w:rsidRPr="005E7982" w:rsidRDefault="004D6488" w:rsidP="00A50ED3">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4D6488" w:rsidRPr="005E7982" w:rsidRDefault="004D6488" w:rsidP="00A50ED3">
            <w:pPr>
              <w:jc w:val="center"/>
              <w:rPr>
                <w:rFonts w:ascii="Palatino Linotype" w:hAnsi="Palatino Linotype" w:cs="Arial"/>
              </w:rPr>
            </w:pPr>
            <w:r w:rsidRPr="005E7982">
              <w:rPr>
                <w:rFonts w:ascii="Palatino Linotype" w:hAnsi="Palatino Linotype" w:cs="Arial"/>
              </w:rPr>
              <w:t>Comisionada</w:t>
            </w:r>
          </w:p>
          <w:p w:rsidR="004D6488" w:rsidRPr="005E7982" w:rsidRDefault="004D6488" w:rsidP="00A50ED3">
            <w:pPr>
              <w:jc w:val="center"/>
              <w:rPr>
                <w:rFonts w:ascii="Palatino Linotype" w:hAnsi="Palatino Linotype" w:cs="Arial"/>
                <w:b/>
              </w:rPr>
            </w:pPr>
            <w:r w:rsidRPr="00B57BF0">
              <w:rPr>
                <w:rFonts w:ascii="Palatino Linotype" w:hAnsi="Palatino Linotype" w:cs="Arial"/>
                <w:b/>
                <w:color w:val="FFFFFF" w:themeColor="background1"/>
              </w:rPr>
              <w:t>(RÚBRICA)</w:t>
            </w:r>
          </w:p>
        </w:tc>
        <w:tc>
          <w:tcPr>
            <w:tcW w:w="5183" w:type="dxa"/>
          </w:tcPr>
          <w:p w:rsidR="004D6488" w:rsidRDefault="004D6488" w:rsidP="00A50ED3">
            <w:pPr>
              <w:jc w:val="center"/>
              <w:rPr>
                <w:rFonts w:ascii="Palatino Linotype" w:hAnsi="Palatino Linotype" w:cs="Arial"/>
                <w:b/>
              </w:rPr>
            </w:pPr>
          </w:p>
          <w:p w:rsidR="004D6488" w:rsidRDefault="004D6488" w:rsidP="00A50ED3">
            <w:pPr>
              <w:jc w:val="center"/>
              <w:rPr>
                <w:rFonts w:ascii="Palatino Linotype" w:hAnsi="Palatino Linotype" w:cs="Arial"/>
                <w:b/>
              </w:rPr>
            </w:pPr>
          </w:p>
          <w:p w:rsidR="004D6488" w:rsidRDefault="004D6488" w:rsidP="00A50ED3">
            <w:pPr>
              <w:jc w:val="center"/>
              <w:rPr>
                <w:rFonts w:ascii="Palatino Linotype" w:hAnsi="Palatino Linotype" w:cs="Arial"/>
                <w:b/>
              </w:rPr>
            </w:pPr>
          </w:p>
          <w:p w:rsidR="00535D24" w:rsidRDefault="00535D24" w:rsidP="00A50ED3">
            <w:pPr>
              <w:jc w:val="center"/>
              <w:rPr>
                <w:rFonts w:ascii="Palatino Linotype" w:hAnsi="Palatino Linotype" w:cs="Arial"/>
                <w:b/>
              </w:rPr>
            </w:pPr>
          </w:p>
          <w:p w:rsidR="00535D24" w:rsidRDefault="00535D24" w:rsidP="00A50ED3">
            <w:pPr>
              <w:jc w:val="center"/>
              <w:rPr>
                <w:rFonts w:ascii="Palatino Linotype" w:hAnsi="Palatino Linotype" w:cs="Arial"/>
                <w:b/>
              </w:rPr>
            </w:pPr>
          </w:p>
          <w:p w:rsidR="004D6488" w:rsidRPr="005E7982" w:rsidRDefault="004D6488" w:rsidP="00A50ED3">
            <w:pPr>
              <w:jc w:val="center"/>
              <w:rPr>
                <w:rFonts w:ascii="Palatino Linotype" w:hAnsi="Palatino Linotype" w:cs="Arial"/>
                <w:b/>
              </w:rPr>
            </w:pPr>
            <w:r w:rsidRPr="005E7982">
              <w:rPr>
                <w:rFonts w:ascii="Palatino Linotype" w:hAnsi="Palatino Linotype" w:cs="Arial"/>
                <w:b/>
              </w:rPr>
              <w:t>José Guadalupe Luna Hernández</w:t>
            </w:r>
          </w:p>
          <w:p w:rsidR="004D6488" w:rsidRPr="005E7982" w:rsidRDefault="004D6488" w:rsidP="00A50ED3">
            <w:pPr>
              <w:jc w:val="center"/>
              <w:rPr>
                <w:rFonts w:ascii="Palatino Linotype" w:hAnsi="Palatino Linotype" w:cs="Arial"/>
              </w:rPr>
            </w:pPr>
            <w:r w:rsidRPr="005E7982">
              <w:rPr>
                <w:rFonts w:ascii="Palatino Linotype" w:hAnsi="Palatino Linotype" w:cs="Arial"/>
              </w:rPr>
              <w:t>Comisionado</w:t>
            </w:r>
          </w:p>
          <w:p w:rsidR="004D6488" w:rsidRPr="005E7982" w:rsidRDefault="004D6488" w:rsidP="00A50ED3">
            <w:pPr>
              <w:jc w:val="center"/>
              <w:rPr>
                <w:rFonts w:ascii="Palatino Linotype" w:hAnsi="Palatino Linotype" w:cs="Arial"/>
                <w:b/>
              </w:rPr>
            </w:pPr>
            <w:r w:rsidRPr="00B57BF0">
              <w:rPr>
                <w:rFonts w:ascii="Palatino Linotype" w:hAnsi="Palatino Linotype" w:cs="Arial"/>
                <w:b/>
                <w:color w:val="FFFFFF" w:themeColor="background1"/>
              </w:rPr>
              <w:t>(RÚBRICA)</w:t>
            </w:r>
          </w:p>
        </w:tc>
      </w:tr>
      <w:tr w:rsidR="004D6488" w:rsidRPr="005E7982" w:rsidTr="00A50ED3">
        <w:trPr>
          <w:jc w:val="center"/>
        </w:trPr>
        <w:tc>
          <w:tcPr>
            <w:tcW w:w="5182" w:type="dxa"/>
          </w:tcPr>
          <w:p w:rsidR="004D6488" w:rsidRDefault="004D6488" w:rsidP="00A50ED3">
            <w:pPr>
              <w:jc w:val="center"/>
              <w:rPr>
                <w:rFonts w:ascii="Palatino Linotype" w:hAnsi="Palatino Linotype" w:cs="Arial"/>
                <w:b/>
              </w:rPr>
            </w:pPr>
          </w:p>
          <w:p w:rsidR="004D6488" w:rsidRDefault="004D6488" w:rsidP="00A50ED3">
            <w:pPr>
              <w:jc w:val="center"/>
              <w:rPr>
                <w:rFonts w:ascii="Palatino Linotype" w:hAnsi="Palatino Linotype" w:cs="Arial"/>
                <w:b/>
              </w:rPr>
            </w:pPr>
          </w:p>
          <w:p w:rsidR="004D6488" w:rsidRDefault="004D6488" w:rsidP="00535D24">
            <w:pPr>
              <w:rPr>
                <w:rFonts w:ascii="Palatino Linotype" w:hAnsi="Palatino Linotype" w:cs="Arial"/>
                <w:b/>
              </w:rPr>
            </w:pPr>
          </w:p>
          <w:p w:rsidR="00535D24" w:rsidRDefault="00535D24" w:rsidP="00535D24">
            <w:pPr>
              <w:rPr>
                <w:rFonts w:ascii="Palatino Linotype" w:hAnsi="Palatino Linotype" w:cs="Arial"/>
                <w:b/>
              </w:rPr>
            </w:pPr>
          </w:p>
          <w:p w:rsidR="00535D24" w:rsidRDefault="00535D24" w:rsidP="00535D24">
            <w:pPr>
              <w:rPr>
                <w:rFonts w:ascii="Palatino Linotype" w:hAnsi="Palatino Linotype" w:cs="Arial"/>
                <w:b/>
              </w:rPr>
            </w:pPr>
          </w:p>
          <w:p w:rsidR="00535D24" w:rsidRPr="005E7982" w:rsidRDefault="00535D24" w:rsidP="00535D24">
            <w:pPr>
              <w:rPr>
                <w:rFonts w:ascii="Palatino Linotype" w:hAnsi="Palatino Linotype" w:cs="Arial"/>
                <w:b/>
              </w:rPr>
            </w:pPr>
          </w:p>
          <w:p w:rsidR="004D6488" w:rsidRPr="005E7982" w:rsidRDefault="004D6488" w:rsidP="00A50ED3">
            <w:pPr>
              <w:jc w:val="center"/>
              <w:rPr>
                <w:rFonts w:ascii="Palatino Linotype" w:hAnsi="Palatino Linotype" w:cs="Arial"/>
                <w:b/>
              </w:rPr>
            </w:pPr>
            <w:r w:rsidRPr="005E7982">
              <w:rPr>
                <w:rFonts w:ascii="Palatino Linotype" w:hAnsi="Palatino Linotype" w:cs="Arial"/>
                <w:b/>
              </w:rPr>
              <w:t>Javier Martínez Cruz</w:t>
            </w:r>
          </w:p>
          <w:p w:rsidR="004D6488" w:rsidRPr="005E7982" w:rsidRDefault="004D6488" w:rsidP="00A50ED3">
            <w:pPr>
              <w:jc w:val="center"/>
              <w:rPr>
                <w:rFonts w:ascii="Palatino Linotype" w:hAnsi="Palatino Linotype" w:cs="Arial"/>
              </w:rPr>
            </w:pPr>
            <w:r w:rsidRPr="005E7982">
              <w:rPr>
                <w:rFonts w:ascii="Palatino Linotype" w:hAnsi="Palatino Linotype" w:cs="Arial"/>
              </w:rPr>
              <w:t>Comisionado</w:t>
            </w:r>
          </w:p>
          <w:p w:rsidR="004D6488" w:rsidRPr="005E7982" w:rsidRDefault="004D6488" w:rsidP="00A50ED3">
            <w:pPr>
              <w:jc w:val="center"/>
              <w:rPr>
                <w:rFonts w:ascii="Palatino Linotype" w:hAnsi="Palatino Linotype" w:cs="Arial"/>
              </w:rPr>
            </w:pPr>
            <w:r w:rsidRPr="00B57BF0">
              <w:rPr>
                <w:rFonts w:ascii="Palatino Linotype" w:hAnsi="Palatino Linotype" w:cs="Arial"/>
                <w:b/>
                <w:color w:val="FFFFFF" w:themeColor="background1"/>
              </w:rPr>
              <w:t>(RÚBRICA)</w:t>
            </w:r>
          </w:p>
        </w:tc>
        <w:tc>
          <w:tcPr>
            <w:tcW w:w="5183" w:type="dxa"/>
          </w:tcPr>
          <w:p w:rsidR="004D6488" w:rsidRDefault="004D6488" w:rsidP="00A50ED3">
            <w:pPr>
              <w:jc w:val="center"/>
              <w:rPr>
                <w:rFonts w:ascii="Palatino Linotype" w:hAnsi="Palatino Linotype" w:cs="Arial"/>
                <w:b/>
              </w:rPr>
            </w:pPr>
          </w:p>
          <w:p w:rsidR="004D6488" w:rsidRDefault="004D6488" w:rsidP="00A50ED3">
            <w:pPr>
              <w:jc w:val="center"/>
              <w:rPr>
                <w:rFonts w:ascii="Palatino Linotype" w:hAnsi="Palatino Linotype" w:cs="Arial"/>
                <w:b/>
              </w:rPr>
            </w:pPr>
          </w:p>
          <w:p w:rsidR="004D6488" w:rsidRDefault="004D6488" w:rsidP="00535D24">
            <w:pPr>
              <w:rPr>
                <w:rFonts w:ascii="Palatino Linotype" w:hAnsi="Palatino Linotype" w:cs="Arial"/>
                <w:b/>
              </w:rPr>
            </w:pPr>
          </w:p>
          <w:p w:rsidR="00535D24" w:rsidRDefault="00535D24" w:rsidP="00535D24">
            <w:pPr>
              <w:rPr>
                <w:rFonts w:ascii="Palatino Linotype" w:hAnsi="Palatino Linotype" w:cs="Arial"/>
                <w:b/>
              </w:rPr>
            </w:pPr>
          </w:p>
          <w:p w:rsidR="00535D24" w:rsidRDefault="00535D24" w:rsidP="00535D24">
            <w:pPr>
              <w:rPr>
                <w:rFonts w:ascii="Palatino Linotype" w:hAnsi="Palatino Linotype" w:cs="Arial"/>
                <w:b/>
              </w:rPr>
            </w:pPr>
          </w:p>
          <w:p w:rsidR="00535D24" w:rsidRPr="005E7982" w:rsidRDefault="00535D24" w:rsidP="00535D24">
            <w:pPr>
              <w:rPr>
                <w:rFonts w:ascii="Palatino Linotype" w:hAnsi="Palatino Linotype" w:cs="Arial"/>
                <w:b/>
              </w:rPr>
            </w:pPr>
          </w:p>
          <w:p w:rsidR="004D6488" w:rsidRPr="005E7982" w:rsidRDefault="004D6488" w:rsidP="00A50ED3">
            <w:pPr>
              <w:jc w:val="center"/>
              <w:rPr>
                <w:rFonts w:ascii="Palatino Linotype" w:hAnsi="Palatino Linotype" w:cs="Arial"/>
                <w:b/>
              </w:rPr>
            </w:pPr>
            <w:r w:rsidRPr="005E7982">
              <w:rPr>
                <w:rFonts w:ascii="Palatino Linotype" w:hAnsi="Palatino Linotype" w:cs="Arial"/>
                <w:b/>
              </w:rPr>
              <w:t>Luis Gustavo Parra Noriega</w:t>
            </w:r>
          </w:p>
          <w:p w:rsidR="004D6488" w:rsidRPr="005E7982" w:rsidRDefault="004D6488" w:rsidP="00A50ED3">
            <w:pPr>
              <w:jc w:val="center"/>
              <w:rPr>
                <w:rFonts w:ascii="Palatino Linotype" w:hAnsi="Palatino Linotype" w:cs="Arial"/>
              </w:rPr>
            </w:pPr>
            <w:r w:rsidRPr="005E7982">
              <w:rPr>
                <w:rFonts w:ascii="Palatino Linotype" w:hAnsi="Palatino Linotype" w:cs="Arial"/>
              </w:rPr>
              <w:t>Comisionado</w:t>
            </w:r>
          </w:p>
          <w:p w:rsidR="004D6488" w:rsidRPr="005E7982" w:rsidRDefault="004D6488" w:rsidP="00A50ED3">
            <w:pPr>
              <w:jc w:val="center"/>
              <w:rPr>
                <w:rFonts w:ascii="Palatino Linotype" w:hAnsi="Palatino Linotype" w:cs="Arial"/>
                <w:b/>
              </w:rPr>
            </w:pPr>
            <w:r w:rsidRPr="00B57BF0">
              <w:rPr>
                <w:rFonts w:ascii="Palatino Linotype" w:hAnsi="Palatino Linotype" w:cs="Arial"/>
                <w:b/>
                <w:color w:val="FFFFFF" w:themeColor="background1"/>
              </w:rPr>
              <w:t>(RÚBRICA)</w:t>
            </w:r>
          </w:p>
        </w:tc>
      </w:tr>
      <w:tr w:rsidR="004D6488" w:rsidRPr="005E7982" w:rsidTr="00A50ED3">
        <w:trPr>
          <w:jc w:val="center"/>
        </w:trPr>
        <w:tc>
          <w:tcPr>
            <w:tcW w:w="10365" w:type="dxa"/>
            <w:gridSpan w:val="2"/>
          </w:tcPr>
          <w:p w:rsidR="004D6488" w:rsidRDefault="004D6488" w:rsidP="00A50ED3">
            <w:pPr>
              <w:jc w:val="center"/>
              <w:rPr>
                <w:rFonts w:ascii="Palatino Linotype" w:hAnsi="Palatino Linotype" w:cs="Arial"/>
                <w:b/>
              </w:rPr>
            </w:pPr>
          </w:p>
          <w:p w:rsidR="00535D24" w:rsidRDefault="00535D24" w:rsidP="00A50ED3">
            <w:pPr>
              <w:jc w:val="center"/>
              <w:rPr>
                <w:rFonts w:ascii="Palatino Linotype" w:hAnsi="Palatino Linotype" w:cs="Arial"/>
                <w:b/>
              </w:rPr>
            </w:pPr>
          </w:p>
          <w:p w:rsidR="00535D24" w:rsidRDefault="00535D24" w:rsidP="00A50ED3">
            <w:pPr>
              <w:jc w:val="center"/>
              <w:rPr>
                <w:rFonts w:ascii="Palatino Linotype" w:hAnsi="Palatino Linotype" w:cs="Arial"/>
                <w:b/>
              </w:rPr>
            </w:pPr>
          </w:p>
          <w:p w:rsidR="00535D24" w:rsidRDefault="00535D24" w:rsidP="00A50ED3">
            <w:pPr>
              <w:jc w:val="center"/>
              <w:rPr>
                <w:rFonts w:ascii="Palatino Linotype" w:hAnsi="Palatino Linotype" w:cs="Arial"/>
                <w:b/>
              </w:rPr>
            </w:pPr>
          </w:p>
          <w:p w:rsidR="004D6488" w:rsidRDefault="004D6488" w:rsidP="00535D24">
            <w:pPr>
              <w:rPr>
                <w:rFonts w:ascii="Palatino Linotype" w:hAnsi="Palatino Linotype" w:cs="Arial"/>
                <w:b/>
              </w:rPr>
            </w:pPr>
          </w:p>
          <w:p w:rsidR="00535D24" w:rsidRPr="005E7982" w:rsidRDefault="00535D24" w:rsidP="00535D24">
            <w:pPr>
              <w:rPr>
                <w:rFonts w:ascii="Palatino Linotype" w:hAnsi="Palatino Linotype" w:cs="Arial"/>
                <w:b/>
              </w:rPr>
            </w:pPr>
          </w:p>
          <w:p w:rsidR="004D6488" w:rsidRPr="005E7982" w:rsidRDefault="004D6488" w:rsidP="00A50ED3">
            <w:pPr>
              <w:jc w:val="center"/>
              <w:rPr>
                <w:rFonts w:ascii="Palatino Linotype" w:hAnsi="Palatino Linotype" w:cs="Arial"/>
                <w:b/>
              </w:rPr>
            </w:pPr>
            <w:r w:rsidRPr="005E7982">
              <w:rPr>
                <w:rFonts w:ascii="Palatino Linotype" w:hAnsi="Palatino Linotype" w:cs="Arial"/>
                <w:b/>
              </w:rPr>
              <w:t>Alexis Tapia Ramírez</w:t>
            </w:r>
          </w:p>
          <w:p w:rsidR="004D6488" w:rsidRPr="005E7982" w:rsidRDefault="004D6488" w:rsidP="00A50ED3">
            <w:pPr>
              <w:jc w:val="center"/>
              <w:rPr>
                <w:rFonts w:ascii="Palatino Linotype" w:hAnsi="Palatino Linotype" w:cs="Arial"/>
              </w:rPr>
            </w:pPr>
            <w:r w:rsidRPr="005E7982">
              <w:rPr>
                <w:rFonts w:ascii="Palatino Linotype" w:hAnsi="Palatino Linotype" w:cs="Arial"/>
              </w:rPr>
              <w:t>Secretario Técnico del Pleno</w:t>
            </w:r>
          </w:p>
          <w:p w:rsidR="004D6488" w:rsidRPr="005E7982" w:rsidRDefault="004D6488" w:rsidP="00A50ED3">
            <w:pPr>
              <w:jc w:val="center"/>
              <w:rPr>
                <w:rFonts w:ascii="Palatino Linotype" w:hAnsi="Palatino Linotype" w:cs="Arial"/>
              </w:rPr>
            </w:pPr>
            <w:r w:rsidRPr="00B57BF0">
              <w:rPr>
                <w:rFonts w:ascii="Palatino Linotype" w:hAnsi="Palatino Linotype" w:cs="Arial"/>
                <w:b/>
                <w:color w:val="FFFFFF" w:themeColor="background1"/>
              </w:rPr>
              <w:t>(RÚBRICA)</w:t>
            </w:r>
            <w:r w:rsidRPr="00B57BF0">
              <w:rPr>
                <w:rFonts w:ascii="Palatino Linotype" w:hAnsi="Palatino Linotype" w:cs="Arial"/>
                <w:color w:val="FFFFFF" w:themeColor="background1"/>
              </w:rPr>
              <w:t xml:space="preserve"> </w:t>
            </w:r>
          </w:p>
        </w:tc>
      </w:tr>
    </w:tbl>
    <w:p w:rsidR="004D6488" w:rsidRDefault="004D6488" w:rsidP="004D6488">
      <w:pPr>
        <w:jc w:val="both"/>
        <w:rPr>
          <w:rFonts w:ascii="Palatino Linotype" w:hAnsi="Palatino Linotype" w:cs="Arial"/>
          <w:sz w:val="22"/>
        </w:rPr>
      </w:pPr>
    </w:p>
    <w:p w:rsidR="004D6488" w:rsidRDefault="004D6488" w:rsidP="004D6488">
      <w:pPr>
        <w:jc w:val="both"/>
        <w:rPr>
          <w:rFonts w:ascii="Palatino Linotype" w:hAnsi="Palatino Linotype" w:cs="Arial"/>
          <w:sz w:val="22"/>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535D24" w:rsidRDefault="00535D24" w:rsidP="004D6488">
      <w:pPr>
        <w:jc w:val="both"/>
        <w:rPr>
          <w:rFonts w:ascii="Palatino Linotype" w:hAnsi="Palatino Linotype" w:cs="Arial"/>
          <w:sz w:val="20"/>
          <w:szCs w:val="20"/>
        </w:rPr>
      </w:pPr>
    </w:p>
    <w:p w:rsidR="004D6488" w:rsidRPr="00535D24" w:rsidRDefault="004D6488" w:rsidP="004D6488">
      <w:pPr>
        <w:jc w:val="both"/>
        <w:rPr>
          <w:rFonts w:ascii="Palatino Linotype" w:hAnsi="Palatino Linotype" w:cs="Arial"/>
          <w:sz w:val="22"/>
          <w:szCs w:val="22"/>
        </w:rPr>
      </w:pPr>
      <w:r w:rsidRPr="00535D24">
        <w:rPr>
          <w:rFonts w:ascii="Palatino Linotype" w:hAnsi="Palatino Linotype" w:cs="Arial"/>
          <w:sz w:val="22"/>
          <w:szCs w:val="22"/>
        </w:rPr>
        <w:t xml:space="preserve">Esta hoja corresponde a la resolución de fecha </w:t>
      </w:r>
      <w:r w:rsidR="00C4306D" w:rsidRPr="00535D24">
        <w:rPr>
          <w:rFonts w:ascii="Palatino Linotype" w:hAnsi="Palatino Linotype" w:cs="Arial"/>
          <w:sz w:val="22"/>
          <w:szCs w:val="22"/>
        </w:rPr>
        <w:t xml:space="preserve">once de diciembre </w:t>
      </w:r>
      <w:r w:rsidRPr="00535D24">
        <w:rPr>
          <w:rFonts w:ascii="Palatino Linotype" w:hAnsi="Palatino Linotype" w:cs="Arial"/>
          <w:sz w:val="22"/>
          <w:szCs w:val="22"/>
        </w:rPr>
        <w:t>de dos mil diecinueve, emitida en el recurso de revisión número 0</w:t>
      </w:r>
      <w:r w:rsidR="00C4306D" w:rsidRPr="00535D24">
        <w:rPr>
          <w:rFonts w:ascii="Palatino Linotype" w:hAnsi="Palatino Linotype" w:cs="Arial"/>
          <w:sz w:val="22"/>
          <w:szCs w:val="22"/>
        </w:rPr>
        <w:t>8357</w:t>
      </w:r>
      <w:r w:rsidRPr="00535D24">
        <w:rPr>
          <w:rFonts w:ascii="Palatino Linotype" w:hAnsi="Palatino Linotype" w:cs="Arial"/>
          <w:sz w:val="22"/>
          <w:szCs w:val="22"/>
        </w:rPr>
        <w:t xml:space="preserve">/INFOEM/IP/RR/2019. </w:t>
      </w:r>
    </w:p>
    <w:p w:rsidR="00C23B43" w:rsidRPr="00535D24" w:rsidRDefault="004D6488" w:rsidP="00C4306D">
      <w:pPr>
        <w:jc w:val="both"/>
        <w:rPr>
          <w:sz w:val="22"/>
          <w:szCs w:val="22"/>
        </w:rPr>
      </w:pPr>
      <w:r w:rsidRPr="00535D24">
        <w:rPr>
          <w:rFonts w:ascii="Palatino Linotype" w:hAnsi="Palatino Linotype" w:cs="Arial"/>
          <w:sz w:val="22"/>
          <w:szCs w:val="22"/>
        </w:rPr>
        <w:t>YSM/AMV</w:t>
      </w:r>
    </w:p>
    <w:sectPr w:rsidR="00C23B43" w:rsidRPr="00535D24" w:rsidSect="00C4501B">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1DA" w:rsidRDefault="002741DA" w:rsidP="004D6488">
      <w:r>
        <w:separator/>
      </w:r>
    </w:p>
  </w:endnote>
  <w:endnote w:type="continuationSeparator" w:id="0">
    <w:p w:rsidR="002741DA" w:rsidRDefault="002741DA" w:rsidP="004D6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A2780F" w:rsidRDefault="00DA4413"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94A31">
      <w:rPr>
        <w:rFonts w:ascii="Arial" w:hAnsi="Arial" w:cs="Arial"/>
        <w:b/>
        <w:bCs/>
        <w:noProof/>
        <w:sz w:val="20"/>
        <w:szCs w:val="20"/>
      </w:rPr>
      <w:t>28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94A31">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070856" w:rsidRDefault="00DA4413"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94A31">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94A31">
      <w:rPr>
        <w:rFonts w:ascii="Arial" w:hAnsi="Arial" w:cs="Arial"/>
        <w:b/>
        <w:bCs/>
        <w:noProof/>
        <w:sz w:val="20"/>
        <w:szCs w:val="20"/>
      </w:rPr>
      <w:t>30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1DA" w:rsidRDefault="002741DA" w:rsidP="004D6488">
      <w:r>
        <w:separator/>
      </w:r>
    </w:p>
  </w:footnote>
  <w:footnote w:type="continuationSeparator" w:id="0">
    <w:p w:rsidR="002741DA" w:rsidRDefault="002741DA" w:rsidP="004D6488">
      <w:r>
        <w:continuationSeparator/>
      </w:r>
    </w:p>
  </w:footnote>
  <w:footnote w:id="1">
    <w:p w:rsidR="004D6488" w:rsidRPr="001B7ACD" w:rsidRDefault="004D6488" w:rsidP="004D6488">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4D6488" w:rsidRDefault="004D6488" w:rsidP="004D6488">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4D6488" w:rsidRPr="001B7ACD" w:rsidRDefault="004D6488" w:rsidP="004D6488">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24" w:rsidRPr="00535D24" w:rsidRDefault="00535D24">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977"/>
      <w:gridCol w:w="2556"/>
      <w:gridCol w:w="3823"/>
    </w:tblGrid>
    <w:tr w:rsidR="000045FA" w:rsidRPr="008F2CCC" w:rsidTr="004D6488">
      <w:tc>
        <w:tcPr>
          <w:tcW w:w="2977" w:type="dxa"/>
        </w:tcPr>
        <w:p w:rsidR="000045FA" w:rsidRPr="008F2CCC" w:rsidRDefault="00394A31" w:rsidP="009C1BFA">
          <w:pPr>
            <w:rPr>
              <w:rFonts w:ascii="Palatino Linotype" w:hAnsi="Palatino Linotype"/>
              <w:b/>
              <w:sz w:val="22"/>
              <w:szCs w:val="22"/>
              <w:lang w:val="es-ES_tradnl"/>
            </w:rPr>
          </w:pPr>
        </w:p>
      </w:tc>
      <w:tc>
        <w:tcPr>
          <w:tcW w:w="2556" w:type="dxa"/>
          <w:shd w:val="clear" w:color="auto" w:fill="auto"/>
        </w:tcPr>
        <w:p w:rsidR="000045FA" w:rsidRPr="00664658" w:rsidRDefault="00DA4413"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0045FA" w:rsidRPr="00664658" w:rsidRDefault="00DA4413" w:rsidP="004D6488">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sidR="004D6488">
            <w:rPr>
              <w:rFonts w:ascii="Palatino Linotype" w:hAnsi="Palatino Linotype"/>
              <w:b/>
              <w:sz w:val="22"/>
              <w:szCs w:val="22"/>
              <w:lang w:val="es-ES_tradnl"/>
            </w:rPr>
            <w:t>8357</w:t>
          </w:r>
          <w:r>
            <w:rPr>
              <w:rFonts w:ascii="Palatino Linotype" w:hAnsi="Palatino Linotype"/>
              <w:b/>
              <w:sz w:val="22"/>
              <w:szCs w:val="22"/>
              <w:lang w:val="es-ES_tradnl"/>
            </w:rPr>
            <w:t>/INFOEM/IP/RR/2019</w:t>
          </w:r>
        </w:p>
      </w:tc>
    </w:tr>
    <w:tr w:rsidR="000045FA" w:rsidRPr="008F2CCC" w:rsidTr="004D6488">
      <w:tc>
        <w:tcPr>
          <w:tcW w:w="2977" w:type="dxa"/>
        </w:tcPr>
        <w:p w:rsidR="000045FA" w:rsidRPr="008F2CCC" w:rsidRDefault="00394A31" w:rsidP="00070856">
          <w:pPr>
            <w:rPr>
              <w:rFonts w:ascii="Palatino Linotype" w:hAnsi="Palatino Linotype"/>
              <w:b/>
              <w:sz w:val="22"/>
              <w:szCs w:val="22"/>
              <w:lang w:val="es-ES_tradnl"/>
            </w:rPr>
          </w:pPr>
        </w:p>
      </w:tc>
      <w:tc>
        <w:tcPr>
          <w:tcW w:w="2556" w:type="dxa"/>
          <w:shd w:val="clear" w:color="auto" w:fill="auto"/>
        </w:tcPr>
        <w:p w:rsidR="000045FA" w:rsidRPr="00664658" w:rsidRDefault="00DA4413"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0045FA" w:rsidRPr="00664658" w:rsidRDefault="004D6488" w:rsidP="007C760A">
          <w:pPr>
            <w:jc w:val="both"/>
            <w:rPr>
              <w:rFonts w:ascii="Palatino Linotype" w:hAnsi="Palatino Linotype"/>
              <w:b/>
              <w:sz w:val="22"/>
              <w:szCs w:val="22"/>
              <w:lang w:val="es-ES_tradnl"/>
            </w:rPr>
          </w:pPr>
          <w:r w:rsidRPr="004D6488">
            <w:rPr>
              <w:rFonts w:ascii="Palatino Linotype" w:hAnsi="Palatino Linotype"/>
              <w:b/>
              <w:sz w:val="22"/>
              <w:szCs w:val="22"/>
              <w:lang w:val="es-ES_tradnl"/>
            </w:rPr>
            <w:t>Organismo Público Descentralizado para la Prestación de Los Servicios de Agua Potable Alcantarillado y Saneamiento de Atizapán de Zaragoza por sus siglas S.A.P.A.S.A.</w:t>
          </w:r>
        </w:p>
      </w:tc>
    </w:tr>
    <w:tr w:rsidR="000045FA" w:rsidRPr="008F2CCC" w:rsidTr="004D6488">
      <w:trPr>
        <w:trHeight w:val="228"/>
      </w:trPr>
      <w:tc>
        <w:tcPr>
          <w:tcW w:w="2977" w:type="dxa"/>
        </w:tcPr>
        <w:p w:rsidR="000045FA" w:rsidRPr="008F2CCC" w:rsidRDefault="00394A31" w:rsidP="00070856">
          <w:pPr>
            <w:rPr>
              <w:rFonts w:ascii="Palatino Linotype" w:hAnsi="Palatino Linotype"/>
              <w:b/>
              <w:sz w:val="22"/>
              <w:szCs w:val="22"/>
              <w:lang w:val="es-ES_tradnl"/>
            </w:rPr>
          </w:pPr>
        </w:p>
      </w:tc>
      <w:tc>
        <w:tcPr>
          <w:tcW w:w="2556" w:type="dxa"/>
          <w:shd w:val="clear" w:color="auto" w:fill="auto"/>
        </w:tcPr>
        <w:p w:rsidR="000045FA" w:rsidRPr="00664658" w:rsidRDefault="00DA4413"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0045FA" w:rsidRPr="00664658" w:rsidRDefault="00DA441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045FA" w:rsidRPr="00535D24" w:rsidRDefault="00394A31"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2694"/>
      <w:gridCol w:w="2727"/>
      <w:gridCol w:w="3935"/>
    </w:tblGrid>
    <w:tr w:rsidR="000045FA" w:rsidRPr="008F2CCC" w:rsidTr="004D6488">
      <w:tc>
        <w:tcPr>
          <w:tcW w:w="2694" w:type="dxa"/>
          <w:vMerge w:val="restart"/>
        </w:tcPr>
        <w:p w:rsidR="000045FA" w:rsidRPr="008F2CCC" w:rsidRDefault="00394A31" w:rsidP="00A2780F">
          <w:pPr>
            <w:rPr>
              <w:rFonts w:ascii="Palatino Linotype" w:hAnsi="Palatino Linotype"/>
              <w:b/>
              <w:sz w:val="22"/>
              <w:szCs w:val="22"/>
              <w:lang w:val="es-ES_tradnl"/>
            </w:rPr>
          </w:pPr>
        </w:p>
      </w:tc>
      <w:tc>
        <w:tcPr>
          <w:tcW w:w="2727" w:type="dxa"/>
          <w:shd w:val="clear" w:color="auto" w:fill="auto"/>
        </w:tcPr>
        <w:p w:rsidR="00535D24" w:rsidRPr="00535D24" w:rsidRDefault="00535D24" w:rsidP="00547844">
          <w:pPr>
            <w:ind w:right="-959"/>
            <w:rPr>
              <w:rFonts w:ascii="Palatino Linotype" w:hAnsi="Palatino Linotype"/>
              <w:b/>
              <w:sz w:val="28"/>
              <w:szCs w:val="28"/>
              <w:lang w:val="es-ES_tradnl"/>
            </w:rPr>
          </w:pPr>
        </w:p>
        <w:p w:rsidR="000045FA" w:rsidRPr="008F2CCC" w:rsidRDefault="00DA4413"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535D24" w:rsidRPr="00535D24" w:rsidRDefault="00535D24" w:rsidP="004D6488">
          <w:pPr>
            <w:jc w:val="both"/>
            <w:rPr>
              <w:rFonts w:ascii="Palatino Linotype" w:hAnsi="Palatino Linotype"/>
              <w:b/>
              <w:sz w:val="28"/>
              <w:szCs w:val="28"/>
              <w:lang w:val="es-ES_tradnl"/>
            </w:rPr>
          </w:pPr>
        </w:p>
        <w:p w:rsidR="000045FA" w:rsidRPr="008F2CCC" w:rsidRDefault="004D6488" w:rsidP="004D6488">
          <w:pPr>
            <w:jc w:val="both"/>
            <w:rPr>
              <w:rFonts w:ascii="Palatino Linotype" w:hAnsi="Palatino Linotype"/>
              <w:b/>
              <w:sz w:val="22"/>
              <w:szCs w:val="22"/>
              <w:lang w:val="es-ES_tradnl"/>
            </w:rPr>
          </w:pPr>
          <w:r>
            <w:rPr>
              <w:rFonts w:ascii="Palatino Linotype" w:hAnsi="Palatino Linotype"/>
              <w:b/>
              <w:sz w:val="22"/>
              <w:szCs w:val="22"/>
              <w:lang w:val="es-ES_tradnl"/>
            </w:rPr>
            <w:t>08357</w:t>
          </w:r>
          <w:r w:rsidR="00DA4413">
            <w:rPr>
              <w:rFonts w:ascii="Palatino Linotype" w:hAnsi="Palatino Linotype"/>
              <w:b/>
              <w:sz w:val="22"/>
              <w:szCs w:val="22"/>
              <w:lang w:val="es-ES_tradnl"/>
            </w:rPr>
            <w:t>/INFOEM/IP/RR/2019</w:t>
          </w:r>
        </w:p>
      </w:tc>
    </w:tr>
    <w:tr w:rsidR="000045FA" w:rsidRPr="008F2CCC" w:rsidTr="004D6488">
      <w:tc>
        <w:tcPr>
          <w:tcW w:w="2694" w:type="dxa"/>
          <w:vMerge/>
        </w:tcPr>
        <w:p w:rsidR="000045FA" w:rsidRPr="008F2CCC" w:rsidRDefault="00394A31" w:rsidP="00A2780F">
          <w:pPr>
            <w:rPr>
              <w:rFonts w:ascii="Palatino Linotype" w:hAnsi="Palatino Linotype"/>
              <w:b/>
              <w:sz w:val="22"/>
              <w:szCs w:val="22"/>
              <w:lang w:val="es-ES_tradnl"/>
            </w:rPr>
          </w:pPr>
        </w:p>
      </w:tc>
      <w:tc>
        <w:tcPr>
          <w:tcW w:w="2727" w:type="dxa"/>
          <w:shd w:val="clear" w:color="auto" w:fill="auto"/>
          <w:vAlign w:val="center"/>
        </w:tcPr>
        <w:p w:rsidR="000045FA" w:rsidRPr="008F2CCC" w:rsidRDefault="00DA4413"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0045FA" w:rsidRPr="008F2CCC" w:rsidRDefault="00394A31" w:rsidP="00394A31">
          <w:pPr>
            <w:jc w:val="both"/>
            <w:rPr>
              <w:rFonts w:ascii="Palatino Linotype" w:hAnsi="Palatino Linotype"/>
              <w:b/>
              <w:sz w:val="22"/>
              <w:szCs w:val="22"/>
              <w:lang w:val="es-ES_tradnl"/>
            </w:rPr>
          </w:pPr>
          <w:r>
            <w:rPr>
              <w:rFonts w:ascii="Palatino Linotype" w:hAnsi="Palatino Linotype"/>
              <w:b/>
              <w:sz w:val="22"/>
              <w:szCs w:val="22"/>
              <w:lang w:val="es-ES_tradnl"/>
            </w:rPr>
            <w:t>XXXXXXXXXXXXXXXXX</w:t>
          </w:r>
        </w:p>
      </w:tc>
    </w:tr>
    <w:tr w:rsidR="000045FA" w:rsidRPr="008F2CCC" w:rsidTr="004D6488">
      <w:trPr>
        <w:trHeight w:val="228"/>
      </w:trPr>
      <w:tc>
        <w:tcPr>
          <w:tcW w:w="2694" w:type="dxa"/>
          <w:vMerge/>
        </w:tcPr>
        <w:p w:rsidR="000045FA" w:rsidRPr="008F2CCC" w:rsidRDefault="00394A31" w:rsidP="00E37C88">
          <w:pPr>
            <w:rPr>
              <w:rFonts w:ascii="Palatino Linotype" w:hAnsi="Palatino Linotype"/>
              <w:b/>
              <w:sz w:val="22"/>
              <w:szCs w:val="22"/>
              <w:lang w:val="es-ES_tradnl"/>
            </w:rPr>
          </w:pPr>
        </w:p>
      </w:tc>
      <w:tc>
        <w:tcPr>
          <w:tcW w:w="2727" w:type="dxa"/>
          <w:shd w:val="clear" w:color="auto" w:fill="auto"/>
        </w:tcPr>
        <w:p w:rsidR="000045FA" w:rsidRPr="008F2CCC" w:rsidRDefault="00DA4413"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0045FA" w:rsidRPr="004D6488" w:rsidRDefault="004D6488" w:rsidP="00547844">
          <w:pPr>
            <w:jc w:val="both"/>
            <w:rPr>
              <w:rFonts w:ascii="Palatino Linotype" w:hAnsi="Palatino Linotype"/>
              <w:b/>
              <w:sz w:val="22"/>
              <w:szCs w:val="22"/>
              <w:lang w:val="es-ES_tradnl"/>
            </w:rPr>
          </w:pPr>
          <w:r w:rsidRPr="004D6488">
            <w:rPr>
              <w:rFonts w:ascii="Palatino Linotype" w:hAnsi="Palatino Linotype"/>
              <w:b/>
              <w:sz w:val="22"/>
              <w:szCs w:val="22"/>
              <w:lang w:val="es-ES_tradnl"/>
            </w:rPr>
            <w:t>Organismo Público Descentralizado para la Prestación de Los Servicios de Agua Potable Alcantarillado y Saneamiento de Atizapán de Zaragoza por sus siglas S.A.P.A.S.A.</w:t>
          </w:r>
        </w:p>
      </w:tc>
    </w:tr>
    <w:tr w:rsidR="000045FA" w:rsidRPr="008F2CCC" w:rsidTr="004D6488">
      <w:tc>
        <w:tcPr>
          <w:tcW w:w="2694" w:type="dxa"/>
          <w:vMerge/>
        </w:tcPr>
        <w:p w:rsidR="000045FA" w:rsidRPr="008F2CCC" w:rsidRDefault="00394A31" w:rsidP="00A2780F">
          <w:pPr>
            <w:rPr>
              <w:rFonts w:ascii="Palatino Linotype" w:hAnsi="Palatino Linotype"/>
              <w:b/>
              <w:sz w:val="22"/>
              <w:szCs w:val="22"/>
              <w:lang w:val="es-ES_tradnl"/>
            </w:rPr>
          </w:pPr>
        </w:p>
      </w:tc>
      <w:tc>
        <w:tcPr>
          <w:tcW w:w="2727" w:type="dxa"/>
          <w:shd w:val="clear" w:color="auto" w:fill="auto"/>
        </w:tcPr>
        <w:p w:rsidR="000045FA" w:rsidRPr="008F2CCC" w:rsidRDefault="00DA4413" w:rsidP="00547844">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0045FA" w:rsidRPr="008F2CCC" w:rsidRDefault="00DA4413" w:rsidP="00547844">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045FA" w:rsidRPr="00535D24" w:rsidRDefault="00394A31">
    <w:pPr>
      <w:pStyle w:val="Encabezado"/>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488"/>
    <w:rsid w:val="0020132F"/>
    <w:rsid w:val="002741DA"/>
    <w:rsid w:val="002D2C7B"/>
    <w:rsid w:val="00321056"/>
    <w:rsid w:val="00394A31"/>
    <w:rsid w:val="00417BE9"/>
    <w:rsid w:val="004D6488"/>
    <w:rsid w:val="00535D24"/>
    <w:rsid w:val="00970B1C"/>
    <w:rsid w:val="00B57BF0"/>
    <w:rsid w:val="00BC623A"/>
    <w:rsid w:val="00C23B43"/>
    <w:rsid w:val="00C4306D"/>
    <w:rsid w:val="00C9714C"/>
    <w:rsid w:val="00DA44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31C3A48-8668-4A87-BC0E-1467D23C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48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648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D6488"/>
    <w:rPr>
      <w:rFonts w:eastAsiaTheme="minorEastAsia"/>
      <w:sz w:val="24"/>
      <w:szCs w:val="24"/>
      <w:lang w:val="es-ES_tradnl" w:eastAsia="es-ES"/>
    </w:rPr>
  </w:style>
  <w:style w:type="paragraph" w:styleId="Piedepgina">
    <w:name w:val="footer"/>
    <w:basedOn w:val="Normal"/>
    <w:link w:val="PiedepginaCar"/>
    <w:uiPriority w:val="99"/>
    <w:unhideWhenUsed/>
    <w:rsid w:val="004D648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D648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D648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D6488"/>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4D6488"/>
    <w:rPr>
      <w:vertAlign w:val="superscript"/>
    </w:rPr>
  </w:style>
  <w:style w:type="paragraph" w:styleId="Textonotapie">
    <w:name w:val="footnote text"/>
    <w:basedOn w:val="Normal"/>
    <w:link w:val="TextonotapieCar"/>
    <w:uiPriority w:val="99"/>
    <w:semiHidden/>
    <w:unhideWhenUsed/>
    <w:rsid w:val="004D6488"/>
    <w:rPr>
      <w:sz w:val="20"/>
      <w:szCs w:val="20"/>
    </w:rPr>
  </w:style>
  <w:style w:type="character" w:customStyle="1" w:styleId="TextonotapieCar">
    <w:name w:val="Texto nota pie Car"/>
    <w:basedOn w:val="Fuentedeprrafopredeter"/>
    <w:link w:val="Textonotapie"/>
    <w:uiPriority w:val="99"/>
    <w:semiHidden/>
    <w:rsid w:val="004D6488"/>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C4306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306D"/>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30</Pages>
  <Words>6033</Words>
  <Characters>33183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2019-12-17T16:39:00Z</cp:lastPrinted>
  <dcterms:created xsi:type="dcterms:W3CDTF">2019-12-05T22:31:00Z</dcterms:created>
  <dcterms:modified xsi:type="dcterms:W3CDTF">2019-12-19T16:21:00Z</dcterms:modified>
</cp:coreProperties>
</file>