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91679">
        <w:rPr>
          <w:rFonts w:ascii="Palatino Linotype" w:eastAsia="Times New Roman" w:hAnsi="Palatino Linotype" w:cs="Arial"/>
          <w:color w:val="000000"/>
          <w:sz w:val="24"/>
          <w:szCs w:val="24"/>
          <w:lang w:eastAsia="es-MX"/>
        </w:rPr>
        <w:t>veinte de noviembre</w:t>
      </w:r>
      <w:r w:rsidR="00080E38">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59073D">
        <w:rPr>
          <w:rFonts w:ascii="Palatino Linotype" w:hAnsi="Palatino Linotype" w:cs="Arial"/>
          <w:b/>
          <w:bCs/>
          <w:sz w:val="24"/>
          <w:lang w:eastAsia="es-MX"/>
        </w:rPr>
        <w:t>74</w:t>
      </w:r>
      <w:r w:rsidR="009F38DD">
        <w:rPr>
          <w:rFonts w:ascii="Palatino Linotype" w:hAnsi="Palatino Linotype" w:cs="Arial"/>
          <w:b/>
          <w:bCs/>
          <w:sz w:val="24"/>
          <w:lang w:eastAsia="es-MX"/>
        </w:rPr>
        <w:t>30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672437">
        <w:rPr>
          <w:rFonts w:ascii="Palatino Linotype" w:hAnsi="Palatino Linotype" w:cs="Arial"/>
          <w:b/>
          <w:sz w:val="24"/>
        </w:rPr>
        <w:t>xxxxxxxxxxx</w:t>
      </w:r>
      <w:bookmarkStart w:id="0" w:name="_GoBack"/>
      <w:bookmarkEnd w:id="0"/>
      <w:r w:rsidR="009F38DD">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9F38DD" w:rsidRPr="009F38DD">
        <w:rPr>
          <w:rFonts w:ascii="Palatino Linotype" w:hAnsi="Palatino Linotype" w:cs="Arial"/>
          <w:b/>
          <w:sz w:val="24"/>
          <w:szCs w:val="24"/>
        </w:rPr>
        <w:t>Ayuntamiento de Tultitlán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9F38DD">
        <w:rPr>
          <w:rFonts w:ascii="Palatino Linotype" w:hAnsi="Palatino Linotype" w:cs="Arial"/>
          <w:sz w:val="24"/>
        </w:rPr>
        <w:t xml:space="preserve">once </w:t>
      </w:r>
      <w:r w:rsidR="0059073D">
        <w:rPr>
          <w:rFonts w:ascii="Palatino Linotype" w:hAnsi="Palatino Linotype" w:cs="Arial"/>
          <w:sz w:val="24"/>
        </w:rPr>
        <w:t>de septiembre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9F38DD">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F38DD" w:rsidRPr="009F38DD">
        <w:rPr>
          <w:rFonts w:ascii="Palatino Linotype" w:hAnsi="Palatino Linotype" w:cs="Arial"/>
          <w:b/>
          <w:sz w:val="24"/>
        </w:rPr>
        <w:t>00259/TULTITLA/IP/2019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9F38DD" w:rsidRPr="009F38DD">
        <w:rPr>
          <w:rFonts w:ascii="Palatino Linotype" w:hAnsi="Palatino Linotype"/>
          <w:i/>
          <w:color w:val="000000"/>
        </w:rPr>
        <w:t>Solicito el curriculum y titulo profesional de todos los integrantes de cabildo</w:t>
      </w:r>
      <w:r w:rsidR="0059073D" w:rsidRPr="0059073D">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Pr="009F38DD" w:rsidRDefault="00E15E85" w:rsidP="009F38DD">
      <w:pPr>
        <w:spacing w:before="240" w:line="360" w:lineRule="auto"/>
        <w:jc w:val="both"/>
        <w:rPr>
          <w:rFonts w:ascii="Palatino Linotype" w:hAnsi="Palatino Linotype" w:cs="Arial"/>
          <w:sz w:val="24"/>
          <w:u w:val="single"/>
        </w:rPr>
      </w:pPr>
      <w:r w:rsidRPr="00A77BF1">
        <w:rPr>
          <w:rFonts w:ascii="Palatino Linotype" w:hAnsi="Palatino Linotype" w:cs="Arial"/>
          <w:sz w:val="24"/>
        </w:rPr>
        <w:lastRenderedPageBreak/>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9073D">
        <w:rPr>
          <w:rFonts w:ascii="Palatino Linotype" w:hAnsi="Palatino Linotype" w:cs="Arial"/>
          <w:sz w:val="24"/>
        </w:rPr>
        <w:t>trece de septiembre</w:t>
      </w:r>
      <w:r w:rsidR="00DA598F">
        <w:rPr>
          <w:rFonts w:ascii="Palatino Linotype" w:hAnsi="Palatino Linotype" w:cs="Arial"/>
          <w:sz w:val="24"/>
        </w:rPr>
        <w:t xml:space="preserve"> de los corrientes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9F38DD" w:rsidRPr="009F38DD">
        <w:rPr>
          <w:rFonts w:ascii="Palatino Linotype" w:hAnsi="Palatino Linotype" w:cs="Arial"/>
          <w:sz w:val="24"/>
          <w:u w:val="single"/>
        </w:rPr>
        <w:t>CV PRESIDENTA MUNICIPAL CON DOCUMENTO PROBATORIO SOBRE ESCOLARIDAD.pdf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5 CV TERCER REGIDOR PARTE1.pdf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16 CV DECIMO TERCER REGIDOR.pdf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14 CV DECIMO PRIMER REGIDORA.pdf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8 CV QUINTA REGIDORA.pdf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3 CV PRIMER REGIDORA.pdf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2 CV SINDICO MUNICPAL.pdf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10 CV SEPTIMA REGIDORA.pdf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EXP SECRETARIA DL H.pdf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15 CV DECIMO SEGUNDO REGIDOR.pdf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9 CV SEXTO REGIDOR.pdf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13 CV DECIMO REGIDOR 40.pdf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4 CV SEGUNDO REGIDOR.pdf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12 CV NOVENA REGIDORA.pdf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6 CV TERCER REGIDOR PARTE 2.pdf</w:t>
      </w:r>
      <w:r w:rsidR="009F38DD">
        <w:rPr>
          <w:rFonts w:ascii="Palatino Linotype" w:hAnsi="Palatino Linotype" w:cs="Arial"/>
          <w:sz w:val="24"/>
          <w:u w:val="single"/>
        </w:rPr>
        <w:t xml:space="preserve">, </w:t>
      </w:r>
      <w:r w:rsidR="009F38DD" w:rsidRPr="009F38DD">
        <w:rPr>
          <w:rFonts w:ascii="Palatino Linotype" w:hAnsi="Palatino Linotype" w:cs="Arial"/>
          <w:sz w:val="24"/>
          <w:u w:val="single"/>
        </w:rPr>
        <w:t>11 CV OCTAVO REGIDOR.pdf</w:t>
      </w:r>
      <w:r w:rsidR="009F38DD">
        <w:rPr>
          <w:rFonts w:ascii="Palatino Linotype" w:hAnsi="Palatino Linotype" w:cs="Arial"/>
          <w:sz w:val="24"/>
          <w:u w:val="single"/>
        </w:rPr>
        <w:t xml:space="preserve"> y </w:t>
      </w:r>
      <w:r w:rsidR="009F38DD" w:rsidRPr="009F38DD">
        <w:rPr>
          <w:rFonts w:ascii="Palatino Linotype" w:hAnsi="Palatino Linotype" w:cs="Arial"/>
          <w:sz w:val="24"/>
          <w:u w:val="single"/>
        </w:rPr>
        <w:t>7 CV CUARTO REGIDOR.pdf</w:t>
      </w:r>
      <w:r w:rsidR="00F77632" w:rsidRPr="0059073D">
        <w:rPr>
          <w:rFonts w:ascii="Palatino Linotype" w:hAnsi="Palatino Linotype" w:cs="Arial"/>
          <w:sz w:val="24"/>
          <w:u w:val="single"/>
        </w:rPr>
        <w:t>”</w:t>
      </w:r>
      <w:r w:rsidR="00F77632">
        <w:rPr>
          <w:rFonts w:ascii="Palatino Linotype" w:hAnsi="Palatino Linotype" w:cs="Arial"/>
          <w:sz w:val="24"/>
        </w:rPr>
        <w:t xml:space="preserve">, </w:t>
      </w:r>
      <w:r w:rsidR="00E03B09">
        <w:rPr>
          <w:rFonts w:ascii="Palatino Linotype" w:hAnsi="Palatino Linotype" w:cs="Arial"/>
          <w:sz w:val="24"/>
        </w:rPr>
        <w:t>el cual se tiene por reproducido</w:t>
      </w:r>
      <w:r w:rsidR="00F77632">
        <w:rPr>
          <w:rFonts w:ascii="Palatino Linotype" w:hAnsi="Palatino Linotype" w:cs="Arial"/>
          <w:sz w:val="24"/>
        </w:rPr>
        <w:t xml:space="preserve"> al ser del conocimiento de las partes.</w:t>
      </w:r>
    </w:p>
    <w:p w:rsidR="009F38DD" w:rsidRPr="009F38DD" w:rsidRDefault="009F38DD" w:rsidP="009F38DD">
      <w:pPr>
        <w:spacing w:before="240" w:line="360" w:lineRule="auto"/>
        <w:ind w:left="708"/>
        <w:jc w:val="both"/>
        <w:rPr>
          <w:rFonts w:ascii="Palatino Linotype" w:hAnsi="Palatino Linotype" w:cs="Arial"/>
          <w:i/>
          <w:sz w:val="24"/>
        </w:rPr>
      </w:pPr>
      <w:r w:rsidRPr="009F38DD">
        <w:rPr>
          <w:rFonts w:ascii="Palatino Linotype" w:hAnsi="Palatino Linotype" w:cs="Arial"/>
          <w:i/>
          <w:sz w:val="24"/>
        </w:rPr>
        <w:t>Por medio del presente le envío un cordial saludo y aprovecho para hacerle llegar la respuesta a su solicitud de información; de acuerdo a lo vertido en el sistema Saimex con folio 00259/TULTITLA/IP/2019 con respuesta por parte de esta Unidad de Transparencia. Sin más por el momento quedo de usted al teléfono 26208900 ext. 1106</w:t>
      </w:r>
    </w:p>
    <w:p w:rsidR="009F38DD" w:rsidRPr="009F38DD" w:rsidRDefault="009F38DD" w:rsidP="009F38DD">
      <w:pPr>
        <w:spacing w:before="240" w:line="360" w:lineRule="auto"/>
        <w:ind w:left="708"/>
        <w:jc w:val="both"/>
        <w:rPr>
          <w:rFonts w:ascii="Palatino Linotype" w:hAnsi="Palatino Linotype" w:cs="Arial"/>
          <w:i/>
          <w:sz w:val="24"/>
        </w:rPr>
      </w:pPr>
      <w:r w:rsidRPr="009F38DD">
        <w:rPr>
          <w:rFonts w:ascii="Palatino Linotype" w:hAnsi="Palatino Linotype" w:cs="Arial"/>
          <w:i/>
          <w:sz w:val="24"/>
        </w:rPr>
        <w:t>ATENTAMENTE</w:t>
      </w:r>
    </w:p>
    <w:p w:rsidR="009F38DD" w:rsidRDefault="009F38DD" w:rsidP="009F38DD">
      <w:pPr>
        <w:spacing w:before="240" w:line="360" w:lineRule="auto"/>
        <w:ind w:left="708"/>
        <w:jc w:val="both"/>
        <w:rPr>
          <w:rFonts w:ascii="Palatino Linotype" w:hAnsi="Palatino Linotype" w:cs="Arial"/>
          <w:i/>
          <w:sz w:val="24"/>
        </w:rPr>
      </w:pPr>
      <w:r w:rsidRPr="009F38DD">
        <w:rPr>
          <w:rFonts w:ascii="Palatino Linotype" w:hAnsi="Palatino Linotype" w:cs="Arial"/>
          <w:i/>
          <w:sz w:val="24"/>
        </w:rPr>
        <w:t>C. AARÓN MANUEL RUIZ ZUBIETA</w:t>
      </w:r>
    </w:p>
    <w:p w:rsidR="00E15E85" w:rsidRPr="00441A94" w:rsidRDefault="00E15E85" w:rsidP="009F38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59073D">
        <w:rPr>
          <w:rFonts w:ascii="Palatino Linotype" w:hAnsi="Palatino Linotype" w:cs="Arial"/>
          <w:sz w:val="24"/>
          <w:szCs w:val="24"/>
        </w:rPr>
        <w:t>diecisiete de septiembre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lastRenderedPageBreak/>
        <w:t xml:space="preserve">en el sistema electrónico con el expediente número </w:t>
      </w:r>
      <w:r w:rsidR="006200A2">
        <w:rPr>
          <w:rFonts w:ascii="Palatino Linotype" w:hAnsi="Palatino Linotype" w:cs="Arial"/>
          <w:b/>
          <w:bCs/>
          <w:sz w:val="24"/>
          <w:szCs w:val="24"/>
          <w:lang w:eastAsia="es-MX"/>
        </w:rPr>
        <w:t>0</w:t>
      </w:r>
      <w:r w:rsidR="00E62963">
        <w:rPr>
          <w:rFonts w:ascii="Palatino Linotype" w:hAnsi="Palatino Linotype" w:cs="Arial"/>
          <w:b/>
          <w:bCs/>
          <w:sz w:val="24"/>
          <w:szCs w:val="24"/>
          <w:lang w:eastAsia="es-MX"/>
        </w:rPr>
        <w:t>7</w:t>
      </w:r>
      <w:r w:rsidR="0059073D">
        <w:rPr>
          <w:rFonts w:ascii="Palatino Linotype" w:hAnsi="Palatino Linotype" w:cs="Arial"/>
          <w:b/>
          <w:bCs/>
          <w:sz w:val="24"/>
          <w:szCs w:val="24"/>
          <w:lang w:eastAsia="es-MX"/>
        </w:rPr>
        <w:t>4</w:t>
      </w:r>
      <w:r w:rsidR="00DA32EB">
        <w:rPr>
          <w:rFonts w:ascii="Palatino Linotype" w:hAnsi="Palatino Linotype" w:cs="Arial"/>
          <w:b/>
          <w:bCs/>
          <w:sz w:val="24"/>
          <w:szCs w:val="24"/>
          <w:lang w:eastAsia="es-MX"/>
        </w:rPr>
        <w:t>30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A32EB" w:rsidRPr="00DA32EB">
        <w:rPr>
          <w:rFonts w:ascii="Palatino Linotype" w:hAnsi="Palatino Linotype"/>
          <w:i/>
          <w:color w:val="000000"/>
        </w:rPr>
        <w:t>Curriculum tachado</w:t>
      </w:r>
      <w:r w:rsidR="00E62963">
        <w:rPr>
          <w:rFonts w:ascii="Palatino Linotype" w:hAnsi="Palatino Linotype"/>
          <w:i/>
          <w:color w:val="000000"/>
        </w:rPr>
        <w:t>.</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DA32EB" w:rsidRPr="00DA32EB">
        <w:rPr>
          <w:rFonts w:ascii="Palatino Linotype" w:hAnsi="Palatino Linotype" w:cs="Arial"/>
          <w:i/>
        </w:rPr>
        <w:t>no existe un fundamento legal mediante el cual el sujeto obligado sustente las tachaduras en los documentos que me hacen llegar vía saimex</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59073D">
        <w:rPr>
          <w:rFonts w:ascii="Palatino Linotype" w:hAnsi="Palatino Linotype" w:cs="Arial"/>
          <w:sz w:val="24"/>
          <w:szCs w:val="24"/>
        </w:rPr>
        <w:t>veintitrés</w:t>
      </w:r>
      <w:r w:rsidR="00E62963">
        <w:rPr>
          <w:rFonts w:ascii="Palatino Linotype" w:hAnsi="Palatino Linotype" w:cs="Arial"/>
          <w:sz w:val="24"/>
          <w:szCs w:val="24"/>
        </w:rPr>
        <w:t xml:space="preserve"> de septiembre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DA32EB">
        <w:rPr>
          <w:rFonts w:ascii="Palatino Linotype" w:hAnsi="Palatino Linotype" w:cs="Arial"/>
          <w:sz w:val="24"/>
          <w:szCs w:val="24"/>
        </w:rPr>
        <w:t>veintiocho</w:t>
      </w:r>
      <w:r w:rsidR="008A7A86">
        <w:rPr>
          <w:rFonts w:ascii="Palatino Linotype" w:hAnsi="Palatino Linotype" w:cs="Arial"/>
          <w:sz w:val="24"/>
          <w:szCs w:val="24"/>
        </w:rPr>
        <w:t xml:space="preserve"> de septiembre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59073D">
        <w:rPr>
          <w:rFonts w:ascii="Palatino Linotype" w:hAnsi="Palatino Linotype" w:cs="Arial"/>
          <w:sz w:val="24"/>
          <w:szCs w:val="24"/>
        </w:rPr>
        <w:t xml:space="preserve">siete </w:t>
      </w:r>
      <w:r w:rsidR="00E62963">
        <w:rPr>
          <w:rFonts w:ascii="Palatino Linotype" w:hAnsi="Palatino Linotype" w:cs="Arial"/>
          <w:sz w:val="24"/>
          <w:szCs w:val="24"/>
        </w:rPr>
        <w:t>de octubre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59073D">
        <w:rPr>
          <w:rFonts w:ascii="Palatino Linotype" w:hAnsi="Palatino Linotype" w:cs="Arial"/>
          <w:sz w:val="24"/>
          <w:szCs w:val="24"/>
        </w:rPr>
        <w:t>cuatro de noviembre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8A7A86" w:rsidRDefault="00985E6C" w:rsidP="00F8241A">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w:t>
      </w:r>
      <w:r w:rsidR="00F8241A">
        <w:rPr>
          <w:rFonts w:ascii="Palatino Linotype" w:hAnsi="Palatino Linotype" w:cs="Arial"/>
          <w:color w:val="000000" w:themeColor="text1"/>
          <w:sz w:val="24"/>
          <w:szCs w:val="24"/>
        </w:rPr>
        <w:t>se inconforma de que los curriculums remitidos por el sujeto obligado se encuentran tachados y no remite sustento para dicha acción.</w:t>
      </w:r>
    </w:p>
    <w:p w:rsidR="00F8241A" w:rsidRPr="008A7A86" w:rsidRDefault="009D1435" w:rsidP="00F8241A">
      <w:p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sz w:val="24"/>
          <w:szCs w:val="24"/>
        </w:rPr>
        <w:t>Ahora bien, en primer lugar</w:t>
      </w:r>
      <w:r w:rsidR="00F8241A">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es de señalar que</w:t>
      </w:r>
      <w:r w:rsidR="00F8241A">
        <w:rPr>
          <w:rFonts w:ascii="Palatino Linotype" w:hAnsi="Palatino Linotype" w:cs="Arial"/>
          <w:color w:val="000000" w:themeColor="text1"/>
          <w:sz w:val="24"/>
          <w:szCs w:val="24"/>
        </w:rPr>
        <w:t xml:space="preserve"> el sujeto obligado remitió su informe justificado, el cual no fue puesto a la vista en virtud de </w:t>
      </w:r>
      <w:r w:rsidR="00A665A7">
        <w:rPr>
          <w:rFonts w:ascii="Palatino Linotype" w:hAnsi="Palatino Linotype" w:cs="Arial"/>
          <w:color w:val="000000" w:themeColor="text1"/>
          <w:sz w:val="24"/>
          <w:szCs w:val="24"/>
        </w:rPr>
        <w:t>que,</w:t>
      </w:r>
      <w:r w:rsidR="00F8241A">
        <w:rPr>
          <w:rFonts w:ascii="Palatino Linotype" w:hAnsi="Palatino Linotype" w:cs="Arial"/>
          <w:color w:val="000000" w:themeColor="text1"/>
          <w:sz w:val="24"/>
          <w:szCs w:val="24"/>
        </w:rPr>
        <w:t xml:space="preserve"> si bien es cierto que, adjunto un acuerdo de clasificación emitido por el Comité de Transparencia, también cierto es que, dicho acuerdo no puede tomarse en consideración para el presente asunto, ya que tiene fecha anterior a la solicitud y no cumple con lo estipulado en </w:t>
      </w:r>
      <w:r w:rsidR="00A665A7">
        <w:rPr>
          <w:rFonts w:ascii="Palatino Linotype" w:hAnsi="Palatino Linotype" w:cs="Arial"/>
          <w:color w:val="000000" w:themeColor="text1"/>
          <w:sz w:val="24"/>
          <w:szCs w:val="24"/>
        </w:rPr>
        <w:t>la fracción I del</w:t>
      </w:r>
      <w:r w:rsidR="00F8241A">
        <w:rPr>
          <w:rFonts w:ascii="Palatino Linotype" w:hAnsi="Palatino Linotype" w:cs="Arial"/>
          <w:color w:val="000000" w:themeColor="text1"/>
          <w:sz w:val="24"/>
          <w:szCs w:val="24"/>
        </w:rPr>
        <w:t xml:space="preserve"> numeral </w:t>
      </w:r>
      <w:r w:rsidR="00A665A7">
        <w:rPr>
          <w:rFonts w:ascii="Palatino Linotype" w:hAnsi="Palatino Linotype" w:cs="Arial"/>
          <w:color w:val="000000" w:themeColor="text1"/>
          <w:sz w:val="24"/>
          <w:szCs w:val="24"/>
        </w:rPr>
        <w:t>132</w:t>
      </w:r>
      <w:r w:rsidR="00A665A7">
        <w:rPr>
          <w:rStyle w:val="Refdenotaalpie"/>
          <w:rFonts w:ascii="Palatino Linotype" w:hAnsi="Palatino Linotype" w:cs="Arial"/>
          <w:color w:val="000000" w:themeColor="text1"/>
          <w:sz w:val="24"/>
          <w:szCs w:val="24"/>
        </w:rPr>
        <w:footnoteReference w:id="2"/>
      </w:r>
      <w:r w:rsidR="00A665A7">
        <w:rPr>
          <w:rFonts w:ascii="Palatino Linotype" w:hAnsi="Palatino Linotype" w:cs="Arial"/>
          <w:color w:val="000000" w:themeColor="text1"/>
          <w:sz w:val="24"/>
          <w:szCs w:val="24"/>
        </w:rPr>
        <w:t xml:space="preserve"> de la Ley de Transparencia y Acceso a la Información </w:t>
      </w:r>
      <w:r>
        <w:rPr>
          <w:rFonts w:ascii="Palatino Linotype" w:hAnsi="Palatino Linotype" w:cs="Arial"/>
          <w:color w:val="000000" w:themeColor="text1"/>
          <w:sz w:val="24"/>
          <w:szCs w:val="24"/>
        </w:rPr>
        <w:t>Pública</w:t>
      </w:r>
      <w:r w:rsidR="00A665A7">
        <w:rPr>
          <w:rFonts w:ascii="Palatino Linotype" w:hAnsi="Palatino Linotype" w:cs="Arial"/>
          <w:color w:val="000000" w:themeColor="text1"/>
          <w:sz w:val="24"/>
          <w:szCs w:val="24"/>
        </w:rPr>
        <w:t xml:space="preserve"> del Estado de México y Municipios.</w:t>
      </w:r>
    </w:p>
    <w:p w:rsidR="00A665A7" w:rsidRDefault="009D1435" w:rsidP="00A665A7">
      <w:pPr>
        <w:spacing w:before="240" w:line="360" w:lineRule="auto"/>
        <w:jc w:val="both"/>
        <w:rPr>
          <w:rFonts w:ascii="Palatino Linotype" w:hAnsi="Palatino Linotype"/>
          <w:sz w:val="24"/>
          <w:szCs w:val="24"/>
        </w:rPr>
      </w:pPr>
      <w:r>
        <w:rPr>
          <w:rFonts w:ascii="Palatino Linotype" w:hAnsi="Palatino Linotype"/>
          <w:sz w:val="24"/>
          <w:szCs w:val="24"/>
        </w:rPr>
        <w:t>Luego así</w:t>
      </w:r>
      <w:r w:rsidR="00A665A7">
        <w:rPr>
          <w:rFonts w:ascii="Palatino Linotype" w:hAnsi="Palatino Linotype"/>
          <w:sz w:val="24"/>
          <w:szCs w:val="24"/>
        </w:rPr>
        <w:t xml:space="preserve">, es necesario dejar en claro que no es necesario entrar al estudio del análisis del marco normativo del sujeto obligado para verificar si tiene la obligación de generar, administrar o poseer la información solicitada, ya que ha realizado de manifiesto tácito </w:t>
      </w:r>
      <w:r w:rsidR="00A665A7">
        <w:rPr>
          <w:rFonts w:ascii="Palatino Linotype" w:hAnsi="Palatino Linotype"/>
          <w:sz w:val="24"/>
          <w:szCs w:val="24"/>
        </w:rPr>
        <w:lastRenderedPageBreak/>
        <w:t>que cuenta con los requerimientos vertidos por el particular en su solicitud de información.</w:t>
      </w:r>
    </w:p>
    <w:p w:rsidR="00A665A7" w:rsidRDefault="00A665A7" w:rsidP="00A665A7">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9D1435" w:rsidRPr="003A3AD3" w:rsidRDefault="009D1435" w:rsidP="009D1435">
      <w:pPr>
        <w:tabs>
          <w:tab w:val="left" w:pos="4962"/>
        </w:tabs>
        <w:spacing w:line="360" w:lineRule="auto"/>
        <w:jc w:val="both"/>
        <w:rPr>
          <w:rFonts w:ascii="Palatino Linotype" w:eastAsia="Calibri" w:hAnsi="Palatino Linotype" w:cs="Tahoma"/>
          <w:iCs/>
          <w:sz w:val="24"/>
          <w:szCs w:val="24"/>
          <w:lang w:val="es-ES" w:eastAsia="es-ES_tradnl"/>
        </w:rPr>
      </w:pPr>
      <w:r>
        <w:rPr>
          <w:rFonts w:ascii="Palatino Linotype" w:hAnsi="Palatino Linotype"/>
          <w:bCs/>
          <w:sz w:val="24"/>
          <w:szCs w:val="24"/>
          <w:lang w:eastAsia="es-ES_tradnl"/>
        </w:rPr>
        <w:t>Luego entonces</w:t>
      </w:r>
      <w:r w:rsidRPr="003A3AD3">
        <w:rPr>
          <w:rFonts w:ascii="Palatino Linotype" w:hAnsi="Palatino Linotype"/>
          <w:bCs/>
          <w:sz w:val="24"/>
          <w:szCs w:val="24"/>
          <w:lang w:eastAsia="es-ES_tradnl"/>
        </w:rPr>
        <w:t>, se puede apreciar que</w:t>
      </w:r>
      <w:r w:rsidRPr="003A3AD3">
        <w:rPr>
          <w:rFonts w:ascii="Palatino Linotype" w:hAnsi="Palatino Linotype" w:cs="Arial"/>
          <w:sz w:val="24"/>
          <w:szCs w:val="24"/>
        </w:rPr>
        <w:t xml:space="preserve"> el hoy recurrente únicamente se adolece de una parte de la respuesta a la solicitud de información, sin embargo, </w:t>
      </w:r>
      <w:r w:rsidRPr="003A3AD3">
        <w:rPr>
          <w:rFonts w:ascii="Palatino Linotype" w:eastAsia="Calibri" w:hAnsi="Palatino Linotype" w:cs="Tahoma"/>
          <w:bCs/>
          <w:sz w:val="24"/>
          <w:szCs w:val="24"/>
          <w:lang w:val="es-ES_tradnl"/>
        </w:rPr>
        <w:t xml:space="preserve">este Órgano Garante advierte que es procedente la suplencia de la queja a fin de analizar cada uno de los puntos que conforman la solicitud y respuesta, esto, </w:t>
      </w:r>
      <w:r w:rsidRPr="003A3AD3">
        <w:rPr>
          <w:rFonts w:ascii="Palatino Linotype" w:eastAsia="Calibri" w:hAnsi="Palatino Linotype" w:cs="Tahoma"/>
          <w:bCs/>
          <w:iCs/>
          <w:sz w:val="24"/>
          <w:szCs w:val="24"/>
          <w:lang w:val="es-ES_tradnl"/>
        </w:rPr>
        <w:t>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w:t>
      </w:r>
    </w:p>
    <w:p w:rsidR="009D1435" w:rsidRPr="003A3AD3" w:rsidRDefault="009D1435" w:rsidP="009D1435">
      <w:pPr>
        <w:spacing w:before="240" w:line="360" w:lineRule="auto"/>
        <w:jc w:val="both"/>
        <w:rPr>
          <w:rFonts w:ascii="Palatino Linotype" w:eastAsia="Calibri" w:hAnsi="Palatino Linotype" w:cs="Tahoma"/>
          <w:bCs/>
          <w:iCs/>
          <w:sz w:val="24"/>
          <w:szCs w:val="24"/>
          <w:lang w:val="es-ES_tradnl" w:eastAsia="es-ES_tradnl"/>
        </w:rPr>
      </w:pPr>
      <w:r w:rsidRPr="003A3AD3">
        <w:rPr>
          <w:rFonts w:ascii="Palatino Linotype" w:eastAsia="Calibri" w:hAnsi="Palatino Linotype" w:cs="Tahoma"/>
          <w:bCs/>
          <w:iCs/>
          <w:sz w:val="24"/>
          <w:szCs w:val="24"/>
          <w:lang w:val="es-ES_tradnl" w:eastAsia="es-ES_tradnl"/>
        </w:rPr>
        <w:t xml:space="preserve">Por ello, este Órgano </w:t>
      </w:r>
      <w:r w:rsidRPr="003A3AD3">
        <w:rPr>
          <w:rFonts w:ascii="Palatino Linotype" w:eastAsia="Calibri" w:hAnsi="Palatino Linotype" w:cs="Tahoma"/>
          <w:bCs/>
          <w:iCs/>
          <w:sz w:val="24"/>
          <w:szCs w:val="24"/>
          <w:lang w:val="es-ES_tradnl"/>
        </w:rPr>
        <w:t>Garante</w:t>
      </w:r>
      <w:r w:rsidRPr="003A3AD3">
        <w:rPr>
          <w:rFonts w:ascii="Palatino Linotype" w:eastAsia="Calibri" w:hAnsi="Palatino Linotype" w:cs="Tahoma"/>
          <w:bCs/>
          <w:iCs/>
          <w:sz w:val="24"/>
          <w:szCs w:val="24"/>
          <w:lang w:val="es-ES_tradnl" w:eastAsia="es-ES_tradnl"/>
        </w:rPr>
        <w:t xml:space="preserve">, atentos al contenido de los numerales 13 y 181 de la Ley de la Materia, procede a realizar la suplencia de la queja deficiente en favor del </w:t>
      </w:r>
      <w:r w:rsidRPr="003A3AD3">
        <w:rPr>
          <w:rFonts w:ascii="Palatino Linotype" w:eastAsia="Calibri" w:hAnsi="Palatino Linotype" w:cs="Tahoma"/>
          <w:b/>
          <w:bCs/>
          <w:iCs/>
          <w:sz w:val="24"/>
          <w:szCs w:val="24"/>
          <w:lang w:val="es-ES_tradnl" w:eastAsia="es-ES_tradnl"/>
        </w:rPr>
        <w:t>RECURRENTE</w:t>
      </w:r>
      <w:r w:rsidRPr="003A3AD3">
        <w:rPr>
          <w:rFonts w:ascii="Palatino Linotype" w:eastAsia="Calibri" w:hAnsi="Palatino Linotype" w:cs="Tahoma"/>
          <w:bCs/>
          <w:iCs/>
          <w:sz w:val="24"/>
          <w:szCs w:val="24"/>
          <w:lang w:val="es-ES_tradnl" w:eastAsia="es-ES_tradnl"/>
        </w:rPr>
        <w:t>.</w:t>
      </w:r>
    </w:p>
    <w:p w:rsidR="009D1435" w:rsidRPr="003A3AD3" w:rsidRDefault="009D1435" w:rsidP="009D1435">
      <w:pPr>
        <w:spacing w:before="240" w:line="360" w:lineRule="auto"/>
        <w:ind w:right="-93"/>
        <w:jc w:val="both"/>
        <w:rPr>
          <w:rFonts w:ascii="Palatino Linotype" w:eastAsia="Calibri" w:hAnsi="Palatino Linotype" w:cs="Tahoma"/>
          <w:bCs/>
          <w:iCs/>
          <w:sz w:val="24"/>
          <w:szCs w:val="24"/>
          <w:lang w:val="es-ES_tradnl" w:eastAsia="es-ES_tradnl"/>
        </w:rPr>
      </w:pPr>
      <w:r w:rsidRPr="003A3AD3">
        <w:rPr>
          <w:rFonts w:ascii="Palatino Linotype" w:eastAsia="Calibri" w:hAnsi="Palatino Linotype" w:cs="Tahoma"/>
          <w:bCs/>
          <w:iCs/>
          <w:sz w:val="24"/>
          <w:szCs w:val="24"/>
          <w:lang w:val="es-ES_tradnl" w:eastAsia="es-ES_tradnl"/>
        </w:rPr>
        <w:lastRenderedPageBreak/>
        <w:t xml:space="preserve">Por lo anterior, sirve </w:t>
      </w:r>
      <w:r w:rsidRPr="003A3AD3">
        <w:rPr>
          <w:rFonts w:ascii="Palatino Linotype" w:eastAsia="Calibri" w:hAnsi="Palatino Linotype" w:cs="Tahoma"/>
          <w:bCs/>
          <w:iCs/>
          <w:sz w:val="24"/>
          <w:szCs w:val="24"/>
          <w:lang w:val="es-ES_tradnl"/>
        </w:rPr>
        <w:t>como</w:t>
      </w:r>
      <w:r w:rsidRPr="003A3AD3">
        <w:rPr>
          <w:rFonts w:ascii="Palatino Linotype" w:eastAsia="Calibri" w:hAnsi="Palatino Linotype" w:cs="Tahoma"/>
          <w:bCs/>
          <w:iCs/>
          <w:sz w:val="24"/>
          <w:szCs w:val="24"/>
          <w:lang w:val="es-ES_tradnl" w:eastAsia="es-ES_tradnl"/>
        </w:rPr>
        <w:t xml:space="preserve"> criterio orientador la jurisprudencia administrativa 1a./J. 17/2000, emanada por la Suprema Corte de Justicia de la Nación, la cual dicta lo siguiente:</w:t>
      </w:r>
    </w:p>
    <w:p w:rsidR="009D1435" w:rsidRPr="003A3AD3" w:rsidRDefault="009D1435" w:rsidP="009D1435">
      <w:pPr>
        <w:spacing w:before="240" w:line="360" w:lineRule="auto"/>
        <w:ind w:left="567" w:right="539"/>
        <w:jc w:val="both"/>
        <w:rPr>
          <w:rFonts w:ascii="Palatino Linotype" w:eastAsia="Calibri" w:hAnsi="Palatino Linotype" w:cs="Tahoma"/>
          <w:bCs/>
          <w:iCs/>
          <w:sz w:val="24"/>
          <w:szCs w:val="24"/>
          <w:lang w:val="es-ES_tradnl" w:eastAsia="es-ES_tradnl"/>
        </w:rPr>
      </w:pPr>
      <w:r w:rsidRPr="003A3AD3">
        <w:rPr>
          <w:rFonts w:ascii="Palatino Linotype" w:eastAsia="Calibri" w:hAnsi="Palatino Linotype" w:cs="Tahoma"/>
          <w:b/>
          <w:bCs/>
          <w:i/>
          <w:iCs/>
          <w:sz w:val="24"/>
          <w:szCs w:val="24"/>
          <w:lang w:val="es-ES_tradnl" w:eastAsia="es-ES_tradnl"/>
        </w:rPr>
        <w:t>SUPLENCIA DE LA QUEJA DEFICIENTE EN MATERIA ADMINISTRATIVA. PROCEDENCIA.</w:t>
      </w:r>
      <w:r w:rsidRPr="003A3AD3">
        <w:rPr>
          <w:rFonts w:ascii="Palatino Linotype" w:eastAsia="Calibri" w:hAnsi="Palatino Linotype" w:cs="Tahoma"/>
          <w:bCs/>
          <w:i/>
          <w:iCs/>
          <w:sz w:val="24"/>
          <w:szCs w:val="24"/>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009D1435" w:rsidRDefault="009D1435" w:rsidP="009D1435">
      <w:pPr>
        <w:spacing w:before="240" w:line="360" w:lineRule="auto"/>
        <w:ind w:right="-28"/>
        <w:jc w:val="both"/>
        <w:rPr>
          <w:rFonts w:ascii="Palatino Linotype" w:eastAsia="Calibri" w:hAnsi="Palatino Linotype" w:cs="Tahoma"/>
          <w:bCs/>
          <w:iCs/>
          <w:sz w:val="24"/>
          <w:szCs w:val="24"/>
          <w:lang w:val="es-ES_tradnl" w:eastAsia="es-ES_tradnl"/>
        </w:rPr>
      </w:pPr>
      <w:r w:rsidRPr="003A3AD3">
        <w:rPr>
          <w:rFonts w:ascii="Palatino Linotype" w:eastAsia="Calibri" w:hAnsi="Palatino Linotype" w:cs="Tahoma"/>
          <w:bCs/>
          <w:iCs/>
          <w:sz w:val="24"/>
          <w:szCs w:val="24"/>
          <w:lang w:val="es-ES_tradnl" w:eastAsia="es-ES_tradnl"/>
        </w:rPr>
        <w:lastRenderedPageBreak/>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009D1435" w:rsidRDefault="009D1435" w:rsidP="009D1435">
      <w:pPr>
        <w:spacing w:before="240" w:line="360" w:lineRule="auto"/>
        <w:ind w:right="-28"/>
        <w:jc w:val="both"/>
        <w:rPr>
          <w:rFonts w:ascii="Palatino Linotype" w:eastAsia="Calibri" w:hAnsi="Palatino Linotype" w:cs="Tahoma"/>
          <w:bCs/>
          <w:iCs/>
          <w:sz w:val="24"/>
          <w:szCs w:val="24"/>
          <w:lang w:val="es-ES_tradnl" w:eastAsia="es-ES_tradnl"/>
        </w:rPr>
      </w:pPr>
      <w:r>
        <w:rPr>
          <w:rFonts w:ascii="Palatino Linotype" w:eastAsia="Calibri" w:hAnsi="Palatino Linotype" w:cs="Tahoma"/>
          <w:bCs/>
          <w:iCs/>
          <w:sz w:val="24"/>
          <w:szCs w:val="24"/>
          <w:lang w:val="es-ES_tradnl" w:eastAsia="es-ES_tradnl"/>
        </w:rPr>
        <w:t>Bajo tal premisa, si bien es cierto que el hoy recurrente únicamente se adolece respecto de que los curriculums remitidos por el sujeto obligado se encuentran indebidamente testados y los mismos no vienen acompañados de un fundamento legal para realizar dicha acción, también cierto es que, dentro de sus requerimientos solicito el Titulo Profesional de los integrantes del cabildo, sin embargo el sujeto obligado no realizo pronunciamiento algo respecto a dicho tópico, motivo por el cual es necesario suplir este punto y realizar el análisis pertinente.</w:t>
      </w:r>
    </w:p>
    <w:p w:rsidR="009D1435" w:rsidRDefault="00EF17B1" w:rsidP="009D1435">
      <w:pPr>
        <w:spacing w:before="240" w:line="360" w:lineRule="auto"/>
        <w:ind w:right="-28"/>
        <w:jc w:val="both"/>
        <w:rPr>
          <w:rFonts w:ascii="Palatino Linotype" w:eastAsia="Calibri" w:hAnsi="Palatino Linotype" w:cs="Tahoma"/>
          <w:bCs/>
          <w:iCs/>
          <w:sz w:val="24"/>
          <w:szCs w:val="24"/>
          <w:lang w:val="es-ES_tradnl" w:eastAsia="es-ES_tradnl"/>
        </w:rPr>
      </w:pPr>
      <w:r>
        <w:rPr>
          <w:rFonts w:ascii="Palatino Linotype" w:eastAsia="Calibri" w:hAnsi="Palatino Linotype" w:cs="Tahoma"/>
          <w:bCs/>
          <w:iCs/>
          <w:sz w:val="24"/>
          <w:szCs w:val="24"/>
          <w:lang w:val="es-ES_tradnl" w:eastAsia="es-ES_tradnl"/>
        </w:rPr>
        <w:t xml:space="preserve">Así, en primer termino es de señalar que la Ley Orgánica Municipal del Estado de México establece que el Ayuntamiento </w:t>
      </w:r>
      <w:r w:rsidR="00DA0F6A">
        <w:rPr>
          <w:rFonts w:ascii="Palatino Linotype" w:eastAsia="Calibri" w:hAnsi="Palatino Linotype" w:cs="Tahoma"/>
          <w:bCs/>
          <w:iCs/>
          <w:sz w:val="24"/>
          <w:szCs w:val="24"/>
          <w:lang w:val="es-ES_tradnl" w:eastAsia="es-ES_tradnl"/>
        </w:rPr>
        <w:t>se conformara por un Presidente, Sindico y Regidores, de conformidad con su diverso 16.</w:t>
      </w:r>
    </w:p>
    <w:p w:rsidR="00DA0F6A" w:rsidRPr="00363AD9" w:rsidRDefault="00DA0F6A" w:rsidP="00363AD9">
      <w:pPr>
        <w:spacing w:before="240" w:line="360" w:lineRule="auto"/>
        <w:ind w:left="360" w:right="-28"/>
        <w:jc w:val="both"/>
        <w:rPr>
          <w:rFonts w:ascii="Palatino Linotype" w:hAnsi="Palatino Linotype"/>
          <w:i/>
          <w:iCs/>
        </w:rPr>
      </w:pPr>
      <w:r w:rsidRPr="00363AD9">
        <w:rPr>
          <w:rFonts w:ascii="Palatino Linotype" w:hAnsi="Palatino Linotype"/>
          <w:i/>
          <w:iCs/>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rsidR="00DA0F6A" w:rsidRPr="00363AD9" w:rsidRDefault="00DA0F6A" w:rsidP="00363AD9">
      <w:pPr>
        <w:pStyle w:val="Prrafodelista"/>
        <w:numPr>
          <w:ilvl w:val="0"/>
          <w:numId w:val="41"/>
        </w:numPr>
        <w:spacing w:before="240" w:line="360" w:lineRule="auto"/>
        <w:ind w:left="1440" w:right="-28"/>
        <w:jc w:val="both"/>
        <w:rPr>
          <w:rFonts w:ascii="Palatino Linotype" w:hAnsi="Palatino Linotype"/>
          <w:i/>
          <w:iCs/>
          <w:sz w:val="22"/>
          <w:szCs w:val="22"/>
        </w:rPr>
      </w:pPr>
      <w:r w:rsidRPr="00363AD9">
        <w:rPr>
          <w:rFonts w:ascii="Palatino Linotype" w:hAnsi="Palatino Linotype"/>
          <w:i/>
          <w:iCs/>
          <w:sz w:val="22"/>
          <w:szCs w:val="22"/>
        </w:rPr>
        <w:t xml:space="preserve">Un presidente, un síndico y seis regidores, electos por planilla según el principio de mayoría relativa y hasta cuatro regidores designados según el principio de </w:t>
      </w:r>
      <w:r w:rsidRPr="00363AD9">
        <w:rPr>
          <w:rFonts w:ascii="Palatino Linotype" w:hAnsi="Palatino Linotype"/>
          <w:i/>
          <w:iCs/>
          <w:sz w:val="22"/>
          <w:szCs w:val="22"/>
        </w:rPr>
        <w:lastRenderedPageBreak/>
        <w:t xml:space="preserve">representación proporcional, cuando se trate de municipios que tengan una población de menos de 150 mil habitantes; </w:t>
      </w:r>
    </w:p>
    <w:p w:rsidR="00DA0F6A" w:rsidRPr="00363AD9" w:rsidRDefault="00DA0F6A" w:rsidP="00363AD9">
      <w:pPr>
        <w:pStyle w:val="Prrafodelista"/>
        <w:numPr>
          <w:ilvl w:val="0"/>
          <w:numId w:val="41"/>
        </w:numPr>
        <w:spacing w:before="240" w:line="360" w:lineRule="auto"/>
        <w:ind w:left="1440" w:right="-28"/>
        <w:jc w:val="both"/>
        <w:rPr>
          <w:rFonts w:ascii="Palatino Linotype" w:eastAsia="Calibri" w:hAnsi="Palatino Linotype" w:cs="Tahoma"/>
          <w:bCs/>
          <w:i/>
          <w:iCs/>
          <w:sz w:val="22"/>
          <w:szCs w:val="22"/>
          <w:lang w:val="es-ES_tradnl" w:eastAsia="es-ES_tradnl"/>
        </w:rPr>
      </w:pPr>
      <w:r w:rsidRPr="00363AD9">
        <w:rPr>
          <w:rFonts w:ascii="Palatino Linotype" w:hAnsi="Palatino Linotype"/>
          <w:i/>
          <w:iCs/>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rsidR="00DA0F6A" w:rsidRPr="00363AD9" w:rsidRDefault="00DA0F6A" w:rsidP="00363AD9">
      <w:pPr>
        <w:pStyle w:val="Prrafodelista"/>
        <w:numPr>
          <w:ilvl w:val="0"/>
          <w:numId w:val="41"/>
        </w:numPr>
        <w:spacing w:before="240" w:line="360" w:lineRule="auto"/>
        <w:ind w:left="1440" w:right="-28"/>
        <w:jc w:val="both"/>
        <w:rPr>
          <w:rFonts w:ascii="Palatino Linotype" w:eastAsia="Calibri" w:hAnsi="Palatino Linotype" w:cs="Tahoma"/>
          <w:bCs/>
          <w:i/>
          <w:iCs/>
          <w:sz w:val="22"/>
          <w:szCs w:val="22"/>
          <w:lang w:val="es-ES_tradnl" w:eastAsia="es-ES_tradnl"/>
        </w:rPr>
      </w:pPr>
      <w:r w:rsidRPr="00363AD9">
        <w:rPr>
          <w:rFonts w:ascii="Palatino Linotype" w:hAnsi="Palatino Linotype"/>
          <w:i/>
          <w:iCs/>
          <w:sz w:val="22"/>
          <w:szCs w:val="22"/>
        </w:rPr>
        <w:t>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rsidR="00DA0F6A" w:rsidRPr="00363AD9" w:rsidRDefault="00DA0F6A" w:rsidP="00363AD9">
      <w:pPr>
        <w:pStyle w:val="Prrafodelista"/>
        <w:numPr>
          <w:ilvl w:val="0"/>
          <w:numId w:val="41"/>
        </w:numPr>
        <w:spacing w:before="240" w:line="360" w:lineRule="auto"/>
        <w:ind w:left="1440" w:right="-28"/>
        <w:jc w:val="both"/>
        <w:rPr>
          <w:rFonts w:ascii="Palatino Linotype" w:eastAsia="Calibri" w:hAnsi="Palatino Linotype" w:cs="Tahoma"/>
          <w:bCs/>
          <w:i/>
          <w:iCs/>
          <w:sz w:val="22"/>
          <w:szCs w:val="22"/>
          <w:lang w:val="es-ES_tradnl" w:eastAsia="es-ES_tradnl"/>
        </w:rPr>
      </w:pPr>
      <w:r w:rsidRPr="00363AD9">
        <w:rPr>
          <w:rFonts w:ascii="Palatino Linotype" w:hAnsi="Palatino Linotype"/>
          <w:i/>
          <w:iCs/>
          <w:sz w:val="22"/>
          <w:szCs w:val="22"/>
        </w:rPr>
        <w:t>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rsidR="005B107A" w:rsidRDefault="005B107A" w:rsidP="005B107A">
      <w:pPr>
        <w:spacing w:before="240" w:line="360" w:lineRule="auto"/>
        <w:jc w:val="both"/>
        <w:rPr>
          <w:rFonts w:ascii="Palatino Linotype" w:hAnsi="Palatino Linotype"/>
          <w:sz w:val="24"/>
          <w:szCs w:val="24"/>
        </w:rPr>
      </w:pPr>
      <w:r>
        <w:rPr>
          <w:rFonts w:ascii="Palatino Linotype" w:eastAsia="Calibri" w:hAnsi="Palatino Linotype" w:cs="Tahoma"/>
          <w:bCs/>
          <w:iCs/>
          <w:sz w:val="24"/>
          <w:szCs w:val="24"/>
          <w:lang w:val="es-ES_tradnl" w:eastAsia="es-ES_tradnl"/>
        </w:rPr>
        <w:t xml:space="preserve">Luego entonces, la información que debió remitir el sujeto obligado únicamente corresponde al Presidente, Sindico y Regidores, así pues, respecto de los curriculums, </w:t>
      </w:r>
      <w:r>
        <w:rPr>
          <w:rFonts w:ascii="Palatino Linotype" w:hAnsi="Palatino Linotype"/>
          <w:sz w:val="24"/>
          <w:szCs w:val="24"/>
        </w:rPr>
        <w:t>no pasa de óptica este Órgano Garante, que la misma Ley de Transparencia Local, establece en su artículo 92 las Obligaciones de Transparencia Comunes, el cual versa medularmente en el deber que tienen los sujetos obligados de poner de manera permanente y actualizada, de manera sencilla, precisa y entendible, de conformidad con sus facultades, atribuciones, funciones u objeto social, y para el caso concreto un su fracción XXI, establece la información curricular desde jefe de departamento o equivalente, hasta el titular del sujeto obligado.</w:t>
      </w:r>
    </w:p>
    <w:p w:rsidR="005B107A" w:rsidRPr="00A863D6" w:rsidRDefault="005B107A" w:rsidP="005B107A">
      <w:pPr>
        <w:spacing w:before="240" w:line="360" w:lineRule="auto"/>
        <w:ind w:left="708"/>
        <w:jc w:val="both"/>
        <w:rPr>
          <w:rFonts w:ascii="Palatino Linotype" w:hAnsi="Palatino Linotype"/>
          <w:i/>
          <w:szCs w:val="24"/>
        </w:rPr>
      </w:pPr>
      <w:r w:rsidRPr="00A863D6">
        <w:rPr>
          <w:rFonts w:ascii="Palatino Linotype" w:hAnsi="Palatino Linotype"/>
          <w:i/>
          <w:szCs w:val="24"/>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B107A" w:rsidRDefault="005B107A" w:rsidP="005B107A">
      <w:pPr>
        <w:pStyle w:val="Prrafodelista"/>
        <w:spacing w:before="240" w:line="360" w:lineRule="auto"/>
        <w:ind w:left="1776"/>
        <w:jc w:val="both"/>
        <w:rPr>
          <w:rFonts w:ascii="Palatino Linotype" w:hAnsi="Palatino Linotype"/>
          <w:i/>
        </w:rPr>
      </w:pPr>
      <w:r>
        <w:rPr>
          <w:rFonts w:ascii="Palatino Linotype" w:hAnsi="Palatino Linotype"/>
          <w:i/>
        </w:rPr>
        <w:t>……</w:t>
      </w:r>
    </w:p>
    <w:p w:rsidR="005B107A" w:rsidRDefault="005B107A" w:rsidP="005B107A">
      <w:pPr>
        <w:pStyle w:val="Prrafodelista"/>
        <w:spacing w:before="240" w:line="360" w:lineRule="auto"/>
        <w:ind w:left="1776"/>
        <w:jc w:val="both"/>
        <w:rPr>
          <w:rFonts w:ascii="Palatino Linotype" w:hAnsi="Palatino Linotype"/>
          <w:i/>
        </w:rPr>
      </w:pPr>
    </w:p>
    <w:p w:rsidR="005B107A" w:rsidRDefault="005B107A" w:rsidP="005B107A">
      <w:pPr>
        <w:pStyle w:val="Prrafodelista"/>
        <w:numPr>
          <w:ilvl w:val="0"/>
          <w:numId w:val="20"/>
        </w:numPr>
        <w:spacing w:before="240" w:line="360" w:lineRule="auto"/>
        <w:jc w:val="both"/>
        <w:rPr>
          <w:rFonts w:ascii="Palatino Linotype" w:hAnsi="Palatino Linotype"/>
          <w:i/>
        </w:rPr>
      </w:pPr>
      <w:r w:rsidRPr="00A863D6">
        <w:rPr>
          <w:rFonts w:ascii="Palatino Linotype" w:hAnsi="Palatino Linotype"/>
          <w:i/>
        </w:rPr>
        <w:t>La información curricular, desde el nivel de jefe de departamento o equivalente, hasta el titular del sujeto obligado, así como, en su caso, las sanciones administrativas de que haya sido objeto;</w:t>
      </w:r>
    </w:p>
    <w:p w:rsidR="005B107A" w:rsidRPr="00A863D6" w:rsidRDefault="005B107A" w:rsidP="005B107A">
      <w:pPr>
        <w:pStyle w:val="Prrafodelista"/>
        <w:numPr>
          <w:ilvl w:val="0"/>
          <w:numId w:val="20"/>
        </w:numPr>
        <w:spacing w:before="240" w:line="360" w:lineRule="auto"/>
        <w:jc w:val="both"/>
        <w:rPr>
          <w:rFonts w:ascii="Palatino Linotype" w:hAnsi="Palatino Linotype"/>
          <w:i/>
        </w:rPr>
      </w:pPr>
      <w:r>
        <w:rPr>
          <w:rFonts w:ascii="Palatino Linotype" w:hAnsi="Palatino Linotype"/>
          <w:i/>
        </w:rPr>
        <w:t>…..</w:t>
      </w:r>
    </w:p>
    <w:p w:rsidR="005B107A" w:rsidRDefault="005B107A" w:rsidP="005B107A">
      <w:pPr>
        <w:spacing w:before="240" w:line="360" w:lineRule="auto"/>
        <w:jc w:val="both"/>
        <w:rPr>
          <w:rFonts w:ascii="Palatino Linotype" w:hAnsi="Palatino Linotype"/>
          <w:sz w:val="24"/>
          <w:szCs w:val="24"/>
        </w:rPr>
      </w:pPr>
      <w:r>
        <w:rPr>
          <w:rFonts w:ascii="Palatino Linotype" w:hAnsi="Palatino Linotype"/>
          <w:sz w:val="24"/>
          <w:szCs w:val="24"/>
        </w:rPr>
        <w:t>En ese sentido, es importante señalar que la información relacionada con la experiencia académica y laboral con la que cuentan los servidores públicos, es con la finalidad de dar certeza a los ciudadanos de que quien ocupe los cargos de la administración se encuentra aptos para desempeñar los puestos asignados.</w:t>
      </w:r>
    </w:p>
    <w:p w:rsidR="005B107A" w:rsidRDefault="005B107A" w:rsidP="005B107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es menester señalar la definición de curricular, la cual según la Real Academia Española RAE establece:</w:t>
      </w:r>
    </w:p>
    <w:p w:rsidR="005B107A" w:rsidRPr="00CC51BC" w:rsidRDefault="005B107A" w:rsidP="005B107A">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rsidR="005B107A" w:rsidRPr="00CC51BC" w:rsidRDefault="005B107A" w:rsidP="005B107A">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rsidR="005B107A" w:rsidRPr="00CC51BC" w:rsidRDefault="005B107A" w:rsidP="005B107A">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lastRenderedPageBreak/>
        <w:t>Asimismo, como se denota la información curricular es todo aquello perteneciente o relativo al currículo y el cual la misma RAE define como:</w:t>
      </w:r>
    </w:p>
    <w:p w:rsidR="005B107A" w:rsidRPr="00CC51BC" w:rsidRDefault="005B107A" w:rsidP="005B107A">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rsidR="005B107A" w:rsidRPr="00CC51BC" w:rsidRDefault="005B107A" w:rsidP="005B107A">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rsidR="005B107A" w:rsidRPr="00CC51BC" w:rsidRDefault="005B107A" w:rsidP="005B107A">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rsidR="005B107A" w:rsidRPr="00CC51BC" w:rsidRDefault="005B107A" w:rsidP="005B107A">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rsidR="005B107A" w:rsidRPr="00CC51BC" w:rsidRDefault="005B107A" w:rsidP="005B107A">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8"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rsidR="005B107A" w:rsidRPr="00CC51BC" w:rsidRDefault="005B107A" w:rsidP="005B107A">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rsidR="005B107A" w:rsidRPr="00CC51BC" w:rsidRDefault="005B107A" w:rsidP="005B107A">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rsidR="005B107A" w:rsidRDefault="005B107A" w:rsidP="005B107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rsidR="005B107A" w:rsidRPr="00624C9F" w:rsidRDefault="005B107A" w:rsidP="005B107A">
      <w:pPr>
        <w:spacing w:before="240" w:line="360" w:lineRule="auto"/>
        <w:jc w:val="both"/>
        <w:rPr>
          <w:rFonts w:ascii="Palatino Linotype" w:hAnsi="Palatino Linotype"/>
          <w:sz w:val="24"/>
          <w:szCs w:val="24"/>
        </w:rPr>
      </w:pPr>
      <w:r w:rsidRPr="00624C9F">
        <w:rPr>
          <w:rFonts w:ascii="Palatino Linotype" w:hAnsi="Palatino Linotype"/>
          <w:sz w:val="24"/>
          <w:szCs w:val="24"/>
        </w:rPr>
        <w:lastRenderedPageBreak/>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rsidR="005B107A" w:rsidRPr="00624C9F" w:rsidRDefault="005B107A" w:rsidP="005B107A">
      <w:pPr>
        <w:spacing w:before="240" w:line="360" w:lineRule="auto"/>
        <w:ind w:left="708"/>
        <w:jc w:val="both"/>
        <w:rPr>
          <w:rFonts w:ascii="Palatino Linotype" w:hAnsi="Palatino Linotype"/>
          <w:i/>
          <w:szCs w:val="24"/>
        </w:rPr>
      </w:pPr>
      <w:r w:rsidRPr="00624C9F">
        <w:rPr>
          <w:rFonts w:ascii="Palatino Linotype" w:hAnsi="Palatino Linotype"/>
          <w:i/>
          <w:szCs w:val="24"/>
        </w:rPr>
        <w:t>ARTÍCULO 45.-Los servidores públicos prestarán sus servicios mediante nombramiento, contrato o formato único de Movimientos de Personal expedidos por quien estuviere facultado legalmente para extenderlo.</w:t>
      </w:r>
    </w:p>
    <w:p w:rsidR="005B107A" w:rsidRPr="00624C9F" w:rsidRDefault="005B107A" w:rsidP="005B107A">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rsidR="005B107A" w:rsidRPr="00624C9F" w:rsidRDefault="005B107A" w:rsidP="005B107A">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rsidR="005B107A" w:rsidRPr="00624C9F" w:rsidRDefault="005B107A" w:rsidP="005B107A">
      <w:pPr>
        <w:spacing w:before="240" w:line="360" w:lineRule="auto"/>
        <w:ind w:left="708"/>
        <w:jc w:val="both"/>
        <w:rPr>
          <w:rFonts w:ascii="Palatino Linotype" w:hAnsi="Palatino Linotype"/>
          <w:i/>
          <w:szCs w:val="24"/>
        </w:rPr>
      </w:pPr>
      <w:r w:rsidRPr="00624C9F">
        <w:rPr>
          <w:rFonts w:ascii="Palatino Linotype" w:hAnsi="Palatino Linotype"/>
          <w:i/>
          <w:szCs w:val="24"/>
        </w:rPr>
        <w:t>I. Presentar una solicitud utilizando la forma oficial que se autorice por la institución pública o dependencia correspondiente;</w:t>
      </w:r>
    </w:p>
    <w:p w:rsidR="005B107A" w:rsidRDefault="005B107A" w:rsidP="005B107A">
      <w:pPr>
        <w:spacing w:before="240" w:line="360" w:lineRule="auto"/>
        <w:ind w:left="708"/>
        <w:jc w:val="both"/>
        <w:rPr>
          <w:rFonts w:ascii="Palatino Linotype" w:hAnsi="Palatino Linotype"/>
          <w:i/>
          <w:szCs w:val="24"/>
        </w:rPr>
      </w:pPr>
      <w:r>
        <w:rPr>
          <w:rFonts w:ascii="Palatino Linotype" w:hAnsi="Palatino Linotype"/>
          <w:i/>
          <w:szCs w:val="24"/>
        </w:rPr>
        <w:t>…</w:t>
      </w:r>
    </w:p>
    <w:p w:rsidR="005B107A" w:rsidRDefault="005B107A" w:rsidP="005B107A">
      <w:pPr>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lastRenderedPageBreak/>
        <w:t>Adicionalmente, en referencia al título profesional</w:t>
      </w:r>
      <w:r>
        <w:rPr>
          <w:rFonts w:ascii="Palatino Linotype" w:hAnsi="Palatino Linotype" w:cs="Arial"/>
          <w:sz w:val="24"/>
          <w:szCs w:val="24"/>
        </w:rPr>
        <w:t xml:space="preserve"> la Constitución Política Local, así como la Ley Orgánica Municipal del Estado de México establecen.</w:t>
      </w:r>
    </w:p>
    <w:p w:rsidR="00B3017E" w:rsidRPr="00B3017E" w:rsidRDefault="00B3017E" w:rsidP="00B3017E">
      <w:pPr>
        <w:spacing w:before="240" w:line="360" w:lineRule="auto"/>
        <w:ind w:left="708"/>
        <w:jc w:val="center"/>
        <w:rPr>
          <w:rFonts w:ascii="Palatino Linotype" w:hAnsi="Palatino Linotype" w:cs="Arial"/>
          <w:i/>
          <w:iCs/>
        </w:rPr>
      </w:pPr>
      <w:r w:rsidRPr="00B3017E">
        <w:rPr>
          <w:rFonts w:ascii="Palatino Linotype" w:hAnsi="Palatino Linotype"/>
          <w:i/>
          <w:iCs/>
        </w:rPr>
        <w:t>CONSTITUCION POLITICA DEL ESTADO LIBRE Y SOBERANO DE MEXICO</w:t>
      </w:r>
    </w:p>
    <w:p w:rsidR="00B3017E" w:rsidRPr="00B3017E" w:rsidRDefault="005B107A" w:rsidP="00B3017E">
      <w:pPr>
        <w:spacing w:before="240" w:line="360" w:lineRule="auto"/>
        <w:ind w:left="708"/>
        <w:jc w:val="both"/>
        <w:rPr>
          <w:rFonts w:ascii="Palatino Linotype" w:hAnsi="Palatino Linotype"/>
          <w:i/>
          <w:iCs/>
        </w:rPr>
      </w:pPr>
      <w:r w:rsidRPr="00B3017E">
        <w:rPr>
          <w:rFonts w:ascii="Palatino Linotype" w:hAnsi="Palatino Linotype"/>
          <w:i/>
          <w:iCs/>
        </w:rPr>
        <w:t xml:space="preserve">Artículo 118.- Los miembros de un ayuntamiento serán designados en una sola elección. Se distinguirán los regidores por el orden numérico y los síndicos cuando sean dos, en la misma forma. </w:t>
      </w:r>
    </w:p>
    <w:p w:rsidR="00B3017E" w:rsidRPr="00B3017E" w:rsidRDefault="005B107A" w:rsidP="00B3017E">
      <w:pPr>
        <w:spacing w:before="240" w:line="360" w:lineRule="auto"/>
        <w:ind w:left="708"/>
        <w:jc w:val="both"/>
        <w:rPr>
          <w:rFonts w:ascii="Palatino Linotype" w:hAnsi="Palatino Linotype"/>
          <w:i/>
          <w:iCs/>
        </w:rPr>
      </w:pPr>
      <w:r w:rsidRPr="00B3017E">
        <w:rPr>
          <w:rFonts w:ascii="Palatino Linotype" w:hAnsi="Palatino Linotype"/>
          <w:i/>
          <w:iCs/>
        </w:rPr>
        <w:t xml:space="preserve">Los regidores de mayoría relativa y de representación proporcional tendrán los mismos derechos y obligaciones, conforme a la ley de la materia. Los síndicos electos por ambas fórmulas tendrán las atribuciones que les señale la ley. Por cada miembro del ayuntamiento que se elija como propietario se elegirá un suplente. </w:t>
      </w:r>
    </w:p>
    <w:p w:rsidR="00B3017E" w:rsidRPr="00B3017E" w:rsidRDefault="005B107A" w:rsidP="00B3017E">
      <w:pPr>
        <w:spacing w:before="240" w:line="360" w:lineRule="auto"/>
        <w:ind w:left="708"/>
        <w:jc w:val="both"/>
        <w:rPr>
          <w:rFonts w:ascii="Palatino Linotype" w:hAnsi="Palatino Linotype"/>
          <w:i/>
          <w:iCs/>
        </w:rPr>
      </w:pPr>
      <w:r w:rsidRPr="00B3017E">
        <w:rPr>
          <w:rFonts w:ascii="Palatino Linotype" w:hAnsi="Palatino Linotype"/>
          <w:i/>
          <w:iCs/>
        </w:rPr>
        <w:t>Artículo 119.- Para ser miembro propietario o suplente de un ayuntamiento se requiere:</w:t>
      </w:r>
    </w:p>
    <w:p w:rsidR="00B3017E" w:rsidRPr="00B3017E" w:rsidRDefault="005B107A" w:rsidP="00B3017E">
      <w:pPr>
        <w:pStyle w:val="Prrafodelista"/>
        <w:numPr>
          <w:ilvl w:val="0"/>
          <w:numId w:val="42"/>
        </w:numPr>
        <w:spacing w:before="240" w:line="360" w:lineRule="auto"/>
        <w:ind w:left="1788"/>
        <w:jc w:val="both"/>
        <w:rPr>
          <w:rFonts w:ascii="Palatino Linotype" w:hAnsi="Palatino Linotype"/>
          <w:i/>
          <w:iCs/>
          <w:sz w:val="22"/>
          <w:szCs w:val="22"/>
        </w:rPr>
      </w:pPr>
      <w:r w:rsidRPr="00B3017E">
        <w:rPr>
          <w:rFonts w:ascii="Palatino Linotype" w:hAnsi="Palatino Linotype"/>
          <w:i/>
          <w:iCs/>
          <w:sz w:val="22"/>
          <w:szCs w:val="22"/>
        </w:rPr>
        <w:t xml:space="preserve">Ser mexicano por nacimiento, ciudadano del Estado, en pleno ejercicio de sus derechos; </w:t>
      </w:r>
    </w:p>
    <w:p w:rsidR="00B3017E" w:rsidRPr="00B3017E" w:rsidRDefault="005B107A" w:rsidP="00B3017E">
      <w:pPr>
        <w:pStyle w:val="Prrafodelista"/>
        <w:numPr>
          <w:ilvl w:val="0"/>
          <w:numId w:val="42"/>
        </w:numPr>
        <w:spacing w:before="240" w:line="360" w:lineRule="auto"/>
        <w:ind w:left="1788"/>
        <w:jc w:val="both"/>
        <w:rPr>
          <w:rFonts w:ascii="Palatino Linotype" w:hAnsi="Palatino Linotype"/>
          <w:i/>
          <w:iCs/>
          <w:sz w:val="22"/>
          <w:szCs w:val="22"/>
        </w:rPr>
      </w:pPr>
      <w:r w:rsidRPr="00B3017E">
        <w:rPr>
          <w:rFonts w:ascii="Palatino Linotype" w:hAnsi="Palatino Linotype"/>
          <w:i/>
          <w:iCs/>
          <w:sz w:val="22"/>
          <w:szCs w:val="22"/>
        </w:rPr>
        <w:t xml:space="preserve">Ser mexiquense con residencia efectiva en el municipio no menor a un año o vecino del mismo, con residencia efectiva en su territorio no menor a tres años, anteriores al día de la elección; y </w:t>
      </w:r>
    </w:p>
    <w:p w:rsidR="005B107A" w:rsidRDefault="005B107A" w:rsidP="00B3017E">
      <w:pPr>
        <w:pStyle w:val="Prrafodelista"/>
        <w:numPr>
          <w:ilvl w:val="0"/>
          <w:numId w:val="42"/>
        </w:numPr>
        <w:spacing w:before="240" w:line="360" w:lineRule="auto"/>
        <w:ind w:left="1788"/>
        <w:jc w:val="both"/>
        <w:rPr>
          <w:rFonts w:ascii="Palatino Linotype" w:hAnsi="Palatino Linotype"/>
          <w:i/>
          <w:iCs/>
          <w:sz w:val="22"/>
          <w:szCs w:val="22"/>
        </w:rPr>
      </w:pPr>
      <w:r w:rsidRPr="00B3017E">
        <w:rPr>
          <w:rFonts w:ascii="Palatino Linotype" w:hAnsi="Palatino Linotype"/>
          <w:i/>
          <w:iCs/>
          <w:sz w:val="22"/>
          <w:szCs w:val="22"/>
        </w:rPr>
        <w:t>Ser de reconocida probidad y buena fama pública.</w:t>
      </w:r>
    </w:p>
    <w:p w:rsidR="00B3017E" w:rsidRPr="00B3017E" w:rsidRDefault="00B3017E" w:rsidP="00B3017E">
      <w:pPr>
        <w:spacing w:before="240" w:line="360" w:lineRule="auto"/>
        <w:ind w:left="708"/>
        <w:jc w:val="both"/>
        <w:rPr>
          <w:rFonts w:ascii="Palatino Linotype" w:hAnsi="Palatino Linotype"/>
          <w:i/>
          <w:iCs/>
        </w:rPr>
      </w:pPr>
      <w:r w:rsidRPr="00B3017E">
        <w:rPr>
          <w:rFonts w:ascii="Palatino Linotype" w:hAnsi="Palatino Linotype"/>
          <w:i/>
          <w:iCs/>
        </w:rPr>
        <w:t>Artículo 120.- No pueden ser miembros propietarios o suplentes de los ayuntamientos:</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t>Los diputados y senadores al Congreso de la Unión que se encuentren en ejercicio de su cargo;</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t xml:space="preserve">Los diputados a la Legislatura del Estado que se encuentren en ejercicio de su cargo; </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lastRenderedPageBreak/>
        <w:t xml:space="preserve">Los jueces, magistrados o consejeros de la Judicatura del Poder Judicial del Estado o de la Federación; </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t xml:space="preserve">Los servidores públicos federales, estatales o municipales en ejercicio de autoridad; </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t xml:space="preserve">Los militares y los miembros de las fuerzas de seguridad pública del Estado y los de los municipios que ejerzan mando en el territorio de la elección; y </w:t>
      </w:r>
    </w:p>
    <w:p w:rsidR="00B3017E" w:rsidRPr="00B3017E" w:rsidRDefault="00B3017E" w:rsidP="00B3017E">
      <w:pPr>
        <w:pStyle w:val="Prrafodelista"/>
        <w:numPr>
          <w:ilvl w:val="0"/>
          <w:numId w:val="43"/>
        </w:numPr>
        <w:spacing w:before="240" w:line="360" w:lineRule="auto"/>
        <w:ind w:left="1428"/>
        <w:jc w:val="both"/>
        <w:rPr>
          <w:rFonts w:ascii="Palatino Linotype" w:hAnsi="Palatino Linotype"/>
          <w:i/>
          <w:iCs/>
          <w:sz w:val="22"/>
          <w:szCs w:val="22"/>
        </w:rPr>
      </w:pPr>
      <w:r w:rsidRPr="00B3017E">
        <w:rPr>
          <w:rFonts w:ascii="Palatino Linotype" w:hAnsi="Palatino Linotype"/>
          <w:i/>
          <w:iCs/>
          <w:sz w:val="22"/>
          <w:szCs w:val="22"/>
        </w:rPr>
        <w:t>Los ministros de cualquier culto, a menos que se separen formal, material y definitivamente de su ministerio, cuando menos cinco años antes del día de la elección.</w:t>
      </w:r>
    </w:p>
    <w:p w:rsidR="00B3017E" w:rsidRPr="00B3017E" w:rsidRDefault="00B3017E" w:rsidP="00B3017E">
      <w:pPr>
        <w:spacing w:before="240" w:line="360" w:lineRule="auto"/>
        <w:ind w:left="708"/>
        <w:jc w:val="both"/>
        <w:rPr>
          <w:rFonts w:ascii="Palatino Linotype" w:hAnsi="Palatino Linotype"/>
          <w:i/>
          <w:iCs/>
        </w:rPr>
      </w:pPr>
      <w:r w:rsidRPr="00B3017E">
        <w:rPr>
          <w:rFonts w:ascii="Palatino Linotype" w:hAnsi="Palatino Linotype"/>
          <w:i/>
          <w:iCs/>
        </w:rPr>
        <w:t>Los servidores públicos a que se refieren las fracciones III, IV y V, serán exceptuados del impedimento si se separan de sus respectivos cargos por lo menos 60 días antes de la elección.</w:t>
      </w:r>
    </w:p>
    <w:p w:rsidR="00B3017E" w:rsidRPr="00B3017E" w:rsidRDefault="00B3017E" w:rsidP="00B3017E">
      <w:pPr>
        <w:spacing w:before="240" w:line="360" w:lineRule="auto"/>
        <w:ind w:left="708"/>
        <w:jc w:val="center"/>
        <w:rPr>
          <w:rFonts w:ascii="Palatino Linotype" w:hAnsi="Palatino Linotype"/>
          <w:i/>
          <w:iCs/>
        </w:rPr>
      </w:pPr>
      <w:r w:rsidRPr="00B3017E">
        <w:rPr>
          <w:rFonts w:ascii="Palatino Linotype" w:hAnsi="Palatino Linotype"/>
          <w:i/>
          <w:iCs/>
        </w:rPr>
        <w:t>LEY ORGÁNICA MUNICIPAL DEL ESTADO DE MÉXICO</w:t>
      </w:r>
    </w:p>
    <w:p w:rsidR="00B3017E" w:rsidRPr="00B3017E" w:rsidRDefault="00B3017E" w:rsidP="00B3017E">
      <w:pPr>
        <w:spacing w:before="240" w:line="360" w:lineRule="auto"/>
        <w:ind w:left="708"/>
        <w:jc w:val="both"/>
        <w:rPr>
          <w:rFonts w:ascii="Palatino Linotype" w:hAnsi="Palatino Linotype"/>
          <w:i/>
          <w:iCs/>
        </w:rPr>
      </w:pPr>
      <w:r w:rsidRPr="00B3017E">
        <w:rPr>
          <w:rFonts w:ascii="Palatino Linotype" w:hAnsi="Palatino Linotype"/>
          <w:i/>
          <w:iCs/>
        </w:rPr>
        <w:t xml:space="preserve">Artículo 15.- Cada municipio será gobernado por un ayuntamiento de elección popular directa y no habrá ninguna autoridad intermedia entre éste y el Gobierno del Estado. </w:t>
      </w:r>
    </w:p>
    <w:p w:rsidR="00B3017E" w:rsidRDefault="00B3017E" w:rsidP="00B3017E">
      <w:pPr>
        <w:spacing w:before="240" w:line="360" w:lineRule="auto"/>
        <w:ind w:left="708"/>
        <w:jc w:val="both"/>
        <w:rPr>
          <w:rFonts w:ascii="Palatino Linotype" w:hAnsi="Palatino Linotype"/>
          <w:i/>
          <w:iCs/>
        </w:rPr>
      </w:pPr>
      <w:r w:rsidRPr="00B3017E">
        <w:rPr>
          <w:rFonts w:ascii="Palatino Linotype" w:hAnsi="Palatino Linotype"/>
          <w:i/>
          <w:iC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B3017E" w:rsidRDefault="00B3017E" w:rsidP="00B3017E">
      <w:pPr>
        <w:spacing w:before="240" w:line="360" w:lineRule="auto"/>
        <w:jc w:val="both"/>
        <w:rPr>
          <w:rFonts w:ascii="Palatino Linotype" w:hAnsi="Palatino Linotype"/>
          <w:sz w:val="24"/>
          <w:szCs w:val="24"/>
        </w:rPr>
      </w:pPr>
      <w:r>
        <w:rPr>
          <w:rFonts w:ascii="Palatino Linotype" w:hAnsi="Palatino Linotype"/>
          <w:sz w:val="24"/>
          <w:szCs w:val="24"/>
        </w:rPr>
        <w:t xml:space="preserve">Como se desprende de los numerales en cita, el Titulo Profesional no se encuentra enmarcado como requisito para ser miembro del Cabildo, ya que dichos cargos serán designados por elección popular y no deberán cumplir mayores requisitos que ser mexicano por nacimiento, en pleno ejercicio de sus derechos, ser mexiquense con </w:t>
      </w:r>
      <w:r>
        <w:rPr>
          <w:rFonts w:ascii="Palatino Linotype" w:hAnsi="Palatino Linotype"/>
          <w:sz w:val="24"/>
          <w:szCs w:val="24"/>
        </w:rPr>
        <w:lastRenderedPageBreak/>
        <w:t>residencia efectiva en el municipio no menor a un año, vecino del mismo, ser de reconocida probidad y buena fama pública.</w:t>
      </w:r>
    </w:p>
    <w:p w:rsidR="00B3017E" w:rsidRPr="00B3017E" w:rsidRDefault="00B3017E" w:rsidP="00B3017E">
      <w:pPr>
        <w:spacing w:before="240" w:line="360" w:lineRule="auto"/>
        <w:jc w:val="both"/>
        <w:rPr>
          <w:rFonts w:ascii="Palatino Linotype" w:hAnsi="Palatino Linotype"/>
          <w:i/>
          <w:iCs/>
        </w:rPr>
      </w:pPr>
      <w:r>
        <w:rPr>
          <w:rFonts w:ascii="Palatino Linotype" w:hAnsi="Palatino Linotype"/>
          <w:sz w:val="24"/>
          <w:szCs w:val="24"/>
        </w:rPr>
        <w:t>Por lo tanto, el sujeto obligado no tiene la obligación de contar con los títulos profesionales de los integrantes del cabildo, motivo por el cual deberá de pronunciarse al respecto al momento de dar cumplimiento a la presente resolución, y en el caso de que sea en sentido negativo, deberá de hacerlo del conocimiento del recurrente.</w:t>
      </w:r>
    </w:p>
    <w:p w:rsidR="005B107A" w:rsidRDefault="005B107A" w:rsidP="005B107A">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No pasando de óptica de este resolutor que dicho curriculum o solicitud de empleo y Títulos Profesionales podrían contener datos personales </w:t>
      </w:r>
      <w:r w:rsidRPr="00DA2848">
        <w:rPr>
          <w:rFonts w:ascii="Palatino Linotype" w:hAnsi="Palatino Linotype" w:cs="Arial"/>
          <w:color w:val="000000" w:themeColor="text1"/>
          <w:sz w:val="24"/>
          <w:szCs w:val="24"/>
        </w:rPr>
        <w:t xml:space="preserve">susceptibles de ser protegidos como lo son: </w:t>
      </w:r>
      <w:r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y para el caso de que se encontrara alguna fotografía, esta deberá de ser visible, ya que como dichos servidores públicos se encuentran desempeñando un alto cargo y para ello se deben de tomar en cuenta las siguientes consideraciones.</w:t>
      </w:r>
    </w:p>
    <w:p w:rsidR="005B107A" w:rsidRPr="006A2C8C" w:rsidRDefault="005B107A" w:rsidP="005B107A">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5B107A" w:rsidRPr="006A2C8C" w:rsidRDefault="005B107A" w:rsidP="005B107A">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 xml:space="preserve">En estos casos, se debe corroborar una conexión patente entre </w:t>
      </w:r>
      <w:r w:rsidRPr="006A2C8C">
        <w:rPr>
          <w:rFonts w:ascii="Palatino Linotype" w:hAnsi="Palatino Linotype"/>
          <w:b/>
          <w:sz w:val="24"/>
          <w:szCs w:val="24"/>
        </w:rPr>
        <w:t>la información confidencial y un tema de interés público</w:t>
      </w:r>
      <w:r w:rsidRPr="006A2C8C">
        <w:rPr>
          <w:rFonts w:ascii="Palatino Linotype" w:hAnsi="Palatino Linotype"/>
          <w:sz w:val="24"/>
          <w:szCs w:val="24"/>
        </w:rPr>
        <w:t xml:space="preserve">. La </w:t>
      </w:r>
      <w:r w:rsidRPr="006A2C8C">
        <w:rPr>
          <w:rFonts w:ascii="Palatino Linotype" w:eastAsia="Times New Roman" w:hAnsi="Palatino Linotype" w:cs="Arial"/>
          <w:color w:val="000000"/>
          <w:sz w:val="24"/>
          <w:szCs w:val="24"/>
        </w:rPr>
        <w:t xml:space="preserve">fecha y lugar de nacimiento, edad, nacionalidad, domicilio, teléfono, correo electrónico y </w:t>
      </w:r>
      <w:r w:rsidRPr="006A2C8C">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 xml:space="preserve">En este sentido, el interés público que existe, radica en que esta medida permite identificar la relación que tiene la persona que aparece en la fotografía con la experiencia tanto laboral como académica. Lo que además permitirá identificar si la </w:t>
      </w:r>
      <w:r w:rsidRPr="006A2C8C">
        <w:rPr>
          <w:rFonts w:ascii="Palatino Linotype" w:hAnsi="Palatino Linotype"/>
          <w:sz w:val="24"/>
          <w:szCs w:val="24"/>
        </w:rPr>
        <w:lastRenderedPageBreak/>
        <w:t>persona titular de un título profesional, cédula profesional o currículum vitae es quien brinda sus servicios al Sujeto Obligado.</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6A2C8C">
        <w:rPr>
          <w:rFonts w:ascii="Palatino Linotype" w:hAnsi="Palatino Linotype"/>
          <w:sz w:val="24"/>
          <w:szCs w:val="24"/>
        </w:rPr>
        <w:t xml:space="preserve"> </w:t>
      </w:r>
      <w:r w:rsidRPr="006A2C8C">
        <w:rPr>
          <w:rFonts w:ascii="Palatino Linotype" w:eastAsia="Times New Roman" w:hAnsi="Palatino Linotype" w:cs="Arial"/>
          <w:color w:val="000000"/>
          <w:sz w:val="24"/>
          <w:szCs w:val="24"/>
        </w:rPr>
        <w:t>administración pública municipal.</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5B107A" w:rsidRPr="006A2C8C" w:rsidRDefault="005B107A" w:rsidP="005B107A">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6A2C8C">
        <w:rPr>
          <w:rFonts w:ascii="Palatino Linotype" w:hAnsi="Palatino Linotype"/>
          <w:sz w:val="24"/>
          <w:szCs w:val="24"/>
        </w:rPr>
        <w:t>,</w:t>
      </w:r>
      <w:r w:rsidRPr="006A2C8C">
        <w:rPr>
          <w:rFonts w:ascii="Palatino Linotype" w:hAnsi="Palatino Linotype" w:cs="Arial"/>
          <w:sz w:val="24"/>
          <w:szCs w:val="24"/>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5B107A" w:rsidRDefault="005B107A" w:rsidP="005B107A">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eastAsia="MS Mincho" w:hAnsi="Palatino Linotype" w:cs="Times New Roman"/>
          <w:sz w:val="24"/>
          <w:szCs w:val="24"/>
        </w:rPr>
        <w:t xml:space="preserve">Bajo estas líneas argumentativas, resulta necesario que las fotografías inmersas en el </w:t>
      </w:r>
      <w:r w:rsidRPr="006A2C8C">
        <w:rPr>
          <w:rFonts w:ascii="Palatino Linotype" w:eastAsia="Times New Roman" w:hAnsi="Palatino Linotype" w:cs="Arial"/>
          <w:color w:val="000000"/>
          <w:sz w:val="24"/>
          <w:szCs w:val="24"/>
        </w:rPr>
        <w:t>título profesional, cédula profesional o currículum vitae</w:t>
      </w:r>
      <w:r w:rsidRPr="006A2C8C">
        <w:rPr>
          <w:rFonts w:ascii="Palatino Linotype" w:eastAsia="MS Mincho" w:hAnsi="Palatino Linotype" w:cs="Times New Roman"/>
          <w:sz w:val="24"/>
          <w:szCs w:val="24"/>
        </w:rPr>
        <w:t xml:space="preserve"> de los </w:t>
      </w:r>
      <w:r>
        <w:rPr>
          <w:rFonts w:ascii="Palatino Linotype" w:eastAsia="MS Mincho" w:hAnsi="Palatino Linotype" w:cs="Times New Roman"/>
          <w:sz w:val="24"/>
          <w:szCs w:val="24"/>
        </w:rPr>
        <w:t>integrantes del cabildo</w:t>
      </w:r>
      <w:r w:rsidRPr="006A2C8C">
        <w:rPr>
          <w:rFonts w:ascii="Palatino Linotype" w:eastAsia="MS Mincho" w:hAnsi="Palatino Linotype" w:cs="Times New Roman"/>
          <w:sz w:val="24"/>
          <w:szCs w:val="24"/>
        </w:rPr>
        <w:t xml:space="preserve"> </w:t>
      </w:r>
      <w:r>
        <w:rPr>
          <w:rFonts w:ascii="Palatino Linotype" w:eastAsia="MS Mincho" w:hAnsi="Palatino Linotype" w:cs="Times New Roman"/>
          <w:sz w:val="24"/>
          <w:szCs w:val="24"/>
        </w:rPr>
        <w:t xml:space="preserve">sean </w:t>
      </w:r>
      <w:r w:rsidRPr="006A2C8C">
        <w:rPr>
          <w:rFonts w:ascii="Palatino Linotype" w:eastAsia="MS Mincho" w:hAnsi="Palatino Linotype" w:cs="Times New Roman"/>
          <w:sz w:val="24"/>
          <w:szCs w:val="24"/>
        </w:rPr>
        <w:t xml:space="preserve">públicas; toda vez que la función primordial del Sujeto Obligado es informar </w:t>
      </w:r>
      <w:r w:rsidRPr="006A2C8C">
        <w:rPr>
          <w:rFonts w:ascii="Palatino Linotype" w:eastAsia="MS Mincho" w:hAnsi="Palatino Linotype" w:cs="Times New Roman"/>
          <w:sz w:val="24"/>
          <w:szCs w:val="24"/>
        </w:rPr>
        <w:lastRenderedPageBreak/>
        <w:t>anualmente a la población de la situación que guarda la administración municipal, detallando las actividades realizadas por las dependencias municipales y el manejo y destino de los fondos públicos.</w:t>
      </w:r>
    </w:p>
    <w:p w:rsidR="005B107A" w:rsidRPr="006A2C8C"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Es así que las personas que aspiran a ocupar cargos dentro de la Administración Pública Municipal,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rsidR="005B107A" w:rsidRPr="006A2C8C" w:rsidRDefault="005B107A" w:rsidP="005B107A">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hAnsi="Palatino Linotype"/>
          <w:sz w:val="24"/>
          <w:szCs w:val="24"/>
        </w:rPr>
        <w:t>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rsidR="005B107A" w:rsidRDefault="005B107A" w:rsidP="005B107A">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Es así que bajo las razones antes plasmadas se considera que por regla excepcional la fotografía de diversos servidores públicos debe de ser pública, toda vez que no afecta la esfera más íntima de su privacidad, así como su trayectoria académica y laboral.</w:t>
      </w:r>
    </w:p>
    <w:p w:rsidR="009D1435" w:rsidRPr="00525565" w:rsidRDefault="009D1435" w:rsidP="009D1435">
      <w:pPr>
        <w:spacing w:before="240" w:line="360" w:lineRule="auto"/>
        <w:ind w:right="-28"/>
        <w:jc w:val="both"/>
        <w:rPr>
          <w:rFonts w:ascii="Palatino Linotype" w:hAnsi="Palatino Linotype" w:cs="Arial"/>
          <w:sz w:val="24"/>
          <w:szCs w:val="24"/>
        </w:rPr>
      </w:pPr>
    </w:p>
    <w:p w:rsidR="0014323A" w:rsidRPr="002B0311" w:rsidRDefault="005B107A" w:rsidP="0014323A">
      <w:pPr>
        <w:pStyle w:val="Prrafodelista"/>
        <w:numPr>
          <w:ilvl w:val="0"/>
          <w:numId w:val="11"/>
        </w:numPr>
        <w:autoSpaceDE w:val="0"/>
        <w:autoSpaceDN w:val="0"/>
        <w:adjustRightInd w:val="0"/>
        <w:spacing w:before="240" w:after="160" w:line="360" w:lineRule="auto"/>
        <w:ind w:right="50"/>
        <w:jc w:val="both"/>
        <w:rPr>
          <w:rFonts w:ascii="Palatino Linotype" w:hAnsi="Palatino Linotype" w:cs="Arial"/>
          <w:b/>
        </w:rPr>
      </w:pPr>
      <w:r>
        <w:rPr>
          <w:rFonts w:ascii="Palatino Linotype" w:hAnsi="Palatino Linotype" w:cs="Arial"/>
          <w:b/>
        </w:rPr>
        <w:t>De la Versión Pública</w:t>
      </w:r>
    </w:p>
    <w:p w:rsidR="0014323A" w:rsidRDefault="0014323A" w:rsidP="001432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lastRenderedPageBreak/>
        <w:t>Respecto de la información se</w:t>
      </w:r>
      <w:r>
        <w:rPr>
          <w:rFonts w:ascii="Palatino Linotype" w:hAnsi="Palatino Linotype" w:cs="Arial"/>
          <w:bCs/>
          <w:sz w:val="24"/>
          <w:szCs w:val="24"/>
        </w:rPr>
        <w:t xml:space="preserve">ñalada en el párrafo </w:t>
      </w:r>
      <w:r w:rsidRPr="0081783C">
        <w:rPr>
          <w:rFonts w:ascii="Palatino Linotype" w:hAnsi="Palatino Linotype" w:cs="Arial"/>
          <w:bCs/>
          <w:sz w:val="24"/>
          <w:szCs w:val="24"/>
        </w:rPr>
        <w:t>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14323A" w:rsidRDefault="0014323A" w:rsidP="001432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precede pudieran actualizarse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14323A" w:rsidRPr="004607BB" w:rsidRDefault="0014323A" w:rsidP="0014323A">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14323A" w:rsidRPr="0081783C" w:rsidRDefault="0014323A" w:rsidP="0014323A">
      <w:pPr>
        <w:pStyle w:val="Sinespaciado"/>
        <w:spacing w:before="240" w:after="160" w:line="360" w:lineRule="auto"/>
        <w:jc w:val="both"/>
        <w:rPr>
          <w:rFonts w:ascii="Palatino Linotype" w:hAnsi="Palatino Linotype" w:cs="Arial"/>
        </w:rPr>
      </w:pPr>
      <w:r w:rsidRPr="0081783C">
        <w:rPr>
          <w:rFonts w:ascii="Palatino Linotype" w:hAnsi="Palatino Linotype" w:cs="Arial"/>
        </w:rPr>
        <w:t xml:space="preserve">Además de lo anterior, se pueden advertir otros datos tales como los señalados en los Criterios para la Clasificación de la Información Pública de las Dependencias, Organismos Auxiliares y Fideicomisos Públicos de la Administración Pública del </w:t>
      </w:r>
      <w:r w:rsidRPr="0081783C">
        <w:rPr>
          <w:rFonts w:ascii="Palatino Linotype" w:hAnsi="Palatino Linotype" w:cs="Arial"/>
        </w:rPr>
        <w:lastRenderedPageBreak/>
        <w:t>Estado de México, emitidos por este Instituto, datos que también deberán ser considerados para la elaboración de las versiones públicas correspondientes, así como para la clasificación total de información que, en su caso, se realice; datos que son:</w:t>
      </w:r>
    </w:p>
    <w:p w:rsidR="0014323A" w:rsidRPr="0081783C" w:rsidRDefault="0014323A" w:rsidP="0014323A">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Creencia o convicción filosófica;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14323A" w:rsidRPr="0081783C" w:rsidRDefault="0014323A" w:rsidP="0014323A">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14323A" w:rsidRPr="0081783C" w:rsidRDefault="0014323A" w:rsidP="0014323A">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14323A" w:rsidRDefault="0014323A" w:rsidP="0014323A">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4323A" w:rsidRDefault="0014323A" w:rsidP="0014323A">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14323A" w:rsidRDefault="0014323A" w:rsidP="0014323A">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erificar que los documentos que se pongan</w:t>
      </w:r>
      <w:r>
        <w:rPr>
          <w:rFonts w:ascii="Palatino Linotype" w:hAnsi="Palatino Linotype" w:cs="Arial"/>
          <w:sz w:val="24"/>
          <w:szCs w:val="24"/>
          <w:lang w:eastAsia="es-MX"/>
        </w:rPr>
        <w:t xml:space="preserve"> </w:t>
      </w:r>
      <w:r w:rsidRPr="0081783C">
        <w:rPr>
          <w:rFonts w:ascii="Palatino Linotype" w:hAnsi="Palatino Linotype" w:cs="Arial"/>
          <w:sz w:val="24"/>
          <w:szCs w:val="24"/>
          <w:lang w:eastAsia="es-MX"/>
        </w:rPr>
        <w:lastRenderedPageBreak/>
        <w:t xml:space="preserve">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14323A" w:rsidRDefault="0014323A" w:rsidP="0014323A">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14323A" w:rsidRDefault="0014323A" w:rsidP="0014323A">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rsidR="0014323A" w:rsidRDefault="0014323A" w:rsidP="0014323A">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xml:space="preserve">. El contenido formal de la garantía de legalidad prevista en el artículo 16 constitucional relativa a la </w:t>
      </w:r>
      <w:r>
        <w:rPr>
          <w:rFonts w:ascii="Palatino Linotype" w:eastAsia="Times New Roman" w:hAnsi="Palatino Linotype" w:cs="Times New Roman"/>
          <w:i/>
          <w:lang w:eastAsia="es-ES"/>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rsidR="0014323A" w:rsidRDefault="0014323A" w:rsidP="0014323A">
      <w:pPr>
        <w:spacing w:after="0" w:line="360" w:lineRule="auto"/>
        <w:jc w:val="both"/>
        <w:rPr>
          <w:rFonts w:ascii="Palatino Linotype" w:eastAsia="Times New Roman" w:hAnsi="Palatino Linotype" w:cs="Times New Roman"/>
          <w:sz w:val="24"/>
          <w:szCs w:val="24"/>
          <w:lang w:eastAsia="es-ES"/>
        </w:rPr>
      </w:pPr>
    </w:p>
    <w:p w:rsidR="0014323A" w:rsidRDefault="0014323A" w:rsidP="0014323A">
      <w:pPr>
        <w:spacing w:after="0" w:line="360" w:lineRule="auto"/>
        <w:jc w:val="both"/>
        <w:rPr>
          <w:rFonts w:ascii="Palatino Linotype" w:eastAsia="Times New Roman" w:hAnsi="Palatino Linotype" w:cs="Arial"/>
          <w:bCs/>
          <w:sz w:val="24"/>
          <w:szCs w:val="24"/>
          <w:lang w:eastAsia="es-ES"/>
        </w:rPr>
      </w:pPr>
      <w:r>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rsidR="00241FB0" w:rsidRPr="00241FB0" w:rsidRDefault="0014323A" w:rsidP="00241FB0">
      <w:pPr>
        <w:pStyle w:val="Prrafodelista"/>
        <w:numPr>
          <w:ilvl w:val="0"/>
          <w:numId w:val="40"/>
        </w:numPr>
        <w:spacing w:before="240" w:after="240" w:line="360" w:lineRule="auto"/>
        <w:jc w:val="both"/>
        <w:rPr>
          <w:rFonts w:ascii="Palatino Linotype" w:hAnsi="Palatino Linotype"/>
          <w:b/>
          <w:i/>
        </w:rPr>
      </w:pPr>
      <w:r>
        <w:rPr>
          <w:rFonts w:ascii="Palatino Linotype" w:hAnsi="Palatino Linotype"/>
          <w:b/>
          <w:i/>
        </w:rPr>
        <w:t xml:space="preserve">Vista a los Órganos de Control Interno </w:t>
      </w:r>
    </w:p>
    <w:p w:rsidR="00241FB0" w:rsidRPr="00881696" w:rsidRDefault="00241FB0" w:rsidP="00241FB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41FB0" w:rsidRPr="00881696" w:rsidRDefault="00241FB0" w:rsidP="00241FB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41FB0" w:rsidRPr="006010FE" w:rsidRDefault="00241FB0" w:rsidP="00241FB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241FB0" w:rsidRPr="006010FE" w:rsidRDefault="00241FB0" w:rsidP="00241FB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41FB0" w:rsidRPr="006010FE" w:rsidRDefault="00241FB0" w:rsidP="00241FB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rsidR="00241FB0" w:rsidRPr="006010FE" w:rsidRDefault="00241FB0" w:rsidP="00241FB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41FB0" w:rsidRPr="006010FE" w:rsidRDefault="00241FB0" w:rsidP="00241FB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41FB0" w:rsidRPr="006010FE" w:rsidRDefault="00241FB0" w:rsidP="00241FB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41FB0" w:rsidRPr="006010FE" w:rsidRDefault="00241FB0" w:rsidP="00241FB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41FB0" w:rsidRPr="006010FE" w:rsidRDefault="00241FB0" w:rsidP="00241FB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241FB0" w:rsidRPr="006010FE" w:rsidRDefault="00241FB0" w:rsidP="00241FB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241FB0" w:rsidRDefault="00241FB0" w:rsidP="00241FB0">
      <w:pPr>
        <w:spacing w:before="240" w:line="360" w:lineRule="auto"/>
        <w:ind w:left="567"/>
        <w:jc w:val="both"/>
        <w:rPr>
          <w:rFonts w:ascii="Palatino Linotype" w:eastAsia="MS Mincho" w:hAnsi="Palatino Linotype" w:cs="Times New Roman"/>
          <w:b/>
          <w:i/>
          <w:u w:val="single"/>
        </w:rPr>
      </w:pPr>
      <w:r>
        <w:rPr>
          <w:rFonts w:ascii="Palatino Linotype" w:eastAsia="MS Mincho" w:hAnsi="Palatino Linotype" w:cs="Times New Roman"/>
          <w:b/>
          <w:i/>
          <w:u w:val="single"/>
        </w:rPr>
        <w:t>V. Entregar información clasificada como confidencial fuera de los casos previstos por esta Ley;</w:t>
      </w:r>
    </w:p>
    <w:p w:rsidR="00241FB0" w:rsidRPr="00C77DFD" w:rsidRDefault="00241FB0" w:rsidP="00241FB0">
      <w:pPr>
        <w:spacing w:before="240" w:line="360" w:lineRule="auto"/>
        <w:ind w:left="567"/>
        <w:jc w:val="both"/>
        <w:rPr>
          <w:rFonts w:ascii="Palatino Linotype" w:hAnsi="Palatino Linotype"/>
          <w:i/>
        </w:rPr>
      </w:pPr>
      <w:r w:rsidRPr="00C77DFD">
        <w:rPr>
          <w:rFonts w:ascii="Palatino Linotype" w:hAnsi="Palatino Linotype"/>
          <w:i/>
        </w:rPr>
        <w:t xml:space="preserve"> (…)</w:t>
      </w:r>
    </w:p>
    <w:p w:rsidR="00241FB0" w:rsidRPr="00C77DFD" w:rsidRDefault="00241FB0" w:rsidP="00241FB0">
      <w:pPr>
        <w:spacing w:before="240" w:line="360" w:lineRule="auto"/>
        <w:ind w:left="567"/>
        <w:jc w:val="both"/>
        <w:rPr>
          <w:rFonts w:ascii="Palatino Linotype" w:hAnsi="Palatino Linotype"/>
          <w:i/>
        </w:rPr>
      </w:pPr>
      <w:r w:rsidRPr="00C77DFD">
        <w:rPr>
          <w:rFonts w:ascii="Palatino Linotype" w:hAnsi="Palatino Linotype"/>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41FB0" w:rsidRPr="00C77DFD" w:rsidRDefault="00241FB0" w:rsidP="00241FB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w:t>
      </w:r>
      <w:r w:rsidR="00CC570A">
        <w:rPr>
          <w:rFonts w:ascii="Palatino Linotype" w:hAnsi="Palatino Linotype"/>
          <w:sz w:val="24"/>
          <w:szCs w:val="24"/>
        </w:rPr>
        <w:t>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14323A">
        <w:rPr>
          <w:rFonts w:ascii="Palatino Linotype" w:hAnsi="Palatino Linotype" w:cs="Arial"/>
          <w:b/>
          <w:sz w:val="24"/>
        </w:rPr>
        <w:t>primera</w:t>
      </w:r>
      <w:r w:rsidR="00314E07">
        <w:rPr>
          <w:rFonts w:ascii="Palatino Linotype" w:hAnsi="Palatino Linotype" w:cs="Arial"/>
          <w:b/>
          <w:sz w:val="24"/>
        </w:rPr>
        <w:t xml:space="preserve"> hipótesis de la </w:t>
      </w:r>
      <w:r>
        <w:rPr>
          <w:rFonts w:ascii="Palatino Linotype" w:hAnsi="Palatino Linotype" w:cs="Arial"/>
          <w:b/>
          <w:sz w:val="24"/>
        </w:rPr>
        <w:t>fracción I</w:t>
      </w:r>
      <w:r w:rsidR="00314E07">
        <w:rPr>
          <w:rFonts w:ascii="Palatino Linotype" w:hAnsi="Palatino Linotype" w:cs="Arial"/>
          <w:b/>
          <w:sz w:val="24"/>
        </w:rPr>
        <w:t>I</w:t>
      </w:r>
      <w:r>
        <w:rPr>
          <w:rFonts w:ascii="Palatino Linotype" w:hAnsi="Palatino Linotype" w:cs="Arial"/>
          <w:b/>
          <w:sz w:val="24"/>
        </w:rPr>
        <w:t xml:space="preserve">I del artículo 186, </w:t>
      </w:r>
      <w:r>
        <w:rPr>
          <w:rFonts w:ascii="Palatino Linotype" w:hAnsi="Palatino Linotype" w:cs="Arial"/>
          <w:sz w:val="24"/>
        </w:rPr>
        <w:t xml:space="preserve">de la Ley de Transparencia y Acceso a la Información Pública del Estado de México y Municipios, se </w:t>
      </w:r>
      <w:r w:rsidR="0014323A">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14323A" w:rsidRPr="0014323A">
        <w:rPr>
          <w:rFonts w:ascii="Palatino Linotype" w:hAnsi="Palatino Linotype" w:cs="Arial"/>
          <w:b/>
          <w:sz w:val="24"/>
        </w:rPr>
        <w:t>00259/TULTITLA/IP/2019</w:t>
      </w:r>
      <w:r>
        <w:rPr>
          <w:rFonts w:ascii="Palatino Linotype" w:hAnsi="Palatino Linotype"/>
          <w:sz w:val="24"/>
          <w:szCs w:val="24"/>
        </w:rPr>
        <w:t>, que ha sido materia del presente fallo.</w:t>
      </w:r>
    </w:p>
    <w:p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rsidR="00691679" w:rsidRDefault="00691679" w:rsidP="00525565">
      <w:pPr>
        <w:spacing w:before="240" w:line="360" w:lineRule="auto"/>
        <w:jc w:val="center"/>
        <w:rPr>
          <w:rFonts w:ascii="Palatino Linotype" w:eastAsia="Times New Roman" w:hAnsi="Palatino Linotype"/>
          <w:b/>
          <w:bCs/>
          <w:spacing w:val="60"/>
          <w:sz w:val="28"/>
          <w:lang w:val="es-ES_tradnl"/>
        </w:rPr>
      </w:pPr>
    </w:p>
    <w:p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14323A">
        <w:rPr>
          <w:rFonts w:ascii="Palatino Linotype" w:hAnsi="Palatino Linotype" w:cs="Arial"/>
          <w:b/>
          <w:sz w:val="24"/>
          <w:lang w:val="es-ES_tradnl"/>
        </w:rPr>
        <w:t>Revoca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14323A" w:rsidRPr="0014323A">
        <w:rPr>
          <w:rFonts w:ascii="Palatino Linotype" w:hAnsi="Palatino Linotype" w:cs="Arial"/>
          <w:b/>
          <w:sz w:val="24"/>
        </w:rPr>
        <w:t>00259/TULTITLA/IP/2019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691679" w:rsidRDefault="00691679" w:rsidP="00CC570A">
      <w:pPr>
        <w:spacing w:before="240" w:line="360" w:lineRule="auto"/>
        <w:jc w:val="both"/>
        <w:rPr>
          <w:rFonts w:ascii="Palatino Linotype" w:hAnsi="Palatino Linotype" w:cs="Arial"/>
          <w:sz w:val="24"/>
          <w:lang w:val="es-ES_tradnl"/>
        </w:rPr>
      </w:pPr>
    </w:p>
    <w:p w:rsidR="00CC570A" w:rsidRDefault="00CC570A" w:rsidP="00CC570A">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w:t>
      </w:r>
      <w:r w:rsidR="00657C65">
        <w:rPr>
          <w:rFonts w:ascii="Palatino Linotype" w:hAnsi="Palatino Linotype" w:cs="Arial"/>
          <w:sz w:val="24"/>
          <w:szCs w:val="24"/>
        </w:rPr>
        <w:t xml:space="preserve"> y en versión pública</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Cuarto </w:t>
      </w:r>
      <w:r>
        <w:rPr>
          <w:rFonts w:ascii="Palatino Linotype" w:hAnsi="Palatino Linotype" w:cs="Arial"/>
          <w:sz w:val="24"/>
          <w:szCs w:val="24"/>
        </w:rPr>
        <w:t>de lo siguiente:</w:t>
      </w:r>
    </w:p>
    <w:p w:rsidR="00691679" w:rsidRDefault="00691679" w:rsidP="00CC570A">
      <w:pPr>
        <w:autoSpaceDE w:val="0"/>
        <w:autoSpaceDN w:val="0"/>
        <w:adjustRightInd w:val="0"/>
        <w:spacing w:before="240" w:line="360" w:lineRule="auto"/>
        <w:ind w:right="49"/>
        <w:jc w:val="both"/>
        <w:rPr>
          <w:rFonts w:ascii="Palatino Linotype" w:hAnsi="Palatino Linotype" w:cs="Arial"/>
          <w:sz w:val="24"/>
          <w:szCs w:val="24"/>
        </w:rPr>
      </w:pPr>
    </w:p>
    <w:p w:rsidR="00CC570A" w:rsidRPr="00691679" w:rsidRDefault="0014323A" w:rsidP="00CC570A">
      <w:pPr>
        <w:pStyle w:val="Prrafodelista"/>
        <w:numPr>
          <w:ilvl w:val="0"/>
          <w:numId w:val="39"/>
        </w:numPr>
        <w:autoSpaceDE w:val="0"/>
        <w:autoSpaceDN w:val="0"/>
        <w:adjustRightInd w:val="0"/>
        <w:spacing w:before="240" w:line="360" w:lineRule="auto"/>
        <w:ind w:right="49"/>
        <w:jc w:val="both"/>
        <w:rPr>
          <w:rFonts w:ascii="Palatino Linotype" w:hAnsi="Palatino Linotype" w:cs="Arial"/>
          <w:i/>
          <w:iCs/>
        </w:rPr>
      </w:pPr>
      <w:r w:rsidRPr="0014323A">
        <w:rPr>
          <w:rFonts w:ascii="Palatino Linotype" w:hAnsi="Palatino Linotype"/>
          <w:i/>
          <w:iCs/>
        </w:rPr>
        <w:t>Curriculums</w:t>
      </w:r>
      <w:r>
        <w:rPr>
          <w:rFonts w:ascii="Palatino Linotype" w:hAnsi="Palatino Linotype"/>
          <w:i/>
          <w:iCs/>
        </w:rPr>
        <w:t xml:space="preserve"> de los integrantes del cabildo</w:t>
      </w:r>
      <w:r w:rsidR="00163534">
        <w:rPr>
          <w:rFonts w:ascii="Palatino Linotype" w:hAnsi="Palatino Linotype"/>
          <w:i/>
          <w:iCs/>
        </w:rPr>
        <w:t xml:space="preserve"> adscritos</w:t>
      </w:r>
      <w:r w:rsidR="000C14A1">
        <w:rPr>
          <w:rFonts w:ascii="Palatino Linotype" w:hAnsi="Palatino Linotype"/>
          <w:i/>
          <w:iCs/>
        </w:rPr>
        <w:t xml:space="preserve"> a la actual administración del</w:t>
      </w:r>
      <w:r w:rsidR="00163534">
        <w:rPr>
          <w:rFonts w:ascii="Palatino Linotype" w:hAnsi="Palatino Linotype"/>
          <w:i/>
          <w:iCs/>
        </w:rPr>
        <w:t xml:space="preserve"> Ayuntamiento de Tultitlan.</w:t>
      </w:r>
    </w:p>
    <w:p w:rsidR="00691679" w:rsidRPr="00241FB0" w:rsidRDefault="00691679" w:rsidP="00691679">
      <w:pPr>
        <w:pStyle w:val="Prrafodelista"/>
        <w:autoSpaceDE w:val="0"/>
        <w:autoSpaceDN w:val="0"/>
        <w:adjustRightInd w:val="0"/>
        <w:spacing w:before="240" w:line="360" w:lineRule="auto"/>
        <w:ind w:left="1068" w:right="49"/>
        <w:jc w:val="both"/>
        <w:rPr>
          <w:rFonts w:ascii="Palatino Linotype" w:hAnsi="Palatino Linotype" w:cs="Arial"/>
          <w:i/>
          <w:iCs/>
        </w:rPr>
      </w:pPr>
    </w:p>
    <w:p w:rsidR="0014323A" w:rsidRPr="00691679" w:rsidRDefault="00241FB0" w:rsidP="00241FB0">
      <w:pPr>
        <w:pStyle w:val="Prrafodelista"/>
        <w:numPr>
          <w:ilvl w:val="0"/>
          <w:numId w:val="39"/>
        </w:numPr>
        <w:autoSpaceDE w:val="0"/>
        <w:autoSpaceDN w:val="0"/>
        <w:adjustRightInd w:val="0"/>
        <w:spacing w:before="240" w:line="360" w:lineRule="auto"/>
        <w:ind w:right="49"/>
        <w:jc w:val="both"/>
        <w:rPr>
          <w:rFonts w:ascii="Palatino Linotype" w:hAnsi="Palatino Linotype" w:cs="Arial"/>
          <w:i/>
          <w:iCs/>
        </w:rPr>
      </w:pPr>
      <w:r>
        <w:rPr>
          <w:rFonts w:ascii="Palatino Linotype" w:hAnsi="Palatino Linotype"/>
          <w:i/>
          <w:iCs/>
        </w:rPr>
        <w:t>Títulos Profesionales de los integrantes de cabildo</w:t>
      </w:r>
      <w:r w:rsidR="000C14A1">
        <w:rPr>
          <w:rFonts w:ascii="Palatino Linotype" w:hAnsi="Palatino Linotype"/>
          <w:i/>
          <w:iCs/>
        </w:rPr>
        <w:t xml:space="preserve"> adscritos a la actual administración del Ayuntamiento de Tultitlan.</w:t>
      </w:r>
    </w:p>
    <w:p w:rsidR="00691679" w:rsidRPr="00691679" w:rsidRDefault="00691679" w:rsidP="00691679">
      <w:pPr>
        <w:pStyle w:val="Prrafodelista"/>
        <w:rPr>
          <w:rFonts w:ascii="Palatino Linotype" w:hAnsi="Palatino Linotype" w:cs="Arial"/>
          <w:i/>
          <w:iCs/>
        </w:rPr>
      </w:pPr>
    </w:p>
    <w:p w:rsidR="00691679" w:rsidRPr="00241FB0" w:rsidRDefault="00691679" w:rsidP="00691679">
      <w:pPr>
        <w:pStyle w:val="Prrafodelista"/>
        <w:autoSpaceDE w:val="0"/>
        <w:autoSpaceDN w:val="0"/>
        <w:adjustRightInd w:val="0"/>
        <w:spacing w:before="240" w:line="360" w:lineRule="auto"/>
        <w:ind w:left="1068" w:right="49"/>
        <w:jc w:val="both"/>
        <w:rPr>
          <w:rFonts w:ascii="Palatino Linotype" w:hAnsi="Palatino Linotype" w:cs="Arial"/>
          <w:i/>
          <w:iCs/>
        </w:rPr>
      </w:pPr>
    </w:p>
    <w:p w:rsidR="00691679" w:rsidRPr="00691679" w:rsidRDefault="0014323A" w:rsidP="00691679">
      <w:pPr>
        <w:pStyle w:val="Prrafodelista"/>
        <w:spacing w:before="240" w:after="240" w:line="360" w:lineRule="auto"/>
        <w:ind w:left="720"/>
        <w:jc w:val="both"/>
        <w:rPr>
          <w:rFonts w:ascii="Palatino Linotype" w:hAnsi="Palatino Linotype"/>
          <w:i/>
          <w:color w:val="000000"/>
        </w:rPr>
      </w:pPr>
      <w:r>
        <w:rPr>
          <w:rFonts w:ascii="Palatino Linotype" w:hAnsi="Palatino Linotype"/>
          <w:i/>
          <w:color w:val="000000"/>
        </w:rPr>
        <w:t xml:space="preserve">Para el caso de la clasificación de la información, se deberá emitir el Acuerdo del Comité de Transparencia en términos de los artículos 49, fracción VIII, 122 y 132 fracciones II </w:t>
      </w:r>
      <w:r>
        <w:rPr>
          <w:rFonts w:ascii="Palatino Linotype" w:hAnsi="Palatino Linotype"/>
          <w:i/>
          <w:color w:val="000000"/>
        </w:rPr>
        <w:lastRenderedPageBreak/>
        <w:t>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241FB0" w:rsidRDefault="00241FB0" w:rsidP="0014323A">
      <w:pPr>
        <w:pStyle w:val="Prrafodelista"/>
        <w:spacing w:before="240" w:after="240" w:line="360" w:lineRule="auto"/>
        <w:ind w:left="720"/>
        <w:jc w:val="both"/>
        <w:rPr>
          <w:rFonts w:ascii="Palatino Linotype" w:hAnsi="Palatino Linotype"/>
          <w:i/>
          <w:color w:val="000000"/>
        </w:rPr>
      </w:pPr>
      <w:r>
        <w:rPr>
          <w:rFonts w:ascii="Palatino Linotype" w:hAnsi="Palatino Linotype"/>
          <w:i/>
          <w:color w:val="000000"/>
        </w:rPr>
        <w:t>Para el caso de que no cuente con la información señalada en el punto 2, bastara con que así lo haga del conocimiento del recurrente al momento de dar cumplimiento a la presente resolución.</w:t>
      </w:r>
    </w:p>
    <w:p w:rsidR="00691679" w:rsidRDefault="00691679" w:rsidP="0014323A">
      <w:pPr>
        <w:pStyle w:val="Prrafodelista"/>
        <w:spacing w:before="240" w:after="240" w:line="360" w:lineRule="auto"/>
        <w:ind w:left="720"/>
        <w:jc w:val="both"/>
        <w:rPr>
          <w:rFonts w:ascii="Palatino Linotype" w:hAnsi="Palatino Linotype"/>
          <w:i/>
          <w:color w:val="000000"/>
        </w:rPr>
      </w:pPr>
    </w:p>
    <w:p w:rsidR="00CC570A" w:rsidRDefault="00CC570A" w:rsidP="00CC570A">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691679" w:rsidRDefault="00691679" w:rsidP="00CC570A">
      <w:pPr>
        <w:autoSpaceDE w:val="0"/>
        <w:autoSpaceDN w:val="0"/>
        <w:adjustRightInd w:val="0"/>
        <w:spacing w:before="240" w:line="360" w:lineRule="auto"/>
        <w:jc w:val="both"/>
        <w:rPr>
          <w:rFonts w:ascii="Palatino Linotype" w:hAnsi="Palatino Linotype" w:cs="Arial"/>
          <w:sz w:val="24"/>
          <w:szCs w:val="24"/>
        </w:rPr>
      </w:pPr>
    </w:p>
    <w:p w:rsidR="00CC570A" w:rsidRDefault="00CC570A"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691679" w:rsidRDefault="00691679" w:rsidP="00CC570A">
      <w:pPr>
        <w:autoSpaceDE w:val="0"/>
        <w:autoSpaceDN w:val="0"/>
        <w:adjustRightInd w:val="0"/>
        <w:spacing w:before="240" w:line="360" w:lineRule="auto"/>
        <w:jc w:val="both"/>
        <w:rPr>
          <w:rFonts w:ascii="Palatino Linotype" w:hAnsi="Palatino Linotype" w:cs="Arial"/>
          <w:sz w:val="24"/>
          <w:szCs w:val="24"/>
        </w:rPr>
      </w:pPr>
    </w:p>
    <w:p w:rsidR="00241FB0" w:rsidRPr="00241FB0" w:rsidRDefault="00241FB0" w:rsidP="00CC570A">
      <w:pPr>
        <w:autoSpaceDE w:val="0"/>
        <w:autoSpaceDN w:val="0"/>
        <w:adjustRightInd w:val="0"/>
        <w:spacing w:before="240" w:line="360" w:lineRule="auto"/>
        <w:jc w:val="both"/>
        <w:rPr>
          <w:rFonts w:ascii="Palatino Linotype" w:hAnsi="Palatino Linotype" w:cs="Arial"/>
          <w:b/>
          <w:bCs/>
          <w:sz w:val="28"/>
          <w:szCs w:val="28"/>
        </w:rPr>
      </w:pPr>
      <w:r>
        <w:rPr>
          <w:rFonts w:ascii="Palatino Linotype" w:hAnsi="Palatino Linotype" w:cs="Arial"/>
          <w:b/>
          <w:bCs/>
          <w:sz w:val="28"/>
          <w:szCs w:val="28"/>
        </w:rPr>
        <w:lastRenderedPageBreak/>
        <w:t xml:space="preserve">QUINTO. </w:t>
      </w:r>
      <w:r w:rsidRPr="00241FB0">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691679" w:rsidRDefault="00691679" w:rsidP="00080E38">
      <w:pPr>
        <w:spacing w:after="0" w:line="360" w:lineRule="auto"/>
        <w:jc w:val="both"/>
        <w:rPr>
          <w:rFonts w:ascii="Palatino Linotype" w:hAnsi="Palatino Linotype" w:cs="Arial"/>
          <w:sz w:val="24"/>
          <w:szCs w:val="24"/>
        </w:rPr>
      </w:pPr>
    </w:p>
    <w:p w:rsidR="00080E38" w:rsidRDefault="00080E38" w:rsidP="00691679">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9E2FA9">
        <w:rPr>
          <w:rFonts w:ascii="Palatino Linotype" w:hAnsi="Palatino Linotype" w:cs="Arial"/>
          <w:sz w:val="24"/>
          <w:szCs w:val="24"/>
        </w:rPr>
        <w:t xml:space="preserve"> EMITIENDO VOTO PARTICULAR</w:t>
      </w:r>
      <w:r>
        <w:rPr>
          <w:rFonts w:ascii="Palatino Linotype" w:hAnsi="Palatino Linotype" w:cs="Arial"/>
          <w:sz w:val="24"/>
          <w:szCs w:val="24"/>
        </w:rPr>
        <w:t>, JAVIER MARTÍNEZ CRUZ</w:t>
      </w:r>
      <w:r w:rsidR="009E2FA9">
        <w:rPr>
          <w:rFonts w:ascii="Palatino Linotype" w:hAnsi="Palatino Linotype" w:cs="Arial"/>
          <w:sz w:val="24"/>
          <w:szCs w:val="24"/>
        </w:rPr>
        <w:t xml:space="preserve"> AUSENTE EN LA SESIÓN </w:t>
      </w:r>
      <w:r>
        <w:rPr>
          <w:rFonts w:ascii="Palatino Linotype" w:hAnsi="Palatino Linotype" w:cs="Arial"/>
          <w:sz w:val="24"/>
          <w:szCs w:val="24"/>
        </w:rPr>
        <w:t xml:space="preserve">Y LUIS GUSTAVO PARRA NORIEGA, EN LA </w:t>
      </w:r>
      <w:r w:rsidR="009E2FA9">
        <w:rPr>
          <w:rFonts w:ascii="Palatino Linotype" w:hAnsi="Palatino Linotype" w:cs="Arial"/>
          <w:sz w:val="24"/>
          <w:szCs w:val="24"/>
        </w:rPr>
        <w:t>CUADRAGÉSIMA TERCERA SESIÓN ORDINARIA CELEBRADA EL VEINTE DE NOVIEMBRE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691679">
        <w:rPr>
          <w:rFonts w:ascii="Palatino Linotype" w:hAnsi="Palatino Linotype" w:cs="Arial"/>
          <w:sz w:val="24"/>
          <w:szCs w:val="24"/>
        </w:rPr>
        <w:t>--------------------------------------------------------------------------------------------------------------------------------------------------------------------------------------------------------------------------------------------------------------------------------------------------------------------------------------------------------------</w:t>
      </w:r>
    </w:p>
    <w:p w:rsidR="009E2FA9" w:rsidRDefault="009E2FA9" w:rsidP="00691679">
      <w:pPr>
        <w:spacing w:after="0" w:line="360" w:lineRule="auto"/>
        <w:jc w:val="both"/>
        <w:rPr>
          <w:rFonts w:ascii="Palatino Linotype" w:hAnsi="Palatino Linotype"/>
        </w:rPr>
      </w:pPr>
    </w:p>
    <w:p w:rsidR="00691679" w:rsidRDefault="00691679" w:rsidP="00080E38">
      <w:pPr>
        <w:spacing w:before="240"/>
        <w:jc w:val="both"/>
        <w:rPr>
          <w:rFonts w:ascii="Palatino Linotype" w:hAnsi="Palatino Linotype"/>
        </w:rPr>
      </w:pPr>
    </w:p>
    <w:p w:rsidR="00080E38" w:rsidRDefault="00080E38" w:rsidP="00080E38">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E098367" wp14:editId="2E02F3BD">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80E38"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080E38" w:rsidRDefault="00691679" w:rsidP="00080E38">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09836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80E38"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080E38" w:rsidRDefault="00691679" w:rsidP="00080E38">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080E38" w:rsidRPr="00D54B7D" w:rsidRDefault="00080E38" w:rsidP="00080E38">
      <w:pPr>
        <w:spacing w:before="240"/>
        <w:jc w:val="both"/>
        <w:rPr>
          <w:rFonts w:ascii="Palatino Linotype" w:hAnsi="Palatino Linotype"/>
        </w:rPr>
      </w:pPr>
    </w:p>
    <w:p w:rsidR="00080E38" w:rsidRDefault="00080E38" w:rsidP="00080E38">
      <w:pPr>
        <w:spacing w:before="240"/>
        <w:rPr>
          <w:rFonts w:ascii="Palatino Linotype" w:hAnsi="Palatino Linotype"/>
        </w:rPr>
      </w:pPr>
    </w:p>
    <w:p w:rsidR="00691679" w:rsidRDefault="00691679" w:rsidP="00080E38">
      <w:pPr>
        <w:spacing w:before="240"/>
        <w:rPr>
          <w:rFonts w:ascii="Palatino Linotype" w:hAnsi="Palatino Linotype"/>
          <w:b/>
        </w:rPr>
      </w:pPr>
    </w:p>
    <w:p w:rsidR="00080E38" w:rsidRDefault="00080E38" w:rsidP="00080E38">
      <w:pPr>
        <w:spacing w:before="240"/>
        <w:rPr>
          <w:rFonts w:ascii="Palatino Linotype" w:hAnsi="Palatino Linotype"/>
          <w:b/>
        </w:rPr>
      </w:pPr>
    </w:p>
    <w:p w:rsidR="00080E38" w:rsidRDefault="00080E38" w:rsidP="00080E38">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24D7406" wp14:editId="3068E645">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0E38" w:rsidRPr="00EF2FC0" w:rsidRDefault="00080E38" w:rsidP="00080E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80E38"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Pr="00797B31" w:rsidRDefault="00080E38" w:rsidP="00080E3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D7406"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080E38" w:rsidRPr="00EF2FC0" w:rsidRDefault="00080E38" w:rsidP="00080E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80E38"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Pr="00797B31" w:rsidRDefault="00080E38" w:rsidP="00080E38">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356A19C" wp14:editId="6D82AE8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0E38" w:rsidRPr="00EF2FC0" w:rsidRDefault="00080E38" w:rsidP="00080E38">
                            <w:pPr>
                              <w:jc w:val="center"/>
                              <w:rPr>
                                <w:rFonts w:ascii="Palatino Linotype" w:hAnsi="Palatino Linotype"/>
                                <w:b/>
                                <w:sz w:val="24"/>
                                <w:szCs w:val="24"/>
                              </w:rPr>
                            </w:pPr>
                            <w:r w:rsidRPr="00EF2FC0">
                              <w:rPr>
                                <w:rFonts w:ascii="Palatino Linotype" w:hAnsi="Palatino Linotype"/>
                                <w:b/>
                                <w:sz w:val="24"/>
                                <w:szCs w:val="24"/>
                              </w:rPr>
                              <w:t>Eva Abaid Yapur</w:t>
                            </w:r>
                          </w:p>
                          <w:p w:rsidR="00080E38" w:rsidRPr="00EF2FC0" w:rsidRDefault="00080E38" w:rsidP="00080E38">
                            <w:pPr>
                              <w:jc w:val="center"/>
                              <w:rPr>
                                <w:rFonts w:ascii="Palatino Linotype" w:hAnsi="Palatino Linotype"/>
                                <w:sz w:val="24"/>
                                <w:szCs w:val="24"/>
                              </w:rPr>
                            </w:pPr>
                            <w:r w:rsidRPr="00EF2FC0">
                              <w:rPr>
                                <w:rFonts w:ascii="Palatino Linotype" w:hAnsi="Palatino Linotype"/>
                                <w:sz w:val="24"/>
                                <w:szCs w:val="24"/>
                              </w:rPr>
                              <w:t>Comisionada</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6A19C"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080E38" w:rsidRPr="00EF2FC0" w:rsidRDefault="00080E38" w:rsidP="00080E38">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080E38" w:rsidRPr="00EF2FC0" w:rsidRDefault="00080E38" w:rsidP="00080E38">
                      <w:pPr>
                        <w:jc w:val="center"/>
                        <w:rPr>
                          <w:rFonts w:ascii="Palatino Linotype" w:hAnsi="Palatino Linotype"/>
                          <w:sz w:val="24"/>
                          <w:szCs w:val="24"/>
                        </w:rPr>
                      </w:pPr>
                      <w:r w:rsidRPr="00EF2FC0">
                        <w:rPr>
                          <w:rFonts w:ascii="Palatino Linotype" w:hAnsi="Palatino Linotype"/>
                          <w:sz w:val="24"/>
                          <w:szCs w:val="24"/>
                        </w:rPr>
                        <w:t>Comisionada</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pPr>
                        <w:jc w:val="center"/>
                      </w:pPr>
                    </w:p>
                  </w:txbxContent>
                </v:textbox>
                <w10:wrap anchorx="margin"/>
              </v:shape>
            </w:pict>
          </mc:Fallback>
        </mc:AlternateContent>
      </w:r>
    </w:p>
    <w:p w:rsidR="00080E38" w:rsidRPr="00D54B7D" w:rsidRDefault="00080E38" w:rsidP="00080E38">
      <w:pPr>
        <w:spacing w:before="240"/>
        <w:rPr>
          <w:rFonts w:ascii="Palatino Linotype" w:hAnsi="Palatino Linotype"/>
          <w:b/>
        </w:rPr>
      </w:pPr>
    </w:p>
    <w:p w:rsidR="00080E38" w:rsidRPr="00D54B7D" w:rsidRDefault="00080E38" w:rsidP="00080E38">
      <w:pPr>
        <w:spacing w:before="240"/>
        <w:rPr>
          <w:rFonts w:ascii="Palatino Linotype" w:hAnsi="Palatino Linotype"/>
          <w:b/>
        </w:rPr>
      </w:pPr>
    </w:p>
    <w:p w:rsidR="00080E38" w:rsidRDefault="00080E38" w:rsidP="00080E38">
      <w:pPr>
        <w:spacing w:before="240"/>
        <w:rPr>
          <w:rFonts w:ascii="Palatino Linotype" w:hAnsi="Palatino Linotype"/>
          <w:b/>
        </w:rPr>
      </w:pPr>
    </w:p>
    <w:p w:rsidR="00080E38" w:rsidRPr="00B93570" w:rsidRDefault="00080E38" w:rsidP="00080E38">
      <w:pPr>
        <w:spacing w:before="240"/>
        <w:rPr>
          <w:rFonts w:ascii="Palatino Linotype" w:hAnsi="Palatino Linotype"/>
          <w:b/>
          <w:sz w:val="18"/>
          <w:szCs w:val="18"/>
        </w:rPr>
      </w:pPr>
    </w:p>
    <w:p w:rsidR="00080E38" w:rsidRPr="00B93570" w:rsidRDefault="00080E38" w:rsidP="00080E38">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6DFDC8" wp14:editId="1BADB701">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0E38" w:rsidRPr="00EF2FC0" w:rsidRDefault="00080E38" w:rsidP="00080E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DFDC8"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080E38" w:rsidRPr="00EF2FC0" w:rsidRDefault="00080E38" w:rsidP="00080E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2525091" wp14:editId="5AE9B526">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w:t>
                            </w:r>
                            <w:r w:rsidR="009E2FA9">
                              <w:rPr>
                                <w:rFonts w:ascii="Palatino Linotype" w:hAnsi="Palatino Linotype" w:cs="Arial"/>
                                <w:sz w:val="24"/>
                                <w:szCs w:val="24"/>
                              </w:rPr>
                              <w:t>Ausente en la Sesión</w:t>
                            </w:r>
                            <w:r>
                              <w:rPr>
                                <w:rFonts w:ascii="Palatino Linotype" w:hAnsi="Palatino Linotype"/>
                                <w:sz w:val="24"/>
                                <w:szCs w:val="24"/>
                              </w:rPr>
                              <w:t>)</w:t>
                            </w:r>
                          </w:p>
                          <w:p w:rsidR="00080E38" w:rsidRDefault="00080E38"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25091"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80E38" w:rsidRPr="00EF2FC0" w:rsidRDefault="00080E38"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w:t>
                      </w:r>
                      <w:r w:rsidR="009E2FA9">
                        <w:rPr>
                          <w:rFonts w:ascii="Palatino Linotype" w:hAnsi="Palatino Linotype" w:cs="Arial"/>
                          <w:sz w:val="24"/>
                          <w:szCs w:val="24"/>
                        </w:rPr>
                        <w:t xml:space="preserve">Ausente en la </w:t>
                      </w:r>
                      <w:r w:rsidR="009E2FA9">
                        <w:rPr>
                          <w:rFonts w:ascii="Palatino Linotype" w:hAnsi="Palatino Linotype" w:cs="Arial"/>
                          <w:sz w:val="24"/>
                          <w:szCs w:val="24"/>
                        </w:rPr>
                        <w:t>S</w:t>
                      </w:r>
                      <w:r w:rsidR="009E2FA9">
                        <w:rPr>
                          <w:rFonts w:ascii="Palatino Linotype" w:hAnsi="Palatino Linotype" w:cs="Arial"/>
                          <w:sz w:val="24"/>
                          <w:szCs w:val="24"/>
                        </w:rPr>
                        <w:t>esión</w:t>
                      </w:r>
                      <w:r>
                        <w:rPr>
                          <w:rFonts w:ascii="Palatino Linotype" w:hAnsi="Palatino Linotype"/>
                          <w:sz w:val="24"/>
                          <w:szCs w:val="24"/>
                        </w:rPr>
                        <w:t>)</w:t>
                      </w:r>
                    </w:p>
                    <w:p w:rsidR="00080E38" w:rsidRDefault="00080E38" w:rsidP="00080E38"/>
                  </w:txbxContent>
                </v:textbox>
                <w10:wrap anchorx="page"/>
              </v:shape>
            </w:pict>
          </mc:Fallback>
        </mc:AlternateContent>
      </w:r>
    </w:p>
    <w:p w:rsidR="00080E38" w:rsidRDefault="00080E38" w:rsidP="00080E38">
      <w:pPr>
        <w:spacing w:before="240"/>
        <w:rPr>
          <w:rFonts w:ascii="Palatino Linotype" w:hAnsi="Palatino Linotype"/>
          <w:b/>
        </w:rPr>
      </w:pPr>
    </w:p>
    <w:p w:rsidR="00080E38" w:rsidRDefault="00080E38" w:rsidP="00080E38">
      <w:pPr>
        <w:spacing w:before="240"/>
        <w:rPr>
          <w:rFonts w:ascii="Palatino Linotype" w:hAnsi="Palatino Linotype"/>
          <w:b/>
        </w:rPr>
      </w:pPr>
    </w:p>
    <w:p w:rsidR="00080E38" w:rsidRDefault="00080E38" w:rsidP="00080E38">
      <w:pPr>
        <w:spacing w:before="240"/>
        <w:rPr>
          <w:rFonts w:ascii="Palatino Linotype" w:hAnsi="Palatino Linotype" w:cs="Arial"/>
          <w:szCs w:val="20"/>
        </w:rPr>
      </w:pPr>
    </w:p>
    <w:p w:rsidR="00080E38" w:rsidRDefault="00080E38" w:rsidP="00080E38">
      <w:pPr>
        <w:spacing w:before="240"/>
        <w:rPr>
          <w:rFonts w:ascii="Palatino Linotype" w:hAnsi="Palatino Linotype" w:cs="Arial"/>
          <w:szCs w:val="20"/>
        </w:rPr>
      </w:pPr>
    </w:p>
    <w:p w:rsidR="00080E38" w:rsidRDefault="00080E38" w:rsidP="00080E38">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2D750FD" wp14:editId="294AE01D">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0E38" w:rsidRPr="007F6133" w:rsidRDefault="00080E38" w:rsidP="00080E38">
                            <w:pPr>
                              <w:jc w:val="center"/>
                              <w:rPr>
                                <w:rFonts w:ascii="Palatino Linotype" w:hAnsi="Palatino Linotype"/>
                                <w:b/>
                                <w:sz w:val="24"/>
                                <w:szCs w:val="24"/>
                              </w:rPr>
                            </w:pPr>
                            <w:r w:rsidRPr="00B86F1F">
                              <w:rPr>
                                <w:rFonts w:ascii="Palatino Linotype" w:hAnsi="Palatino Linotype"/>
                                <w:b/>
                                <w:sz w:val="24"/>
                                <w:szCs w:val="24"/>
                              </w:rPr>
                              <w:t>Alexis Tapia Ramírez</w:t>
                            </w:r>
                          </w:p>
                          <w:p w:rsidR="00080E38" w:rsidRDefault="00080E38" w:rsidP="00080E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pPr>
                              <w:jc w:val="center"/>
                              <w:rPr>
                                <w:rFonts w:ascii="Palatino Linotype" w:hAnsi="Palatino Linotype"/>
                                <w:sz w:val="24"/>
                                <w:szCs w:val="24"/>
                              </w:rPr>
                            </w:pPr>
                          </w:p>
                          <w:p w:rsidR="00080E38" w:rsidRPr="00EF2FC0" w:rsidRDefault="00080E38" w:rsidP="00080E38">
                            <w:pPr>
                              <w:jc w:val="center"/>
                              <w:rPr>
                                <w:rFonts w:ascii="Palatino Linotype" w:hAnsi="Palatino Linotype"/>
                                <w:sz w:val="24"/>
                                <w:szCs w:val="24"/>
                              </w:rPr>
                            </w:pPr>
                          </w:p>
                          <w:p w:rsidR="00080E38" w:rsidRDefault="00080E38"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750FD"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080E38" w:rsidRPr="007F6133" w:rsidRDefault="00080E38" w:rsidP="00080E38">
                      <w:pPr>
                        <w:jc w:val="center"/>
                        <w:rPr>
                          <w:rFonts w:ascii="Palatino Linotype" w:hAnsi="Palatino Linotype"/>
                          <w:b/>
                          <w:sz w:val="24"/>
                          <w:szCs w:val="24"/>
                        </w:rPr>
                      </w:pPr>
                      <w:r w:rsidRPr="00B86F1F">
                        <w:rPr>
                          <w:rFonts w:ascii="Palatino Linotype" w:hAnsi="Palatino Linotype"/>
                          <w:b/>
                          <w:sz w:val="24"/>
                          <w:szCs w:val="24"/>
                        </w:rPr>
                        <w:t>Alexis Tapia Ramírez</w:t>
                      </w:r>
                    </w:p>
                    <w:p w:rsidR="00080E38" w:rsidRDefault="00080E38" w:rsidP="00080E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691679" w:rsidRDefault="00691679" w:rsidP="00691679">
                      <w:pPr>
                        <w:spacing w:line="240" w:lineRule="auto"/>
                        <w:jc w:val="center"/>
                        <w:rPr>
                          <w:rFonts w:ascii="Palatino Linotype" w:hAnsi="Palatino Linotype"/>
                          <w:sz w:val="24"/>
                          <w:szCs w:val="24"/>
                        </w:rPr>
                      </w:pPr>
                      <w:r>
                        <w:rPr>
                          <w:rFonts w:ascii="Palatino Linotype" w:hAnsi="Palatino Linotype"/>
                          <w:sz w:val="24"/>
                          <w:szCs w:val="24"/>
                        </w:rPr>
                        <w:t>(Rúbrica)</w:t>
                      </w:r>
                    </w:p>
                    <w:p w:rsidR="00080E38" w:rsidRDefault="00080E38" w:rsidP="00080E38">
                      <w:pPr>
                        <w:jc w:val="center"/>
                        <w:rPr>
                          <w:rFonts w:ascii="Palatino Linotype" w:hAnsi="Palatino Linotype"/>
                          <w:sz w:val="24"/>
                          <w:szCs w:val="24"/>
                        </w:rPr>
                      </w:pPr>
                    </w:p>
                    <w:p w:rsidR="00080E38" w:rsidRPr="00EF2FC0" w:rsidRDefault="00080E38" w:rsidP="00080E38">
                      <w:pPr>
                        <w:jc w:val="center"/>
                        <w:rPr>
                          <w:rFonts w:ascii="Palatino Linotype" w:hAnsi="Palatino Linotype"/>
                          <w:sz w:val="24"/>
                          <w:szCs w:val="24"/>
                        </w:rPr>
                      </w:pPr>
                    </w:p>
                    <w:p w:rsidR="00080E38" w:rsidRDefault="00080E38" w:rsidP="00080E38"/>
                  </w:txbxContent>
                </v:textbox>
                <w10:wrap anchorx="page"/>
              </v:shape>
            </w:pict>
          </mc:Fallback>
        </mc:AlternateContent>
      </w:r>
    </w:p>
    <w:p w:rsidR="00080E38" w:rsidRDefault="00080E38" w:rsidP="00080E38">
      <w:pPr>
        <w:spacing w:before="240"/>
        <w:rPr>
          <w:rFonts w:ascii="Palatino Linotype" w:hAnsi="Palatino Linotype" w:cs="Arial"/>
          <w:sz w:val="18"/>
          <w:szCs w:val="18"/>
        </w:rPr>
      </w:pPr>
    </w:p>
    <w:p w:rsidR="00080E38" w:rsidRDefault="00080E38" w:rsidP="00080E38">
      <w:pPr>
        <w:spacing w:before="240"/>
        <w:jc w:val="both"/>
        <w:rPr>
          <w:rFonts w:ascii="Palatino Linotype" w:hAnsi="Palatino Linotype" w:cs="Arial"/>
          <w:sz w:val="18"/>
          <w:szCs w:val="18"/>
        </w:rPr>
      </w:pPr>
    </w:p>
    <w:p w:rsidR="00080E38" w:rsidRDefault="00080E38" w:rsidP="00080E38">
      <w:pPr>
        <w:spacing w:before="240" w:line="240" w:lineRule="auto"/>
        <w:jc w:val="both"/>
        <w:rPr>
          <w:rFonts w:ascii="Palatino Linotype" w:hAnsi="Palatino Linotype" w:cs="Arial"/>
          <w:sz w:val="14"/>
          <w:szCs w:val="14"/>
        </w:rPr>
      </w:pPr>
    </w:p>
    <w:p w:rsidR="00080E38" w:rsidRPr="002052F6" w:rsidRDefault="00080E38" w:rsidP="00080E38">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661A2B">
        <w:rPr>
          <w:rFonts w:ascii="Palatino Linotype" w:hAnsi="Palatino Linotype" w:cs="Arial"/>
          <w:sz w:val="16"/>
          <w:szCs w:val="16"/>
        </w:rPr>
        <w:t>veinte de noviembre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661A2B">
        <w:rPr>
          <w:rFonts w:ascii="Palatino Linotype" w:hAnsi="Palatino Linotype" w:cs="Arial"/>
          <w:bCs/>
          <w:sz w:val="16"/>
          <w:szCs w:val="16"/>
          <w:lang w:eastAsia="es-MX"/>
        </w:rPr>
        <w:t>7430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080E38" w:rsidRDefault="00080E38" w:rsidP="00080E38">
      <w:pPr>
        <w:spacing w:after="0"/>
      </w:pPr>
      <w:r w:rsidRPr="002052F6">
        <w:t>ZMS/OSAM/MAEM</w:t>
      </w:r>
    </w:p>
    <w:p w:rsidR="00DD13E2" w:rsidRDefault="00DD13E2" w:rsidP="00A459D0">
      <w:pPr>
        <w:spacing w:after="0" w:line="360" w:lineRule="auto"/>
        <w:jc w:val="both"/>
      </w:pP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D7" w:rsidRDefault="007B40D7" w:rsidP="00E15E85">
      <w:pPr>
        <w:spacing w:after="0" w:line="240" w:lineRule="auto"/>
      </w:pPr>
      <w:r>
        <w:separator/>
      </w:r>
    </w:p>
  </w:endnote>
  <w:endnote w:type="continuationSeparator" w:id="0">
    <w:p w:rsidR="007B40D7" w:rsidRDefault="007B40D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42B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42B5">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24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243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D7" w:rsidRDefault="007B40D7" w:rsidP="00E15E85">
      <w:pPr>
        <w:spacing w:after="0" w:line="240" w:lineRule="auto"/>
      </w:pPr>
      <w:r>
        <w:separator/>
      </w:r>
    </w:p>
  </w:footnote>
  <w:footnote w:type="continuationSeparator" w:id="0">
    <w:p w:rsidR="007B40D7" w:rsidRDefault="007B40D7"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665A7" w:rsidRPr="00A665A7" w:rsidRDefault="00A665A7" w:rsidP="00A665A7">
      <w:pPr>
        <w:pStyle w:val="Textonotapie"/>
        <w:spacing w:line="276" w:lineRule="auto"/>
        <w:jc w:val="both"/>
        <w:rPr>
          <w:rFonts w:ascii="Palatino Linotype" w:hAnsi="Palatino Linotype"/>
          <w:sz w:val="18"/>
          <w:szCs w:val="18"/>
        </w:rPr>
      </w:pPr>
      <w:r w:rsidRPr="00A665A7">
        <w:rPr>
          <w:rStyle w:val="Refdenotaalpie"/>
          <w:rFonts w:ascii="Palatino Linotype" w:hAnsi="Palatino Linotype"/>
          <w:sz w:val="18"/>
          <w:szCs w:val="18"/>
        </w:rPr>
        <w:footnoteRef/>
      </w:r>
      <w:r w:rsidRPr="00A665A7">
        <w:rPr>
          <w:rFonts w:ascii="Palatino Linotype" w:hAnsi="Palatino Linotype"/>
          <w:sz w:val="18"/>
          <w:szCs w:val="18"/>
        </w:rPr>
        <w:t xml:space="preserve"> Artículo 132. La clasificación de la información se llevará a cabo en el momento en que:</w:t>
      </w:r>
    </w:p>
    <w:p w:rsidR="00A665A7" w:rsidRPr="00A665A7" w:rsidRDefault="00A665A7" w:rsidP="00A665A7">
      <w:pPr>
        <w:pStyle w:val="Textonotapie"/>
        <w:spacing w:line="276" w:lineRule="auto"/>
        <w:jc w:val="both"/>
        <w:rPr>
          <w:rFonts w:ascii="Palatino Linotype" w:hAnsi="Palatino Linotype"/>
          <w:sz w:val="18"/>
          <w:szCs w:val="18"/>
        </w:rPr>
      </w:pPr>
      <w:r w:rsidRPr="00A665A7">
        <w:rPr>
          <w:rFonts w:ascii="Palatino Linotype" w:hAnsi="Palatino Linotype"/>
          <w:sz w:val="18"/>
          <w:szCs w:val="18"/>
        </w:rPr>
        <w:t>I. Se reciba una solicitud de acceso a la información;</w:t>
      </w:r>
    </w:p>
    <w:p w:rsidR="00A665A7" w:rsidRPr="00A665A7" w:rsidRDefault="00A665A7" w:rsidP="00A665A7">
      <w:pPr>
        <w:pStyle w:val="Textonotapie"/>
        <w:spacing w:line="276" w:lineRule="auto"/>
        <w:jc w:val="both"/>
        <w:rPr>
          <w:rFonts w:ascii="Palatino Linotype" w:hAnsi="Palatino Linotype"/>
          <w:sz w:val="18"/>
          <w:szCs w:val="18"/>
        </w:rPr>
      </w:pPr>
      <w:r w:rsidRPr="00A665A7">
        <w:rPr>
          <w:rFonts w:ascii="Palatino Linotype" w:hAnsi="Palatino Linotype"/>
          <w:sz w:val="18"/>
          <w:szCs w:val="18"/>
        </w:rPr>
        <w:t>II. Se determine mediante resolución de autoridad competente; o</w:t>
      </w:r>
    </w:p>
    <w:p w:rsidR="00A665A7" w:rsidRPr="00A665A7" w:rsidRDefault="00A665A7" w:rsidP="00A665A7">
      <w:pPr>
        <w:pStyle w:val="Textonotapie"/>
        <w:spacing w:line="276" w:lineRule="auto"/>
        <w:jc w:val="both"/>
        <w:rPr>
          <w:rFonts w:ascii="Palatino Linotype" w:hAnsi="Palatino Linotype"/>
          <w:sz w:val="18"/>
          <w:szCs w:val="18"/>
        </w:rPr>
      </w:pPr>
      <w:r w:rsidRPr="00A665A7">
        <w:rPr>
          <w:rFonts w:ascii="Palatino Linotype" w:hAnsi="Palatino Linotype"/>
          <w:sz w:val="18"/>
          <w:szCs w:val="18"/>
        </w:rPr>
        <w:t>III. Se generen versiones públicas para dar cumplimiento a las obligaciones de transparencia previstas</w:t>
      </w:r>
    </w:p>
    <w:p w:rsidR="00A665A7" w:rsidRPr="00A665A7" w:rsidRDefault="00A665A7" w:rsidP="00A665A7">
      <w:pPr>
        <w:pStyle w:val="Textonotapie"/>
        <w:spacing w:line="276" w:lineRule="auto"/>
        <w:jc w:val="both"/>
        <w:rPr>
          <w:rFonts w:ascii="Palatino Linotype" w:hAnsi="Palatino Linotype"/>
          <w:sz w:val="18"/>
          <w:szCs w:val="18"/>
        </w:rPr>
      </w:pPr>
      <w:r w:rsidRPr="00A665A7">
        <w:rPr>
          <w:rFonts w:ascii="Palatino Linotype" w:hAnsi="Palatino Linotype"/>
          <w:sz w:val="18"/>
          <w:szCs w:val="18"/>
        </w:rPr>
        <w:t>en esta Ley.</w:t>
      </w:r>
    </w:p>
    <w:p w:rsidR="00A665A7" w:rsidRPr="00A665A7" w:rsidRDefault="00A665A7" w:rsidP="00A665A7">
      <w:pPr>
        <w:pStyle w:val="Textonotapie"/>
        <w:spacing w:line="276" w:lineRule="auto"/>
        <w:jc w:val="both"/>
        <w:rPr>
          <w:rFonts w:ascii="Palatino Linotype" w:hAnsi="Palatino Linotype"/>
          <w:sz w:val="18"/>
          <w:szCs w:val="18"/>
        </w:rPr>
      </w:pPr>
      <w:r w:rsidRPr="00A665A7">
        <w:rPr>
          <w:rFonts w:ascii="Palatino Linotype" w:hAnsi="Palatino Linotype"/>
          <w:sz w:val="18"/>
          <w:szCs w:val="18"/>
        </w:rPr>
        <w:t>Tratándose de información reservada, los titulares de las áreas deberán revisar la clasificación al</w:t>
      </w:r>
    </w:p>
    <w:p w:rsidR="00A665A7" w:rsidRDefault="00A665A7" w:rsidP="00A665A7">
      <w:pPr>
        <w:pStyle w:val="Textonotapie"/>
        <w:spacing w:line="276" w:lineRule="auto"/>
        <w:jc w:val="both"/>
      </w:pPr>
      <w:r w:rsidRPr="00A665A7">
        <w:rPr>
          <w:rFonts w:ascii="Palatino Linotype" w:hAnsi="Palatino Linotype"/>
          <w:sz w:val="18"/>
          <w:szCs w:val="18"/>
        </w:rPr>
        <w:t>momento de la recepción de una solicitud, para verificar si subsisten las causas que le dieron origen.</w:t>
      </w:r>
      <w:r w:rsidRPr="00A665A7">
        <w:rPr>
          <w:rFonts w:ascii="Palatino Linotype" w:hAnsi="Palatino Linotype"/>
          <w:sz w:val="18"/>
          <w:szCs w:val="18"/>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9073D">
            <w:rPr>
              <w:rFonts w:ascii="Palatino Linotype" w:hAnsi="Palatino Linotype" w:cs="Arial"/>
              <w:bCs/>
              <w:sz w:val="24"/>
              <w:lang w:eastAsia="es-MX"/>
            </w:rPr>
            <w:t>74</w:t>
          </w:r>
          <w:r w:rsidR="009F38DD">
            <w:rPr>
              <w:rFonts w:ascii="Palatino Linotype" w:hAnsi="Palatino Linotype" w:cs="Arial"/>
              <w:bCs/>
              <w:sz w:val="24"/>
              <w:lang w:eastAsia="es-MX"/>
            </w:rPr>
            <w:t>30</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9F38DD" w:rsidP="00E15E85">
          <w:pPr>
            <w:spacing w:after="120" w:line="256" w:lineRule="auto"/>
            <w:ind w:left="-486" w:right="214" w:firstLine="284"/>
            <w:jc w:val="right"/>
            <w:rPr>
              <w:rFonts w:ascii="Palatino Linotype" w:hAnsi="Palatino Linotype" w:cs="Arial"/>
              <w:szCs w:val="20"/>
            </w:rPr>
          </w:pPr>
          <w:r w:rsidRPr="009F38DD">
            <w:rPr>
              <w:rFonts w:ascii="Palatino Linotype" w:hAnsi="Palatino Linotype" w:cs="Arial"/>
              <w:szCs w:val="20"/>
            </w:rPr>
            <w:t>Ayuntamiento de Tultitlán</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E10F7">
            <w:rPr>
              <w:rFonts w:ascii="Palatino Linotype" w:hAnsi="Palatino Linotype" w:cs="Arial"/>
              <w:bCs/>
              <w:sz w:val="24"/>
              <w:lang w:eastAsia="es-MX"/>
            </w:rPr>
            <w:t>7</w:t>
          </w:r>
          <w:r w:rsidR="0059073D">
            <w:rPr>
              <w:rFonts w:ascii="Palatino Linotype" w:hAnsi="Palatino Linotype" w:cs="Arial"/>
              <w:bCs/>
              <w:sz w:val="24"/>
              <w:lang w:eastAsia="es-MX"/>
            </w:rPr>
            <w:t>4</w:t>
          </w:r>
          <w:r w:rsidR="009F38DD">
            <w:rPr>
              <w:rFonts w:ascii="Palatino Linotype" w:hAnsi="Palatino Linotype" w:cs="Arial"/>
              <w:bCs/>
              <w:sz w:val="24"/>
              <w:lang w:eastAsia="es-MX"/>
            </w:rPr>
            <w:t>30</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672437"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9F38DD" w:rsidP="0015550A">
          <w:pPr>
            <w:spacing w:after="120" w:line="256" w:lineRule="auto"/>
            <w:ind w:left="-495" w:right="214" w:firstLine="567"/>
            <w:jc w:val="right"/>
            <w:rPr>
              <w:rFonts w:ascii="Palatino Linotype" w:hAnsi="Palatino Linotype" w:cs="Arial"/>
              <w:szCs w:val="20"/>
            </w:rPr>
          </w:pPr>
          <w:r w:rsidRPr="009F38DD">
            <w:rPr>
              <w:rFonts w:ascii="Palatino Linotype" w:hAnsi="Palatino Linotype" w:cs="Arial"/>
              <w:szCs w:val="20"/>
            </w:rPr>
            <w:t>Ayuntamiento de Tultitlán</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CEA37EC"/>
    <w:multiLevelType w:val="hybridMultilevel"/>
    <w:tmpl w:val="7772E59A"/>
    <w:lvl w:ilvl="0" w:tplc="FCE0E3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8"/>
  </w:num>
  <w:num w:numId="2">
    <w:abstractNumId w:val="11"/>
  </w:num>
  <w:num w:numId="3">
    <w:abstractNumId w:val="32"/>
  </w:num>
  <w:num w:numId="4">
    <w:abstractNumId w:val="25"/>
  </w:num>
  <w:num w:numId="5">
    <w:abstractNumId w:val="34"/>
  </w:num>
  <w:num w:numId="6">
    <w:abstractNumId w:val="12"/>
  </w:num>
  <w:num w:numId="7">
    <w:abstractNumId w:val="40"/>
  </w:num>
  <w:num w:numId="8">
    <w:abstractNumId w:val="26"/>
  </w:num>
  <w:num w:numId="9">
    <w:abstractNumId w:val="18"/>
  </w:num>
  <w:num w:numId="10">
    <w:abstractNumId w:val="3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4"/>
  </w:num>
  <w:num w:numId="16">
    <w:abstractNumId w:val="16"/>
  </w:num>
  <w:num w:numId="17">
    <w:abstractNumId w:val="19"/>
  </w:num>
  <w:num w:numId="18">
    <w:abstractNumId w:val="2"/>
  </w:num>
  <w:num w:numId="19">
    <w:abstractNumId w:val="31"/>
  </w:num>
  <w:num w:numId="20">
    <w:abstractNumId w:val="21"/>
  </w:num>
  <w:num w:numId="21">
    <w:abstractNumId w:val="15"/>
  </w:num>
  <w:num w:numId="22">
    <w:abstractNumId w:val="13"/>
  </w:num>
  <w:num w:numId="23">
    <w:abstractNumId w:val="6"/>
  </w:num>
  <w:num w:numId="24">
    <w:abstractNumId w:val="9"/>
  </w:num>
  <w:num w:numId="25">
    <w:abstractNumId w:val="41"/>
  </w:num>
  <w:num w:numId="26">
    <w:abstractNumId w:val="22"/>
  </w:num>
  <w:num w:numId="27">
    <w:abstractNumId w:val="0"/>
  </w:num>
  <w:num w:numId="28">
    <w:abstractNumId w:val="33"/>
  </w:num>
  <w:num w:numId="29">
    <w:abstractNumId w:val="3"/>
  </w:num>
  <w:num w:numId="30">
    <w:abstractNumId w:val="10"/>
  </w:num>
  <w:num w:numId="31">
    <w:abstractNumId w:val="29"/>
  </w:num>
  <w:num w:numId="32">
    <w:abstractNumId w:val="1"/>
  </w:num>
  <w:num w:numId="33">
    <w:abstractNumId w:val="36"/>
  </w:num>
  <w:num w:numId="34">
    <w:abstractNumId w:val="20"/>
  </w:num>
  <w:num w:numId="35">
    <w:abstractNumId w:val="23"/>
  </w:num>
  <w:num w:numId="36">
    <w:abstractNumId w:val="28"/>
  </w:num>
  <w:num w:numId="37">
    <w:abstractNumId w:val="35"/>
  </w:num>
  <w:num w:numId="38">
    <w:abstractNumId w:val="37"/>
  </w:num>
  <w:num w:numId="39">
    <w:abstractNumId w:val="30"/>
  </w:num>
  <w:num w:numId="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14A1"/>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174F"/>
    <w:rsid w:val="0014323A"/>
    <w:rsid w:val="00143758"/>
    <w:rsid w:val="001501D2"/>
    <w:rsid w:val="0015550A"/>
    <w:rsid w:val="00163534"/>
    <w:rsid w:val="00171798"/>
    <w:rsid w:val="00171BD5"/>
    <w:rsid w:val="0018251E"/>
    <w:rsid w:val="00183623"/>
    <w:rsid w:val="00195489"/>
    <w:rsid w:val="001A32DE"/>
    <w:rsid w:val="001B066D"/>
    <w:rsid w:val="001B3E5E"/>
    <w:rsid w:val="001C0F7D"/>
    <w:rsid w:val="001C28D0"/>
    <w:rsid w:val="001C3E01"/>
    <w:rsid w:val="001C3F41"/>
    <w:rsid w:val="001C7069"/>
    <w:rsid w:val="001E5993"/>
    <w:rsid w:val="001F3BE5"/>
    <w:rsid w:val="002019BD"/>
    <w:rsid w:val="002052F6"/>
    <w:rsid w:val="00207283"/>
    <w:rsid w:val="00217E99"/>
    <w:rsid w:val="00223C2F"/>
    <w:rsid w:val="00224181"/>
    <w:rsid w:val="00230DC3"/>
    <w:rsid w:val="00233D51"/>
    <w:rsid w:val="0024055C"/>
    <w:rsid w:val="00241578"/>
    <w:rsid w:val="00241FB0"/>
    <w:rsid w:val="0025319F"/>
    <w:rsid w:val="00253C58"/>
    <w:rsid w:val="00260563"/>
    <w:rsid w:val="002606F0"/>
    <w:rsid w:val="0026534C"/>
    <w:rsid w:val="002677ED"/>
    <w:rsid w:val="00272144"/>
    <w:rsid w:val="00287512"/>
    <w:rsid w:val="002902D7"/>
    <w:rsid w:val="00294D34"/>
    <w:rsid w:val="002A0B8E"/>
    <w:rsid w:val="002A1820"/>
    <w:rsid w:val="002A30B2"/>
    <w:rsid w:val="002A42E4"/>
    <w:rsid w:val="002A6F17"/>
    <w:rsid w:val="002B144D"/>
    <w:rsid w:val="002B1A4F"/>
    <w:rsid w:val="002B48E4"/>
    <w:rsid w:val="002C42B5"/>
    <w:rsid w:val="002C42B8"/>
    <w:rsid w:val="002C5AC2"/>
    <w:rsid w:val="002C6BFF"/>
    <w:rsid w:val="002E10F7"/>
    <w:rsid w:val="003011A8"/>
    <w:rsid w:val="003034F4"/>
    <w:rsid w:val="0030350B"/>
    <w:rsid w:val="00307CD9"/>
    <w:rsid w:val="00313BBA"/>
    <w:rsid w:val="00313FE3"/>
    <w:rsid w:val="00314E07"/>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63AD9"/>
    <w:rsid w:val="00382E48"/>
    <w:rsid w:val="00385299"/>
    <w:rsid w:val="0039084D"/>
    <w:rsid w:val="00394CC7"/>
    <w:rsid w:val="003B465B"/>
    <w:rsid w:val="003B5697"/>
    <w:rsid w:val="003C5897"/>
    <w:rsid w:val="003D7E2C"/>
    <w:rsid w:val="003E2AE6"/>
    <w:rsid w:val="003F6C6C"/>
    <w:rsid w:val="00411827"/>
    <w:rsid w:val="00415ED7"/>
    <w:rsid w:val="0041722B"/>
    <w:rsid w:val="0042378C"/>
    <w:rsid w:val="004254FE"/>
    <w:rsid w:val="00437C82"/>
    <w:rsid w:val="00437E85"/>
    <w:rsid w:val="004867DE"/>
    <w:rsid w:val="00486FE1"/>
    <w:rsid w:val="00492244"/>
    <w:rsid w:val="004931E7"/>
    <w:rsid w:val="004A2BFB"/>
    <w:rsid w:val="004A4E4D"/>
    <w:rsid w:val="004C0C26"/>
    <w:rsid w:val="004C3693"/>
    <w:rsid w:val="004D2991"/>
    <w:rsid w:val="004E271B"/>
    <w:rsid w:val="004E6DB3"/>
    <w:rsid w:val="004F05B2"/>
    <w:rsid w:val="0050780F"/>
    <w:rsid w:val="00511AC9"/>
    <w:rsid w:val="0051435E"/>
    <w:rsid w:val="00525565"/>
    <w:rsid w:val="00527856"/>
    <w:rsid w:val="00527C6A"/>
    <w:rsid w:val="00531D07"/>
    <w:rsid w:val="005329E8"/>
    <w:rsid w:val="0056434F"/>
    <w:rsid w:val="005733EB"/>
    <w:rsid w:val="0057576D"/>
    <w:rsid w:val="0058641D"/>
    <w:rsid w:val="0059073D"/>
    <w:rsid w:val="005A5CB9"/>
    <w:rsid w:val="005A7D62"/>
    <w:rsid w:val="005B107A"/>
    <w:rsid w:val="005B1DF4"/>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50FCE"/>
    <w:rsid w:val="00651B07"/>
    <w:rsid w:val="00653B08"/>
    <w:rsid w:val="00654533"/>
    <w:rsid w:val="00654B56"/>
    <w:rsid w:val="00657C65"/>
    <w:rsid w:val="00661A2B"/>
    <w:rsid w:val="00664CA7"/>
    <w:rsid w:val="00672437"/>
    <w:rsid w:val="00673CFD"/>
    <w:rsid w:val="00680423"/>
    <w:rsid w:val="006866FB"/>
    <w:rsid w:val="00691679"/>
    <w:rsid w:val="006A1167"/>
    <w:rsid w:val="006B2E10"/>
    <w:rsid w:val="006C1A4F"/>
    <w:rsid w:val="006D27AC"/>
    <w:rsid w:val="006F2EA8"/>
    <w:rsid w:val="006F46D5"/>
    <w:rsid w:val="00702AB3"/>
    <w:rsid w:val="00707CD8"/>
    <w:rsid w:val="0071132A"/>
    <w:rsid w:val="00712DB8"/>
    <w:rsid w:val="0071620F"/>
    <w:rsid w:val="007222CB"/>
    <w:rsid w:val="00732C05"/>
    <w:rsid w:val="00754A4D"/>
    <w:rsid w:val="00755099"/>
    <w:rsid w:val="0077680C"/>
    <w:rsid w:val="0079194D"/>
    <w:rsid w:val="00793344"/>
    <w:rsid w:val="00793FB4"/>
    <w:rsid w:val="007A0267"/>
    <w:rsid w:val="007A1EFA"/>
    <w:rsid w:val="007B40D7"/>
    <w:rsid w:val="007B5366"/>
    <w:rsid w:val="007B7A2B"/>
    <w:rsid w:val="007C1445"/>
    <w:rsid w:val="007C5165"/>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1DF1"/>
    <w:rsid w:val="008D33FE"/>
    <w:rsid w:val="008E0DD2"/>
    <w:rsid w:val="008E0E21"/>
    <w:rsid w:val="008E5141"/>
    <w:rsid w:val="008F084E"/>
    <w:rsid w:val="008F7A52"/>
    <w:rsid w:val="009050B2"/>
    <w:rsid w:val="0092522B"/>
    <w:rsid w:val="00925375"/>
    <w:rsid w:val="00940EBE"/>
    <w:rsid w:val="00943223"/>
    <w:rsid w:val="00944134"/>
    <w:rsid w:val="0094613F"/>
    <w:rsid w:val="0095157B"/>
    <w:rsid w:val="00956134"/>
    <w:rsid w:val="009614DA"/>
    <w:rsid w:val="00963155"/>
    <w:rsid w:val="0097104F"/>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1435"/>
    <w:rsid w:val="009D427C"/>
    <w:rsid w:val="009D4C08"/>
    <w:rsid w:val="009E1729"/>
    <w:rsid w:val="009E2FA9"/>
    <w:rsid w:val="009E3B36"/>
    <w:rsid w:val="009E5649"/>
    <w:rsid w:val="009F30E4"/>
    <w:rsid w:val="009F38DD"/>
    <w:rsid w:val="009F4D4F"/>
    <w:rsid w:val="009F6268"/>
    <w:rsid w:val="009F7948"/>
    <w:rsid w:val="00A21B83"/>
    <w:rsid w:val="00A253C5"/>
    <w:rsid w:val="00A401A6"/>
    <w:rsid w:val="00A447F3"/>
    <w:rsid w:val="00A459D0"/>
    <w:rsid w:val="00A665A7"/>
    <w:rsid w:val="00A70873"/>
    <w:rsid w:val="00A70BE5"/>
    <w:rsid w:val="00A75D74"/>
    <w:rsid w:val="00A77CBE"/>
    <w:rsid w:val="00A847EB"/>
    <w:rsid w:val="00A863D6"/>
    <w:rsid w:val="00A92C85"/>
    <w:rsid w:val="00A948EF"/>
    <w:rsid w:val="00AA2CB1"/>
    <w:rsid w:val="00AA4538"/>
    <w:rsid w:val="00AA5258"/>
    <w:rsid w:val="00AC1215"/>
    <w:rsid w:val="00AC1D50"/>
    <w:rsid w:val="00AC44EF"/>
    <w:rsid w:val="00AC4880"/>
    <w:rsid w:val="00AC5FA1"/>
    <w:rsid w:val="00AE1180"/>
    <w:rsid w:val="00AE2701"/>
    <w:rsid w:val="00AE6C3B"/>
    <w:rsid w:val="00AF32D3"/>
    <w:rsid w:val="00B020D7"/>
    <w:rsid w:val="00B052B4"/>
    <w:rsid w:val="00B10B28"/>
    <w:rsid w:val="00B11FA7"/>
    <w:rsid w:val="00B12DA8"/>
    <w:rsid w:val="00B13C8E"/>
    <w:rsid w:val="00B165EF"/>
    <w:rsid w:val="00B17A1D"/>
    <w:rsid w:val="00B20422"/>
    <w:rsid w:val="00B252F9"/>
    <w:rsid w:val="00B258A2"/>
    <w:rsid w:val="00B3017E"/>
    <w:rsid w:val="00B34A6D"/>
    <w:rsid w:val="00B355AB"/>
    <w:rsid w:val="00B43530"/>
    <w:rsid w:val="00B44BB1"/>
    <w:rsid w:val="00B50BD7"/>
    <w:rsid w:val="00B51395"/>
    <w:rsid w:val="00B51AF4"/>
    <w:rsid w:val="00B54578"/>
    <w:rsid w:val="00B553D5"/>
    <w:rsid w:val="00B57A54"/>
    <w:rsid w:val="00B66DEA"/>
    <w:rsid w:val="00B67466"/>
    <w:rsid w:val="00B74369"/>
    <w:rsid w:val="00B86E3B"/>
    <w:rsid w:val="00B90BC9"/>
    <w:rsid w:val="00BA225C"/>
    <w:rsid w:val="00BA2458"/>
    <w:rsid w:val="00BA2908"/>
    <w:rsid w:val="00BA5A1B"/>
    <w:rsid w:val="00BA68FA"/>
    <w:rsid w:val="00BC1280"/>
    <w:rsid w:val="00BC1A30"/>
    <w:rsid w:val="00BC1C0A"/>
    <w:rsid w:val="00BC4EF7"/>
    <w:rsid w:val="00BD19FA"/>
    <w:rsid w:val="00BD3741"/>
    <w:rsid w:val="00BD5907"/>
    <w:rsid w:val="00BD652F"/>
    <w:rsid w:val="00BE35D8"/>
    <w:rsid w:val="00BE6D2F"/>
    <w:rsid w:val="00BF1F57"/>
    <w:rsid w:val="00BF2F26"/>
    <w:rsid w:val="00C06006"/>
    <w:rsid w:val="00C13508"/>
    <w:rsid w:val="00C16071"/>
    <w:rsid w:val="00C203E8"/>
    <w:rsid w:val="00C25BA8"/>
    <w:rsid w:val="00C546B6"/>
    <w:rsid w:val="00C56A1E"/>
    <w:rsid w:val="00C56C4E"/>
    <w:rsid w:val="00C62E8E"/>
    <w:rsid w:val="00C63001"/>
    <w:rsid w:val="00C6478B"/>
    <w:rsid w:val="00C64C22"/>
    <w:rsid w:val="00C66E70"/>
    <w:rsid w:val="00C80AEF"/>
    <w:rsid w:val="00CA3C0C"/>
    <w:rsid w:val="00CA7BDA"/>
    <w:rsid w:val="00CC570A"/>
    <w:rsid w:val="00CD55BD"/>
    <w:rsid w:val="00CF53DF"/>
    <w:rsid w:val="00D120B9"/>
    <w:rsid w:val="00D12C9D"/>
    <w:rsid w:val="00D12DF8"/>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8485C"/>
    <w:rsid w:val="00D86447"/>
    <w:rsid w:val="00D874D8"/>
    <w:rsid w:val="00D9010D"/>
    <w:rsid w:val="00D95936"/>
    <w:rsid w:val="00D96638"/>
    <w:rsid w:val="00D97375"/>
    <w:rsid w:val="00DA0F6A"/>
    <w:rsid w:val="00DA32EB"/>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03B09"/>
    <w:rsid w:val="00E04731"/>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2963"/>
    <w:rsid w:val="00E738B6"/>
    <w:rsid w:val="00E819A2"/>
    <w:rsid w:val="00E8593B"/>
    <w:rsid w:val="00E85DB7"/>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17B1"/>
    <w:rsid w:val="00EF2AE9"/>
    <w:rsid w:val="00EF301B"/>
    <w:rsid w:val="00F07156"/>
    <w:rsid w:val="00F3348A"/>
    <w:rsid w:val="00F342A1"/>
    <w:rsid w:val="00F433DC"/>
    <w:rsid w:val="00F72E4A"/>
    <w:rsid w:val="00F77632"/>
    <w:rsid w:val="00F812A0"/>
    <w:rsid w:val="00F8241A"/>
    <w:rsid w:val="00F87F64"/>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146870370">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481116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11933098">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Bk5TdI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B368-2FBE-4869-A757-656175FC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7368</Words>
  <Characters>40529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2019-11-21T02:30:00Z</cp:lastPrinted>
  <dcterms:created xsi:type="dcterms:W3CDTF">2019-12-10T20:23:00Z</dcterms:created>
  <dcterms:modified xsi:type="dcterms:W3CDTF">2019-12-10T20:23:00Z</dcterms:modified>
</cp:coreProperties>
</file>