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7B7EF312"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w:t>
      </w:r>
      <w:r w:rsidR="00AF6580" w:rsidRPr="00E35344">
        <w:rPr>
          <w:rFonts w:ascii="Palatino Linotype" w:hAnsi="Palatino Linotype" w:cs="Tahoma"/>
          <w:bCs/>
          <w:sz w:val="22"/>
          <w:szCs w:val="22"/>
        </w:rPr>
        <w:t xml:space="preserve">fecha </w:t>
      </w:r>
      <w:r w:rsidR="00E35344" w:rsidRPr="00E35344">
        <w:rPr>
          <w:rFonts w:ascii="Palatino Linotype" w:hAnsi="Palatino Linotype" w:cs="Tahoma"/>
          <w:bCs/>
          <w:sz w:val="22"/>
          <w:szCs w:val="22"/>
        </w:rPr>
        <w:t>veintiséis</w:t>
      </w:r>
      <w:r w:rsidR="004D6102" w:rsidRPr="00E35344">
        <w:rPr>
          <w:rFonts w:ascii="Palatino Linotype" w:hAnsi="Palatino Linotype" w:cs="Tahoma"/>
          <w:bCs/>
          <w:sz w:val="22"/>
          <w:szCs w:val="22"/>
        </w:rPr>
        <w:t xml:space="preserve"> </w:t>
      </w:r>
      <w:r w:rsidR="000C5160" w:rsidRPr="00E35344">
        <w:rPr>
          <w:rFonts w:ascii="Palatino Linotype" w:hAnsi="Palatino Linotype" w:cs="Tahoma"/>
          <w:bCs/>
          <w:sz w:val="22"/>
          <w:szCs w:val="22"/>
        </w:rPr>
        <w:t xml:space="preserve"> de junio</w:t>
      </w:r>
      <w:r w:rsidR="00EC017E" w:rsidRPr="00E35344">
        <w:rPr>
          <w:rFonts w:ascii="Palatino Linotype" w:hAnsi="Palatino Linotype" w:cs="Tahoma"/>
          <w:bCs/>
          <w:sz w:val="22"/>
          <w:szCs w:val="22"/>
        </w:rPr>
        <w:t xml:space="preserve"> de dos mil diecinueve</w:t>
      </w:r>
      <w:r w:rsidRPr="00E35344">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61786CBD"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A438FB" w:rsidRPr="00E35344">
        <w:rPr>
          <w:rFonts w:ascii="Palatino Linotype" w:eastAsia="Calibri" w:hAnsi="Palatino Linotype" w:cs="Tahoma"/>
          <w:b/>
          <w:bCs/>
          <w:sz w:val="22"/>
          <w:szCs w:val="22"/>
          <w:lang w:eastAsia="en-US"/>
        </w:rPr>
        <w:t>0</w:t>
      </w:r>
      <w:r w:rsidR="00E03DC1" w:rsidRPr="00E35344">
        <w:rPr>
          <w:rFonts w:ascii="Palatino Linotype" w:eastAsia="Calibri" w:hAnsi="Palatino Linotype" w:cs="Tahoma"/>
          <w:b/>
          <w:bCs/>
          <w:sz w:val="22"/>
          <w:szCs w:val="22"/>
          <w:lang w:eastAsia="en-US"/>
        </w:rPr>
        <w:t>3191</w:t>
      </w:r>
      <w:r w:rsidR="00A438FB" w:rsidRPr="00E35344">
        <w:rPr>
          <w:rFonts w:ascii="Palatino Linotype" w:eastAsia="Calibri" w:hAnsi="Palatino Linotype" w:cs="Tahoma"/>
          <w:b/>
          <w:bCs/>
          <w:sz w:val="22"/>
          <w:szCs w:val="22"/>
          <w:lang w:eastAsia="en-US"/>
        </w:rPr>
        <w:t>/INFOEM/IP/RR/2019</w:t>
      </w:r>
      <w:r w:rsidR="00A438FB" w:rsidRPr="00E35344">
        <w:rPr>
          <w:rFonts w:ascii="Palatino Linotype" w:hAnsi="Palatino Linotype" w:cs="Tahoma"/>
          <w:bCs/>
          <w:color w:val="0D0D0D" w:themeColor="text1" w:themeTint="F2"/>
          <w:sz w:val="22"/>
          <w:szCs w:val="22"/>
        </w:rPr>
        <w:t>, interpuesto por</w:t>
      </w:r>
      <w:r w:rsidR="000C5160" w:rsidRPr="00E35344">
        <w:rPr>
          <w:rFonts w:ascii="Palatino Linotype" w:hAnsi="Palatino Linotype" w:cs="Tahoma"/>
          <w:bCs/>
          <w:color w:val="0D0D0D" w:themeColor="text1" w:themeTint="F2"/>
          <w:sz w:val="22"/>
          <w:szCs w:val="22"/>
        </w:rPr>
        <w:t xml:space="preserve"> </w:t>
      </w:r>
      <w:r w:rsidR="00A16356" w:rsidRPr="00A16356">
        <w:rPr>
          <w:rFonts w:ascii="Palatino Linotype" w:eastAsia="Calibri" w:hAnsi="Palatino Linotype" w:cs="Tahoma"/>
          <w:sz w:val="22"/>
          <w:szCs w:val="22"/>
          <w:highlight w:val="black"/>
          <w:lang w:val="es-MX" w:eastAsia="en-US"/>
        </w:rPr>
        <w:t>XXXXXXXXXXXXX</w:t>
      </w:r>
      <w:r w:rsidRPr="00E35344">
        <w:rPr>
          <w:rFonts w:ascii="Palatino Linotype" w:eastAsia="Calibri" w:hAnsi="Palatino Linotype" w:cs="Tahoma"/>
          <w:sz w:val="22"/>
          <w:szCs w:val="22"/>
          <w:lang w:val="es-MX" w:eastAsia="en-US"/>
        </w:rPr>
        <w:t>,</w:t>
      </w:r>
      <w:r w:rsidR="000C5160" w:rsidRPr="00E35344">
        <w:rPr>
          <w:rFonts w:ascii="Palatino Linotype" w:eastAsia="Calibri" w:hAnsi="Palatino Linotype" w:cs="Tahoma"/>
          <w:sz w:val="22"/>
          <w:szCs w:val="22"/>
          <w:lang w:val="es-MX" w:eastAsia="en-US"/>
        </w:rPr>
        <w:t xml:space="preserve"> en</w:t>
      </w:r>
      <w:r w:rsidR="000C5160">
        <w:rPr>
          <w:rFonts w:ascii="Palatino Linotype" w:eastAsia="Calibri" w:hAnsi="Palatino Linotype" w:cs="Tahoma"/>
          <w:sz w:val="22"/>
          <w:szCs w:val="22"/>
          <w:lang w:val="es-MX" w:eastAsia="en-US"/>
        </w:rPr>
        <w:t xml:space="preserve"> lo sucesivo Recurrente</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E35344">
        <w:rPr>
          <w:rFonts w:ascii="Palatino Linotype" w:hAnsi="Palatino Linotype" w:cs="Tahoma"/>
          <w:bCs/>
          <w:color w:val="0D0D0D" w:themeColor="text1" w:themeTint="F2"/>
          <w:sz w:val="22"/>
          <w:szCs w:val="22"/>
        </w:rPr>
        <w:t>,</w:t>
      </w:r>
      <w:r w:rsidR="008F70FD" w:rsidRPr="00E35344">
        <w:rPr>
          <w:rFonts w:ascii="Palatino Linotype" w:hAnsi="Palatino Linotype" w:cs="Tahoma"/>
          <w:bCs/>
          <w:color w:val="0D0D0D" w:themeColor="text1" w:themeTint="F2"/>
          <w:sz w:val="22"/>
          <w:szCs w:val="22"/>
        </w:rPr>
        <w:t xml:space="preserve"> </w:t>
      </w:r>
      <w:r w:rsidR="00E03DC1" w:rsidRPr="00E35344">
        <w:rPr>
          <w:rFonts w:ascii="Palatino Linotype" w:hAnsi="Palatino Linotype" w:cs="Tahoma"/>
          <w:b/>
          <w:bCs/>
          <w:color w:val="0D0D0D" w:themeColor="text1" w:themeTint="F2"/>
          <w:sz w:val="22"/>
          <w:szCs w:val="22"/>
        </w:rPr>
        <w:t>Universidad Autónoma del Estado de México</w:t>
      </w:r>
      <w:r w:rsidR="00806144" w:rsidRPr="00E35344">
        <w:rPr>
          <w:rFonts w:ascii="Palatino Linotype" w:hAnsi="Palatino Linotype" w:cs="Tahoma"/>
          <w:bCs/>
          <w:color w:val="0D0D0D" w:themeColor="text1" w:themeTint="F2"/>
          <w:sz w:val="22"/>
          <w:szCs w:val="22"/>
        </w:rPr>
        <w:t>,</w:t>
      </w:r>
      <w:r w:rsidR="00806144" w:rsidRPr="006A36F7">
        <w:rPr>
          <w:rFonts w:ascii="Palatino Linotype" w:hAnsi="Palatino Linotype" w:cs="Tahoma"/>
          <w:bCs/>
          <w:color w:val="0D0D0D" w:themeColor="text1" w:themeTint="F2"/>
          <w:sz w:val="22"/>
          <w:szCs w:val="22"/>
        </w:rPr>
        <w:t xml:space="preserve"> se emite la presente Resolución, con base en los Antecedente</w:t>
      </w:r>
      <w:bookmarkStart w:id="0" w:name="_GoBack"/>
      <w:bookmarkEnd w:id="0"/>
      <w:r w:rsidR="00806144" w:rsidRPr="006A36F7">
        <w:rPr>
          <w:rFonts w:ascii="Palatino Linotype" w:hAnsi="Palatino Linotype" w:cs="Tahoma"/>
          <w:bCs/>
          <w:color w:val="0D0D0D" w:themeColor="text1" w:themeTint="F2"/>
          <w:sz w:val="22"/>
          <w:szCs w:val="22"/>
        </w:rPr>
        <w:t>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4FE49CD5" w:rsidR="00806144" w:rsidRPr="006A36F7" w:rsidRDefault="000C5160" w:rsidP="007479DD">
      <w:pPr>
        <w:pStyle w:val="Prrafodelista"/>
        <w:tabs>
          <w:tab w:val="left" w:pos="567"/>
        </w:tabs>
        <w:spacing w:line="360" w:lineRule="auto"/>
        <w:ind w:left="0"/>
        <w:contextualSpacing w:val="0"/>
        <w:jc w:val="both"/>
        <w:rPr>
          <w:rFonts w:ascii="Palatino Linotype" w:hAnsi="Palatino Linotype" w:cs="Tahoma"/>
          <w:szCs w:val="22"/>
        </w:rPr>
      </w:pPr>
      <w:r w:rsidRPr="00E35344">
        <w:rPr>
          <w:rFonts w:ascii="Palatino Linotype" w:hAnsi="Palatino Linotype" w:cs="Tahoma"/>
          <w:szCs w:val="22"/>
        </w:rPr>
        <w:t>El</w:t>
      </w:r>
      <w:r w:rsidR="00806144" w:rsidRPr="00E35344">
        <w:rPr>
          <w:rFonts w:ascii="Palatino Linotype" w:hAnsi="Palatino Linotype" w:cs="Tahoma"/>
          <w:szCs w:val="22"/>
        </w:rPr>
        <w:t xml:space="preserve"> </w:t>
      </w:r>
      <w:r w:rsidR="00A438FB" w:rsidRPr="00E35344">
        <w:rPr>
          <w:rFonts w:ascii="Palatino Linotype" w:hAnsi="Palatino Linotype" w:cs="Tahoma"/>
          <w:szCs w:val="22"/>
        </w:rPr>
        <w:t>veint</w:t>
      </w:r>
      <w:r w:rsidR="00E03DC1" w:rsidRPr="00E35344">
        <w:rPr>
          <w:rFonts w:ascii="Palatino Linotype" w:hAnsi="Palatino Linotype" w:cs="Tahoma"/>
          <w:szCs w:val="22"/>
        </w:rPr>
        <w:t>iocho</w:t>
      </w:r>
      <w:r w:rsidR="00EC017E" w:rsidRPr="00E35344">
        <w:rPr>
          <w:rFonts w:ascii="Palatino Linotype" w:hAnsi="Palatino Linotype" w:cs="Tahoma"/>
          <w:szCs w:val="22"/>
        </w:rPr>
        <w:t xml:space="preserve"> de </w:t>
      </w:r>
      <w:r w:rsidR="004D6102" w:rsidRPr="00E35344">
        <w:rPr>
          <w:rFonts w:ascii="Palatino Linotype" w:hAnsi="Palatino Linotype" w:cs="Tahoma"/>
          <w:szCs w:val="22"/>
        </w:rPr>
        <w:t>marzo</w:t>
      </w:r>
      <w:r w:rsidR="00EC017E" w:rsidRPr="00E35344">
        <w:rPr>
          <w:rFonts w:ascii="Palatino Linotype" w:hAnsi="Palatino Linotype" w:cs="Tahoma"/>
          <w:szCs w:val="22"/>
        </w:rPr>
        <w:t xml:space="preserve"> </w:t>
      </w:r>
      <w:r w:rsidR="00944513" w:rsidRPr="00E35344">
        <w:rPr>
          <w:rFonts w:ascii="Palatino Linotype" w:hAnsi="Palatino Linotype" w:cs="Tahoma"/>
          <w:szCs w:val="22"/>
        </w:rPr>
        <w:t>de dos mil diecinueve</w:t>
      </w:r>
      <w:r w:rsidR="004B42D0" w:rsidRPr="00E35344">
        <w:rPr>
          <w:rFonts w:ascii="Palatino Linotype" w:hAnsi="Palatino Linotype" w:cs="Tahoma"/>
          <w:szCs w:val="22"/>
        </w:rPr>
        <w:t xml:space="preserve">, </w:t>
      </w:r>
      <w:r w:rsidR="00876C0A" w:rsidRPr="00E35344">
        <w:rPr>
          <w:rFonts w:ascii="Palatino Linotype" w:hAnsi="Palatino Linotype" w:cs="Tahoma"/>
          <w:szCs w:val="22"/>
        </w:rPr>
        <w:t>el</w:t>
      </w:r>
      <w:r w:rsidR="0084277D" w:rsidRPr="00E35344">
        <w:rPr>
          <w:rFonts w:ascii="Palatino Linotype" w:hAnsi="Palatino Linotype" w:cs="Tahoma"/>
          <w:szCs w:val="22"/>
        </w:rPr>
        <w:t xml:space="preserve"> P</w:t>
      </w:r>
      <w:r w:rsidR="00806144" w:rsidRPr="00E35344">
        <w:rPr>
          <w:rFonts w:ascii="Palatino Linotype" w:hAnsi="Palatino Linotype" w:cs="Tahoma"/>
          <w:szCs w:val="22"/>
        </w:rPr>
        <w:t>articular presentó solicitud</w:t>
      </w:r>
      <w:r w:rsidR="008615B8" w:rsidRPr="00E35344">
        <w:rPr>
          <w:rFonts w:ascii="Palatino Linotype" w:hAnsi="Palatino Linotype" w:cs="Tahoma"/>
          <w:szCs w:val="22"/>
        </w:rPr>
        <w:t xml:space="preserve"> </w:t>
      </w:r>
      <w:r w:rsidR="00806144" w:rsidRPr="00E35344">
        <w:rPr>
          <w:rFonts w:ascii="Palatino Linotype" w:hAnsi="Palatino Linotype" w:cs="Tahoma"/>
          <w:szCs w:val="22"/>
        </w:rPr>
        <w:t xml:space="preserve">de acceso a la información pública </w:t>
      </w:r>
      <w:r w:rsidR="0055108C" w:rsidRPr="00E35344">
        <w:rPr>
          <w:rFonts w:ascii="Palatino Linotype" w:hAnsi="Palatino Linotype" w:cs="Tahoma"/>
          <w:szCs w:val="22"/>
        </w:rPr>
        <w:t xml:space="preserve">número </w:t>
      </w:r>
      <w:r w:rsidR="00296521" w:rsidRPr="00E35344">
        <w:rPr>
          <w:rFonts w:ascii="Palatino Linotype" w:hAnsi="Palatino Linotype" w:cs="Tahoma"/>
          <w:b/>
          <w:szCs w:val="22"/>
        </w:rPr>
        <w:t>00</w:t>
      </w:r>
      <w:r w:rsidR="00E03DC1" w:rsidRPr="00E35344">
        <w:rPr>
          <w:rFonts w:ascii="Palatino Linotype" w:hAnsi="Palatino Linotype" w:cs="Tahoma"/>
          <w:b/>
          <w:szCs w:val="22"/>
        </w:rPr>
        <w:t>367</w:t>
      </w:r>
      <w:r w:rsidR="00A438FB" w:rsidRPr="00E35344">
        <w:rPr>
          <w:rFonts w:ascii="Palatino Linotype" w:hAnsi="Palatino Linotype" w:cs="Tahoma"/>
          <w:b/>
          <w:szCs w:val="22"/>
        </w:rPr>
        <w:t>/</w:t>
      </w:r>
      <w:r w:rsidR="00E03DC1" w:rsidRPr="00E35344">
        <w:rPr>
          <w:rFonts w:ascii="Palatino Linotype" w:hAnsi="Palatino Linotype" w:cs="Tahoma"/>
          <w:b/>
          <w:szCs w:val="22"/>
        </w:rPr>
        <w:t>UAEM</w:t>
      </w:r>
      <w:r w:rsidR="00A438FB" w:rsidRPr="00E35344">
        <w:rPr>
          <w:rFonts w:ascii="Palatino Linotype" w:hAnsi="Palatino Linotype" w:cs="Tahoma"/>
          <w:b/>
          <w:szCs w:val="22"/>
        </w:rPr>
        <w:t xml:space="preserve">/IP/2019 </w:t>
      </w:r>
      <w:r w:rsidR="0055108C" w:rsidRPr="00E35344">
        <w:rPr>
          <w:rFonts w:ascii="Palatino Linotype" w:hAnsi="Palatino Linotype" w:cs="Tahoma"/>
          <w:szCs w:val="22"/>
        </w:rPr>
        <w:t>a</w:t>
      </w:r>
      <w:r w:rsidR="0055108C" w:rsidRPr="006A36F7">
        <w:rPr>
          <w:rFonts w:ascii="Palatino Linotype" w:hAnsi="Palatino Linotype" w:cs="Tahoma"/>
          <w:szCs w:val="22"/>
        </w:rPr>
        <w:t xml:space="preserve"> través del Sistema de Acceso a la Información Mexiquense (SAIMEX) </w:t>
      </w:r>
      <w:r w:rsidR="00806144" w:rsidRPr="006A36F7">
        <w:rPr>
          <w:rFonts w:ascii="Palatino Linotype" w:hAnsi="Palatino Linotype" w:cs="Tahoma"/>
          <w:szCs w:val="22"/>
        </w:rPr>
        <w:t>mediante la cual requirió:</w:t>
      </w:r>
    </w:p>
    <w:p w14:paraId="5674343A" w14:textId="77777777" w:rsidR="004D1C65" w:rsidRPr="006A36F7" w:rsidRDefault="004D1C65" w:rsidP="007479DD">
      <w:pPr>
        <w:tabs>
          <w:tab w:val="left" w:pos="4667"/>
        </w:tabs>
        <w:spacing w:line="360" w:lineRule="auto"/>
        <w:ind w:left="567" w:right="567"/>
        <w:jc w:val="both"/>
        <w:rPr>
          <w:rFonts w:ascii="Palatino Linotype" w:hAnsi="Palatino Linotype" w:cs="Tahoma"/>
          <w:b/>
          <w:bCs/>
          <w:sz w:val="22"/>
          <w:szCs w:val="22"/>
        </w:rPr>
      </w:pPr>
    </w:p>
    <w:p w14:paraId="5674343B" w14:textId="77777777" w:rsidR="00E05754" w:rsidRPr="006A36F7" w:rsidRDefault="00806144" w:rsidP="00E05754">
      <w:pPr>
        <w:tabs>
          <w:tab w:val="left" w:pos="4667"/>
        </w:tabs>
        <w:spacing w:line="360" w:lineRule="auto"/>
        <w:ind w:left="567" w:right="567"/>
        <w:jc w:val="both"/>
        <w:rPr>
          <w:rFonts w:ascii="Palatino Linotype" w:hAnsi="Palatino Linotype" w:cs="Tahoma"/>
          <w:b/>
          <w:bCs/>
          <w:sz w:val="22"/>
          <w:szCs w:val="22"/>
        </w:rPr>
      </w:pPr>
      <w:r w:rsidRPr="006A36F7">
        <w:rPr>
          <w:rFonts w:ascii="Palatino Linotype" w:hAnsi="Palatino Linotype" w:cs="Tahoma"/>
          <w:b/>
          <w:bCs/>
          <w:sz w:val="22"/>
          <w:szCs w:val="22"/>
        </w:rPr>
        <w:t>DESCRIPCIÓN CLARA Y PRECISA DE LA INFORMACIÓN SOLICITADA</w:t>
      </w:r>
    </w:p>
    <w:p w14:paraId="0926FD72" w14:textId="43847859" w:rsidR="00E03DC1" w:rsidRDefault="00E03DC1" w:rsidP="007479DD">
      <w:pPr>
        <w:tabs>
          <w:tab w:val="left" w:pos="4667"/>
        </w:tabs>
        <w:spacing w:line="360" w:lineRule="auto"/>
        <w:ind w:left="567" w:right="567"/>
        <w:jc w:val="both"/>
        <w:rPr>
          <w:rFonts w:ascii="Palatino Linotype" w:hAnsi="Palatino Linotype"/>
          <w:color w:val="000000"/>
        </w:rPr>
      </w:pPr>
      <w:r w:rsidRPr="00E35344">
        <w:rPr>
          <w:rFonts w:ascii="Palatino Linotype" w:hAnsi="Palatino Linotype"/>
          <w:i/>
          <w:color w:val="000000"/>
        </w:rPr>
        <w:t>“Monto y destino de los recursos obtenidos por la rifa organizada por la Dirección del Centro Universitario UAEM Valle de Chalco, en diciembre de 2017, de una motocicleta marca Harley Davidson color azul</w:t>
      </w:r>
      <w:r w:rsidRPr="00E35344">
        <w:rPr>
          <w:rFonts w:ascii="Palatino Linotype" w:hAnsi="Palatino Linotype"/>
          <w:color w:val="000000"/>
        </w:rPr>
        <w:t>.”</w:t>
      </w:r>
    </w:p>
    <w:p w14:paraId="07A35D97" w14:textId="77777777" w:rsidR="00FB401D" w:rsidRPr="00E35344" w:rsidRDefault="00FB401D" w:rsidP="007479DD">
      <w:pPr>
        <w:tabs>
          <w:tab w:val="left" w:pos="4667"/>
        </w:tabs>
        <w:spacing w:line="360" w:lineRule="auto"/>
        <w:ind w:left="567" w:right="567"/>
        <w:jc w:val="both"/>
        <w:rPr>
          <w:rFonts w:ascii="Palatino Linotype" w:hAnsi="Palatino Linotype" w:cs="Tahoma"/>
          <w:b/>
          <w:bCs/>
        </w:rPr>
      </w:pPr>
    </w:p>
    <w:p w14:paraId="5674343E" w14:textId="19D12FE4"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77777777" w:rsidR="00806144" w:rsidRDefault="007B0FDC" w:rsidP="007479DD">
      <w:pPr>
        <w:tabs>
          <w:tab w:val="left" w:pos="4667"/>
        </w:tabs>
        <w:spacing w:line="360" w:lineRule="auto"/>
        <w:ind w:left="567" w:right="567"/>
        <w:jc w:val="both"/>
        <w:rPr>
          <w:rFonts w:ascii="Palatino Linotype" w:hAnsi="Palatino Linotype" w:cs="Tahoma"/>
          <w:bCs/>
          <w:sz w:val="22"/>
          <w:szCs w:val="22"/>
        </w:rPr>
      </w:pPr>
      <w:r w:rsidRPr="00E35344">
        <w:rPr>
          <w:rFonts w:ascii="Palatino Linotype" w:hAnsi="Palatino Linotype" w:cs="Tahoma"/>
          <w:bCs/>
          <w:sz w:val="22"/>
          <w:szCs w:val="22"/>
        </w:rPr>
        <w:t>A través del SA</w:t>
      </w:r>
      <w:r w:rsidR="00653812" w:rsidRPr="00E35344">
        <w:rPr>
          <w:rFonts w:ascii="Palatino Linotype" w:hAnsi="Palatino Linotype" w:cs="Tahoma"/>
          <w:bCs/>
          <w:sz w:val="22"/>
          <w:szCs w:val="22"/>
        </w:rPr>
        <w:t>I</w:t>
      </w:r>
      <w:r w:rsidRPr="00E35344">
        <w:rPr>
          <w:rFonts w:ascii="Palatino Linotype" w:hAnsi="Palatino Linotype" w:cs="Tahoma"/>
          <w:bCs/>
          <w:sz w:val="22"/>
          <w:szCs w:val="22"/>
        </w:rPr>
        <w:t>MEX</w:t>
      </w:r>
    </w:p>
    <w:p w14:paraId="284DACD4" w14:textId="77777777" w:rsidR="003341D9" w:rsidRPr="006A36F7" w:rsidRDefault="003341D9" w:rsidP="007479DD">
      <w:pPr>
        <w:tabs>
          <w:tab w:val="left" w:pos="4667"/>
        </w:tabs>
        <w:spacing w:line="360" w:lineRule="auto"/>
        <w:ind w:left="567" w:right="567"/>
        <w:jc w:val="both"/>
        <w:rPr>
          <w:rFonts w:ascii="Palatino Linotype" w:hAnsi="Palatino Linotype" w:cs="Tahoma"/>
          <w:bCs/>
          <w:sz w:val="22"/>
          <w:szCs w:val="22"/>
        </w:rPr>
      </w:pPr>
    </w:p>
    <w:p w14:paraId="6FE4C69C" w14:textId="461009BC" w:rsidR="00E15208" w:rsidRDefault="00C929A8"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lastRenderedPageBreak/>
        <w:t>II</w:t>
      </w:r>
      <w:r w:rsidR="009D7DDA" w:rsidRPr="006A36F7">
        <w:rPr>
          <w:rFonts w:ascii="Palatino Linotype" w:hAnsi="Palatino Linotype" w:cs="Tahoma"/>
          <w:b/>
          <w:sz w:val="22"/>
          <w:szCs w:val="22"/>
        </w:rPr>
        <w:t xml:space="preserve">. Respuesta del </w:t>
      </w:r>
      <w:r w:rsidR="00E62E3B" w:rsidRPr="006A36F7">
        <w:rPr>
          <w:rFonts w:ascii="Palatino Linotype" w:hAnsi="Palatino Linotype" w:cs="Tahoma"/>
          <w:b/>
          <w:sz w:val="22"/>
          <w:szCs w:val="22"/>
        </w:rPr>
        <w:t>Sujeto Obligado</w:t>
      </w:r>
      <w:r w:rsidR="009D7DDA" w:rsidRPr="006A36F7">
        <w:rPr>
          <w:rFonts w:ascii="Palatino Linotype" w:hAnsi="Palatino Linotype" w:cs="Tahoma"/>
          <w:b/>
          <w:sz w:val="22"/>
          <w:szCs w:val="22"/>
        </w:rPr>
        <w:t>.</w:t>
      </w:r>
      <w:r w:rsidR="00E35344">
        <w:rPr>
          <w:rFonts w:ascii="Palatino Linotype" w:hAnsi="Palatino Linotype" w:cs="Tahoma"/>
          <w:b/>
          <w:sz w:val="22"/>
          <w:szCs w:val="22"/>
        </w:rPr>
        <w:t xml:space="preserve"> </w:t>
      </w:r>
    </w:p>
    <w:p w14:paraId="46EBF83D" w14:textId="77777777" w:rsidR="003341D9" w:rsidRDefault="003341D9" w:rsidP="007479DD">
      <w:pPr>
        <w:autoSpaceDE w:val="0"/>
        <w:autoSpaceDN w:val="0"/>
        <w:adjustRightInd w:val="0"/>
        <w:spacing w:line="360" w:lineRule="auto"/>
        <w:jc w:val="both"/>
        <w:rPr>
          <w:rFonts w:ascii="Palatino Linotype" w:hAnsi="Palatino Linotype" w:cs="Tahoma"/>
          <w:b/>
          <w:sz w:val="22"/>
          <w:szCs w:val="22"/>
        </w:rPr>
      </w:pPr>
    </w:p>
    <w:p w14:paraId="70525194" w14:textId="495BD78E" w:rsidR="00E35344" w:rsidRDefault="00E35344"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veinticinco de abril de la anualidad en curso, el Sujeto Obligado dio respuesta a la solicitud de información en los siguientes términos: </w:t>
      </w:r>
    </w:p>
    <w:p w14:paraId="3D824347" w14:textId="77777777" w:rsidR="00E35344" w:rsidRPr="00E35344" w:rsidRDefault="00E35344" w:rsidP="007479DD">
      <w:pPr>
        <w:autoSpaceDE w:val="0"/>
        <w:autoSpaceDN w:val="0"/>
        <w:adjustRightInd w:val="0"/>
        <w:spacing w:line="360" w:lineRule="auto"/>
        <w:jc w:val="both"/>
        <w:rPr>
          <w:rFonts w:ascii="Palatino Linotype" w:hAnsi="Palatino Linotype" w:cs="Tahoma"/>
          <w:sz w:val="22"/>
          <w:szCs w:val="22"/>
        </w:rPr>
      </w:pPr>
    </w:p>
    <w:p w14:paraId="3D3DBF71" w14:textId="4DB5DD58" w:rsidR="00E03DC1" w:rsidRDefault="00E03DC1" w:rsidP="00FB401D">
      <w:pPr>
        <w:tabs>
          <w:tab w:val="left" w:pos="8505"/>
        </w:tabs>
        <w:autoSpaceDE w:val="0"/>
        <w:autoSpaceDN w:val="0"/>
        <w:adjustRightInd w:val="0"/>
        <w:spacing w:line="360" w:lineRule="auto"/>
        <w:ind w:left="567" w:right="539"/>
        <w:jc w:val="both"/>
        <w:rPr>
          <w:rFonts w:ascii="Palatino Linotype" w:hAnsi="Palatino Linotype"/>
          <w:i/>
          <w:color w:val="000000"/>
        </w:rPr>
      </w:pPr>
      <w:r w:rsidRPr="00E35344">
        <w:rPr>
          <w:rFonts w:ascii="Palatino Linotype" w:hAnsi="Palatino Linotype"/>
          <w:i/>
          <w:color w:val="000000"/>
        </w:rPr>
        <w:t>“En respuesta a la solicitud de acceso a la información pública con número de folio 00367/UAEM/IP/2019,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que el monto total recaudado por la rifa de la motocicleta fue de $125,600.00 (ciento veinticinco mil seiscientos pesos 00/100 M.N.), el cual fue destinado para la adquisición de luminarias, material eléctrico, manufactura de 25 postes y pago por la mano de obra para la explanada del Centro Universitario.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w:t>
      </w:r>
    </w:p>
    <w:p w14:paraId="1F053F5E" w14:textId="77777777" w:rsidR="002F1C56" w:rsidRDefault="002F1C56" w:rsidP="002F1C56">
      <w:pPr>
        <w:spacing w:line="360" w:lineRule="auto"/>
        <w:rPr>
          <w:rFonts w:ascii="Palatino Linotype" w:hAnsi="Palatino Linotype"/>
          <w:color w:val="000000"/>
          <w:sz w:val="22"/>
        </w:rPr>
      </w:pPr>
    </w:p>
    <w:p w14:paraId="1E57208D" w14:textId="1C61A2ED" w:rsidR="002F1C56" w:rsidRPr="002F1C56" w:rsidRDefault="002F1C56" w:rsidP="002F1C56">
      <w:pPr>
        <w:spacing w:line="360" w:lineRule="auto"/>
        <w:rPr>
          <w:rFonts w:ascii="Arial" w:hAnsi="Arial" w:cs="Arial"/>
          <w:b/>
          <w:bCs/>
          <w:color w:val="333333"/>
          <w:sz w:val="16"/>
          <w:szCs w:val="15"/>
          <w:lang w:val="es-MX" w:eastAsia="es-MX"/>
        </w:rPr>
      </w:pPr>
      <w:r w:rsidRPr="002F1C56">
        <w:rPr>
          <w:rFonts w:ascii="Palatino Linotype" w:hAnsi="Palatino Linotype"/>
          <w:color w:val="000000"/>
          <w:sz w:val="22"/>
        </w:rPr>
        <w:t xml:space="preserve">De igual forma, el Sujeto Obligado en su respuesta, anexó el documento denominado “Cédula de Evaluación 003672019. </w:t>
      </w:r>
      <w:proofErr w:type="gramStart"/>
      <w:r w:rsidRPr="002F1C56">
        <w:rPr>
          <w:rFonts w:ascii="Palatino Linotype" w:hAnsi="Palatino Linotype"/>
          <w:color w:val="000000"/>
          <w:sz w:val="22"/>
        </w:rPr>
        <w:t>docx</w:t>
      </w:r>
      <w:proofErr w:type="gramEnd"/>
      <w:r w:rsidRPr="002F1C56">
        <w:rPr>
          <w:rFonts w:ascii="Palatino Linotype" w:hAnsi="Palatino Linotype"/>
          <w:color w:val="000000"/>
          <w:sz w:val="22"/>
        </w:rPr>
        <w:t xml:space="preserve">” </w:t>
      </w:r>
    </w:p>
    <w:p w14:paraId="1FB61B9A" w14:textId="77777777" w:rsidR="003341D9" w:rsidRDefault="003341D9" w:rsidP="007479DD">
      <w:pPr>
        <w:autoSpaceDE w:val="0"/>
        <w:autoSpaceDN w:val="0"/>
        <w:adjustRightInd w:val="0"/>
        <w:spacing w:line="360" w:lineRule="auto"/>
        <w:jc w:val="both"/>
        <w:rPr>
          <w:rFonts w:ascii="Palatino Linotype" w:hAnsi="Palatino Linotype" w:cs="Tahoma"/>
          <w:b/>
          <w:sz w:val="22"/>
          <w:szCs w:val="22"/>
        </w:rPr>
      </w:pPr>
    </w:p>
    <w:p w14:paraId="659F10FA" w14:textId="77777777" w:rsidR="003341D9" w:rsidRDefault="003341D9" w:rsidP="007479DD">
      <w:pPr>
        <w:autoSpaceDE w:val="0"/>
        <w:autoSpaceDN w:val="0"/>
        <w:adjustRightInd w:val="0"/>
        <w:spacing w:line="360" w:lineRule="auto"/>
        <w:jc w:val="both"/>
        <w:rPr>
          <w:rFonts w:ascii="Palatino Linotype" w:hAnsi="Palatino Linotype" w:cs="Tahoma"/>
          <w:b/>
          <w:sz w:val="22"/>
          <w:szCs w:val="22"/>
        </w:rPr>
      </w:pPr>
    </w:p>
    <w:p w14:paraId="225B3857" w14:textId="77777777" w:rsidR="003341D9" w:rsidRDefault="003341D9" w:rsidP="007479DD">
      <w:pPr>
        <w:autoSpaceDE w:val="0"/>
        <w:autoSpaceDN w:val="0"/>
        <w:adjustRightInd w:val="0"/>
        <w:spacing w:line="360" w:lineRule="auto"/>
        <w:jc w:val="both"/>
        <w:rPr>
          <w:rFonts w:ascii="Palatino Linotype" w:hAnsi="Palatino Linotype" w:cs="Tahoma"/>
          <w:b/>
          <w:sz w:val="22"/>
          <w:szCs w:val="22"/>
        </w:rPr>
      </w:pPr>
    </w:p>
    <w:p w14:paraId="56743447" w14:textId="73D7EA20" w:rsidR="00587F23"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lastRenderedPageBreak/>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01A6589" w14:textId="77777777" w:rsidR="003341D9" w:rsidRDefault="003341D9" w:rsidP="007479DD">
      <w:pPr>
        <w:autoSpaceDE w:val="0"/>
        <w:autoSpaceDN w:val="0"/>
        <w:adjustRightInd w:val="0"/>
        <w:spacing w:line="360" w:lineRule="auto"/>
        <w:jc w:val="both"/>
        <w:rPr>
          <w:rFonts w:ascii="Palatino Linotype" w:hAnsi="Palatino Linotype" w:cs="Tahoma"/>
          <w:sz w:val="22"/>
          <w:szCs w:val="22"/>
        </w:rPr>
      </w:pPr>
    </w:p>
    <w:p w14:paraId="56743449" w14:textId="06F917CE" w:rsidR="00806144" w:rsidRPr="006A36F7" w:rsidRDefault="00E15208" w:rsidP="007479DD">
      <w:pPr>
        <w:autoSpaceDE w:val="0"/>
        <w:autoSpaceDN w:val="0"/>
        <w:adjustRightInd w:val="0"/>
        <w:spacing w:line="360" w:lineRule="auto"/>
        <w:jc w:val="both"/>
        <w:rPr>
          <w:rFonts w:ascii="Palatino Linotype" w:hAnsi="Palatino Linotype" w:cs="Tahoma"/>
          <w:sz w:val="22"/>
          <w:szCs w:val="22"/>
        </w:rPr>
      </w:pPr>
      <w:r w:rsidRPr="00E35344">
        <w:rPr>
          <w:rFonts w:ascii="Palatino Linotype" w:hAnsi="Palatino Linotype" w:cs="Tahoma"/>
          <w:sz w:val="22"/>
          <w:szCs w:val="22"/>
        </w:rPr>
        <w:t>El</w:t>
      </w:r>
      <w:r w:rsidR="00806144" w:rsidRPr="00E35344">
        <w:rPr>
          <w:rFonts w:ascii="Palatino Linotype" w:hAnsi="Palatino Linotype" w:cs="Tahoma"/>
          <w:sz w:val="22"/>
          <w:szCs w:val="22"/>
        </w:rPr>
        <w:t xml:space="preserve"> </w:t>
      </w:r>
      <w:r w:rsidR="00E35344" w:rsidRPr="00E35344">
        <w:rPr>
          <w:rFonts w:ascii="Palatino Linotype" w:hAnsi="Palatino Linotype" w:cs="Tahoma"/>
          <w:sz w:val="22"/>
          <w:szCs w:val="22"/>
        </w:rPr>
        <w:t>veintinueve</w:t>
      </w:r>
      <w:r w:rsidR="00C5377A" w:rsidRPr="00E35344">
        <w:rPr>
          <w:rFonts w:ascii="Palatino Linotype" w:hAnsi="Palatino Linotype" w:cs="Tahoma"/>
          <w:sz w:val="22"/>
          <w:szCs w:val="22"/>
        </w:rPr>
        <w:t xml:space="preserve"> de abril</w:t>
      </w:r>
      <w:r w:rsidR="00BC6175" w:rsidRPr="00E35344">
        <w:rPr>
          <w:rFonts w:ascii="Palatino Linotype" w:hAnsi="Palatino Linotype" w:cs="Tahoma"/>
          <w:sz w:val="22"/>
          <w:szCs w:val="22"/>
        </w:rPr>
        <w:t xml:space="preserve"> de dos mil diecinueve</w:t>
      </w:r>
      <w:r w:rsidR="00806144" w:rsidRPr="00E35344">
        <w:rPr>
          <w:rFonts w:ascii="Palatino Linotype" w:hAnsi="Palatino Linotype" w:cs="Tahoma"/>
          <w:sz w:val="22"/>
          <w:szCs w:val="22"/>
        </w:rPr>
        <w:t>, se</w:t>
      </w:r>
      <w:r w:rsidR="00806144" w:rsidRPr="006A36F7">
        <w:rPr>
          <w:rFonts w:ascii="Palatino Linotype" w:hAnsi="Palatino Linotype" w:cs="Tahoma"/>
          <w:sz w:val="22"/>
          <w:szCs w:val="22"/>
        </w:rPr>
        <w:t xml:space="preserv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p>
    <w:p w14:paraId="2279A897" w14:textId="77777777" w:rsidR="00FB401D" w:rsidRDefault="00FB401D" w:rsidP="007479DD">
      <w:pPr>
        <w:tabs>
          <w:tab w:val="left" w:pos="4667"/>
        </w:tabs>
        <w:spacing w:line="360" w:lineRule="auto"/>
        <w:ind w:left="567" w:right="567"/>
        <w:jc w:val="both"/>
        <w:rPr>
          <w:rFonts w:ascii="Palatino Linotype" w:hAnsi="Palatino Linotype" w:cs="Tahoma"/>
          <w:b/>
          <w:bCs/>
          <w:sz w:val="22"/>
          <w:szCs w:val="22"/>
          <w:lang w:val="es-MX"/>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0DC512B9" w:rsidR="00152B91" w:rsidRPr="00FD3CA0" w:rsidRDefault="002635FF" w:rsidP="00152B91">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r w:rsidRPr="00FD3CA0">
        <w:rPr>
          <w:rFonts w:ascii="Palatino Linotype" w:eastAsiaTheme="minorHAnsi" w:hAnsi="Palatino Linotype" w:cs="Tahoma"/>
          <w:i/>
          <w:szCs w:val="22"/>
          <w:lang w:val="es-MX" w:eastAsia="en-US"/>
        </w:rPr>
        <w:t>“</w:t>
      </w:r>
      <w:r w:rsidR="00E03DC1" w:rsidRPr="00FD3CA0">
        <w:rPr>
          <w:rFonts w:ascii="Palatino Linotype" w:eastAsiaTheme="minorHAnsi" w:hAnsi="Palatino Linotype" w:cs="Tahoma"/>
          <w:i/>
          <w:szCs w:val="22"/>
          <w:lang w:val="es-MX" w:eastAsia="en-US"/>
        </w:rPr>
        <w:t>La respuesta enviada consistente en la Cédula de la Evaluación del servicio para usuarios virtuales con solicitudes de información pública, contenida en el documento Cédula de Evaluación 003672019.docx</w:t>
      </w:r>
      <w:r w:rsidR="0092244A" w:rsidRPr="00FD3CA0">
        <w:rPr>
          <w:rFonts w:ascii="Palatino Linotype" w:eastAsiaTheme="minorHAnsi" w:hAnsi="Palatino Linotype" w:cs="Tahoma"/>
          <w:i/>
          <w:szCs w:val="22"/>
          <w:lang w:val="es-MX" w:eastAsia="en-US"/>
        </w:rPr>
        <w:t>.</w:t>
      </w:r>
      <w:r w:rsidR="00A438FB" w:rsidRPr="00FD3CA0">
        <w:rPr>
          <w:rFonts w:ascii="Palatino Linotype" w:eastAsiaTheme="minorHAnsi" w:hAnsi="Palatino Linotype" w:cs="Tahoma"/>
          <w:i/>
          <w:szCs w:val="22"/>
          <w:lang w:val="es-MX" w:eastAsia="en-US"/>
        </w:rPr>
        <w:t>”</w:t>
      </w:r>
    </w:p>
    <w:p w14:paraId="5674344D" w14:textId="77777777" w:rsidR="00A438FB" w:rsidRPr="00375523" w:rsidRDefault="00A438FB" w:rsidP="00152B91">
      <w:pPr>
        <w:autoSpaceDE w:val="0"/>
        <w:autoSpaceDN w:val="0"/>
        <w:adjustRightInd w:val="0"/>
        <w:spacing w:line="360" w:lineRule="auto"/>
        <w:ind w:left="567" w:right="567"/>
        <w:jc w:val="both"/>
        <w:rPr>
          <w:rFonts w:ascii="Palatino Linotype" w:hAnsi="Palatino Linotype" w:cs="Tahoma"/>
          <w:sz w:val="16"/>
          <w:szCs w:val="22"/>
        </w:rPr>
      </w:pPr>
    </w:p>
    <w:p w14:paraId="5674344E" w14:textId="77777777" w:rsidR="00C25238" w:rsidRPr="006A36F7"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02193281" w14:textId="77777777" w:rsidR="00FD3CA0" w:rsidRPr="00375523" w:rsidRDefault="00FD3CA0" w:rsidP="00C4254F">
      <w:pPr>
        <w:spacing w:line="360" w:lineRule="auto"/>
        <w:ind w:left="567" w:right="539"/>
        <w:jc w:val="both"/>
        <w:rPr>
          <w:rFonts w:ascii="Palatino Linotype" w:hAnsi="Palatino Linotype"/>
          <w:i/>
          <w:color w:val="000000"/>
          <w:sz w:val="14"/>
        </w:rPr>
      </w:pPr>
    </w:p>
    <w:p w14:paraId="56285057" w14:textId="06F3DC06" w:rsidR="00C4254F" w:rsidRDefault="00C4254F" w:rsidP="00C4254F">
      <w:pPr>
        <w:spacing w:line="360" w:lineRule="auto"/>
        <w:ind w:left="567" w:right="539"/>
        <w:jc w:val="both"/>
        <w:rPr>
          <w:rFonts w:ascii="Palatino Linotype" w:hAnsi="Palatino Linotype"/>
          <w:i/>
          <w:color w:val="000000"/>
        </w:rPr>
      </w:pPr>
      <w:r w:rsidRPr="00FD3CA0">
        <w:rPr>
          <w:rFonts w:ascii="Palatino Linotype" w:hAnsi="Palatino Linotype"/>
          <w:i/>
          <w:color w:val="000000"/>
        </w:rPr>
        <w:t>“</w:t>
      </w:r>
      <w:r w:rsidR="00E03DC1" w:rsidRPr="00FD3CA0">
        <w:rPr>
          <w:rFonts w:ascii="Palatino Linotype" w:hAnsi="Palatino Linotype"/>
          <w:i/>
          <w:color w:val="000000"/>
        </w:rPr>
        <w:t xml:space="preserve">El sujeto obligado respondió enviando la Cédula de evaluación 003672019.docx, que contiene la cédula de evaluación del servicio para usuarios virtuales con solicitudes de información pública; pero de ninguna manera dio a conocer la información solicitada consistente en el monto y destino de los recursos obtenidos por la rifa organizada por la Dirección del Centro Universitario UAEM Valle de Chalco, en diciembre de 2017 repecto a una motocicleta marca Harley Davidson. </w:t>
      </w:r>
      <w:r w:rsidRPr="00FD3CA0">
        <w:rPr>
          <w:rFonts w:ascii="Palatino Linotype" w:hAnsi="Palatino Linotype"/>
          <w:i/>
          <w:color w:val="000000"/>
        </w:rPr>
        <w:t>“</w:t>
      </w:r>
    </w:p>
    <w:p w14:paraId="1BB3357D" w14:textId="77777777" w:rsidR="00FD3CA0" w:rsidRPr="00375523" w:rsidRDefault="00FD3CA0" w:rsidP="00C4254F">
      <w:pPr>
        <w:spacing w:line="360" w:lineRule="auto"/>
        <w:ind w:left="567" w:right="539"/>
        <w:jc w:val="both"/>
        <w:rPr>
          <w:rFonts w:ascii="Palatino Linotype" w:hAnsi="Palatino Linotype"/>
          <w:i/>
          <w:color w:val="000000"/>
          <w:sz w:val="12"/>
        </w:rPr>
      </w:pPr>
    </w:p>
    <w:p w14:paraId="56743451" w14:textId="01DEA9E4" w:rsidR="00B31222" w:rsidRPr="006A36F7"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375523" w:rsidRDefault="00E445DA" w:rsidP="007479DD">
      <w:pPr>
        <w:spacing w:line="360" w:lineRule="auto"/>
        <w:jc w:val="both"/>
        <w:rPr>
          <w:rFonts w:ascii="Palatino Linotype" w:eastAsia="Batang" w:hAnsi="Palatino Linotype" w:cs="Tahoma"/>
          <w:b/>
          <w:bCs/>
          <w:sz w:val="14"/>
          <w:szCs w:val="22"/>
        </w:rPr>
      </w:pPr>
    </w:p>
    <w:p w14:paraId="56743453" w14:textId="73294231"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FD3CA0">
        <w:rPr>
          <w:rFonts w:ascii="Palatino Linotype" w:eastAsia="Batang" w:hAnsi="Palatino Linotype" w:cs="Tahoma"/>
          <w:bCs/>
          <w:sz w:val="22"/>
          <w:szCs w:val="22"/>
          <w:lang w:val="es-MX"/>
        </w:rPr>
        <w:t xml:space="preserve">El </w:t>
      </w:r>
      <w:r w:rsidR="00C5377A" w:rsidRPr="00FD3CA0">
        <w:rPr>
          <w:rFonts w:ascii="Palatino Linotype" w:eastAsia="Batang" w:hAnsi="Palatino Linotype" w:cs="Tahoma"/>
          <w:bCs/>
          <w:sz w:val="22"/>
          <w:szCs w:val="22"/>
          <w:lang w:val="es-MX"/>
        </w:rPr>
        <w:t>veinti</w:t>
      </w:r>
      <w:r w:rsidR="00C4254F" w:rsidRPr="00FD3CA0">
        <w:rPr>
          <w:rFonts w:ascii="Palatino Linotype" w:eastAsia="Batang" w:hAnsi="Palatino Linotype" w:cs="Tahoma"/>
          <w:bCs/>
          <w:sz w:val="22"/>
          <w:szCs w:val="22"/>
          <w:lang w:val="es-MX"/>
        </w:rPr>
        <w:t>siete</w:t>
      </w:r>
      <w:r w:rsidR="0092244A" w:rsidRPr="00FD3CA0">
        <w:rPr>
          <w:rFonts w:ascii="Palatino Linotype" w:eastAsia="Batang" w:hAnsi="Palatino Linotype" w:cs="Tahoma"/>
          <w:bCs/>
          <w:sz w:val="22"/>
          <w:szCs w:val="22"/>
          <w:lang w:val="es-MX"/>
        </w:rPr>
        <w:t xml:space="preserve"> de abril </w:t>
      </w:r>
      <w:r w:rsidR="00BC6175" w:rsidRPr="00FD3CA0">
        <w:rPr>
          <w:rFonts w:ascii="Palatino Linotype" w:eastAsia="Batang" w:hAnsi="Palatino Linotype" w:cs="Tahoma"/>
          <w:bCs/>
          <w:sz w:val="22"/>
          <w:szCs w:val="22"/>
          <w:lang w:val="es-MX"/>
        </w:rPr>
        <w:t>de dos</w:t>
      </w:r>
      <w:r w:rsidR="00BC6175" w:rsidRPr="006A36F7">
        <w:rPr>
          <w:rFonts w:ascii="Palatino Linotype" w:eastAsia="Batang" w:hAnsi="Palatino Linotype" w:cs="Tahoma"/>
          <w:bCs/>
          <w:sz w:val="22"/>
          <w:szCs w:val="22"/>
          <w:lang w:val="es-MX"/>
        </w:rPr>
        <w:t xml:space="preserve"> mil diecinueve</w:t>
      </w:r>
      <w:r w:rsidR="00B31222" w:rsidRPr="006A36F7">
        <w:rPr>
          <w:rFonts w:ascii="Palatino Linotype" w:eastAsia="Batang" w:hAnsi="Palatino Linotype" w:cs="Tahoma"/>
          <w:bCs/>
          <w:sz w:val="22"/>
          <w:szCs w:val="22"/>
          <w:lang w:val="es-MX"/>
        </w:rPr>
        <w:t xml:space="preserve">, este Instituto asignó el número de </w:t>
      </w:r>
      <w:r w:rsidR="00B31222" w:rsidRPr="00FD3CA0">
        <w:rPr>
          <w:rFonts w:ascii="Palatino Linotype" w:eastAsia="Batang" w:hAnsi="Palatino Linotype" w:cs="Tahoma"/>
          <w:bCs/>
          <w:sz w:val="22"/>
          <w:szCs w:val="22"/>
          <w:lang w:val="es-MX"/>
        </w:rPr>
        <w:t xml:space="preserve">expediente </w:t>
      </w:r>
      <w:r w:rsidR="003A15D6" w:rsidRPr="00FD3CA0">
        <w:rPr>
          <w:rFonts w:ascii="Palatino Linotype" w:eastAsia="Calibri" w:hAnsi="Palatino Linotype" w:cs="Tahoma"/>
          <w:b/>
          <w:bCs/>
          <w:sz w:val="22"/>
          <w:szCs w:val="22"/>
          <w:lang w:eastAsia="en-US"/>
        </w:rPr>
        <w:t>0</w:t>
      </w:r>
      <w:r w:rsidR="00C4254F" w:rsidRPr="00FD3CA0">
        <w:rPr>
          <w:rFonts w:ascii="Palatino Linotype" w:eastAsia="Calibri" w:hAnsi="Palatino Linotype" w:cs="Tahoma"/>
          <w:b/>
          <w:bCs/>
          <w:sz w:val="22"/>
          <w:szCs w:val="22"/>
          <w:lang w:eastAsia="en-US"/>
        </w:rPr>
        <w:t>3191</w:t>
      </w:r>
      <w:r w:rsidR="003A15D6" w:rsidRPr="00FD3CA0">
        <w:rPr>
          <w:rFonts w:ascii="Palatino Linotype" w:eastAsia="Calibri" w:hAnsi="Palatino Linotype" w:cs="Tahoma"/>
          <w:b/>
          <w:bCs/>
          <w:sz w:val="22"/>
          <w:szCs w:val="22"/>
          <w:lang w:eastAsia="en-US"/>
        </w:rPr>
        <w:t xml:space="preserve">/INFOEM/IP/RR/2019 </w:t>
      </w:r>
      <w:r w:rsidR="00D26AE1" w:rsidRPr="00FD3CA0">
        <w:rPr>
          <w:rFonts w:ascii="Palatino Linotype" w:eastAsia="Batang" w:hAnsi="Palatino Linotype" w:cs="Tahoma"/>
          <w:bCs/>
          <w:sz w:val="22"/>
          <w:szCs w:val="22"/>
          <w:lang w:val="es-MX"/>
        </w:rPr>
        <w:t>al</w:t>
      </w:r>
      <w:r w:rsidR="00D26AE1" w:rsidRPr="006A36F7">
        <w:rPr>
          <w:rFonts w:ascii="Palatino Linotype" w:eastAsia="Batang" w:hAnsi="Palatino Linotype" w:cs="Tahoma"/>
          <w:bCs/>
          <w:sz w:val="22"/>
          <w:szCs w:val="22"/>
          <w:lang w:val="es-MX"/>
        </w:rPr>
        <w:t xml:space="preserve"> Recurso de R</w:t>
      </w:r>
      <w:r w:rsidR="00B31222" w:rsidRPr="006A36F7">
        <w:rPr>
          <w:rFonts w:ascii="Palatino Linotype" w:eastAsia="Batang" w:hAnsi="Palatino Linotype" w:cs="Tahoma"/>
          <w:bCs/>
          <w:sz w:val="22"/>
          <w:szCs w:val="22"/>
          <w:lang w:val="es-MX"/>
        </w:rPr>
        <w:t xml:space="preserve">evisión, con base 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375523" w:rsidRDefault="00B31222" w:rsidP="007479DD">
      <w:pPr>
        <w:spacing w:line="360" w:lineRule="auto"/>
        <w:jc w:val="both"/>
        <w:rPr>
          <w:rFonts w:ascii="Palatino Linotype" w:eastAsia="Batang" w:hAnsi="Palatino Linotype" w:cs="Tahoma"/>
          <w:b/>
          <w:bCs/>
          <w:sz w:val="16"/>
          <w:szCs w:val="22"/>
        </w:rPr>
      </w:pPr>
    </w:p>
    <w:p w14:paraId="56743455" w14:textId="3696C432" w:rsidR="006877F1" w:rsidRPr="006A36F7" w:rsidRDefault="00625DFB" w:rsidP="006877F1">
      <w:pPr>
        <w:spacing w:line="360" w:lineRule="auto"/>
        <w:jc w:val="both"/>
        <w:rPr>
          <w:rFonts w:ascii="Palatino Linotype" w:hAnsi="Palatino Linotype" w:cs="Tahoma"/>
          <w:bCs/>
          <w:sz w:val="22"/>
          <w:szCs w:val="22"/>
          <w:lang w:val="es-MX"/>
        </w:rPr>
      </w:pPr>
      <w:r w:rsidRPr="006A36F7">
        <w:rPr>
          <w:rFonts w:ascii="Palatino Linotype" w:eastAsia="Batang" w:hAnsi="Palatino Linotype" w:cs="Tahoma"/>
          <w:b/>
          <w:bCs/>
          <w:sz w:val="22"/>
          <w:szCs w:val="22"/>
        </w:rPr>
        <w:lastRenderedPageBreak/>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C4254F" w:rsidRPr="001B6804">
        <w:rPr>
          <w:rFonts w:ascii="Palatino Linotype" w:eastAsia="Batang" w:hAnsi="Palatino Linotype" w:cs="Tahoma"/>
          <w:bCs/>
          <w:sz w:val="22"/>
          <w:szCs w:val="22"/>
          <w:lang w:val="es-ES_tradnl"/>
        </w:rPr>
        <w:t>siete de mayo</w:t>
      </w:r>
      <w:r w:rsidR="0067655F" w:rsidRPr="001B6804">
        <w:rPr>
          <w:rFonts w:ascii="Palatino Linotype" w:eastAsia="Batang" w:hAnsi="Palatino Linotype" w:cs="Tahoma"/>
          <w:bCs/>
          <w:sz w:val="22"/>
          <w:szCs w:val="22"/>
          <w:lang w:val="es-ES_tradnl"/>
        </w:rPr>
        <w:t xml:space="preserve"> </w:t>
      </w:r>
      <w:r w:rsidR="00BC6175" w:rsidRPr="001B6804">
        <w:rPr>
          <w:rFonts w:ascii="Palatino Linotype" w:eastAsia="Batang" w:hAnsi="Palatino Linotype" w:cs="Tahoma"/>
          <w:bCs/>
          <w:sz w:val="22"/>
          <w:szCs w:val="22"/>
          <w:lang w:val="es-MX"/>
        </w:rPr>
        <w:t>de dos mil diecinueve</w:t>
      </w:r>
      <w:r w:rsidR="00B31222" w:rsidRPr="006A36F7">
        <w:rPr>
          <w:rFonts w:ascii="Palatino Linotype" w:eastAsia="Batang" w:hAnsi="Palatino Linotype" w:cs="Tahoma"/>
          <w:bCs/>
          <w:sz w:val="22"/>
          <w:szCs w:val="22"/>
          <w:lang w:val="es-ES_tradnl"/>
        </w:rPr>
        <w:t xml:space="preserve">, </w:t>
      </w:r>
      <w:r w:rsidR="009F46DC" w:rsidRPr="006A36F7">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 xml:space="preserve">evisión interpuesto por la parte recurrente en contra </w:t>
      </w:r>
      <w:r w:rsidR="005F3F8B" w:rsidRPr="006A36F7">
        <w:rPr>
          <w:rFonts w:ascii="Palatino Linotype" w:hAnsi="Palatino Linotype" w:cs="Tahoma"/>
          <w:sz w:val="22"/>
          <w:szCs w:val="22"/>
        </w:rPr>
        <w:t>de</w:t>
      </w:r>
      <w:r w:rsidR="0067655F">
        <w:rPr>
          <w:rFonts w:ascii="Palatino Linotype" w:hAnsi="Palatino Linotype" w:cs="Tahoma"/>
          <w:sz w:val="22"/>
          <w:szCs w:val="22"/>
        </w:rPr>
        <w:t xml:space="preserve">l </w:t>
      </w:r>
      <w:r w:rsidR="00C4254F" w:rsidRPr="001B6804">
        <w:rPr>
          <w:rFonts w:ascii="Palatino Linotype" w:hAnsi="Palatino Linotype" w:cs="Tahoma"/>
          <w:sz w:val="22"/>
          <w:szCs w:val="22"/>
        </w:rPr>
        <w:t>Universidad Autónoma del Estado de México</w:t>
      </w:r>
      <w:r w:rsidR="009F46DC" w:rsidRPr="001B6804">
        <w:rPr>
          <w:rFonts w:ascii="Palatino Linotype" w:hAnsi="Palatino Linotype" w:cs="Tahoma"/>
          <w:sz w:val="22"/>
          <w:szCs w:val="22"/>
        </w:rPr>
        <w:t>, en</w:t>
      </w:r>
      <w:r w:rsidR="009F46DC" w:rsidRPr="006A36F7">
        <w:rPr>
          <w:rFonts w:ascii="Palatino Linotype" w:hAnsi="Palatino Linotype" w:cs="Tahoma"/>
          <w:sz w:val="22"/>
          <w:szCs w:val="22"/>
        </w:rPr>
        <w:t xml:space="preserve">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30457954" w14:textId="77777777" w:rsidR="00FB401D" w:rsidRDefault="00FB401D" w:rsidP="0092244A">
      <w:pPr>
        <w:spacing w:line="360" w:lineRule="auto"/>
        <w:jc w:val="both"/>
        <w:rPr>
          <w:rFonts w:ascii="Palatino Linotype" w:hAnsi="Palatino Linotype" w:cs="Tahoma"/>
          <w:b/>
          <w:sz w:val="22"/>
          <w:szCs w:val="22"/>
        </w:rPr>
      </w:pPr>
    </w:p>
    <w:p w14:paraId="4357D6F0" w14:textId="42421404" w:rsidR="0092244A" w:rsidRDefault="00581D41" w:rsidP="0092244A">
      <w:pPr>
        <w:spacing w:line="360" w:lineRule="auto"/>
        <w:jc w:val="both"/>
        <w:rPr>
          <w:rFonts w:ascii="Palatino Linotype" w:hAnsi="Palatino Linotype" w:cs="Tahoma"/>
          <w:sz w:val="22"/>
          <w:szCs w:val="22"/>
        </w:rPr>
      </w:pPr>
      <w:r w:rsidRPr="0067655F">
        <w:rPr>
          <w:rFonts w:ascii="Palatino Linotype" w:hAnsi="Palatino Linotype" w:cs="Tahoma"/>
          <w:b/>
          <w:sz w:val="22"/>
          <w:szCs w:val="22"/>
        </w:rPr>
        <w:t>c)</w:t>
      </w:r>
      <w:r w:rsidR="00565C0E" w:rsidRPr="0067655F">
        <w:rPr>
          <w:rFonts w:ascii="Palatino Linotype" w:hAnsi="Palatino Linotype" w:cs="Tahoma"/>
          <w:b/>
          <w:sz w:val="22"/>
          <w:szCs w:val="22"/>
        </w:rPr>
        <w:t xml:space="preserve"> </w:t>
      </w:r>
      <w:r w:rsidR="00BC6175" w:rsidRPr="0067655F">
        <w:rPr>
          <w:rFonts w:ascii="Palatino Linotype" w:hAnsi="Palatino Linotype" w:cs="Tahoma"/>
          <w:b/>
          <w:sz w:val="22"/>
          <w:szCs w:val="22"/>
        </w:rPr>
        <w:t>Informe Justificado</w:t>
      </w:r>
      <w:r w:rsidR="001B6804">
        <w:rPr>
          <w:rFonts w:ascii="Palatino Linotype" w:hAnsi="Palatino Linotype" w:cs="Tahoma"/>
          <w:b/>
          <w:sz w:val="22"/>
          <w:szCs w:val="22"/>
        </w:rPr>
        <w:t>.</w:t>
      </w:r>
      <w:r w:rsidR="001B6804">
        <w:rPr>
          <w:rFonts w:ascii="Palatino Linotype" w:hAnsi="Palatino Linotype" w:cs="Tahoma"/>
          <w:sz w:val="22"/>
          <w:szCs w:val="22"/>
        </w:rPr>
        <w:t xml:space="preserve"> El catorce de mayo del año en curso, el Sujeto Obligado rindió su Informe Justificado en los siguientes términos: </w:t>
      </w:r>
    </w:p>
    <w:p w14:paraId="790F4110" w14:textId="77777777" w:rsidR="003341D9" w:rsidRDefault="003341D9" w:rsidP="0092244A">
      <w:pPr>
        <w:spacing w:line="360" w:lineRule="auto"/>
        <w:jc w:val="both"/>
        <w:rPr>
          <w:rFonts w:ascii="Palatino Linotype" w:hAnsi="Palatino Linotype" w:cs="Tahoma"/>
          <w:sz w:val="22"/>
          <w:szCs w:val="22"/>
        </w:rPr>
      </w:pPr>
    </w:p>
    <w:p w14:paraId="607FAC03" w14:textId="77777777" w:rsidR="003341D9" w:rsidRDefault="003341D9" w:rsidP="0092244A">
      <w:pPr>
        <w:spacing w:line="360" w:lineRule="auto"/>
        <w:jc w:val="both"/>
        <w:rPr>
          <w:rFonts w:ascii="Palatino Linotype" w:hAnsi="Palatino Linotype" w:cs="Tahoma"/>
          <w:sz w:val="22"/>
          <w:szCs w:val="22"/>
        </w:rPr>
      </w:pPr>
    </w:p>
    <w:p w14:paraId="27ACF5B0" w14:textId="4B322EAB" w:rsidR="001B6804" w:rsidRDefault="001B6804" w:rsidP="001B6804">
      <w:pPr>
        <w:spacing w:line="360" w:lineRule="auto"/>
        <w:jc w:val="center"/>
        <w:rPr>
          <w:rFonts w:ascii="Palatino Linotype" w:hAnsi="Palatino Linotype" w:cs="Tahoma"/>
          <w:b/>
          <w:sz w:val="22"/>
          <w:szCs w:val="22"/>
        </w:rPr>
      </w:pPr>
      <w:r w:rsidRPr="001B6804">
        <w:rPr>
          <w:rFonts w:ascii="Palatino Linotype" w:hAnsi="Palatino Linotype" w:cs="Tahoma"/>
          <w:b/>
          <w:noProof/>
          <w:sz w:val="22"/>
          <w:szCs w:val="22"/>
          <w:lang w:val="es-MX" w:eastAsia="es-MX"/>
        </w:rPr>
        <w:drawing>
          <wp:inline distT="0" distB="0" distL="0" distR="0" wp14:anchorId="01A247C2" wp14:editId="4EB10B67">
            <wp:extent cx="5712428" cy="204089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517" cy="2106303"/>
                    </a:xfrm>
                    <a:prstGeom prst="rect">
                      <a:avLst/>
                    </a:prstGeom>
                    <a:noFill/>
                    <a:ln>
                      <a:noFill/>
                    </a:ln>
                  </pic:spPr>
                </pic:pic>
              </a:graphicData>
            </a:graphic>
          </wp:inline>
        </w:drawing>
      </w:r>
    </w:p>
    <w:p w14:paraId="3D51CC11" w14:textId="77777777" w:rsidR="00FB401D" w:rsidRDefault="00FB401D" w:rsidP="001B6804">
      <w:pPr>
        <w:spacing w:line="360" w:lineRule="auto"/>
        <w:jc w:val="center"/>
        <w:rPr>
          <w:rFonts w:ascii="Palatino Linotype" w:hAnsi="Palatino Linotype" w:cs="Tahoma"/>
          <w:b/>
          <w:sz w:val="22"/>
          <w:szCs w:val="22"/>
        </w:rPr>
      </w:pPr>
    </w:p>
    <w:p w14:paraId="060E731C" w14:textId="77777777" w:rsidR="00FB401D" w:rsidRDefault="00FB401D" w:rsidP="001B6804">
      <w:pPr>
        <w:spacing w:line="360" w:lineRule="auto"/>
        <w:jc w:val="center"/>
        <w:rPr>
          <w:rFonts w:ascii="Palatino Linotype" w:hAnsi="Palatino Linotype" w:cs="Tahoma"/>
          <w:b/>
          <w:sz w:val="22"/>
          <w:szCs w:val="22"/>
        </w:rPr>
      </w:pPr>
    </w:p>
    <w:p w14:paraId="73629EDC" w14:textId="77777777" w:rsidR="00FB401D" w:rsidRDefault="00FB401D" w:rsidP="001B6804">
      <w:pPr>
        <w:spacing w:line="360" w:lineRule="auto"/>
        <w:jc w:val="center"/>
        <w:rPr>
          <w:rFonts w:ascii="Palatino Linotype" w:hAnsi="Palatino Linotype" w:cs="Tahoma"/>
          <w:b/>
          <w:sz w:val="22"/>
          <w:szCs w:val="22"/>
        </w:rPr>
      </w:pPr>
    </w:p>
    <w:p w14:paraId="297545C6" w14:textId="77777777" w:rsidR="00FB401D" w:rsidRDefault="00FB401D" w:rsidP="001B6804">
      <w:pPr>
        <w:spacing w:line="360" w:lineRule="auto"/>
        <w:jc w:val="center"/>
        <w:rPr>
          <w:rFonts w:ascii="Palatino Linotype" w:hAnsi="Palatino Linotype" w:cs="Tahoma"/>
          <w:b/>
          <w:sz w:val="22"/>
          <w:szCs w:val="22"/>
        </w:rPr>
      </w:pPr>
    </w:p>
    <w:p w14:paraId="13028D7B" w14:textId="77777777" w:rsidR="00FB401D" w:rsidRDefault="00FB401D" w:rsidP="001B6804">
      <w:pPr>
        <w:spacing w:line="360" w:lineRule="auto"/>
        <w:jc w:val="center"/>
        <w:rPr>
          <w:rFonts w:ascii="Palatino Linotype" w:hAnsi="Palatino Linotype" w:cs="Tahoma"/>
          <w:b/>
          <w:sz w:val="22"/>
          <w:szCs w:val="22"/>
        </w:rPr>
      </w:pPr>
    </w:p>
    <w:p w14:paraId="63FA6546" w14:textId="77777777" w:rsidR="00FB401D" w:rsidRDefault="00FB401D" w:rsidP="001B6804">
      <w:pPr>
        <w:spacing w:line="360" w:lineRule="auto"/>
        <w:jc w:val="center"/>
        <w:rPr>
          <w:rFonts w:ascii="Palatino Linotype" w:hAnsi="Palatino Linotype" w:cs="Tahoma"/>
          <w:b/>
          <w:sz w:val="22"/>
          <w:szCs w:val="22"/>
        </w:rPr>
      </w:pPr>
    </w:p>
    <w:p w14:paraId="12A1553D" w14:textId="4B02900C" w:rsidR="001B6804" w:rsidRDefault="001B6804" w:rsidP="00F666A0">
      <w:pPr>
        <w:spacing w:line="360" w:lineRule="auto"/>
        <w:jc w:val="center"/>
        <w:rPr>
          <w:rFonts w:ascii="Palatino Linotype" w:hAnsi="Palatino Linotype" w:cs="Tahoma"/>
          <w:b/>
          <w:sz w:val="22"/>
          <w:szCs w:val="22"/>
        </w:rPr>
      </w:pPr>
      <w:r w:rsidRPr="001B6804">
        <w:rPr>
          <w:rFonts w:ascii="Palatino Linotype" w:hAnsi="Palatino Linotype" w:cs="Tahoma"/>
          <w:b/>
          <w:noProof/>
          <w:sz w:val="22"/>
          <w:szCs w:val="22"/>
          <w:lang w:val="es-MX" w:eastAsia="es-MX"/>
        </w:rPr>
        <w:drawing>
          <wp:inline distT="0" distB="0" distL="0" distR="0" wp14:anchorId="16D9574E" wp14:editId="13643FDA">
            <wp:extent cx="5803265" cy="6384472"/>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3142" cy="6428343"/>
                    </a:xfrm>
                    <a:prstGeom prst="rect">
                      <a:avLst/>
                    </a:prstGeom>
                    <a:noFill/>
                    <a:ln>
                      <a:noFill/>
                    </a:ln>
                  </pic:spPr>
                </pic:pic>
              </a:graphicData>
            </a:graphic>
          </wp:inline>
        </w:drawing>
      </w:r>
    </w:p>
    <w:p w14:paraId="5E05EB57" w14:textId="3CD77426" w:rsidR="001D4076" w:rsidRDefault="001D4076" w:rsidP="00F666A0">
      <w:pPr>
        <w:spacing w:line="360" w:lineRule="auto"/>
        <w:jc w:val="center"/>
        <w:rPr>
          <w:rFonts w:ascii="Palatino Linotype" w:hAnsi="Palatino Linotype" w:cs="Tahoma"/>
          <w:b/>
          <w:sz w:val="22"/>
          <w:szCs w:val="22"/>
        </w:rPr>
      </w:pPr>
      <w:r w:rsidRPr="001D4076">
        <w:rPr>
          <w:rFonts w:ascii="Palatino Linotype" w:hAnsi="Palatino Linotype" w:cs="Tahoma"/>
          <w:b/>
          <w:noProof/>
          <w:sz w:val="22"/>
          <w:szCs w:val="22"/>
          <w:lang w:val="es-MX" w:eastAsia="es-MX"/>
        </w:rPr>
        <w:lastRenderedPageBreak/>
        <w:drawing>
          <wp:inline distT="0" distB="0" distL="0" distR="0" wp14:anchorId="0CC7F103" wp14:editId="2B569D44">
            <wp:extent cx="4646389" cy="5715000"/>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8111" cy="5729418"/>
                    </a:xfrm>
                    <a:prstGeom prst="rect">
                      <a:avLst/>
                    </a:prstGeom>
                    <a:noFill/>
                    <a:ln>
                      <a:noFill/>
                    </a:ln>
                  </pic:spPr>
                </pic:pic>
              </a:graphicData>
            </a:graphic>
          </wp:inline>
        </w:drawing>
      </w:r>
    </w:p>
    <w:p w14:paraId="4E8AE1D2" w14:textId="67893251" w:rsidR="001D4076" w:rsidRDefault="001D4076" w:rsidP="00F666A0">
      <w:pPr>
        <w:spacing w:line="360" w:lineRule="auto"/>
        <w:jc w:val="center"/>
        <w:rPr>
          <w:rFonts w:ascii="Palatino Linotype" w:hAnsi="Palatino Linotype" w:cs="Tahoma"/>
          <w:b/>
          <w:sz w:val="22"/>
          <w:szCs w:val="22"/>
        </w:rPr>
      </w:pPr>
      <w:r w:rsidRPr="001D4076">
        <w:rPr>
          <w:rFonts w:ascii="Palatino Linotype" w:hAnsi="Palatino Linotype" w:cs="Tahoma"/>
          <w:b/>
          <w:noProof/>
          <w:sz w:val="22"/>
          <w:szCs w:val="22"/>
          <w:lang w:val="es-MX" w:eastAsia="es-MX"/>
        </w:rPr>
        <w:drawing>
          <wp:inline distT="0" distB="0" distL="0" distR="0" wp14:anchorId="322005A6" wp14:editId="65BF9254">
            <wp:extent cx="4829631" cy="1191986"/>
            <wp:effectExtent l="0" t="0" r="952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2944" cy="1217484"/>
                    </a:xfrm>
                    <a:prstGeom prst="rect">
                      <a:avLst/>
                    </a:prstGeom>
                    <a:noFill/>
                    <a:ln>
                      <a:noFill/>
                    </a:ln>
                  </pic:spPr>
                </pic:pic>
              </a:graphicData>
            </a:graphic>
          </wp:inline>
        </w:drawing>
      </w:r>
    </w:p>
    <w:p w14:paraId="013D7F23" w14:textId="6B90B7CA" w:rsidR="001D4076" w:rsidRPr="001D4076" w:rsidRDefault="00D36A6E" w:rsidP="001D4076">
      <w:pPr>
        <w:spacing w:line="360" w:lineRule="auto"/>
        <w:ind w:right="-28"/>
        <w:jc w:val="both"/>
        <w:rPr>
          <w:rFonts w:ascii="Palatino Linotype" w:hAnsi="Palatino Linotype" w:cs="Tahoma"/>
          <w:i/>
          <w:szCs w:val="22"/>
        </w:rPr>
      </w:pPr>
      <w:r w:rsidRPr="006A36F7">
        <w:rPr>
          <w:rFonts w:ascii="Palatino Linotype" w:hAnsi="Palatino Linotype" w:cs="Tahoma"/>
          <w:b/>
          <w:sz w:val="22"/>
          <w:szCs w:val="22"/>
        </w:rPr>
        <w:lastRenderedPageBreak/>
        <w:t>d</w:t>
      </w:r>
      <w:r w:rsidR="001D4076">
        <w:rPr>
          <w:rFonts w:ascii="Palatino Linotype" w:hAnsi="Palatino Linotype" w:cs="Tahoma"/>
          <w:b/>
          <w:sz w:val="22"/>
          <w:szCs w:val="22"/>
        </w:rPr>
        <w:t xml:space="preserve">) </w:t>
      </w:r>
      <w:r w:rsidR="001D4076" w:rsidRPr="00A942EE">
        <w:rPr>
          <w:rFonts w:ascii="Palatino Linotype" w:hAnsi="Palatino Linotype" w:cs="Tahoma"/>
          <w:b/>
          <w:sz w:val="22"/>
          <w:szCs w:val="22"/>
        </w:rPr>
        <w:t xml:space="preserve">Vista del Informe Justificado y Manifestaciones. </w:t>
      </w:r>
      <w:r w:rsidR="001D4076" w:rsidRPr="00A942EE">
        <w:rPr>
          <w:rFonts w:ascii="Palatino Linotype" w:hAnsi="Palatino Linotype" w:cs="Tahoma"/>
          <w:sz w:val="22"/>
          <w:szCs w:val="22"/>
        </w:rPr>
        <w:t xml:space="preserve">El </w:t>
      </w:r>
      <w:r w:rsidR="001D4076">
        <w:rPr>
          <w:rFonts w:ascii="Palatino Linotype" w:hAnsi="Palatino Linotype" w:cs="Tahoma"/>
          <w:sz w:val="22"/>
          <w:szCs w:val="22"/>
        </w:rPr>
        <w:t>diecisiete</w:t>
      </w:r>
      <w:r w:rsidR="001D4076" w:rsidRPr="00A942EE">
        <w:rPr>
          <w:rFonts w:ascii="Palatino Linotype" w:hAnsi="Palatino Linotype" w:cs="Tahoma"/>
          <w:sz w:val="22"/>
          <w:szCs w:val="22"/>
        </w:rPr>
        <w:t xml:space="preserve"> de junio de dos mil diecinueve, se dictó acuerdo mediante el cual </w:t>
      </w:r>
      <w:r w:rsidR="001D4076">
        <w:rPr>
          <w:rFonts w:ascii="Palatino Linotype" w:hAnsi="Palatino Linotype" w:cs="Tahoma"/>
          <w:b/>
          <w:sz w:val="22"/>
          <w:szCs w:val="22"/>
        </w:rPr>
        <w:t>se puso</w:t>
      </w:r>
      <w:r w:rsidR="001D4076" w:rsidRPr="00A942EE">
        <w:rPr>
          <w:rFonts w:ascii="Palatino Linotype" w:hAnsi="Palatino Linotype" w:cs="Tahoma"/>
          <w:b/>
          <w:sz w:val="22"/>
          <w:szCs w:val="22"/>
        </w:rPr>
        <w:t xml:space="preserve"> a la vista de la Particular el Informe Justificado</w:t>
      </w:r>
      <w:r w:rsidR="001D4076" w:rsidRPr="00A942EE">
        <w:rPr>
          <w:rFonts w:ascii="Palatino Linotype" w:hAnsi="Palatino Linotype" w:cs="Tahoma"/>
          <w:sz w:val="22"/>
          <w:szCs w:val="22"/>
        </w:rPr>
        <w:t xml:space="preserve"> entregado por el Sujeto Obligado, el cual fue notificado a las partes, el mismo día a través del Sistema de Acceso a la Información Mexiquense (SAIMEX). </w:t>
      </w:r>
      <w:r w:rsidR="001D4076" w:rsidRPr="00A942EE">
        <w:rPr>
          <w:rFonts w:ascii="Palatino Linotype" w:hAnsi="Palatino Linotype" w:cs="Tahoma"/>
          <w:b/>
          <w:sz w:val="22"/>
          <w:szCs w:val="22"/>
        </w:rPr>
        <w:t>No obstante</w:t>
      </w:r>
      <w:r w:rsidR="001D4076" w:rsidRPr="00A942EE">
        <w:rPr>
          <w:rFonts w:ascii="Palatino Linotype" w:hAnsi="Palatino Linotype" w:cs="Tahoma"/>
          <w:b/>
          <w:bCs/>
          <w:iCs/>
          <w:sz w:val="22"/>
          <w:szCs w:val="22"/>
          <w:lang w:val="es-ES_tradnl"/>
        </w:rPr>
        <w:t>, el Recurrente omitió realizar manifestación alguna que a su derecho conviniera y asistiera</w:t>
      </w:r>
      <w:r w:rsidR="001D4076" w:rsidRPr="00A942EE">
        <w:rPr>
          <w:rFonts w:ascii="Palatino Linotype" w:hAnsi="Palatino Linotype" w:cs="Tahoma"/>
          <w:b/>
          <w:bCs/>
          <w:iCs/>
          <w:sz w:val="22"/>
          <w:szCs w:val="22"/>
        </w:rPr>
        <w:t>.</w:t>
      </w:r>
    </w:p>
    <w:p w14:paraId="29E7AD1B" w14:textId="77777777" w:rsidR="001D4076" w:rsidRDefault="001D4076" w:rsidP="00ED7A0A">
      <w:pPr>
        <w:spacing w:line="360" w:lineRule="auto"/>
        <w:jc w:val="both"/>
        <w:rPr>
          <w:rFonts w:ascii="Palatino Linotype" w:hAnsi="Palatino Linotype" w:cs="Tahoma"/>
          <w:b/>
          <w:sz w:val="22"/>
          <w:szCs w:val="22"/>
        </w:rPr>
      </w:pPr>
    </w:p>
    <w:p w14:paraId="56743460" w14:textId="12C2DA79" w:rsidR="00281F48" w:rsidRPr="006A36F7" w:rsidRDefault="001D4076" w:rsidP="00ED7A0A">
      <w:pPr>
        <w:spacing w:line="360" w:lineRule="auto"/>
        <w:jc w:val="both"/>
        <w:rPr>
          <w:rFonts w:ascii="Palatino Linotype" w:hAnsi="Palatino Linotype" w:cs="Tahoma"/>
          <w:sz w:val="22"/>
          <w:szCs w:val="22"/>
        </w:rPr>
      </w:pPr>
      <w:r>
        <w:rPr>
          <w:rFonts w:ascii="Palatino Linotype" w:hAnsi="Palatino Linotype" w:cs="Tahoma"/>
          <w:b/>
          <w:sz w:val="22"/>
          <w:szCs w:val="22"/>
        </w:rPr>
        <w:t>e) Ampliación de plazo.</w:t>
      </w:r>
      <w:r w:rsidR="00281F48" w:rsidRPr="006A36F7">
        <w:rPr>
          <w:rFonts w:ascii="Palatino Linotype" w:hAnsi="Palatino Linotype" w:cs="Tahoma"/>
          <w:b/>
          <w:sz w:val="22"/>
          <w:szCs w:val="22"/>
        </w:rPr>
        <w:t xml:space="preserve">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el</w:t>
      </w:r>
      <w:r w:rsidR="00C77CBF" w:rsidRPr="006A36F7">
        <w:rPr>
          <w:rFonts w:ascii="Palatino Linotype" w:hAnsi="Palatino Linotype" w:cs="Tahoma"/>
          <w:sz w:val="22"/>
          <w:szCs w:val="22"/>
        </w:rPr>
        <w:t xml:space="preserve"> </w:t>
      </w:r>
      <w:r>
        <w:rPr>
          <w:rFonts w:ascii="Palatino Linotype" w:hAnsi="Palatino Linotype" w:cs="Tahoma"/>
          <w:sz w:val="22"/>
          <w:szCs w:val="22"/>
        </w:rPr>
        <w:t xml:space="preserve">diecisiete de junio </w:t>
      </w:r>
      <w:r w:rsidR="00C77CBF" w:rsidRPr="006A36F7">
        <w:rPr>
          <w:rFonts w:ascii="Palatino Linotype" w:hAnsi="Palatino Linotype" w:cs="Tahoma"/>
          <w:sz w:val="22"/>
          <w:szCs w:val="22"/>
        </w:rPr>
        <w:t>de dos mil diecinueve</w:t>
      </w:r>
      <w:r w:rsidR="00DF464D" w:rsidRPr="006A36F7">
        <w:rPr>
          <w:rFonts w:ascii="Palatino Linotype" w:hAnsi="Palatino Linotype" w:cs="Tahoma"/>
          <w:sz w:val="22"/>
          <w:szCs w:val="22"/>
        </w:rPr>
        <w:t>,</w:t>
      </w:r>
      <w:r w:rsidR="00281F48" w:rsidRPr="006A36F7">
        <w:rPr>
          <w:rFonts w:ascii="Palatino Linotype" w:hAnsi="Palatino Linotype" w:cs="Tahoma"/>
          <w:sz w:val="22"/>
          <w:szCs w:val="22"/>
        </w:rPr>
        <w:t xml:space="preserve"> se</w:t>
      </w:r>
      <w:r w:rsidR="00DF464D" w:rsidRPr="006A36F7">
        <w:rPr>
          <w:rFonts w:ascii="Palatino Linotype" w:hAnsi="Palatino Linotype" w:cs="Tahoma"/>
          <w:sz w:val="22"/>
          <w:szCs w:val="22"/>
        </w:rPr>
        <w:t xml:space="preserve"> notificó a las partes a través del Sistema de Acceso a 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6A36F7" w:rsidRDefault="006449D5" w:rsidP="007479DD">
      <w:pPr>
        <w:spacing w:line="360" w:lineRule="auto"/>
        <w:jc w:val="both"/>
        <w:rPr>
          <w:rFonts w:ascii="Palatino Linotype" w:hAnsi="Palatino Linotype" w:cs="Tahoma"/>
          <w:sz w:val="22"/>
          <w:szCs w:val="22"/>
        </w:rPr>
      </w:pPr>
    </w:p>
    <w:p w14:paraId="61D6B40F" w14:textId="04034D58" w:rsidR="001D4076" w:rsidRPr="00A942EE" w:rsidRDefault="003341D9" w:rsidP="001D4076">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1D4076">
        <w:rPr>
          <w:rFonts w:ascii="Palatino Linotype" w:hAnsi="Palatino Linotype" w:cs="Tahoma"/>
          <w:b/>
          <w:sz w:val="22"/>
          <w:szCs w:val="22"/>
        </w:rPr>
        <w:t>.</w:t>
      </w:r>
      <w:r w:rsidR="001D4076" w:rsidRPr="00A942EE">
        <w:rPr>
          <w:rFonts w:ascii="Palatino Linotype" w:hAnsi="Palatino Linotype" w:cs="Tahoma"/>
          <w:sz w:val="22"/>
          <w:szCs w:val="22"/>
        </w:rPr>
        <w:t xml:space="preserve"> El </w:t>
      </w:r>
      <w:r w:rsidR="00AE3CD0">
        <w:rPr>
          <w:rFonts w:ascii="Palatino Linotype" w:hAnsi="Palatino Linotype" w:cs="Tahoma"/>
          <w:sz w:val="22"/>
          <w:szCs w:val="22"/>
        </w:rPr>
        <w:t>veintiuno</w:t>
      </w:r>
      <w:r w:rsidR="001D4076" w:rsidRPr="00A942EE">
        <w:rPr>
          <w:rFonts w:ascii="Palatino Linotype" w:hAnsi="Palatino Linotype" w:cs="Tahoma"/>
          <w:sz w:val="22"/>
          <w:szCs w:val="22"/>
        </w:rPr>
        <w:t xml:space="preserve"> de junio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04C6939F" w14:textId="77777777" w:rsidR="001D4076" w:rsidRPr="00A942EE" w:rsidRDefault="001D4076" w:rsidP="001D4076">
      <w:pPr>
        <w:spacing w:line="360" w:lineRule="auto"/>
        <w:jc w:val="both"/>
        <w:rPr>
          <w:rFonts w:ascii="Palatino Linotype" w:hAnsi="Palatino Linotype" w:cs="Tahoma"/>
          <w:b/>
          <w:sz w:val="22"/>
          <w:szCs w:val="22"/>
        </w:rPr>
      </w:pPr>
    </w:p>
    <w:p w14:paraId="5119EB04" w14:textId="77777777" w:rsidR="001D4076" w:rsidRPr="00A942EE" w:rsidRDefault="001D4076" w:rsidP="001D4076">
      <w:pPr>
        <w:spacing w:line="360" w:lineRule="auto"/>
        <w:jc w:val="both"/>
        <w:rPr>
          <w:rFonts w:ascii="Palatino Linotype" w:hAnsi="Palatino Linotype" w:cs="Tahoma"/>
          <w:sz w:val="22"/>
          <w:szCs w:val="22"/>
        </w:rPr>
      </w:pPr>
      <w:r w:rsidRPr="00A942EE">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BCD8707" w14:textId="77777777" w:rsidR="003B519B" w:rsidRPr="00A942EE" w:rsidRDefault="003B519B" w:rsidP="003B519B">
      <w:pPr>
        <w:spacing w:line="360" w:lineRule="auto"/>
        <w:ind w:left="708" w:hanging="708"/>
        <w:jc w:val="center"/>
        <w:rPr>
          <w:rFonts w:ascii="Palatino Linotype" w:eastAsia="Calibri" w:hAnsi="Palatino Linotype" w:cs="Tahoma"/>
          <w:b/>
          <w:bCs/>
          <w:sz w:val="22"/>
          <w:szCs w:val="22"/>
          <w:lang w:eastAsia="en-US"/>
        </w:rPr>
      </w:pPr>
      <w:r w:rsidRPr="00A942EE">
        <w:rPr>
          <w:rFonts w:ascii="Palatino Linotype" w:eastAsia="Calibri" w:hAnsi="Palatino Linotype" w:cs="Tahoma"/>
          <w:b/>
          <w:bCs/>
          <w:sz w:val="22"/>
          <w:szCs w:val="22"/>
          <w:lang w:eastAsia="en-US"/>
        </w:rPr>
        <w:lastRenderedPageBreak/>
        <w:t>C O N S I D E R A N D O S</w:t>
      </w:r>
    </w:p>
    <w:p w14:paraId="26C1FE6C" w14:textId="77777777" w:rsidR="003B519B" w:rsidRPr="00A942EE" w:rsidRDefault="003B519B" w:rsidP="003B519B">
      <w:pPr>
        <w:spacing w:line="360" w:lineRule="auto"/>
        <w:jc w:val="both"/>
        <w:rPr>
          <w:rFonts w:ascii="Palatino Linotype" w:eastAsia="Calibri" w:hAnsi="Palatino Linotype" w:cs="Tahoma"/>
          <w:b/>
          <w:bCs/>
          <w:sz w:val="22"/>
          <w:szCs w:val="22"/>
          <w:lang w:eastAsia="en-US"/>
        </w:rPr>
      </w:pPr>
    </w:p>
    <w:p w14:paraId="7B4A37C4" w14:textId="77777777" w:rsidR="003B519B" w:rsidRPr="00A942EE" w:rsidRDefault="003B519B" w:rsidP="003B519B">
      <w:pPr>
        <w:spacing w:line="360" w:lineRule="auto"/>
        <w:jc w:val="both"/>
        <w:rPr>
          <w:rFonts w:ascii="Palatino Linotype" w:eastAsia="Calibri" w:hAnsi="Palatino Linotype" w:cs="Tahoma"/>
          <w:b/>
          <w:bCs/>
          <w:sz w:val="22"/>
          <w:szCs w:val="22"/>
          <w:lang w:eastAsia="en-US"/>
        </w:rPr>
      </w:pPr>
      <w:r w:rsidRPr="00A942EE">
        <w:rPr>
          <w:rFonts w:ascii="Palatino Linotype" w:eastAsia="Calibri" w:hAnsi="Palatino Linotype" w:cs="Tahoma"/>
          <w:b/>
          <w:bCs/>
          <w:sz w:val="22"/>
          <w:szCs w:val="22"/>
          <w:lang w:eastAsia="en-US"/>
        </w:rPr>
        <w:t xml:space="preserve">PRIMERA. Competencia. </w:t>
      </w:r>
    </w:p>
    <w:p w14:paraId="694A65CB" w14:textId="77777777" w:rsidR="003B519B" w:rsidRPr="00A942EE" w:rsidRDefault="003B519B" w:rsidP="003B519B">
      <w:pPr>
        <w:spacing w:line="360" w:lineRule="auto"/>
        <w:jc w:val="both"/>
        <w:rPr>
          <w:rFonts w:ascii="Palatino Linotype" w:eastAsia="Calibri" w:hAnsi="Palatino Linotype" w:cs="Tahoma"/>
          <w:b/>
          <w:bCs/>
          <w:sz w:val="22"/>
          <w:szCs w:val="22"/>
          <w:lang w:eastAsia="en-US"/>
        </w:rPr>
      </w:pPr>
    </w:p>
    <w:p w14:paraId="663005DE" w14:textId="77777777" w:rsidR="003B519B" w:rsidRPr="00A942EE" w:rsidRDefault="003B519B" w:rsidP="003B519B">
      <w:pPr>
        <w:spacing w:line="360" w:lineRule="auto"/>
        <w:jc w:val="both"/>
        <w:rPr>
          <w:rFonts w:ascii="Palatino Linotype" w:eastAsia="Calibri" w:hAnsi="Palatino Linotype" w:cs="Tahoma"/>
          <w:bCs/>
          <w:sz w:val="22"/>
          <w:szCs w:val="22"/>
          <w:lang w:eastAsia="en-US"/>
        </w:rPr>
      </w:pPr>
      <w:r w:rsidRPr="00A942EE">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B5E0FC8" w14:textId="77777777" w:rsidR="003B519B" w:rsidRPr="00A942EE" w:rsidRDefault="003B519B" w:rsidP="003B519B">
      <w:pPr>
        <w:autoSpaceDE w:val="0"/>
        <w:autoSpaceDN w:val="0"/>
        <w:adjustRightInd w:val="0"/>
        <w:spacing w:line="360" w:lineRule="auto"/>
        <w:jc w:val="both"/>
        <w:rPr>
          <w:rFonts w:ascii="Palatino Linotype" w:eastAsia="Calibri" w:hAnsi="Palatino Linotype" w:cs="Tahoma"/>
          <w:b/>
          <w:sz w:val="22"/>
          <w:szCs w:val="22"/>
          <w:lang w:eastAsia="es-MX"/>
        </w:rPr>
      </w:pPr>
    </w:p>
    <w:p w14:paraId="42904858" w14:textId="77777777" w:rsidR="003B519B" w:rsidRPr="00A942EE" w:rsidRDefault="003B519B" w:rsidP="003B519B">
      <w:pPr>
        <w:autoSpaceDE w:val="0"/>
        <w:autoSpaceDN w:val="0"/>
        <w:adjustRightInd w:val="0"/>
        <w:spacing w:line="360" w:lineRule="auto"/>
        <w:jc w:val="both"/>
        <w:rPr>
          <w:rFonts w:ascii="Palatino Linotype" w:hAnsi="Palatino Linotype" w:cs="Tahoma"/>
          <w:sz w:val="22"/>
          <w:szCs w:val="22"/>
        </w:rPr>
      </w:pPr>
      <w:r w:rsidRPr="00A942EE">
        <w:rPr>
          <w:rFonts w:ascii="Palatino Linotype" w:eastAsia="Calibri" w:hAnsi="Palatino Linotype" w:cs="Tahoma"/>
          <w:b/>
          <w:sz w:val="22"/>
          <w:szCs w:val="22"/>
          <w:lang w:eastAsia="es-MX"/>
        </w:rPr>
        <w:t>SEGUNDO</w:t>
      </w:r>
      <w:r w:rsidRPr="00A942EE">
        <w:rPr>
          <w:rFonts w:ascii="Palatino Linotype" w:eastAsia="Calibri" w:hAnsi="Palatino Linotype" w:cs="Tahoma"/>
          <w:sz w:val="22"/>
          <w:szCs w:val="22"/>
          <w:lang w:eastAsia="es-MX"/>
        </w:rPr>
        <w:t xml:space="preserve">. </w:t>
      </w:r>
      <w:r w:rsidRPr="00A942EE">
        <w:rPr>
          <w:rFonts w:ascii="Palatino Linotype" w:hAnsi="Palatino Linotype" w:cs="Tahoma"/>
          <w:b/>
          <w:sz w:val="22"/>
          <w:szCs w:val="22"/>
        </w:rPr>
        <w:t>Metodología de estudio.</w:t>
      </w:r>
      <w:r w:rsidRPr="00A942EE">
        <w:rPr>
          <w:rFonts w:ascii="Palatino Linotype" w:hAnsi="Palatino Linotype" w:cs="Tahoma"/>
          <w:sz w:val="22"/>
          <w:szCs w:val="22"/>
        </w:rPr>
        <w:t xml:space="preserve"> </w:t>
      </w:r>
    </w:p>
    <w:p w14:paraId="343425E5" w14:textId="77777777" w:rsidR="003B519B" w:rsidRPr="00A942EE" w:rsidRDefault="003B519B" w:rsidP="003B519B">
      <w:pPr>
        <w:autoSpaceDE w:val="0"/>
        <w:autoSpaceDN w:val="0"/>
        <w:adjustRightInd w:val="0"/>
        <w:spacing w:line="360" w:lineRule="auto"/>
        <w:jc w:val="both"/>
        <w:rPr>
          <w:rFonts w:ascii="Palatino Linotype" w:hAnsi="Palatino Linotype" w:cs="Tahoma"/>
          <w:sz w:val="22"/>
          <w:szCs w:val="22"/>
        </w:rPr>
      </w:pPr>
    </w:p>
    <w:p w14:paraId="4F9E986F" w14:textId="77777777" w:rsidR="003B519B" w:rsidRPr="00A942EE" w:rsidRDefault="003B519B" w:rsidP="003B519B">
      <w:pPr>
        <w:autoSpaceDE w:val="0"/>
        <w:autoSpaceDN w:val="0"/>
        <w:adjustRightInd w:val="0"/>
        <w:spacing w:line="360" w:lineRule="auto"/>
        <w:jc w:val="both"/>
        <w:rPr>
          <w:rFonts w:ascii="Palatino Linotype" w:hAnsi="Palatino Linotype" w:cs="Tahoma"/>
          <w:sz w:val="22"/>
          <w:szCs w:val="22"/>
        </w:rPr>
      </w:pPr>
      <w:r w:rsidRPr="00A942EE">
        <w:rPr>
          <w:rFonts w:ascii="Palatino Linotype" w:hAnsi="Palatino Linotype" w:cs="Tahoma"/>
          <w:sz w:val="22"/>
          <w:szCs w:val="22"/>
        </w:rPr>
        <w:t xml:space="preserve">De las constancias que forma parte del Recurso de Revisión que se analiza, se advierte que previo al estudio del fondo de la </w:t>
      </w:r>
      <w:r w:rsidRPr="00A942EE">
        <w:rPr>
          <w:rFonts w:ascii="Palatino Linotype" w:hAnsi="Palatino Linotype" w:cs="Tahoma"/>
          <w:i/>
          <w:sz w:val="22"/>
          <w:szCs w:val="22"/>
        </w:rPr>
        <w:t>Litis</w:t>
      </w:r>
      <w:r w:rsidRPr="00A942EE">
        <w:rPr>
          <w:rFonts w:ascii="Palatino Linotype" w:hAnsi="Palatino Linotype" w:cs="Tahoma"/>
          <w:sz w:val="22"/>
          <w:szCs w:val="22"/>
        </w:rPr>
        <w:t>, es necesario estudiar las causales de improcedencia y sobreseimiento que se adviertan, para determinar lo que en Derecho proceda.</w:t>
      </w:r>
    </w:p>
    <w:p w14:paraId="7DFD1AC2" w14:textId="77777777" w:rsidR="00C358B0" w:rsidRDefault="00C358B0" w:rsidP="003B519B">
      <w:pPr>
        <w:autoSpaceDE w:val="0"/>
        <w:autoSpaceDN w:val="0"/>
        <w:adjustRightInd w:val="0"/>
        <w:spacing w:line="360" w:lineRule="auto"/>
        <w:jc w:val="both"/>
        <w:rPr>
          <w:rFonts w:ascii="Palatino Linotype" w:hAnsi="Palatino Linotype" w:cs="Tahoma"/>
          <w:sz w:val="22"/>
          <w:szCs w:val="22"/>
        </w:rPr>
      </w:pPr>
    </w:p>
    <w:p w14:paraId="09B2194B" w14:textId="77777777" w:rsidR="00691D52" w:rsidRDefault="00691D52" w:rsidP="003B519B">
      <w:pPr>
        <w:autoSpaceDE w:val="0"/>
        <w:autoSpaceDN w:val="0"/>
        <w:adjustRightInd w:val="0"/>
        <w:spacing w:line="360" w:lineRule="auto"/>
        <w:jc w:val="both"/>
        <w:rPr>
          <w:rFonts w:ascii="Palatino Linotype" w:hAnsi="Palatino Linotype" w:cs="Tahoma"/>
          <w:sz w:val="22"/>
          <w:szCs w:val="22"/>
        </w:rPr>
      </w:pPr>
    </w:p>
    <w:p w14:paraId="1080FB63" w14:textId="77777777" w:rsidR="00691D52" w:rsidRPr="00A942EE" w:rsidRDefault="00691D52" w:rsidP="003B519B">
      <w:pPr>
        <w:autoSpaceDE w:val="0"/>
        <w:autoSpaceDN w:val="0"/>
        <w:adjustRightInd w:val="0"/>
        <w:spacing w:line="360" w:lineRule="auto"/>
        <w:jc w:val="both"/>
        <w:rPr>
          <w:rFonts w:ascii="Palatino Linotype" w:hAnsi="Palatino Linotype" w:cs="Tahoma"/>
          <w:sz w:val="22"/>
          <w:szCs w:val="22"/>
        </w:rPr>
      </w:pPr>
    </w:p>
    <w:p w14:paraId="57531C67" w14:textId="77777777" w:rsidR="003B519B" w:rsidRDefault="003B519B" w:rsidP="003B519B">
      <w:pPr>
        <w:pStyle w:val="Prrafodelista"/>
        <w:numPr>
          <w:ilvl w:val="0"/>
          <w:numId w:val="15"/>
        </w:numPr>
        <w:autoSpaceDE w:val="0"/>
        <w:autoSpaceDN w:val="0"/>
        <w:adjustRightInd w:val="0"/>
        <w:spacing w:line="360" w:lineRule="auto"/>
        <w:jc w:val="both"/>
        <w:rPr>
          <w:rFonts w:ascii="Palatino Linotype" w:eastAsia="Calibri" w:hAnsi="Palatino Linotype" w:cs="Tahoma"/>
          <w:szCs w:val="22"/>
          <w:lang w:val="es-ES" w:eastAsia="es-MX"/>
        </w:rPr>
      </w:pPr>
      <w:r w:rsidRPr="00A942EE">
        <w:rPr>
          <w:rFonts w:ascii="Palatino Linotype" w:eastAsia="Calibri" w:hAnsi="Palatino Linotype" w:cs="Tahoma"/>
          <w:b/>
          <w:szCs w:val="22"/>
          <w:lang w:val="es-ES" w:eastAsia="es-MX"/>
        </w:rPr>
        <w:lastRenderedPageBreak/>
        <w:t>Causales de improcedencia.</w:t>
      </w:r>
      <w:r w:rsidRPr="00A942EE">
        <w:rPr>
          <w:rFonts w:ascii="Palatino Linotype" w:eastAsia="Calibri" w:hAnsi="Palatino Linotype" w:cs="Tahoma"/>
          <w:szCs w:val="22"/>
          <w:lang w:val="es-ES" w:eastAsia="es-MX"/>
        </w:rPr>
        <w:t xml:space="preserve"> </w:t>
      </w:r>
    </w:p>
    <w:p w14:paraId="3F38ADBA" w14:textId="77777777" w:rsidR="00691D52" w:rsidRPr="00A942EE" w:rsidRDefault="00691D52" w:rsidP="00691D52">
      <w:pPr>
        <w:pStyle w:val="Prrafodelista"/>
        <w:autoSpaceDE w:val="0"/>
        <w:autoSpaceDN w:val="0"/>
        <w:adjustRightInd w:val="0"/>
        <w:spacing w:line="360" w:lineRule="auto"/>
        <w:jc w:val="both"/>
        <w:rPr>
          <w:rFonts w:ascii="Palatino Linotype" w:eastAsia="Calibri" w:hAnsi="Palatino Linotype" w:cs="Tahoma"/>
          <w:szCs w:val="22"/>
          <w:lang w:val="es-ES" w:eastAsia="es-MX"/>
        </w:rPr>
      </w:pPr>
    </w:p>
    <w:p w14:paraId="78708784" w14:textId="77777777" w:rsidR="003B519B" w:rsidRPr="00A942EE" w:rsidRDefault="003B519B" w:rsidP="003B519B">
      <w:pPr>
        <w:spacing w:line="360" w:lineRule="auto"/>
        <w:jc w:val="both"/>
        <w:rPr>
          <w:rFonts w:ascii="Palatino Linotype" w:hAnsi="Palatino Linotype" w:cs="Tahoma"/>
          <w:sz w:val="22"/>
          <w:szCs w:val="22"/>
        </w:rPr>
      </w:pPr>
      <w:r w:rsidRPr="00A942E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100BBCE8" w14:textId="77777777" w:rsidR="003B519B" w:rsidRPr="00A942EE" w:rsidRDefault="003B519B" w:rsidP="003B519B">
      <w:pPr>
        <w:autoSpaceDE w:val="0"/>
        <w:autoSpaceDN w:val="0"/>
        <w:adjustRightInd w:val="0"/>
        <w:spacing w:line="360" w:lineRule="auto"/>
        <w:jc w:val="both"/>
        <w:rPr>
          <w:rFonts w:ascii="Palatino Linotype" w:eastAsia="Calibri" w:hAnsi="Palatino Linotype" w:cs="Tahoma"/>
          <w:sz w:val="22"/>
          <w:szCs w:val="22"/>
          <w:lang w:eastAsia="es-MX"/>
        </w:rPr>
      </w:pPr>
    </w:p>
    <w:p w14:paraId="2D5ABDC4" w14:textId="77777777" w:rsidR="003B519B" w:rsidRPr="00A942EE" w:rsidRDefault="003B519B" w:rsidP="003B519B">
      <w:pPr>
        <w:autoSpaceDE w:val="0"/>
        <w:autoSpaceDN w:val="0"/>
        <w:adjustRightInd w:val="0"/>
        <w:spacing w:line="360" w:lineRule="auto"/>
        <w:jc w:val="both"/>
        <w:rPr>
          <w:rFonts w:ascii="Palatino Linotype" w:eastAsia="Calibri" w:hAnsi="Palatino Linotype" w:cs="Tahoma"/>
          <w:sz w:val="22"/>
          <w:szCs w:val="22"/>
          <w:lang w:eastAsia="es-MX"/>
        </w:rPr>
      </w:pPr>
      <w:r w:rsidRPr="00A942EE">
        <w:rPr>
          <w:rFonts w:ascii="Palatino Linotype" w:eastAsia="Calibri" w:hAnsi="Palatino Linotype" w:cs="Tahoma"/>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D2EC57F" w14:textId="77777777" w:rsidR="003B519B" w:rsidRPr="00A942EE" w:rsidRDefault="003B519B" w:rsidP="003B519B">
      <w:pPr>
        <w:autoSpaceDE w:val="0"/>
        <w:autoSpaceDN w:val="0"/>
        <w:adjustRightInd w:val="0"/>
        <w:spacing w:line="360" w:lineRule="auto"/>
        <w:jc w:val="both"/>
        <w:rPr>
          <w:rFonts w:ascii="Palatino Linotype" w:eastAsia="Calibri" w:hAnsi="Palatino Linotype" w:cs="Tahoma"/>
          <w:sz w:val="22"/>
          <w:szCs w:val="22"/>
          <w:lang w:eastAsia="es-MX"/>
        </w:rPr>
      </w:pPr>
    </w:p>
    <w:p w14:paraId="565B62F1" w14:textId="77777777" w:rsidR="003B519B" w:rsidRPr="00A942EE" w:rsidRDefault="003B519B" w:rsidP="003B519B">
      <w:pPr>
        <w:autoSpaceDE w:val="0"/>
        <w:autoSpaceDN w:val="0"/>
        <w:adjustRightInd w:val="0"/>
        <w:spacing w:line="360" w:lineRule="auto"/>
        <w:jc w:val="both"/>
        <w:rPr>
          <w:rFonts w:ascii="Palatino Linotype" w:eastAsia="Calibri" w:hAnsi="Palatino Linotype" w:cs="Tahoma"/>
          <w:sz w:val="22"/>
          <w:szCs w:val="22"/>
          <w:lang w:eastAsia="es-MX"/>
        </w:rPr>
      </w:pPr>
      <w:r w:rsidRPr="00A942EE">
        <w:rPr>
          <w:rFonts w:ascii="Palatino Linotype" w:eastAsia="Calibri" w:hAnsi="Palatino Linotype" w:cs="Tahoma"/>
          <w:sz w:val="22"/>
          <w:szCs w:val="22"/>
          <w:lang w:eastAsia="es-MX"/>
        </w:rPr>
        <w:t xml:space="preserve">En el presente caso, no se actualiza ninguna de las causales de improcedencia establecidas en el ordenamiento jurídico previamente señalado, toda vez que este Instituto no tiene conocimiento </w:t>
      </w:r>
      <w:r w:rsidRPr="00A942EE">
        <w:rPr>
          <w:rFonts w:ascii="Palatino Linotype" w:hAnsi="Palatino Linotype" w:cs="Tahoma"/>
          <w:sz w:val="22"/>
          <w:szCs w:val="22"/>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A942EE">
        <w:rPr>
          <w:rFonts w:ascii="Palatino Linotype" w:eastAsia="Calibri" w:hAnsi="Palatino Linotype" w:cs="Tahoma"/>
          <w:sz w:val="22"/>
          <w:szCs w:val="22"/>
          <w:lang w:eastAsia="es-MX"/>
        </w:rPr>
        <w:t>el medio de impugnación fue presentado en tiempo.</w:t>
      </w:r>
    </w:p>
    <w:p w14:paraId="0AEF8E2C" w14:textId="77777777" w:rsidR="003B519B" w:rsidRDefault="003B519B" w:rsidP="003B519B">
      <w:pPr>
        <w:autoSpaceDE w:val="0"/>
        <w:autoSpaceDN w:val="0"/>
        <w:adjustRightInd w:val="0"/>
        <w:spacing w:line="360" w:lineRule="auto"/>
        <w:jc w:val="both"/>
        <w:rPr>
          <w:rFonts w:ascii="Palatino Linotype" w:eastAsia="Calibri" w:hAnsi="Palatino Linotype" w:cs="Tahoma"/>
          <w:b/>
          <w:sz w:val="22"/>
          <w:szCs w:val="22"/>
          <w:lang w:eastAsia="es-MX"/>
        </w:rPr>
      </w:pPr>
    </w:p>
    <w:p w14:paraId="73F55C3C" w14:textId="1AF27201" w:rsidR="00A0634D" w:rsidRPr="007A6721" w:rsidRDefault="00A0634D" w:rsidP="00A0634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Pr>
          <w:rFonts w:ascii="Palatino Linotype" w:eastAsia="Calibri" w:hAnsi="Palatino Linotype" w:cs="Tahoma"/>
          <w:bCs/>
          <w:sz w:val="22"/>
          <w:szCs w:val="22"/>
          <w:lang w:eastAsia="en-US"/>
        </w:rPr>
        <w:t>XIII</w:t>
      </w:r>
      <w:r w:rsidRPr="007A6721">
        <w:rPr>
          <w:rFonts w:ascii="Palatino Linotype" w:eastAsia="Calibri" w:hAnsi="Palatino Linotype" w:cs="Tahoma"/>
          <w:bCs/>
          <w:sz w:val="22"/>
          <w:szCs w:val="22"/>
          <w:lang w:eastAsia="en-US"/>
        </w:rPr>
        <w:t>, de la Ley en cita.</w:t>
      </w:r>
    </w:p>
    <w:p w14:paraId="56F44484" w14:textId="77777777" w:rsidR="00A0634D" w:rsidRDefault="00A0634D" w:rsidP="003B519B">
      <w:pPr>
        <w:autoSpaceDE w:val="0"/>
        <w:autoSpaceDN w:val="0"/>
        <w:adjustRightInd w:val="0"/>
        <w:spacing w:line="360" w:lineRule="auto"/>
        <w:jc w:val="both"/>
        <w:rPr>
          <w:rFonts w:ascii="Palatino Linotype" w:eastAsia="Calibri" w:hAnsi="Palatino Linotype" w:cs="Tahoma"/>
          <w:b/>
          <w:sz w:val="22"/>
          <w:szCs w:val="22"/>
          <w:lang w:eastAsia="es-MX"/>
        </w:rPr>
      </w:pPr>
    </w:p>
    <w:p w14:paraId="7C6D8B36" w14:textId="77777777" w:rsidR="00691D52" w:rsidRDefault="00691D52" w:rsidP="003B519B">
      <w:pPr>
        <w:autoSpaceDE w:val="0"/>
        <w:autoSpaceDN w:val="0"/>
        <w:adjustRightInd w:val="0"/>
        <w:spacing w:line="360" w:lineRule="auto"/>
        <w:jc w:val="both"/>
        <w:rPr>
          <w:rFonts w:ascii="Palatino Linotype" w:eastAsia="Calibri" w:hAnsi="Palatino Linotype" w:cs="Tahoma"/>
          <w:b/>
          <w:sz w:val="22"/>
          <w:szCs w:val="22"/>
          <w:lang w:eastAsia="es-MX"/>
        </w:rPr>
      </w:pPr>
    </w:p>
    <w:p w14:paraId="1182A43C" w14:textId="77777777" w:rsidR="00691D52" w:rsidRDefault="00691D52" w:rsidP="003B519B">
      <w:pPr>
        <w:autoSpaceDE w:val="0"/>
        <w:autoSpaceDN w:val="0"/>
        <w:adjustRightInd w:val="0"/>
        <w:spacing w:line="360" w:lineRule="auto"/>
        <w:jc w:val="both"/>
        <w:rPr>
          <w:rFonts w:ascii="Palatino Linotype" w:eastAsia="Calibri" w:hAnsi="Palatino Linotype" w:cs="Tahoma"/>
          <w:b/>
          <w:sz w:val="22"/>
          <w:szCs w:val="22"/>
          <w:lang w:eastAsia="es-MX"/>
        </w:rPr>
      </w:pPr>
    </w:p>
    <w:p w14:paraId="232DE090" w14:textId="77777777" w:rsidR="003B519B" w:rsidRPr="00A942EE" w:rsidRDefault="003B519B" w:rsidP="003B519B">
      <w:pPr>
        <w:pStyle w:val="Prrafodelista"/>
        <w:numPr>
          <w:ilvl w:val="0"/>
          <w:numId w:val="14"/>
        </w:numPr>
        <w:spacing w:line="360" w:lineRule="auto"/>
        <w:jc w:val="both"/>
        <w:rPr>
          <w:rFonts w:ascii="Palatino Linotype" w:eastAsia="Calibri" w:hAnsi="Palatino Linotype" w:cs="Tahoma"/>
          <w:szCs w:val="22"/>
          <w:lang w:eastAsia="es-ES_tradnl"/>
        </w:rPr>
      </w:pPr>
      <w:r w:rsidRPr="00A942EE">
        <w:rPr>
          <w:rFonts w:ascii="Palatino Linotype" w:eastAsia="Calibri" w:hAnsi="Palatino Linotype" w:cs="Tahoma"/>
          <w:b/>
          <w:szCs w:val="22"/>
          <w:lang w:eastAsia="es-ES_tradnl"/>
        </w:rPr>
        <w:lastRenderedPageBreak/>
        <w:t>Causales de sobreseimiento.</w:t>
      </w:r>
    </w:p>
    <w:p w14:paraId="320CBF18" w14:textId="77777777" w:rsidR="003B519B" w:rsidRPr="00A942EE" w:rsidRDefault="003B519B" w:rsidP="003B519B">
      <w:pPr>
        <w:spacing w:line="360" w:lineRule="auto"/>
        <w:jc w:val="both"/>
        <w:rPr>
          <w:rFonts w:ascii="Palatino Linotype" w:eastAsia="Calibri" w:hAnsi="Palatino Linotype" w:cs="Tahoma"/>
          <w:sz w:val="22"/>
          <w:szCs w:val="22"/>
          <w:lang w:eastAsia="es-ES_tradnl"/>
        </w:rPr>
      </w:pPr>
    </w:p>
    <w:p w14:paraId="2E0BB9D6" w14:textId="77777777" w:rsidR="003B519B" w:rsidRPr="00A942EE" w:rsidRDefault="003B519B" w:rsidP="003B519B">
      <w:pPr>
        <w:spacing w:line="360" w:lineRule="auto"/>
        <w:jc w:val="both"/>
        <w:rPr>
          <w:rFonts w:ascii="Palatino Linotype" w:eastAsia="Calibri" w:hAnsi="Palatino Linotype" w:cs="Tahoma"/>
          <w:sz w:val="22"/>
          <w:szCs w:val="22"/>
          <w:lang w:eastAsia="es-ES_tradnl"/>
        </w:rPr>
      </w:pPr>
      <w:r w:rsidRPr="00A942EE">
        <w:rPr>
          <w:rFonts w:ascii="Palatino Linotype" w:eastAsia="Calibri" w:hAnsi="Palatino Linotype" w:cs="Tahoma"/>
          <w:sz w:val="22"/>
          <w:szCs w:val="22"/>
          <w:lang w:eastAsia="es-ES_tradnl"/>
        </w:rPr>
        <w:t>Por lo que hace a las causales de sobreseimiento, del análisis realizado por este Instituto, se advierte que</w:t>
      </w:r>
      <w:r w:rsidRPr="00A942E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A942EE">
        <w:rPr>
          <w:rFonts w:ascii="Palatino Linotype" w:eastAsia="Calibri" w:hAnsi="Palatino Linotype" w:cs="Tahoma"/>
          <w:sz w:val="22"/>
          <w:szCs w:val="22"/>
          <w:lang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23A537F7" w14:textId="77777777" w:rsidR="00543A5B" w:rsidRDefault="00543A5B" w:rsidP="00543A5B">
      <w:pPr>
        <w:spacing w:line="360" w:lineRule="auto"/>
        <w:jc w:val="both"/>
        <w:rPr>
          <w:rFonts w:ascii="Palatino Linotype" w:eastAsia="Calibri" w:hAnsi="Palatino Linotype" w:cs="Tahoma"/>
          <w:b/>
          <w:bCs/>
          <w:sz w:val="22"/>
          <w:szCs w:val="22"/>
          <w:lang w:eastAsia="en-US"/>
        </w:rPr>
      </w:pPr>
    </w:p>
    <w:p w14:paraId="65E1D495" w14:textId="49ADA49A" w:rsidR="00543A5B" w:rsidRDefault="00543A5B" w:rsidP="00543A5B">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sidR="003B519B">
        <w:rPr>
          <w:rFonts w:ascii="Palatino Linotype" w:eastAsia="Calibri" w:hAnsi="Palatino Linotype" w:cs="Tahoma"/>
          <w:b/>
          <w:bCs/>
          <w:sz w:val="22"/>
          <w:szCs w:val="22"/>
          <w:lang w:eastAsia="en-US"/>
        </w:rPr>
        <w:t xml:space="preserve">Determinación de la Controversia. </w:t>
      </w:r>
    </w:p>
    <w:p w14:paraId="6E86EFE2" w14:textId="77777777" w:rsidR="003B519B" w:rsidRDefault="003B519B" w:rsidP="00543A5B">
      <w:pPr>
        <w:spacing w:line="360" w:lineRule="auto"/>
        <w:jc w:val="both"/>
        <w:rPr>
          <w:rFonts w:ascii="Palatino Linotype" w:eastAsia="Calibri" w:hAnsi="Palatino Linotype" w:cs="Tahoma"/>
          <w:b/>
          <w:bCs/>
          <w:sz w:val="22"/>
          <w:szCs w:val="22"/>
          <w:lang w:eastAsia="en-US"/>
        </w:rPr>
      </w:pPr>
    </w:p>
    <w:p w14:paraId="06686052" w14:textId="6F036CDF" w:rsidR="00A223DA" w:rsidRDefault="007A1889" w:rsidP="00AE3CD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realizado </w:t>
      </w:r>
      <w:r w:rsidR="001F0039">
        <w:rPr>
          <w:rFonts w:ascii="Palatino Linotype" w:eastAsia="Calibri" w:hAnsi="Palatino Linotype" w:cs="Tahoma"/>
          <w:bCs/>
          <w:sz w:val="22"/>
          <w:szCs w:val="22"/>
          <w:lang w:eastAsia="en-US"/>
        </w:rPr>
        <w:t xml:space="preserve">el estudio de las constancias que integran el expediente en que se actúa, se desprende que el Recurrente solicitó </w:t>
      </w:r>
      <w:r w:rsidR="00AE3CD0">
        <w:rPr>
          <w:rFonts w:ascii="Palatino Linotype" w:eastAsia="Calibri" w:hAnsi="Palatino Linotype" w:cs="Tahoma"/>
          <w:bCs/>
          <w:sz w:val="22"/>
          <w:szCs w:val="22"/>
          <w:lang w:eastAsia="en-US"/>
        </w:rPr>
        <w:t xml:space="preserve">el monto y destino de los recursos obtenidos de la rifa de una motocicleta Harley Davidson realizada por el Sujeto Obligado en diciembre de dos mil diecisiete. </w:t>
      </w:r>
    </w:p>
    <w:p w14:paraId="54D6AEF0" w14:textId="77777777" w:rsidR="004D7215" w:rsidRPr="004D7215" w:rsidRDefault="004D7215" w:rsidP="00AE3CD0">
      <w:pPr>
        <w:spacing w:line="360" w:lineRule="auto"/>
        <w:jc w:val="both"/>
        <w:rPr>
          <w:rFonts w:ascii="Palatino Linotype" w:eastAsia="Calibri" w:hAnsi="Palatino Linotype" w:cs="Tahoma"/>
          <w:b/>
          <w:iCs/>
          <w:sz w:val="10"/>
          <w:szCs w:val="22"/>
          <w:lang w:eastAsia="es-ES_tradnl"/>
        </w:rPr>
      </w:pPr>
    </w:p>
    <w:p w14:paraId="7C032DDE" w14:textId="7CE67684" w:rsidR="00AE3CD0" w:rsidRDefault="00D04F20" w:rsidP="00AE3CD0">
      <w:pPr>
        <w:tabs>
          <w:tab w:val="left" w:pos="4962"/>
        </w:tabs>
        <w:spacing w:line="360" w:lineRule="auto"/>
        <w:jc w:val="both"/>
        <w:rPr>
          <w:rFonts w:ascii="Palatino Linotype" w:hAnsi="Palatino Linotype"/>
          <w:i/>
          <w:color w:val="000000"/>
        </w:rPr>
      </w:pPr>
      <w:r w:rsidRPr="00D04F2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n respuesta e</w:t>
      </w:r>
      <w:r w:rsidRPr="00D04F20">
        <w:rPr>
          <w:rFonts w:ascii="Palatino Linotype" w:eastAsia="Calibri" w:hAnsi="Palatino Linotype" w:cs="Tahoma"/>
          <w:iCs/>
          <w:sz w:val="22"/>
          <w:szCs w:val="22"/>
          <w:lang w:eastAsia="es-ES_tradnl"/>
        </w:rPr>
        <w:t xml:space="preserve">l </w:t>
      </w:r>
      <w:r>
        <w:rPr>
          <w:rFonts w:ascii="Palatino Linotype" w:eastAsia="Calibri" w:hAnsi="Palatino Linotype" w:cs="Tahoma"/>
          <w:iCs/>
          <w:sz w:val="22"/>
          <w:szCs w:val="22"/>
          <w:lang w:eastAsia="es-ES_tradnl"/>
        </w:rPr>
        <w:t xml:space="preserve">Sujeto Obligado, </w:t>
      </w:r>
      <w:r w:rsidR="00AE3CD0">
        <w:rPr>
          <w:rFonts w:ascii="Palatino Linotype" w:eastAsia="Calibri" w:hAnsi="Palatino Linotype" w:cs="Tahoma"/>
          <w:iCs/>
          <w:sz w:val="22"/>
          <w:szCs w:val="22"/>
          <w:lang w:eastAsia="es-ES_tradnl"/>
        </w:rPr>
        <w:t xml:space="preserve">manifestó que el monto recaudado había sido la cantidad de </w:t>
      </w:r>
      <w:r w:rsidR="00AE3CD0" w:rsidRPr="00AE3CD0">
        <w:rPr>
          <w:rFonts w:ascii="Palatino Linotype" w:hAnsi="Palatino Linotype"/>
          <w:color w:val="000000"/>
          <w:sz w:val="22"/>
        </w:rPr>
        <w:t>$125,600.00 (ciento veinticinco mil seiscientos pesos 00/100 M.N.), el cual fue destinado para la adquisición de luminarias, material eléctrico, manufactura de 25 postes y pago por la mano de obra para la exp</w:t>
      </w:r>
      <w:r w:rsidR="00AE3CD0">
        <w:rPr>
          <w:rFonts w:ascii="Palatino Linotype" w:hAnsi="Palatino Linotype"/>
          <w:color w:val="000000"/>
          <w:sz w:val="22"/>
        </w:rPr>
        <w:t xml:space="preserve">lanada del Centro Universitario, asimismo el Sujeto Obligado anexó una cédula de evaluación, a efecto de que el Particular realizará una encuesta para verificar si con la respuesta otorgada se colmaba la información solicitada, entre otras cosas. </w:t>
      </w:r>
    </w:p>
    <w:p w14:paraId="23472075" w14:textId="77777777" w:rsidR="00AE3CD0" w:rsidRPr="00C358B0" w:rsidRDefault="00AE3CD0" w:rsidP="00AE3CD0">
      <w:pPr>
        <w:tabs>
          <w:tab w:val="left" w:pos="4962"/>
        </w:tabs>
        <w:spacing w:line="360" w:lineRule="auto"/>
        <w:jc w:val="both"/>
        <w:rPr>
          <w:rFonts w:ascii="Palatino Linotype" w:hAnsi="Palatino Linotype"/>
          <w:color w:val="000000"/>
        </w:rPr>
      </w:pPr>
    </w:p>
    <w:p w14:paraId="2D4CC346" w14:textId="5507A27A" w:rsidR="00C17FC6" w:rsidRDefault="00D37195" w:rsidP="00AE3CD0">
      <w:pPr>
        <w:tabs>
          <w:tab w:val="left" w:pos="4962"/>
        </w:tabs>
        <w:spacing w:line="360" w:lineRule="auto"/>
        <w:jc w:val="both"/>
        <w:rPr>
          <w:rFonts w:ascii="Palatino Linotype" w:hAnsi="Palatino Linotype"/>
          <w:sz w:val="22"/>
        </w:rPr>
      </w:pPr>
      <w:r w:rsidRPr="00D37195">
        <w:rPr>
          <w:rFonts w:ascii="Palatino Linotype" w:hAnsi="Palatino Linotype" w:cs="Segoe UI"/>
          <w:sz w:val="22"/>
        </w:rPr>
        <w:lastRenderedPageBreak/>
        <w:t xml:space="preserve">Inconforme con la respuesta otorgada por el sujeto obligado, interpuso </w:t>
      </w:r>
      <w:r w:rsidRPr="00D37195">
        <w:rPr>
          <w:rFonts w:ascii="Palatino Linotype" w:hAnsi="Palatino Linotype" w:cs="Arial"/>
          <w:sz w:val="22"/>
          <w:szCs w:val="28"/>
        </w:rPr>
        <w:t xml:space="preserve">el recurso de revisión que nos ocupa, </w:t>
      </w:r>
      <w:r w:rsidR="00C17FC6">
        <w:rPr>
          <w:rFonts w:ascii="Palatino Linotype" w:hAnsi="Palatino Linotype" w:cs="Arial"/>
          <w:sz w:val="22"/>
          <w:szCs w:val="28"/>
        </w:rPr>
        <w:t>en virtud de</w:t>
      </w:r>
      <w:r w:rsidRPr="00D37195">
        <w:rPr>
          <w:rFonts w:ascii="Palatino Linotype" w:hAnsi="Palatino Linotype"/>
          <w:sz w:val="22"/>
        </w:rPr>
        <w:t xml:space="preserve"> que</w:t>
      </w:r>
      <w:r w:rsidR="00AE3CD0">
        <w:rPr>
          <w:rFonts w:ascii="Palatino Linotype" w:hAnsi="Palatino Linotype"/>
          <w:sz w:val="22"/>
        </w:rPr>
        <w:t>, a decir del Particular</w:t>
      </w:r>
      <w:r w:rsidRPr="00D37195">
        <w:rPr>
          <w:rFonts w:ascii="Palatino Linotype" w:hAnsi="Palatino Linotype"/>
          <w:sz w:val="22"/>
        </w:rPr>
        <w:t xml:space="preserve"> no se le proporcion</w:t>
      </w:r>
      <w:r>
        <w:rPr>
          <w:rFonts w:ascii="Palatino Linotype" w:hAnsi="Palatino Linotype"/>
          <w:sz w:val="22"/>
        </w:rPr>
        <w:t>ó</w:t>
      </w:r>
      <w:r w:rsidR="00C17FC6">
        <w:rPr>
          <w:rFonts w:ascii="Palatino Linotype" w:hAnsi="Palatino Linotype"/>
          <w:sz w:val="22"/>
        </w:rPr>
        <w:t xml:space="preserve"> la información </w:t>
      </w:r>
      <w:r w:rsidR="00AE3CD0">
        <w:rPr>
          <w:rFonts w:ascii="Palatino Linotype" w:hAnsi="Palatino Linotype"/>
          <w:sz w:val="22"/>
        </w:rPr>
        <w:t>que solicitó y que en su lugar anexaron una cédula de evaluación</w:t>
      </w:r>
      <w:r w:rsidR="00C17FC6">
        <w:rPr>
          <w:rFonts w:ascii="Palatino Linotype" w:hAnsi="Palatino Linotype"/>
          <w:sz w:val="22"/>
        </w:rPr>
        <w:t>.</w:t>
      </w:r>
    </w:p>
    <w:p w14:paraId="25546ABA" w14:textId="77777777" w:rsidR="00AE3CD0" w:rsidRDefault="00AE3CD0" w:rsidP="00670DD3">
      <w:pPr>
        <w:spacing w:line="360" w:lineRule="auto"/>
        <w:jc w:val="both"/>
        <w:rPr>
          <w:rFonts w:ascii="Palatino Linotype" w:eastAsia="Calibri" w:hAnsi="Palatino Linotype" w:cs="Tahoma"/>
          <w:bCs/>
          <w:sz w:val="22"/>
          <w:szCs w:val="22"/>
          <w:lang w:eastAsia="en-US"/>
        </w:rPr>
      </w:pPr>
    </w:p>
    <w:p w14:paraId="2455D9D3" w14:textId="5B4E99EC" w:rsidR="00670DD3" w:rsidRDefault="00670DD3" w:rsidP="00670DD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se advierte que la cuestión a dilucidar es si con la información ot</w:t>
      </w:r>
      <w:r w:rsidR="00AE3CD0">
        <w:rPr>
          <w:rFonts w:ascii="Palatino Linotype" w:eastAsia="Calibri" w:hAnsi="Palatino Linotype" w:cs="Tahoma"/>
          <w:bCs/>
          <w:sz w:val="22"/>
          <w:szCs w:val="22"/>
          <w:lang w:eastAsia="en-US"/>
        </w:rPr>
        <w:t xml:space="preserve">orgada por el Sujeto Obligado, </w:t>
      </w:r>
      <w:r>
        <w:rPr>
          <w:rFonts w:ascii="Palatino Linotype" w:eastAsia="Calibri" w:hAnsi="Palatino Linotype" w:cs="Tahoma"/>
          <w:bCs/>
          <w:sz w:val="22"/>
          <w:szCs w:val="22"/>
          <w:lang w:eastAsia="en-US"/>
        </w:rPr>
        <w:t xml:space="preserve"> en su respuesta se satisface lo solicitado por el Particular en los términos planteados. </w:t>
      </w:r>
    </w:p>
    <w:p w14:paraId="3FBA769A" w14:textId="77777777" w:rsidR="00670DD3" w:rsidRPr="007A6721" w:rsidRDefault="00670DD3" w:rsidP="00670DD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11555B6F" w14:textId="77777777" w:rsidR="00D37195" w:rsidRPr="00D04F20" w:rsidRDefault="00D37195" w:rsidP="00A223DA">
      <w:pPr>
        <w:tabs>
          <w:tab w:val="left" w:pos="4962"/>
        </w:tabs>
        <w:spacing w:line="360" w:lineRule="auto"/>
        <w:jc w:val="both"/>
        <w:rPr>
          <w:rFonts w:ascii="Palatino Linotype" w:eastAsia="Calibri" w:hAnsi="Palatino Linotype" w:cs="Tahoma"/>
          <w:iCs/>
          <w:sz w:val="22"/>
          <w:szCs w:val="22"/>
          <w:lang w:eastAsia="es-ES_tradnl"/>
        </w:rPr>
      </w:pPr>
    </w:p>
    <w:p w14:paraId="2C6A0284" w14:textId="77777777" w:rsidR="00CC1C86" w:rsidRPr="001E0D8F" w:rsidRDefault="00CC1C86" w:rsidP="00CC1C86">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79EF54E5" w14:textId="77777777" w:rsidR="00CC1C86" w:rsidRPr="005D44DE" w:rsidRDefault="00CC1C86" w:rsidP="00CC1C86">
      <w:pPr>
        <w:spacing w:line="360" w:lineRule="auto"/>
        <w:jc w:val="both"/>
        <w:rPr>
          <w:rFonts w:ascii="Palatino Linotype" w:eastAsia="Calibri" w:hAnsi="Palatino Linotype" w:cs="Tahoma"/>
          <w:b/>
          <w:bCs/>
          <w:sz w:val="18"/>
          <w:szCs w:val="22"/>
          <w:lang w:eastAsia="en-US"/>
        </w:rPr>
      </w:pPr>
    </w:p>
    <w:p w14:paraId="6D98D850" w14:textId="77777777" w:rsidR="00CC1C86" w:rsidRPr="001E0D8F" w:rsidRDefault="00CC1C86" w:rsidP="00CC1C86">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BAF7079" w14:textId="77777777" w:rsidR="00CC1C86" w:rsidRPr="005D44DE" w:rsidRDefault="00CC1C86" w:rsidP="00CC1C86">
      <w:pPr>
        <w:spacing w:line="360" w:lineRule="auto"/>
        <w:contextualSpacing/>
        <w:jc w:val="both"/>
        <w:rPr>
          <w:rFonts w:ascii="Palatino Linotype" w:hAnsi="Palatino Linotype" w:cs="Tahoma"/>
          <w:sz w:val="18"/>
          <w:szCs w:val="22"/>
        </w:rPr>
      </w:pPr>
    </w:p>
    <w:p w14:paraId="347A8BBA"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C4F3A22" w14:textId="77777777" w:rsidR="00CC1C86" w:rsidRPr="005D44DE" w:rsidRDefault="00CC1C86" w:rsidP="00CC1C86">
      <w:pPr>
        <w:spacing w:line="360" w:lineRule="auto"/>
        <w:jc w:val="both"/>
        <w:rPr>
          <w:rFonts w:ascii="Palatino Linotype" w:hAnsi="Palatino Linotype" w:cs="Tahoma"/>
          <w:sz w:val="18"/>
          <w:szCs w:val="22"/>
        </w:rPr>
      </w:pPr>
    </w:p>
    <w:p w14:paraId="667602D7"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857DFCD" w14:textId="77777777" w:rsidR="00CC1C86" w:rsidRPr="001E0D8F" w:rsidRDefault="00CC1C86" w:rsidP="00CC1C86">
      <w:pPr>
        <w:spacing w:line="360" w:lineRule="auto"/>
        <w:jc w:val="both"/>
        <w:rPr>
          <w:rFonts w:ascii="Palatino Linotype" w:hAnsi="Palatino Linotype" w:cs="Tahoma"/>
          <w:sz w:val="22"/>
          <w:szCs w:val="22"/>
        </w:rPr>
      </w:pPr>
    </w:p>
    <w:p w14:paraId="3E319251"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C6F4E9" w14:textId="77777777" w:rsidR="00CC1C86" w:rsidRPr="005D44DE" w:rsidRDefault="00CC1C86" w:rsidP="00CC1C86">
      <w:pPr>
        <w:spacing w:line="360" w:lineRule="auto"/>
        <w:jc w:val="both"/>
        <w:rPr>
          <w:rFonts w:ascii="Palatino Linotype" w:hAnsi="Palatino Linotype" w:cs="Tahoma"/>
          <w:sz w:val="18"/>
          <w:szCs w:val="22"/>
        </w:rPr>
      </w:pPr>
    </w:p>
    <w:p w14:paraId="01AE4D10"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6CF1E0E" w14:textId="77777777" w:rsidR="00CC1C86" w:rsidRPr="005D44DE" w:rsidRDefault="00CC1C86" w:rsidP="00CC1C86">
      <w:pPr>
        <w:spacing w:line="360" w:lineRule="auto"/>
        <w:jc w:val="both"/>
        <w:rPr>
          <w:rFonts w:ascii="Palatino Linotype" w:hAnsi="Palatino Linotype" w:cs="Tahoma"/>
          <w:sz w:val="18"/>
          <w:szCs w:val="22"/>
        </w:rPr>
      </w:pPr>
    </w:p>
    <w:p w14:paraId="22C0BE41"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574F92D0" w14:textId="77777777" w:rsidR="00CC1C86" w:rsidRPr="005D44DE" w:rsidRDefault="00CC1C86" w:rsidP="00CC1C86">
      <w:pPr>
        <w:spacing w:line="360" w:lineRule="auto"/>
        <w:jc w:val="both"/>
        <w:rPr>
          <w:rFonts w:ascii="Palatino Linotype" w:hAnsi="Palatino Linotype" w:cs="Tahoma"/>
          <w:sz w:val="18"/>
          <w:szCs w:val="22"/>
        </w:rPr>
      </w:pPr>
    </w:p>
    <w:p w14:paraId="22C00F2E"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D13147A" w14:textId="77777777" w:rsidR="00CC1C86" w:rsidRPr="005D44DE" w:rsidRDefault="00CC1C86" w:rsidP="00CC1C86">
      <w:pPr>
        <w:spacing w:line="360" w:lineRule="auto"/>
        <w:jc w:val="both"/>
        <w:rPr>
          <w:rFonts w:ascii="Palatino Linotype" w:hAnsi="Palatino Linotype" w:cs="Tahoma"/>
          <w:sz w:val="18"/>
          <w:szCs w:val="22"/>
        </w:rPr>
      </w:pPr>
    </w:p>
    <w:p w14:paraId="20057213" w14:textId="77777777" w:rsidR="00CC1C86" w:rsidRPr="001E0D8F" w:rsidRDefault="00CC1C86" w:rsidP="00CC1C86">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1E0D8F">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0BF61002" w14:textId="77777777" w:rsidR="00CC1C86" w:rsidRPr="005D44DE" w:rsidRDefault="00CC1C86" w:rsidP="00CC1C86">
      <w:pPr>
        <w:spacing w:line="360" w:lineRule="auto"/>
        <w:jc w:val="both"/>
        <w:rPr>
          <w:rFonts w:ascii="Palatino Linotype" w:hAnsi="Palatino Linotype" w:cs="Tahoma"/>
          <w:sz w:val="18"/>
          <w:szCs w:val="22"/>
        </w:rPr>
      </w:pPr>
    </w:p>
    <w:p w14:paraId="79D0CCAD" w14:textId="77777777" w:rsidR="00CC1C86" w:rsidRPr="001E0D8F" w:rsidRDefault="00CC1C86" w:rsidP="00CC1C86">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5A4912A4" w14:textId="77777777" w:rsidR="00CC1C86" w:rsidRPr="005D44DE" w:rsidRDefault="00CC1C86" w:rsidP="00CC1C86">
      <w:pPr>
        <w:spacing w:line="360" w:lineRule="auto"/>
        <w:ind w:right="-93"/>
        <w:jc w:val="both"/>
        <w:rPr>
          <w:rFonts w:ascii="Palatino Linotype" w:eastAsia="Calibri" w:hAnsi="Palatino Linotype" w:cs="Tahoma"/>
          <w:bCs/>
          <w:sz w:val="18"/>
          <w:szCs w:val="22"/>
          <w:lang w:eastAsia="en-US"/>
        </w:rPr>
      </w:pPr>
    </w:p>
    <w:p w14:paraId="405CF8EB"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9C612F5" w14:textId="77777777" w:rsidR="00CC1C86" w:rsidRPr="005D44DE" w:rsidRDefault="00CC1C86" w:rsidP="00CC1C86">
      <w:pPr>
        <w:spacing w:line="360" w:lineRule="auto"/>
        <w:ind w:right="-93"/>
        <w:jc w:val="both"/>
        <w:rPr>
          <w:rFonts w:ascii="Palatino Linotype" w:eastAsia="Calibri" w:hAnsi="Palatino Linotype" w:cs="Tahoma"/>
          <w:bCs/>
          <w:sz w:val="18"/>
          <w:szCs w:val="22"/>
          <w:lang w:eastAsia="en-US"/>
        </w:rPr>
      </w:pPr>
    </w:p>
    <w:p w14:paraId="4ED214B3" w14:textId="77777777" w:rsidR="00CC1C86" w:rsidRPr="001E0D8F" w:rsidRDefault="00CC1C86" w:rsidP="00CC1C8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C70ECBE" w14:textId="77777777" w:rsidR="00CC1C86" w:rsidRPr="001E0D8F" w:rsidRDefault="00CC1C86" w:rsidP="00CC1C86">
      <w:pPr>
        <w:spacing w:line="360" w:lineRule="auto"/>
        <w:ind w:left="360" w:right="-93"/>
        <w:jc w:val="both"/>
        <w:rPr>
          <w:rFonts w:ascii="Palatino Linotype" w:eastAsia="Calibri" w:hAnsi="Palatino Linotype" w:cs="Tahoma"/>
          <w:bCs/>
          <w:sz w:val="22"/>
          <w:szCs w:val="22"/>
          <w:lang w:eastAsia="en-US"/>
        </w:rPr>
      </w:pPr>
    </w:p>
    <w:p w14:paraId="43372D6F" w14:textId="77777777" w:rsidR="00CC1C86" w:rsidRPr="001E0D8F" w:rsidRDefault="00CC1C86" w:rsidP="00CC1C8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36D6D145" w14:textId="77777777" w:rsidR="00CC1C86" w:rsidRPr="001E0D8F" w:rsidRDefault="00CC1C86" w:rsidP="00CC1C86">
      <w:pPr>
        <w:pStyle w:val="Prrafodelista"/>
        <w:spacing w:line="360" w:lineRule="auto"/>
        <w:rPr>
          <w:rFonts w:ascii="Palatino Linotype" w:eastAsia="Calibri" w:hAnsi="Palatino Linotype" w:cs="Tahoma"/>
          <w:bCs/>
          <w:szCs w:val="22"/>
          <w:lang w:eastAsia="en-US"/>
        </w:rPr>
      </w:pPr>
    </w:p>
    <w:p w14:paraId="6A2704A7" w14:textId="77777777" w:rsidR="00CC1C86" w:rsidRPr="001E0D8F" w:rsidRDefault="00CC1C86" w:rsidP="00CC1C8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5EA6A88" w14:textId="77777777" w:rsidR="00CC1C86" w:rsidRPr="005D44DE" w:rsidRDefault="00CC1C86" w:rsidP="00CC1C86">
      <w:pPr>
        <w:spacing w:line="360" w:lineRule="auto"/>
        <w:ind w:right="-93"/>
        <w:jc w:val="both"/>
        <w:rPr>
          <w:rFonts w:ascii="Palatino Linotype" w:eastAsia="Calibri" w:hAnsi="Palatino Linotype" w:cs="Tahoma"/>
          <w:bCs/>
          <w:sz w:val="18"/>
          <w:szCs w:val="22"/>
          <w:lang w:eastAsia="en-US"/>
        </w:rPr>
      </w:pPr>
    </w:p>
    <w:p w14:paraId="3D05EAE1"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1E0D8F">
        <w:rPr>
          <w:rFonts w:ascii="Palatino Linotype" w:eastAsia="Calibri" w:hAnsi="Palatino Linotype" w:cs="Tahoma"/>
          <w:bCs/>
          <w:sz w:val="22"/>
          <w:szCs w:val="22"/>
          <w:lang w:eastAsia="en-US"/>
        </w:rPr>
        <w:lastRenderedPageBreak/>
        <w:t>mecanismos que garanticen la publicidad de información oportuna, verificable, comprensible, actualizada y completa.</w:t>
      </w:r>
    </w:p>
    <w:p w14:paraId="27107CCD"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p>
    <w:p w14:paraId="3E908DC1"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A9AF151"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p>
    <w:p w14:paraId="35287FDA"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DBD9659" w14:textId="77777777" w:rsidR="00CC1C86" w:rsidRPr="001E0D8F" w:rsidRDefault="00CC1C86" w:rsidP="00CC1C86">
      <w:pPr>
        <w:spacing w:line="360" w:lineRule="auto"/>
        <w:ind w:right="-93"/>
        <w:jc w:val="both"/>
        <w:rPr>
          <w:rFonts w:ascii="Palatino Linotype" w:eastAsia="Calibri" w:hAnsi="Palatino Linotype" w:cs="Tahoma"/>
          <w:bCs/>
          <w:sz w:val="22"/>
          <w:szCs w:val="22"/>
          <w:lang w:eastAsia="en-US"/>
        </w:rPr>
      </w:pPr>
    </w:p>
    <w:p w14:paraId="1D3DD177" w14:textId="77777777" w:rsidR="00CC1C86" w:rsidRPr="001E0D8F" w:rsidRDefault="00CC1C86" w:rsidP="00CC1C8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79982E4" w14:textId="77777777" w:rsidR="00CC1C86" w:rsidRPr="001E0D8F" w:rsidRDefault="00CC1C86" w:rsidP="00CC1C86">
      <w:pPr>
        <w:pStyle w:val="Prrafodelista"/>
        <w:spacing w:line="360" w:lineRule="auto"/>
        <w:ind w:right="-93"/>
        <w:jc w:val="both"/>
        <w:rPr>
          <w:rFonts w:ascii="Palatino Linotype" w:eastAsia="Calibri" w:hAnsi="Palatino Linotype" w:cs="Tahoma"/>
          <w:bCs/>
          <w:szCs w:val="22"/>
          <w:lang w:eastAsia="en-US"/>
        </w:rPr>
      </w:pPr>
    </w:p>
    <w:p w14:paraId="073F5BAB" w14:textId="77777777" w:rsidR="00CC1C86" w:rsidRPr="001E0D8F" w:rsidRDefault="00CC1C86" w:rsidP="00CC1C8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AC65BF" w14:textId="77777777" w:rsidR="00CC1C86" w:rsidRPr="001E0D8F" w:rsidRDefault="00CC1C86" w:rsidP="00CC1C8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04C813D3" w14:textId="77777777" w:rsidR="00CC1C86" w:rsidRPr="001E0D8F" w:rsidRDefault="00CC1C86" w:rsidP="00CC1C86">
      <w:pPr>
        <w:pStyle w:val="Prrafodelista"/>
        <w:spacing w:line="360" w:lineRule="auto"/>
        <w:rPr>
          <w:rFonts w:ascii="Palatino Linotype" w:eastAsia="Calibri" w:hAnsi="Palatino Linotype" w:cs="Tahoma"/>
          <w:b/>
          <w:bCs/>
          <w:szCs w:val="22"/>
          <w:lang w:eastAsia="en-US"/>
        </w:rPr>
      </w:pPr>
    </w:p>
    <w:p w14:paraId="0AAD4B6A" w14:textId="77777777" w:rsidR="00CC1C86" w:rsidRPr="00BA50F1" w:rsidRDefault="00CC1C86" w:rsidP="00CC1C8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3532D91B" w14:textId="77777777" w:rsidR="00CC1C86" w:rsidRPr="00BA50F1" w:rsidRDefault="00CC1C86" w:rsidP="00CC1C86">
      <w:pPr>
        <w:pStyle w:val="Prrafodelista"/>
        <w:rPr>
          <w:rFonts w:ascii="Palatino Linotype" w:eastAsia="Calibri" w:hAnsi="Palatino Linotype" w:cs="Tahoma"/>
          <w:b/>
          <w:bCs/>
          <w:szCs w:val="22"/>
          <w:lang w:eastAsia="en-US"/>
        </w:rPr>
      </w:pPr>
    </w:p>
    <w:p w14:paraId="7ABFB21A" w14:textId="77777777" w:rsidR="00CC1C86" w:rsidRPr="00BA50F1" w:rsidRDefault="00CC1C86" w:rsidP="00CC1C8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72092B9" w14:textId="77777777" w:rsidR="00CC1C86" w:rsidRDefault="00CC1C86" w:rsidP="00CC1C86">
      <w:pPr>
        <w:spacing w:line="360" w:lineRule="auto"/>
        <w:jc w:val="both"/>
        <w:rPr>
          <w:rFonts w:ascii="Palatino Linotype" w:hAnsi="Palatino Linotype" w:cs="Tahoma"/>
          <w:b/>
          <w:sz w:val="22"/>
          <w:szCs w:val="22"/>
        </w:rPr>
      </w:pPr>
    </w:p>
    <w:p w14:paraId="27A97FAD" w14:textId="77777777" w:rsidR="00CC1C86" w:rsidRPr="002B5464" w:rsidRDefault="00CC1C86" w:rsidP="00CC1C8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u</w:t>
      </w:r>
      <w:r w:rsidRPr="002B5464">
        <w:rPr>
          <w:rFonts w:ascii="Palatino Linotype" w:eastAsia="Calibri" w:hAnsi="Palatino Linotype" w:cs="Tahoma"/>
          <w:bCs/>
          <w:sz w:val="22"/>
          <w:szCs w:val="22"/>
          <w:lang w:eastAsia="en-US"/>
        </w:rPr>
        <w:t>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C93D9BA" w14:textId="77777777" w:rsidR="00CC1C86" w:rsidRDefault="00CC1C86" w:rsidP="00CC1C86">
      <w:pPr>
        <w:spacing w:line="360" w:lineRule="auto"/>
        <w:jc w:val="both"/>
        <w:rPr>
          <w:rFonts w:ascii="Palatino Linotype" w:hAnsi="Palatino Linotype" w:cs="Tahoma"/>
          <w:b/>
          <w:sz w:val="22"/>
          <w:szCs w:val="22"/>
        </w:rPr>
      </w:pPr>
    </w:p>
    <w:p w14:paraId="5BE350F6" w14:textId="77777777" w:rsidR="00691D52" w:rsidRDefault="00691D52" w:rsidP="00CC1C86">
      <w:pPr>
        <w:spacing w:line="360" w:lineRule="auto"/>
        <w:jc w:val="both"/>
        <w:rPr>
          <w:rFonts w:ascii="Palatino Linotype" w:hAnsi="Palatino Linotype" w:cs="Tahoma"/>
          <w:b/>
          <w:sz w:val="22"/>
          <w:szCs w:val="22"/>
        </w:rPr>
      </w:pPr>
    </w:p>
    <w:p w14:paraId="0B72965A" w14:textId="1E2FC841" w:rsidR="003B42CC" w:rsidRPr="003B42CC" w:rsidRDefault="00CC1C86" w:rsidP="003B42CC">
      <w:pPr>
        <w:tabs>
          <w:tab w:val="left" w:pos="4962"/>
        </w:tabs>
        <w:spacing w:line="360" w:lineRule="auto"/>
        <w:ind w:left="66"/>
        <w:jc w:val="both"/>
        <w:rPr>
          <w:rFonts w:ascii="Palatino Linotype" w:eastAsia="Calibri" w:hAnsi="Palatino Linotype" w:cs="Tahoma"/>
          <w:sz w:val="22"/>
          <w:szCs w:val="22"/>
          <w:lang w:eastAsia="en-US"/>
        </w:rPr>
      </w:pPr>
      <w:r w:rsidRPr="003B42CC">
        <w:rPr>
          <w:rFonts w:ascii="Palatino Linotype" w:eastAsia="Calibri" w:hAnsi="Palatino Linotype" w:cs="Tahoma"/>
          <w:iCs/>
          <w:sz w:val="22"/>
          <w:lang w:eastAsia="es-ES_tradnl"/>
        </w:rPr>
        <w:lastRenderedPageBreak/>
        <w:t xml:space="preserve">El Particular solicitó al </w:t>
      </w:r>
      <w:r w:rsidR="003B42CC" w:rsidRPr="003B42CC">
        <w:rPr>
          <w:rFonts w:ascii="Palatino Linotype" w:eastAsia="Calibri" w:hAnsi="Palatino Linotype" w:cs="Tahoma"/>
          <w:sz w:val="22"/>
          <w:lang w:eastAsia="en-US"/>
        </w:rPr>
        <w:t>Sujeto Obligado</w:t>
      </w:r>
      <w:r w:rsidRPr="003B42CC">
        <w:rPr>
          <w:rFonts w:ascii="Palatino Linotype" w:eastAsia="Calibri" w:hAnsi="Palatino Linotype" w:cs="Tahoma"/>
          <w:sz w:val="22"/>
          <w:lang w:eastAsia="en-US"/>
        </w:rPr>
        <w:t xml:space="preserve"> </w:t>
      </w:r>
      <w:r w:rsidR="003B42CC" w:rsidRPr="003B42CC">
        <w:rPr>
          <w:rFonts w:ascii="Palatino Linotype" w:eastAsia="Calibri" w:hAnsi="Palatino Linotype" w:cs="Tahoma"/>
          <w:sz w:val="22"/>
          <w:lang w:eastAsia="en-US"/>
        </w:rPr>
        <w:t xml:space="preserve">el monto y destino de los recursos obtenidos de la rifa de una Harley Davidson realizada por la Dirección </w:t>
      </w:r>
      <w:r w:rsidR="003B42CC" w:rsidRPr="003B42CC">
        <w:rPr>
          <w:rFonts w:ascii="Palatino Linotype" w:hAnsi="Palatino Linotype"/>
          <w:color w:val="000000"/>
          <w:sz w:val="22"/>
        </w:rPr>
        <w:t>del Centro Universitario UAEM Valle de Chalco, en diciembre de 2017</w:t>
      </w:r>
      <w:r w:rsidRPr="003B42CC">
        <w:rPr>
          <w:rFonts w:ascii="Palatino Linotype" w:eastAsia="Calibri" w:hAnsi="Palatino Linotype" w:cs="Tahoma"/>
          <w:sz w:val="22"/>
          <w:lang w:eastAsia="en-US"/>
        </w:rPr>
        <w:t>, a</w:t>
      </w:r>
      <w:r w:rsidRPr="003B42CC">
        <w:rPr>
          <w:rFonts w:ascii="Palatino Linotype" w:eastAsia="Calibri" w:hAnsi="Palatino Linotype" w:cs="Tahoma"/>
          <w:sz w:val="22"/>
          <w:szCs w:val="22"/>
          <w:lang w:eastAsia="en-US"/>
        </w:rPr>
        <w:t xml:space="preserve"> lo cual el Sujeto Obligado manifestó que </w:t>
      </w:r>
      <w:r w:rsidR="003B42CC">
        <w:rPr>
          <w:rFonts w:ascii="Palatino Linotype" w:eastAsia="Calibri" w:hAnsi="Palatino Linotype" w:cs="Tahoma"/>
          <w:iCs/>
          <w:sz w:val="22"/>
          <w:szCs w:val="22"/>
          <w:lang w:eastAsia="es-ES_tradnl"/>
        </w:rPr>
        <w:t xml:space="preserve">el monto recaudado había sido la cantidad de </w:t>
      </w:r>
      <w:r w:rsidR="003B42CC" w:rsidRPr="00AE3CD0">
        <w:rPr>
          <w:rFonts w:ascii="Palatino Linotype" w:hAnsi="Palatino Linotype"/>
          <w:color w:val="000000"/>
          <w:sz w:val="22"/>
        </w:rPr>
        <w:t>$125,600.00 (ciento veinticinco mil seiscientos pesos 00/100 M.N.), el cual fue destinado para la adquisición de luminarias, material eléctrico, manufactura de 25 postes y pago por la mano de obra para la exp</w:t>
      </w:r>
      <w:r w:rsidR="003B42CC">
        <w:rPr>
          <w:rFonts w:ascii="Palatino Linotype" w:hAnsi="Palatino Linotype"/>
          <w:color w:val="000000"/>
          <w:sz w:val="22"/>
        </w:rPr>
        <w:t xml:space="preserve">lanada del Centro Universitario, asimismo el Sujeto Obligado anexó una cédula de evaluación, a efecto de que el Particular realizará una encuesta para verificar si con la respuesta otorgada se colmaba la información solicitada, entre otras cosas. </w:t>
      </w:r>
    </w:p>
    <w:p w14:paraId="131542B2" w14:textId="77777777" w:rsidR="003B42CC" w:rsidRDefault="003B42CC" w:rsidP="00BA50F1">
      <w:pPr>
        <w:spacing w:line="360" w:lineRule="auto"/>
        <w:ind w:right="-93"/>
        <w:jc w:val="both"/>
        <w:rPr>
          <w:rFonts w:ascii="Palatino Linotype" w:eastAsia="Calibri" w:hAnsi="Palatino Linotype" w:cs="Tahoma"/>
          <w:bCs/>
          <w:sz w:val="22"/>
          <w:szCs w:val="22"/>
          <w:lang w:eastAsia="en-US"/>
        </w:rPr>
      </w:pPr>
    </w:p>
    <w:p w14:paraId="7E20434F" w14:textId="19A377E8"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contexto, en principio se debe señalar que se omite el estudio de la naturaleza jurídica de la información pública </w:t>
      </w:r>
      <w:r>
        <w:rPr>
          <w:rFonts w:ascii="Palatino Linotype" w:eastAsia="Calibri" w:hAnsi="Palatino Linotype" w:cs="Tahoma"/>
          <w:bCs/>
          <w:sz w:val="22"/>
          <w:szCs w:val="22"/>
          <w:lang w:eastAsia="en-US"/>
        </w:rPr>
        <w:t xml:space="preserve">requerida, en virtud de que </w:t>
      </w:r>
      <w:r w:rsidR="003B42CC">
        <w:rPr>
          <w:rFonts w:ascii="Palatino Linotype" w:eastAsia="Calibri" w:hAnsi="Palatino Linotype" w:cs="Tahoma"/>
          <w:bCs/>
          <w:sz w:val="22"/>
          <w:szCs w:val="22"/>
          <w:lang w:eastAsia="en-US"/>
        </w:rPr>
        <w:t>la Universidad Autónoma del Estado de México</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 través de</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su </w:t>
      </w:r>
      <w:r w:rsidRPr="002B5464">
        <w:rPr>
          <w:rFonts w:ascii="Palatino Linotype" w:eastAsia="Calibri" w:hAnsi="Palatino Linotype" w:cs="Tahoma"/>
          <w:bCs/>
          <w:sz w:val="22"/>
          <w:szCs w:val="22"/>
          <w:lang w:eastAsia="en-US"/>
        </w:rPr>
        <w:t>respuesta proporcionó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14:paraId="065175C9" w14:textId="77777777" w:rsidR="00BA50F1" w:rsidRDefault="00BA50F1" w:rsidP="00A223DA">
      <w:pPr>
        <w:tabs>
          <w:tab w:val="left" w:pos="4962"/>
        </w:tabs>
        <w:spacing w:line="360" w:lineRule="auto"/>
        <w:jc w:val="both"/>
        <w:rPr>
          <w:rFonts w:ascii="Palatino Linotype" w:eastAsia="Calibri" w:hAnsi="Palatino Linotype" w:cs="Tahoma"/>
          <w:b/>
          <w:iCs/>
          <w:szCs w:val="22"/>
          <w:lang w:eastAsia="es-ES_tradnl"/>
        </w:rPr>
      </w:pPr>
    </w:p>
    <w:p w14:paraId="7A794125" w14:textId="77777777"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w:t>
      </w:r>
      <w:r w:rsidRPr="002B5464">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18C512FE" w14:textId="77777777" w:rsidR="00BA50F1" w:rsidRDefault="00BA50F1" w:rsidP="00BA50F1">
      <w:pPr>
        <w:spacing w:line="360" w:lineRule="auto"/>
        <w:ind w:right="-93"/>
        <w:jc w:val="both"/>
        <w:rPr>
          <w:rFonts w:ascii="Palatino Linotype" w:eastAsia="Calibri" w:hAnsi="Palatino Linotype" w:cs="Tahoma"/>
          <w:bCs/>
          <w:sz w:val="22"/>
          <w:szCs w:val="22"/>
          <w:lang w:eastAsia="en-US"/>
        </w:rPr>
      </w:pPr>
    </w:p>
    <w:p w14:paraId="5B765923" w14:textId="77777777"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6467CC3" w14:textId="77777777"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p>
    <w:p w14:paraId="392D3801" w14:textId="77777777"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CB1E888" w14:textId="77777777" w:rsidR="00BA50F1" w:rsidRPr="002B5464" w:rsidRDefault="00BA50F1" w:rsidP="00BA50F1">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DFA994" w14:textId="77777777" w:rsidR="00BA50F1" w:rsidRDefault="00BA50F1" w:rsidP="00A223DA">
      <w:pPr>
        <w:tabs>
          <w:tab w:val="left" w:pos="4962"/>
        </w:tabs>
        <w:spacing w:line="360" w:lineRule="auto"/>
        <w:jc w:val="both"/>
        <w:rPr>
          <w:rFonts w:ascii="Palatino Linotype" w:eastAsia="Calibri" w:hAnsi="Palatino Linotype" w:cs="Tahoma"/>
          <w:b/>
          <w:iCs/>
          <w:szCs w:val="22"/>
          <w:lang w:eastAsia="es-ES_tradnl"/>
        </w:rPr>
      </w:pPr>
    </w:p>
    <w:p w14:paraId="329EB7A0" w14:textId="22E35004" w:rsidR="00BA50F1" w:rsidRDefault="00BA50F1" w:rsidP="00A223DA">
      <w:pPr>
        <w:tabs>
          <w:tab w:val="left" w:pos="4962"/>
        </w:tabs>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Cs/>
          <w:sz w:val="22"/>
          <w:szCs w:val="22"/>
          <w:lang w:eastAsia="en-US"/>
        </w:rPr>
        <w:t xml:space="preserve">Establecido lo anterior, </w:t>
      </w:r>
      <w:r w:rsidRPr="001E0D8F">
        <w:rPr>
          <w:rFonts w:ascii="Palatino Linotype" w:eastAsia="Calibri" w:hAnsi="Palatino Linotype" w:cs="Tahoma"/>
          <w:bCs/>
          <w:sz w:val="22"/>
          <w:szCs w:val="22"/>
          <w:lang w:eastAsia="en-US"/>
        </w:rPr>
        <w:t>se procede al análisis de</w:t>
      </w:r>
      <w:r>
        <w:rPr>
          <w:rFonts w:ascii="Palatino Linotype" w:eastAsia="Calibri" w:hAnsi="Palatino Linotype" w:cs="Tahoma"/>
          <w:bCs/>
          <w:sz w:val="22"/>
          <w:szCs w:val="22"/>
          <w:lang w:eastAsia="en-US"/>
        </w:rPr>
        <w:t xml:space="preserve"> </w:t>
      </w:r>
      <w:r w:rsidR="003B7F67">
        <w:rPr>
          <w:rFonts w:ascii="Palatino Linotype" w:eastAsia="Calibri" w:hAnsi="Palatino Linotype" w:cs="Tahoma"/>
          <w:bCs/>
          <w:sz w:val="22"/>
          <w:szCs w:val="22"/>
          <w:lang w:eastAsia="en-US"/>
        </w:rPr>
        <w:t>la información proporcionada por el Sujeto Obligado, a efecto de verificar si se tiene colmada la pretensión del Recurrente</w:t>
      </w:r>
      <w:r w:rsidR="003B42CC">
        <w:rPr>
          <w:rFonts w:ascii="Palatino Linotype" w:eastAsia="Calibri" w:hAnsi="Palatino Linotype" w:cs="Tahoma"/>
          <w:bCs/>
          <w:sz w:val="22"/>
          <w:szCs w:val="22"/>
          <w:lang w:eastAsia="en-US"/>
        </w:rPr>
        <w:t>.</w:t>
      </w:r>
    </w:p>
    <w:p w14:paraId="17749CB5" w14:textId="7F3E9F3F" w:rsidR="004052EA" w:rsidRDefault="004052EA" w:rsidP="00A223DA">
      <w:pPr>
        <w:tabs>
          <w:tab w:val="left" w:pos="4962"/>
        </w:tabs>
        <w:spacing w:line="360" w:lineRule="auto"/>
        <w:jc w:val="both"/>
        <w:rPr>
          <w:rFonts w:ascii="Palatino Linotype" w:eastAsia="Calibri" w:hAnsi="Palatino Linotype" w:cs="Tahoma"/>
          <w:b/>
          <w:iCs/>
          <w:szCs w:val="22"/>
          <w:lang w:eastAsia="es-ES_tradnl"/>
        </w:rPr>
      </w:pPr>
    </w:p>
    <w:p w14:paraId="3D63DF78" w14:textId="2D643E0E" w:rsidR="00763E6E" w:rsidRDefault="00763E6E" w:rsidP="00A223DA">
      <w:pPr>
        <w:tabs>
          <w:tab w:val="left" w:pos="4962"/>
        </w:tabs>
        <w:spacing w:line="360" w:lineRule="auto"/>
        <w:jc w:val="both"/>
        <w:rPr>
          <w:rFonts w:ascii="Palatino Linotype" w:eastAsia="Calibri" w:hAnsi="Palatino Linotype" w:cs="Tahoma"/>
          <w:iCs/>
          <w:sz w:val="22"/>
          <w:szCs w:val="22"/>
          <w:lang w:eastAsia="es-ES_tradnl"/>
        </w:rPr>
      </w:pPr>
      <w:r w:rsidRPr="00763E6E">
        <w:rPr>
          <w:rFonts w:ascii="Palatino Linotype" w:eastAsia="Calibri" w:hAnsi="Palatino Linotype" w:cs="Tahoma"/>
          <w:iCs/>
          <w:sz w:val="22"/>
          <w:szCs w:val="22"/>
          <w:lang w:eastAsia="es-ES_tradnl"/>
        </w:rPr>
        <w:t xml:space="preserve">En ese tenor, del análisis </w:t>
      </w:r>
      <w:r>
        <w:rPr>
          <w:rFonts w:ascii="Palatino Linotype" w:eastAsia="Calibri" w:hAnsi="Palatino Linotype" w:cs="Tahoma"/>
          <w:iCs/>
          <w:sz w:val="22"/>
          <w:szCs w:val="22"/>
          <w:lang w:eastAsia="es-ES_tradnl"/>
        </w:rPr>
        <w:t xml:space="preserve">efectuado </w:t>
      </w:r>
      <w:r w:rsidR="003B42CC">
        <w:rPr>
          <w:rFonts w:ascii="Palatino Linotype" w:eastAsia="Calibri" w:hAnsi="Palatino Linotype" w:cs="Tahoma"/>
          <w:iCs/>
          <w:sz w:val="22"/>
          <w:szCs w:val="22"/>
          <w:lang w:eastAsia="es-ES_tradnl"/>
        </w:rPr>
        <w:t xml:space="preserve">tanto </w:t>
      </w:r>
      <w:r>
        <w:rPr>
          <w:rFonts w:ascii="Palatino Linotype" w:eastAsia="Calibri" w:hAnsi="Palatino Linotype" w:cs="Tahoma"/>
          <w:iCs/>
          <w:sz w:val="22"/>
          <w:szCs w:val="22"/>
          <w:lang w:eastAsia="es-ES_tradnl"/>
        </w:rPr>
        <w:t xml:space="preserve">a la </w:t>
      </w:r>
      <w:r w:rsidR="003B42CC">
        <w:rPr>
          <w:rFonts w:ascii="Palatino Linotype" w:eastAsia="Calibri" w:hAnsi="Palatino Linotype" w:cs="Tahoma"/>
          <w:iCs/>
          <w:sz w:val="22"/>
          <w:szCs w:val="22"/>
          <w:lang w:eastAsia="es-ES_tradnl"/>
        </w:rPr>
        <w:t>solicitud de in</w:t>
      </w:r>
      <w:r w:rsidR="00253997">
        <w:rPr>
          <w:rFonts w:ascii="Palatino Linotype" w:eastAsia="Calibri" w:hAnsi="Palatino Linotype" w:cs="Tahoma"/>
          <w:iCs/>
          <w:sz w:val="22"/>
          <w:szCs w:val="22"/>
          <w:lang w:eastAsia="es-ES_tradnl"/>
        </w:rPr>
        <w:t>formación realizada por el Parti</w:t>
      </w:r>
      <w:r w:rsidR="003B42CC">
        <w:rPr>
          <w:rFonts w:ascii="Palatino Linotype" w:eastAsia="Calibri" w:hAnsi="Palatino Linotype" w:cs="Tahoma"/>
          <w:iCs/>
          <w:sz w:val="22"/>
          <w:szCs w:val="22"/>
          <w:lang w:eastAsia="es-ES_tradnl"/>
        </w:rPr>
        <w:t>cular así como a la respuesta emitida</w:t>
      </w:r>
      <w:r>
        <w:rPr>
          <w:rFonts w:ascii="Palatino Linotype" w:eastAsia="Calibri" w:hAnsi="Palatino Linotype" w:cs="Tahoma"/>
          <w:iCs/>
          <w:sz w:val="22"/>
          <w:szCs w:val="22"/>
          <w:lang w:eastAsia="es-ES_tradnl"/>
        </w:rPr>
        <w:t xml:space="preserve"> por el Sujeto Obligado, se advierte lo siguiente: </w:t>
      </w:r>
    </w:p>
    <w:p w14:paraId="764AA0D3" w14:textId="77777777" w:rsidR="00763E6E" w:rsidRDefault="00763E6E" w:rsidP="00A223DA">
      <w:pPr>
        <w:tabs>
          <w:tab w:val="left" w:pos="4962"/>
        </w:tabs>
        <w:spacing w:line="360" w:lineRule="auto"/>
        <w:jc w:val="both"/>
        <w:rPr>
          <w:rFonts w:ascii="Palatino Linotype" w:eastAsia="Calibri" w:hAnsi="Palatino Linotype" w:cs="Tahoma"/>
          <w:iCs/>
          <w:sz w:val="22"/>
          <w:szCs w:val="22"/>
          <w:lang w:eastAsia="es-ES_tradnl"/>
        </w:rPr>
      </w:pPr>
    </w:p>
    <w:p w14:paraId="59EA8339" w14:textId="77777777" w:rsidR="00AE37FA" w:rsidRDefault="00AE37FA" w:rsidP="00A223DA">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106"/>
        <w:gridCol w:w="4678"/>
      </w:tblGrid>
      <w:tr w:rsidR="00691D52" w14:paraId="2758E07E" w14:textId="77777777" w:rsidTr="00691D52">
        <w:tc>
          <w:tcPr>
            <w:tcW w:w="4106" w:type="dxa"/>
          </w:tcPr>
          <w:p w14:paraId="2F82BC0A" w14:textId="2E0C541D" w:rsidR="00691D52" w:rsidRPr="00763E6E" w:rsidRDefault="00691D52" w:rsidP="00763E6E">
            <w:pPr>
              <w:tabs>
                <w:tab w:val="left" w:pos="4962"/>
              </w:tabs>
              <w:spacing w:line="360" w:lineRule="auto"/>
              <w:jc w:val="center"/>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lastRenderedPageBreak/>
              <w:t xml:space="preserve">Solicitud de Información </w:t>
            </w:r>
          </w:p>
        </w:tc>
        <w:tc>
          <w:tcPr>
            <w:tcW w:w="4678" w:type="dxa"/>
          </w:tcPr>
          <w:p w14:paraId="068A8E55" w14:textId="78FD48CF" w:rsidR="00691D52" w:rsidRPr="00763E6E" w:rsidRDefault="00691D52" w:rsidP="00CC2F52">
            <w:pPr>
              <w:tabs>
                <w:tab w:val="left" w:pos="4962"/>
              </w:tabs>
              <w:spacing w:line="360" w:lineRule="auto"/>
              <w:jc w:val="center"/>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Respuesta</w:t>
            </w:r>
            <w:r w:rsidRPr="00763E6E">
              <w:rPr>
                <w:rFonts w:ascii="Palatino Linotype" w:eastAsia="Calibri" w:hAnsi="Palatino Linotype" w:cs="Tahoma"/>
                <w:b/>
                <w:iCs/>
                <w:sz w:val="22"/>
                <w:szCs w:val="22"/>
                <w:lang w:eastAsia="es-ES_tradnl"/>
              </w:rPr>
              <w:t xml:space="preserve"> </w:t>
            </w:r>
            <w:r>
              <w:rPr>
                <w:rFonts w:ascii="Palatino Linotype" w:eastAsia="Calibri" w:hAnsi="Palatino Linotype" w:cs="Tahoma"/>
                <w:b/>
                <w:iCs/>
                <w:sz w:val="22"/>
                <w:szCs w:val="22"/>
                <w:lang w:eastAsia="es-ES_tradnl"/>
              </w:rPr>
              <w:t>d</w:t>
            </w:r>
            <w:r w:rsidRPr="00763E6E">
              <w:rPr>
                <w:rFonts w:ascii="Palatino Linotype" w:eastAsia="Calibri" w:hAnsi="Palatino Linotype" w:cs="Tahoma"/>
                <w:b/>
                <w:iCs/>
                <w:sz w:val="22"/>
                <w:szCs w:val="22"/>
                <w:lang w:eastAsia="es-ES_tradnl"/>
              </w:rPr>
              <w:t>el Sujeto Obligado</w:t>
            </w:r>
          </w:p>
        </w:tc>
      </w:tr>
      <w:tr w:rsidR="00691D52" w14:paraId="5ADE014A" w14:textId="77777777" w:rsidTr="00691D52">
        <w:tc>
          <w:tcPr>
            <w:tcW w:w="4106" w:type="dxa"/>
          </w:tcPr>
          <w:p w14:paraId="17A90A62" w14:textId="6C35036E" w:rsidR="00691D52" w:rsidRPr="00CC2F52" w:rsidRDefault="00691D52" w:rsidP="00A223DA">
            <w:pPr>
              <w:tabs>
                <w:tab w:val="left" w:pos="4962"/>
              </w:tabs>
              <w:spacing w:line="360" w:lineRule="auto"/>
              <w:jc w:val="both"/>
              <w:rPr>
                <w:rFonts w:ascii="Palatino Linotype" w:eastAsia="Calibri" w:hAnsi="Palatino Linotype" w:cs="Tahoma"/>
                <w:iCs/>
                <w:lang w:eastAsia="es-ES_tradnl"/>
              </w:rPr>
            </w:pPr>
            <w:r w:rsidRPr="00CC2F52">
              <w:rPr>
                <w:rFonts w:ascii="Palatino Linotype" w:hAnsi="Palatino Linotype"/>
                <w:color w:val="000000"/>
              </w:rPr>
              <w:t>Monto y destino de los recursos obtenidos por la rifa organizada por la Dirección del Centro Universitario UAEM Valle de Chalco, en diciembre de 2017, de una motocicleta marca Harley Davidson color azul.</w:t>
            </w:r>
          </w:p>
        </w:tc>
        <w:tc>
          <w:tcPr>
            <w:tcW w:w="4678" w:type="dxa"/>
          </w:tcPr>
          <w:p w14:paraId="177E1AEB" w14:textId="4C29C46D" w:rsidR="00691D52" w:rsidRDefault="00691D52" w:rsidP="00A223DA">
            <w:pPr>
              <w:tabs>
                <w:tab w:val="left" w:pos="4962"/>
              </w:tabs>
              <w:spacing w:line="360" w:lineRule="auto"/>
              <w:jc w:val="both"/>
              <w:rPr>
                <w:rFonts w:ascii="Palatino Linotype" w:eastAsia="Calibri" w:hAnsi="Palatino Linotype" w:cs="Tahoma"/>
                <w:iCs/>
                <w:sz w:val="22"/>
                <w:szCs w:val="22"/>
                <w:lang w:eastAsia="es-ES_tradnl"/>
              </w:rPr>
            </w:pPr>
            <w:r>
              <w:rPr>
                <w:rFonts w:ascii="Verdana" w:hAnsi="Verdana"/>
                <w:color w:val="000000"/>
                <w:sz w:val="18"/>
                <w:szCs w:val="18"/>
              </w:rPr>
              <w:t>Hacemos de su conocimiento que el monto total recaudado por la rifa de la motocicleta fue de $125,600.00 (ciento veinticinco mil seiscientos pesos 00/100 M.N.), el cual fue destinado para la adquisición de luminarias, material eléctrico, manufactura de 25 postes y pago por la mano de obra para la explanada del Centro Universitario.</w:t>
            </w:r>
          </w:p>
        </w:tc>
      </w:tr>
    </w:tbl>
    <w:p w14:paraId="7294690B" w14:textId="77777777" w:rsidR="00763E6E" w:rsidRPr="00763E6E" w:rsidRDefault="00763E6E" w:rsidP="00A223DA">
      <w:pPr>
        <w:tabs>
          <w:tab w:val="left" w:pos="4962"/>
        </w:tabs>
        <w:spacing w:line="360" w:lineRule="auto"/>
        <w:jc w:val="both"/>
        <w:rPr>
          <w:rFonts w:ascii="Palatino Linotype" w:eastAsia="Calibri" w:hAnsi="Palatino Linotype" w:cs="Tahoma"/>
          <w:iCs/>
          <w:sz w:val="22"/>
          <w:szCs w:val="22"/>
          <w:lang w:eastAsia="es-ES_tradnl"/>
        </w:rPr>
      </w:pPr>
    </w:p>
    <w:p w14:paraId="1EDC8745" w14:textId="48F2702C" w:rsidR="00CB6335" w:rsidRDefault="00553A0C" w:rsidP="00A223D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lo anterior se advierte que,</w:t>
      </w:r>
      <w:r w:rsidR="00CB6335" w:rsidRPr="00CB6335">
        <w:rPr>
          <w:rFonts w:ascii="Palatino Linotype" w:eastAsia="Calibri" w:hAnsi="Palatino Linotype" w:cs="Tahoma"/>
          <w:iCs/>
          <w:sz w:val="22"/>
          <w:szCs w:val="22"/>
          <w:lang w:eastAsia="es-ES_tradnl"/>
        </w:rPr>
        <w:t xml:space="preserve"> </w:t>
      </w:r>
      <w:r w:rsidR="00CB6335">
        <w:rPr>
          <w:rFonts w:ascii="Palatino Linotype" w:eastAsia="Calibri" w:hAnsi="Palatino Linotype" w:cs="Tahoma"/>
          <w:iCs/>
          <w:sz w:val="22"/>
          <w:szCs w:val="22"/>
          <w:lang w:eastAsia="es-ES_tradnl"/>
        </w:rPr>
        <w:t xml:space="preserve">el Sujeto Obligado colmó la solicitud de información, toda vez que, </w:t>
      </w:r>
      <w:r w:rsidR="00500F7C">
        <w:rPr>
          <w:rFonts w:ascii="Palatino Linotype" w:eastAsia="Calibri" w:hAnsi="Palatino Linotype" w:cs="Tahoma"/>
          <w:iCs/>
          <w:sz w:val="22"/>
          <w:szCs w:val="22"/>
          <w:lang w:eastAsia="es-ES_tradnl"/>
        </w:rPr>
        <w:t xml:space="preserve">manifestó la totalidad de los recursos obtenidos de la rifa anteriormente citada, así como el destino aplicado a dichos recursos. </w:t>
      </w:r>
    </w:p>
    <w:p w14:paraId="41C088F0" w14:textId="77777777" w:rsidR="00500F7C" w:rsidRDefault="00500F7C" w:rsidP="00A223DA">
      <w:pPr>
        <w:tabs>
          <w:tab w:val="left" w:pos="4962"/>
        </w:tabs>
        <w:spacing w:line="360" w:lineRule="auto"/>
        <w:jc w:val="both"/>
        <w:rPr>
          <w:rFonts w:ascii="Palatino Linotype" w:eastAsia="Calibri" w:hAnsi="Palatino Linotype" w:cs="Tahoma"/>
          <w:iCs/>
          <w:sz w:val="22"/>
          <w:szCs w:val="22"/>
          <w:lang w:eastAsia="es-ES_tradnl"/>
        </w:rPr>
      </w:pPr>
    </w:p>
    <w:p w14:paraId="1DC6374F" w14:textId="2A48360B" w:rsidR="00500F7C" w:rsidRPr="00A942EE" w:rsidRDefault="000D6535" w:rsidP="00500F7C">
      <w:pPr>
        <w:tabs>
          <w:tab w:val="left" w:pos="4962"/>
        </w:tabs>
        <w:spacing w:line="360" w:lineRule="auto"/>
        <w:jc w:val="both"/>
        <w:rPr>
          <w:rFonts w:ascii="Palatino Linotype" w:hAnsi="Palatino Linotype" w:cs="Tahoma"/>
          <w:sz w:val="22"/>
        </w:rPr>
      </w:pPr>
      <w:r>
        <w:rPr>
          <w:rFonts w:ascii="Palatino Linotype" w:eastAsia="Calibri" w:hAnsi="Palatino Linotype" w:cs="Tahoma"/>
          <w:bCs/>
          <w:sz w:val="22"/>
        </w:rPr>
        <w:t>Por otra parte,</w:t>
      </w:r>
      <w:r w:rsidR="00500F7C" w:rsidRPr="00A942EE">
        <w:rPr>
          <w:rFonts w:ascii="Palatino Linotype" w:eastAsia="Calibri" w:hAnsi="Palatino Linotype" w:cs="Tahoma"/>
          <w:bCs/>
          <w:sz w:val="22"/>
        </w:rPr>
        <w:t xml:space="preserve"> es de señalar que este Instituto no tiene atribuciones para </w:t>
      </w:r>
      <w:r w:rsidR="00500F7C" w:rsidRPr="00A942EE">
        <w:rPr>
          <w:rFonts w:ascii="Palatino Linotype" w:hAnsi="Palatino Linotype" w:cs="Tahoma"/>
          <w:sz w:val="22"/>
        </w:rPr>
        <w:t>pronunciarse respecto a la veracidad de la infor</w:t>
      </w:r>
      <w:r w:rsidR="00253997">
        <w:rPr>
          <w:rFonts w:ascii="Palatino Linotype" w:hAnsi="Palatino Linotype" w:cs="Tahoma"/>
          <w:sz w:val="22"/>
        </w:rPr>
        <w:t>mación</w:t>
      </w:r>
      <w:r w:rsidR="00500F7C" w:rsidRPr="00A942EE">
        <w:rPr>
          <w:rFonts w:ascii="Palatino Linotype" w:hAnsi="Palatino Linotype" w:cs="Tahoma"/>
          <w:sz w:val="22"/>
        </w:rPr>
        <w:t>,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5844A3BF" w14:textId="77777777" w:rsidR="00500F7C" w:rsidRPr="00A942EE" w:rsidRDefault="00500F7C" w:rsidP="00500F7C">
      <w:pPr>
        <w:tabs>
          <w:tab w:val="left" w:pos="4962"/>
        </w:tabs>
        <w:spacing w:line="360" w:lineRule="auto"/>
        <w:jc w:val="both"/>
        <w:rPr>
          <w:rFonts w:ascii="Palatino Linotype" w:hAnsi="Palatino Linotype" w:cs="Tahoma"/>
          <w:sz w:val="22"/>
        </w:rPr>
      </w:pPr>
    </w:p>
    <w:p w14:paraId="5C4AAC41" w14:textId="77777777" w:rsidR="00500F7C" w:rsidRDefault="00500F7C" w:rsidP="00500F7C">
      <w:pPr>
        <w:tabs>
          <w:tab w:val="left" w:pos="4962"/>
        </w:tabs>
        <w:spacing w:line="360" w:lineRule="auto"/>
        <w:jc w:val="both"/>
        <w:rPr>
          <w:rFonts w:ascii="Palatino Linotype" w:hAnsi="Palatino Linotype" w:cs="Tahoma"/>
          <w:sz w:val="22"/>
        </w:rPr>
      </w:pPr>
      <w:r w:rsidRPr="00A942EE">
        <w:rPr>
          <w:rFonts w:ascii="Palatino Linotype" w:hAnsi="Palatino Linotype" w:cs="Tahoma"/>
          <w:sz w:val="22"/>
        </w:rPr>
        <w:t xml:space="preserve">A manera de referencia, resulta oportuno citar el Criterio 31/10, del ahora </w:t>
      </w:r>
      <w:r w:rsidRPr="00A942EE">
        <w:rPr>
          <w:rFonts w:ascii="Palatino Linotype" w:eastAsia="Calibri" w:hAnsi="Palatino Linotype" w:cs="Tahoma"/>
          <w:bCs/>
          <w:iCs/>
          <w:sz w:val="22"/>
          <w:lang w:eastAsia="es-ES_tradnl"/>
        </w:rPr>
        <w:t>Instituto Nacional de Transparencia, Acceso a la Información y Protección de Datos Personales (INAI)</w:t>
      </w:r>
      <w:r w:rsidRPr="00A942EE">
        <w:rPr>
          <w:rFonts w:ascii="Palatino Linotype" w:hAnsi="Palatino Linotype" w:cs="Tahoma"/>
          <w:sz w:val="22"/>
        </w:rPr>
        <w:t xml:space="preserve">, mismo que se cita a continuación: </w:t>
      </w:r>
    </w:p>
    <w:p w14:paraId="5563EB6F" w14:textId="77777777" w:rsidR="00691D52" w:rsidRPr="00A942EE" w:rsidRDefault="00691D52" w:rsidP="00500F7C">
      <w:pPr>
        <w:tabs>
          <w:tab w:val="left" w:pos="4962"/>
        </w:tabs>
        <w:spacing w:line="360" w:lineRule="auto"/>
        <w:jc w:val="both"/>
        <w:rPr>
          <w:rFonts w:ascii="Palatino Linotype" w:hAnsi="Palatino Linotype" w:cs="Tahoma"/>
          <w:sz w:val="22"/>
        </w:rPr>
      </w:pPr>
    </w:p>
    <w:p w14:paraId="3945D035" w14:textId="77777777" w:rsidR="00500F7C" w:rsidRDefault="00500F7C" w:rsidP="00500F7C">
      <w:pPr>
        <w:tabs>
          <w:tab w:val="left" w:pos="4962"/>
        </w:tabs>
        <w:spacing w:line="360" w:lineRule="auto"/>
        <w:ind w:left="567" w:right="567"/>
        <w:jc w:val="both"/>
        <w:rPr>
          <w:rFonts w:ascii="Palatino Linotype" w:hAnsi="Palatino Linotype" w:cs="Tahoma"/>
          <w:i/>
        </w:rPr>
      </w:pPr>
      <w:r w:rsidRPr="00A942EE">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A942EE">
        <w:rPr>
          <w:rFonts w:ascii="Palatino Linotype" w:hAnsi="Palatino Linotype" w:cs="Tahoma"/>
          <w:i/>
        </w:rPr>
        <w:t xml:space="preserve">El Instituto Federal de Acceso a la Información y Protección de Datos es un órgano de la Administración Pública Federal con autonomía operativa, presupuestaria y de </w:t>
      </w:r>
      <w:r w:rsidRPr="00A942EE">
        <w:rPr>
          <w:rFonts w:ascii="Palatino Linotype" w:hAnsi="Palatino Linotype" w:cs="Tahoma"/>
          <w:i/>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3C2FA9" w14:textId="77777777" w:rsidR="00F64333" w:rsidRPr="00A942EE" w:rsidRDefault="00F64333" w:rsidP="00500F7C">
      <w:pPr>
        <w:tabs>
          <w:tab w:val="left" w:pos="4962"/>
        </w:tabs>
        <w:spacing w:line="360" w:lineRule="auto"/>
        <w:ind w:left="567" w:right="567"/>
        <w:jc w:val="both"/>
        <w:rPr>
          <w:rFonts w:ascii="Palatino Linotype" w:hAnsi="Palatino Linotype" w:cs="Tahoma"/>
          <w:i/>
        </w:rPr>
      </w:pPr>
    </w:p>
    <w:p w14:paraId="05C30963" w14:textId="20BB1BB8" w:rsidR="0033186F" w:rsidRDefault="00E21674" w:rsidP="00691D52">
      <w:pPr>
        <w:tabs>
          <w:tab w:val="left" w:pos="567"/>
          <w:tab w:val="left" w:pos="8080"/>
        </w:tabs>
        <w:spacing w:line="360" w:lineRule="auto"/>
        <w:ind w:right="-28"/>
        <w:jc w:val="both"/>
        <w:rPr>
          <w:rFonts w:ascii="Palatino Linotype" w:hAnsi="Palatino Linotype"/>
          <w:sz w:val="22"/>
        </w:rPr>
      </w:pPr>
      <w:r>
        <w:rPr>
          <w:rFonts w:ascii="Palatino Linotype" w:hAnsi="Palatino Linotype" w:cs="Arial"/>
          <w:sz w:val="22"/>
          <w:shd w:val="clear" w:color="auto" w:fill="FFFFFF"/>
        </w:rPr>
        <w:t xml:space="preserve">No obstante, este Órgano Garante realizó una búsqueda respecto a la información solicitada, misma que arrojó como resultado una nota periodística </w:t>
      </w:r>
      <w:r w:rsidR="0033186F" w:rsidRPr="0033186F">
        <w:rPr>
          <w:rFonts w:ascii="Palatino Linotype" w:hAnsi="Palatino Linotype" w:cs="Arial"/>
          <w:sz w:val="22"/>
          <w:szCs w:val="22"/>
          <w:shd w:val="clear" w:color="auto" w:fill="FFFFFF"/>
        </w:rPr>
        <w:t xml:space="preserve">consultada en la página electrónica  </w:t>
      </w:r>
      <w:hyperlink r:id="rId12" w:history="1">
        <w:r w:rsidR="0033186F" w:rsidRPr="0033186F">
          <w:rPr>
            <w:rStyle w:val="Hipervnculo"/>
            <w:rFonts w:ascii="Palatino Linotype" w:eastAsiaTheme="majorEastAsia" w:hAnsi="Palatino Linotype"/>
            <w:sz w:val="22"/>
          </w:rPr>
          <w:t>https://www.digitalmex.mx/municipios/story/7630/entrega-uaemex-harley-davidson-a-estudiante-que-gano-rifa</w:t>
        </w:r>
      </w:hyperlink>
      <w:r w:rsidR="00691D52">
        <w:rPr>
          <w:rFonts w:ascii="Palatino Linotype" w:hAnsi="Palatino Linotype"/>
          <w:sz w:val="22"/>
        </w:rPr>
        <w:t xml:space="preserve">; en ella se </w:t>
      </w:r>
      <w:r w:rsidR="0033186F">
        <w:rPr>
          <w:rFonts w:ascii="Palatino Linotype" w:hAnsi="Palatino Linotype"/>
          <w:sz w:val="22"/>
        </w:rPr>
        <w:t xml:space="preserve">hace constar que el Director del </w:t>
      </w:r>
      <w:r w:rsidR="00D40C5E">
        <w:rPr>
          <w:rFonts w:ascii="Palatino Linotype" w:hAnsi="Palatino Linotype"/>
          <w:sz w:val="22"/>
        </w:rPr>
        <w:t xml:space="preserve">Centro Universitario de Valle de Chalco, entregó el premio de la rifa consistente en una motocicleta Harley Davidson y que los recursos obtenidos de la misma serían destinados para la compra de luminarias de la explanada principal del campus. </w:t>
      </w:r>
    </w:p>
    <w:p w14:paraId="2C8579B5" w14:textId="77777777" w:rsidR="00691D52" w:rsidRPr="0033186F" w:rsidRDefault="00691D52" w:rsidP="00691D52">
      <w:pPr>
        <w:tabs>
          <w:tab w:val="left" w:pos="567"/>
          <w:tab w:val="left" w:pos="8080"/>
        </w:tabs>
        <w:spacing w:line="360" w:lineRule="auto"/>
        <w:ind w:right="-28"/>
        <w:jc w:val="both"/>
        <w:rPr>
          <w:rFonts w:ascii="Palatino Linotype" w:hAnsi="Palatino Linotype" w:cs="Arial"/>
          <w:sz w:val="24"/>
          <w:shd w:val="clear" w:color="auto" w:fill="FFFFFF"/>
        </w:rPr>
      </w:pPr>
    </w:p>
    <w:p w14:paraId="427CAB66" w14:textId="77777777" w:rsidR="00CB52F0" w:rsidRPr="00AE37FA" w:rsidRDefault="00CB52F0" w:rsidP="00CB52F0">
      <w:pPr>
        <w:tabs>
          <w:tab w:val="left" w:pos="4962"/>
        </w:tabs>
        <w:spacing w:line="360" w:lineRule="auto"/>
        <w:jc w:val="both"/>
        <w:rPr>
          <w:rFonts w:ascii="Palatino Linotype" w:hAnsi="Palatino Linotype" w:cs="Tahoma"/>
          <w:sz w:val="22"/>
          <w:szCs w:val="22"/>
        </w:rPr>
      </w:pPr>
      <w:r w:rsidRPr="003E4E33">
        <w:rPr>
          <w:rFonts w:ascii="Palatino Linotype" w:hAnsi="Palatino Linotype" w:cs="Tahoma"/>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PERIODÍSTICAS, EL CONOCIMIENTO QUE DE ELLAS SE OBTIENE NO CONSTITUYE ‘UN HECHO PÚBLICO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w:t>
      </w:r>
      <w:r w:rsidRPr="003E4E33">
        <w:rPr>
          <w:rFonts w:ascii="Palatino Linotype" w:hAnsi="Palatino Linotype" w:cs="Tahoma"/>
          <w:sz w:val="22"/>
          <w:szCs w:val="22"/>
        </w:rPr>
        <w:lastRenderedPageBreak/>
        <w:t xml:space="preserve">de todos, o un hecho cuyo conocimiento forme parte de la cultura propia de un círculo social </w:t>
      </w:r>
      <w:r w:rsidRPr="00AE37FA">
        <w:rPr>
          <w:rFonts w:ascii="Palatino Linotype" w:hAnsi="Palatino Linotype" w:cs="Tahoma"/>
          <w:sz w:val="22"/>
          <w:szCs w:val="22"/>
        </w:rPr>
        <w:t>determinado, en el tiempo de su realización.</w:t>
      </w:r>
    </w:p>
    <w:p w14:paraId="43C84411" w14:textId="77777777" w:rsidR="00CB52F0" w:rsidRPr="00AE37FA" w:rsidRDefault="00CB52F0" w:rsidP="00CB52F0">
      <w:pPr>
        <w:tabs>
          <w:tab w:val="left" w:pos="4962"/>
        </w:tabs>
        <w:spacing w:line="360" w:lineRule="auto"/>
        <w:jc w:val="both"/>
        <w:rPr>
          <w:rFonts w:ascii="Palatino Linotype" w:hAnsi="Palatino Linotype" w:cs="Tahoma"/>
          <w:sz w:val="22"/>
          <w:szCs w:val="22"/>
        </w:rPr>
      </w:pPr>
    </w:p>
    <w:p w14:paraId="74E81C1C" w14:textId="0ED66E7D" w:rsidR="00CB52F0" w:rsidRPr="00AE37FA" w:rsidRDefault="00CB52F0" w:rsidP="00CB52F0">
      <w:pPr>
        <w:tabs>
          <w:tab w:val="left" w:pos="4962"/>
        </w:tabs>
        <w:spacing w:line="360" w:lineRule="auto"/>
        <w:jc w:val="both"/>
        <w:rPr>
          <w:rFonts w:ascii="Palatino Linotype" w:hAnsi="Palatino Linotype" w:cs="Tahoma"/>
          <w:sz w:val="22"/>
          <w:szCs w:val="22"/>
        </w:rPr>
      </w:pPr>
      <w:r w:rsidRPr="00AE37FA">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0DC77EEB" w14:textId="760BC110" w:rsidR="00E21674" w:rsidRPr="00AE37FA" w:rsidRDefault="008F1133" w:rsidP="00452F41">
      <w:pPr>
        <w:tabs>
          <w:tab w:val="left" w:pos="4962"/>
        </w:tabs>
        <w:spacing w:line="360" w:lineRule="auto"/>
        <w:jc w:val="both"/>
        <w:rPr>
          <w:rFonts w:ascii="Palatino Linotype" w:hAnsi="Palatino Linotype" w:cs="Arial"/>
          <w:sz w:val="22"/>
          <w:shd w:val="clear" w:color="auto" w:fill="FFFFFF"/>
        </w:rPr>
      </w:pPr>
      <w:r w:rsidRPr="00AE37FA">
        <w:rPr>
          <w:rFonts w:ascii="Palatino Linotype" w:hAnsi="Palatino Linotype" w:cs="Tahoma"/>
          <w:sz w:val="22"/>
          <w:szCs w:val="22"/>
        </w:rPr>
        <w:t>En ese sentido, si bien la nota periodística</w:t>
      </w:r>
      <w:r w:rsidR="00CB52F0" w:rsidRPr="00AE37FA">
        <w:rPr>
          <w:rFonts w:ascii="Palatino Linotype" w:hAnsi="Palatino Linotype" w:cs="Tahoma"/>
          <w:sz w:val="22"/>
          <w:szCs w:val="22"/>
        </w:rPr>
        <w:t xml:space="preserve"> señalada, contiene información que guarda relación con lo solicitado,</w:t>
      </w:r>
      <w:r w:rsidRPr="00AE37FA">
        <w:rPr>
          <w:rFonts w:ascii="Palatino Linotype" w:hAnsi="Palatino Linotype" w:cs="Tahoma"/>
          <w:sz w:val="22"/>
          <w:szCs w:val="22"/>
        </w:rPr>
        <w:t xml:space="preserve"> lo cierto es que no constituye</w:t>
      </w:r>
      <w:r w:rsidR="00CB52F0" w:rsidRPr="00AE37FA">
        <w:rPr>
          <w:rFonts w:ascii="Palatino Linotype" w:hAnsi="Palatino Linotype" w:cs="Tahoma"/>
          <w:sz w:val="22"/>
          <w:szCs w:val="22"/>
        </w:rPr>
        <w:t xml:space="preserve"> prueba plena, al ser una opinión privada realizada por parte de un particular; sin embargo, en el presente caso, </w:t>
      </w:r>
      <w:r w:rsidR="00452F41" w:rsidRPr="00AE37FA">
        <w:rPr>
          <w:rFonts w:ascii="Palatino Linotype" w:hAnsi="Palatino Linotype" w:cs="Tahoma"/>
          <w:sz w:val="22"/>
          <w:szCs w:val="22"/>
        </w:rPr>
        <w:t>genera</w:t>
      </w:r>
      <w:r w:rsidR="00CB52F0" w:rsidRPr="00AE37FA">
        <w:rPr>
          <w:rFonts w:ascii="Palatino Linotype" w:hAnsi="Palatino Linotype" w:cs="Tahoma"/>
          <w:sz w:val="22"/>
          <w:szCs w:val="22"/>
        </w:rPr>
        <w:t xml:space="preserve"> indicio</w:t>
      </w:r>
      <w:r w:rsidR="00452F41" w:rsidRPr="00AE37FA">
        <w:rPr>
          <w:rFonts w:ascii="Palatino Linotype" w:hAnsi="Palatino Linotype" w:cs="Tahoma"/>
          <w:sz w:val="22"/>
          <w:szCs w:val="22"/>
        </w:rPr>
        <w:t xml:space="preserve">s para este Instituto, </w:t>
      </w:r>
      <w:r w:rsidR="002004DD" w:rsidRPr="00AE37FA">
        <w:rPr>
          <w:rFonts w:ascii="Palatino Linotype" w:hAnsi="Palatino Linotype" w:cs="Arial"/>
          <w:sz w:val="22"/>
          <w:shd w:val="clear" w:color="auto" w:fill="FFFFFF"/>
        </w:rPr>
        <w:t>sobre lo informado por la Universidad Autónoma del Estado de México</w:t>
      </w:r>
      <w:r w:rsidR="00452F41" w:rsidRPr="00AE37FA">
        <w:rPr>
          <w:rFonts w:ascii="Palatino Linotype" w:hAnsi="Palatino Linotype" w:cs="Arial"/>
          <w:sz w:val="22"/>
          <w:shd w:val="clear" w:color="auto" w:fill="FFFFFF"/>
        </w:rPr>
        <w:t>.</w:t>
      </w:r>
    </w:p>
    <w:p w14:paraId="25D6A207" w14:textId="77777777" w:rsidR="00E21674" w:rsidRPr="00AE37FA" w:rsidRDefault="00E21674" w:rsidP="00500F7C">
      <w:pPr>
        <w:tabs>
          <w:tab w:val="left" w:pos="567"/>
          <w:tab w:val="left" w:pos="8080"/>
        </w:tabs>
        <w:spacing w:line="360" w:lineRule="auto"/>
        <w:ind w:right="-28"/>
        <w:jc w:val="both"/>
        <w:rPr>
          <w:rFonts w:ascii="Palatino Linotype" w:hAnsi="Palatino Linotype" w:cs="Arial"/>
          <w:sz w:val="22"/>
          <w:shd w:val="clear" w:color="auto" w:fill="FFFFFF"/>
        </w:rPr>
      </w:pPr>
    </w:p>
    <w:p w14:paraId="3B28ED7E" w14:textId="4D592772" w:rsidR="00500F7C" w:rsidRDefault="00500F7C" w:rsidP="00500F7C">
      <w:pPr>
        <w:tabs>
          <w:tab w:val="left" w:pos="567"/>
          <w:tab w:val="left" w:pos="8080"/>
        </w:tabs>
        <w:spacing w:line="360" w:lineRule="auto"/>
        <w:ind w:right="-28"/>
        <w:jc w:val="both"/>
        <w:rPr>
          <w:rFonts w:ascii="Palatino Linotype" w:hAnsi="Palatino Linotype" w:cs="Arial"/>
          <w:sz w:val="22"/>
          <w:shd w:val="clear" w:color="auto" w:fill="FFFFFF"/>
        </w:rPr>
      </w:pPr>
      <w:r w:rsidRPr="00AE37FA">
        <w:rPr>
          <w:rFonts w:ascii="Palatino Linotype" w:hAnsi="Palatino Linotype" w:cs="Arial"/>
          <w:sz w:val="22"/>
          <w:shd w:val="clear" w:color="auto" w:fill="FFFFFF"/>
        </w:rPr>
        <w:t xml:space="preserve">Bajo ese orden de ideas, </w:t>
      </w:r>
      <w:r w:rsidR="001736EC" w:rsidRPr="00AE37FA">
        <w:rPr>
          <w:rFonts w:ascii="Palatino Linotype" w:hAnsi="Palatino Linotype" w:cs="Arial"/>
          <w:sz w:val="22"/>
          <w:shd w:val="clear" w:color="auto" w:fill="FFFFFF"/>
        </w:rPr>
        <w:t>y toda vez que el Particular únicamente solicitó el monto y destino</w:t>
      </w:r>
      <w:r w:rsidR="001736EC">
        <w:rPr>
          <w:rFonts w:ascii="Palatino Linotype" w:hAnsi="Palatino Linotype" w:cs="Arial"/>
          <w:sz w:val="22"/>
          <w:shd w:val="clear" w:color="auto" w:fill="FFFFFF"/>
        </w:rPr>
        <w:t xml:space="preserve"> de los recursos de la rifa de una motocicleta Harley Davidson, organizada </w:t>
      </w:r>
      <w:r w:rsidR="001736EC" w:rsidRPr="001736EC">
        <w:rPr>
          <w:rFonts w:ascii="Palatino Linotype" w:hAnsi="Palatino Linotype" w:cs="Arial"/>
          <w:sz w:val="22"/>
          <w:szCs w:val="22"/>
          <w:shd w:val="clear" w:color="auto" w:fill="FFFFFF"/>
        </w:rPr>
        <w:t xml:space="preserve">por la </w:t>
      </w:r>
      <w:r w:rsidR="001736EC" w:rsidRPr="001736EC">
        <w:rPr>
          <w:rFonts w:ascii="Palatino Linotype" w:hAnsi="Palatino Linotype"/>
          <w:color w:val="000000"/>
          <w:sz w:val="22"/>
          <w:szCs w:val="22"/>
        </w:rPr>
        <w:t>Dirección del Centro Universitario UAEM Valle de Chalco, en diciembre de 2017</w:t>
      </w:r>
      <w:r w:rsidR="001736EC">
        <w:rPr>
          <w:rFonts w:ascii="Palatino Linotype" w:hAnsi="Palatino Linotype"/>
          <w:color w:val="000000"/>
          <w:sz w:val="22"/>
          <w:szCs w:val="22"/>
        </w:rPr>
        <w:t xml:space="preserve">, se advierte que con la respuesta otorgada por el Sujeto Obligado colma la solicitud de información y atiende al interés del particular, en virtud de que proporcionó puntualmente la información requerida. </w:t>
      </w:r>
      <w:r w:rsidR="001736EC" w:rsidRPr="001736EC">
        <w:rPr>
          <w:rFonts w:ascii="Palatino Linotype" w:hAnsi="Palatino Linotype" w:cs="Arial"/>
          <w:sz w:val="22"/>
          <w:szCs w:val="22"/>
          <w:shd w:val="clear" w:color="auto" w:fill="FFFFFF"/>
        </w:rPr>
        <w:t xml:space="preserve"> </w:t>
      </w:r>
    </w:p>
    <w:p w14:paraId="2F7A2BFA" w14:textId="77777777" w:rsidR="001736EC" w:rsidRDefault="001736EC" w:rsidP="00500F7C">
      <w:pPr>
        <w:tabs>
          <w:tab w:val="left" w:pos="567"/>
          <w:tab w:val="left" w:pos="8080"/>
        </w:tabs>
        <w:spacing w:line="360" w:lineRule="auto"/>
        <w:ind w:right="-28"/>
        <w:jc w:val="both"/>
        <w:rPr>
          <w:rFonts w:ascii="Palatino Linotype" w:hAnsi="Palatino Linotype" w:cs="Arial"/>
          <w:sz w:val="22"/>
          <w:shd w:val="clear" w:color="auto" w:fill="FFFFFF"/>
        </w:rPr>
      </w:pPr>
    </w:p>
    <w:p w14:paraId="719DD5B2" w14:textId="4F002203" w:rsidR="00E07FDD" w:rsidRDefault="00E07FDD" w:rsidP="00500F7C">
      <w:pPr>
        <w:tabs>
          <w:tab w:val="left" w:pos="567"/>
          <w:tab w:val="left" w:pos="8080"/>
        </w:tabs>
        <w:spacing w:line="360" w:lineRule="auto"/>
        <w:ind w:right="-28"/>
        <w:jc w:val="both"/>
        <w:rPr>
          <w:rFonts w:ascii="Palatino Linotype" w:hAnsi="Palatino Linotype" w:cs="Arial"/>
          <w:sz w:val="22"/>
          <w:shd w:val="clear" w:color="auto" w:fill="FFFFFF"/>
        </w:rPr>
      </w:pPr>
      <w:r>
        <w:rPr>
          <w:rFonts w:ascii="Palatino Linotype" w:hAnsi="Palatino Linotype" w:cs="Arial"/>
          <w:sz w:val="22"/>
          <w:shd w:val="clear" w:color="auto" w:fill="FFFFFF"/>
        </w:rPr>
        <w:t>Ahora bien</w:t>
      </w:r>
      <w:r w:rsidR="001736EC">
        <w:rPr>
          <w:rFonts w:ascii="Palatino Linotype" w:hAnsi="Palatino Linotype" w:cs="Arial"/>
          <w:sz w:val="22"/>
          <w:shd w:val="clear" w:color="auto" w:fill="FFFFFF"/>
        </w:rPr>
        <w:t xml:space="preserve">, no pasa desapercibido que el </w:t>
      </w:r>
      <w:r w:rsidR="00A82258">
        <w:rPr>
          <w:rFonts w:ascii="Palatino Linotype" w:hAnsi="Palatino Linotype" w:cs="Arial"/>
          <w:sz w:val="22"/>
          <w:shd w:val="clear" w:color="auto" w:fill="FFFFFF"/>
        </w:rPr>
        <w:t>Particular se inconformó de que el Sujeto Obligado había proporcionado una cédula de evaluación del servicio para usuarios virtuales con solicitudes de información pública, sin dar a conocer la información requerida; sin embargo tal y como se ha analizado en párrafos precedentes, el Sujeto Obligado en su respuesta s</w:t>
      </w:r>
      <w:r>
        <w:rPr>
          <w:rFonts w:ascii="Palatino Linotype" w:hAnsi="Palatino Linotype" w:cs="Arial"/>
          <w:sz w:val="22"/>
          <w:shd w:val="clear" w:color="auto" w:fill="FFFFFF"/>
        </w:rPr>
        <w:t>í</w:t>
      </w:r>
      <w:r w:rsidR="00A82258">
        <w:rPr>
          <w:rFonts w:ascii="Palatino Linotype" w:hAnsi="Palatino Linotype" w:cs="Arial"/>
          <w:sz w:val="22"/>
          <w:shd w:val="clear" w:color="auto" w:fill="FFFFFF"/>
        </w:rPr>
        <w:t xml:space="preserve"> proporcion</w:t>
      </w:r>
      <w:r w:rsidR="0006074A">
        <w:rPr>
          <w:rFonts w:ascii="Palatino Linotype" w:hAnsi="Palatino Linotype" w:cs="Arial"/>
          <w:sz w:val="22"/>
          <w:shd w:val="clear" w:color="auto" w:fill="FFFFFF"/>
        </w:rPr>
        <w:t xml:space="preserve">ó lo solicitado </w:t>
      </w:r>
      <w:r w:rsidR="00A82258">
        <w:rPr>
          <w:rFonts w:ascii="Palatino Linotype" w:hAnsi="Palatino Linotype" w:cs="Arial"/>
          <w:sz w:val="22"/>
          <w:shd w:val="clear" w:color="auto" w:fill="FFFFFF"/>
        </w:rPr>
        <w:t>por el Particular</w:t>
      </w:r>
      <w:r>
        <w:rPr>
          <w:rFonts w:ascii="Palatino Linotype" w:hAnsi="Palatino Linotype" w:cs="Arial"/>
          <w:sz w:val="22"/>
          <w:shd w:val="clear" w:color="auto" w:fill="FFFFFF"/>
        </w:rPr>
        <w:t xml:space="preserve">. </w:t>
      </w:r>
    </w:p>
    <w:p w14:paraId="035263B5" w14:textId="77777777" w:rsidR="00E07FDD" w:rsidRDefault="00E07FDD" w:rsidP="00500F7C">
      <w:pPr>
        <w:tabs>
          <w:tab w:val="left" w:pos="567"/>
          <w:tab w:val="left" w:pos="8080"/>
        </w:tabs>
        <w:spacing w:line="360" w:lineRule="auto"/>
        <w:ind w:right="-28"/>
        <w:jc w:val="both"/>
        <w:rPr>
          <w:rFonts w:ascii="Palatino Linotype" w:hAnsi="Palatino Linotype" w:cs="Arial"/>
          <w:sz w:val="22"/>
          <w:shd w:val="clear" w:color="auto" w:fill="FFFFFF"/>
        </w:rPr>
      </w:pPr>
    </w:p>
    <w:p w14:paraId="5F60C082" w14:textId="0AD91B5B" w:rsidR="00500F7C" w:rsidRDefault="00E07FDD" w:rsidP="00E07FDD">
      <w:pPr>
        <w:tabs>
          <w:tab w:val="left" w:pos="567"/>
          <w:tab w:val="left" w:pos="8080"/>
        </w:tabs>
        <w:spacing w:line="360" w:lineRule="auto"/>
        <w:ind w:right="-28"/>
        <w:jc w:val="both"/>
        <w:rPr>
          <w:rFonts w:ascii="Palatino Linotype" w:eastAsia="Calibri" w:hAnsi="Palatino Linotype" w:cs="Tahoma"/>
          <w:iCs/>
          <w:sz w:val="22"/>
          <w:szCs w:val="22"/>
          <w:lang w:eastAsia="es-ES_tradnl"/>
        </w:rPr>
      </w:pPr>
      <w:r>
        <w:rPr>
          <w:rFonts w:ascii="Palatino Linotype" w:hAnsi="Palatino Linotype" w:cs="Arial"/>
          <w:sz w:val="22"/>
          <w:shd w:val="clear" w:color="auto" w:fill="FFFFFF"/>
        </w:rPr>
        <w:t xml:space="preserve">Por otro lado, </w:t>
      </w:r>
      <w:r w:rsidR="00A82258">
        <w:rPr>
          <w:rFonts w:ascii="Palatino Linotype" w:hAnsi="Palatino Linotype" w:cs="Arial"/>
          <w:sz w:val="22"/>
          <w:shd w:val="clear" w:color="auto" w:fill="FFFFFF"/>
        </w:rPr>
        <w:t xml:space="preserve"> </w:t>
      </w:r>
      <w:r>
        <w:rPr>
          <w:rFonts w:ascii="Palatino Linotype" w:hAnsi="Palatino Linotype" w:cs="Arial"/>
          <w:sz w:val="22"/>
          <w:shd w:val="clear" w:color="auto" w:fill="FFFFFF"/>
        </w:rPr>
        <w:t xml:space="preserve">la cédula  de la cual se inconforma el Particular,  remitida por el Sujeto Obligado en su respuesta; atiende a cuestiones de evaluación del servicio que presta la Unidad de Transparencia de la Universidad Autónoma del Estado de México a fin de valorar si la </w:t>
      </w:r>
      <w:r>
        <w:rPr>
          <w:rFonts w:ascii="Palatino Linotype" w:hAnsi="Palatino Linotype" w:cs="Arial"/>
          <w:sz w:val="22"/>
          <w:shd w:val="clear" w:color="auto" w:fill="FFFFFF"/>
        </w:rPr>
        <w:lastRenderedPageBreak/>
        <w:t>información proporcionada satisface lo solicitado por el Particular, por lo que su</w:t>
      </w:r>
      <w:r>
        <w:rPr>
          <w:rFonts w:ascii="Palatino Linotype" w:eastAsia="Calibri" w:hAnsi="Palatino Linotype" w:cs="Tahoma"/>
          <w:iCs/>
          <w:sz w:val="22"/>
          <w:szCs w:val="22"/>
          <w:lang w:eastAsia="es-ES_tradnl"/>
        </w:rPr>
        <w:t xml:space="preserve"> llenado es opcional y no condiciona en nada la entrega de la información solicitada, en consecuencia no genera una afectación al Recurrente. </w:t>
      </w:r>
    </w:p>
    <w:p w14:paraId="40413472" w14:textId="77777777" w:rsidR="00E07FDD" w:rsidRPr="00E07FDD" w:rsidRDefault="00E07FDD" w:rsidP="00E07FDD">
      <w:pPr>
        <w:tabs>
          <w:tab w:val="left" w:pos="567"/>
          <w:tab w:val="left" w:pos="8080"/>
        </w:tabs>
        <w:spacing w:line="360" w:lineRule="auto"/>
        <w:ind w:right="-28"/>
        <w:jc w:val="both"/>
        <w:rPr>
          <w:rFonts w:ascii="Palatino Linotype" w:hAnsi="Palatino Linotype" w:cs="Arial"/>
          <w:sz w:val="22"/>
          <w:shd w:val="clear" w:color="auto" w:fill="FFFFFF"/>
        </w:rPr>
      </w:pPr>
    </w:p>
    <w:p w14:paraId="71B165BB" w14:textId="28E6E685" w:rsidR="00BA46A8" w:rsidRDefault="00BA46A8" w:rsidP="00BA46A8">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1A73C5">
        <w:rPr>
          <w:rFonts w:ascii="Palatino Linotype" w:hAnsi="Palatino Linotype" w:cs="Tahoma"/>
          <w:b/>
          <w:sz w:val="22"/>
          <w:szCs w:val="22"/>
        </w:rPr>
        <w:t xml:space="preserve">. </w:t>
      </w:r>
      <w:r>
        <w:rPr>
          <w:rFonts w:ascii="Palatino Linotype" w:hAnsi="Palatino Linotype" w:cs="Tahoma"/>
          <w:b/>
          <w:sz w:val="22"/>
          <w:szCs w:val="22"/>
        </w:rPr>
        <w:t>Decisión</w:t>
      </w:r>
      <w:r w:rsidRPr="001A73C5">
        <w:rPr>
          <w:rFonts w:ascii="Palatino Linotype" w:hAnsi="Palatino Linotype" w:cs="Tahoma"/>
          <w:b/>
          <w:sz w:val="22"/>
          <w:szCs w:val="22"/>
        </w:rPr>
        <w:t>.</w:t>
      </w:r>
    </w:p>
    <w:p w14:paraId="4114BBEC" w14:textId="77777777" w:rsidR="004F02D4" w:rsidRPr="001A73C5" w:rsidRDefault="004F02D4" w:rsidP="00BA46A8">
      <w:pPr>
        <w:spacing w:line="360" w:lineRule="auto"/>
        <w:jc w:val="both"/>
        <w:rPr>
          <w:rFonts w:ascii="Palatino Linotype" w:hAnsi="Palatino Linotype" w:cs="Tahoma"/>
          <w:b/>
          <w:sz w:val="22"/>
          <w:szCs w:val="22"/>
        </w:rPr>
      </w:pPr>
    </w:p>
    <w:p w14:paraId="39258FAA" w14:textId="765695EA" w:rsidR="00FB4A61" w:rsidRPr="002B5464" w:rsidRDefault="004866EC" w:rsidP="004F02D4">
      <w:pPr>
        <w:autoSpaceDE w:val="0"/>
        <w:autoSpaceDN w:val="0"/>
        <w:adjustRightInd w:val="0"/>
        <w:spacing w:line="360" w:lineRule="auto"/>
        <w:jc w:val="both"/>
        <w:rPr>
          <w:rFonts w:ascii="Palatino Linotype" w:hAnsi="Palatino Linotype" w:cs="Bookman Old Style"/>
          <w:sz w:val="22"/>
        </w:rPr>
      </w:pPr>
      <w:r>
        <w:rPr>
          <w:rFonts w:ascii="Palatino Linotype" w:hAnsi="Palatino Linotype" w:cs="Arial"/>
          <w:sz w:val="22"/>
          <w:szCs w:val="22"/>
        </w:rPr>
        <w:t>De acuerdo con lo expuesto y</w:t>
      </w:r>
      <w:r w:rsidR="00223C13" w:rsidRPr="006A36F7">
        <w:rPr>
          <w:rFonts w:ascii="Palatino Linotype" w:hAnsi="Palatino Linotype" w:cs="Arial"/>
          <w:sz w:val="22"/>
          <w:szCs w:val="22"/>
        </w:rPr>
        <w:t>, con fundamento en los</w:t>
      </w:r>
      <w:r w:rsidR="00776E99" w:rsidRPr="006A36F7">
        <w:rPr>
          <w:rFonts w:ascii="Palatino Linotype" w:hAnsi="Palatino Linotype" w:cs="Arial"/>
          <w:sz w:val="22"/>
          <w:szCs w:val="22"/>
        </w:rPr>
        <w:t xml:space="preserve"> artículo</w:t>
      </w:r>
      <w:r w:rsidR="00223C13" w:rsidRPr="006A36F7">
        <w:rPr>
          <w:rFonts w:ascii="Palatino Linotype" w:hAnsi="Palatino Linotype" w:cs="Arial"/>
          <w:sz w:val="22"/>
          <w:szCs w:val="22"/>
        </w:rPr>
        <w:t>s</w:t>
      </w:r>
      <w:r w:rsidR="00846AC6">
        <w:rPr>
          <w:rFonts w:ascii="Palatino Linotype" w:hAnsi="Palatino Linotype" w:cs="Arial"/>
          <w:sz w:val="22"/>
          <w:szCs w:val="22"/>
        </w:rPr>
        <w:t xml:space="preserve"> 186</w:t>
      </w:r>
      <w:r w:rsidR="00776E99" w:rsidRPr="006A36F7">
        <w:rPr>
          <w:rFonts w:ascii="Palatino Linotype" w:hAnsi="Palatino Linotype" w:cs="Arial"/>
          <w:sz w:val="22"/>
          <w:szCs w:val="22"/>
        </w:rPr>
        <w:t xml:space="preserve"> fracción I</w:t>
      </w:r>
      <w:r w:rsidR="004F02D4">
        <w:rPr>
          <w:rFonts w:ascii="Palatino Linotype" w:hAnsi="Palatino Linotype" w:cs="Arial"/>
          <w:sz w:val="22"/>
          <w:szCs w:val="22"/>
        </w:rPr>
        <w:t>I</w:t>
      </w:r>
      <w:r w:rsidR="00776E99" w:rsidRPr="006A36F7">
        <w:rPr>
          <w:rFonts w:ascii="Palatino Linotype" w:hAnsi="Palatino Linotype" w:cs="Arial"/>
          <w:sz w:val="22"/>
          <w:szCs w:val="22"/>
        </w:rPr>
        <w:t xml:space="preserve"> de la Ley de Transparencia y Acceso a la Información Pública del Estado de México y Municipios, </w:t>
      </w:r>
      <w:r w:rsidR="00935607" w:rsidRPr="006A36F7">
        <w:rPr>
          <w:rFonts w:ascii="Palatino Linotype" w:hAnsi="Palatino Linotype" w:cs="Arial"/>
          <w:sz w:val="22"/>
          <w:szCs w:val="22"/>
        </w:rPr>
        <w:t xml:space="preserve">es procedente </w:t>
      </w:r>
      <w:r w:rsidR="004F02D4">
        <w:rPr>
          <w:rFonts w:ascii="Palatino Linotype" w:hAnsi="Palatino Linotype" w:cs="Arial"/>
          <w:b/>
          <w:sz w:val="22"/>
          <w:szCs w:val="22"/>
        </w:rPr>
        <w:t xml:space="preserve">CONFIRMAR </w:t>
      </w:r>
      <w:r w:rsidR="00060F74">
        <w:rPr>
          <w:rFonts w:ascii="Palatino Linotype" w:hAnsi="Palatino Linotype" w:cs="Arial"/>
          <w:sz w:val="22"/>
          <w:szCs w:val="22"/>
        </w:rPr>
        <w:t>l</w:t>
      </w:r>
      <w:r w:rsidR="004F02D4">
        <w:rPr>
          <w:rFonts w:ascii="Palatino Linotype" w:hAnsi="Palatino Linotype" w:cs="Arial"/>
          <w:sz w:val="22"/>
          <w:szCs w:val="22"/>
        </w:rPr>
        <w:t>a respuesta del Sujeto Obligado.</w:t>
      </w:r>
    </w:p>
    <w:p w14:paraId="567434D3" w14:textId="77777777" w:rsidR="001934DC" w:rsidRPr="006A36F7" w:rsidRDefault="001934DC" w:rsidP="007479DD">
      <w:pPr>
        <w:spacing w:line="360" w:lineRule="auto"/>
        <w:jc w:val="both"/>
        <w:rPr>
          <w:rFonts w:ascii="Palatino Linotype" w:hAnsi="Palatino Linotype" w:cs="Tahoma"/>
          <w:sz w:val="22"/>
          <w:szCs w:val="22"/>
          <w:lang w:val="es-MX"/>
        </w:rPr>
      </w:pPr>
    </w:p>
    <w:p w14:paraId="567434D4" w14:textId="77777777" w:rsidR="00776E99" w:rsidRPr="006A36F7" w:rsidRDefault="00776E99" w:rsidP="007479DD">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567434D6" w14:textId="77777777" w:rsidR="003B3C9D" w:rsidRPr="006A36F7" w:rsidRDefault="00776E99" w:rsidP="007479DD">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7479DD">
      <w:pPr>
        <w:spacing w:line="360" w:lineRule="auto"/>
        <w:jc w:val="center"/>
        <w:rPr>
          <w:rFonts w:ascii="Palatino Linotype" w:hAnsi="Palatino Linotype" w:cs="Tahoma"/>
          <w:b/>
          <w:bCs/>
          <w:sz w:val="22"/>
          <w:szCs w:val="22"/>
          <w:lang w:val="es-ES_tradnl"/>
        </w:rPr>
      </w:pPr>
    </w:p>
    <w:p w14:paraId="1EEFCB53" w14:textId="28B3AB1E" w:rsidR="00B17D5A" w:rsidRPr="00A942EE" w:rsidRDefault="00B17D5A" w:rsidP="00B17D5A">
      <w:pPr>
        <w:spacing w:line="360" w:lineRule="auto"/>
        <w:jc w:val="both"/>
        <w:rPr>
          <w:rFonts w:ascii="Palatino Linotype" w:hAnsi="Palatino Linotype"/>
          <w:sz w:val="22"/>
          <w:szCs w:val="22"/>
        </w:rPr>
      </w:pPr>
      <w:r w:rsidRPr="00A942EE">
        <w:rPr>
          <w:rFonts w:ascii="Palatino Linotype" w:hAnsi="Palatino Linotype"/>
          <w:b/>
          <w:sz w:val="22"/>
          <w:szCs w:val="22"/>
        </w:rPr>
        <w:t xml:space="preserve">PRIMERO. </w:t>
      </w:r>
      <w:r w:rsidRPr="00A942EE">
        <w:rPr>
          <w:rFonts w:ascii="Palatino Linotype" w:hAnsi="Palatino Linotype"/>
          <w:sz w:val="22"/>
          <w:szCs w:val="22"/>
        </w:rPr>
        <w:t xml:space="preserve">Se </w:t>
      </w:r>
      <w:r w:rsidRPr="00A942EE">
        <w:rPr>
          <w:rFonts w:ascii="Palatino Linotype" w:hAnsi="Palatino Linotype"/>
          <w:b/>
          <w:sz w:val="22"/>
          <w:szCs w:val="22"/>
        </w:rPr>
        <w:t xml:space="preserve">CONFIRMA </w:t>
      </w:r>
      <w:r w:rsidRPr="00A942EE">
        <w:rPr>
          <w:rFonts w:ascii="Palatino Linotype" w:hAnsi="Palatino Linotype"/>
          <w:sz w:val="22"/>
          <w:szCs w:val="22"/>
        </w:rPr>
        <w:t>la respuesta del Sujeto Obligado</w:t>
      </w:r>
      <w:r w:rsidRPr="00A942EE">
        <w:rPr>
          <w:rFonts w:ascii="Palatino Linotype" w:hAnsi="Palatino Linotype"/>
          <w:b/>
          <w:sz w:val="22"/>
          <w:szCs w:val="22"/>
        </w:rPr>
        <w:t xml:space="preserve"> </w:t>
      </w:r>
      <w:r w:rsidRPr="00A942EE">
        <w:rPr>
          <w:rFonts w:ascii="Palatino Linotype" w:hAnsi="Palatino Linotype"/>
          <w:bCs/>
          <w:sz w:val="22"/>
          <w:szCs w:val="22"/>
        </w:rPr>
        <w:t xml:space="preserve">a la solicitud de </w:t>
      </w:r>
      <w:r w:rsidR="00253997">
        <w:rPr>
          <w:rFonts w:ascii="Palatino Linotype" w:hAnsi="Palatino Linotype"/>
          <w:bCs/>
          <w:sz w:val="22"/>
          <w:szCs w:val="22"/>
        </w:rPr>
        <w:t xml:space="preserve">acceso a la </w:t>
      </w:r>
      <w:r w:rsidRPr="00A942EE">
        <w:rPr>
          <w:rFonts w:ascii="Palatino Linotype" w:hAnsi="Palatino Linotype"/>
          <w:bCs/>
          <w:sz w:val="22"/>
          <w:szCs w:val="22"/>
        </w:rPr>
        <w:t>información</w:t>
      </w:r>
      <w:r w:rsidR="00253997">
        <w:rPr>
          <w:rFonts w:ascii="Palatino Linotype" w:hAnsi="Palatino Linotype"/>
          <w:bCs/>
          <w:sz w:val="22"/>
          <w:szCs w:val="22"/>
        </w:rPr>
        <w:t xml:space="preserve"> pública</w:t>
      </w:r>
      <w:r w:rsidRPr="00A942EE">
        <w:rPr>
          <w:rFonts w:ascii="Palatino Linotype" w:hAnsi="Palatino Linotype"/>
          <w:bCs/>
          <w:sz w:val="22"/>
          <w:szCs w:val="22"/>
        </w:rPr>
        <w:t xml:space="preserve"> </w:t>
      </w:r>
      <w:r>
        <w:rPr>
          <w:color w:val="000000"/>
          <w:sz w:val="27"/>
          <w:szCs w:val="27"/>
        </w:rPr>
        <w:t> </w:t>
      </w:r>
      <w:r>
        <w:rPr>
          <w:rFonts w:ascii="Verdana" w:hAnsi="Verdana"/>
          <w:b/>
          <w:bCs/>
          <w:color w:val="FF0000"/>
        </w:rPr>
        <w:t> </w:t>
      </w:r>
      <w:r w:rsidRPr="00B17D5A">
        <w:rPr>
          <w:rFonts w:ascii="Palatino Linotype" w:hAnsi="Palatino Linotype"/>
          <w:b/>
          <w:bCs/>
          <w:sz w:val="22"/>
          <w:szCs w:val="22"/>
        </w:rPr>
        <w:t>00367/UAEM/IP/2019</w:t>
      </w:r>
      <w:r w:rsidRPr="00A942EE">
        <w:rPr>
          <w:rFonts w:ascii="Palatino Linotype" w:hAnsi="Palatino Linotype" w:cs="Tahoma"/>
          <w:b/>
          <w:bCs/>
          <w:sz w:val="22"/>
          <w:szCs w:val="22"/>
        </w:rPr>
        <w:t xml:space="preserve">, </w:t>
      </w:r>
      <w:r w:rsidRPr="00A942EE">
        <w:rPr>
          <w:rFonts w:ascii="Palatino Linotype" w:hAnsi="Palatino Linotype"/>
          <w:sz w:val="22"/>
          <w:szCs w:val="22"/>
        </w:rPr>
        <w:t xml:space="preserve">por resultar infundadas las razones o motivos de inconformidad hechos </w:t>
      </w:r>
      <w:r w:rsidRPr="00A942EE">
        <w:rPr>
          <w:rFonts w:ascii="Palatino Linotype" w:hAnsi="Palatino Linotype" w:cs="Tahoma"/>
          <w:sz w:val="22"/>
          <w:szCs w:val="22"/>
        </w:rPr>
        <w:t>valer</w:t>
      </w:r>
      <w:r w:rsidRPr="00A942EE">
        <w:rPr>
          <w:rFonts w:ascii="Palatino Linotype" w:hAnsi="Palatino Linotype"/>
          <w:sz w:val="22"/>
          <w:szCs w:val="22"/>
        </w:rPr>
        <w:t xml:space="preserve"> por </w:t>
      </w:r>
      <w:r>
        <w:rPr>
          <w:rFonts w:ascii="Palatino Linotype" w:hAnsi="Palatino Linotype"/>
          <w:sz w:val="22"/>
          <w:szCs w:val="22"/>
        </w:rPr>
        <w:t>e</w:t>
      </w:r>
      <w:r w:rsidRPr="00A942EE">
        <w:rPr>
          <w:rFonts w:ascii="Palatino Linotype" w:hAnsi="Palatino Linotype"/>
          <w:sz w:val="22"/>
          <w:szCs w:val="22"/>
        </w:rPr>
        <w:t>l Recurrente, en términos de</w:t>
      </w:r>
      <w:r>
        <w:rPr>
          <w:rFonts w:ascii="Palatino Linotype" w:hAnsi="Palatino Linotype"/>
          <w:sz w:val="22"/>
          <w:szCs w:val="22"/>
        </w:rPr>
        <w:t xml:space="preserve"> </w:t>
      </w:r>
      <w:r w:rsidRPr="00A942EE">
        <w:rPr>
          <w:rFonts w:ascii="Palatino Linotype" w:hAnsi="Palatino Linotype"/>
          <w:sz w:val="22"/>
          <w:szCs w:val="22"/>
        </w:rPr>
        <w:t>l</w:t>
      </w:r>
      <w:r>
        <w:rPr>
          <w:rFonts w:ascii="Palatino Linotype" w:hAnsi="Palatino Linotype"/>
          <w:sz w:val="22"/>
          <w:szCs w:val="22"/>
        </w:rPr>
        <w:t>os</w:t>
      </w:r>
      <w:r w:rsidRPr="00A942EE">
        <w:rPr>
          <w:rFonts w:ascii="Palatino Linotype" w:hAnsi="Palatino Linotype"/>
          <w:sz w:val="22"/>
          <w:szCs w:val="22"/>
        </w:rPr>
        <w:t xml:space="preserve"> Considerando</w:t>
      </w:r>
      <w:r>
        <w:rPr>
          <w:rFonts w:ascii="Palatino Linotype" w:hAnsi="Palatino Linotype"/>
          <w:sz w:val="22"/>
          <w:szCs w:val="22"/>
        </w:rPr>
        <w:t>s</w:t>
      </w:r>
      <w:r w:rsidRPr="00A942EE">
        <w:rPr>
          <w:rFonts w:ascii="Palatino Linotype" w:hAnsi="Palatino Linotype"/>
          <w:sz w:val="22"/>
          <w:szCs w:val="22"/>
        </w:rPr>
        <w:t xml:space="preserve"> </w:t>
      </w:r>
      <w:r w:rsidRPr="00A942EE">
        <w:rPr>
          <w:rFonts w:ascii="Palatino Linotype" w:hAnsi="Palatino Linotype"/>
          <w:b/>
          <w:sz w:val="22"/>
          <w:szCs w:val="22"/>
        </w:rPr>
        <w:t xml:space="preserve">QUINTO </w:t>
      </w:r>
      <w:r>
        <w:rPr>
          <w:rFonts w:ascii="Palatino Linotype" w:hAnsi="Palatino Linotype"/>
          <w:b/>
          <w:sz w:val="22"/>
          <w:szCs w:val="22"/>
        </w:rPr>
        <w:t xml:space="preserve">y SEXTO </w:t>
      </w:r>
      <w:r w:rsidRPr="00A942EE">
        <w:rPr>
          <w:rFonts w:ascii="Palatino Linotype" w:hAnsi="Palatino Linotype"/>
          <w:sz w:val="22"/>
          <w:szCs w:val="22"/>
        </w:rPr>
        <w:t>de esta Resolución.</w:t>
      </w:r>
    </w:p>
    <w:p w14:paraId="7057E95E" w14:textId="77777777" w:rsidR="00B17D5A" w:rsidRPr="00A942EE" w:rsidRDefault="00B17D5A" w:rsidP="00B17D5A">
      <w:pPr>
        <w:spacing w:line="360" w:lineRule="auto"/>
        <w:jc w:val="both"/>
        <w:rPr>
          <w:rFonts w:ascii="Palatino Linotype" w:hAnsi="Palatino Linotype" w:cs="Arial"/>
          <w:sz w:val="22"/>
          <w:szCs w:val="22"/>
        </w:rPr>
      </w:pPr>
    </w:p>
    <w:p w14:paraId="77A0C085" w14:textId="77777777" w:rsidR="00B17D5A" w:rsidRPr="00A942EE" w:rsidRDefault="00B17D5A" w:rsidP="00B17D5A">
      <w:pPr>
        <w:spacing w:line="360" w:lineRule="auto"/>
        <w:jc w:val="both"/>
        <w:rPr>
          <w:rFonts w:ascii="Palatino Linotype" w:hAnsi="Palatino Linotype" w:cs="Tahoma"/>
          <w:i/>
          <w:sz w:val="22"/>
          <w:szCs w:val="22"/>
        </w:rPr>
      </w:pPr>
      <w:r w:rsidRPr="00A942EE">
        <w:rPr>
          <w:rFonts w:ascii="Palatino Linotype" w:eastAsia="Calibri" w:hAnsi="Palatino Linotype" w:cs="Tahoma"/>
          <w:b/>
          <w:bCs/>
          <w:sz w:val="22"/>
          <w:szCs w:val="22"/>
          <w:lang w:eastAsia="en-US"/>
        </w:rPr>
        <w:t xml:space="preserve">SEGUNDO. </w:t>
      </w:r>
      <w:r w:rsidRPr="00A942EE">
        <w:rPr>
          <w:rFonts w:ascii="Palatino Linotype" w:hAnsi="Palatino Linotype" w:cs="Tahoma"/>
          <w:b/>
          <w:sz w:val="22"/>
          <w:szCs w:val="22"/>
        </w:rPr>
        <w:t xml:space="preserve">NOTIFÍQUESE </w:t>
      </w:r>
      <w:r w:rsidRPr="00A942EE">
        <w:rPr>
          <w:rFonts w:ascii="Palatino Linotype" w:hAnsi="Palatino Linotype" w:cs="Tahoma"/>
          <w:sz w:val="22"/>
          <w:szCs w:val="22"/>
        </w:rPr>
        <w:t>la presente resolución al Titular de la Unidad de Transparencia del Sujeto Obligado.</w:t>
      </w:r>
    </w:p>
    <w:p w14:paraId="6D069471" w14:textId="77777777" w:rsidR="00B17D5A" w:rsidRPr="00A942EE" w:rsidRDefault="00B17D5A" w:rsidP="00B17D5A">
      <w:pPr>
        <w:shd w:val="clear" w:color="auto" w:fill="FFFFFF" w:themeFill="background1"/>
        <w:spacing w:line="360" w:lineRule="auto"/>
        <w:jc w:val="both"/>
        <w:rPr>
          <w:rFonts w:ascii="Palatino Linotype" w:eastAsia="Calibri" w:hAnsi="Palatino Linotype" w:cs="Tahoma"/>
          <w:sz w:val="22"/>
          <w:szCs w:val="22"/>
          <w:lang w:eastAsia="es-MX"/>
        </w:rPr>
      </w:pPr>
    </w:p>
    <w:p w14:paraId="3079A312" w14:textId="77777777" w:rsidR="00B17D5A" w:rsidRPr="00A942EE" w:rsidRDefault="00B17D5A" w:rsidP="00B17D5A">
      <w:pPr>
        <w:shd w:val="clear" w:color="auto" w:fill="FFFFFF" w:themeFill="background1"/>
        <w:spacing w:line="360" w:lineRule="auto"/>
        <w:jc w:val="both"/>
        <w:rPr>
          <w:rFonts w:ascii="Palatino Linotype" w:hAnsi="Palatino Linotype" w:cs="Tahoma"/>
          <w:sz w:val="22"/>
          <w:szCs w:val="22"/>
        </w:rPr>
      </w:pPr>
      <w:r w:rsidRPr="00A942EE">
        <w:rPr>
          <w:rFonts w:ascii="Palatino Linotype" w:eastAsia="Calibri" w:hAnsi="Palatino Linotype" w:cs="Tahoma"/>
          <w:b/>
          <w:sz w:val="22"/>
          <w:szCs w:val="22"/>
          <w:lang w:eastAsia="es-MX"/>
        </w:rPr>
        <w:t>TERCERO</w:t>
      </w:r>
      <w:r w:rsidRPr="00A942EE">
        <w:rPr>
          <w:rFonts w:ascii="Palatino Linotype" w:eastAsia="Calibri" w:hAnsi="Palatino Linotype" w:cs="Tahoma"/>
          <w:b/>
          <w:bCs/>
          <w:sz w:val="22"/>
          <w:szCs w:val="22"/>
          <w:lang w:eastAsia="en-US"/>
        </w:rPr>
        <w:t xml:space="preserve">. </w:t>
      </w:r>
      <w:r w:rsidRPr="00A942EE">
        <w:rPr>
          <w:rFonts w:ascii="Palatino Linotype" w:hAnsi="Palatino Linotype" w:cs="Tahoma"/>
          <w:b/>
          <w:sz w:val="22"/>
          <w:szCs w:val="22"/>
        </w:rPr>
        <w:t>NOTIFÍQUESE</w:t>
      </w:r>
      <w:r w:rsidRPr="00A942E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434DD" w14:textId="77777777" w:rsidR="00776E99" w:rsidRPr="006A36F7" w:rsidRDefault="00776E99" w:rsidP="007479DD">
      <w:pPr>
        <w:spacing w:line="360" w:lineRule="auto"/>
        <w:jc w:val="both"/>
        <w:rPr>
          <w:rFonts w:ascii="Palatino Linotype" w:hAnsi="Palatino Linotype" w:cs="Tahoma"/>
          <w:sz w:val="22"/>
          <w:szCs w:val="22"/>
          <w:lang w:val="es-MX"/>
        </w:rPr>
      </w:pPr>
    </w:p>
    <w:p w14:paraId="567434DE" w14:textId="129471EB" w:rsidR="00DB429F" w:rsidRPr="006A36F7" w:rsidRDefault="00DB429F" w:rsidP="007479DD">
      <w:pPr>
        <w:spacing w:line="360" w:lineRule="auto"/>
        <w:jc w:val="both"/>
        <w:rPr>
          <w:rFonts w:ascii="Palatino Linotype" w:hAnsi="Palatino Linotype" w:cs="Arial"/>
          <w:sz w:val="22"/>
          <w:szCs w:val="22"/>
          <w:lang w:eastAsia="es-MX"/>
        </w:rPr>
      </w:pPr>
      <w:r w:rsidRPr="006A36F7">
        <w:rPr>
          <w:rFonts w:ascii="Palatino Linotype" w:hAnsi="Palatino Linotype" w:cs="Arial"/>
          <w:sz w:val="22"/>
          <w:szCs w:val="22"/>
          <w:lang w:eastAsia="es-MX"/>
        </w:rPr>
        <w:t xml:space="preserve">ASÍ, POR </w:t>
      </w:r>
      <w:r w:rsidRPr="006A36F7">
        <w:rPr>
          <w:rFonts w:ascii="Palatino Linotype" w:hAnsi="Palatino Linotype" w:cs="Arial"/>
          <w:b/>
          <w:sz w:val="22"/>
          <w:szCs w:val="22"/>
          <w:lang w:eastAsia="es-MX"/>
        </w:rPr>
        <w:t>UNANIMIDAD</w:t>
      </w:r>
      <w:r w:rsidRPr="006A36F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6A36F7">
        <w:rPr>
          <w:rFonts w:ascii="Palatino Linotype" w:hAnsi="Palatino Linotype" w:cs="Arial"/>
          <w:bCs/>
          <w:sz w:val="22"/>
          <w:szCs w:val="22"/>
          <w:lang w:eastAsia="es-MX"/>
        </w:rPr>
        <w:t>EVA ABAID YAPUR</w:t>
      </w:r>
      <w:r w:rsidR="008F70FD" w:rsidRPr="006A36F7">
        <w:rPr>
          <w:rFonts w:ascii="Palatino Linotype" w:hAnsi="Palatino Linotype" w:cs="Arial"/>
          <w:bCs/>
          <w:sz w:val="22"/>
          <w:szCs w:val="22"/>
          <w:lang w:eastAsia="es-MX"/>
        </w:rPr>
        <w:t xml:space="preserve">, </w:t>
      </w:r>
      <w:r w:rsidRPr="006A36F7">
        <w:rPr>
          <w:rFonts w:ascii="Palatino Linotype" w:hAnsi="Palatino Linotype" w:cs="Arial"/>
          <w:sz w:val="22"/>
          <w:szCs w:val="22"/>
          <w:lang w:eastAsia="es-MX"/>
        </w:rPr>
        <w:t>JOSÉ GUADALUPE LUNA HERNÁNDEZ</w:t>
      </w:r>
      <w:r w:rsidR="008F70FD" w:rsidRPr="006A36F7">
        <w:rPr>
          <w:rFonts w:ascii="Palatino Linotype" w:hAnsi="Palatino Linotype" w:cs="Arial"/>
          <w:sz w:val="22"/>
          <w:szCs w:val="22"/>
          <w:lang w:eastAsia="es-MX"/>
        </w:rPr>
        <w:t>,</w:t>
      </w:r>
      <w:r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val="es-ES_tradnl" w:eastAsia="es-MX"/>
        </w:rPr>
        <w:t>JAVIER MARTÍNEZ CRUZ Y LUIS GUSTAVO PARRA NORIEGA</w:t>
      </w:r>
      <w:r w:rsidRPr="006A36F7">
        <w:rPr>
          <w:rFonts w:ascii="Palatino Linotype" w:hAnsi="Palatino Linotype" w:cs="Arial"/>
          <w:sz w:val="22"/>
          <w:szCs w:val="22"/>
          <w:lang w:eastAsia="es-MX"/>
        </w:rPr>
        <w:t xml:space="preserve">, EN LA </w:t>
      </w:r>
      <w:r w:rsidR="00B17D5A">
        <w:rPr>
          <w:rFonts w:ascii="Palatino Linotype" w:hAnsi="Palatino Linotype" w:cs="Arial"/>
          <w:sz w:val="22"/>
          <w:szCs w:val="22"/>
          <w:lang w:eastAsia="es-MX"/>
        </w:rPr>
        <w:t>VIGÉSIMA CUARTA</w:t>
      </w:r>
      <w:r w:rsidR="001934DC"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 xml:space="preserve">SESIÓN ORDINARIA, CELEBRADA EL </w:t>
      </w:r>
      <w:r w:rsidR="00800B14">
        <w:rPr>
          <w:rFonts w:ascii="Palatino Linotype" w:hAnsi="Palatino Linotype" w:cs="Arial"/>
          <w:sz w:val="22"/>
          <w:szCs w:val="22"/>
          <w:lang w:eastAsia="es-MX"/>
        </w:rPr>
        <w:t>VEINTISÉIS</w:t>
      </w:r>
      <w:r w:rsidR="004042AF">
        <w:rPr>
          <w:rFonts w:ascii="Palatino Linotype" w:hAnsi="Palatino Linotype" w:cs="Arial"/>
          <w:sz w:val="22"/>
          <w:szCs w:val="22"/>
          <w:lang w:eastAsia="es-MX"/>
        </w:rPr>
        <w:t xml:space="preserve"> DE JUNIO</w:t>
      </w:r>
      <w:r w:rsidR="00300671"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DE DOS MIL DIECI</w:t>
      </w:r>
      <w:r w:rsidR="007479DD" w:rsidRPr="006A36F7">
        <w:rPr>
          <w:rFonts w:ascii="Palatino Linotype" w:hAnsi="Palatino Linotype" w:cs="Arial"/>
          <w:sz w:val="22"/>
          <w:szCs w:val="22"/>
          <w:lang w:eastAsia="es-MX"/>
        </w:rPr>
        <w:t>NUEVE,</w:t>
      </w:r>
      <w:r w:rsidRPr="006A36F7">
        <w:rPr>
          <w:rFonts w:ascii="Palatino Linotype" w:hAnsi="Palatino Linotype" w:cs="Arial"/>
          <w:sz w:val="22"/>
          <w:szCs w:val="22"/>
          <w:lang w:eastAsia="es-MX"/>
        </w:rPr>
        <w:t xml:space="preserve"> ANTE EL SECRETARIO TÉCNICO DEL PLENO, ALEXIS TAPIA RAMÍREZ.</w:t>
      </w:r>
    </w:p>
    <w:p w14:paraId="567434DF" w14:textId="4C98B64A" w:rsidR="004022FB" w:rsidRDefault="004022FB" w:rsidP="007479DD">
      <w:pPr>
        <w:spacing w:line="360" w:lineRule="auto"/>
        <w:ind w:right="-93"/>
        <w:jc w:val="both"/>
        <w:rPr>
          <w:rFonts w:ascii="Palatino Linotype" w:eastAsia="Calibri" w:hAnsi="Palatino Linotype" w:cs="Tahoma"/>
          <w:b/>
          <w:bCs/>
          <w:sz w:val="22"/>
          <w:szCs w:val="22"/>
          <w:lang w:eastAsia="en-US"/>
        </w:rPr>
      </w:pPr>
    </w:p>
    <w:p w14:paraId="4D7ACC92" w14:textId="77777777" w:rsidR="00800B14" w:rsidRDefault="00800B14" w:rsidP="007479DD">
      <w:pPr>
        <w:spacing w:line="360" w:lineRule="auto"/>
        <w:jc w:val="both"/>
        <w:rPr>
          <w:rFonts w:ascii="Palatino Linotype" w:hAnsi="Palatino Linotype" w:cs="Tahoma"/>
          <w:sz w:val="22"/>
          <w:szCs w:val="22"/>
          <w:lang w:val="es-MX"/>
        </w:rPr>
      </w:pPr>
    </w:p>
    <w:p w14:paraId="567434E0" w14:textId="77777777" w:rsidR="00035017" w:rsidRPr="006A36F7" w:rsidRDefault="00035017"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567434F6">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1B6804" w:rsidRPr="00016AF3" w:rsidRDefault="001B6804"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56743528"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1B6804" w:rsidRPr="00016AF3" w:rsidRDefault="001B6804"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2"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3"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4" w14:textId="7542E2B2" w:rsidR="00035017" w:rsidRDefault="00035017" w:rsidP="007479DD">
      <w:pPr>
        <w:spacing w:line="360" w:lineRule="auto"/>
        <w:jc w:val="both"/>
        <w:rPr>
          <w:rFonts w:ascii="Palatino Linotype" w:hAnsi="Palatino Linotype" w:cs="Tahoma"/>
          <w:b/>
          <w:sz w:val="22"/>
          <w:szCs w:val="22"/>
          <w:lang w:val="es-MX"/>
        </w:rPr>
      </w:pPr>
    </w:p>
    <w:p w14:paraId="1030917A"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5" w14:textId="77777777" w:rsidR="00035017" w:rsidRPr="006A36F7" w:rsidRDefault="00035017" w:rsidP="007479DD">
      <w:pPr>
        <w:spacing w:line="360" w:lineRule="auto"/>
        <w:jc w:val="both"/>
        <w:rPr>
          <w:rFonts w:ascii="Palatino Linotype" w:hAnsi="Palatino Linotype" w:cs="Tahoma"/>
          <w:b/>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567434F8">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1B6804" w:rsidRDefault="001B6804" w:rsidP="00035017">
                            <w:pPr>
                              <w:jc w:val="center"/>
                              <w:rPr>
                                <w:rFonts w:ascii="Palatino Linotype" w:hAnsi="Palatino Linotype" w:cs="Tahoma"/>
                                <w:b/>
                                <w:sz w:val="22"/>
                                <w:szCs w:val="22"/>
                              </w:rPr>
                            </w:pPr>
                          </w:p>
                          <w:p w14:paraId="5674352C"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1B6804" w:rsidRPr="007516C8" w:rsidRDefault="001B6804"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1B6804" w:rsidRPr="0080253B" w:rsidRDefault="001B6804"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7"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674352B" w14:textId="77777777" w:rsidR="001B6804" w:rsidRDefault="001B6804" w:rsidP="00035017">
                      <w:pPr>
                        <w:jc w:val="center"/>
                        <w:rPr>
                          <w:rFonts w:ascii="Palatino Linotype" w:hAnsi="Palatino Linotype" w:cs="Tahoma"/>
                          <w:b/>
                          <w:sz w:val="22"/>
                          <w:szCs w:val="22"/>
                        </w:rPr>
                      </w:pPr>
                    </w:p>
                    <w:p w14:paraId="5674352C"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1B6804" w:rsidRPr="007516C8" w:rsidRDefault="001B6804"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1B6804" w:rsidRPr="0080253B" w:rsidRDefault="001B6804" w:rsidP="00035017">
                      <w:pPr>
                        <w:jc w:val="center"/>
                        <w:rPr>
                          <w:rFonts w:ascii="Palatino Linotype" w:hAnsi="Palatino Linotype" w:cs="Tahoma"/>
                          <w:b/>
                          <w:sz w:val="22"/>
                          <w:szCs w:val="22"/>
                        </w:rPr>
                      </w:pP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567434F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1B6804" w:rsidRDefault="001B6804" w:rsidP="00035017">
                            <w:pPr>
                              <w:jc w:val="center"/>
                              <w:rPr>
                                <w:rFonts w:ascii="Palatino Linotype" w:hAnsi="Palatino Linotype" w:cs="Tahoma"/>
                                <w:b/>
                                <w:sz w:val="22"/>
                                <w:szCs w:val="22"/>
                              </w:rPr>
                            </w:pPr>
                          </w:p>
                          <w:p w14:paraId="56743531"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1B6804" w:rsidRPr="00DF30A3" w:rsidRDefault="001B6804"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1B6804" w:rsidRPr="0080253B" w:rsidRDefault="001B6804"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56743530" w14:textId="77777777" w:rsidR="001B6804" w:rsidRDefault="001B6804" w:rsidP="00035017">
                      <w:pPr>
                        <w:jc w:val="center"/>
                        <w:rPr>
                          <w:rFonts w:ascii="Palatino Linotype" w:hAnsi="Palatino Linotype" w:cs="Tahoma"/>
                          <w:b/>
                          <w:sz w:val="22"/>
                          <w:szCs w:val="22"/>
                        </w:rPr>
                      </w:pPr>
                    </w:p>
                    <w:p w14:paraId="56743531"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1B6804" w:rsidRPr="00DF30A3" w:rsidRDefault="001B6804"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1B6804" w:rsidRPr="0080253B" w:rsidRDefault="001B6804"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7"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8"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9" w14:textId="7983BE07" w:rsidR="00035017" w:rsidRDefault="00035017" w:rsidP="007479DD">
      <w:pPr>
        <w:spacing w:line="360" w:lineRule="auto"/>
        <w:jc w:val="both"/>
        <w:rPr>
          <w:rFonts w:ascii="Palatino Linotype" w:hAnsi="Palatino Linotype" w:cs="Tahoma"/>
          <w:b/>
          <w:sz w:val="22"/>
          <w:szCs w:val="22"/>
          <w:lang w:val="es-MX"/>
        </w:rPr>
      </w:pPr>
    </w:p>
    <w:p w14:paraId="567434EA"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B" w14:textId="77777777" w:rsidR="00035017" w:rsidRPr="006A36F7" w:rsidRDefault="00D147D5"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1B6804" w:rsidRDefault="001B6804" w:rsidP="00035017">
                            <w:pPr>
                              <w:jc w:val="center"/>
                              <w:rPr>
                                <w:rFonts w:ascii="Palatino Linotype" w:hAnsi="Palatino Linotype" w:cs="Tahoma"/>
                                <w:b/>
                                <w:sz w:val="22"/>
                                <w:szCs w:val="22"/>
                                <w:lang w:val="es-MX"/>
                              </w:rPr>
                            </w:pPr>
                          </w:p>
                          <w:p w14:paraId="56743536"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1B6804" w:rsidRPr="007516C8" w:rsidRDefault="001B6804"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1B6804" w:rsidRDefault="001B6804" w:rsidP="00035017">
                      <w:pPr>
                        <w:jc w:val="center"/>
                        <w:rPr>
                          <w:rFonts w:ascii="Palatino Linotype" w:hAnsi="Palatino Linotype" w:cs="Tahoma"/>
                          <w:b/>
                          <w:sz w:val="22"/>
                          <w:szCs w:val="22"/>
                          <w:lang w:val="es-MX"/>
                        </w:rPr>
                      </w:pPr>
                    </w:p>
                    <w:p w14:paraId="56743536"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1B6804" w:rsidRPr="007516C8" w:rsidRDefault="001B6804"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567434FE">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1B6804" w:rsidRDefault="001B6804" w:rsidP="00035017">
                            <w:pPr>
                              <w:jc w:val="center"/>
                              <w:rPr>
                                <w:rFonts w:ascii="Palatino Linotype" w:hAnsi="Palatino Linotype" w:cs="Tahoma"/>
                                <w:b/>
                                <w:sz w:val="22"/>
                                <w:szCs w:val="22"/>
                              </w:rPr>
                            </w:pPr>
                          </w:p>
                          <w:p w14:paraId="5674353A"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1B6804" w:rsidRPr="007516C8" w:rsidRDefault="001B6804"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743539" w14:textId="77777777" w:rsidR="001B6804" w:rsidRDefault="001B6804" w:rsidP="00035017">
                      <w:pPr>
                        <w:jc w:val="center"/>
                        <w:rPr>
                          <w:rFonts w:ascii="Palatino Linotype" w:hAnsi="Palatino Linotype" w:cs="Tahoma"/>
                          <w:b/>
                          <w:sz w:val="22"/>
                          <w:szCs w:val="22"/>
                        </w:rPr>
                      </w:pPr>
                    </w:p>
                    <w:p w14:paraId="5674353A"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1B6804" w:rsidRPr="007516C8" w:rsidRDefault="001B6804"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D"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E" w14:textId="7F87EFA4" w:rsidR="00035017" w:rsidRDefault="00035017" w:rsidP="007479DD">
      <w:pPr>
        <w:spacing w:line="360" w:lineRule="auto"/>
        <w:jc w:val="both"/>
        <w:rPr>
          <w:rFonts w:ascii="Palatino Linotype" w:hAnsi="Palatino Linotype" w:cs="Tahoma"/>
          <w:sz w:val="22"/>
          <w:szCs w:val="22"/>
          <w:lang w:val="es-MX"/>
        </w:rPr>
      </w:pPr>
    </w:p>
    <w:p w14:paraId="1D016E6D" w14:textId="6379582E" w:rsidR="00DF30A3" w:rsidRDefault="00DF30A3" w:rsidP="007479DD">
      <w:pPr>
        <w:spacing w:line="360" w:lineRule="auto"/>
        <w:jc w:val="both"/>
        <w:rPr>
          <w:rFonts w:ascii="Palatino Linotype" w:hAnsi="Palatino Linotype" w:cs="Tahoma"/>
          <w:sz w:val="22"/>
          <w:szCs w:val="22"/>
          <w:lang w:val="es-MX"/>
        </w:rPr>
      </w:pPr>
    </w:p>
    <w:p w14:paraId="567434EF" w14:textId="77777777" w:rsidR="00035017" w:rsidRPr="006A36F7" w:rsidRDefault="008C67EF"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1B6804" w:rsidRDefault="001B6804" w:rsidP="00035017">
                            <w:pPr>
                              <w:jc w:val="center"/>
                              <w:rPr>
                                <w:rFonts w:ascii="Palatino Linotype" w:hAnsi="Palatino Linotype" w:cs="Tahoma"/>
                                <w:b/>
                                <w:sz w:val="22"/>
                                <w:szCs w:val="22"/>
                              </w:rPr>
                            </w:pPr>
                          </w:p>
                          <w:p w14:paraId="5674353E" w14:textId="77777777" w:rsidR="001B6804" w:rsidRDefault="001B6804" w:rsidP="00035017">
                            <w:pPr>
                              <w:jc w:val="center"/>
                              <w:rPr>
                                <w:rFonts w:ascii="Palatino Linotype" w:hAnsi="Palatino Linotype" w:cs="Tahoma"/>
                                <w:b/>
                                <w:sz w:val="22"/>
                                <w:szCs w:val="22"/>
                              </w:rPr>
                            </w:pPr>
                          </w:p>
                          <w:p w14:paraId="5674353F"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1B6804" w:rsidRPr="0080253B" w:rsidRDefault="001B6804"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1B6804" w:rsidRPr="00EF2FC0" w:rsidRDefault="001B6804" w:rsidP="00035017">
                            <w:pPr>
                              <w:jc w:val="center"/>
                              <w:rPr>
                                <w:rFonts w:ascii="Palatino Linotype" w:hAnsi="Palatino Linotype"/>
                                <w:sz w:val="24"/>
                                <w:szCs w:val="24"/>
                              </w:rPr>
                            </w:pPr>
                          </w:p>
                          <w:p w14:paraId="56743543" w14:textId="77777777" w:rsidR="001B6804" w:rsidRDefault="001B6804"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5674353D" w14:textId="77777777" w:rsidR="001B6804" w:rsidRDefault="001B6804" w:rsidP="00035017">
                      <w:pPr>
                        <w:jc w:val="center"/>
                        <w:rPr>
                          <w:rFonts w:ascii="Palatino Linotype" w:hAnsi="Palatino Linotype" w:cs="Tahoma"/>
                          <w:b/>
                          <w:sz w:val="22"/>
                          <w:szCs w:val="22"/>
                        </w:rPr>
                      </w:pPr>
                      <w:bookmarkStart w:id="1" w:name="_GoBack"/>
                      <w:bookmarkEnd w:id="1"/>
                    </w:p>
                    <w:p w14:paraId="5674353E" w14:textId="77777777" w:rsidR="001B6804" w:rsidRDefault="001B6804" w:rsidP="00035017">
                      <w:pPr>
                        <w:jc w:val="center"/>
                        <w:rPr>
                          <w:rFonts w:ascii="Palatino Linotype" w:hAnsi="Palatino Linotype" w:cs="Tahoma"/>
                          <w:b/>
                          <w:sz w:val="22"/>
                          <w:szCs w:val="22"/>
                        </w:rPr>
                      </w:pPr>
                    </w:p>
                    <w:p w14:paraId="5674353F" w14:textId="77777777" w:rsidR="001B6804" w:rsidRPr="007516C8" w:rsidRDefault="001B6804"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1B6804" w:rsidRPr="00DF30A3" w:rsidRDefault="001B6804"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1B6804" w:rsidRPr="0080253B" w:rsidRDefault="001B6804"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1B6804" w:rsidRPr="00EF2FC0" w:rsidRDefault="001B6804" w:rsidP="00035017">
                      <w:pPr>
                        <w:jc w:val="center"/>
                        <w:rPr>
                          <w:rFonts w:ascii="Palatino Linotype" w:hAnsi="Palatino Linotype"/>
                          <w:sz w:val="24"/>
                          <w:szCs w:val="24"/>
                        </w:rPr>
                      </w:pPr>
                    </w:p>
                    <w:p w14:paraId="56743543" w14:textId="77777777" w:rsidR="001B6804" w:rsidRDefault="001B6804" w:rsidP="00035017"/>
                  </w:txbxContent>
                </v:textbox>
                <w10:wrap anchorx="page"/>
              </v:shape>
            </w:pict>
          </mc:Fallback>
        </mc:AlternateContent>
      </w: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1"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2"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4" w14:textId="78196902" w:rsidR="00C159C6" w:rsidRPr="006A36F7" w:rsidRDefault="007516C8" w:rsidP="00693B2B">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6C1EB6" w:rsidRPr="006A36F7">
        <w:rPr>
          <w:rFonts w:ascii="Palatino Linotype" w:eastAsia="Calibri" w:hAnsi="Palatino Linotype" w:cs="Arial"/>
          <w:sz w:val="22"/>
          <w:szCs w:val="22"/>
          <w:lang w:eastAsia="en-US"/>
        </w:rPr>
        <w:t xml:space="preserve">Resolución </w:t>
      </w:r>
      <w:r w:rsidRPr="006A36F7">
        <w:rPr>
          <w:rFonts w:ascii="Palatino Linotype" w:eastAsia="Calibri" w:hAnsi="Palatino Linotype" w:cs="Arial"/>
          <w:sz w:val="22"/>
          <w:szCs w:val="22"/>
          <w:lang w:eastAsia="en-US"/>
        </w:rPr>
        <w:t xml:space="preserve">de </w:t>
      </w:r>
      <w:r w:rsidR="00800B14" w:rsidRPr="00800B14">
        <w:rPr>
          <w:rFonts w:ascii="Palatino Linotype" w:eastAsia="Calibri" w:hAnsi="Palatino Linotype" w:cs="Arial"/>
          <w:sz w:val="22"/>
          <w:szCs w:val="22"/>
          <w:lang w:eastAsia="en-US"/>
        </w:rPr>
        <w:t>fecha veintiséis</w:t>
      </w:r>
      <w:r w:rsidR="004042AF" w:rsidRPr="00800B14">
        <w:rPr>
          <w:rFonts w:ascii="Palatino Linotype" w:eastAsia="Calibri" w:hAnsi="Palatino Linotype" w:cs="Arial"/>
          <w:sz w:val="22"/>
          <w:szCs w:val="22"/>
          <w:lang w:eastAsia="en-US"/>
        </w:rPr>
        <w:t xml:space="preserve"> de junio</w:t>
      </w:r>
      <w:r w:rsidR="00300671" w:rsidRPr="00800B14">
        <w:rPr>
          <w:rFonts w:ascii="Palatino Linotype" w:eastAsia="Calibri" w:hAnsi="Palatino Linotype" w:cs="Arial"/>
          <w:sz w:val="22"/>
          <w:szCs w:val="22"/>
          <w:lang w:eastAsia="en-US"/>
        </w:rPr>
        <w:t xml:space="preserve"> </w:t>
      </w:r>
      <w:r w:rsidRPr="00800B14">
        <w:rPr>
          <w:rFonts w:ascii="Palatino Linotype" w:eastAsia="Calibri" w:hAnsi="Palatino Linotype" w:cs="Arial"/>
          <w:sz w:val="22"/>
          <w:szCs w:val="22"/>
          <w:lang w:eastAsia="en-US"/>
        </w:rPr>
        <w:t>de dos mil dieci</w:t>
      </w:r>
      <w:r w:rsidR="007479DD" w:rsidRPr="00800B14">
        <w:rPr>
          <w:rFonts w:ascii="Palatino Linotype" w:eastAsia="Calibri" w:hAnsi="Palatino Linotype" w:cs="Arial"/>
          <w:sz w:val="22"/>
          <w:szCs w:val="22"/>
          <w:lang w:eastAsia="en-US"/>
        </w:rPr>
        <w:t>nueve</w:t>
      </w:r>
      <w:r w:rsidRPr="00800B14">
        <w:rPr>
          <w:rFonts w:ascii="Palatino Linotype" w:eastAsia="Calibri" w:hAnsi="Palatino Linotype" w:cs="Arial"/>
          <w:sz w:val="22"/>
          <w:szCs w:val="22"/>
          <w:lang w:eastAsia="en-US"/>
        </w:rPr>
        <w:t xml:space="preserve">, emitida en el </w:t>
      </w:r>
      <w:r w:rsidR="006C1EB6" w:rsidRPr="00800B14">
        <w:rPr>
          <w:rFonts w:ascii="Palatino Linotype" w:eastAsia="Calibri" w:hAnsi="Palatino Linotype" w:cs="Arial"/>
          <w:sz w:val="22"/>
          <w:szCs w:val="22"/>
          <w:lang w:eastAsia="en-US"/>
        </w:rPr>
        <w:t xml:space="preserve">Recurso </w:t>
      </w:r>
      <w:r w:rsidRPr="00800B14">
        <w:rPr>
          <w:rFonts w:ascii="Palatino Linotype" w:eastAsia="Calibri" w:hAnsi="Palatino Linotype" w:cs="Arial"/>
          <w:sz w:val="22"/>
          <w:szCs w:val="22"/>
          <w:lang w:eastAsia="en-US"/>
        </w:rPr>
        <w:t xml:space="preserve">de </w:t>
      </w:r>
      <w:r w:rsidR="006C1EB6" w:rsidRPr="00800B14">
        <w:rPr>
          <w:rFonts w:ascii="Palatino Linotype" w:eastAsia="Calibri" w:hAnsi="Palatino Linotype" w:cs="Arial"/>
          <w:sz w:val="22"/>
          <w:szCs w:val="22"/>
          <w:lang w:eastAsia="en-US"/>
        </w:rPr>
        <w:t xml:space="preserve">Revisión </w:t>
      </w:r>
      <w:r w:rsidRPr="00800B14">
        <w:rPr>
          <w:rFonts w:ascii="Palatino Linotype" w:eastAsia="Calibri" w:hAnsi="Palatino Linotype" w:cs="Arial"/>
          <w:sz w:val="22"/>
          <w:szCs w:val="22"/>
          <w:lang w:eastAsia="en-US"/>
        </w:rPr>
        <w:t xml:space="preserve">número </w:t>
      </w:r>
      <w:r w:rsidR="00EA656A" w:rsidRPr="00800B14">
        <w:rPr>
          <w:rFonts w:ascii="Palatino Linotype" w:eastAsia="Calibri" w:hAnsi="Palatino Linotype" w:cs="Tahoma"/>
          <w:b/>
          <w:bCs/>
          <w:sz w:val="22"/>
          <w:szCs w:val="22"/>
          <w:lang w:eastAsia="en-US"/>
        </w:rPr>
        <w:t>0</w:t>
      </w:r>
      <w:r w:rsidR="00C4254F" w:rsidRPr="00800B14">
        <w:rPr>
          <w:rFonts w:ascii="Palatino Linotype" w:eastAsia="Calibri" w:hAnsi="Palatino Linotype" w:cs="Tahoma"/>
          <w:b/>
          <w:bCs/>
          <w:sz w:val="22"/>
          <w:szCs w:val="22"/>
          <w:lang w:eastAsia="en-US"/>
        </w:rPr>
        <w:t>3191</w:t>
      </w:r>
      <w:r w:rsidR="00EA656A" w:rsidRPr="00800B14">
        <w:rPr>
          <w:rFonts w:ascii="Palatino Linotype" w:eastAsia="Calibri" w:hAnsi="Palatino Linotype" w:cs="Tahoma"/>
          <w:b/>
          <w:bCs/>
          <w:sz w:val="22"/>
          <w:szCs w:val="22"/>
          <w:lang w:eastAsia="en-US"/>
        </w:rPr>
        <w:t>/INFOEM/IP/RR/2019</w:t>
      </w:r>
      <w:r w:rsidR="00796319" w:rsidRPr="00800B14">
        <w:rPr>
          <w:rFonts w:ascii="Palatino Linotype" w:eastAsia="Calibri" w:hAnsi="Palatino Linotype" w:cs="Arial"/>
          <w:b/>
          <w:bCs/>
          <w:sz w:val="22"/>
          <w:szCs w:val="22"/>
          <w:lang w:eastAsia="en-US"/>
        </w:rPr>
        <w:t>.</w:t>
      </w:r>
    </w:p>
    <w:sectPr w:rsidR="00C159C6" w:rsidRPr="006A36F7" w:rsidSect="007516C8">
      <w:headerReference w:type="default" r:id="rId13"/>
      <w:footerReference w:type="default" r:id="rId14"/>
      <w:headerReference w:type="first" r:id="rId15"/>
      <w:footerReference w:type="first" r:id="rId16"/>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F628D" w14:textId="77777777" w:rsidR="0047031F" w:rsidRDefault="0047031F" w:rsidP="00B31222">
      <w:r>
        <w:separator/>
      </w:r>
    </w:p>
  </w:endnote>
  <w:endnote w:type="continuationSeparator" w:id="0">
    <w:p w14:paraId="0D7C0EEB" w14:textId="77777777" w:rsidR="0047031F" w:rsidRDefault="0047031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1B6804" w:rsidRDefault="001B6804">
            <w:pPr>
              <w:pStyle w:val="Piedepgina"/>
              <w:jc w:val="right"/>
            </w:pPr>
          </w:p>
          <w:p w14:paraId="56743513" w14:textId="77777777" w:rsidR="001B6804" w:rsidRDefault="001B6804">
            <w:pPr>
              <w:pStyle w:val="Piedepgina"/>
              <w:jc w:val="right"/>
            </w:pPr>
          </w:p>
          <w:p w14:paraId="56743514" w14:textId="4D7F0C05" w:rsidR="001B6804" w:rsidRPr="00035017" w:rsidRDefault="001B6804">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A16356">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A16356">
              <w:rPr>
                <w:b/>
                <w:bCs/>
                <w:noProof/>
              </w:rPr>
              <w:t>23</w:t>
            </w:r>
            <w:r w:rsidRPr="00035017">
              <w:rPr>
                <w:b/>
                <w:bCs/>
              </w:rPr>
              <w:fldChar w:fldCharType="end"/>
            </w:r>
          </w:p>
        </w:sdtContent>
      </w:sdt>
    </w:sdtContent>
  </w:sdt>
  <w:p w14:paraId="56743515" w14:textId="77777777" w:rsidR="001B6804" w:rsidRDefault="001B68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1B6804" w:rsidRDefault="001B680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1635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16356">
              <w:rPr>
                <w:b/>
                <w:bCs/>
                <w:noProof/>
              </w:rPr>
              <w:t>23</w:t>
            </w:r>
            <w:r>
              <w:rPr>
                <w:b/>
                <w:bCs/>
                <w:sz w:val="24"/>
                <w:szCs w:val="24"/>
              </w:rPr>
              <w:fldChar w:fldCharType="end"/>
            </w:r>
          </w:p>
        </w:sdtContent>
      </w:sdt>
    </w:sdtContent>
  </w:sdt>
  <w:p w14:paraId="56743527" w14:textId="77777777" w:rsidR="001B6804" w:rsidRDefault="001B68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05B5" w14:textId="77777777" w:rsidR="0047031F" w:rsidRDefault="0047031F" w:rsidP="00B31222">
      <w:r>
        <w:separator/>
      </w:r>
    </w:p>
  </w:footnote>
  <w:footnote w:type="continuationSeparator" w:id="0">
    <w:p w14:paraId="52FA0589" w14:textId="77777777" w:rsidR="0047031F" w:rsidRDefault="0047031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3402"/>
      <w:gridCol w:w="6379"/>
    </w:tblGrid>
    <w:tr w:rsidR="001B6804" w:rsidRPr="005C106F" w14:paraId="56743510" w14:textId="77777777" w:rsidTr="00FB401D">
      <w:trPr>
        <w:trHeight w:val="1435"/>
      </w:trPr>
      <w:tc>
        <w:tcPr>
          <w:tcW w:w="3402" w:type="dxa"/>
          <w:shd w:val="clear" w:color="auto" w:fill="auto"/>
        </w:tcPr>
        <w:p w14:paraId="56743505" w14:textId="663CA94D" w:rsidR="001B6804" w:rsidRPr="005C106F" w:rsidRDefault="001B6804" w:rsidP="00EF4A64">
          <w:pPr>
            <w:tabs>
              <w:tab w:val="right" w:pos="4273"/>
            </w:tabs>
            <w:rPr>
              <w:rFonts w:ascii="Garamond" w:eastAsia="Calibri" w:hAnsi="Garamond"/>
              <w:sz w:val="16"/>
              <w:szCs w:val="16"/>
              <w:lang w:val="es-MX" w:eastAsia="en-US"/>
            </w:rPr>
          </w:pPr>
        </w:p>
      </w:tc>
      <w:tc>
        <w:tcPr>
          <w:tcW w:w="6379" w:type="dxa"/>
          <w:shd w:val="clear" w:color="auto" w:fill="auto"/>
        </w:tcPr>
        <w:tbl>
          <w:tblPr>
            <w:tblStyle w:val="Tablaconcuadrcula"/>
            <w:tblW w:w="5392"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2977"/>
          </w:tblGrid>
          <w:tr w:rsidR="001B6804" w:rsidRPr="00E152D8" w14:paraId="56743508" w14:textId="77777777" w:rsidTr="00E902E6">
            <w:trPr>
              <w:trHeight w:val="144"/>
            </w:trPr>
            <w:tc>
              <w:tcPr>
                <w:tcW w:w="2415" w:type="dxa"/>
              </w:tcPr>
              <w:p w14:paraId="56743506" w14:textId="77777777" w:rsidR="001B6804" w:rsidRPr="00E152D8" w:rsidRDefault="001B6804"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2977" w:type="dxa"/>
              </w:tcPr>
              <w:p w14:paraId="56743507" w14:textId="70287B91" w:rsidR="001B6804" w:rsidRPr="003A15D6" w:rsidRDefault="001B6804" w:rsidP="00BC6175">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03191</w:t>
                </w:r>
                <w:r w:rsidRPr="003A15D6">
                  <w:rPr>
                    <w:rFonts w:ascii="Palatino Linotype" w:eastAsia="Calibri" w:hAnsi="Palatino Linotype" w:cs="Tahoma"/>
                    <w:bCs/>
                    <w:sz w:val="22"/>
                    <w:szCs w:val="22"/>
                    <w:lang w:eastAsia="en-US"/>
                  </w:rPr>
                  <w:t>/INFOEM/IP/RR/2019</w:t>
                </w:r>
              </w:p>
            </w:tc>
          </w:tr>
          <w:tr w:rsidR="001B6804" w:rsidRPr="00E152D8" w14:paraId="5674350B" w14:textId="77777777" w:rsidTr="00E902E6">
            <w:trPr>
              <w:trHeight w:val="283"/>
            </w:trPr>
            <w:tc>
              <w:tcPr>
                <w:tcW w:w="2415" w:type="dxa"/>
              </w:tcPr>
              <w:p w14:paraId="56743509" w14:textId="77777777" w:rsidR="001B6804" w:rsidRPr="00E152D8" w:rsidRDefault="001B6804"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2977" w:type="dxa"/>
              </w:tcPr>
              <w:p w14:paraId="5674350A" w14:textId="4158896B" w:rsidR="001B6804" w:rsidRPr="00FB401D" w:rsidRDefault="001B6804" w:rsidP="006D2805">
                <w:pPr>
                  <w:tabs>
                    <w:tab w:val="right" w:pos="8838"/>
                  </w:tabs>
                  <w:ind w:right="-32"/>
                  <w:jc w:val="both"/>
                  <w:rPr>
                    <w:rFonts w:ascii="Palatino Linotype" w:eastAsia="Calibri" w:hAnsi="Palatino Linotype" w:cs="Tahoma"/>
                    <w:sz w:val="22"/>
                    <w:szCs w:val="22"/>
                    <w:lang w:val="es-MX" w:eastAsia="en-US"/>
                  </w:rPr>
                </w:pPr>
                <w:bookmarkStart w:id="1" w:name="_Hlk10802705"/>
                <w:r w:rsidRPr="00FB401D">
                  <w:rPr>
                    <w:rFonts w:ascii="Palatino Linotype" w:eastAsia="Calibri" w:hAnsi="Palatino Linotype" w:cs="Tahoma"/>
                    <w:sz w:val="22"/>
                    <w:szCs w:val="22"/>
                    <w:lang w:val="es-MX" w:eastAsia="en-US"/>
                  </w:rPr>
                  <w:t>Universidad Autónoma del Estado de México</w:t>
                </w:r>
                <w:bookmarkEnd w:id="1"/>
              </w:p>
            </w:tc>
          </w:tr>
          <w:tr w:rsidR="001B6804" w:rsidRPr="00E152D8" w14:paraId="5674350E" w14:textId="77777777" w:rsidTr="00E902E6">
            <w:trPr>
              <w:trHeight w:val="283"/>
            </w:trPr>
            <w:tc>
              <w:tcPr>
                <w:tcW w:w="2415" w:type="dxa"/>
              </w:tcPr>
              <w:p w14:paraId="5674350C" w14:textId="77777777" w:rsidR="001B6804" w:rsidRPr="00E152D8" w:rsidRDefault="001B6804"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2977" w:type="dxa"/>
              </w:tcPr>
              <w:p w14:paraId="5674350D" w14:textId="4F3CCBDB" w:rsidR="001B6804" w:rsidRPr="00E152D8" w:rsidRDefault="001B6804"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1B6804" w:rsidRPr="005C106F" w:rsidRDefault="001B6804" w:rsidP="00232673">
          <w:pPr>
            <w:tabs>
              <w:tab w:val="right" w:pos="8838"/>
            </w:tabs>
            <w:ind w:left="-28"/>
            <w:jc w:val="both"/>
            <w:rPr>
              <w:rFonts w:ascii="Arial" w:eastAsia="Calibri" w:hAnsi="Arial" w:cs="Arial"/>
              <w:b/>
              <w:sz w:val="22"/>
              <w:szCs w:val="22"/>
              <w:lang w:val="es-MX" w:eastAsia="en-US"/>
            </w:rPr>
          </w:pPr>
        </w:p>
      </w:tc>
    </w:tr>
  </w:tbl>
  <w:p w14:paraId="56743511" w14:textId="77777777" w:rsidR="001B6804" w:rsidRDefault="001B6804" w:rsidP="00EF4A64">
    <w:pPr>
      <w:pStyle w:val="Encabezado"/>
      <w:rPr>
        <w:sz w:val="14"/>
        <w:lang w:val="es-MX"/>
      </w:rPr>
    </w:pPr>
  </w:p>
  <w:p w14:paraId="1627B8E6" w14:textId="77777777" w:rsidR="00FB401D" w:rsidRDefault="00FB401D" w:rsidP="00EF4A64">
    <w:pPr>
      <w:pStyle w:val="Encabezado"/>
      <w:rPr>
        <w:sz w:val="14"/>
        <w:lang w:val="es-MX"/>
      </w:rPr>
    </w:pPr>
  </w:p>
  <w:p w14:paraId="0CECFA58" w14:textId="77777777" w:rsidR="00FB401D" w:rsidRPr="00443C6B" w:rsidRDefault="00FB401D"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402"/>
      <w:gridCol w:w="5670"/>
    </w:tblGrid>
    <w:tr w:rsidR="001B6804" w:rsidRPr="005C106F" w14:paraId="56743524" w14:textId="77777777" w:rsidTr="00E902E6">
      <w:trPr>
        <w:trHeight w:val="1435"/>
      </w:trPr>
      <w:tc>
        <w:tcPr>
          <w:tcW w:w="3402" w:type="dxa"/>
          <w:shd w:val="clear" w:color="auto" w:fill="auto"/>
        </w:tcPr>
        <w:p w14:paraId="56743516" w14:textId="77777777" w:rsidR="001B6804" w:rsidRPr="005C106F" w:rsidRDefault="001B6804" w:rsidP="005608D0">
          <w:pPr>
            <w:tabs>
              <w:tab w:val="right" w:pos="4273"/>
            </w:tabs>
            <w:rPr>
              <w:rFonts w:ascii="Garamond" w:eastAsia="Calibri" w:hAnsi="Garamond"/>
              <w:sz w:val="16"/>
              <w:szCs w:val="16"/>
              <w:lang w:val="es-MX" w:eastAsia="en-US"/>
            </w:rPr>
          </w:pPr>
        </w:p>
      </w:tc>
      <w:tc>
        <w:tcPr>
          <w:tcW w:w="5670" w:type="dxa"/>
          <w:shd w:val="clear" w:color="auto" w:fill="auto"/>
        </w:tcPr>
        <w:tbl>
          <w:tblPr>
            <w:tblStyle w:val="Tablaconcuadrcula"/>
            <w:tblW w:w="5392"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4"/>
            <w:gridCol w:w="2978"/>
          </w:tblGrid>
          <w:tr w:rsidR="001B6804" w:rsidRPr="00E152D8" w14:paraId="56743519" w14:textId="77777777" w:rsidTr="00E902E6">
            <w:trPr>
              <w:trHeight w:val="144"/>
            </w:trPr>
            <w:tc>
              <w:tcPr>
                <w:tcW w:w="2414" w:type="dxa"/>
              </w:tcPr>
              <w:p w14:paraId="56743517" w14:textId="77777777" w:rsidR="001B6804" w:rsidRPr="00E152D8" w:rsidRDefault="001B680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2978" w:type="dxa"/>
              </w:tcPr>
              <w:p w14:paraId="56743518" w14:textId="5C18297E" w:rsidR="001B6804" w:rsidRPr="00E152D8" w:rsidRDefault="001B6804" w:rsidP="00944513">
                <w:pPr>
                  <w:tabs>
                    <w:tab w:val="right" w:pos="8838"/>
                  </w:tabs>
                  <w:ind w:left="-28" w:right="-32"/>
                  <w:jc w:val="both"/>
                  <w:rPr>
                    <w:rFonts w:ascii="Palatino Linotype" w:eastAsia="Calibri" w:hAnsi="Palatino Linotype" w:cs="Tahoma"/>
                    <w:bCs/>
                    <w:sz w:val="22"/>
                    <w:szCs w:val="22"/>
                    <w:lang w:eastAsia="en-US"/>
                  </w:rPr>
                </w:pPr>
                <w:r w:rsidRPr="00A438F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3191</w:t>
                </w:r>
                <w:r w:rsidRPr="00A438FB">
                  <w:rPr>
                    <w:rFonts w:ascii="Palatino Linotype" w:eastAsia="Calibri" w:hAnsi="Palatino Linotype" w:cs="Tahoma"/>
                    <w:bCs/>
                    <w:sz w:val="22"/>
                    <w:szCs w:val="22"/>
                    <w:lang w:eastAsia="en-US"/>
                  </w:rPr>
                  <w:t>/INFOEM/IP/RR/2019</w:t>
                </w:r>
              </w:p>
            </w:tc>
          </w:tr>
          <w:tr w:rsidR="001B6804" w:rsidRPr="00E152D8" w14:paraId="5674351C" w14:textId="77777777" w:rsidTr="00E902E6">
            <w:trPr>
              <w:trHeight w:val="144"/>
            </w:trPr>
            <w:tc>
              <w:tcPr>
                <w:tcW w:w="2414" w:type="dxa"/>
              </w:tcPr>
              <w:p w14:paraId="5674351A" w14:textId="77777777" w:rsidR="001B6804" w:rsidRPr="00E152D8" w:rsidRDefault="001B680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2978" w:type="dxa"/>
              </w:tcPr>
              <w:p w14:paraId="5674351B" w14:textId="15B7BF0F" w:rsidR="001B6804" w:rsidRPr="00E152D8" w:rsidRDefault="00A16356" w:rsidP="007B0FDC">
                <w:pPr>
                  <w:tabs>
                    <w:tab w:val="right" w:pos="8838"/>
                  </w:tabs>
                  <w:ind w:right="-32"/>
                  <w:jc w:val="both"/>
                  <w:rPr>
                    <w:rFonts w:ascii="Palatino Linotype" w:eastAsia="Calibri" w:hAnsi="Palatino Linotype" w:cs="Tahoma"/>
                    <w:sz w:val="22"/>
                    <w:szCs w:val="22"/>
                    <w:lang w:val="es-MX" w:eastAsia="en-US"/>
                  </w:rPr>
                </w:pPr>
                <w:r w:rsidRPr="00A16356">
                  <w:rPr>
                    <w:rFonts w:ascii="Palatino Linotype" w:eastAsia="Calibri" w:hAnsi="Palatino Linotype" w:cs="Tahoma"/>
                    <w:sz w:val="22"/>
                    <w:szCs w:val="22"/>
                    <w:highlight w:val="black"/>
                    <w:lang w:val="es-MX" w:eastAsia="en-US"/>
                  </w:rPr>
                  <w:t>XXXXXXXXXXXXXXXXXX</w:t>
                </w:r>
              </w:p>
            </w:tc>
          </w:tr>
          <w:tr w:rsidR="001B6804" w:rsidRPr="00E152D8" w14:paraId="5674351F" w14:textId="77777777" w:rsidTr="00E902E6">
            <w:trPr>
              <w:trHeight w:val="283"/>
            </w:trPr>
            <w:tc>
              <w:tcPr>
                <w:tcW w:w="2414" w:type="dxa"/>
              </w:tcPr>
              <w:p w14:paraId="5674351D" w14:textId="77777777" w:rsidR="001B6804" w:rsidRPr="00E152D8" w:rsidRDefault="001B6804"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2978" w:type="dxa"/>
              </w:tcPr>
              <w:p w14:paraId="5674351E" w14:textId="1C275E7A" w:rsidR="001B6804" w:rsidRPr="00FB401D" w:rsidRDefault="001B6804" w:rsidP="006D2805">
                <w:pPr>
                  <w:tabs>
                    <w:tab w:val="right" w:pos="8838"/>
                  </w:tabs>
                  <w:ind w:right="-32"/>
                  <w:jc w:val="both"/>
                  <w:rPr>
                    <w:rFonts w:ascii="Palatino Linotype" w:eastAsia="Calibri" w:hAnsi="Palatino Linotype" w:cs="Tahoma"/>
                    <w:sz w:val="22"/>
                    <w:szCs w:val="22"/>
                    <w:lang w:val="es-MX" w:eastAsia="en-US"/>
                  </w:rPr>
                </w:pPr>
                <w:r w:rsidRPr="00FB401D">
                  <w:rPr>
                    <w:rFonts w:ascii="Palatino Linotype" w:eastAsia="Calibri" w:hAnsi="Palatino Linotype" w:cs="Tahoma"/>
                    <w:sz w:val="22"/>
                    <w:szCs w:val="22"/>
                    <w:lang w:val="es-MX" w:eastAsia="en-US"/>
                  </w:rPr>
                  <w:t>Universidad Autónoma del Estado de México</w:t>
                </w:r>
              </w:p>
            </w:tc>
          </w:tr>
          <w:tr w:rsidR="001B6804" w:rsidRPr="00E152D8" w14:paraId="56743522" w14:textId="77777777" w:rsidTr="00E902E6">
            <w:trPr>
              <w:trHeight w:val="283"/>
            </w:trPr>
            <w:tc>
              <w:tcPr>
                <w:tcW w:w="2414" w:type="dxa"/>
              </w:tcPr>
              <w:p w14:paraId="56743520" w14:textId="77777777" w:rsidR="001B6804" w:rsidRPr="00E152D8" w:rsidRDefault="001B680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2978" w:type="dxa"/>
              </w:tcPr>
              <w:p w14:paraId="56743521" w14:textId="77777777" w:rsidR="001B6804" w:rsidRPr="00E152D8" w:rsidRDefault="001B6804"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1B6804" w:rsidRPr="005C106F" w:rsidRDefault="001B6804" w:rsidP="005608D0">
          <w:pPr>
            <w:tabs>
              <w:tab w:val="right" w:pos="8838"/>
            </w:tabs>
            <w:ind w:left="-28"/>
            <w:jc w:val="both"/>
            <w:rPr>
              <w:rFonts w:ascii="Arial" w:eastAsia="Calibri" w:hAnsi="Arial" w:cs="Arial"/>
              <w:b/>
              <w:sz w:val="22"/>
              <w:szCs w:val="22"/>
              <w:lang w:val="es-MX" w:eastAsia="en-US"/>
            </w:rPr>
          </w:pPr>
        </w:p>
      </w:tc>
    </w:tr>
  </w:tbl>
  <w:p w14:paraId="56743525" w14:textId="77777777" w:rsidR="001B6804" w:rsidRDefault="001B6804">
    <w:pPr>
      <w:pStyle w:val="Encabezado"/>
    </w:pPr>
  </w:p>
  <w:p w14:paraId="604ED8D1" w14:textId="77777777" w:rsidR="00FB401D" w:rsidRDefault="00FB401D">
    <w:pPr>
      <w:pStyle w:val="Encabezado"/>
    </w:pPr>
  </w:p>
  <w:p w14:paraId="4BE0BC44" w14:textId="77777777" w:rsidR="00FB401D" w:rsidRPr="007516C8" w:rsidRDefault="00FB40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51374A"/>
    <w:multiLevelType w:val="hybridMultilevel"/>
    <w:tmpl w:val="AC8AD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64D98"/>
    <w:multiLevelType w:val="hybridMultilevel"/>
    <w:tmpl w:val="4F1C68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0567F3D"/>
    <w:multiLevelType w:val="hybridMultilevel"/>
    <w:tmpl w:val="1A24586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31FA76F1"/>
    <w:multiLevelType w:val="hybridMultilevel"/>
    <w:tmpl w:val="F2D45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DC1532"/>
    <w:multiLevelType w:val="hybridMultilevel"/>
    <w:tmpl w:val="2FC61524"/>
    <w:lvl w:ilvl="0" w:tplc="7C5AFA9C">
      <w:start w:val="1"/>
      <w:numFmt w:val="decimal"/>
      <w:lvlText w:val="%1."/>
      <w:lvlJc w:val="left"/>
      <w:pPr>
        <w:ind w:left="1440" w:hanging="360"/>
      </w:pPr>
      <w:rPr>
        <w:i w:val="0"/>
      </w:rPr>
    </w:lvl>
    <w:lvl w:ilvl="1" w:tplc="78AE0A70">
      <w:numFmt w:val="bullet"/>
      <w:lvlText w:val="·"/>
      <w:lvlJc w:val="left"/>
      <w:pPr>
        <w:ind w:left="2160" w:hanging="360"/>
      </w:pPr>
      <w:rPr>
        <w:rFonts w:ascii="Palatino Linotype" w:eastAsia="Times New Roman" w:hAnsi="Palatino Linotype" w:cs="Times New Roman"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CF7C01"/>
    <w:multiLevelType w:val="hybridMultilevel"/>
    <w:tmpl w:val="30A8FD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C976DE"/>
    <w:multiLevelType w:val="hybridMultilevel"/>
    <w:tmpl w:val="1EC4B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6"/>
  </w:num>
  <w:num w:numId="5">
    <w:abstractNumId w:val="9"/>
  </w:num>
  <w:num w:numId="6">
    <w:abstractNumId w:val="14"/>
  </w:num>
  <w:num w:numId="7">
    <w:abstractNumId w:val="2"/>
  </w:num>
  <w:num w:numId="8">
    <w:abstractNumId w:val="3"/>
  </w:num>
  <w:num w:numId="9">
    <w:abstractNumId w:val="10"/>
  </w:num>
  <w:num w:numId="10">
    <w:abstractNumId w:val="5"/>
  </w:num>
  <w:num w:numId="11">
    <w:abstractNumId w:val="11"/>
  </w:num>
  <w:num w:numId="12">
    <w:abstractNumId w:val="8"/>
  </w:num>
  <w:num w:numId="13">
    <w:abstractNumId w:val="1"/>
  </w:num>
  <w:num w:numId="14">
    <w:abstractNumId w:val="7"/>
  </w:num>
  <w:num w:numId="15">
    <w:abstractNumId w:val="12"/>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37F3"/>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074A"/>
    <w:rsid w:val="00060F74"/>
    <w:rsid w:val="00062804"/>
    <w:rsid w:val="000630CF"/>
    <w:rsid w:val="0006374C"/>
    <w:rsid w:val="00064038"/>
    <w:rsid w:val="00064B0D"/>
    <w:rsid w:val="00067867"/>
    <w:rsid w:val="00067EEE"/>
    <w:rsid w:val="000702B8"/>
    <w:rsid w:val="00073C4E"/>
    <w:rsid w:val="0008148B"/>
    <w:rsid w:val="00081885"/>
    <w:rsid w:val="00081D04"/>
    <w:rsid w:val="00085CF1"/>
    <w:rsid w:val="00085F6F"/>
    <w:rsid w:val="00086262"/>
    <w:rsid w:val="00092535"/>
    <w:rsid w:val="000939DD"/>
    <w:rsid w:val="00097211"/>
    <w:rsid w:val="000A0466"/>
    <w:rsid w:val="000A42FB"/>
    <w:rsid w:val="000A47A6"/>
    <w:rsid w:val="000B0FAA"/>
    <w:rsid w:val="000B0FB6"/>
    <w:rsid w:val="000B2C93"/>
    <w:rsid w:val="000B36DD"/>
    <w:rsid w:val="000B3FBF"/>
    <w:rsid w:val="000C27CA"/>
    <w:rsid w:val="000C5160"/>
    <w:rsid w:val="000C6D26"/>
    <w:rsid w:val="000D1B23"/>
    <w:rsid w:val="000D453A"/>
    <w:rsid w:val="000D5064"/>
    <w:rsid w:val="000D6535"/>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37DD6"/>
    <w:rsid w:val="0014199D"/>
    <w:rsid w:val="0014307A"/>
    <w:rsid w:val="00144D0B"/>
    <w:rsid w:val="00145D24"/>
    <w:rsid w:val="00147566"/>
    <w:rsid w:val="00151053"/>
    <w:rsid w:val="00151E39"/>
    <w:rsid w:val="00152B91"/>
    <w:rsid w:val="0015337B"/>
    <w:rsid w:val="001561D9"/>
    <w:rsid w:val="00156A6B"/>
    <w:rsid w:val="00157645"/>
    <w:rsid w:val="00157D55"/>
    <w:rsid w:val="00162234"/>
    <w:rsid w:val="00163AFF"/>
    <w:rsid w:val="00163BC1"/>
    <w:rsid w:val="00163EDA"/>
    <w:rsid w:val="0016796B"/>
    <w:rsid w:val="00170545"/>
    <w:rsid w:val="0017067D"/>
    <w:rsid w:val="001715F4"/>
    <w:rsid w:val="001723FF"/>
    <w:rsid w:val="001736EC"/>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6804"/>
    <w:rsid w:val="001B79D2"/>
    <w:rsid w:val="001C5022"/>
    <w:rsid w:val="001D4076"/>
    <w:rsid w:val="001D7BD2"/>
    <w:rsid w:val="001E2A4D"/>
    <w:rsid w:val="001E49D7"/>
    <w:rsid w:val="001E53C2"/>
    <w:rsid w:val="001F0039"/>
    <w:rsid w:val="001F104F"/>
    <w:rsid w:val="001F1540"/>
    <w:rsid w:val="001F2865"/>
    <w:rsid w:val="001F652C"/>
    <w:rsid w:val="001F6DBF"/>
    <w:rsid w:val="001F74A4"/>
    <w:rsid w:val="001F7974"/>
    <w:rsid w:val="001F7FEC"/>
    <w:rsid w:val="002004DD"/>
    <w:rsid w:val="00202DB8"/>
    <w:rsid w:val="00204DAB"/>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3997"/>
    <w:rsid w:val="00254288"/>
    <w:rsid w:val="002579CE"/>
    <w:rsid w:val="00260FEC"/>
    <w:rsid w:val="00262BF1"/>
    <w:rsid w:val="002635FF"/>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94329"/>
    <w:rsid w:val="0029652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788C"/>
    <w:rsid w:val="002E0369"/>
    <w:rsid w:val="002E1640"/>
    <w:rsid w:val="002E378C"/>
    <w:rsid w:val="002E3FF7"/>
    <w:rsid w:val="002E728F"/>
    <w:rsid w:val="002F0CE9"/>
    <w:rsid w:val="002F1957"/>
    <w:rsid w:val="002F1C56"/>
    <w:rsid w:val="002F2D2D"/>
    <w:rsid w:val="002F6CCD"/>
    <w:rsid w:val="00300671"/>
    <w:rsid w:val="00301F46"/>
    <w:rsid w:val="00306418"/>
    <w:rsid w:val="003100F3"/>
    <w:rsid w:val="00310C11"/>
    <w:rsid w:val="00310D7C"/>
    <w:rsid w:val="00316600"/>
    <w:rsid w:val="003172EC"/>
    <w:rsid w:val="003207C6"/>
    <w:rsid w:val="00323325"/>
    <w:rsid w:val="00325984"/>
    <w:rsid w:val="00325EC0"/>
    <w:rsid w:val="0033186F"/>
    <w:rsid w:val="00332BB1"/>
    <w:rsid w:val="003340EC"/>
    <w:rsid w:val="003341D9"/>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523"/>
    <w:rsid w:val="003756AF"/>
    <w:rsid w:val="00377491"/>
    <w:rsid w:val="0037778A"/>
    <w:rsid w:val="00380441"/>
    <w:rsid w:val="003864D2"/>
    <w:rsid w:val="0038781C"/>
    <w:rsid w:val="00390249"/>
    <w:rsid w:val="00390B72"/>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2F11"/>
    <w:rsid w:val="003B3C9D"/>
    <w:rsid w:val="003B42CC"/>
    <w:rsid w:val="003B45A9"/>
    <w:rsid w:val="003B519B"/>
    <w:rsid w:val="003B7F67"/>
    <w:rsid w:val="003C28B8"/>
    <w:rsid w:val="003C3626"/>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1847"/>
    <w:rsid w:val="004022FB"/>
    <w:rsid w:val="00402DAB"/>
    <w:rsid w:val="004042AF"/>
    <w:rsid w:val="004052C5"/>
    <w:rsid w:val="004052EA"/>
    <w:rsid w:val="0040764D"/>
    <w:rsid w:val="004100AA"/>
    <w:rsid w:val="00411A08"/>
    <w:rsid w:val="00412203"/>
    <w:rsid w:val="00412DC4"/>
    <w:rsid w:val="00417DE3"/>
    <w:rsid w:val="00420CD8"/>
    <w:rsid w:val="00422869"/>
    <w:rsid w:val="004230EF"/>
    <w:rsid w:val="00424608"/>
    <w:rsid w:val="004301C1"/>
    <w:rsid w:val="00431C5E"/>
    <w:rsid w:val="00432121"/>
    <w:rsid w:val="0043257A"/>
    <w:rsid w:val="00440556"/>
    <w:rsid w:val="004406CF"/>
    <w:rsid w:val="0044198D"/>
    <w:rsid w:val="00442B41"/>
    <w:rsid w:val="004435B4"/>
    <w:rsid w:val="00447C48"/>
    <w:rsid w:val="00452F41"/>
    <w:rsid w:val="00457548"/>
    <w:rsid w:val="0045757E"/>
    <w:rsid w:val="0046048A"/>
    <w:rsid w:val="00463EA3"/>
    <w:rsid w:val="0046566A"/>
    <w:rsid w:val="00465F43"/>
    <w:rsid w:val="00466346"/>
    <w:rsid w:val="00467780"/>
    <w:rsid w:val="00467D2F"/>
    <w:rsid w:val="0047031F"/>
    <w:rsid w:val="00471C5B"/>
    <w:rsid w:val="00471E46"/>
    <w:rsid w:val="004751D6"/>
    <w:rsid w:val="00476B3C"/>
    <w:rsid w:val="00477E20"/>
    <w:rsid w:val="00477E8A"/>
    <w:rsid w:val="004809AF"/>
    <w:rsid w:val="00480BB8"/>
    <w:rsid w:val="004831D0"/>
    <w:rsid w:val="0048519E"/>
    <w:rsid w:val="004860BD"/>
    <w:rsid w:val="004866EC"/>
    <w:rsid w:val="00486D92"/>
    <w:rsid w:val="00487430"/>
    <w:rsid w:val="00487D0E"/>
    <w:rsid w:val="00491DB2"/>
    <w:rsid w:val="00492ED9"/>
    <w:rsid w:val="004A07F1"/>
    <w:rsid w:val="004A0BB0"/>
    <w:rsid w:val="004A182E"/>
    <w:rsid w:val="004A26CD"/>
    <w:rsid w:val="004A577A"/>
    <w:rsid w:val="004A7990"/>
    <w:rsid w:val="004B42D0"/>
    <w:rsid w:val="004B51A0"/>
    <w:rsid w:val="004B591D"/>
    <w:rsid w:val="004B6860"/>
    <w:rsid w:val="004C001D"/>
    <w:rsid w:val="004C2232"/>
    <w:rsid w:val="004C2782"/>
    <w:rsid w:val="004D1C65"/>
    <w:rsid w:val="004D5DB3"/>
    <w:rsid w:val="004D6102"/>
    <w:rsid w:val="004D7215"/>
    <w:rsid w:val="004E136A"/>
    <w:rsid w:val="004E1448"/>
    <w:rsid w:val="004E1B47"/>
    <w:rsid w:val="004E1EDE"/>
    <w:rsid w:val="004E2BB7"/>
    <w:rsid w:val="004E3B59"/>
    <w:rsid w:val="004E41C7"/>
    <w:rsid w:val="004F02D4"/>
    <w:rsid w:val="004F1465"/>
    <w:rsid w:val="004F2D88"/>
    <w:rsid w:val="004F4A2A"/>
    <w:rsid w:val="004F4CC8"/>
    <w:rsid w:val="0050016E"/>
    <w:rsid w:val="00500F7C"/>
    <w:rsid w:val="005068C8"/>
    <w:rsid w:val="005070C3"/>
    <w:rsid w:val="00511933"/>
    <w:rsid w:val="00513163"/>
    <w:rsid w:val="00515F48"/>
    <w:rsid w:val="00515F84"/>
    <w:rsid w:val="00521DDE"/>
    <w:rsid w:val="005220BE"/>
    <w:rsid w:val="005248B2"/>
    <w:rsid w:val="00527D2D"/>
    <w:rsid w:val="00542D5F"/>
    <w:rsid w:val="00542D77"/>
    <w:rsid w:val="005435DE"/>
    <w:rsid w:val="005439B6"/>
    <w:rsid w:val="00543A5B"/>
    <w:rsid w:val="00544785"/>
    <w:rsid w:val="00545672"/>
    <w:rsid w:val="00546BAE"/>
    <w:rsid w:val="0055108C"/>
    <w:rsid w:val="005516C0"/>
    <w:rsid w:val="00552AB4"/>
    <w:rsid w:val="00552EBD"/>
    <w:rsid w:val="00553A0C"/>
    <w:rsid w:val="00554A40"/>
    <w:rsid w:val="00555F71"/>
    <w:rsid w:val="005608D0"/>
    <w:rsid w:val="00561C23"/>
    <w:rsid w:val="00565A44"/>
    <w:rsid w:val="00565C0E"/>
    <w:rsid w:val="00566FBF"/>
    <w:rsid w:val="005762DA"/>
    <w:rsid w:val="00580D73"/>
    <w:rsid w:val="00581D41"/>
    <w:rsid w:val="005830BF"/>
    <w:rsid w:val="00586FA8"/>
    <w:rsid w:val="00587F23"/>
    <w:rsid w:val="00593CB4"/>
    <w:rsid w:val="00594120"/>
    <w:rsid w:val="00595D26"/>
    <w:rsid w:val="005A30A4"/>
    <w:rsid w:val="005B0D7C"/>
    <w:rsid w:val="005B1986"/>
    <w:rsid w:val="005B2F6E"/>
    <w:rsid w:val="005B6854"/>
    <w:rsid w:val="005C0C8B"/>
    <w:rsid w:val="005C24D0"/>
    <w:rsid w:val="005C2AB0"/>
    <w:rsid w:val="005C4034"/>
    <w:rsid w:val="005C55CC"/>
    <w:rsid w:val="005C651C"/>
    <w:rsid w:val="005C77A1"/>
    <w:rsid w:val="005D1D25"/>
    <w:rsid w:val="005D5607"/>
    <w:rsid w:val="005D5E5B"/>
    <w:rsid w:val="005E371F"/>
    <w:rsid w:val="005E71A9"/>
    <w:rsid w:val="005E7894"/>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3619"/>
    <w:rsid w:val="00635590"/>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3257"/>
    <w:rsid w:val="006643BB"/>
    <w:rsid w:val="00664587"/>
    <w:rsid w:val="00665052"/>
    <w:rsid w:val="006676C2"/>
    <w:rsid w:val="00667EF4"/>
    <w:rsid w:val="00670DD3"/>
    <w:rsid w:val="006713A4"/>
    <w:rsid w:val="00673DD4"/>
    <w:rsid w:val="00674AEB"/>
    <w:rsid w:val="0067655F"/>
    <w:rsid w:val="006801A7"/>
    <w:rsid w:val="0068182D"/>
    <w:rsid w:val="00683BCF"/>
    <w:rsid w:val="0068693D"/>
    <w:rsid w:val="006877F1"/>
    <w:rsid w:val="00690D82"/>
    <w:rsid w:val="00691D52"/>
    <w:rsid w:val="006921A6"/>
    <w:rsid w:val="00693506"/>
    <w:rsid w:val="00693B2B"/>
    <w:rsid w:val="006A026A"/>
    <w:rsid w:val="006A0311"/>
    <w:rsid w:val="006A335C"/>
    <w:rsid w:val="006A36F7"/>
    <w:rsid w:val="006A3BD2"/>
    <w:rsid w:val="006A45E9"/>
    <w:rsid w:val="006A73E2"/>
    <w:rsid w:val="006B0426"/>
    <w:rsid w:val="006B0E83"/>
    <w:rsid w:val="006C10C0"/>
    <w:rsid w:val="006C1EB6"/>
    <w:rsid w:val="006C3747"/>
    <w:rsid w:val="006C3E05"/>
    <w:rsid w:val="006C5399"/>
    <w:rsid w:val="006C5A76"/>
    <w:rsid w:val="006C70C1"/>
    <w:rsid w:val="006C7760"/>
    <w:rsid w:val="006D1EB0"/>
    <w:rsid w:val="006D2805"/>
    <w:rsid w:val="006D4D74"/>
    <w:rsid w:val="006D522C"/>
    <w:rsid w:val="006D61AE"/>
    <w:rsid w:val="006D7795"/>
    <w:rsid w:val="006D7ACB"/>
    <w:rsid w:val="006D7C70"/>
    <w:rsid w:val="006E241A"/>
    <w:rsid w:val="006E6157"/>
    <w:rsid w:val="006E71E1"/>
    <w:rsid w:val="006F1F3A"/>
    <w:rsid w:val="00702DD7"/>
    <w:rsid w:val="00703A54"/>
    <w:rsid w:val="00705C40"/>
    <w:rsid w:val="00707833"/>
    <w:rsid w:val="0071087E"/>
    <w:rsid w:val="007208A6"/>
    <w:rsid w:val="007235AA"/>
    <w:rsid w:val="00723B40"/>
    <w:rsid w:val="00723E23"/>
    <w:rsid w:val="00724B13"/>
    <w:rsid w:val="0072539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63E6E"/>
    <w:rsid w:val="00770792"/>
    <w:rsid w:val="00774FFE"/>
    <w:rsid w:val="00775638"/>
    <w:rsid w:val="0077599A"/>
    <w:rsid w:val="00776E99"/>
    <w:rsid w:val="00777353"/>
    <w:rsid w:val="00777602"/>
    <w:rsid w:val="007835C9"/>
    <w:rsid w:val="00784909"/>
    <w:rsid w:val="00785461"/>
    <w:rsid w:val="00786FF3"/>
    <w:rsid w:val="00790B7C"/>
    <w:rsid w:val="007917F2"/>
    <w:rsid w:val="00793090"/>
    <w:rsid w:val="00793ACE"/>
    <w:rsid w:val="00796319"/>
    <w:rsid w:val="00797B53"/>
    <w:rsid w:val="00797E3A"/>
    <w:rsid w:val="007A1889"/>
    <w:rsid w:val="007A2F42"/>
    <w:rsid w:val="007A2F67"/>
    <w:rsid w:val="007A3918"/>
    <w:rsid w:val="007A4A05"/>
    <w:rsid w:val="007A5676"/>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101"/>
    <w:rsid w:val="007D7433"/>
    <w:rsid w:val="007E22E7"/>
    <w:rsid w:val="007E4C1B"/>
    <w:rsid w:val="007E69BB"/>
    <w:rsid w:val="007E700D"/>
    <w:rsid w:val="007F1500"/>
    <w:rsid w:val="007F2249"/>
    <w:rsid w:val="007F3DF2"/>
    <w:rsid w:val="007F3EF1"/>
    <w:rsid w:val="007F789E"/>
    <w:rsid w:val="0080060B"/>
    <w:rsid w:val="00800B14"/>
    <w:rsid w:val="00802515"/>
    <w:rsid w:val="008049A0"/>
    <w:rsid w:val="00806144"/>
    <w:rsid w:val="00806EA0"/>
    <w:rsid w:val="0081283F"/>
    <w:rsid w:val="00812BB6"/>
    <w:rsid w:val="00812C23"/>
    <w:rsid w:val="0081480A"/>
    <w:rsid w:val="0081616D"/>
    <w:rsid w:val="00816B1E"/>
    <w:rsid w:val="008202EB"/>
    <w:rsid w:val="00832B45"/>
    <w:rsid w:val="008336A5"/>
    <w:rsid w:val="008373C0"/>
    <w:rsid w:val="0084145F"/>
    <w:rsid w:val="00841DA2"/>
    <w:rsid w:val="0084277D"/>
    <w:rsid w:val="00842D94"/>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5260"/>
    <w:rsid w:val="008D7E0D"/>
    <w:rsid w:val="008D7EDB"/>
    <w:rsid w:val="008E1008"/>
    <w:rsid w:val="008E2986"/>
    <w:rsid w:val="008E45EB"/>
    <w:rsid w:val="008E4838"/>
    <w:rsid w:val="008E5C09"/>
    <w:rsid w:val="008E64F0"/>
    <w:rsid w:val="008F0AAF"/>
    <w:rsid w:val="008F1133"/>
    <w:rsid w:val="008F18ED"/>
    <w:rsid w:val="008F2645"/>
    <w:rsid w:val="008F6853"/>
    <w:rsid w:val="008F70FD"/>
    <w:rsid w:val="00903D37"/>
    <w:rsid w:val="00906410"/>
    <w:rsid w:val="00911E42"/>
    <w:rsid w:val="00912ABA"/>
    <w:rsid w:val="009145C1"/>
    <w:rsid w:val="00917D6F"/>
    <w:rsid w:val="00921B1A"/>
    <w:rsid w:val="0092244A"/>
    <w:rsid w:val="009241D4"/>
    <w:rsid w:val="0092600D"/>
    <w:rsid w:val="0092746A"/>
    <w:rsid w:val="00927823"/>
    <w:rsid w:val="0093039D"/>
    <w:rsid w:val="00930D73"/>
    <w:rsid w:val="00931E4F"/>
    <w:rsid w:val="0093364D"/>
    <w:rsid w:val="00934AA6"/>
    <w:rsid w:val="00935607"/>
    <w:rsid w:val="00935E91"/>
    <w:rsid w:val="009377A0"/>
    <w:rsid w:val="00941015"/>
    <w:rsid w:val="009411AA"/>
    <w:rsid w:val="0094268A"/>
    <w:rsid w:val="00943205"/>
    <w:rsid w:val="00944513"/>
    <w:rsid w:val="0094782C"/>
    <w:rsid w:val="0096202E"/>
    <w:rsid w:val="00966BD6"/>
    <w:rsid w:val="009676DF"/>
    <w:rsid w:val="00967869"/>
    <w:rsid w:val="00971F26"/>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799"/>
    <w:rsid w:val="009F6EDF"/>
    <w:rsid w:val="00A00C8A"/>
    <w:rsid w:val="00A051E4"/>
    <w:rsid w:val="00A0634D"/>
    <w:rsid w:val="00A119A3"/>
    <w:rsid w:val="00A125A9"/>
    <w:rsid w:val="00A15750"/>
    <w:rsid w:val="00A15CC2"/>
    <w:rsid w:val="00A1620D"/>
    <w:rsid w:val="00A16356"/>
    <w:rsid w:val="00A16AC0"/>
    <w:rsid w:val="00A20B0A"/>
    <w:rsid w:val="00A223D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6C1D"/>
    <w:rsid w:val="00A47916"/>
    <w:rsid w:val="00A51788"/>
    <w:rsid w:val="00A5420A"/>
    <w:rsid w:val="00A57C3D"/>
    <w:rsid w:val="00A621CF"/>
    <w:rsid w:val="00A622B0"/>
    <w:rsid w:val="00A631FA"/>
    <w:rsid w:val="00A6697B"/>
    <w:rsid w:val="00A727AE"/>
    <w:rsid w:val="00A74C2D"/>
    <w:rsid w:val="00A768CC"/>
    <w:rsid w:val="00A76B34"/>
    <w:rsid w:val="00A818F8"/>
    <w:rsid w:val="00A82258"/>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37FA"/>
    <w:rsid w:val="00AE3CD0"/>
    <w:rsid w:val="00AE5F0C"/>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17D5A"/>
    <w:rsid w:val="00B202EE"/>
    <w:rsid w:val="00B2065E"/>
    <w:rsid w:val="00B21489"/>
    <w:rsid w:val="00B215DA"/>
    <w:rsid w:val="00B21A0D"/>
    <w:rsid w:val="00B26756"/>
    <w:rsid w:val="00B269F1"/>
    <w:rsid w:val="00B274AE"/>
    <w:rsid w:val="00B274BF"/>
    <w:rsid w:val="00B31222"/>
    <w:rsid w:val="00B312D3"/>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6C19"/>
    <w:rsid w:val="00B908CF"/>
    <w:rsid w:val="00B9572E"/>
    <w:rsid w:val="00BA0733"/>
    <w:rsid w:val="00BA0AF6"/>
    <w:rsid w:val="00BA46A8"/>
    <w:rsid w:val="00BA4993"/>
    <w:rsid w:val="00BA50F1"/>
    <w:rsid w:val="00BB12ED"/>
    <w:rsid w:val="00BB20F1"/>
    <w:rsid w:val="00BB375D"/>
    <w:rsid w:val="00BB4B53"/>
    <w:rsid w:val="00BB515F"/>
    <w:rsid w:val="00BC11C7"/>
    <w:rsid w:val="00BC2C0C"/>
    <w:rsid w:val="00BC6175"/>
    <w:rsid w:val="00BC758B"/>
    <w:rsid w:val="00BD1319"/>
    <w:rsid w:val="00BE0A93"/>
    <w:rsid w:val="00BE17C6"/>
    <w:rsid w:val="00BE2EB2"/>
    <w:rsid w:val="00BE33AC"/>
    <w:rsid w:val="00BE4865"/>
    <w:rsid w:val="00BE51D9"/>
    <w:rsid w:val="00BE5347"/>
    <w:rsid w:val="00BE7B48"/>
    <w:rsid w:val="00BF1A8A"/>
    <w:rsid w:val="00BF219A"/>
    <w:rsid w:val="00BF57B8"/>
    <w:rsid w:val="00C04C52"/>
    <w:rsid w:val="00C10F14"/>
    <w:rsid w:val="00C141BF"/>
    <w:rsid w:val="00C159C6"/>
    <w:rsid w:val="00C15DFF"/>
    <w:rsid w:val="00C16B4B"/>
    <w:rsid w:val="00C17427"/>
    <w:rsid w:val="00C17FC6"/>
    <w:rsid w:val="00C25238"/>
    <w:rsid w:val="00C25C49"/>
    <w:rsid w:val="00C3081B"/>
    <w:rsid w:val="00C31E61"/>
    <w:rsid w:val="00C3345C"/>
    <w:rsid w:val="00C358B0"/>
    <w:rsid w:val="00C408C6"/>
    <w:rsid w:val="00C4254F"/>
    <w:rsid w:val="00C502A5"/>
    <w:rsid w:val="00C50D2D"/>
    <w:rsid w:val="00C521F7"/>
    <w:rsid w:val="00C53008"/>
    <w:rsid w:val="00C5377A"/>
    <w:rsid w:val="00C54178"/>
    <w:rsid w:val="00C549DB"/>
    <w:rsid w:val="00C55151"/>
    <w:rsid w:val="00C560FA"/>
    <w:rsid w:val="00C57FF9"/>
    <w:rsid w:val="00C61451"/>
    <w:rsid w:val="00C61B8A"/>
    <w:rsid w:val="00C63E22"/>
    <w:rsid w:val="00C64224"/>
    <w:rsid w:val="00C64434"/>
    <w:rsid w:val="00C64FA9"/>
    <w:rsid w:val="00C66EB4"/>
    <w:rsid w:val="00C67641"/>
    <w:rsid w:val="00C70E41"/>
    <w:rsid w:val="00C73C57"/>
    <w:rsid w:val="00C74D43"/>
    <w:rsid w:val="00C75FF0"/>
    <w:rsid w:val="00C77CBF"/>
    <w:rsid w:val="00C801CF"/>
    <w:rsid w:val="00C8061A"/>
    <w:rsid w:val="00C857D8"/>
    <w:rsid w:val="00C8780E"/>
    <w:rsid w:val="00C9053F"/>
    <w:rsid w:val="00C92552"/>
    <w:rsid w:val="00C929A8"/>
    <w:rsid w:val="00C93F1B"/>
    <w:rsid w:val="00C97307"/>
    <w:rsid w:val="00C9744D"/>
    <w:rsid w:val="00CA2E81"/>
    <w:rsid w:val="00CA780B"/>
    <w:rsid w:val="00CB05F4"/>
    <w:rsid w:val="00CB52F0"/>
    <w:rsid w:val="00CB6335"/>
    <w:rsid w:val="00CB675A"/>
    <w:rsid w:val="00CC1C86"/>
    <w:rsid w:val="00CC2092"/>
    <w:rsid w:val="00CC2F5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4F20"/>
    <w:rsid w:val="00D05C7C"/>
    <w:rsid w:val="00D07742"/>
    <w:rsid w:val="00D07ADB"/>
    <w:rsid w:val="00D11557"/>
    <w:rsid w:val="00D147D5"/>
    <w:rsid w:val="00D14DB7"/>
    <w:rsid w:val="00D15ED5"/>
    <w:rsid w:val="00D16BAA"/>
    <w:rsid w:val="00D17B47"/>
    <w:rsid w:val="00D2464B"/>
    <w:rsid w:val="00D248D9"/>
    <w:rsid w:val="00D26AE1"/>
    <w:rsid w:val="00D31114"/>
    <w:rsid w:val="00D348F7"/>
    <w:rsid w:val="00D3640C"/>
    <w:rsid w:val="00D36A6E"/>
    <w:rsid w:val="00D37195"/>
    <w:rsid w:val="00D40BC3"/>
    <w:rsid w:val="00D40C5E"/>
    <w:rsid w:val="00D434EC"/>
    <w:rsid w:val="00D44E9D"/>
    <w:rsid w:val="00D472A7"/>
    <w:rsid w:val="00D476B5"/>
    <w:rsid w:val="00D476DA"/>
    <w:rsid w:val="00D51853"/>
    <w:rsid w:val="00D6110D"/>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97523"/>
    <w:rsid w:val="00DA0E0D"/>
    <w:rsid w:val="00DA1F5B"/>
    <w:rsid w:val="00DA2B47"/>
    <w:rsid w:val="00DA495D"/>
    <w:rsid w:val="00DA53ED"/>
    <w:rsid w:val="00DA7BA0"/>
    <w:rsid w:val="00DB429F"/>
    <w:rsid w:val="00DB512E"/>
    <w:rsid w:val="00DB52C3"/>
    <w:rsid w:val="00DB5DA3"/>
    <w:rsid w:val="00DB79D3"/>
    <w:rsid w:val="00DC09E4"/>
    <w:rsid w:val="00DC10B0"/>
    <w:rsid w:val="00DC1508"/>
    <w:rsid w:val="00DC1594"/>
    <w:rsid w:val="00DC28CF"/>
    <w:rsid w:val="00DC45F5"/>
    <w:rsid w:val="00DC4B25"/>
    <w:rsid w:val="00DC4BCD"/>
    <w:rsid w:val="00DD07A3"/>
    <w:rsid w:val="00DD1495"/>
    <w:rsid w:val="00DD178F"/>
    <w:rsid w:val="00DD2565"/>
    <w:rsid w:val="00DD3E76"/>
    <w:rsid w:val="00DE24EC"/>
    <w:rsid w:val="00DE2D32"/>
    <w:rsid w:val="00DE40C1"/>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9E"/>
    <w:rsid w:val="00DF7EC8"/>
    <w:rsid w:val="00E007CF"/>
    <w:rsid w:val="00E00C15"/>
    <w:rsid w:val="00E028ED"/>
    <w:rsid w:val="00E03DC1"/>
    <w:rsid w:val="00E04BA7"/>
    <w:rsid w:val="00E05754"/>
    <w:rsid w:val="00E05C48"/>
    <w:rsid w:val="00E066F3"/>
    <w:rsid w:val="00E07B94"/>
    <w:rsid w:val="00E07E66"/>
    <w:rsid w:val="00E07FDD"/>
    <w:rsid w:val="00E104F6"/>
    <w:rsid w:val="00E10748"/>
    <w:rsid w:val="00E10E63"/>
    <w:rsid w:val="00E1222D"/>
    <w:rsid w:val="00E12F57"/>
    <w:rsid w:val="00E130A4"/>
    <w:rsid w:val="00E15208"/>
    <w:rsid w:val="00E152D8"/>
    <w:rsid w:val="00E168F5"/>
    <w:rsid w:val="00E173CD"/>
    <w:rsid w:val="00E20151"/>
    <w:rsid w:val="00E210D6"/>
    <w:rsid w:val="00E21674"/>
    <w:rsid w:val="00E22DFA"/>
    <w:rsid w:val="00E268D9"/>
    <w:rsid w:val="00E27DDF"/>
    <w:rsid w:val="00E30A90"/>
    <w:rsid w:val="00E35344"/>
    <w:rsid w:val="00E405F8"/>
    <w:rsid w:val="00E43469"/>
    <w:rsid w:val="00E445DA"/>
    <w:rsid w:val="00E45379"/>
    <w:rsid w:val="00E50A5C"/>
    <w:rsid w:val="00E50B22"/>
    <w:rsid w:val="00E50C90"/>
    <w:rsid w:val="00E50E86"/>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02E6"/>
    <w:rsid w:val="00E9460C"/>
    <w:rsid w:val="00E97764"/>
    <w:rsid w:val="00EA0E04"/>
    <w:rsid w:val="00EA1DFB"/>
    <w:rsid w:val="00EA220D"/>
    <w:rsid w:val="00EA2F58"/>
    <w:rsid w:val="00EA31FB"/>
    <w:rsid w:val="00EA3A85"/>
    <w:rsid w:val="00EA4AD6"/>
    <w:rsid w:val="00EA573F"/>
    <w:rsid w:val="00EA5D2C"/>
    <w:rsid w:val="00EA5D8E"/>
    <w:rsid w:val="00EA656A"/>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D7A0A"/>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3D24"/>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333"/>
    <w:rsid w:val="00F6497E"/>
    <w:rsid w:val="00F666A0"/>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6BB"/>
    <w:rsid w:val="00FA0E91"/>
    <w:rsid w:val="00FA233F"/>
    <w:rsid w:val="00FA2E05"/>
    <w:rsid w:val="00FA600E"/>
    <w:rsid w:val="00FA7D57"/>
    <w:rsid w:val="00FB0008"/>
    <w:rsid w:val="00FB071C"/>
    <w:rsid w:val="00FB09D6"/>
    <w:rsid w:val="00FB236C"/>
    <w:rsid w:val="00FB401D"/>
    <w:rsid w:val="00FB4A61"/>
    <w:rsid w:val="00FB5064"/>
    <w:rsid w:val="00FB60C5"/>
    <w:rsid w:val="00FB7DDC"/>
    <w:rsid w:val="00FC2209"/>
    <w:rsid w:val="00FC4210"/>
    <w:rsid w:val="00FC7531"/>
    <w:rsid w:val="00FC7EAA"/>
    <w:rsid w:val="00FD3CA0"/>
    <w:rsid w:val="00FD3D01"/>
    <w:rsid w:val="00FD4C0B"/>
    <w:rsid w:val="00FD4FA5"/>
    <w:rsid w:val="00FD7CE9"/>
    <w:rsid w:val="00FE1DE2"/>
    <w:rsid w:val="00FE57C8"/>
    <w:rsid w:val="00FE58D3"/>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ED7A0A"/>
    <w:pPr>
      <w:spacing w:before="100" w:beforeAutospacing="1" w:after="100" w:afterAutospacing="1"/>
    </w:pPr>
    <w:rPr>
      <w:sz w:val="24"/>
      <w:szCs w:val="24"/>
      <w:lang w:val="es-MX" w:eastAsia="es-MX"/>
    </w:rPr>
  </w:style>
  <w:style w:type="paragraph" w:customStyle="1" w:styleId="xmsonormal">
    <w:name w:val="x_msonormal"/>
    <w:basedOn w:val="Normal"/>
    <w:rsid w:val="00EA4AD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8364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896986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81344">
      <w:bodyDiv w:val="1"/>
      <w:marLeft w:val="0"/>
      <w:marRight w:val="0"/>
      <w:marTop w:val="0"/>
      <w:marBottom w:val="0"/>
      <w:divBdr>
        <w:top w:val="none" w:sz="0" w:space="0" w:color="auto"/>
        <w:left w:val="none" w:sz="0" w:space="0" w:color="auto"/>
        <w:bottom w:val="none" w:sz="0" w:space="0" w:color="auto"/>
        <w:right w:val="none" w:sz="0" w:space="0" w:color="auto"/>
      </w:divBdr>
      <w:divsChild>
        <w:div w:id="828713134">
          <w:marLeft w:val="0"/>
          <w:marRight w:val="0"/>
          <w:marTop w:val="0"/>
          <w:marBottom w:val="0"/>
          <w:divBdr>
            <w:top w:val="none" w:sz="0" w:space="0" w:color="auto"/>
            <w:left w:val="none" w:sz="0" w:space="0" w:color="auto"/>
            <w:bottom w:val="none" w:sz="0" w:space="0" w:color="auto"/>
            <w:right w:val="none" w:sz="0" w:space="0" w:color="auto"/>
          </w:divBdr>
        </w:div>
      </w:divsChild>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7516312">
      <w:bodyDiv w:val="1"/>
      <w:marLeft w:val="0"/>
      <w:marRight w:val="0"/>
      <w:marTop w:val="0"/>
      <w:marBottom w:val="0"/>
      <w:divBdr>
        <w:top w:val="none" w:sz="0" w:space="0" w:color="auto"/>
        <w:left w:val="none" w:sz="0" w:space="0" w:color="auto"/>
        <w:bottom w:val="none" w:sz="0" w:space="0" w:color="auto"/>
        <w:right w:val="none" w:sz="0" w:space="0" w:color="auto"/>
      </w:divBdr>
    </w:div>
    <w:div w:id="106633971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26249340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67057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060261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933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gitalmex.mx/municipios/story/7630/entrega-uaemex-harley-davidson-a-estudiante-que-gano-rif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0428-245B-4CD0-9A52-5B733822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4765</Words>
  <Characters>26213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2019-06-28T20:11:00Z</cp:lastPrinted>
  <dcterms:created xsi:type="dcterms:W3CDTF">2019-08-23T17:49:00Z</dcterms:created>
  <dcterms:modified xsi:type="dcterms:W3CDTF">2019-08-23T17:49:00Z</dcterms:modified>
</cp:coreProperties>
</file>