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a</w:t>
      </w:r>
      <w:r w:rsidR="00C50B3E">
        <w:rPr>
          <w:rFonts w:ascii="Palatino Linotype" w:hAnsi="Palatino Linotype"/>
          <w:sz w:val="24"/>
          <w:szCs w:val="24"/>
          <w:lang w:eastAsia="es-MX"/>
        </w:rPr>
        <w:t xml:space="preserve"> </w:t>
      </w:r>
      <w:r w:rsidR="00774E00">
        <w:rPr>
          <w:rFonts w:ascii="Palatino Linotype" w:hAnsi="Palatino Linotype"/>
          <w:sz w:val="24"/>
          <w:szCs w:val="24"/>
          <w:lang w:eastAsia="es-MX"/>
        </w:rPr>
        <w:t>veintiséis</w:t>
      </w:r>
      <w:r w:rsidR="00C50B3E">
        <w:rPr>
          <w:rFonts w:ascii="Palatino Linotype" w:hAnsi="Palatino Linotype"/>
          <w:sz w:val="24"/>
          <w:szCs w:val="24"/>
          <w:lang w:eastAsia="es-MX"/>
        </w:rPr>
        <w:t xml:space="preserve"> de </w:t>
      </w:r>
      <w:r w:rsidR="00774E00">
        <w:rPr>
          <w:rFonts w:ascii="Palatino Linotype" w:hAnsi="Palatino Linotype"/>
          <w:sz w:val="24"/>
          <w:szCs w:val="24"/>
          <w:lang w:eastAsia="es-MX"/>
        </w:rPr>
        <w:t>junio</w:t>
      </w:r>
      <w:r w:rsidR="00C50B3E">
        <w:rPr>
          <w:rFonts w:ascii="Palatino Linotype" w:hAnsi="Palatino Linotype"/>
          <w:sz w:val="24"/>
          <w:szCs w:val="24"/>
          <w:lang w:eastAsia="es-MX"/>
        </w:rPr>
        <w:t xml:space="preserve"> </w:t>
      </w:r>
      <w:r w:rsidR="00B3452B">
        <w:rPr>
          <w:rFonts w:ascii="Palatino Linotype" w:hAnsi="Palatino Linotype"/>
          <w:sz w:val="24"/>
          <w:szCs w:val="24"/>
          <w:lang w:eastAsia="es-MX"/>
        </w:rPr>
        <w:t>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w:t>
      </w:r>
      <w:r w:rsidR="005D517E">
        <w:rPr>
          <w:rFonts w:ascii="Palatino Linotype" w:hAnsi="Palatino Linotype"/>
          <w:sz w:val="24"/>
          <w:szCs w:val="24"/>
          <w:lang w:eastAsia="es-MX"/>
        </w:rPr>
        <w:t xml:space="preserve">diecinueve. </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555F06">
        <w:rPr>
          <w:rFonts w:ascii="Palatino Linotype" w:hAnsi="Palatino Linotype"/>
          <w:b/>
          <w:bCs/>
          <w:sz w:val="24"/>
          <w:szCs w:val="24"/>
          <w:lang w:eastAsia="es-MX"/>
        </w:rPr>
        <w:t>0</w:t>
      </w:r>
      <w:r w:rsidR="00432F42">
        <w:rPr>
          <w:rFonts w:ascii="Palatino Linotype" w:hAnsi="Palatino Linotype"/>
          <w:b/>
          <w:bCs/>
          <w:sz w:val="24"/>
          <w:szCs w:val="24"/>
          <w:lang w:eastAsia="es-MX"/>
        </w:rPr>
        <w:t>2555</w:t>
      </w:r>
      <w:r w:rsidR="00555F06">
        <w:rPr>
          <w:rFonts w:ascii="Palatino Linotype" w:hAnsi="Palatino Linotype"/>
          <w:b/>
          <w:bCs/>
          <w:sz w:val="24"/>
          <w:szCs w:val="24"/>
          <w:lang w:eastAsia="es-MX"/>
        </w:rPr>
        <w:t>/INFOEM/IP/RR/2019</w:t>
      </w:r>
      <w:r w:rsidR="003C3124">
        <w:rPr>
          <w:rFonts w:ascii="Palatino Linotype" w:hAnsi="Palatino Linotype"/>
          <w:sz w:val="24"/>
          <w:szCs w:val="24"/>
        </w:rPr>
        <w:t>, interpuest</w:t>
      </w:r>
      <w:r w:rsidR="0016423B">
        <w:rPr>
          <w:rFonts w:ascii="Palatino Linotype" w:hAnsi="Palatino Linotype"/>
          <w:sz w:val="24"/>
          <w:szCs w:val="24"/>
        </w:rPr>
        <w:t>o por</w:t>
      </w:r>
      <w:r w:rsidR="005E3F88">
        <w:rPr>
          <w:rFonts w:ascii="Palatino Linotype" w:hAnsi="Palatino Linotype"/>
          <w:b/>
          <w:sz w:val="24"/>
          <w:szCs w:val="24"/>
        </w:rPr>
        <w:t xml:space="preserve"> </w:t>
      </w:r>
      <w:r w:rsidR="00A52169">
        <w:rPr>
          <w:rFonts w:ascii="Palatino Linotype" w:hAnsi="Palatino Linotype"/>
          <w:b/>
          <w:sz w:val="24"/>
          <w:szCs w:val="24"/>
        </w:rPr>
        <w:t>XXXXXXXXX XXXXXXXX XXXXXXX</w:t>
      </w:r>
      <w:bookmarkStart w:id="0" w:name="_GoBack"/>
      <w:bookmarkEnd w:id="0"/>
      <w:r w:rsidR="00452ABA" w:rsidRPr="00452ABA">
        <w:rPr>
          <w:rFonts w:ascii="Palatino Linotype" w:hAnsi="Palatino Linotype"/>
          <w:b/>
          <w:sz w:val="24"/>
          <w:szCs w:val="24"/>
        </w:rPr>
        <w:t xml:space="preserve"> </w:t>
      </w:r>
      <w:r w:rsidRPr="00C35F18">
        <w:rPr>
          <w:rFonts w:ascii="Palatino Linotype" w:hAnsi="Palatino Linotype"/>
          <w:sz w:val="24"/>
          <w:szCs w:val="24"/>
        </w:rPr>
        <w:t xml:space="preserve">en lo sucesivo </w:t>
      </w:r>
      <w:r w:rsidR="00555F06" w:rsidRPr="00555F06">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00E95C59">
        <w:rPr>
          <w:rFonts w:ascii="Palatino Linotype" w:hAnsi="Palatino Linotype"/>
          <w:sz w:val="24"/>
          <w:szCs w:val="24"/>
        </w:rPr>
        <w:t xml:space="preserve">falta de </w:t>
      </w:r>
      <w:r w:rsidRPr="00216B8D">
        <w:rPr>
          <w:rFonts w:ascii="Palatino Linotype" w:hAnsi="Palatino Linotype"/>
          <w:sz w:val="24"/>
          <w:szCs w:val="24"/>
        </w:rPr>
        <w:t>respuesta de</w:t>
      </w:r>
      <w:r w:rsidR="009151CF">
        <w:rPr>
          <w:rFonts w:ascii="Palatino Linotype" w:hAnsi="Palatino Linotype"/>
          <w:sz w:val="24"/>
          <w:szCs w:val="24"/>
        </w:rPr>
        <w:t>l</w:t>
      </w:r>
      <w:r w:rsidR="00E95C59">
        <w:rPr>
          <w:rFonts w:ascii="Palatino Linotype" w:hAnsi="Palatino Linotype"/>
          <w:sz w:val="24"/>
          <w:szCs w:val="24"/>
        </w:rPr>
        <w:t xml:space="preserve"> </w:t>
      </w:r>
      <w:r w:rsidR="00432F42" w:rsidRPr="00432F42">
        <w:rPr>
          <w:rFonts w:ascii="Palatino Linotype" w:hAnsi="Palatino Linotype" w:cs="Arial"/>
          <w:b/>
          <w:sz w:val="24"/>
          <w:szCs w:val="24"/>
        </w:rPr>
        <w:t>Ayuntamiento de Tenango del Aire</w:t>
      </w:r>
      <w:r w:rsidRPr="00216B8D">
        <w:rPr>
          <w:rFonts w:ascii="Palatino Linotype" w:hAnsi="Palatino Linotype"/>
          <w:sz w:val="24"/>
          <w:szCs w:val="24"/>
        </w:rPr>
        <w:t>, en lo subsecuente</w:t>
      </w:r>
      <w:r w:rsidR="00FD55D4">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FD55D4">
        <w:rPr>
          <w:rFonts w:ascii="Palatino Linotype" w:hAnsi="Palatino Linotype"/>
          <w:sz w:val="24"/>
          <w:szCs w:val="24"/>
        </w:rPr>
        <w:t>diecinueve de marzo</w:t>
      </w:r>
      <w:r w:rsidR="00555F06">
        <w:rPr>
          <w:rFonts w:ascii="Palatino Linotype" w:hAnsi="Palatino Linotype"/>
          <w:sz w:val="24"/>
          <w:szCs w:val="24"/>
        </w:rPr>
        <w:t xml:space="preserve"> de dos mil diecinueve,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FD55D4" w:rsidRPr="00FD55D4">
        <w:rPr>
          <w:rFonts w:ascii="Palatino Linotype" w:hAnsi="Palatino Linotype"/>
          <w:b/>
          <w:sz w:val="24"/>
          <w:szCs w:val="24"/>
        </w:rPr>
        <w:t>00029/TENAAIR/IP/2019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Pr="00FD55D4"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FD55D4">
        <w:rPr>
          <w:rFonts w:ascii="Palatino Linotype" w:eastAsia="Times New Roman" w:hAnsi="Palatino Linotype" w:cs="Times New Roman"/>
          <w:i/>
          <w:sz w:val="24"/>
          <w:szCs w:val="24"/>
          <w:lang w:val="es-ES_tradnl" w:eastAsia="es-ES"/>
        </w:rPr>
        <w:t>“</w:t>
      </w:r>
      <w:r w:rsidR="00FD55D4" w:rsidRPr="00FD55D4">
        <w:rPr>
          <w:rFonts w:ascii="Palatino Linotype" w:eastAsia="Times New Roman" w:hAnsi="Palatino Linotype" w:cs="Times New Roman"/>
          <w:i/>
          <w:sz w:val="24"/>
          <w:szCs w:val="24"/>
          <w:lang w:val="es-ES_tradnl" w:eastAsia="es-ES"/>
        </w:rPr>
        <w:t xml:space="preserve">SOLICITO LA FACTURA QUE AVALE LA COMPRA DEL TRACTOR QUE DIERON A CONOCER EN LA FIESTA DE SAN MATEO TEPOPULA, TAMBIÉN SOLICITO SABER BAJO QUE PROCEDIMIENTO SE REALIZO LA COMPRA, SI FUE COMPRA DIRECTA O A TRAVÉS DE LICITACIÓN PUBLICA, SI FUE LICITACIÓN NECESITO EL SOPORTE DOCUMENTAL </w:t>
      </w:r>
      <w:r w:rsidR="00FD55D4" w:rsidRPr="00FD55D4">
        <w:rPr>
          <w:rFonts w:ascii="Palatino Linotype" w:eastAsia="Times New Roman" w:hAnsi="Palatino Linotype" w:cs="Times New Roman"/>
          <w:i/>
          <w:sz w:val="24"/>
          <w:szCs w:val="24"/>
          <w:lang w:val="es-ES_tradnl" w:eastAsia="es-ES"/>
        </w:rPr>
        <w:lastRenderedPageBreak/>
        <w:t>DE TODO EL PROCESO Y QUE EMPRESAS PARTICIPARON EN EL PROCESO.</w:t>
      </w:r>
      <w:r w:rsidRPr="00FD55D4">
        <w:rPr>
          <w:rFonts w:ascii="Palatino Linotype" w:eastAsia="Times New Roman" w:hAnsi="Palatino Linotype" w:cs="Times New Roman"/>
          <w:i/>
          <w:lang w:val="es-ES_tradnl" w:eastAsia="es-ES"/>
        </w:rPr>
        <w:t>” [Sic]</w:t>
      </w:r>
    </w:p>
    <w:p w:rsidR="0016423B" w:rsidRDefault="0016423B" w:rsidP="0014447C">
      <w:pPr>
        <w:pStyle w:val="Sinespaciado"/>
        <w:spacing w:line="360" w:lineRule="auto"/>
        <w:jc w:val="both"/>
        <w:rPr>
          <w:rFonts w:ascii="Palatino Linotype" w:eastAsia="Times New Roman" w:hAnsi="Palatino Linotype" w:cs="Times New Roman"/>
          <w:i/>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FD55D4">
        <w:rPr>
          <w:rFonts w:ascii="Palatino Linotype" w:eastAsia="Times New Roman" w:hAnsi="Palatino Linotype" w:cs="Times New Roman"/>
          <w:b/>
          <w:sz w:val="24"/>
          <w:szCs w:val="24"/>
          <w:lang w:val="es-ES_tradnl" w:eastAsia="es-ES"/>
        </w:rPr>
        <w:t xml:space="preserve"> A través del SAIMEX. </w:t>
      </w:r>
    </w:p>
    <w:p w:rsidR="006A58E4" w:rsidRDefault="006A58E4"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00238F" w:rsidRPr="002B52D6" w:rsidRDefault="002B52D6" w:rsidP="0014447C">
      <w:pPr>
        <w:pStyle w:val="Sinespaciado"/>
        <w:spacing w:line="360" w:lineRule="auto"/>
        <w:jc w:val="both"/>
        <w:rPr>
          <w:rFonts w:ascii="Palatino Linotype" w:hAnsi="Palatino Linotype"/>
          <w:b/>
          <w:sz w:val="26"/>
          <w:szCs w:val="26"/>
        </w:rPr>
      </w:pPr>
      <w:r w:rsidRPr="002B52D6">
        <w:rPr>
          <w:rFonts w:ascii="Palatino Linotype" w:hAnsi="Palatino Linotype"/>
          <w:b/>
          <w:sz w:val="26"/>
          <w:szCs w:val="26"/>
        </w:rPr>
        <w:t>SEGUNDO</w:t>
      </w:r>
      <w:r w:rsidR="007E2E80" w:rsidRPr="002B52D6">
        <w:rPr>
          <w:rFonts w:ascii="Palatino Linotype" w:hAnsi="Palatino Linotype"/>
          <w:b/>
          <w:sz w:val="26"/>
          <w:szCs w:val="26"/>
        </w:rPr>
        <w:t xml:space="preserve">. </w:t>
      </w:r>
      <w:r w:rsidR="00DA21DB" w:rsidRPr="002B52D6">
        <w:rPr>
          <w:rFonts w:ascii="Palatino Linotype" w:hAnsi="Palatino Linotype"/>
          <w:b/>
          <w:sz w:val="26"/>
          <w:szCs w:val="26"/>
        </w:rPr>
        <w:t xml:space="preserve">De la </w:t>
      </w:r>
      <w:r w:rsidR="007E2E80" w:rsidRPr="002B52D6">
        <w:rPr>
          <w:rFonts w:ascii="Palatino Linotype" w:hAnsi="Palatino Linotype"/>
          <w:b/>
          <w:sz w:val="26"/>
          <w:szCs w:val="26"/>
        </w:rPr>
        <w:t>respuesta del Sujeto Obligado.</w:t>
      </w:r>
    </w:p>
    <w:p w:rsidR="0000238F" w:rsidRPr="009978AF" w:rsidRDefault="0000238F" w:rsidP="0014447C">
      <w:pPr>
        <w:pStyle w:val="Sinespaciado"/>
        <w:spacing w:line="360" w:lineRule="auto"/>
        <w:jc w:val="both"/>
        <w:rPr>
          <w:rFonts w:ascii="Palatino Linotype" w:hAnsi="Palatino Linotype"/>
          <w:b/>
          <w:sz w:val="12"/>
          <w:szCs w:val="26"/>
        </w:rPr>
      </w:pPr>
    </w:p>
    <w:p w:rsidR="008758DC" w:rsidRPr="009C4628" w:rsidRDefault="0000238F" w:rsidP="0000238F">
      <w:pPr>
        <w:spacing w:after="0" w:line="360" w:lineRule="auto"/>
        <w:jc w:val="both"/>
        <w:rPr>
          <w:rFonts w:ascii="Palatino Linotype" w:hAnsi="Palatino Linotype" w:cs="Arial"/>
          <w:sz w:val="24"/>
        </w:rPr>
      </w:pPr>
      <w:r w:rsidRPr="009C4628">
        <w:rPr>
          <w:rFonts w:ascii="Palatino Linotype" w:hAnsi="Palatino Linotype" w:cs="Arial"/>
          <w:sz w:val="24"/>
        </w:rPr>
        <w:t xml:space="preserve">Del expediente electrónico que obra en </w:t>
      </w:r>
      <w:r w:rsidRPr="009C4628">
        <w:rPr>
          <w:rFonts w:ascii="Palatino Linotype" w:hAnsi="Palatino Linotype" w:cs="Arial"/>
          <w:b/>
          <w:sz w:val="24"/>
        </w:rPr>
        <w:t>SAIMEX</w:t>
      </w:r>
      <w:r w:rsidRPr="009C4628">
        <w:rPr>
          <w:rFonts w:ascii="Palatino Linotype" w:hAnsi="Palatino Linotype" w:cs="Arial"/>
          <w:sz w:val="24"/>
        </w:rPr>
        <w:t xml:space="preserve">, se observa que </w:t>
      </w:r>
      <w:r w:rsidRPr="009C4628">
        <w:rPr>
          <w:rFonts w:ascii="Palatino Linotype" w:hAnsi="Palatino Linotype" w:cs="Arial"/>
          <w:b/>
          <w:sz w:val="24"/>
        </w:rPr>
        <w:t>El Sujeto Obligado</w:t>
      </w:r>
      <w:r w:rsidRPr="009C4628">
        <w:rPr>
          <w:rFonts w:ascii="Palatino Linotype" w:hAnsi="Palatino Linotype" w:cs="Arial"/>
          <w:sz w:val="24"/>
        </w:rPr>
        <w:t xml:space="preserve"> fue om</w:t>
      </w:r>
      <w:r>
        <w:rPr>
          <w:rFonts w:ascii="Palatino Linotype" w:hAnsi="Palatino Linotype" w:cs="Arial"/>
          <w:sz w:val="24"/>
        </w:rPr>
        <w:t>iso en dar respuesta a la solicitud</w:t>
      </w:r>
      <w:r w:rsidRPr="009C4628">
        <w:rPr>
          <w:rFonts w:ascii="Palatino Linotype" w:hAnsi="Palatino Linotype" w:cs="Arial"/>
          <w:sz w:val="24"/>
        </w:rPr>
        <w:t xml:space="preserve"> de información.</w:t>
      </w:r>
    </w:p>
    <w:p w:rsidR="001B5DCE" w:rsidRDefault="001B5DCE" w:rsidP="0014447C">
      <w:pPr>
        <w:pStyle w:val="Sinespaciado"/>
        <w:spacing w:line="360" w:lineRule="auto"/>
        <w:jc w:val="both"/>
        <w:rPr>
          <w:rFonts w:ascii="Palatino Linotype" w:hAnsi="Palatino Linotype"/>
          <w:b/>
          <w:sz w:val="26"/>
          <w:szCs w:val="26"/>
        </w:rPr>
      </w:pPr>
    </w:p>
    <w:p w:rsidR="007E2E80" w:rsidRPr="002B52D6"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2B52D6">
        <w:rPr>
          <w:rFonts w:ascii="Palatino Linotype" w:hAnsi="Palatino Linotype"/>
          <w:b/>
          <w:sz w:val="26"/>
          <w:szCs w:val="26"/>
        </w:rPr>
        <w:t>. Del recurso de revisión.</w:t>
      </w:r>
    </w:p>
    <w:p w:rsidR="009978AF" w:rsidRPr="009978AF" w:rsidRDefault="009978AF" w:rsidP="0014447C">
      <w:pPr>
        <w:pStyle w:val="Sinespaciado"/>
        <w:spacing w:line="360" w:lineRule="auto"/>
        <w:jc w:val="both"/>
        <w:rPr>
          <w:rFonts w:ascii="Palatino Linotype" w:hAnsi="Palatino Linotype"/>
          <w:b/>
          <w:sz w:val="12"/>
          <w:szCs w:val="26"/>
        </w:rPr>
      </w:pPr>
    </w:p>
    <w:p w:rsidR="007E2E80" w:rsidRPr="00D04234" w:rsidRDefault="007E2E80" w:rsidP="00323D35">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3C042D">
        <w:rPr>
          <w:rFonts w:ascii="Palatino Linotype" w:hAnsi="Palatino Linotype"/>
          <w:sz w:val="24"/>
          <w:szCs w:val="24"/>
        </w:rPr>
        <w:t xml:space="preserve"> falta de respuesta </w:t>
      </w:r>
      <w:r w:rsidR="00D04234">
        <w:rPr>
          <w:rFonts w:ascii="Palatino Linotype" w:hAnsi="Palatino Linotype"/>
          <w:sz w:val="24"/>
          <w:szCs w:val="24"/>
        </w:rPr>
        <w:t xml:space="preserve">por </w:t>
      </w:r>
      <w:r w:rsidR="003C042D">
        <w:rPr>
          <w:rFonts w:ascii="Palatino Linotype" w:hAnsi="Palatino Linotype"/>
          <w:sz w:val="24"/>
          <w:szCs w:val="24"/>
        </w:rPr>
        <w:t>parte d</w:t>
      </w:r>
      <w:r w:rsidR="00D04234">
        <w:rPr>
          <w:rFonts w:ascii="Palatino Linotype" w:hAnsi="Palatino Linotype"/>
          <w:sz w:val="24"/>
          <w:szCs w:val="24"/>
        </w:rPr>
        <w:t>el Sujeto O</w:t>
      </w:r>
      <w:r w:rsidRPr="00D04234">
        <w:rPr>
          <w:rFonts w:ascii="Palatino Linotype" w:hAnsi="Palatino Linotype"/>
          <w:sz w:val="24"/>
          <w:szCs w:val="24"/>
        </w:rPr>
        <w:t xml:space="preserve">bligado, </w:t>
      </w:r>
      <w:r w:rsidR="002B52D6">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741A50">
        <w:rPr>
          <w:rFonts w:ascii="Palatino Linotype" w:hAnsi="Palatino Linotype"/>
          <w:sz w:val="24"/>
          <w:szCs w:val="24"/>
        </w:rPr>
        <w:t>doce de abril</w:t>
      </w:r>
      <w:r w:rsidR="00041664">
        <w:rPr>
          <w:rFonts w:ascii="Palatino Linotype" w:hAnsi="Palatino Linotype"/>
          <w:sz w:val="24"/>
          <w:szCs w:val="24"/>
        </w:rPr>
        <w:t xml:space="preserve"> de dos mil diecinueve</w:t>
      </w:r>
      <w:r w:rsidR="00E57465">
        <w:rPr>
          <w:rFonts w:ascii="Palatino Linotype" w:hAnsi="Palatino Linotype"/>
          <w:sz w:val="24"/>
          <w:szCs w:val="24"/>
        </w:rPr>
        <w:t>,</w:t>
      </w:r>
      <w:r w:rsidR="00323D35">
        <w:rPr>
          <w:rFonts w:ascii="Palatino Linotype" w:hAnsi="Palatino Linotype"/>
          <w:sz w:val="24"/>
          <w:szCs w:val="24"/>
        </w:rPr>
        <w:t xml:space="preserve"> </w:t>
      </w:r>
      <w:r w:rsidR="00852DE6">
        <w:rPr>
          <w:rFonts w:ascii="Palatino Linotype" w:hAnsi="Palatino Linotype"/>
          <w:sz w:val="24"/>
          <w:szCs w:val="24"/>
        </w:rPr>
        <w:t>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75676A">
        <w:rPr>
          <w:rFonts w:ascii="Palatino Linotype" w:hAnsi="Palatino Linotype"/>
          <w:b/>
          <w:bCs/>
          <w:sz w:val="24"/>
          <w:szCs w:val="24"/>
          <w:lang w:eastAsia="es-MX"/>
        </w:rPr>
        <w:t>0</w:t>
      </w:r>
      <w:r w:rsidR="00741A50">
        <w:rPr>
          <w:rFonts w:ascii="Palatino Linotype" w:hAnsi="Palatino Linotype"/>
          <w:b/>
          <w:bCs/>
          <w:sz w:val="24"/>
          <w:szCs w:val="24"/>
          <w:lang w:eastAsia="es-MX"/>
        </w:rPr>
        <w:t>2555</w:t>
      </w:r>
      <w:r w:rsidR="00E57465">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CC343F" w:rsidRPr="00CC343F" w:rsidRDefault="007E2E80" w:rsidP="00CC343F">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741A50" w:rsidRPr="00741A50">
        <w:rPr>
          <w:rFonts w:ascii="Palatino Linotype" w:hAnsi="Palatino Linotype" w:cs="Arial"/>
          <w:i/>
          <w:sz w:val="24"/>
        </w:rPr>
        <w:t xml:space="preserve">no han contestado </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741A50" w:rsidRPr="00741A50">
        <w:rPr>
          <w:rFonts w:ascii="Palatino Linotype" w:hAnsi="Palatino Linotype" w:cs="Arial"/>
          <w:i/>
          <w:sz w:val="24"/>
        </w:rPr>
        <w:t>no han contestado</w:t>
      </w:r>
      <w:r w:rsidR="006A3A54" w:rsidRPr="00D46905">
        <w:rPr>
          <w:rFonts w:ascii="Palatino Linotype" w:hAnsi="Palatino Linotype" w:cs="Arial"/>
          <w:i/>
          <w:sz w:val="24"/>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Default="00E57465"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9978AF" w:rsidRPr="009978AF" w:rsidRDefault="009978AF" w:rsidP="004657BE">
      <w:pPr>
        <w:pStyle w:val="Sinespaciado"/>
        <w:spacing w:line="360" w:lineRule="auto"/>
        <w:jc w:val="both"/>
        <w:rPr>
          <w:rFonts w:ascii="Palatino Linotype" w:hAnsi="Palatino Linotype"/>
          <w:b/>
          <w:sz w:val="12"/>
          <w:szCs w:val="26"/>
        </w:rPr>
      </w:pP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w:t>
      </w:r>
      <w:r w:rsidRPr="004657BE">
        <w:rPr>
          <w:rFonts w:ascii="Palatino Linotype" w:hAnsi="Palatino Linotype"/>
          <w:sz w:val="24"/>
          <w:szCs w:val="24"/>
        </w:rPr>
        <w:lastRenderedPageBreak/>
        <w:t xml:space="preserve">la Ley de Transparencia y Acceso a la información Pública del Estado de México y Municipios, del cual recayó acuerdo de admisión en fecha </w:t>
      </w:r>
      <w:r w:rsidR="00CC343F">
        <w:rPr>
          <w:rFonts w:ascii="Palatino Linotype" w:hAnsi="Palatino Linotype"/>
          <w:sz w:val="24"/>
          <w:szCs w:val="24"/>
        </w:rPr>
        <w:t xml:space="preserve">veinticinco de </w:t>
      </w:r>
      <w:r w:rsidR="00741A50">
        <w:rPr>
          <w:rFonts w:ascii="Palatino Linotype" w:hAnsi="Palatino Linotype"/>
          <w:sz w:val="24"/>
          <w:szCs w:val="24"/>
        </w:rPr>
        <w:t>abril</w:t>
      </w:r>
      <w:r w:rsidR="00CC343F">
        <w:rPr>
          <w:rFonts w:ascii="Palatino Linotype" w:hAnsi="Palatino Linotype"/>
          <w:sz w:val="24"/>
          <w:szCs w:val="24"/>
        </w:rPr>
        <w:t xml:space="preserve"> </w:t>
      </w:r>
      <w:r w:rsidR="000E7C0A" w:rsidRPr="004657BE">
        <w:rPr>
          <w:rFonts w:ascii="Palatino Linotype" w:hAnsi="Palatino Linotype"/>
          <w:sz w:val="24"/>
          <w:szCs w:val="24"/>
        </w:rPr>
        <w:t xml:space="preserve">de dos mil </w:t>
      </w:r>
      <w:r w:rsidR="00E57465">
        <w:rPr>
          <w:rFonts w:ascii="Palatino Linotype" w:hAnsi="Palatino Linotype"/>
          <w:sz w:val="24"/>
          <w:szCs w:val="24"/>
        </w:rPr>
        <w:t>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Default="00BE6D77" w:rsidP="004657BE">
      <w:pPr>
        <w:pStyle w:val="Sinespaciado"/>
        <w:spacing w:line="360" w:lineRule="auto"/>
        <w:jc w:val="both"/>
        <w:rPr>
          <w:rFonts w:ascii="Palatino Linotype" w:hAnsi="Palatino Linotype"/>
          <w:sz w:val="24"/>
          <w:szCs w:val="24"/>
        </w:rPr>
      </w:pPr>
    </w:p>
    <w:p w:rsidR="007E2E80"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14447C">
        <w:rPr>
          <w:rFonts w:ascii="Palatino Linotype" w:hAnsi="Palatino Linotype"/>
          <w:b/>
          <w:sz w:val="26"/>
          <w:szCs w:val="26"/>
        </w:rPr>
        <w:t>. De la etapa de instrucción.</w:t>
      </w:r>
    </w:p>
    <w:p w:rsidR="009978AF" w:rsidRPr="009978AF" w:rsidRDefault="009978AF" w:rsidP="0014447C">
      <w:pPr>
        <w:pStyle w:val="Sinespaciado"/>
        <w:spacing w:line="360" w:lineRule="auto"/>
        <w:jc w:val="both"/>
        <w:rPr>
          <w:rFonts w:ascii="Palatino Linotype" w:hAnsi="Palatino Linotype"/>
          <w:b/>
          <w:sz w:val="12"/>
          <w:szCs w:val="26"/>
        </w:rPr>
      </w:pPr>
    </w:p>
    <w:p w:rsidR="00323D35" w:rsidRDefault="00323D35" w:rsidP="00323D35">
      <w:pPr>
        <w:spacing w:after="0" w:line="360" w:lineRule="auto"/>
        <w:jc w:val="both"/>
        <w:rPr>
          <w:rFonts w:ascii="Palatino Linotype" w:hAnsi="Palatino Linotype" w:cs="Arial"/>
          <w:sz w:val="24"/>
          <w:szCs w:val="24"/>
        </w:rPr>
      </w:pPr>
      <w:r w:rsidRPr="009C4628">
        <w:rPr>
          <w:rFonts w:ascii="Palatino Linotype" w:hAnsi="Palatino Linotype" w:cs="Arial"/>
          <w:sz w:val="24"/>
          <w:szCs w:val="24"/>
        </w:rPr>
        <w:t xml:space="preserve">Una vez transcurrido el término legal referido, de las constancias que obran en el SAIMEX, se advierte que tanto el </w:t>
      </w:r>
      <w:r w:rsidRPr="009C4628">
        <w:rPr>
          <w:rFonts w:ascii="Palatino Linotype" w:hAnsi="Palatino Linotype" w:cs="Arial"/>
          <w:b/>
          <w:sz w:val="24"/>
          <w:szCs w:val="24"/>
        </w:rPr>
        <w:t>Sujeto Obligado</w:t>
      </w:r>
      <w:r w:rsidRPr="009C4628">
        <w:rPr>
          <w:rFonts w:ascii="Palatino Linotype" w:hAnsi="Palatino Linotype" w:cs="Arial"/>
          <w:sz w:val="24"/>
          <w:szCs w:val="24"/>
        </w:rPr>
        <w:t xml:space="preserve"> como </w:t>
      </w:r>
      <w:r w:rsidR="00E57465">
        <w:rPr>
          <w:rFonts w:ascii="Palatino Linotype" w:hAnsi="Palatino Linotype" w:cs="Arial"/>
          <w:b/>
          <w:sz w:val="24"/>
          <w:szCs w:val="24"/>
        </w:rPr>
        <w:t>E</w:t>
      </w:r>
      <w:r w:rsidRPr="00E57465">
        <w:rPr>
          <w:rFonts w:ascii="Palatino Linotype" w:hAnsi="Palatino Linotype" w:cs="Arial"/>
          <w:b/>
          <w:sz w:val="24"/>
          <w:szCs w:val="24"/>
        </w:rPr>
        <w:t>l</w:t>
      </w:r>
      <w:r w:rsidRPr="009C4628">
        <w:rPr>
          <w:rFonts w:ascii="Palatino Linotype" w:hAnsi="Palatino Linotype" w:cs="Arial"/>
          <w:sz w:val="24"/>
          <w:szCs w:val="24"/>
        </w:rPr>
        <w:t xml:space="preserve"> </w:t>
      </w:r>
      <w:r w:rsidRPr="009C4628">
        <w:rPr>
          <w:rFonts w:ascii="Palatino Linotype" w:hAnsi="Palatino Linotype" w:cs="Arial"/>
          <w:b/>
          <w:sz w:val="24"/>
          <w:szCs w:val="24"/>
        </w:rPr>
        <w:t>Recurrente</w:t>
      </w:r>
      <w:r w:rsidRPr="009C4628">
        <w:rPr>
          <w:rFonts w:ascii="Palatino Linotype" w:hAnsi="Palatino Linotype" w:cs="Arial"/>
          <w:sz w:val="24"/>
          <w:szCs w:val="24"/>
        </w:rPr>
        <w:t>, fueron omisos en presentar manifestaciones, tal c</w:t>
      </w:r>
      <w:r w:rsidR="00E57465">
        <w:rPr>
          <w:rFonts w:ascii="Palatino Linotype" w:hAnsi="Palatino Linotype" w:cs="Arial"/>
          <w:sz w:val="24"/>
          <w:szCs w:val="24"/>
        </w:rPr>
        <w:t>omo se observa en la siguiente captura</w:t>
      </w:r>
      <w:r w:rsidRPr="009C4628">
        <w:rPr>
          <w:rFonts w:ascii="Palatino Linotype" w:hAnsi="Palatino Linotype" w:cs="Arial"/>
          <w:sz w:val="24"/>
          <w:szCs w:val="24"/>
        </w:rPr>
        <w:t xml:space="preserve"> de pantalla:</w:t>
      </w:r>
    </w:p>
    <w:p w:rsidR="00CC343F" w:rsidRPr="00CC343F" w:rsidRDefault="00CC343F" w:rsidP="00323D35">
      <w:pPr>
        <w:spacing w:after="0" w:line="360" w:lineRule="auto"/>
        <w:jc w:val="both"/>
        <w:rPr>
          <w:rFonts w:ascii="Palatino Linotype" w:hAnsi="Palatino Linotype" w:cs="Arial"/>
          <w:sz w:val="18"/>
          <w:szCs w:val="24"/>
        </w:rPr>
      </w:pPr>
    </w:p>
    <w:p w:rsidR="00ED0209" w:rsidRDefault="00CE207D" w:rsidP="00323D35">
      <w:pPr>
        <w:pStyle w:val="Sinespaciado"/>
        <w:spacing w:line="360" w:lineRule="auto"/>
        <w:jc w:val="center"/>
        <w:rPr>
          <w:rFonts w:ascii="Palatino Linotype" w:hAnsi="Palatino Linotype"/>
          <w:b/>
          <w:sz w:val="26"/>
          <w:szCs w:val="26"/>
        </w:rPr>
      </w:pPr>
      <w:r>
        <w:rPr>
          <w:noProof/>
          <w:lang w:eastAsia="es-MX"/>
        </w:rPr>
        <w:drawing>
          <wp:inline distT="0" distB="0" distL="0" distR="0" wp14:anchorId="01477DF7" wp14:editId="1C07282F">
            <wp:extent cx="5760720" cy="14312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431290"/>
                    </a:xfrm>
                    <a:prstGeom prst="rect">
                      <a:avLst/>
                    </a:prstGeom>
                  </pic:spPr>
                </pic:pic>
              </a:graphicData>
            </a:graphic>
          </wp:inline>
        </w:drawing>
      </w:r>
    </w:p>
    <w:p w:rsidR="00CE207D" w:rsidRDefault="00CE207D" w:rsidP="0014447C">
      <w:pPr>
        <w:pStyle w:val="Sinespaciado"/>
        <w:spacing w:line="360" w:lineRule="auto"/>
        <w:jc w:val="both"/>
        <w:rPr>
          <w:rFonts w:ascii="Palatino Linotype" w:hAnsi="Palatino Linotype"/>
          <w:b/>
          <w:sz w:val="26"/>
          <w:szCs w:val="26"/>
        </w:rPr>
      </w:pPr>
    </w:p>
    <w:p w:rsidR="00323D35" w:rsidRPr="00CE207D"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CE207D">
        <w:rPr>
          <w:rFonts w:ascii="Palatino Linotype" w:hAnsi="Palatino Linotype"/>
          <w:sz w:val="24"/>
          <w:szCs w:val="24"/>
        </w:rPr>
        <w:t>diez de mayo</w:t>
      </w:r>
      <w:r w:rsidR="00CC343F">
        <w:rPr>
          <w:rFonts w:ascii="Palatino Linotype" w:hAnsi="Palatino Linotype"/>
          <w:sz w:val="24"/>
          <w:szCs w:val="24"/>
        </w:rPr>
        <w:t xml:space="preserve"> </w:t>
      </w:r>
      <w:r w:rsidR="00EB5002">
        <w:rPr>
          <w:rFonts w:ascii="Palatino Linotype" w:hAnsi="Palatino Linotype"/>
          <w:sz w:val="24"/>
          <w:szCs w:val="24"/>
        </w:rPr>
        <w:t xml:space="preserve">de </w:t>
      </w:r>
      <w:r w:rsidR="00705D1C">
        <w:rPr>
          <w:rFonts w:ascii="Palatino Linotype" w:hAnsi="Palatino Linotype"/>
          <w:sz w:val="24"/>
          <w:szCs w:val="24"/>
        </w:rPr>
        <w:t xml:space="preserve">dos mil </w:t>
      </w:r>
      <w:r w:rsidR="00D77749">
        <w:rPr>
          <w:rFonts w:ascii="Palatino Linotype" w:hAnsi="Palatino Linotype"/>
          <w:sz w:val="24"/>
          <w:szCs w:val="24"/>
        </w:rPr>
        <w:t>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CE207D" w:rsidRDefault="00CE207D" w:rsidP="0014447C">
      <w:pPr>
        <w:pStyle w:val="Sinespaciado"/>
        <w:spacing w:line="360" w:lineRule="auto"/>
        <w:jc w:val="both"/>
        <w:rPr>
          <w:rFonts w:ascii="Palatino Linotype" w:hAnsi="Palatino Linotype"/>
          <w:sz w:val="24"/>
          <w:szCs w:val="24"/>
        </w:rPr>
      </w:pPr>
    </w:p>
    <w:p w:rsidR="00CE207D" w:rsidRDefault="00CE207D" w:rsidP="0014447C">
      <w:pPr>
        <w:pStyle w:val="Sinespaciado"/>
        <w:spacing w:line="360" w:lineRule="auto"/>
        <w:jc w:val="both"/>
        <w:rPr>
          <w:rFonts w:ascii="Palatino Linotype" w:hAnsi="Palatino Linotype"/>
          <w:sz w:val="24"/>
          <w:szCs w:val="24"/>
        </w:rPr>
      </w:pPr>
    </w:p>
    <w:p w:rsidR="00915450" w:rsidRPr="009026F3" w:rsidRDefault="00D77749" w:rsidP="00915450">
      <w:pPr>
        <w:spacing w:line="360" w:lineRule="auto"/>
        <w:jc w:val="both"/>
        <w:rPr>
          <w:rFonts w:ascii="Palatino Linotype" w:hAnsi="Palatino Linotype" w:cs="Arial"/>
          <w:b/>
          <w:sz w:val="24"/>
          <w:szCs w:val="24"/>
        </w:rPr>
      </w:pPr>
      <w:r w:rsidRPr="009026F3">
        <w:rPr>
          <w:rFonts w:ascii="Palatino Linotype" w:hAnsi="Palatino Linotype" w:cs="Arial"/>
          <w:b/>
          <w:sz w:val="26"/>
          <w:szCs w:val="26"/>
        </w:rPr>
        <w:lastRenderedPageBreak/>
        <w:t>S</w:t>
      </w:r>
      <w:r w:rsidR="009978AF" w:rsidRPr="009026F3">
        <w:rPr>
          <w:rFonts w:ascii="Palatino Linotype" w:hAnsi="Palatino Linotype" w:cs="Arial"/>
          <w:b/>
          <w:sz w:val="26"/>
          <w:szCs w:val="26"/>
        </w:rPr>
        <w:t>É</w:t>
      </w:r>
      <w:r w:rsidRPr="009026F3">
        <w:rPr>
          <w:rFonts w:ascii="Palatino Linotype" w:hAnsi="Palatino Linotype" w:cs="Arial"/>
          <w:b/>
          <w:sz w:val="26"/>
          <w:szCs w:val="26"/>
        </w:rPr>
        <w:t>PTI</w:t>
      </w:r>
      <w:r w:rsidR="009978AF" w:rsidRPr="009026F3">
        <w:rPr>
          <w:rFonts w:ascii="Palatino Linotype" w:hAnsi="Palatino Linotype" w:cs="Arial"/>
          <w:b/>
          <w:sz w:val="26"/>
          <w:szCs w:val="26"/>
        </w:rPr>
        <w:t>MO</w:t>
      </w:r>
      <w:r w:rsidR="00915450" w:rsidRPr="009026F3">
        <w:rPr>
          <w:rFonts w:ascii="Palatino Linotype" w:hAnsi="Palatino Linotype" w:cs="Arial"/>
          <w:b/>
          <w:sz w:val="26"/>
          <w:szCs w:val="26"/>
        </w:rPr>
        <w:t>. De la ampliación del término para resolver</w:t>
      </w:r>
      <w:r w:rsidR="00915450" w:rsidRPr="009026F3">
        <w:rPr>
          <w:rFonts w:ascii="Palatino Linotype" w:hAnsi="Palatino Linotype" w:cs="Arial"/>
          <w:b/>
          <w:sz w:val="24"/>
          <w:szCs w:val="24"/>
        </w:rPr>
        <w:t>.</w:t>
      </w:r>
    </w:p>
    <w:p w:rsidR="00915450" w:rsidRDefault="00915450" w:rsidP="00915450">
      <w:pPr>
        <w:spacing w:line="360" w:lineRule="auto"/>
        <w:jc w:val="both"/>
        <w:rPr>
          <w:rFonts w:ascii="Palatino Linotype" w:hAnsi="Palatino Linotype" w:cs="Arial"/>
          <w:sz w:val="24"/>
          <w:szCs w:val="24"/>
        </w:rPr>
      </w:pPr>
      <w:r w:rsidRPr="009026F3">
        <w:rPr>
          <w:rFonts w:ascii="Palatino Linotype" w:hAnsi="Palatino Linotype" w:cs="Arial"/>
          <w:sz w:val="24"/>
          <w:szCs w:val="24"/>
        </w:rPr>
        <w:t xml:space="preserve">En fecha </w:t>
      </w:r>
      <w:r w:rsidR="00CE207D">
        <w:rPr>
          <w:rFonts w:ascii="Palatino Linotype" w:hAnsi="Palatino Linotype" w:cs="Arial"/>
          <w:sz w:val="24"/>
          <w:szCs w:val="24"/>
        </w:rPr>
        <w:t>diez de junio</w:t>
      </w:r>
      <w:r w:rsidR="00EB5002" w:rsidRPr="009026F3">
        <w:rPr>
          <w:rFonts w:ascii="Palatino Linotype" w:hAnsi="Palatino Linotype" w:cs="Arial"/>
          <w:sz w:val="24"/>
          <w:szCs w:val="24"/>
        </w:rPr>
        <w:t xml:space="preserve"> </w:t>
      </w:r>
      <w:r w:rsidRPr="009026F3">
        <w:rPr>
          <w:rFonts w:ascii="Palatino Linotype" w:hAnsi="Palatino Linotype" w:cs="Arial"/>
          <w:sz w:val="24"/>
          <w:szCs w:val="24"/>
        </w:rPr>
        <w:t>de dos mil dieci</w:t>
      </w:r>
      <w:r w:rsidR="00EB5002" w:rsidRPr="009026F3">
        <w:rPr>
          <w:rFonts w:ascii="Palatino Linotype" w:hAnsi="Palatino Linotype" w:cs="Arial"/>
          <w:sz w:val="24"/>
          <w:szCs w:val="24"/>
        </w:rPr>
        <w:t>nueve</w:t>
      </w:r>
      <w:r w:rsidRPr="009026F3">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0E631B" w:rsidRDefault="000E631B"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4F71B4">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w:t>
      </w:r>
      <w:r w:rsidR="006E2615">
        <w:rPr>
          <w:rFonts w:ascii="Palatino Linotype" w:hAnsi="Palatino Linotype"/>
          <w:sz w:val="24"/>
          <w:szCs w:val="24"/>
        </w:rPr>
        <w:t>VI</w:t>
      </w:r>
      <w:r w:rsidRPr="0014447C">
        <w:rPr>
          <w:rFonts w:ascii="Palatino Linotype" w:hAnsi="Palatino Linotype"/>
          <w:sz w:val="24"/>
          <w:szCs w:val="24"/>
        </w:rPr>
        <w:t>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w:t>
      </w:r>
      <w:r w:rsidRPr="0014447C">
        <w:rPr>
          <w:rFonts w:ascii="Palatino Linotype" w:hAnsi="Palatino Linotype"/>
          <w:sz w:val="24"/>
          <w:szCs w:val="24"/>
        </w:rPr>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D77749" w:rsidRPr="0014447C" w:rsidRDefault="00D77749"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CE207D" w:rsidRDefault="00CE207D" w:rsidP="0014447C">
      <w:pPr>
        <w:pStyle w:val="Sinespaciado"/>
        <w:spacing w:line="360" w:lineRule="auto"/>
        <w:jc w:val="both"/>
        <w:rPr>
          <w:rFonts w:ascii="Palatino Linotype" w:hAnsi="Palatino Linotype"/>
          <w:b/>
          <w:sz w:val="26"/>
          <w:szCs w:val="26"/>
        </w:rPr>
      </w:pPr>
    </w:p>
    <w:p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B519E6" w:rsidRPr="00517C0D" w:rsidRDefault="00B519E6" w:rsidP="00B519E6">
      <w:pPr>
        <w:spacing w:after="0" w:line="360" w:lineRule="auto"/>
        <w:jc w:val="both"/>
        <w:rPr>
          <w:rFonts w:ascii="Palatino Linotype" w:hAnsi="Palatino Linotype" w:cs="Arial"/>
          <w:sz w:val="24"/>
          <w:szCs w:val="24"/>
        </w:rPr>
      </w:pPr>
      <w:r w:rsidRPr="00517C0D">
        <w:rPr>
          <w:rFonts w:ascii="Palatino Linotype" w:hAnsi="Palatino Linotype" w:cs="Arial"/>
          <w:sz w:val="24"/>
          <w:szCs w:val="24"/>
        </w:rPr>
        <w:t>Se deriva al análisis del presente recurso, que en primera instancia, al refe</w:t>
      </w:r>
      <w:r w:rsidR="006E2615">
        <w:rPr>
          <w:rFonts w:ascii="Palatino Linotype" w:hAnsi="Palatino Linotype" w:cs="Arial"/>
          <w:sz w:val="24"/>
          <w:szCs w:val="24"/>
        </w:rPr>
        <w:t>rirnos al acto impugnado por El</w:t>
      </w:r>
      <w:r w:rsidR="00BB1D9B">
        <w:rPr>
          <w:rFonts w:ascii="Palatino Linotype" w:hAnsi="Palatino Linotype" w:cs="Arial"/>
          <w:sz w:val="24"/>
          <w:szCs w:val="24"/>
        </w:rPr>
        <w:t xml:space="preserve"> Recurrente</w:t>
      </w:r>
      <w:r w:rsidRPr="00517C0D">
        <w:rPr>
          <w:rFonts w:ascii="Palatino Linotype" w:hAnsi="Palatino Linotype" w:cs="Arial"/>
          <w:sz w:val="24"/>
          <w:szCs w:val="24"/>
        </w:rPr>
        <w:t xml:space="preserve">, encadenado con los motivos o razones de inconformidad emitidos, se distingue que se adolece, de forma principal de la falta de </w:t>
      </w:r>
      <w:r w:rsidRPr="00517C0D">
        <w:rPr>
          <w:rFonts w:ascii="Palatino Linotype" w:hAnsi="Palatino Linotype" w:cs="Arial"/>
          <w:sz w:val="24"/>
          <w:szCs w:val="24"/>
        </w:rPr>
        <w:lastRenderedPageBreak/>
        <w:t xml:space="preserve">respuesta a la solicitud de acceso a la información formulada, actualizando con ello lo </w:t>
      </w:r>
      <w:r w:rsidRPr="00517C0D">
        <w:rPr>
          <w:rFonts w:ascii="Palatino Linotype" w:eastAsia="Calibri" w:hAnsi="Palatino Linotype" w:cs="Arial"/>
          <w:sz w:val="24"/>
          <w:szCs w:val="24"/>
        </w:rPr>
        <w:t xml:space="preserve">establecido en la fracción VII del artículo 179 de la </w:t>
      </w:r>
      <w:r w:rsidRPr="00517C0D">
        <w:rPr>
          <w:rFonts w:ascii="Palatino Linotype" w:eastAsia="Calibri" w:hAnsi="Palatino Linotype" w:cs="Arial"/>
          <w:b/>
          <w:sz w:val="24"/>
          <w:szCs w:val="24"/>
        </w:rPr>
        <w:t>Ley de Transparencia y Acceso a la Información Pública del Estado de México y Municipios</w:t>
      </w:r>
      <w:r w:rsidRPr="00517C0D">
        <w:rPr>
          <w:rFonts w:ascii="Palatino Linotype" w:eastAsia="Calibri" w:hAnsi="Palatino Linotype" w:cs="Arial"/>
          <w:sz w:val="24"/>
          <w:szCs w:val="24"/>
        </w:rPr>
        <w:t>,</w:t>
      </w:r>
      <w:r w:rsidRPr="00517C0D">
        <w:rPr>
          <w:rFonts w:ascii="Palatino Linotype" w:eastAsia="Calibri" w:hAnsi="Palatino Linotype" w:cs="Arial"/>
          <w:b/>
          <w:sz w:val="24"/>
          <w:szCs w:val="24"/>
        </w:rPr>
        <w:t xml:space="preserve"> </w:t>
      </w:r>
      <w:r w:rsidRPr="00517C0D">
        <w:rPr>
          <w:rFonts w:ascii="Palatino Linotype" w:hAnsi="Palatino Linotype" w:cs="Arial"/>
          <w:sz w:val="24"/>
          <w:szCs w:val="24"/>
        </w:rPr>
        <w:t>resultando procedente la interposición del recurso de revisión cuando no se dé respuesta a una solicitud de información.</w:t>
      </w:r>
    </w:p>
    <w:p w:rsidR="00B519E6" w:rsidRPr="001A2E44" w:rsidRDefault="00B519E6" w:rsidP="00B519E6">
      <w:pPr>
        <w:pStyle w:val="Prrafodelista"/>
        <w:autoSpaceDE w:val="0"/>
        <w:autoSpaceDN w:val="0"/>
        <w:adjustRightInd w:val="0"/>
        <w:spacing w:line="360" w:lineRule="auto"/>
        <w:ind w:left="0"/>
        <w:jc w:val="both"/>
        <w:rPr>
          <w:rFonts w:ascii="Palatino Linotype" w:hAnsi="Palatino Linotype" w:cs="Arial"/>
        </w:rPr>
      </w:pPr>
    </w:p>
    <w:p w:rsidR="00B519E6" w:rsidRPr="001A2E44" w:rsidRDefault="00B519E6" w:rsidP="00B519E6">
      <w:pPr>
        <w:pStyle w:val="Prrafodelista"/>
        <w:autoSpaceDE w:val="0"/>
        <w:autoSpaceDN w:val="0"/>
        <w:adjustRightInd w:val="0"/>
        <w:spacing w:line="360" w:lineRule="auto"/>
        <w:ind w:left="0"/>
        <w:jc w:val="both"/>
        <w:rPr>
          <w:rFonts w:ascii="Palatino Linotype" w:hAnsi="Palatino Linotype" w:cs="Arial"/>
        </w:rPr>
      </w:pPr>
      <w:r w:rsidRPr="001A2E44">
        <w:rPr>
          <w:rFonts w:ascii="Palatino Linotype" w:hAnsi="Palatino Linotype" w:cs="Arial"/>
        </w:rPr>
        <w:t xml:space="preserve">Establecido lo anterior, resulta evidente que las razones o motivos de </w:t>
      </w:r>
      <w:r w:rsidRPr="001A2E44">
        <w:rPr>
          <w:rFonts w:ascii="Palatino Linotype" w:hAnsi="Palatino Linotype"/>
        </w:rPr>
        <w:t xml:space="preserve">inconformidad hechos valer, resultan </w:t>
      </w:r>
      <w:r w:rsidRPr="001A2E44">
        <w:rPr>
          <w:rFonts w:ascii="Palatino Linotype" w:hAnsi="Palatino Linotype"/>
          <w:b/>
        </w:rPr>
        <w:t>fundadas y procedentes</w:t>
      </w:r>
      <w:r w:rsidRPr="001A2E44">
        <w:rPr>
          <w:rFonts w:ascii="Palatino Linotype" w:hAnsi="Palatino Linotype"/>
        </w:rPr>
        <w:t xml:space="preserve">, en virtud de que como atestigua en las constancias que obran en el expediente electrónico SAIMEX, se acredita que el </w:t>
      </w:r>
      <w:r>
        <w:rPr>
          <w:rFonts w:ascii="Palatino Linotype" w:hAnsi="Palatino Linotype" w:cs="Arial"/>
          <w:lang w:eastAsia="es-MX"/>
        </w:rPr>
        <w:t>S</w:t>
      </w:r>
      <w:r w:rsidRPr="00B519E6">
        <w:rPr>
          <w:rFonts w:ascii="Palatino Linotype" w:hAnsi="Palatino Linotype" w:cs="Arial"/>
          <w:lang w:eastAsia="es-MX"/>
        </w:rPr>
        <w:t xml:space="preserve">ujeto </w:t>
      </w:r>
      <w:r>
        <w:rPr>
          <w:rFonts w:ascii="Palatino Linotype" w:hAnsi="Palatino Linotype" w:cs="Arial"/>
          <w:lang w:eastAsia="es-MX"/>
        </w:rPr>
        <w:t>O</w:t>
      </w:r>
      <w:r w:rsidRPr="00B519E6">
        <w:rPr>
          <w:rFonts w:ascii="Palatino Linotype" w:hAnsi="Palatino Linotype" w:cs="Arial"/>
          <w:lang w:eastAsia="es-MX"/>
        </w:rPr>
        <w:t xml:space="preserve">bligado </w:t>
      </w:r>
      <w:r w:rsidRPr="001A2E44">
        <w:rPr>
          <w:rFonts w:ascii="Palatino Linotype" w:hAnsi="Palatino Linotype" w:cs="Arial"/>
          <w:lang w:eastAsia="es-MX"/>
        </w:rPr>
        <w:t xml:space="preserve">fue omiso en responder la solicitud de información hecha por </w:t>
      </w:r>
      <w:r w:rsidR="006E2615">
        <w:rPr>
          <w:rFonts w:ascii="Palatino Linotype" w:hAnsi="Palatino Linotype" w:cs="Arial"/>
          <w:lang w:eastAsia="es-MX"/>
        </w:rPr>
        <w:t>El</w:t>
      </w:r>
      <w:r w:rsidR="009E4E76">
        <w:rPr>
          <w:rFonts w:ascii="Palatino Linotype" w:hAnsi="Palatino Linotype" w:cs="Arial"/>
          <w:lang w:eastAsia="es-MX"/>
        </w:rPr>
        <w:t xml:space="preserve"> Recurrente.</w:t>
      </w: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Así las cosas, ante la omisión del Sujeto</w:t>
      </w:r>
      <w:r w:rsidR="006E2615">
        <w:rPr>
          <w:rFonts w:ascii="Palatino Linotype" w:eastAsia="Times New Roman" w:hAnsi="Palatino Linotype" w:cs="Times New Roman"/>
          <w:sz w:val="24"/>
          <w:szCs w:val="24"/>
          <w:lang w:eastAsia="es-ES"/>
        </w:rPr>
        <w:t xml:space="preserve"> Obligado para dar respuesta a El</w:t>
      </w:r>
      <w:r w:rsidR="009E4E76">
        <w:rPr>
          <w:rFonts w:ascii="Palatino Linotype" w:eastAsia="Times New Roman" w:hAnsi="Palatino Linotype" w:cs="Times New Roman"/>
          <w:sz w:val="24"/>
          <w:szCs w:val="24"/>
          <w:lang w:eastAsia="es-ES"/>
        </w:rPr>
        <w:t xml:space="preserve"> </w:t>
      </w:r>
      <w:r w:rsidRPr="009C4628">
        <w:rPr>
          <w:rFonts w:ascii="Palatino Linotype" w:eastAsia="Times New Roman" w:hAnsi="Palatino Linotype" w:cs="Times New Roman"/>
          <w:sz w:val="24"/>
          <w:szCs w:val="24"/>
          <w:lang w:eastAsia="es-ES"/>
        </w:rPr>
        <w:t xml:space="preserve">Recurrente, se advierte lo que en la doctrina se le conoce como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117C14">
        <w:rPr>
          <w:rFonts w:ascii="Palatino Linotype" w:eastAsia="Times New Roman" w:hAnsi="Palatino Linotype" w:cs="Times New Roman"/>
          <w:sz w:val="24"/>
          <w:szCs w:val="24"/>
          <w:lang w:eastAsia="es-ES"/>
        </w:rPr>
        <w:t xml:space="preserve">En este sentido la </w:t>
      </w:r>
      <w:r w:rsidRPr="00117C14">
        <w:rPr>
          <w:rFonts w:ascii="Palatino Linotype" w:eastAsia="Times New Roman" w:hAnsi="Palatino Linotype" w:cs="Times New Roman"/>
          <w:i/>
          <w:sz w:val="24"/>
          <w:szCs w:val="24"/>
          <w:lang w:eastAsia="es-ES"/>
        </w:rPr>
        <w:t>negativa ficta</w:t>
      </w:r>
      <w:r w:rsidRPr="00117C14">
        <w:rPr>
          <w:rFonts w:ascii="Palatino Linotype" w:eastAsia="Times New Roman" w:hAnsi="Palatino Linotype" w:cs="Times New Roman"/>
          <w:sz w:val="24"/>
          <w:szCs w:val="24"/>
          <w:lang w:eastAsia="es-ES"/>
        </w:rPr>
        <w:t xml:space="preserve"> constituye una presunción</w:t>
      </w:r>
      <w:r w:rsidRPr="009C4628">
        <w:rPr>
          <w:rFonts w:ascii="Palatino Linotype" w:eastAsia="Times New Roman" w:hAnsi="Palatino Linotype" w:cs="Times New Roman"/>
          <w:sz w:val="24"/>
          <w:szCs w:val="24"/>
          <w:lang w:eastAsia="es-ES"/>
        </w:rPr>
        <w:t xml:space="preserve"> legal, en el entendido de que donde no hubo respuesta por parte del Sujeto Obligado</w:t>
      </w:r>
      <w:r w:rsidRPr="009C4628">
        <w:rPr>
          <w:rFonts w:ascii="Palatino Linotype" w:eastAsia="Times New Roman" w:hAnsi="Palatino Linotype" w:cs="Times New Roman"/>
          <w:b/>
          <w:sz w:val="24"/>
          <w:szCs w:val="24"/>
          <w:lang w:eastAsia="es-ES"/>
        </w:rPr>
        <w:t xml:space="preserve"> </w:t>
      </w:r>
      <w:r w:rsidRPr="009C462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9C4628">
        <w:rPr>
          <w:rFonts w:ascii="Palatino Linotype" w:eastAsia="Times New Roman" w:hAnsi="Palatino Linotype" w:cs="Times New Roman"/>
          <w:i/>
          <w:sz w:val="24"/>
          <w:szCs w:val="24"/>
          <w:lang w:eastAsia="es-ES"/>
        </w:rPr>
        <w:t>Estado de Derecho</w:t>
      </w:r>
      <w:r w:rsidRPr="009C4628">
        <w:rPr>
          <w:rFonts w:ascii="Palatino Linotype" w:eastAsia="Times New Roman" w:hAnsi="Palatino Linotype" w:cs="Times New Roman"/>
          <w:sz w:val="24"/>
          <w:szCs w:val="24"/>
          <w:lang w:eastAsia="es-ES"/>
        </w:rPr>
        <w:t xml:space="preserve"> en el que, el particular, tiene siempre una vía de defensa.</w:t>
      </w: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lastRenderedPageBreak/>
        <w:t xml:space="preserve">En este sentido en el marco del derecho de acceso a la información pública, la figura de la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w:t>
      </w:r>
      <w:r w:rsidR="00E80DE9">
        <w:rPr>
          <w:rFonts w:ascii="Palatino Linotype" w:eastAsia="Times New Roman" w:hAnsi="Palatino Linotype" w:cs="Times New Roman"/>
          <w:sz w:val="24"/>
          <w:szCs w:val="24"/>
          <w:lang w:eastAsia="es-ES"/>
        </w:rPr>
        <w:t xml:space="preserve">etos Obligados, conforme a los </w:t>
      </w:r>
      <w:r w:rsidRPr="009C4628">
        <w:rPr>
          <w:rFonts w:ascii="Palatino Linotype" w:eastAsia="Times New Roman" w:hAnsi="Palatino Linotype" w:cs="Times New Roman"/>
          <w:sz w:val="24"/>
          <w:szCs w:val="24"/>
          <w:lang w:eastAsia="es-ES"/>
        </w:rPr>
        <w:t xml:space="preserve">artículos 4, 12, </w:t>
      </w:r>
      <w:r w:rsidR="005E37FE">
        <w:rPr>
          <w:rFonts w:ascii="Palatino Linotype" w:eastAsia="Times New Roman" w:hAnsi="Palatino Linotype" w:cs="Times New Roman"/>
          <w:sz w:val="24"/>
          <w:szCs w:val="24"/>
          <w:lang w:eastAsia="es-ES"/>
        </w:rPr>
        <w:t xml:space="preserve">24, último párrafo y 160, de la </w:t>
      </w:r>
      <w:r w:rsidRPr="009C4628">
        <w:rPr>
          <w:rFonts w:ascii="Palatino Linotype" w:eastAsia="Times New Roman" w:hAnsi="Palatino Linotype" w:cs="Times New Roman"/>
          <w:sz w:val="24"/>
          <w:szCs w:val="24"/>
          <w:lang w:eastAsia="es-ES"/>
        </w:rPr>
        <w:t>Ley local en la materia, que a la letra citan:</w:t>
      </w:r>
    </w:p>
    <w:p w:rsidR="002D0152" w:rsidRPr="009C4628" w:rsidRDefault="002D0152" w:rsidP="002D0152">
      <w:pPr>
        <w:pStyle w:val="Sinespaciado"/>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4.</w:t>
      </w:r>
      <w:r w:rsidRPr="009C462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12.</w:t>
      </w:r>
      <w:r w:rsidRPr="009C462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2D0152" w:rsidRPr="009C4628" w:rsidRDefault="002D0152" w:rsidP="002D0152">
      <w:pPr>
        <w:spacing w:after="0" w:line="240" w:lineRule="auto"/>
        <w:ind w:left="567" w:right="567"/>
        <w:jc w:val="both"/>
        <w:rPr>
          <w:rFonts w:ascii="Palatino Linotype" w:eastAsia="Times New Roman" w:hAnsi="Palatino Linotype" w:cs="Times New Roman"/>
          <w:b/>
          <w:i/>
          <w:lang w:eastAsia="es-ES"/>
        </w:rPr>
      </w:pPr>
      <w:r w:rsidRPr="009C4628">
        <w:rPr>
          <w:rFonts w:ascii="Palatino Linotype" w:eastAsia="Times New Roman" w:hAnsi="Palatino Linotype" w:cs="Times New Roman"/>
          <w:b/>
          <w:i/>
          <w:lang w:eastAsia="es-ES"/>
        </w:rPr>
        <w:lastRenderedPageBreak/>
        <w:t xml:space="preserve">Artículo 24. </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160.</w:t>
      </w:r>
      <w:r w:rsidRPr="009C462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C4628">
        <w:rPr>
          <w:rFonts w:ascii="Palatino Linotype" w:eastAsia="Times New Roman" w:hAnsi="Palatino Linotype" w:cs="Times New Roman"/>
          <w:bCs/>
          <w:sz w:val="24"/>
          <w:szCs w:val="24"/>
          <w:lang w:eastAsia="es-ES"/>
        </w:rPr>
        <w:t>de la Ley local en la materia, que se reproduce de la siguiente forma</w:t>
      </w:r>
      <w:r w:rsidRPr="009C4628">
        <w:rPr>
          <w:rFonts w:ascii="Palatino Linotype" w:eastAsia="Times New Roman" w:hAnsi="Palatino Linotype" w:cs="Times New Roman"/>
          <w:sz w:val="24"/>
          <w:szCs w:val="24"/>
          <w:lang w:eastAsia="es-ES"/>
        </w:rPr>
        <w:t>:</w:t>
      </w:r>
    </w:p>
    <w:p w:rsidR="002D0152" w:rsidRPr="009C4628" w:rsidRDefault="002D0152" w:rsidP="002D0152">
      <w:pPr>
        <w:pStyle w:val="Sinespaciado"/>
      </w:pPr>
    </w:p>
    <w:p w:rsidR="002D0152" w:rsidRPr="009C4628" w:rsidRDefault="002D0152" w:rsidP="002D0152">
      <w:pPr>
        <w:spacing w:after="0" w:line="240" w:lineRule="auto"/>
        <w:ind w:left="567" w:right="567"/>
        <w:jc w:val="both"/>
        <w:rPr>
          <w:rFonts w:ascii="Palatino Linotype" w:eastAsia="Times New Roman" w:hAnsi="Palatino Linotype" w:cs="Arial"/>
          <w:i/>
          <w:lang w:eastAsia="es-ES"/>
        </w:rPr>
      </w:pPr>
      <w:r w:rsidRPr="009C4628">
        <w:rPr>
          <w:rFonts w:ascii="Palatino Linotype" w:eastAsia="Times New Roman" w:hAnsi="Palatino Linotype" w:cs="Arial"/>
          <w:b/>
          <w:i/>
          <w:lang w:eastAsia="es-ES"/>
        </w:rPr>
        <w:t>Artículo 166.</w:t>
      </w:r>
      <w:r w:rsidRPr="009C4628">
        <w:rPr>
          <w:rFonts w:ascii="Palatino Linotype" w:eastAsia="Times New Roman" w:hAnsi="Palatino Linotype" w:cs="Arial"/>
          <w:i/>
          <w:lang w:eastAsia="es-ES"/>
        </w:rPr>
        <w:t xml:space="preserve"> </w:t>
      </w:r>
      <w:r w:rsidRPr="009C462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2D0152" w:rsidRPr="009C4628" w:rsidRDefault="002D0152" w:rsidP="002D0152">
      <w:pPr>
        <w:spacing w:after="0" w:line="360" w:lineRule="auto"/>
        <w:rPr>
          <w:rFonts w:ascii="Palatino Linotype" w:eastAsia="Times New Roman" w:hAnsi="Palatino Linotype" w:cs="Times New Roman"/>
          <w:sz w:val="24"/>
          <w:szCs w:val="24"/>
          <w:lang w:eastAsia="es-ES"/>
        </w:rPr>
      </w:pP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2D0152" w:rsidRPr="009C4628" w:rsidRDefault="002D0152" w:rsidP="002D0152">
      <w:pPr>
        <w:pStyle w:val="Sinespaciado"/>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lastRenderedPageBreak/>
        <w:t>A</w:t>
      </w:r>
      <w:r w:rsidRPr="009C4628">
        <w:rPr>
          <w:rFonts w:ascii="Palatino Linotype" w:eastAsia="Times New Roman" w:hAnsi="Palatino Linotype" w:cs="Times New Roman"/>
          <w:b/>
          <w:bCs/>
          <w:i/>
          <w:lang w:eastAsia="es-ES"/>
        </w:rPr>
        <w:t>rtículo 24.</w:t>
      </w:r>
      <w:r w:rsidRPr="009C4628">
        <w:rPr>
          <w:rFonts w:ascii="Palatino Linotype" w:eastAsia="Times New Roman" w:hAnsi="Palatino Linotype" w:cs="Times New Roman"/>
          <w:bCs/>
          <w:i/>
          <w:lang w:eastAsia="es-ES"/>
        </w:rPr>
        <w:t xml:space="preserve"> </w:t>
      </w:r>
      <w:r w:rsidRPr="009C462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Cs/>
          <w:i/>
          <w:lang w:eastAsia="es-ES"/>
        </w:rPr>
        <w:t>(..</w:t>
      </w:r>
      <w:r w:rsidRPr="009C4628">
        <w:rPr>
          <w:rFonts w:ascii="Palatino Linotype" w:eastAsia="Times New Roman" w:hAnsi="Palatino Linotype" w:cs="Times New Roman"/>
          <w:i/>
          <w:lang w:eastAsia="es-ES"/>
        </w:rPr>
        <w:t>.)</w:t>
      </w:r>
    </w:p>
    <w:p w:rsidR="002D0152" w:rsidRPr="009C4628" w:rsidRDefault="002D0152" w:rsidP="002D0152">
      <w:pPr>
        <w:spacing w:after="0" w:line="240" w:lineRule="auto"/>
        <w:ind w:left="567" w:right="567"/>
        <w:jc w:val="both"/>
        <w:rPr>
          <w:rFonts w:ascii="Palatino Linotype" w:eastAsia="Times New Roman" w:hAnsi="Palatino Linotype" w:cs="Times New Roman"/>
          <w:bCs/>
          <w:i/>
          <w:lang w:eastAsia="es-ES"/>
        </w:rPr>
      </w:pPr>
      <w:r w:rsidRPr="009C462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2D0152" w:rsidRDefault="002D0152" w:rsidP="002D0152">
      <w:pPr>
        <w:pStyle w:val="Prrafodelista"/>
        <w:autoSpaceDE w:val="0"/>
        <w:autoSpaceDN w:val="0"/>
        <w:adjustRightInd w:val="0"/>
        <w:spacing w:line="360" w:lineRule="auto"/>
        <w:ind w:left="0"/>
        <w:jc w:val="both"/>
        <w:rPr>
          <w:rFonts w:ascii="Palatino Linotype" w:hAnsi="Palatino Linotype" w:cs="Arial"/>
        </w:rPr>
      </w:pPr>
    </w:p>
    <w:p w:rsidR="002D0152" w:rsidRDefault="002D0152" w:rsidP="002D0152">
      <w:pPr>
        <w:pStyle w:val="Prrafodelista"/>
        <w:autoSpaceDE w:val="0"/>
        <w:autoSpaceDN w:val="0"/>
        <w:adjustRightInd w:val="0"/>
        <w:spacing w:line="360" w:lineRule="auto"/>
        <w:ind w:left="0"/>
        <w:jc w:val="both"/>
        <w:rPr>
          <w:rFonts w:ascii="Palatino Linotype" w:hAnsi="Palatino Linotype" w:cs="Arial"/>
        </w:rPr>
      </w:pPr>
      <w:r w:rsidRPr="009C4628">
        <w:rPr>
          <w:rFonts w:ascii="Palatino Linotype" w:hAnsi="Palatino Linotype" w:cs="Arial"/>
        </w:rPr>
        <w:t>Por lo anterior, es necesario retomar el requerimiento del solicitante que versa específicamente en conocer la siguiente información:</w:t>
      </w:r>
    </w:p>
    <w:p w:rsidR="005E37FE" w:rsidRPr="009C4628" w:rsidRDefault="005E37FE" w:rsidP="002D0152">
      <w:pPr>
        <w:pStyle w:val="Prrafodelista"/>
        <w:autoSpaceDE w:val="0"/>
        <w:autoSpaceDN w:val="0"/>
        <w:adjustRightInd w:val="0"/>
        <w:spacing w:line="360" w:lineRule="auto"/>
        <w:ind w:left="0"/>
        <w:jc w:val="both"/>
        <w:rPr>
          <w:rFonts w:ascii="Palatino Linotype" w:hAnsi="Palatino Linotype" w:cs="Arial"/>
        </w:rPr>
      </w:pPr>
    </w:p>
    <w:p w:rsidR="009E4E76" w:rsidRDefault="004926F0" w:rsidP="005E37FE">
      <w:pPr>
        <w:pStyle w:val="Prrafodelista"/>
        <w:numPr>
          <w:ilvl w:val="0"/>
          <w:numId w:val="20"/>
        </w:numPr>
        <w:autoSpaceDE w:val="0"/>
        <w:autoSpaceDN w:val="0"/>
        <w:adjustRightInd w:val="0"/>
        <w:spacing w:line="360" w:lineRule="auto"/>
        <w:jc w:val="both"/>
        <w:rPr>
          <w:rFonts w:ascii="Palatino Linotype" w:hAnsi="Palatino Linotype" w:cs="Arial"/>
          <w:sz w:val="22"/>
        </w:rPr>
      </w:pPr>
      <w:r>
        <w:rPr>
          <w:rFonts w:ascii="Palatino Linotype" w:hAnsi="Palatino Linotype" w:cs="Arial"/>
          <w:sz w:val="22"/>
        </w:rPr>
        <w:t xml:space="preserve">Factura de la compra de un tractor dado a conocer en un evento público del municipio </w:t>
      </w:r>
    </w:p>
    <w:p w:rsidR="00EE5FEE" w:rsidRDefault="004926F0" w:rsidP="005E37FE">
      <w:pPr>
        <w:pStyle w:val="Prrafodelista"/>
        <w:numPr>
          <w:ilvl w:val="0"/>
          <w:numId w:val="20"/>
        </w:numPr>
        <w:autoSpaceDE w:val="0"/>
        <w:autoSpaceDN w:val="0"/>
        <w:adjustRightInd w:val="0"/>
        <w:spacing w:line="360" w:lineRule="auto"/>
        <w:jc w:val="both"/>
        <w:rPr>
          <w:rFonts w:ascii="Palatino Linotype" w:hAnsi="Palatino Linotype" w:cs="Arial"/>
          <w:sz w:val="22"/>
        </w:rPr>
      </w:pPr>
      <w:r>
        <w:rPr>
          <w:rFonts w:ascii="Palatino Linotype" w:hAnsi="Palatino Linotype" w:cs="Arial"/>
          <w:sz w:val="22"/>
        </w:rPr>
        <w:t>Procedimiento de compra.</w:t>
      </w:r>
    </w:p>
    <w:p w:rsidR="00EC693F" w:rsidRPr="00EC693F" w:rsidRDefault="004926F0" w:rsidP="00EC693F">
      <w:pPr>
        <w:pStyle w:val="Prrafodelista"/>
        <w:numPr>
          <w:ilvl w:val="0"/>
          <w:numId w:val="20"/>
        </w:numPr>
        <w:autoSpaceDE w:val="0"/>
        <w:autoSpaceDN w:val="0"/>
        <w:adjustRightInd w:val="0"/>
        <w:spacing w:line="360" w:lineRule="auto"/>
        <w:jc w:val="both"/>
        <w:rPr>
          <w:rFonts w:ascii="Palatino Linotype" w:hAnsi="Palatino Linotype" w:cs="Arial"/>
          <w:sz w:val="22"/>
        </w:rPr>
      </w:pPr>
      <w:r>
        <w:rPr>
          <w:rFonts w:ascii="Palatino Linotype" w:hAnsi="Palatino Linotype" w:cs="Arial"/>
          <w:sz w:val="22"/>
        </w:rPr>
        <w:t>Y soporte documental de la licitación (de ser procedente).</w:t>
      </w:r>
    </w:p>
    <w:p w:rsidR="005E37FE" w:rsidRPr="009C4628" w:rsidRDefault="005E37FE" w:rsidP="005E37FE">
      <w:pPr>
        <w:pStyle w:val="Prrafodelista"/>
        <w:autoSpaceDE w:val="0"/>
        <w:autoSpaceDN w:val="0"/>
        <w:adjustRightInd w:val="0"/>
        <w:spacing w:line="360" w:lineRule="auto"/>
        <w:ind w:left="720"/>
        <w:jc w:val="both"/>
        <w:rPr>
          <w:rFonts w:ascii="Palatino Linotype" w:hAnsi="Palatino Linotype" w:cs="Arial"/>
        </w:rPr>
      </w:pPr>
    </w:p>
    <w:p w:rsidR="00663B3E" w:rsidRPr="00833B24"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t>En este sentido, es pertinente enfatizar lo que respecto al derecho de acceso a la información pública, refiere el artículo 6º de la Constitución Política de los Estados Unidos Mexicanos, que en su parte conducente señala:</w:t>
      </w:r>
    </w:p>
    <w:p w:rsidR="00663B3E" w:rsidRPr="006010FE" w:rsidRDefault="00663B3E" w:rsidP="00663B3E">
      <w:pPr>
        <w:pStyle w:val="Sinespaciado"/>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Artículo 6o.</w:t>
      </w:r>
      <w:r w:rsidRPr="006010FE">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rPr>
        <w:t>El derecho a la información será garantizado por el Estado.</w:t>
      </w:r>
      <w:r w:rsidRPr="006010FE">
        <w:rPr>
          <w:rFonts w:ascii="Palatino Linotype" w:hAnsi="Palatino Linotype"/>
          <w:i/>
        </w:rPr>
        <w:t xml:space="preserve"> </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Toda persona tiene derecho al libre acceso a información plural y oportuna, así como a buscar, recibir y difundir información e ideas de toda índole por cualquier medio de expresión.</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Para efectos de lo dispuesto en el presente artículo se observará lo siguiente:</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lastRenderedPageBreak/>
        <w:t>I. Toda la información en posesión de</w:t>
      </w:r>
      <w:r w:rsidRPr="006010FE">
        <w:rPr>
          <w:rFonts w:ascii="Palatino Linotype" w:hAnsi="Palatino Linotype"/>
          <w:i/>
        </w:rPr>
        <w:t xml:space="preserve"> </w:t>
      </w:r>
      <w:r w:rsidRPr="006010FE">
        <w:rPr>
          <w:rFonts w:ascii="Palatino Linotype" w:hAnsi="Palatino Linotype"/>
          <w:b/>
          <w:i/>
        </w:rPr>
        <w:t>cualquier autoridad</w:t>
      </w:r>
      <w:r w:rsidRPr="006010FE">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rPr>
        <w:t>en el ámbito federal, estatal y municipal, es pública</w:t>
      </w:r>
      <w:r w:rsidRPr="006010FE">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6010FE">
        <w:rPr>
          <w:rFonts w:ascii="Palatino Linotype" w:hAnsi="Palatino Linotype"/>
          <w:b/>
          <w:i/>
        </w:rPr>
        <w:t>Los sujetos obligados deberán documentar todo acto que derive del ejercicio de sus facultades, competencias o funciones</w:t>
      </w:r>
      <w:r w:rsidRPr="006010FE">
        <w:rPr>
          <w:rFonts w:ascii="Palatino Linotype" w:hAnsi="Palatino Linotype"/>
          <w:i/>
        </w:rPr>
        <w:t>, la ley determinará los supuestos específicos bajo los cuales procederá la declaración de inexistencia de la información.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 La información que se refiere a la vida privada y los datos personales será protegida en los términos y con las excepciones que fijen las leyes.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V. Los sujetos obligados deberán preservar sus documentos en archivos administrativos actualizados y publicarán, a través de los medios electrónicos disponibles</w:t>
      </w:r>
      <w:r w:rsidRPr="006010FE">
        <w:rPr>
          <w:rFonts w:ascii="Palatino Linotype" w:hAnsi="Palatino Linotype"/>
          <w:i/>
        </w:rPr>
        <w:t xml:space="preserve">, </w:t>
      </w:r>
      <w:r w:rsidRPr="006010FE">
        <w:rPr>
          <w:rFonts w:ascii="Palatino Linotype" w:hAnsi="Palatino Linotype"/>
          <w:b/>
          <w:i/>
        </w:rPr>
        <w:t xml:space="preserve">la información completa y actualizada sobre el ejercicio de los recursos públicos </w:t>
      </w:r>
      <w:r w:rsidRPr="006010FE">
        <w:rPr>
          <w:rFonts w:ascii="Palatino Linotype" w:hAnsi="Palatino Linotype"/>
          <w:i/>
        </w:rPr>
        <w:t>y los indicadores que permitan rendir cuenta del cumplimiento de sus objetivos y de los resultados obtenidos.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 Las leyes determinarán la manera en que los sujetos obligados deberán hacer pública la información relativa a los recursos públicos que entreguen a personas físicas o morales.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 La inobservancia a las disposiciones en materia de acceso a la información pública será sancionada en los términos que dispongan las leyes.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La ley establecerá aquella información que se considere reservada o confidencial.</w:t>
      </w:r>
    </w:p>
    <w:p w:rsidR="0084762B" w:rsidRDefault="0084762B" w:rsidP="00663B3E">
      <w:pPr>
        <w:pStyle w:val="Sinespaciado"/>
        <w:spacing w:line="360" w:lineRule="auto"/>
        <w:jc w:val="both"/>
        <w:rPr>
          <w:rFonts w:ascii="Palatino Linotype" w:hAnsi="Palatino Linotype"/>
          <w:sz w:val="24"/>
        </w:rPr>
      </w:pPr>
    </w:p>
    <w:p w:rsidR="00663B3E" w:rsidRPr="00833B24"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t>Por su parte, la Constitución Política del Estado Libre y Soberano de México, en su artículo 5°, dispone en su parte conducente, lo siguiente:</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lastRenderedPageBreak/>
        <w:t>Artículo 5</w:t>
      </w:r>
      <w:r w:rsidRPr="006010FE">
        <w:rPr>
          <w:rFonts w:ascii="Palatino Linotype" w:hAnsi="Palatino Linotype"/>
          <w:i/>
        </w:rPr>
        <w:t xml:space="preserve">. … </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663B3E" w:rsidRPr="006010FE" w:rsidRDefault="00663B3E" w:rsidP="00663B3E">
      <w:pPr>
        <w:pStyle w:val="Sinespaciado"/>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63B3E" w:rsidRPr="006010FE" w:rsidRDefault="00663B3E" w:rsidP="00663B3E">
      <w:pPr>
        <w:pStyle w:val="Sinespaciado"/>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Este derecho se regirá por los principios y bases siguientes:</w:t>
      </w:r>
    </w:p>
    <w:p w:rsidR="00663B3E" w:rsidRPr="006010FE" w:rsidRDefault="00663B3E" w:rsidP="00663B3E">
      <w:pPr>
        <w:pStyle w:val="Sinespaciado"/>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 xml:space="preserve">VI. Los sujetos obligados deberán preservar sus documentos en archivos administrativos actualizados y publicarán, a través de los medios electrónicos disponibles, la información </w:t>
      </w:r>
      <w:r w:rsidRPr="006010FE">
        <w:rPr>
          <w:rFonts w:ascii="Palatino Linotype" w:hAnsi="Palatino Linotype"/>
          <w:i/>
        </w:rPr>
        <w:lastRenderedPageBreak/>
        <w:t>completa y actualizada sobre el ejercicio de los recursos públicos y los indicadores que permitan rendir cuenta del cumplimiento de sus objetivos y los resultados obtenidos.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663B3E" w:rsidRPr="006010FE" w:rsidRDefault="00663B3E" w:rsidP="00663B3E">
      <w:pPr>
        <w:pStyle w:val="Sinespaciado"/>
        <w:spacing w:line="360" w:lineRule="auto"/>
        <w:jc w:val="both"/>
        <w:rPr>
          <w:rFonts w:ascii="Palatino Linotype" w:hAnsi="Palatino Linotype"/>
        </w:rPr>
      </w:pPr>
    </w:p>
    <w:p w:rsidR="00663B3E" w:rsidRPr="00833B24"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t>En ese orden de ideas, la Ley de Transparencia y Acceso a la Información Pública del Estado de México y Municipios, prevé en su artículo 23, lo siguiente:</w:t>
      </w:r>
    </w:p>
    <w:p w:rsidR="00663B3E" w:rsidRPr="006010FE" w:rsidRDefault="00663B3E" w:rsidP="00663B3E">
      <w:pPr>
        <w:pStyle w:val="Sinespaciado"/>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Artículo 23.</w:t>
      </w:r>
      <w:r w:rsidRPr="006010FE">
        <w:rPr>
          <w:rFonts w:ascii="Palatino Linotype" w:hAnsi="Palatino Linotype"/>
          <w:i/>
        </w:rPr>
        <w:t xml:space="preserve"> Son sujetos obligados a transparentar y permitir el acceso a su información y proteger los datos personales que obren en su poder:</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 El Poder Ejecutivo del Estado de México, las dependencias, organismos auxiliares, órganos, entidades, fideicomisos y fondos públicos, así como la Procuraduría General de Justicia;</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 El Poder Legislativo del Estado, los organismos, órganos y entidades de la Legislatura y sus dependencias;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III. El Poder Judicial, sus organismos, órganos y entidades, así como el Consejo de la Judicatura del Estado;</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 xml:space="preserve">IV. </w:t>
      </w:r>
      <w:r w:rsidRPr="006010FE">
        <w:rPr>
          <w:rFonts w:ascii="Palatino Linotype" w:hAnsi="Palatino Linotype"/>
          <w:b/>
          <w:i/>
          <w:u w:val="single"/>
        </w:rPr>
        <w:t>Los ayuntamientos y las dependencias, organismos, órganos y entidades de la administración municipal</w:t>
      </w:r>
      <w:r w:rsidRPr="006010FE">
        <w:rPr>
          <w:rFonts w:ascii="Palatino Linotype" w:hAnsi="Palatino Linotype"/>
          <w:i/>
        </w:rPr>
        <w:t>;</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 Los órganos autónomos;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 Los tribunales administrativos y autoridades jurisdiccionales en materia laboral;</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 Los partidos políticos y agrupaciones políticas, en los términos de las disposiciones aplicables;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VIII. Los fideicomisos y fondos públicos que cuenten con financiamiento público, parcial o total, o con participación de entidades de gobierno;</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IX. Los sindicatos que reciban y/o ejerzan recursos públicos en el ámbito estatal y municipal;</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X. Cualquier persona física o jurídico colectiva que reciba y ejerza recursos públicos en el ámbito estatal o municipal; y</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XI. Cualquier otra autoridad, entidad, órgano u organismo de los poderes estatal o municipal, que reciba recursos públicos.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Los servidores públicos deberán transparentar sus acciones así como garantizar y respetar el derecho de acceso a la información pública.</w:t>
      </w:r>
    </w:p>
    <w:p w:rsidR="00663B3E" w:rsidRPr="00833B24"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lastRenderedPageBreak/>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663B3E" w:rsidRPr="006010FE" w:rsidRDefault="00663B3E" w:rsidP="00663B3E">
      <w:pPr>
        <w:pStyle w:val="Prrafodelista"/>
        <w:autoSpaceDE w:val="0"/>
        <w:autoSpaceDN w:val="0"/>
        <w:adjustRightInd w:val="0"/>
        <w:spacing w:line="360" w:lineRule="auto"/>
        <w:ind w:left="0"/>
        <w:jc w:val="both"/>
        <w:rPr>
          <w:rFonts w:ascii="Palatino Linotype" w:hAnsi="Palatino Linotype" w:cs="Arial"/>
        </w:rPr>
      </w:pPr>
    </w:p>
    <w:p w:rsidR="007B6C26" w:rsidRDefault="00755795" w:rsidP="00663B3E">
      <w:pPr>
        <w:autoSpaceDE w:val="0"/>
        <w:autoSpaceDN w:val="0"/>
        <w:adjustRightInd w:val="0"/>
        <w:spacing w:line="360" w:lineRule="auto"/>
        <w:jc w:val="both"/>
        <w:rPr>
          <w:rFonts w:ascii="Palatino Linotype" w:hAnsi="Palatino Linotype" w:cs="Arial"/>
          <w:sz w:val="24"/>
        </w:rPr>
      </w:pPr>
      <w:r>
        <w:rPr>
          <w:rFonts w:ascii="Palatino Linotype" w:hAnsi="Palatino Linotype" w:cs="Arial"/>
          <w:noProof/>
          <w:sz w:val="24"/>
          <w:lang w:eastAsia="es-MX"/>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1301420</wp:posOffset>
                </wp:positionV>
                <wp:extent cx="5565914" cy="2743200"/>
                <wp:effectExtent l="0" t="0" r="34925" b="19050"/>
                <wp:wrapNone/>
                <wp:docPr id="3" name="Conector recto 3"/>
                <wp:cNvGraphicFramePr/>
                <a:graphic xmlns:a="http://schemas.openxmlformats.org/drawingml/2006/main">
                  <a:graphicData uri="http://schemas.microsoft.com/office/word/2010/wordprocessingShape">
                    <wps:wsp>
                      <wps:cNvCnPr/>
                      <wps:spPr>
                        <a:xfrm>
                          <a:off x="0" y="0"/>
                          <a:ext cx="5565914" cy="2743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76B22D" id="Conector recto 3"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7.05pt,102.45pt" to="825.3pt,3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" strokecolor="black [3200]" strokeweight=".5pt">
                <v:stroke joinstyle="miter"/>
                <w10:wrap anchorx="margin"/>
              </v:line>
            </w:pict>
          </mc:Fallback>
        </mc:AlternateContent>
      </w:r>
      <w:r w:rsidR="00663B3E" w:rsidRPr="006010FE">
        <w:rPr>
          <w:rFonts w:ascii="Palatino Linotype" w:hAnsi="Palatino Linotype" w:cs="Arial"/>
          <w:sz w:val="24"/>
        </w:rPr>
        <w:t>Precisado lo anterior,</w:t>
      </w:r>
      <w:r>
        <w:rPr>
          <w:rFonts w:ascii="Palatino Linotype" w:hAnsi="Palatino Linotype" w:cs="Arial"/>
          <w:sz w:val="24"/>
        </w:rPr>
        <w:t xml:space="preserve"> posterior al cierre de instrucción,</w:t>
      </w:r>
      <w:r w:rsidR="00663B3E" w:rsidRPr="006010FE">
        <w:rPr>
          <w:rFonts w:ascii="Palatino Linotype" w:hAnsi="Palatino Linotype" w:cs="Arial"/>
          <w:sz w:val="24"/>
        </w:rPr>
        <w:t xml:space="preserve"> </w:t>
      </w:r>
      <w:r w:rsidR="00325EE1">
        <w:rPr>
          <w:rFonts w:ascii="Palatino Linotype" w:hAnsi="Palatino Linotype" w:cs="Arial"/>
          <w:sz w:val="24"/>
        </w:rPr>
        <w:t>e</w:t>
      </w:r>
      <w:r w:rsidR="005835E6">
        <w:rPr>
          <w:rFonts w:ascii="Palatino Linotype" w:hAnsi="Palatino Linotype" w:cs="Arial"/>
          <w:sz w:val="24"/>
        </w:rPr>
        <w:t>n fecha tres de junio</w:t>
      </w:r>
      <w:r w:rsidR="00CC643A">
        <w:rPr>
          <w:rFonts w:ascii="Palatino Linotype" w:hAnsi="Palatino Linotype" w:cs="Arial"/>
          <w:sz w:val="24"/>
        </w:rPr>
        <w:t xml:space="preserve"> de los </w:t>
      </w:r>
      <w:r w:rsidR="005A1CD8">
        <w:rPr>
          <w:rFonts w:ascii="Palatino Linotype" w:hAnsi="Palatino Linotype" w:cs="Arial"/>
          <w:sz w:val="24"/>
        </w:rPr>
        <w:t>corrientes</w:t>
      </w:r>
      <w:r w:rsidR="00CC643A">
        <w:rPr>
          <w:rFonts w:ascii="Palatino Linotype" w:hAnsi="Palatino Linotype" w:cs="Arial"/>
          <w:sz w:val="24"/>
        </w:rPr>
        <w:t>,</w:t>
      </w:r>
      <w:r w:rsidR="007269AE">
        <w:rPr>
          <w:rFonts w:ascii="Palatino Linotype" w:hAnsi="Palatino Linotype" w:cs="Arial"/>
          <w:sz w:val="24"/>
        </w:rPr>
        <w:t xml:space="preserve"> el Sujeto Obligado hizo ll</w:t>
      </w:r>
      <w:r>
        <w:rPr>
          <w:rFonts w:ascii="Palatino Linotype" w:hAnsi="Palatino Linotype" w:cs="Arial"/>
          <w:sz w:val="24"/>
        </w:rPr>
        <w:t xml:space="preserve">egar al correo institucional, alcance al informe justificado como se aprecia a continuación; </w:t>
      </w:r>
    </w:p>
    <w:p w:rsidR="00755795" w:rsidRDefault="00755795" w:rsidP="00755795">
      <w:pPr>
        <w:autoSpaceDE w:val="0"/>
        <w:autoSpaceDN w:val="0"/>
        <w:adjustRightInd w:val="0"/>
        <w:spacing w:line="360" w:lineRule="auto"/>
        <w:rPr>
          <w:rFonts w:ascii="Palatino Linotype" w:hAnsi="Palatino Linotype" w:cs="Arial"/>
          <w:sz w:val="24"/>
        </w:rPr>
      </w:pPr>
      <w:r>
        <w:rPr>
          <w:noProof/>
          <w:lang w:eastAsia="es-MX"/>
        </w:rPr>
        <w:lastRenderedPageBreak/>
        <w:drawing>
          <wp:inline distT="0" distB="0" distL="0" distR="0" wp14:anchorId="30143AB7" wp14:editId="66AFC085">
            <wp:extent cx="5543550" cy="6019800"/>
            <wp:effectExtent l="19050" t="19050" r="1905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43550" cy="6019800"/>
                    </a:xfrm>
                    <a:prstGeom prst="rect">
                      <a:avLst/>
                    </a:prstGeom>
                    <a:ln>
                      <a:solidFill>
                        <a:schemeClr val="bg2">
                          <a:lumMod val="75000"/>
                        </a:schemeClr>
                      </a:solidFill>
                    </a:ln>
                  </pic:spPr>
                </pic:pic>
              </a:graphicData>
            </a:graphic>
          </wp:inline>
        </w:drawing>
      </w:r>
    </w:p>
    <w:p w:rsidR="00534481" w:rsidRDefault="00534481" w:rsidP="00663B3E">
      <w:pPr>
        <w:autoSpaceDE w:val="0"/>
        <w:autoSpaceDN w:val="0"/>
        <w:adjustRightInd w:val="0"/>
        <w:spacing w:line="360" w:lineRule="auto"/>
        <w:jc w:val="both"/>
        <w:rPr>
          <w:rFonts w:ascii="Palatino Linotype" w:hAnsi="Palatino Linotype" w:cs="Arial"/>
          <w:sz w:val="24"/>
        </w:rPr>
      </w:pPr>
    </w:p>
    <w:p w:rsidR="007B6C26" w:rsidRDefault="00CC643A" w:rsidP="00663B3E">
      <w:pPr>
        <w:autoSpaceDE w:val="0"/>
        <w:autoSpaceDN w:val="0"/>
        <w:adjustRightInd w:val="0"/>
        <w:spacing w:line="360" w:lineRule="auto"/>
        <w:jc w:val="both"/>
        <w:rPr>
          <w:rFonts w:ascii="Palatino Linotype" w:hAnsi="Palatino Linotype" w:cs="Arial"/>
          <w:sz w:val="24"/>
        </w:rPr>
      </w:pPr>
      <w:r>
        <w:rPr>
          <w:rFonts w:ascii="Palatino Linotype" w:hAnsi="Palatino Linotype" w:cs="Arial"/>
          <w:sz w:val="24"/>
        </w:rPr>
        <w:t>Anexando tres archivos electrónicos, los cuales medularmente contienen dos cotizaciones por concepto de compra de un tractor con diversas especificaciones</w:t>
      </w:r>
      <w:r w:rsidR="0093185F">
        <w:rPr>
          <w:rFonts w:ascii="Palatino Linotype" w:hAnsi="Palatino Linotype" w:cs="Arial"/>
          <w:sz w:val="24"/>
        </w:rPr>
        <w:t xml:space="preserve">, y una factura con el folio </w:t>
      </w:r>
      <w:r w:rsidR="006F08D7">
        <w:rPr>
          <w:rFonts w:ascii="Palatino Linotype" w:hAnsi="Palatino Linotype" w:cs="Arial"/>
          <w:sz w:val="24"/>
        </w:rPr>
        <w:t>1513 donde se detalla la compra de un tractor agrí</w:t>
      </w:r>
      <w:r w:rsidR="00D036F0">
        <w:rPr>
          <w:rFonts w:ascii="Palatino Linotype" w:hAnsi="Palatino Linotype" w:cs="Arial"/>
          <w:sz w:val="24"/>
        </w:rPr>
        <w:t xml:space="preserve">cola modelo NH </w:t>
      </w:r>
      <w:r w:rsidR="00D036F0">
        <w:rPr>
          <w:rFonts w:ascii="Palatino Linotype" w:hAnsi="Palatino Linotype" w:cs="Arial"/>
          <w:sz w:val="24"/>
        </w:rPr>
        <w:lastRenderedPageBreak/>
        <w:t>TS6 110 4WD ROPS con valor de ochocientos ocho mil ciento treinta y cinco pesos, pagado en una sola exhibici</w:t>
      </w:r>
      <w:r w:rsidR="00736AF9">
        <w:rPr>
          <w:rFonts w:ascii="Palatino Linotype" w:hAnsi="Palatino Linotype" w:cs="Arial"/>
          <w:sz w:val="24"/>
        </w:rPr>
        <w:t xml:space="preserve">ón, ahora bien, </w:t>
      </w:r>
      <w:r w:rsidR="005A1CD8">
        <w:rPr>
          <w:rFonts w:ascii="Palatino Linotype" w:hAnsi="Palatino Linotype" w:cs="Arial"/>
          <w:sz w:val="24"/>
        </w:rPr>
        <w:t>r</w:t>
      </w:r>
      <w:r w:rsidR="00736AF9" w:rsidRPr="00736AF9">
        <w:rPr>
          <w:rFonts w:ascii="Palatino Linotype" w:hAnsi="Palatino Linotype" w:cs="Arial"/>
          <w:sz w:val="24"/>
        </w:rPr>
        <w:t xml:space="preserve">especto al requerimiento descrito en el numeral 1, es de resaltar que el Sujeto Obligado respondió </w:t>
      </w:r>
      <w:r w:rsidR="00736AF9">
        <w:rPr>
          <w:rFonts w:ascii="Palatino Linotype" w:hAnsi="Palatino Linotype" w:cs="Arial"/>
          <w:sz w:val="24"/>
        </w:rPr>
        <w:t xml:space="preserve">anexando la factura del multicitado vehículo, por lo que se entiende que </w:t>
      </w:r>
      <w:r w:rsidR="005A1CD8">
        <w:rPr>
          <w:rFonts w:ascii="Palatino Linotype" w:hAnsi="Palatino Linotype" w:cs="Arial"/>
          <w:sz w:val="24"/>
        </w:rPr>
        <w:t>el Ayuntamiento de Tenango del Aire</w:t>
      </w:r>
      <w:r w:rsidR="00736AF9" w:rsidRPr="00736AF9">
        <w:rPr>
          <w:rFonts w:ascii="Palatino Linotype" w:hAnsi="Palatino Linotype" w:cs="Arial"/>
          <w:sz w:val="24"/>
        </w:rPr>
        <w:t xml:space="preserve"> admite contar con la información requerida, motivo por el cual se obvia el análisis de la obligación normativa.</w:t>
      </w:r>
    </w:p>
    <w:p w:rsidR="00534481" w:rsidRDefault="00534481" w:rsidP="00534481">
      <w:pPr>
        <w:pStyle w:val="Sinespaciado"/>
      </w:pPr>
    </w:p>
    <w:p w:rsidR="00736AF9" w:rsidRPr="00534481" w:rsidRDefault="00736AF9" w:rsidP="00736AF9">
      <w:pPr>
        <w:spacing w:line="360" w:lineRule="auto"/>
        <w:jc w:val="both"/>
        <w:rPr>
          <w:rFonts w:ascii="Palatino Linotype" w:hAnsi="Palatino Linotype" w:cs="Tahoma"/>
          <w:sz w:val="24"/>
          <w:szCs w:val="24"/>
        </w:rPr>
      </w:pPr>
      <w:r w:rsidRPr="00534481">
        <w:rPr>
          <w:rFonts w:ascii="Palatino Linotype" w:eastAsia="Calibri" w:hAnsi="Palatino Linotype" w:cs="Tahoma"/>
          <w:bCs/>
          <w:sz w:val="24"/>
        </w:rPr>
        <w:t xml:space="preserve">Ahora bien, debe tenerse en cuenta, que el artículo 18, de la Ley de Transparencia y Acceso a la Información Pública del Estado de México y Municipios, determina el deber para los sujetos obligados de </w:t>
      </w:r>
      <w:r w:rsidRPr="00534481">
        <w:rPr>
          <w:rFonts w:ascii="Palatino Linotype" w:hAnsi="Palatino Linotype" w:cs="Tahoma"/>
          <w:sz w:val="24"/>
          <w:szCs w:val="24"/>
        </w:rPr>
        <w:t>documentar todo acto que derive del ejercicio de sus facultades, competencias o funciones, considerando desde su origen la eventual publicidad y reutilización de la información que generen.</w:t>
      </w:r>
    </w:p>
    <w:p w:rsidR="00736AF9" w:rsidRDefault="00736AF9" w:rsidP="00534481">
      <w:pPr>
        <w:pStyle w:val="Sinespaciado"/>
      </w:pPr>
    </w:p>
    <w:p w:rsidR="00736AF9" w:rsidRPr="00534481" w:rsidRDefault="00736AF9" w:rsidP="00736AF9">
      <w:pPr>
        <w:spacing w:line="360" w:lineRule="auto"/>
        <w:jc w:val="both"/>
        <w:rPr>
          <w:rFonts w:ascii="Palatino Linotype" w:hAnsi="Palatino Linotype" w:cs="Tahoma"/>
          <w:i/>
          <w:sz w:val="24"/>
          <w:szCs w:val="24"/>
        </w:rPr>
      </w:pPr>
      <w:r w:rsidRPr="00534481">
        <w:rPr>
          <w:rFonts w:ascii="Palatino Linotype" w:hAnsi="Palatino Linotype" w:cs="Tahoma"/>
          <w:sz w:val="24"/>
          <w:szCs w:val="24"/>
        </w:rPr>
        <w:t xml:space="preserve">Asimismo, el artículo 3, fracción XI, de la ley en la materia, señala que por documento se entiende </w:t>
      </w:r>
      <w:r w:rsidRPr="00534481">
        <w:rPr>
          <w:rFonts w:ascii="Palatino Linotype" w:hAnsi="Palatino Linotype" w:cs="Tahoma"/>
          <w:i/>
          <w:sz w:val="24"/>
          <w:szCs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36AF9" w:rsidRDefault="00736AF9" w:rsidP="00534481">
      <w:pPr>
        <w:pStyle w:val="Sinespaciado"/>
      </w:pPr>
    </w:p>
    <w:p w:rsidR="00736AF9" w:rsidRPr="00534481" w:rsidRDefault="00736AF9" w:rsidP="00736AF9">
      <w:pPr>
        <w:spacing w:line="360" w:lineRule="auto"/>
        <w:jc w:val="both"/>
        <w:rPr>
          <w:rFonts w:ascii="Palatino Linotype" w:eastAsia="Calibri" w:hAnsi="Palatino Linotype" w:cs="Tahoma"/>
          <w:bCs/>
          <w:sz w:val="24"/>
        </w:rPr>
      </w:pPr>
      <w:r w:rsidRPr="00534481">
        <w:rPr>
          <w:rFonts w:ascii="Palatino Linotype" w:hAnsi="Palatino Linotype" w:cs="Tahoma"/>
          <w:sz w:val="24"/>
        </w:rPr>
        <w:t xml:space="preserve">En este orden de ideas, cabe señalar que la información sobre los procesos y resultados sobre procedimientos de adjudicación directa, invitación restringida y licitación de cualquier naturaleza, no solo es información que el Sujeto Obligado admite poseer, sino que forma parte de las Obligaciones de Transparencia Comunes determinadas en </w:t>
      </w:r>
      <w:r w:rsidRPr="00534481">
        <w:rPr>
          <w:rFonts w:ascii="Palatino Linotype" w:hAnsi="Palatino Linotype" w:cs="Tahoma"/>
          <w:sz w:val="24"/>
        </w:rPr>
        <w:lastRenderedPageBreak/>
        <w:t xml:space="preserve">el artículo 92, de </w:t>
      </w:r>
      <w:r w:rsidRPr="00534481">
        <w:rPr>
          <w:rFonts w:ascii="Palatino Linotype" w:eastAsia="Calibri" w:hAnsi="Palatino Linotype" w:cs="Tahoma"/>
          <w:bCs/>
          <w:sz w:val="24"/>
        </w:rPr>
        <w:t xml:space="preserve">la Ley de Transparencia y Acceso a la Información Pública del Estado de México y Municipios, es decir, se trata de información que los sujetos obligados deben poner a disposición del público de manera permanente y actualizada de forma sencilla, precisa y entendible, en los respectivos medios electrónicos, de acuerdo con sus facultades, atribuciones, funciones u objeto social. </w:t>
      </w:r>
    </w:p>
    <w:p w:rsidR="00736AF9" w:rsidRPr="00534481" w:rsidRDefault="00736AF9" w:rsidP="00534481">
      <w:pPr>
        <w:pStyle w:val="Sinespaciado"/>
      </w:pPr>
    </w:p>
    <w:p w:rsidR="00736AF9" w:rsidRDefault="00736AF9" w:rsidP="00736AF9">
      <w:pPr>
        <w:spacing w:line="360" w:lineRule="auto"/>
        <w:jc w:val="both"/>
        <w:rPr>
          <w:rFonts w:ascii="Palatino Linotype" w:eastAsia="Calibri" w:hAnsi="Palatino Linotype" w:cs="Tahoma"/>
          <w:bCs/>
        </w:rPr>
      </w:pPr>
      <w:r w:rsidRPr="00534481">
        <w:rPr>
          <w:rFonts w:ascii="Palatino Linotype" w:eastAsia="Calibri" w:hAnsi="Palatino Linotype" w:cs="Tahoma"/>
          <w:bCs/>
          <w:sz w:val="24"/>
        </w:rPr>
        <w:t>Al efecto, la fracción XXIX, del precepto jurídico en cita, determina lo siguiente:</w:t>
      </w:r>
    </w:p>
    <w:p w:rsidR="00736AF9" w:rsidRPr="00972BFD" w:rsidRDefault="00736AF9" w:rsidP="00736AF9">
      <w:pPr>
        <w:spacing w:line="360" w:lineRule="auto"/>
        <w:jc w:val="center"/>
        <w:rPr>
          <w:rFonts w:ascii="Palatino Linotype" w:hAnsi="Palatino Linotype"/>
          <w:i/>
        </w:rPr>
      </w:pPr>
      <w:r w:rsidRPr="00972BFD">
        <w:rPr>
          <w:rFonts w:ascii="Palatino Linotype" w:hAnsi="Palatino Linotype"/>
          <w:i/>
        </w:rPr>
        <w:t>Título Quinto</w:t>
      </w:r>
    </w:p>
    <w:p w:rsidR="00736AF9" w:rsidRPr="00972BFD" w:rsidRDefault="00736AF9" w:rsidP="00736AF9">
      <w:pPr>
        <w:spacing w:line="360" w:lineRule="auto"/>
        <w:jc w:val="center"/>
        <w:rPr>
          <w:rFonts w:ascii="Palatino Linotype" w:eastAsia="Calibri" w:hAnsi="Palatino Linotype" w:cs="Tahoma"/>
          <w:bCs/>
          <w:i/>
        </w:rPr>
      </w:pPr>
      <w:r w:rsidRPr="00972BFD">
        <w:rPr>
          <w:rFonts w:ascii="Palatino Linotype" w:hAnsi="Palatino Linotype"/>
          <w:i/>
        </w:rPr>
        <w:t>De las Obligaciones de Transparencia</w:t>
      </w:r>
    </w:p>
    <w:p w:rsidR="00736AF9" w:rsidRPr="00972BFD" w:rsidRDefault="00736AF9" w:rsidP="00736AF9">
      <w:pPr>
        <w:spacing w:line="360" w:lineRule="auto"/>
        <w:jc w:val="center"/>
        <w:rPr>
          <w:rFonts w:ascii="Palatino Linotype" w:hAnsi="Palatino Linotype"/>
          <w:i/>
        </w:rPr>
      </w:pPr>
      <w:r w:rsidRPr="00972BFD">
        <w:rPr>
          <w:rFonts w:ascii="Palatino Linotype" w:hAnsi="Palatino Linotype"/>
          <w:i/>
        </w:rPr>
        <w:t>Capítulo II</w:t>
      </w:r>
    </w:p>
    <w:p w:rsidR="00736AF9" w:rsidRPr="00972BFD" w:rsidRDefault="00736AF9" w:rsidP="00736AF9">
      <w:pPr>
        <w:spacing w:line="360" w:lineRule="auto"/>
        <w:jc w:val="center"/>
        <w:rPr>
          <w:rFonts w:ascii="Palatino Linotype" w:eastAsia="Calibri" w:hAnsi="Palatino Linotype" w:cs="Tahoma"/>
          <w:bCs/>
          <w:i/>
        </w:rPr>
      </w:pPr>
      <w:r w:rsidRPr="00972BFD">
        <w:rPr>
          <w:rFonts w:ascii="Palatino Linotype" w:hAnsi="Palatino Linotype"/>
          <w:i/>
        </w:rPr>
        <w:t>De las Obligaciones de Transparencia Comunes</w:t>
      </w:r>
    </w:p>
    <w:p w:rsidR="00736AF9" w:rsidRPr="00972BFD" w:rsidRDefault="00736AF9" w:rsidP="00736AF9">
      <w:pPr>
        <w:spacing w:line="360" w:lineRule="auto"/>
        <w:ind w:left="567" w:right="567"/>
        <w:jc w:val="both"/>
        <w:rPr>
          <w:rFonts w:ascii="Palatino Linotype" w:eastAsia="Calibri" w:hAnsi="Palatino Linotype" w:cs="Tahoma"/>
          <w:bCs/>
          <w:i/>
        </w:rPr>
      </w:pPr>
      <w:r w:rsidRPr="00972BFD">
        <w:rPr>
          <w:rFonts w:ascii="Palatino Linotype" w:eastAsia="Calibri" w:hAnsi="Palatino Linotype" w:cs="Tahoma"/>
          <w:b/>
          <w:bCs/>
          <w:i/>
        </w:rPr>
        <w:t xml:space="preserve">Artículo 92. </w:t>
      </w:r>
      <w:r w:rsidRPr="00972BFD">
        <w:rPr>
          <w:rFonts w:ascii="Palatino Linotype" w:eastAsia="Calibri" w:hAnsi="Palatino Linotype" w:cs="Tahoma"/>
          <w:bCs/>
          <w:i/>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736AF9" w:rsidRPr="00972BFD" w:rsidRDefault="00736AF9" w:rsidP="00736AF9">
      <w:pPr>
        <w:spacing w:line="360" w:lineRule="auto"/>
        <w:ind w:left="567" w:right="567"/>
        <w:jc w:val="both"/>
        <w:rPr>
          <w:rFonts w:ascii="Palatino Linotype" w:eastAsia="Calibri" w:hAnsi="Palatino Linotype" w:cs="Tahoma"/>
          <w:bCs/>
          <w:i/>
        </w:rPr>
      </w:pPr>
      <w:r w:rsidRPr="00972BFD">
        <w:rPr>
          <w:rFonts w:ascii="Palatino Linotype" w:eastAsia="Calibri" w:hAnsi="Palatino Linotype" w:cs="Tahoma"/>
          <w:bCs/>
          <w:i/>
        </w:rPr>
        <w:t xml:space="preserve">I a XXVIII… </w:t>
      </w:r>
    </w:p>
    <w:p w:rsidR="00736AF9" w:rsidRPr="00972BFD" w:rsidRDefault="00736AF9" w:rsidP="00736AF9">
      <w:pPr>
        <w:spacing w:line="360" w:lineRule="auto"/>
        <w:ind w:left="567" w:right="567"/>
        <w:jc w:val="both"/>
        <w:rPr>
          <w:rFonts w:ascii="Palatino Linotype" w:eastAsia="Calibri" w:hAnsi="Palatino Linotype" w:cs="Tahoma"/>
          <w:bCs/>
          <w:i/>
        </w:rPr>
      </w:pPr>
      <w:r w:rsidRPr="00972BFD">
        <w:rPr>
          <w:rFonts w:ascii="Palatino Linotype" w:eastAsia="Calibri" w:hAnsi="Palatino Linotype" w:cs="Tahoma"/>
          <w:b/>
          <w:bCs/>
          <w:i/>
        </w:rPr>
        <w:t xml:space="preserve">XXIX. </w:t>
      </w:r>
      <w:r w:rsidRPr="00972BFD">
        <w:rPr>
          <w:rFonts w:ascii="Palatino Linotype" w:eastAsia="Calibri" w:hAnsi="Palatino Linotype" w:cs="Tahoma"/>
          <w:bCs/>
          <w:i/>
        </w:rPr>
        <w:t xml:space="preserve">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736AF9" w:rsidRPr="00972BFD" w:rsidRDefault="00736AF9" w:rsidP="00736AF9">
      <w:pPr>
        <w:spacing w:line="360" w:lineRule="auto"/>
        <w:ind w:left="567" w:right="567"/>
        <w:jc w:val="both"/>
        <w:rPr>
          <w:rFonts w:ascii="Palatino Linotype" w:hAnsi="Palatino Linotype" w:cs="Tahoma"/>
          <w:i/>
          <w:szCs w:val="24"/>
        </w:rPr>
      </w:pPr>
      <w:r w:rsidRPr="00972BFD">
        <w:rPr>
          <w:rFonts w:ascii="Palatino Linotype" w:hAnsi="Palatino Linotype" w:cs="Tahoma"/>
          <w:b/>
          <w:bCs/>
          <w:i/>
          <w:szCs w:val="24"/>
        </w:rPr>
        <w:t xml:space="preserve">a) </w:t>
      </w:r>
      <w:r w:rsidRPr="00972BFD">
        <w:rPr>
          <w:rFonts w:ascii="Palatino Linotype" w:hAnsi="Palatino Linotype" w:cs="Tahoma"/>
          <w:i/>
          <w:szCs w:val="24"/>
        </w:rPr>
        <w:t xml:space="preserve">De licitaciones públicas o procedimientos de invitación restringida: </w:t>
      </w:r>
    </w:p>
    <w:p w:rsidR="00736AF9" w:rsidRPr="00972BFD" w:rsidRDefault="00736AF9" w:rsidP="00736AF9">
      <w:pPr>
        <w:spacing w:line="360" w:lineRule="auto"/>
        <w:ind w:left="851" w:right="567"/>
        <w:jc w:val="both"/>
        <w:rPr>
          <w:rFonts w:ascii="Palatino Linotype" w:hAnsi="Palatino Linotype" w:cs="Tahoma"/>
          <w:i/>
          <w:szCs w:val="24"/>
        </w:rPr>
      </w:pPr>
      <w:r w:rsidRPr="00972BFD">
        <w:rPr>
          <w:rFonts w:ascii="Palatino Linotype" w:hAnsi="Palatino Linotype" w:cs="Tahoma"/>
          <w:b/>
          <w:bCs/>
          <w:i/>
          <w:szCs w:val="24"/>
        </w:rPr>
        <w:lastRenderedPageBreak/>
        <w:t xml:space="preserve">1) </w:t>
      </w:r>
      <w:r w:rsidRPr="00972BFD">
        <w:rPr>
          <w:rFonts w:ascii="Palatino Linotype" w:hAnsi="Palatino Linotype" w:cs="Tahoma"/>
          <w:i/>
          <w:szCs w:val="24"/>
        </w:rPr>
        <w:t xml:space="preserve">La convocatoria o invitación emitida, así como los fundamentos legales aplicados para llevarla a cabo; </w:t>
      </w:r>
    </w:p>
    <w:p w:rsidR="00736AF9" w:rsidRPr="00972BFD" w:rsidRDefault="00736AF9" w:rsidP="00736AF9">
      <w:pPr>
        <w:spacing w:line="360" w:lineRule="auto"/>
        <w:ind w:left="851" w:right="567"/>
        <w:jc w:val="both"/>
        <w:rPr>
          <w:rFonts w:ascii="Palatino Linotype" w:hAnsi="Palatino Linotype" w:cs="Tahoma"/>
          <w:i/>
          <w:szCs w:val="24"/>
        </w:rPr>
      </w:pPr>
      <w:r w:rsidRPr="00972BFD">
        <w:rPr>
          <w:rFonts w:ascii="Palatino Linotype" w:hAnsi="Palatino Linotype" w:cs="Tahoma"/>
          <w:b/>
          <w:bCs/>
          <w:i/>
          <w:szCs w:val="24"/>
        </w:rPr>
        <w:t xml:space="preserve">2) </w:t>
      </w:r>
      <w:r w:rsidRPr="00972BFD">
        <w:rPr>
          <w:rFonts w:ascii="Palatino Linotype" w:hAnsi="Palatino Linotype" w:cs="Tahoma"/>
          <w:i/>
          <w:szCs w:val="24"/>
        </w:rPr>
        <w:t xml:space="preserve">Los nombres de los participantes o invitados; </w:t>
      </w:r>
    </w:p>
    <w:p w:rsidR="00736AF9" w:rsidRPr="00972BFD" w:rsidRDefault="00736AF9" w:rsidP="00736AF9">
      <w:pPr>
        <w:spacing w:line="360" w:lineRule="auto"/>
        <w:ind w:left="851" w:right="567"/>
        <w:jc w:val="both"/>
        <w:rPr>
          <w:rFonts w:ascii="Palatino Linotype" w:hAnsi="Palatino Linotype" w:cs="Tahoma"/>
          <w:i/>
          <w:szCs w:val="24"/>
        </w:rPr>
      </w:pPr>
      <w:r w:rsidRPr="00972BFD">
        <w:rPr>
          <w:rFonts w:ascii="Palatino Linotype" w:hAnsi="Palatino Linotype" w:cs="Tahoma"/>
          <w:b/>
          <w:bCs/>
          <w:i/>
          <w:szCs w:val="24"/>
        </w:rPr>
        <w:t xml:space="preserve">3) </w:t>
      </w:r>
      <w:r w:rsidRPr="00972BFD">
        <w:rPr>
          <w:rFonts w:ascii="Palatino Linotype" w:hAnsi="Palatino Linotype" w:cs="Tahoma"/>
          <w:i/>
          <w:szCs w:val="24"/>
        </w:rPr>
        <w:t xml:space="preserve">El nombre del ganador y las razones que lo justifican; </w:t>
      </w:r>
    </w:p>
    <w:p w:rsidR="00736AF9" w:rsidRPr="00972BFD" w:rsidRDefault="00736AF9" w:rsidP="00736AF9">
      <w:pPr>
        <w:spacing w:line="360" w:lineRule="auto"/>
        <w:ind w:left="851" w:right="567"/>
        <w:jc w:val="both"/>
        <w:rPr>
          <w:rFonts w:ascii="Palatino Linotype" w:hAnsi="Palatino Linotype" w:cs="Tahoma"/>
          <w:i/>
          <w:szCs w:val="24"/>
        </w:rPr>
      </w:pPr>
      <w:r w:rsidRPr="00972BFD">
        <w:rPr>
          <w:rFonts w:ascii="Palatino Linotype" w:hAnsi="Palatino Linotype" w:cs="Tahoma"/>
          <w:b/>
          <w:bCs/>
          <w:i/>
          <w:szCs w:val="24"/>
        </w:rPr>
        <w:t xml:space="preserve">4) </w:t>
      </w:r>
      <w:r w:rsidRPr="00972BFD">
        <w:rPr>
          <w:rFonts w:ascii="Palatino Linotype" w:hAnsi="Palatino Linotype" w:cs="Tahoma"/>
          <w:i/>
          <w:szCs w:val="24"/>
        </w:rPr>
        <w:t xml:space="preserve">El área solicitante y la responsable de su ejecución; </w:t>
      </w:r>
    </w:p>
    <w:p w:rsidR="00736AF9" w:rsidRPr="00972BFD" w:rsidRDefault="00736AF9" w:rsidP="00736AF9">
      <w:pPr>
        <w:spacing w:line="360" w:lineRule="auto"/>
        <w:ind w:left="851" w:right="567"/>
        <w:jc w:val="both"/>
        <w:rPr>
          <w:rFonts w:ascii="Palatino Linotype" w:hAnsi="Palatino Linotype" w:cs="Tahoma"/>
          <w:i/>
          <w:szCs w:val="24"/>
        </w:rPr>
      </w:pPr>
      <w:r w:rsidRPr="00972BFD">
        <w:rPr>
          <w:rFonts w:ascii="Palatino Linotype" w:hAnsi="Palatino Linotype" w:cs="Tahoma"/>
          <w:b/>
          <w:bCs/>
          <w:i/>
          <w:szCs w:val="24"/>
        </w:rPr>
        <w:t xml:space="preserve">5) </w:t>
      </w:r>
      <w:r w:rsidRPr="00972BFD">
        <w:rPr>
          <w:rFonts w:ascii="Palatino Linotype" w:hAnsi="Palatino Linotype" w:cs="Tahoma"/>
          <w:i/>
          <w:szCs w:val="24"/>
        </w:rPr>
        <w:t xml:space="preserve">Las convocatorias e invitaciones emitidas; </w:t>
      </w:r>
    </w:p>
    <w:p w:rsidR="00736AF9" w:rsidRPr="00972BFD" w:rsidRDefault="00736AF9" w:rsidP="00736AF9">
      <w:pPr>
        <w:spacing w:line="360" w:lineRule="auto"/>
        <w:ind w:left="851" w:right="567"/>
        <w:jc w:val="both"/>
        <w:rPr>
          <w:rFonts w:ascii="Palatino Linotype" w:hAnsi="Palatino Linotype" w:cs="Tahoma"/>
          <w:i/>
          <w:szCs w:val="24"/>
        </w:rPr>
      </w:pPr>
      <w:r w:rsidRPr="00972BFD">
        <w:rPr>
          <w:rFonts w:ascii="Palatino Linotype" w:hAnsi="Palatino Linotype" w:cs="Tahoma"/>
          <w:b/>
          <w:bCs/>
          <w:i/>
          <w:szCs w:val="24"/>
        </w:rPr>
        <w:t xml:space="preserve">6) </w:t>
      </w:r>
      <w:r w:rsidRPr="00972BFD">
        <w:rPr>
          <w:rFonts w:ascii="Palatino Linotype" w:hAnsi="Palatino Linotype" w:cs="Tahoma"/>
          <w:i/>
          <w:szCs w:val="24"/>
        </w:rPr>
        <w:t xml:space="preserve">Los dictámenes y fallo de adjudicación; </w:t>
      </w:r>
    </w:p>
    <w:p w:rsidR="00736AF9" w:rsidRPr="00972BFD" w:rsidRDefault="00736AF9" w:rsidP="00736AF9">
      <w:pPr>
        <w:spacing w:line="360" w:lineRule="auto"/>
        <w:ind w:left="851" w:right="567"/>
        <w:jc w:val="both"/>
        <w:rPr>
          <w:rFonts w:ascii="Palatino Linotype" w:hAnsi="Palatino Linotype" w:cs="Tahoma"/>
          <w:i/>
          <w:szCs w:val="24"/>
        </w:rPr>
      </w:pPr>
      <w:r w:rsidRPr="00972BFD">
        <w:rPr>
          <w:rFonts w:ascii="Palatino Linotype" w:hAnsi="Palatino Linotype" w:cs="Tahoma"/>
          <w:b/>
          <w:bCs/>
          <w:i/>
          <w:szCs w:val="24"/>
        </w:rPr>
        <w:t xml:space="preserve">7) </w:t>
      </w:r>
      <w:r w:rsidRPr="00972BFD">
        <w:rPr>
          <w:rFonts w:ascii="Palatino Linotype" w:hAnsi="Palatino Linotype" w:cs="Tahoma"/>
          <w:i/>
          <w:szCs w:val="24"/>
        </w:rPr>
        <w:t xml:space="preserve">El contrato y, en su caso, sus anexos; </w:t>
      </w:r>
    </w:p>
    <w:p w:rsidR="00736AF9" w:rsidRPr="00972BFD" w:rsidRDefault="00736AF9" w:rsidP="00736AF9">
      <w:pPr>
        <w:spacing w:line="360" w:lineRule="auto"/>
        <w:ind w:left="851" w:right="567"/>
        <w:jc w:val="both"/>
        <w:rPr>
          <w:rFonts w:ascii="Palatino Linotype" w:hAnsi="Palatino Linotype" w:cs="Tahoma"/>
          <w:i/>
          <w:szCs w:val="24"/>
        </w:rPr>
      </w:pPr>
      <w:r w:rsidRPr="00972BFD">
        <w:rPr>
          <w:rFonts w:ascii="Palatino Linotype" w:hAnsi="Palatino Linotype" w:cs="Tahoma"/>
          <w:b/>
          <w:bCs/>
          <w:i/>
          <w:szCs w:val="24"/>
        </w:rPr>
        <w:t xml:space="preserve">8) </w:t>
      </w:r>
      <w:r w:rsidRPr="00972BFD">
        <w:rPr>
          <w:rFonts w:ascii="Palatino Linotype" w:hAnsi="Palatino Linotype" w:cs="Tahoma"/>
          <w:i/>
          <w:szCs w:val="24"/>
        </w:rPr>
        <w:t xml:space="preserve">Los mecanismos de vigilancia y supervisión, incluyendo en su caso, los estudios de impacto urbano y ambiental, según corresponda; </w:t>
      </w:r>
    </w:p>
    <w:p w:rsidR="00736AF9" w:rsidRPr="00972BFD" w:rsidRDefault="00736AF9" w:rsidP="00736AF9">
      <w:pPr>
        <w:spacing w:line="360" w:lineRule="auto"/>
        <w:ind w:left="851" w:right="567"/>
        <w:jc w:val="both"/>
        <w:rPr>
          <w:rFonts w:ascii="Palatino Linotype" w:hAnsi="Palatino Linotype" w:cs="Tahoma"/>
          <w:i/>
          <w:szCs w:val="24"/>
        </w:rPr>
      </w:pPr>
      <w:r w:rsidRPr="00972BFD">
        <w:rPr>
          <w:rFonts w:ascii="Palatino Linotype" w:hAnsi="Palatino Linotype" w:cs="Tahoma"/>
          <w:b/>
          <w:bCs/>
          <w:i/>
          <w:szCs w:val="24"/>
        </w:rPr>
        <w:t xml:space="preserve">9) </w:t>
      </w:r>
      <w:r w:rsidRPr="00972BFD">
        <w:rPr>
          <w:rFonts w:ascii="Palatino Linotype" w:hAnsi="Palatino Linotype" w:cs="Tahoma"/>
          <w:i/>
          <w:szCs w:val="24"/>
        </w:rPr>
        <w:t xml:space="preserve">La partida presupuestal, de conformidad con el clasificador por objeto del gasto, en el caso de ser aplicable; </w:t>
      </w:r>
    </w:p>
    <w:p w:rsidR="00736AF9" w:rsidRPr="00972BFD" w:rsidRDefault="00736AF9" w:rsidP="00736AF9">
      <w:pPr>
        <w:spacing w:line="360" w:lineRule="auto"/>
        <w:ind w:left="851" w:right="567"/>
        <w:jc w:val="both"/>
        <w:rPr>
          <w:rFonts w:ascii="Palatino Linotype" w:hAnsi="Palatino Linotype" w:cs="Tahoma"/>
          <w:i/>
          <w:szCs w:val="24"/>
        </w:rPr>
      </w:pPr>
      <w:r w:rsidRPr="00972BFD">
        <w:rPr>
          <w:rFonts w:ascii="Palatino Linotype" w:hAnsi="Palatino Linotype" w:cs="Tahoma"/>
          <w:b/>
          <w:bCs/>
          <w:i/>
          <w:szCs w:val="24"/>
        </w:rPr>
        <w:t xml:space="preserve">10) </w:t>
      </w:r>
      <w:r w:rsidRPr="00972BFD">
        <w:rPr>
          <w:rFonts w:ascii="Palatino Linotype" w:hAnsi="Palatino Linotype" w:cs="Tahoma"/>
          <w:i/>
          <w:szCs w:val="24"/>
        </w:rPr>
        <w:t xml:space="preserve">Origen de los recursos especificando si son federales, estatales o municipales, así como el tipo de fondo de participación o aportación respectiva; </w:t>
      </w:r>
    </w:p>
    <w:p w:rsidR="00736AF9" w:rsidRPr="00972BFD" w:rsidRDefault="00736AF9" w:rsidP="00736AF9">
      <w:pPr>
        <w:spacing w:line="360" w:lineRule="auto"/>
        <w:ind w:left="851" w:right="567"/>
        <w:jc w:val="both"/>
        <w:rPr>
          <w:rFonts w:ascii="Palatino Linotype" w:hAnsi="Palatino Linotype" w:cs="Tahoma"/>
          <w:i/>
          <w:szCs w:val="24"/>
        </w:rPr>
      </w:pPr>
      <w:r w:rsidRPr="00972BFD">
        <w:rPr>
          <w:rFonts w:ascii="Palatino Linotype" w:hAnsi="Palatino Linotype" w:cs="Tahoma"/>
          <w:b/>
          <w:bCs/>
          <w:i/>
          <w:szCs w:val="24"/>
        </w:rPr>
        <w:t xml:space="preserve">11) </w:t>
      </w:r>
      <w:r w:rsidRPr="00972BFD">
        <w:rPr>
          <w:rFonts w:ascii="Palatino Linotype" w:hAnsi="Palatino Linotype" w:cs="Tahoma"/>
          <w:i/>
          <w:szCs w:val="24"/>
        </w:rPr>
        <w:t xml:space="preserve">Los convenios modificatorios que, en su caso, sean firmados, precisando el objeto y la fecha de celebración; </w:t>
      </w:r>
    </w:p>
    <w:p w:rsidR="00736AF9" w:rsidRPr="00972BFD" w:rsidRDefault="00736AF9" w:rsidP="00736AF9">
      <w:pPr>
        <w:spacing w:line="360" w:lineRule="auto"/>
        <w:ind w:left="851" w:right="567"/>
        <w:jc w:val="both"/>
        <w:rPr>
          <w:rFonts w:ascii="Palatino Linotype" w:hAnsi="Palatino Linotype" w:cs="Tahoma"/>
          <w:i/>
          <w:szCs w:val="24"/>
        </w:rPr>
      </w:pPr>
      <w:r w:rsidRPr="00972BFD">
        <w:rPr>
          <w:rFonts w:ascii="Palatino Linotype" w:hAnsi="Palatino Linotype" w:cs="Tahoma"/>
          <w:b/>
          <w:bCs/>
          <w:i/>
          <w:szCs w:val="24"/>
        </w:rPr>
        <w:t xml:space="preserve">12) </w:t>
      </w:r>
      <w:r w:rsidRPr="00972BFD">
        <w:rPr>
          <w:rFonts w:ascii="Palatino Linotype" w:hAnsi="Palatino Linotype" w:cs="Tahoma"/>
          <w:i/>
          <w:szCs w:val="24"/>
        </w:rPr>
        <w:t xml:space="preserve">Los informes de avance físico y financiero sobre las obras o servicios contratados; </w:t>
      </w:r>
    </w:p>
    <w:p w:rsidR="00736AF9" w:rsidRPr="00972BFD" w:rsidRDefault="00736AF9" w:rsidP="00736AF9">
      <w:pPr>
        <w:spacing w:line="360" w:lineRule="auto"/>
        <w:ind w:left="851" w:right="567"/>
        <w:jc w:val="both"/>
        <w:rPr>
          <w:rFonts w:ascii="Palatino Linotype" w:hAnsi="Palatino Linotype" w:cs="Tahoma"/>
          <w:i/>
          <w:szCs w:val="24"/>
        </w:rPr>
      </w:pPr>
      <w:r w:rsidRPr="00972BFD">
        <w:rPr>
          <w:rFonts w:ascii="Palatino Linotype" w:hAnsi="Palatino Linotype" w:cs="Tahoma"/>
          <w:b/>
          <w:bCs/>
          <w:i/>
          <w:szCs w:val="24"/>
        </w:rPr>
        <w:t xml:space="preserve">13) </w:t>
      </w:r>
      <w:r w:rsidRPr="00972BFD">
        <w:rPr>
          <w:rFonts w:ascii="Palatino Linotype" w:hAnsi="Palatino Linotype" w:cs="Tahoma"/>
          <w:i/>
          <w:szCs w:val="24"/>
        </w:rPr>
        <w:t xml:space="preserve">El convenio de terminación; y </w:t>
      </w:r>
    </w:p>
    <w:p w:rsidR="00736AF9" w:rsidRPr="00972BFD" w:rsidRDefault="00736AF9" w:rsidP="00736AF9">
      <w:pPr>
        <w:spacing w:line="360" w:lineRule="auto"/>
        <w:ind w:left="851" w:right="567"/>
        <w:jc w:val="both"/>
        <w:rPr>
          <w:rFonts w:ascii="Palatino Linotype" w:hAnsi="Palatino Linotype" w:cs="Tahoma"/>
          <w:i/>
          <w:szCs w:val="24"/>
        </w:rPr>
      </w:pPr>
      <w:r w:rsidRPr="00972BFD">
        <w:rPr>
          <w:rFonts w:ascii="Palatino Linotype" w:hAnsi="Palatino Linotype" w:cs="Tahoma"/>
          <w:b/>
          <w:bCs/>
          <w:i/>
          <w:szCs w:val="24"/>
        </w:rPr>
        <w:t xml:space="preserve">14) </w:t>
      </w:r>
      <w:r w:rsidRPr="00972BFD">
        <w:rPr>
          <w:rFonts w:ascii="Palatino Linotype" w:hAnsi="Palatino Linotype" w:cs="Tahoma"/>
          <w:i/>
          <w:szCs w:val="24"/>
        </w:rPr>
        <w:t xml:space="preserve">El finiquito. </w:t>
      </w:r>
    </w:p>
    <w:p w:rsidR="00736AF9" w:rsidRPr="00972BFD" w:rsidRDefault="00736AF9" w:rsidP="00736AF9">
      <w:pPr>
        <w:spacing w:line="360" w:lineRule="auto"/>
        <w:ind w:left="567" w:right="567"/>
        <w:jc w:val="both"/>
        <w:rPr>
          <w:rFonts w:ascii="Palatino Linotype" w:hAnsi="Palatino Linotype" w:cs="Tahoma"/>
          <w:i/>
          <w:szCs w:val="24"/>
        </w:rPr>
      </w:pPr>
      <w:r w:rsidRPr="00972BFD">
        <w:rPr>
          <w:rFonts w:ascii="Palatino Linotype" w:hAnsi="Palatino Linotype" w:cs="Tahoma"/>
          <w:b/>
          <w:bCs/>
          <w:i/>
          <w:szCs w:val="24"/>
        </w:rPr>
        <w:t xml:space="preserve">b) </w:t>
      </w:r>
      <w:r w:rsidRPr="00534481">
        <w:rPr>
          <w:rFonts w:ascii="Palatino Linotype" w:hAnsi="Palatino Linotype" w:cs="Tahoma"/>
          <w:b/>
          <w:i/>
          <w:szCs w:val="24"/>
        </w:rPr>
        <w:t xml:space="preserve">De las adjudicaciones directas: </w:t>
      </w:r>
    </w:p>
    <w:p w:rsidR="00736AF9" w:rsidRPr="00972BFD" w:rsidRDefault="00736AF9" w:rsidP="00736AF9">
      <w:pPr>
        <w:spacing w:line="360" w:lineRule="auto"/>
        <w:ind w:left="851" w:right="567"/>
        <w:jc w:val="both"/>
        <w:rPr>
          <w:rFonts w:ascii="Palatino Linotype" w:hAnsi="Palatino Linotype" w:cs="Tahoma"/>
          <w:i/>
          <w:szCs w:val="24"/>
        </w:rPr>
      </w:pPr>
      <w:r w:rsidRPr="00972BFD">
        <w:rPr>
          <w:rFonts w:ascii="Palatino Linotype" w:hAnsi="Palatino Linotype" w:cs="Tahoma"/>
          <w:b/>
          <w:bCs/>
          <w:i/>
          <w:szCs w:val="24"/>
        </w:rPr>
        <w:t xml:space="preserve">1) </w:t>
      </w:r>
      <w:r w:rsidRPr="00972BFD">
        <w:rPr>
          <w:rFonts w:ascii="Palatino Linotype" w:hAnsi="Palatino Linotype" w:cs="Tahoma"/>
          <w:i/>
          <w:szCs w:val="24"/>
        </w:rPr>
        <w:t xml:space="preserve">La propuesta enviada por el participante; </w:t>
      </w:r>
    </w:p>
    <w:p w:rsidR="00736AF9" w:rsidRPr="00972BFD" w:rsidRDefault="00736AF9" w:rsidP="00736AF9">
      <w:pPr>
        <w:spacing w:line="360" w:lineRule="auto"/>
        <w:ind w:left="851" w:right="567"/>
        <w:jc w:val="both"/>
        <w:rPr>
          <w:rFonts w:ascii="Palatino Linotype" w:hAnsi="Palatino Linotype" w:cs="Tahoma"/>
          <w:i/>
          <w:szCs w:val="24"/>
        </w:rPr>
      </w:pPr>
      <w:r w:rsidRPr="00972BFD">
        <w:rPr>
          <w:rFonts w:ascii="Palatino Linotype" w:hAnsi="Palatino Linotype" w:cs="Tahoma"/>
          <w:b/>
          <w:bCs/>
          <w:i/>
          <w:szCs w:val="24"/>
        </w:rPr>
        <w:lastRenderedPageBreak/>
        <w:t xml:space="preserve">2) </w:t>
      </w:r>
      <w:r w:rsidRPr="00972BFD">
        <w:rPr>
          <w:rFonts w:ascii="Palatino Linotype" w:hAnsi="Palatino Linotype" w:cs="Tahoma"/>
          <w:i/>
          <w:szCs w:val="24"/>
        </w:rPr>
        <w:t xml:space="preserve">Los motivos y fundamentos legales aplicados para llevarla a cabo; </w:t>
      </w:r>
    </w:p>
    <w:p w:rsidR="00736AF9" w:rsidRPr="00972BFD" w:rsidRDefault="00736AF9" w:rsidP="00736AF9">
      <w:pPr>
        <w:spacing w:line="360" w:lineRule="auto"/>
        <w:ind w:left="851" w:right="567"/>
        <w:jc w:val="both"/>
        <w:rPr>
          <w:rFonts w:ascii="Palatino Linotype" w:hAnsi="Palatino Linotype" w:cs="Tahoma"/>
          <w:i/>
          <w:szCs w:val="24"/>
        </w:rPr>
      </w:pPr>
      <w:r w:rsidRPr="00972BFD">
        <w:rPr>
          <w:rFonts w:ascii="Palatino Linotype" w:hAnsi="Palatino Linotype" w:cs="Tahoma"/>
          <w:b/>
          <w:bCs/>
          <w:i/>
          <w:szCs w:val="24"/>
        </w:rPr>
        <w:t xml:space="preserve">3) </w:t>
      </w:r>
      <w:r w:rsidRPr="00972BFD">
        <w:rPr>
          <w:rFonts w:ascii="Palatino Linotype" w:hAnsi="Palatino Linotype" w:cs="Tahoma"/>
          <w:i/>
          <w:szCs w:val="24"/>
        </w:rPr>
        <w:t xml:space="preserve">La autorización del ejercicio de la opción; </w:t>
      </w:r>
    </w:p>
    <w:p w:rsidR="00736AF9" w:rsidRPr="00972BFD" w:rsidRDefault="00736AF9" w:rsidP="00736AF9">
      <w:pPr>
        <w:spacing w:line="360" w:lineRule="auto"/>
        <w:ind w:left="851" w:right="567"/>
        <w:jc w:val="both"/>
        <w:rPr>
          <w:rFonts w:ascii="Palatino Linotype" w:hAnsi="Palatino Linotype" w:cs="Tahoma"/>
          <w:i/>
          <w:szCs w:val="24"/>
        </w:rPr>
      </w:pPr>
      <w:r w:rsidRPr="00972BFD">
        <w:rPr>
          <w:rFonts w:ascii="Palatino Linotype" w:hAnsi="Palatino Linotype" w:cs="Tahoma"/>
          <w:b/>
          <w:bCs/>
          <w:i/>
          <w:szCs w:val="24"/>
        </w:rPr>
        <w:t xml:space="preserve">4) </w:t>
      </w:r>
      <w:r w:rsidRPr="00972BFD">
        <w:rPr>
          <w:rFonts w:ascii="Palatino Linotype" w:hAnsi="Palatino Linotype" w:cs="Tahoma"/>
          <w:i/>
          <w:szCs w:val="24"/>
        </w:rPr>
        <w:t>En su caso, las cotizaciones consideradas, especificando los nombres de los proveedores y sus montos;</w:t>
      </w:r>
    </w:p>
    <w:p w:rsidR="00B240AC" w:rsidRDefault="00B240AC" w:rsidP="00534481">
      <w:pPr>
        <w:spacing w:line="360" w:lineRule="auto"/>
        <w:jc w:val="both"/>
        <w:rPr>
          <w:rFonts w:ascii="Palatino Linotype" w:hAnsi="Palatino Linotype" w:cs="Tahoma"/>
        </w:rPr>
      </w:pPr>
    </w:p>
    <w:p w:rsidR="00446D67" w:rsidRDefault="00736AF9" w:rsidP="00534481">
      <w:pPr>
        <w:spacing w:line="360" w:lineRule="auto"/>
        <w:jc w:val="both"/>
        <w:rPr>
          <w:rFonts w:ascii="Palatino Linotype" w:hAnsi="Palatino Linotype" w:cs="Tahoma"/>
          <w:sz w:val="24"/>
        </w:rPr>
      </w:pPr>
      <w:r w:rsidRPr="00446D67">
        <w:rPr>
          <w:rFonts w:ascii="Palatino Linotype" w:hAnsi="Palatino Linotype" w:cs="Tahoma"/>
          <w:sz w:val="24"/>
        </w:rPr>
        <w:t>De lo anterior, se observa la obligación que t</w:t>
      </w:r>
      <w:r w:rsidR="005A1CD8">
        <w:rPr>
          <w:rFonts w:ascii="Palatino Linotype" w:hAnsi="Palatino Linotype" w:cs="Tahoma"/>
          <w:sz w:val="24"/>
        </w:rPr>
        <w:t>iene el Ayuntamiento de Tenango del Aire</w:t>
      </w:r>
      <w:r w:rsidRPr="00446D67">
        <w:rPr>
          <w:rFonts w:ascii="Palatino Linotype" w:hAnsi="Palatino Linotype" w:cs="Tahoma"/>
          <w:sz w:val="24"/>
        </w:rPr>
        <w:t xml:space="preserve"> de hacer pública la información relacionada con sus procesos de contratación de cualquier naturaleza, entre los que invariablemente se encuentran los solicitados por el particula</w:t>
      </w:r>
      <w:r w:rsidR="00534481" w:rsidRPr="00446D67">
        <w:rPr>
          <w:rFonts w:ascii="Palatino Linotype" w:hAnsi="Palatino Linotype" w:cs="Tahoma"/>
          <w:sz w:val="24"/>
        </w:rPr>
        <w:t xml:space="preserve">r, por lo que es dable ordenar la entrega del o los documentos donde conste el procedimiento de adjudicación o licitación por el cual </w:t>
      </w:r>
      <w:r w:rsidR="00446D67" w:rsidRPr="00446D67">
        <w:rPr>
          <w:rFonts w:ascii="Palatino Linotype" w:hAnsi="Palatino Linotype" w:cs="Tahoma"/>
          <w:sz w:val="24"/>
        </w:rPr>
        <w:t xml:space="preserve">se adquirió el tractor referido en la solicitud primigenia. </w:t>
      </w:r>
    </w:p>
    <w:p w:rsidR="00054C50" w:rsidRDefault="00054C50" w:rsidP="00054C50">
      <w:pPr>
        <w:pStyle w:val="Sinespaciado"/>
      </w:pPr>
    </w:p>
    <w:p w:rsidR="00446D67" w:rsidRDefault="00446D67" w:rsidP="00534481">
      <w:pPr>
        <w:spacing w:line="360" w:lineRule="auto"/>
        <w:jc w:val="both"/>
        <w:rPr>
          <w:rFonts w:ascii="Palatino Linotype" w:hAnsi="Palatino Linotype" w:cs="Arial"/>
          <w:sz w:val="24"/>
        </w:rPr>
      </w:pPr>
      <w:r>
        <w:rPr>
          <w:rFonts w:ascii="Palatino Linotype" w:hAnsi="Palatino Linotype" w:cs="Arial"/>
          <w:sz w:val="24"/>
        </w:rPr>
        <w:t xml:space="preserve">Ahora bien, no pasa desapercibido por esta ponencia resolutora, que dentro de los archivos adjuntos al correo electrónico se advierten datos visibles suceptibles de ser clasificados, como lo son los nombres de </w:t>
      </w:r>
      <w:r w:rsidR="00054C50">
        <w:rPr>
          <w:rFonts w:ascii="Palatino Linotype" w:hAnsi="Palatino Linotype" w:cs="Arial"/>
          <w:sz w:val="24"/>
        </w:rPr>
        <w:t xml:space="preserve">los vendedores y teléfonos de atención, pues se insinúa que no obtuvieron beneficio alguno por concepto de la licitación, por lo cual debieron ser protegidos los datos personales, mismos que no abonan nada a la transparencia y vulneran la protección de los datos personales de las personas referidas con antelación </w:t>
      </w:r>
    </w:p>
    <w:p w:rsidR="00446D67" w:rsidRPr="00446D67" w:rsidRDefault="00446D67" w:rsidP="00446D67">
      <w:pPr>
        <w:pStyle w:val="Sinespaciado"/>
      </w:pPr>
    </w:p>
    <w:p w:rsidR="00674FA3" w:rsidRPr="00674FA3" w:rsidRDefault="00275C65" w:rsidP="00674FA3">
      <w:pPr>
        <w:autoSpaceDE w:val="0"/>
        <w:autoSpaceDN w:val="0"/>
        <w:adjustRightInd w:val="0"/>
        <w:spacing w:line="360" w:lineRule="auto"/>
        <w:jc w:val="both"/>
        <w:rPr>
          <w:rFonts w:ascii="Palatino Linotype" w:hAnsi="Palatino Linotype" w:cs="Arial"/>
          <w:sz w:val="24"/>
        </w:rPr>
      </w:pPr>
      <w:r w:rsidRPr="00275C65">
        <w:rPr>
          <w:rFonts w:ascii="Palatino Linotype" w:hAnsi="Palatino Linotype" w:cs="Arial"/>
          <w:sz w:val="24"/>
        </w:rPr>
        <w:t>En este sentido, y derivado de la respuesta</w:t>
      </w:r>
      <w:r>
        <w:rPr>
          <w:rFonts w:ascii="Palatino Linotype" w:hAnsi="Palatino Linotype" w:cs="Arial"/>
          <w:sz w:val="24"/>
        </w:rPr>
        <w:t xml:space="preserve"> remitida por correo electrónico </w:t>
      </w:r>
      <w:r w:rsidRPr="00275C65">
        <w:rPr>
          <w:rFonts w:ascii="Palatino Linotype" w:hAnsi="Palatino Linotype" w:cs="Arial"/>
          <w:sz w:val="24"/>
        </w:rPr>
        <w:t>en la que admite contar con la información solicitada, este Instituto considera viable ordenar la entr</w:t>
      </w:r>
      <w:r>
        <w:rPr>
          <w:rFonts w:ascii="Palatino Linotype" w:hAnsi="Palatino Linotype" w:cs="Arial"/>
          <w:sz w:val="24"/>
        </w:rPr>
        <w:t>ega de la misma,</w:t>
      </w:r>
      <w:r w:rsidR="00674FA3">
        <w:rPr>
          <w:rFonts w:ascii="Palatino Linotype" w:hAnsi="Palatino Linotype" w:cs="Arial"/>
          <w:sz w:val="24"/>
        </w:rPr>
        <w:t xml:space="preserve"> en versión pública.</w:t>
      </w:r>
    </w:p>
    <w:p w:rsidR="008E6BC4" w:rsidRDefault="008E6BC4" w:rsidP="008E6BC4">
      <w:pPr>
        <w:pStyle w:val="Sinespaciado"/>
        <w:spacing w:line="360" w:lineRule="auto"/>
        <w:jc w:val="both"/>
        <w:rPr>
          <w:rFonts w:ascii="Palatino Linotype" w:hAnsi="Palatino Linotype"/>
          <w:b/>
          <w:i/>
          <w:sz w:val="26"/>
          <w:szCs w:val="26"/>
          <w:u w:val="single"/>
        </w:rPr>
      </w:pPr>
      <w:r>
        <w:rPr>
          <w:rFonts w:ascii="Palatino Linotype" w:hAnsi="Palatino Linotype"/>
          <w:b/>
          <w:i/>
          <w:sz w:val="26"/>
          <w:szCs w:val="26"/>
          <w:u w:val="single"/>
        </w:rPr>
        <w:lastRenderedPageBreak/>
        <w:t>DE LA VERSIÓN PÚBLICA</w:t>
      </w:r>
    </w:p>
    <w:p w:rsidR="008E6BC4" w:rsidRDefault="008E6BC4" w:rsidP="00B240AC">
      <w:pPr>
        <w:pStyle w:val="Sinespaciado"/>
        <w:rPr>
          <w:lang w:val="es-ES" w:eastAsia="es-ES"/>
        </w:rPr>
      </w:pPr>
    </w:p>
    <w:p w:rsidR="008E6BC4" w:rsidRDefault="008E6BC4" w:rsidP="008E6BC4">
      <w:pPr>
        <w:spacing w:after="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t>Toda vez que los documentos referidos anteriormente son elaborados por quincenas y atendiendo al requerimiento del ciudadano, este Órgano Garante determina ordenar que l</w:t>
      </w:r>
      <w:r w:rsidR="005A1CD8">
        <w:rPr>
          <w:rFonts w:ascii="Palatino Linotype" w:eastAsia="Arial Unicode MS" w:hAnsi="Palatino Linotype" w:cs="Times New Roman"/>
          <w:sz w:val="24"/>
          <w:szCs w:val="24"/>
          <w:lang w:val="es-ES" w:eastAsia="es-ES"/>
        </w:rPr>
        <w:t>a entrega de la información al</w:t>
      </w:r>
      <w:r>
        <w:rPr>
          <w:rFonts w:ascii="Palatino Linotype" w:eastAsia="Arial Unicode MS" w:hAnsi="Palatino Linotype" w:cs="Times New Roman"/>
          <w:sz w:val="24"/>
          <w:szCs w:val="24"/>
          <w:lang w:val="es-ES" w:eastAsia="es-ES"/>
        </w:rPr>
        <w:t xml:space="preserve"> Recurrente se haga en </w:t>
      </w:r>
      <w:r>
        <w:rPr>
          <w:rFonts w:ascii="Palatino Linotype" w:eastAsia="Arial Unicode MS" w:hAnsi="Palatino Linotype" w:cs="Times New Roman"/>
          <w:b/>
          <w:sz w:val="24"/>
          <w:szCs w:val="24"/>
          <w:lang w:val="es-ES" w:eastAsia="es-ES"/>
        </w:rPr>
        <w:t>versión pública</w:t>
      </w:r>
      <w:r>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rsidR="005A1CD8" w:rsidRDefault="005A1CD8" w:rsidP="008E6BC4">
      <w:pPr>
        <w:spacing w:after="0" w:line="360" w:lineRule="auto"/>
        <w:jc w:val="both"/>
        <w:rPr>
          <w:rFonts w:ascii="Palatino Linotype" w:eastAsia="Times New Roman" w:hAnsi="Palatino Linotype" w:cs="Times New Roman"/>
          <w:bCs/>
          <w:sz w:val="24"/>
          <w:szCs w:val="24"/>
          <w:lang w:eastAsia="es-ES"/>
        </w:rPr>
      </w:pPr>
    </w:p>
    <w:p w:rsidR="008E6BC4" w:rsidRDefault="008E6BC4" w:rsidP="008E6BC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bCs/>
          <w:sz w:val="24"/>
          <w:szCs w:val="24"/>
          <w:lang w:eastAsia="es-ES"/>
        </w:rPr>
        <w:t>A este respecto, los</w:t>
      </w:r>
      <w:r>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8E6BC4" w:rsidRDefault="008E6BC4" w:rsidP="008E6BC4">
      <w:pPr>
        <w:spacing w:after="0" w:line="360" w:lineRule="auto"/>
        <w:jc w:val="both"/>
        <w:rPr>
          <w:rFonts w:ascii="Palatino Linotype" w:eastAsia="Times New Roman" w:hAnsi="Palatino Linotype" w:cs="Times New Roman"/>
          <w:b/>
          <w:bCs/>
          <w:i/>
          <w:noProof/>
          <w:sz w:val="24"/>
          <w:szCs w:val="24"/>
          <w:lang w:eastAsia="es-ES"/>
        </w:rPr>
      </w:pPr>
    </w:p>
    <w:p w:rsidR="008E6BC4" w:rsidRDefault="008E6BC4" w:rsidP="008E6BC4">
      <w:pPr>
        <w:spacing w:after="0" w:line="240" w:lineRule="auto"/>
        <w:ind w:left="567" w:right="616"/>
        <w:jc w:val="both"/>
        <w:rPr>
          <w:rFonts w:ascii="Palatino Linotype" w:eastAsia="Times New Roman" w:hAnsi="Palatino Linotype" w:cs="Times New Roman"/>
          <w:i/>
          <w:lang w:eastAsia="es-ES"/>
        </w:rPr>
      </w:pPr>
      <w:r>
        <w:rPr>
          <w:rFonts w:ascii="Palatino Linotype" w:eastAsia="Times New Roman" w:hAnsi="Palatino Linotype" w:cs="Arial"/>
          <w:b/>
          <w:bCs/>
          <w:i/>
          <w:noProof/>
          <w:lang w:eastAsia="es-ES"/>
        </w:rPr>
        <w:t>“</w:t>
      </w:r>
      <w:r>
        <w:rPr>
          <w:rFonts w:ascii="Palatino Linotype" w:eastAsia="Times New Roman" w:hAnsi="Palatino Linotype" w:cs="Arial"/>
          <w:b/>
          <w:bCs/>
          <w:i/>
          <w:lang w:eastAsia="es-MX"/>
        </w:rPr>
        <w:t>Artículo</w:t>
      </w:r>
      <w:r>
        <w:rPr>
          <w:rFonts w:ascii="Palatino Linotype" w:eastAsia="Times New Roman" w:hAnsi="Palatino Linotype" w:cs="Arial"/>
          <w:b/>
          <w:bCs/>
          <w:i/>
          <w:lang w:eastAsia="es-ES"/>
        </w:rPr>
        <w:t xml:space="preserve"> 3. </w:t>
      </w:r>
      <w:r>
        <w:rPr>
          <w:rFonts w:ascii="Palatino Linotype" w:eastAsia="Times New Roman" w:hAnsi="Palatino Linotype" w:cs="Times New Roman"/>
          <w:i/>
          <w:lang w:eastAsia="es-ES"/>
        </w:rPr>
        <w:t xml:space="preserve">Para los efectos de la presente Ley se entenderá por: </w:t>
      </w:r>
    </w:p>
    <w:p w:rsidR="008E6BC4" w:rsidRDefault="008E6BC4" w:rsidP="008E6BC4">
      <w:pPr>
        <w:spacing w:after="0" w:line="240" w:lineRule="auto"/>
        <w:ind w:left="567" w:right="616"/>
        <w:jc w:val="both"/>
        <w:rPr>
          <w:rFonts w:ascii="Palatino Linotype" w:eastAsia="Times New Roman" w:hAnsi="Palatino Linotype" w:cs="Times New Roman"/>
          <w:i/>
          <w:lang w:eastAsia="es-ES"/>
        </w:rPr>
      </w:pPr>
    </w:p>
    <w:p w:rsidR="008E6BC4" w:rsidRDefault="008E6BC4" w:rsidP="008E6BC4">
      <w:pPr>
        <w:spacing w:after="0" w:line="240" w:lineRule="auto"/>
        <w:ind w:left="567" w:right="616"/>
        <w:jc w:val="both"/>
        <w:rPr>
          <w:rFonts w:ascii="Palatino Linotype" w:eastAsia="Times New Roman" w:hAnsi="Palatino Linotype" w:cs="Arial"/>
          <w:i/>
          <w:lang w:eastAsia="es-ES"/>
        </w:rPr>
      </w:pPr>
      <w:r>
        <w:rPr>
          <w:rFonts w:ascii="Palatino Linotype" w:eastAsia="Times New Roman" w:hAnsi="Palatino Linotype" w:cs="Arial"/>
          <w:b/>
          <w:i/>
          <w:lang w:eastAsia="es-ES"/>
        </w:rPr>
        <w:t>IX.</w:t>
      </w:r>
      <w:r>
        <w:rPr>
          <w:rFonts w:ascii="Palatino Linotype" w:eastAsia="Times New Roman" w:hAnsi="Palatino Linotype" w:cs="Arial"/>
          <w:i/>
          <w:lang w:eastAsia="es-ES"/>
        </w:rPr>
        <w:t xml:space="preserve"> </w:t>
      </w:r>
      <w:r>
        <w:rPr>
          <w:rFonts w:ascii="Palatino Linotype" w:eastAsia="Times New Roman" w:hAnsi="Palatino Linotype" w:cs="Arial"/>
          <w:b/>
          <w:i/>
          <w:lang w:eastAsia="es-ES"/>
        </w:rPr>
        <w:t xml:space="preserve">Datos personales: </w:t>
      </w:r>
      <w:r>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8E6BC4" w:rsidRDefault="008E6BC4" w:rsidP="008E6BC4">
      <w:pPr>
        <w:spacing w:after="0" w:line="240" w:lineRule="auto"/>
        <w:ind w:left="567" w:right="616"/>
        <w:jc w:val="both"/>
        <w:rPr>
          <w:rFonts w:ascii="Palatino Linotype" w:eastAsia="Times New Roman" w:hAnsi="Palatino Linotype" w:cs="Arial"/>
          <w:i/>
          <w:lang w:eastAsia="es-ES"/>
        </w:rPr>
      </w:pPr>
    </w:p>
    <w:p w:rsidR="008E6BC4" w:rsidRDefault="008E6BC4" w:rsidP="008E6BC4">
      <w:pPr>
        <w:spacing w:after="0" w:line="240" w:lineRule="auto"/>
        <w:ind w:left="567" w:right="616"/>
        <w:jc w:val="both"/>
        <w:rPr>
          <w:rFonts w:ascii="Palatino Linotype" w:eastAsia="Times New Roman" w:hAnsi="Palatino Linotype" w:cs="Arial"/>
          <w:i/>
          <w:lang w:eastAsia="es-ES"/>
        </w:rPr>
      </w:pPr>
      <w:r>
        <w:rPr>
          <w:rFonts w:ascii="Palatino Linotype" w:eastAsia="Times New Roman" w:hAnsi="Palatino Linotype" w:cs="Arial"/>
          <w:b/>
          <w:i/>
          <w:lang w:eastAsia="es-ES"/>
        </w:rPr>
        <w:t>XX.</w:t>
      </w:r>
      <w:r>
        <w:rPr>
          <w:rFonts w:ascii="Palatino Linotype" w:eastAsia="Times New Roman" w:hAnsi="Palatino Linotype" w:cs="Arial"/>
          <w:i/>
          <w:lang w:eastAsia="es-ES"/>
        </w:rPr>
        <w:t xml:space="preserve"> </w:t>
      </w:r>
      <w:r>
        <w:rPr>
          <w:rFonts w:ascii="Palatino Linotype" w:eastAsia="Times New Roman" w:hAnsi="Palatino Linotype" w:cs="Arial"/>
          <w:b/>
          <w:i/>
          <w:lang w:eastAsia="es-ES"/>
        </w:rPr>
        <w:t>Información clasificada:</w:t>
      </w:r>
      <w:r>
        <w:rPr>
          <w:rFonts w:ascii="Palatino Linotype" w:eastAsia="Times New Roman" w:hAnsi="Palatino Linotype" w:cs="Arial"/>
          <w:i/>
          <w:lang w:eastAsia="es-ES"/>
        </w:rPr>
        <w:t xml:space="preserve"> Aquella considerada por la presente Ley como reservada o confidencial; </w:t>
      </w:r>
    </w:p>
    <w:p w:rsidR="008E6BC4" w:rsidRDefault="008E6BC4" w:rsidP="008E6BC4">
      <w:pPr>
        <w:spacing w:after="0" w:line="240" w:lineRule="auto"/>
        <w:ind w:left="567" w:right="616"/>
        <w:jc w:val="both"/>
        <w:rPr>
          <w:rFonts w:ascii="Palatino Linotype" w:eastAsia="Times New Roman" w:hAnsi="Palatino Linotype" w:cs="Arial"/>
          <w:i/>
          <w:lang w:eastAsia="es-ES"/>
        </w:rPr>
      </w:pPr>
    </w:p>
    <w:p w:rsidR="008E6BC4" w:rsidRDefault="008E6BC4" w:rsidP="008E6BC4">
      <w:pPr>
        <w:spacing w:after="0" w:line="240" w:lineRule="auto"/>
        <w:ind w:left="567" w:right="616"/>
        <w:jc w:val="both"/>
        <w:rPr>
          <w:rFonts w:ascii="Palatino Linotype" w:eastAsia="Times New Roman" w:hAnsi="Palatino Linotype" w:cs="Arial"/>
          <w:i/>
          <w:lang w:eastAsia="es-ES"/>
        </w:rPr>
      </w:pPr>
      <w:r>
        <w:rPr>
          <w:rFonts w:ascii="Palatino Linotype" w:eastAsia="Times New Roman" w:hAnsi="Palatino Linotype" w:cs="Arial"/>
          <w:b/>
          <w:i/>
          <w:lang w:eastAsia="es-ES"/>
        </w:rPr>
        <w:t>XXI.</w:t>
      </w:r>
      <w:r>
        <w:rPr>
          <w:rFonts w:ascii="Palatino Linotype" w:eastAsia="Times New Roman" w:hAnsi="Palatino Linotype" w:cs="Arial"/>
          <w:i/>
          <w:lang w:eastAsia="es-ES"/>
        </w:rPr>
        <w:t xml:space="preserve"> </w:t>
      </w:r>
      <w:r>
        <w:rPr>
          <w:rFonts w:ascii="Palatino Linotype" w:eastAsia="Times New Roman" w:hAnsi="Palatino Linotype" w:cs="Arial"/>
          <w:b/>
          <w:i/>
          <w:lang w:eastAsia="es-ES"/>
        </w:rPr>
        <w:t>Información confidencial</w:t>
      </w:r>
      <w:r>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8E6BC4" w:rsidRDefault="008E6BC4" w:rsidP="008E6BC4">
      <w:pPr>
        <w:spacing w:after="0" w:line="240" w:lineRule="auto"/>
        <w:ind w:left="567" w:right="616"/>
        <w:jc w:val="both"/>
        <w:rPr>
          <w:rFonts w:ascii="Palatino Linotype" w:eastAsia="Times New Roman" w:hAnsi="Palatino Linotype" w:cs="Arial"/>
          <w:i/>
          <w:lang w:eastAsia="es-ES"/>
        </w:rPr>
      </w:pPr>
    </w:p>
    <w:p w:rsidR="008E6BC4" w:rsidRDefault="008E6BC4" w:rsidP="008E6BC4">
      <w:pPr>
        <w:spacing w:after="0" w:line="240" w:lineRule="auto"/>
        <w:ind w:left="567" w:right="616"/>
        <w:jc w:val="both"/>
        <w:rPr>
          <w:rFonts w:ascii="Palatino Linotype" w:eastAsia="Times New Roman" w:hAnsi="Palatino Linotype" w:cs="Arial"/>
          <w:i/>
          <w:lang w:eastAsia="es-ES"/>
        </w:rPr>
      </w:pPr>
      <w:r>
        <w:rPr>
          <w:rFonts w:ascii="Palatino Linotype" w:eastAsia="Times New Roman" w:hAnsi="Palatino Linotype" w:cs="Arial"/>
          <w:b/>
          <w:i/>
          <w:lang w:eastAsia="es-ES"/>
        </w:rPr>
        <w:t>XLV. Versión pública:</w:t>
      </w:r>
      <w:r>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8E6BC4" w:rsidRDefault="008E6BC4" w:rsidP="008E6BC4">
      <w:pPr>
        <w:spacing w:after="0" w:line="240" w:lineRule="auto"/>
        <w:ind w:left="567" w:right="616"/>
        <w:jc w:val="both"/>
        <w:rPr>
          <w:rFonts w:ascii="Palatino Linotype" w:eastAsia="Times New Roman" w:hAnsi="Palatino Linotype" w:cs="Arial"/>
          <w:i/>
          <w:lang w:eastAsia="es-ES"/>
        </w:rPr>
      </w:pPr>
    </w:p>
    <w:p w:rsidR="008E6BC4" w:rsidRDefault="008E6BC4" w:rsidP="008E6BC4">
      <w:pPr>
        <w:spacing w:after="0" w:line="240" w:lineRule="auto"/>
        <w:ind w:left="567" w:right="616"/>
        <w:jc w:val="both"/>
        <w:rPr>
          <w:rFonts w:ascii="Palatino Linotype" w:eastAsia="Times New Roman" w:hAnsi="Palatino Linotype" w:cs="Arial"/>
          <w:i/>
          <w:lang w:eastAsia="es-ES"/>
        </w:rPr>
      </w:pPr>
      <w:r>
        <w:rPr>
          <w:rFonts w:ascii="Palatino Linotype" w:eastAsia="Times New Roman" w:hAnsi="Palatino Linotype" w:cs="Arial"/>
          <w:b/>
          <w:i/>
          <w:lang w:eastAsia="es-ES"/>
        </w:rPr>
        <w:t>Artículo 51.</w:t>
      </w:r>
      <w:r>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w:t>
      </w:r>
      <w:r>
        <w:rPr>
          <w:rFonts w:ascii="Palatino Linotype" w:eastAsia="Times New Roman" w:hAnsi="Palatino Linotype" w:cs="Arial"/>
          <w:i/>
          <w:lang w:eastAsia="es-ES"/>
        </w:rPr>
        <w:lastRenderedPageBreak/>
        <w:t xml:space="preserve">la encargada de tramitar internamente la solicitud de información </w:t>
      </w:r>
      <w:r>
        <w:rPr>
          <w:rFonts w:ascii="Palatino Linotype" w:eastAsia="Times New Roman" w:hAnsi="Palatino Linotype" w:cs="Arial"/>
          <w:b/>
          <w:i/>
          <w:lang w:eastAsia="es-ES"/>
        </w:rPr>
        <w:t xml:space="preserve">y tendrá la responsabilidad de verificar en cada caso que la misma no sea confidencial o reservada. </w:t>
      </w:r>
      <w:r>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8E6BC4" w:rsidRDefault="008E6BC4" w:rsidP="008E6BC4">
      <w:pPr>
        <w:spacing w:after="0" w:line="240" w:lineRule="auto"/>
        <w:ind w:left="567" w:right="616"/>
        <w:jc w:val="both"/>
        <w:rPr>
          <w:rFonts w:ascii="Palatino Linotype" w:eastAsia="Times New Roman" w:hAnsi="Palatino Linotype" w:cs="Arial"/>
          <w:i/>
          <w:lang w:eastAsia="es-ES"/>
        </w:rPr>
      </w:pPr>
    </w:p>
    <w:p w:rsidR="008E6BC4" w:rsidRDefault="008E6BC4" w:rsidP="008E6BC4">
      <w:pPr>
        <w:spacing w:after="0" w:line="240" w:lineRule="auto"/>
        <w:ind w:left="567" w:right="616"/>
        <w:jc w:val="both"/>
        <w:rPr>
          <w:rFonts w:ascii="Times New Roman" w:eastAsia="Times New Roman" w:hAnsi="Times New Roman" w:cs="Arial"/>
          <w:bCs/>
          <w:noProof/>
          <w:sz w:val="24"/>
          <w:szCs w:val="24"/>
          <w:lang w:eastAsia="es-ES"/>
        </w:rPr>
      </w:pPr>
      <w:r>
        <w:rPr>
          <w:rFonts w:ascii="Palatino Linotype" w:eastAsia="Times New Roman" w:hAnsi="Palatino Linotype" w:cs="Arial"/>
          <w:b/>
          <w:i/>
          <w:lang w:eastAsia="es-ES"/>
        </w:rPr>
        <w:t>Artículo 52.</w:t>
      </w:r>
      <w:r>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Pr>
          <w:rFonts w:ascii="Palatino Linotype" w:eastAsia="Times New Roman" w:hAnsi="Palatino Linotype" w:cs="Arial"/>
          <w:bCs/>
          <w:i/>
          <w:noProof/>
          <w:lang w:eastAsia="es-ES"/>
        </w:rPr>
        <w:t>”</w:t>
      </w:r>
    </w:p>
    <w:p w:rsidR="008E6BC4" w:rsidRDefault="008E6BC4" w:rsidP="008E6BC4">
      <w:pPr>
        <w:spacing w:after="0" w:line="360" w:lineRule="auto"/>
        <w:jc w:val="both"/>
        <w:rPr>
          <w:rFonts w:ascii="Palatino Linotype" w:eastAsia="Times New Roman" w:hAnsi="Palatino Linotype" w:cs="Times New Roman"/>
          <w:sz w:val="24"/>
          <w:szCs w:val="24"/>
          <w:lang w:eastAsia="es-ES"/>
        </w:rPr>
      </w:pPr>
    </w:p>
    <w:p w:rsidR="008E6BC4" w:rsidRDefault="008E6BC4" w:rsidP="008E6BC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8E6BC4" w:rsidRDefault="008E6BC4" w:rsidP="008E6BC4">
      <w:pPr>
        <w:spacing w:after="0" w:line="240" w:lineRule="auto"/>
        <w:ind w:left="567" w:right="616"/>
        <w:jc w:val="both"/>
        <w:rPr>
          <w:rFonts w:ascii="Palatino Linotype" w:eastAsia="Times New Roman" w:hAnsi="Palatino Linotype" w:cs="Times New Roman"/>
          <w:sz w:val="24"/>
          <w:szCs w:val="24"/>
          <w:lang w:eastAsia="es-ES"/>
        </w:rPr>
      </w:pPr>
    </w:p>
    <w:p w:rsidR="008E6BC4" w:rsidRDefault="008E6BC4" w:rsidP="008E6BC4">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w:t>
      </w:r>
      <w:r>
        <w:rPr>
          <w:rFonts w:ascii="Palatino Linotype" w:eastAsia="Arial Unicode MS" w:hAnsi="Palatino Linotype" w:cs="Arial"/>
          <w:b/>
          <w:i/>
          <w:szCs w:val="24"/>
          <w:lang w:eastAsia="es-ES"/>
        </w:rPr>
        <w:t>Artículo</w:t>
      </w:r>
      <w:r>
        <w:rPr>
          <w:rFonts w:ascii="Palatino Linotype" w:eastAsia="Arial Unicode MS" w:hAnsi="Palatino Linotype" w:cs="Arial"/>
          <w:i/>
          <w:szCs w:val="24"/>
          <w:lang w:eastAsia="es-ES"/>
        </w:rPr>
        <w:t xml:space="preserve"> </w:t>
      </w:r>
      <w:r>
        <w:rPr>
          <w:rFonts w:ascii="Palatino Linotype" w:eastAsia="Arial Unicode MS" w:hAnsi="Palatino Linotype" w:cs="Arial"/>
          <w:b/>
          <w:i/>
          <w:szCs w:val="24"/>
          <w:lang w:eastAsia="es-ES"/>
        </w:rPr>
        <w:t>22</w:t>
      </w:r>
      <w:r>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8E6BC4" w:rsidRDefault="008E6BC4" w:rsidP="008E6BC4">
      <w:pPr>
        <w:spacing w:after="0" w:line="240" w:lineRule="auto"/>
        <w:ind w:left="567" w:right="616"/>
        <w:jc w:val="both"/>
        <w:rPr>
          <w:rFonts w:ascii="Palatino Linotype" w:eastAsia="Arial Unicode MS" w:hAnsi="Palatino Linotype" w:cs="Arial"/>
          <w:i/>
          <w:szCs w:val="24"/>
          <w:lang w:eastAsia="es-ES"/>
        </w:rPr>
      </w:pPr>
    </w:p>
    <w:p w:rsidR="008E6BC4" w:rsidRDefault="008E6BC4" w:rsidP="008E6BC4">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8E6BC4" w:rsidRDefault="008E6BC4" w:rsidP="008E6BC4">
      <w:pPr>
        <w:spacing w:after="0" w:line="240" w:lineRule="auto"/>
        <w:ind w:left="567" w:right="616"/>
        <w:jc w:val="both"/>
        <w:rPr>
          <w:rFonts w:ascii="Palatino Linotype" w:eastAsia="Arial Unicode MS" w:hAnsi="Palatino Linotype" w:cs="Arial"/>
          <w:i/>
          <w:szCs w:val="24"/>
          <w:lang w:eastAsia="es-ES"/>
        </w:rPr>
      </w:pPr>
    </w:p>
    <w:p w:rsidR="008E6BC4" w:rsidRDefault="008E6BC4" w:rsidP="008E6BC4">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I. Cuente con atribuciones conferidas en ley y medie el consentimiento del titular.</w:t>
      </w:r>
    </w:p>
    <w:p w:rsidR="008E6BC4" w:rsidRDefault="008E6BC4" w:rsidP="008E6BC4">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rsidR="008E6BC4" w:rsidRDefault="008E6BC4" w:rsidP="008E6BC4">
      <w:pPr>
        <w:spacing w:after="0" w:line="240" w:lineRule="auto"/>
        <w:ind w:left="567" w:right="616"/>
        <w:jc w:val="both"/>
        <w:rPr>
          <w:rFonts w:ascii="Palatino Linotype" w:eastAsia="Arial Unicode MS" w:hAnsi="Palatino Linotype" w:cs="Arial"/>
          <w:i/>
          <w:szCs w:val="24"/>
          <w:lang w:eastAsia="es-ES"/>
        </w:rPr>
      </w:pPr>
    </w:p>
    <w:p w:rsidR="008E6BC4" w:rsidRDefault="008E6BC4" w:rsidP="008E6BC4">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b/>
          <w:i/>
          <w:szCs w:val="24"/>
          <w:lang w:eastAsia="es-ES"/>
        </w:rPr>
        <w:lastRenderedPageBreak/>
        <w:t>Artículo</w:t>
      </w:r>
      <w:r>
        <w:rPr>
          <w:rFonts w:ascii="Palatino Linotype" w:eastAsia="Arial Unicode MS" w:hAnsi="Palatino Linotype" w:cs="Arial"/>
          <w:i/>
          <w:szCs w:val="24"/>
          <w:lang w:eastAsia="es-ES"/>
        </w:rPr>
        <w:t xml:space="preserve"> </w:t>
      </w:r>
      <w:r>
        <w:rPr>
          <w:rFonts w:ascii="Palatino Linotype" w:eastAsia="Arial Unicode MS" w:hAnsi="Palatino Linotype" w:cs="Arial"/>
          <w:b/>
          <w:i/>
          <w:szCs w:val="24"/>
          <w:lang w:eastAsia="es-ES"/>
        </w:rPr>
        <w:t>38</w:t>
      </w:r>
      <w:r>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8E6BC4" w:rsidRDefault="008E6BC4" w:rsidP="008E6BC4">
      <w:pPr>
        <w:spacing w:after="0" w:line="360" w:lineRule="auto"/>
        <w:jc w:val="both"/>
        <w:rPr>
          <w:rFonts w:ascii="Palatino Linotype" w:eastAsia="Arial Unicode MS" w:hAnsi="Palatino Linotype" w:cs="Times New Roman"/>
          <w:sz w:val="24"/>
          <w:szCs w:val="24"/>
          <w:lang w:eastAsia="es-ES"/>
        </w:rPr>
      </w:pPr>
    </w:p>
    <w:p w:rsidR="008E6BC4" w:rsidRDefault="008E6BC4" w:rsidP="008E6BC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8E6BC4" w:rsidRDefault="008E6BC4" w:rsidP="008E6BC4">
      <w:pPr>
        <w:spacing w:after="0" w:line="360" w:lineRule="auto"/>
        <w:jc w:val="both"/>
        <w:rPr>
          <w:rFonts w:ascii="Palatino Linotype" w:eastAsia="Times New Roman" w:hAnsi="Palatino Linotype" w:cs="Times New Roman"/>
          <w:sz w:val="24"/>
          <w:szCs w:val="24"/>
          <w:lang w:eastAsia="es-ES"/>
        </w:rPr>
      </w:pPr>
    </w:p>
    <w:p w:rsidR="008E6BC4" w:rsidRDefault="008E6BC4" w:rsidP="008E6BC4">
      <w:pPr>
        <w:spacing w:after="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Pr>
          <w:rFonts w:ascii="Palatino Linotype" w:eastAsia="Arial Unicode MS" w:hAnsi="Palatino Linotype" w:cs="Times New Roman"/>
          <w:color w:val="000000"/>
          <w:sz w:val="24"/>
          <w:szCs w:val="24"/>
          <w:lang w:eastAsia="es-MX"/>
        </w:rPr>
        <w:t>el Sujeto Obligado</w:t>
      </w:r>
      <w:r>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8E6BC4" w:rsidRDefault="008E6BC4" w:rsidP="008E6BC4">
      <w:pPr>
        <w:spacing w:after="0" w:line="360" w:lineRule="auto"/>
        <w:jc w:val="both"/>
        <w:rPr>
          <w:rFonts w:ascii="Palatino Linotype" w:eastAsia="Arial Unicode MS" w:hAnsi="Palatino Linotype" w:cs="Times New Roman"/>
          <w:sz w:val="24"/>
          <w:szCs w:val="24"/>
          <w:lang w:val="es-ES" w:eastAsia="es-ES"/>
        </w:rPr>
      </w:pPr>
    </w:p>
    <w:p w:rsidR="008E6BC4" w:rsidRPr="00B240AC" w:rsidRDefault="008E6BC4" w:rsidP="008E6BC4">
      <w:pPr>
        <w:spacing w:after="0" w:line="360" w:lineRule="auto"/>
        <w:jc w:val="both"/>
        <w:rPr>
          <w:rFonts w:ascii="Palatino Linotype" w:eastAsia="Times New Roman" w:hAnsi="Palatino Linotype" w:cs="Times New Roman"/>
          <w:i/>
          <w:lang w:eastAsia="es-MX"/>
        </w:rPr>
      </w:pPr>
      <w:r>
        <w:rPr>
          <w:rFonts w:ascii="Palatino Linotype" w:eastAsia="Arial Unicode MS" w:hAnsi="Palatino Linotype" w:cs="Times New Roman"/>
          <w:sz w:val="24"/>
          <w:szCs w:val="24"/>
          <w:lang w:val="es-ES" w:eastAsia="es-ES"/>
        </w:rPr>
        <w:t>Asimismo, de la versión pública</w:t>
      </w:r>
      <w:r w:rsidR="00B240AC">
        <w:rPr>
          <w:rFonts w:ascii="Palatino Linotype" w:eastAsia="Arial Unicode MS" w:hAnsi="Palatino Linotype" w:cs="Times New Roman"/>
          <w:sz w:val="24"/>
          <w:szCs w:val="24"/>
          <w:lang w:val="es-ES" w:eastAsia="es-ES"/>
        </w:rPr>
        <w:t xml:space="preserve"> deberá dejarse a la vista del</w:t>
      </w:r>
      <w:r>
        <w:rPr>
          <w:rFonts w:ascii="Palatino Linotype" w:eastAsia="Arial Unicode MS" w:hAnsi="Palatino Linotype" w:cs="Times New Roman"/>
          <w:sz w:val="24"/>
          <w:szCs w:val="24"/>
          <w:lang w:val="es-ES" w:eastAsia="es-ES"/>
        </w:rPr>
        <w:t xml:space="preserve"> Recurrente</w:t>
      </w:r>
      <w:r>
        <w:rPr>
          <w:rFonts w:ascii="Palatino Linotype" w:eastAsia="Arial Unicode MS" w:hAnsi="Palatino Linotype" w:cs="Times New Roman"/>
          <w:b/>
          <w:sz w:val="24"/>
          <w:szCs w:val="24"/>
          <w:lang w:val="es-ES" w:eastAsia="es-ES"/>
        </w:rPr>
        <w:t xml:space="preserve"> </w:t>
      </w:r>
      <w:r w:rsidR="00674FA3">
        <w:rPr>
          <w:rFonts w:ascii="Palatino Linotype" w:eastAsia="Arial Unicode MS" w:hAnsi="Palatino Linotype" w:cs="Times New Roman"/>
          <w:sz w:val="24"/>
          <w:szCs w:val="24"/>
          <w:lang w:val="es-ES" w:eastAsia="es-ES"/>
        </w:rPr>
        <w:t xml:space="preserve">el RFC del </w:t>
      </w:r>
      <w:r w:rsidR="00B240AC">
        <w:rPr>
          <w:rFonts w:ascii="Palatino Linotype" w:eastAsia="Arial Unicode MS" w:hAnsi="Palatino Linotype" w:cs="Times New Roman"/>
          <w:sz w:val="24"/>
          <w:szCs w:val="24"/>
          <w:lang w:val="es-ES" w:eastAsia="es-ES"/>
        </w:rPr>
        <w:t>proveedor, p</w:t>
      </w:r>
      <w:r>
        <w:rPr>
          <w:rFonts w:ascii="Palatino Linotype" w:eastAsia="Times New Roman" w:hAnsi="Palatino Linotype" w:cs="Times New Roman"/>
          <w:sz w:val="24"/>
          <w:szCs w:val="24"/>
          <w:lang w:val="es-ES_tradnl" w:eastAsia="es-ES"/>
        </w:rPr>
        <w:t xml:space="preserve">or ende, en el presente caso el Sujeto Obligado sólo podrá testar los datos referidos con antelación, clasificación que tiene que efectuar mediante las formalidades que la Ley impone, es decir, </w:t>
      </w:r>
      <w:r>
        <w:rPr>
          <w:rFonts w:ascii="Palatino Linotype" w:eastAsia="Times New Roman" w:hAnsi="Palatino Linotype" w:cs="Times New Roman"/>
          <w:sz w:val="24"/>
          <w:szCs w:val="24"/>
          <w:lang w:val="es-ES" w:eastAsia="es-ES"/>
        </w:rPr>
        <w:t>resulta necesario que el Comité de Transparencia d</w:t>
      </w:r>
      <w:r>
        <w:rPr>
          <w:rFonts w:ascii="Palatino Linotype" w:eastAsia="Times New Roman" w:hAnsi="Palatino Linotype" w:cs="Times New Roman"/>
          <w:sz w:val="24"/>
          <w:szCs w:val="24"/>
          <w:lang w:val="es-ES_tradnl" w:eastAsia="es-ES"/>
        </w:rPr>
        <w:t xml:space="preserve">el Sujeto Obligado </w:t>
      </w:r>
      <w:r>
        <w:rPr>
          <w:rFonts w:ascii="Palatino Linotype" w:eastAsia="Times New Roman" w:hAnsi="Palatino Linotype" w:cs="Times New Roman"/>
          <w:sz w:val="24"/>
          <w:szCs w:val="24"/>
          <w:lang w:val="es-ES" w:eastAsia="es-ES"/>
        </w:rPr>
        <w:t>emita el Acuerdo de Clasificación correspondiente</w:t>
      </w:r>
      <w:r>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lastRenderedPageBreak/>
        <w:t xml:space="preserve">debidamente fundado y motivado, </w:t>
      </w:r>
      <w:r>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8E6BC4" w:rsidRDefault="008E6BC4" w:rsidP="008E6BC4">
      <w:pPr>
        <w:spacing w:after="0" w:line="360" w:lineRule="auto"/>
        <w:jc w:val="both"/>
        <w:rPr>
          <w:rFonts w:ascii="Palatino Linotype" w:eastAsia="Times New Roman" w:hAnsi="Palatino Linotype" w:cs="Times New Roman"/>
          <w:sz w:val="24"/>
          <w:szCs w:val="24"/>
          <w:lang w:val="es-ES" w:eastAsia="es-ES"/>
        </w:rPr>
      </w:pPr>
    </w:p>
    <w:p w:rsidR="008E6BC4" w:rsidRDefault="008E6BC4" w:rsidP="008E6BC4">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MX"/>
        </w:rPr>
        <w:t xml:space="preserve">Por cuanto hace al </w:t>
      </w:r>
      <w:r>
        <w:rPr>
          <w:rFonts w:ascii="Palatino Linotype" w:eastAsia="Times New Roman" w:hAnsi="Palatino Linotype" w:cs="Times New Roman"/>
          <w:b/>
          <w:sz w:val="24"/>
          <w:szCs w:val="24"/>
          <w:lang w:val="es-ES" w:eastAsia="es-MX"/>
        </w:rPr>
        <w:t>Registro Federal de Contribuyentes</w:t>
      </w:r>
      <w:r>
        <w:rPr>
          <w:rFonts w:ascii="Palatino Linotype" w:eastAsia="Times New Roman" w:hAnsi="Palatino Linotype" w:cs="Times New Roman"/>
          <w:sz w:val="24"/>
          <w:szCs w:val="24"/>
          <w:lang w:val="es-ES" w:eastAsia="es-MX"/>
        </w:rPr>
        <w:t xml:space="preserve"> </w:t>
      </w:r>
      <w:r>
        <w:rPr>
          <w:rFonts w:ascii="Palatino Linotype" w:eastAsia="Times New Roman" w:hAnsi="Palatino Linotype" w:cs="Times New Roman"/>
          <w:b/>
          <w:sz w:val="24"/>
          <w:szCs w:val="24"/>
          <w:lang w:val="es-ES" w:eastAsia="es-MX"/>
        </w:rPr>
        <w:t>de las personas físicas</w:t>
      </w:r>
      <w:r>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8E6BC4" w:rsidRDefault="008E6BC4" w:rsidP="008E6BC4">
      <w:pPr>
        <w:spacing w:after="0" w:line="360" w:lineRule="auto"/>
        <w:jc w:val="both"/>
        <w:rPr>
          <w:rFonts w:ascii="Palatino Linotype" w:eastAsia="Times New Roman" w:hAnsi="Palatino Linotype" w:cs="Times New Roman"/>
          <w:sz w:val="24"/>
          <w:szCs w:val="24"/>
          <w:lang w:val="es-ES" w:eastAsia="es-MX"/>
        </w:rPr>
      </w:pPr>
    </w:p>
    <w:p w:rsidR="008E6BC4" w:rsidRDefault="008E6BC4" w:rsidP="008E6BC4">
      <w:pPr>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8E6BC4" w:rsidRDefault="008E6BC4" w:rsidP="008E6BC4">
      <w:pPr>
        <w:spacing w:after="0" w:line="360" w:lineRule="auto"/>
        <w:jc w:val="both"/>
        <w:rPr>
          <w:rFonts w:ascii="Palatino Linotype" w:eastAsia="Times New Roman" w:hAnsi="Palatino Linotype" w:cs="Times New Roman"/>
          <w:b/>
          <w:bCs/>
          <w:sz w:val="24"/>
          <w:szCs w:val="24"/>
          <w:lang w:val="es-ES" w:eastAsia="es-ES"/>
        </w:rPr>
      </w:pPr>
    </w:p>
    <w:p w:rsidR="008E6BC4" w:rsidRDefault="008E6BC4" w:rsidP="008E6BC4">
      <w:pPr>
        <w:spacing w:after="0" w:line="240" w:lineRule="auto"/>
        <w:ind w:left="567" w:right="616"/>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lastRenderedPageBreak/>
        <w:t>“</w:t>
      </w:r>
      <w:r>
        <w:rPr>
          <w:rFonts w:ascii="Palatino Linotype" w:eastAsia="Times New Roman" w:hAnsi="Palatino Linotype" w:cs="Times New Roman"/>
          <w:b/>
          <w:i/>
          <w:lang w:val="es-ES" w:eastAsia="es-ES"/>
        </w:rPr>
        <w:t>Registro Federal de Contribuyentes (RFC) de personas físicas</w:t>
      </w:r>
      <w:r>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rsidR="00D6519D" w:rsidRDefault="00D6519D" w:rsidP="008E6BC4">
      <w:pPr>
        <w:spacing w:after="0" w:line="360" w:lineRule="auto"/>
        <w:jc w:val="both"/>
        <w:rPr>
          <w:rFonts w:ascii="Palatino Linotype" w:eastAsia="Times New Roman" w:hAnsi="Palatino Linotype" w:cs="Times New Roman"/>
          <w:sz w:val="24"/>
          <w:szCs w:val="24"/>
          <w:lang w:eastAsia="es-MX"/>
        </w:rPr>
      </w:pPr>
    </w:p>
    <w:p w:rsidR="008E6BC4" w:rsidRDefault="008E6BC4" w:rsidP="008E6BC4">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Pr>
          <w:rFonts w:ascii="Palatino Linotype" w:eastAsia="Times New Roman" w:hAnsi="Palatino Linotype" w:cs="Times New Roman"/>
          <w:sz w:val="24"/>
          <w:szCs w:val="24"/>
          <w:lang w:eastAsia="es-MX"/>
        </w:rPr>
        <w:t>.</w:t>
      </w:r>
    </w:p>
    <w:p w:rsidR="008E6BC4" w:rsidRDefault="008E6BC4" w:rsidP="008E6BC4">
      <w:pPr>
        <w:spacing w:after="0" w:line="360" w:lineRule="auto"/>
        <w:jc w:val="both"/>
        <w:rPr>
          <w:rFonts w:ascii="Palatino Linotype" w:eastAsia="Times New Roman" w:hAnsi="Palatino Linotype" w:cs="Times New Roman"/>
          <w:sz w:val="24"/>
          <w:szCs w:val="24"/>
          <w:lang w:val="es-ES" w:eastAsia="es-ES"/>
        </w:rPr>
      </w:pPr>
    </w:p>
    <w:p w:rsidR="008E6BC4" w:rsidRDefault="008E6BC4" w:rsidP="008E6BC4">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val="es-ES_tradnl" w:eastAsia="es-ES"/>
        </w:rPr>
        <w:t xml:space="preserve">Por ende, en el presente caso el Sujeto Obligado debe </w:t>
      </w:r>
      <w:r>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Pr>
          <w:rFonts w:ascii="Palatino Linotype" w:eastAsia="Times New Roman" w:hAnsi="Palatino Linotype" w:cs="Times New Roman"/>
          <w:sz w:val="24"/>
          <w:szCs w:val="24"/>
          <w:lang w:val="es-ES_tradnl" w:eastAsia="es-ES"/>
        </w:rPr>
        <w:t xml:space="preserve">el Sujeto Obligado </w:t>
      </w:r>
      <w:r>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Pr>
          <w:rFonts w:ascii="Palatino Linotype" w:eastAsia="Times New Roman" w:hAnsi="Palatino Linotype" w:cs="Times New Roman"/>
          <w:sz w:val="24"/>
          <w:szCs w:val="24"/>
          <w:lang w:val="es-ES_tradnl" w:eastAsia="es-ES"/>
        </w:rPr>
        <w:t>el Sujeto Obligado</w:t>
      </w:r>
      <w:r>
        <w:rPr>
          <w:rFonts w:ascii="Palatino Linotype" w:eastAsia="Times New Roman" w:hAnsi="Palatino Linotype" w:cs="Times New Roman"/>
          <w:sz w:val="24"/>
          <w:szCs w:val="24"/>
          <w:lang w:eastAsia="es-MX"/>
        </w:rPr>
        <w:t xml:space="preserve">, teniendo el deber los primeros, de presentar ante la Unidad de Transparencia la propuesta de clasificación de la información, para que luego ésta se presente ante el Comité de Transparencia de así resultar procedente el proyecto de clasificación de la </w:t>
      </w:r>
      <w:r>
        <w:rPr>
          <w:rFonts w:ascii="Palatino Linotype" w:eastAsia="Times New Roman" w:hAnsi="Palatino Linotype" w:cs="Times New Roman"/>
          <w:sz w:val="24"/>
          <w:szCs w:val="24"/>
          <w:lang w:eastAsia="es-MX"/>
        </w:rPr>
        <w:lastRenderedPageBreak/>
        <w:t>información y finalmente sea éste último quien apruebe, modifique o revoque la clasificación de la información solicitada.</w:t>
      </w:r>
    </w:p>
    <w:p w:rsidR="008E6BC4" w:rsidRDefault="008E6BC4" w:rsidP="008E6BC4">
      <w:pPr>
        <w:spacing w:after="0" w:line="360" w:lineRule="auto"/>
        <w:jc w:val="both"/>
        <w:rPr>
          <w:rFonts w:ascii="Palatino Linotype" w:eastAsia="Times New Roman" w:hAnsi="Palatino Linotype" w:cs="Times New Roman"/>
          <w:sz w:val="24"/>
          <w:szCs w:val="24"/>
          <w:lang w:eastAsia="es-MX"/>
        </w:rPr>
      </w:pPr>
    </w:p>
    <w:p w:rsidR="008E6BC4" w:rsidRDefault="008E6BC4" w:rsidP="008E6BC4">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 xml:space="preserve">Así, es que </w:t>
      </w:r>
      <w:r>
        <w:rPr>
          <w:rFonts w:ascii="Palatino Linotype" w:eastAsia="Times New Roman" w:hAnsi="Palatino Linotype" w:cs="Times New Roman"/>
          <w:sz w:val="24"/>
          <w:szCs w:val="24"/>
          <w:lang w:val="es-ES_tradnl" w:eastAsia="es-ES"/>
        </w:rPr>
        <w:t xml:space="preserve">el Sujeto Obligado </w:t>
      </w:r>
      <w:r>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8E6BC4" w:rsidRDefault="008E6BC4" w:rsidP="008E6BC4">
      <w:pPr>
        <w:spacing w:after="0" w:line="360" w:lineRule="auto"/>
        <w:jc w:val="both"/>
        <w:rPr>
          <w:rFonts w:ascii="Palatino Linotype" w:eastAsia="Calibri" w:hAnsi="Palatino Linotype" w:cs="Times New Roman"/>
          <w:sz w:val="24"/>
          <w:szCs w:val="24"/>
          <w:lang w:eastAsia="es-ES"/>
        </w:rPr>
      </w:pPr>
    </w:p>
    <w:p w:rsidR="008E6BC4" w:rsidRDefault="008E6BC4" w:rsidP="008E6BC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8E6BC4" w:rsidRDefault="008E6BC4" w:rsidP="008E6BC4">
      <w:pPr>
        <w:spacing w:after="0" w:line="360" w:lineRule="auto"/>
        <w:jc w:val="both"/>
        <w:rPr>
          <w:rFonts w:ascii="Palatino Linotype" w:eastAsia="Times New Roman" w:hAnsi="Palatino Linotype" w:cs="Times New Roman"/>
          <w:sz w:val="24"/>
          <w:szCs w:val="24"/>
          <w:lang w:eastAsia="es-ES"/>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 xml:space="preserve">“Artículo 49. </w:t>
      </w:r>
      <w:r>
        <w:rPr>
          <w:rFonts w:ascii="Times New Roman" w:eastAsia="Times New Roman" w:hAnsi="Times New Roman" w:cs="Times New Roman"/>
          <w:i/>
          <w:lang w:eastAsia="es-MX"/>
        </w:rPr>
        <w:t>Los Comités de Transparencia tendrán las siguientes atribuciones:</w:t>
      </w: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VIII.</w:t>
      </w:r>
      <w:r>
        <w:rPr>
          <w:rFonts w:ascii="Times New Roman" w:eastAsia="Times New Roman" w:hAnsi="Times New Roman" w:cs="Times New Roman"/>
          <w:i/>
          <w:lang w:eastAsia="es-MX"/>
        </w:rPr>
        <w:t xml:space="preserve"> Aprobar, modificar o revocar la clasificación de la información;</w:t>
      </w:r>
    </w:p>
    <w:p w:rsidR="008E6BC4" w:rsidRDefault="008E6BC4" w:rsidP="008E6BC4">
      <w:pPr>
        <w:spacing w:after="0" w:line="240" w:lineRule="auto"/>
        <w:ind w:left="567" w:right="616"/>
        <w:jc w:val="both"/>
        <w:rPr>
          <w:rFonts w:ascii="Times New Roman" w:eastAsia="Times New Roman" w:hAnsi="Times New Roman" w:cs="Times New Roman"/>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Artículo 132.</w:t>
      </w:r>
      <w:r>
        <w:rPr>
          <w:rFonts w:ascii="Times New Roman" w:eastAsia="Times New Roman" w:hAnsi="Times New Roman" w:cs="Times New Roman"/>
          <w:i/>
          <w:lang w:eastAsia="es-MX"/>
        </w:rPr>
        <w:t xml:space="preserve"> La clasificación de la información se llevará a cabo en el momento en que:</w:t>
      </w: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lastRenderedPageBreak/>
        <w:t>I.</w:t>
      </w:r>
      <w:r>
        <w:rPr>
          <w:rFonts w:ascii="Times New Roman" w:eastAsia="Times New Roman" w:hAnsi="Times New Roman" w:cs="Times New Roman"/>
          <w:i/>
          <w:lang w:eastAsia="es-MX"/>
        </w:rPr>
        <w:t xml:space="preserve"> Se reciba una solicitud de acceso a la información;</w:t>
      </w: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II.</w:t>
      </w:r>
      <w:r>
        <w:rPr>
          <w:rFonts w:ascii="Times New Roman" w:eastAsia="Times New Roman" w:hAnsi="Times New Roman" w:cs="Times New Roman"/>
          <w:i/>
          <w:lang w:eastAsia="es-MX"/>
        </w:rPr>
        <w:t xml:space="preserve"> Se determine mediante resolución de autoridad competente; o</w:t>
      </w:r>
    </w:p>
    <w:p w:rsidR="008E6BC4" w:rsidRDefault="008E6BC4" w:rsidP="008E6BC4">
      <w:pPr>
        <w:spacing w:after="0" w:line="240" w:lineRule="auto"/>
        <w:ind w:left="567" w:right="616"/>
        <w:jc w:val="both"/>
        <w:rPr>
          <w:rFonts w:ascii="Times New Roman" w:eastAsia="Times New Roman" w:hAnsi="Times New Roman" w:cs="Times New Roman"/>
          <w:b/>
          <w:i/>
          <w:lang w:eastAsia="es-MX"/>
        </w:rPr>
      </w:pPr>
      <w:r>
        <w:rPr>
          <w:rFonts w:ascii="Times New Roman" w:eastAsia="Times New Roman" w:hAnsi="Times New Roman" w:cs="Times New Roman"/>
          <w:i/>
          <w:lang w:eastAsia="es-MX"/>
        </w:rPr>
        <w:t>III. Se generen versiones públicas para dar cumplimiento a las obligaciones de transparencia previstas en esta Ley.</w:t>
      </w:r>
      <w:r>
        <w:rPr>
          <w:rFonts w:ascii="Times New Roman" w:eastAsia="Times New Roman" w:hAnsi="Times New Roman" w:cs="Times New Roman"/>
          <w:b/>
          <w:i/>
          <w:lang w:eastAsia="es-MX"/>
        </w:rPr>
        <w:t>”</w:t>
      </w:r>
    </w:p>
    <w:p w:rsidR="008E6BC4" w:rsidRDefault="008E6BC4" w:rsidP="008E6BC4">
      <w:pPr>
        <w:spacing w:after="0" w:line="240" w:lineRule="auto"/>
        <w:ind w:left="567" w:right="616"/>
        <w:jc w:val="both"/>
        <w:rPr>
          <w:rFonts w:ascii="Times New Roman" w:eastAsia="Times New Roman" w:hAnsi="Times New Roman" w:cs="Times New Roman"/>
          <w:b/>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“Segundo.-</w:t>
      </w:r>
      <w:r>
        <w:rPr>
          <w:rFonts w:ascii="Times New Roman" w:eastAsia="Times New Roman" w:hAnsi="Times New Roman" w:cs="Times New Roman"/>
          <w:i/>
          <w:lang w:eastAsia="es-MX"/>
        </w:rPr>
        <w:t xml:space="preserve"> Para efectos de los presentes Lineamientos Generales, se entenderá por:</w:t>
      </w:r>
    </w:p>
    <w:p w:rsidR="008E6BC4" w:rsidRDefault="008E6BC4" w:rsidP="008E6BC4">
      <w:pPr>
        <w:spacing w:after="0" w:line="240" w:lineRule="auto"/>
        <w:ind w:left="567" w:right="616"/>
        <w:jc w:val="both"/>
        <w:rPr>
          <w:rFonts w:ascii="Times New Roman" w:eastAsia="Times New Roman" w:hAnsi="Times New Roman" w:cs="Times New Roman"/>
          <w:b/>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XVIII.</w:t>
      </w:r>
      <w:r>
        <w:rPr>
          <w:rFonts w:ascii="Times New Roman" w:eastAsia="Times New Roman" w:hAnsi="Times New Roman" w:cs="Times New Roman"/>
          <w:i/>
          <w:lang w:eastAsia="es-MX"/>
        </w:rPr>
        <w:t xml:space="preserve"> </w:t>
      </w:r>
      <w:r>
        <w:rPr>
          <w:rFonts w:ascii="Times New Roman" w:eastAsia="Times New Roman" w:hAnsi="Times New Roman" w:cs="Times New Roman"/>
          <w:b/>
          <w:i/>
          <w:lang w:eastAsia="es-MX"/>
        </w:rPr>
        <w:t>Versión pública:</w:t>
      </w:r>
      <w:r>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8E6BC4" w:rsidRDefault="008E6BC4" w:rsidP="008E6BC4">
      <w:pPr>
        <w:spacing w:after="0" w:line="240" w:lineRule="auto"/>
        <w:ind w:left="567" w:right="616"/>
        <w:jc w:val="both"/>
        <w:rPr>
          <w:rFonts w:ascii="Times New Roman" w:eastAsia="Times New Roman" w:hAnsi="Times New Roman" w:cs="Times New Roman"/>
          <w:b/>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Cuarto.</w:t>
      </w:r>
      <w:r>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rsidR="008E6BC4" w:rsidRDefault="008E6BC4" w:rsidP="008E6BC4">
      <w:pPr>
        <w:spacing w:after="0" w:line="240" w:lineRule="auto"/>
        <w:ind w:left="567" w:right="616"/>
        <w:jc w:val="both"/>
        <w:rPr>
          <w:rFonts w:ascii="Times New Roman" w:eastAsia="Times New Roman" w:hAnsi="Times New Roman" w:cs="Times New Roman"/>
          <w:b/>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Quinto.</w:t>
      </w:r>
      <w:r>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E6BC4" w:rsidRDefault="008E6BC4" w:rsidP="008E6BC4">
      <w:pPr>
        <w:spacing w:after="0" w:line="240" w:lineRule="auto"/>
        <w:ind w:left="567" w:right="616"/>
        <w:jc w:val="both"/>
        <w:rPr>
          <w:rFonts w:ascii="Times New Roman" w:eastAsia="Times New Roman" w:hAnsi="Times New Roman" w:cs="Times New Roman"/>
          <w:b/>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Sexto.</w:t>
      </w:r>
      <w:r>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rsidR="008E6BC4" w:rsidRDefault="008E6BC4" w:rsidP="008E6BC4">
      <w:pPr>
        <w:spacing w:after="0" w:line="240" w:lineRule="auto"/>
        <w:ind w:left="567" w:right="616"/>
        <w:jc w:val="both"/>
        <w:rPr>
          <w:rFonts w:ascii="Times New Roman" w:eastAsia="Times New Roman" w:hAnsi="Times New Roman" w:cs="Times New Roman"/>
          <w:b/>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Séptimo.</w:t>
      </w:r>
      <w:r>
        <w:rPr>
          <w:rFonts w:ascii="Times New Roman" w:eastAsia="Times New Roman" w:hAnsi="Times New Roman" w:cs="Times New Roman"/>
          <w:i/>
          <w:lang w:eastAsia="es-MX"/>
        </w:rPr>
        <w:t xml:space="preserve"> La clasificación de la información se llevará a cabo en el momento en que:</w:t>
      </w: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I.</w:t>
      </w:r>
      <w:r>
        <w:rPr>
          <w:rFonts w:ascii="Times New Roman" w:eastAsia="Times New Roman" w:hAnsi="Times New Roman" w:cs="Times New Roman"/>
          <w:i/>
          <w:lang w:eastAsia="es-MX"/>
        </w:rPr>
        <w:t xml:space="preserve"> Se reciba una solicitud de acceso a la información;</w:t>
      </w:r>
    </w:p>
    <w:p w:rsidR="008E6BC4" w:rsidRDefault="008E6BC4" w:rsidP="008E6BC4">
      <w:pPr>
        <w:spacing w:after="0" w:line="240" w:lineRule="auto"/>
        <w:ind w:left="567" w:right="616"/>
        <w:jc w:val="both"/>
        <w:rPr>
          <w:rFonts w:ascii="Times New Roman" w:eastAsia="Times New Roman" w:hAnsi="Times New Roman" w:cs="Times New Roman"/>
          <w:b/>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II.</w:t>
      </w:r>
      <w:r>
        <w:rPr>
          <w:rFonts w:ascii="Times New Roman" w:eastAsia="Times New Roman" w:hAnsi="Times New Roman" w:cs="Times New Roman"/>
          <w:i/>
          <w:lang w:eastAsia="es-MX"/>
        </w:rPr>
        <w:t xml:space="preserve"> Se determine mediante resolución de autoridad competente, o</w:t>
      </w:r>
    </w:p>
    <w:p w:rsidR="008E6BC4" w:rsidRDefault="008E6BC4" w:rsidP="008E6BC4">
      <w:pPr>
        <w:spacing w:after="0" w:line="240" w:lineRule="auto"/>
        <w:ind w:left="567" w:right="616"/>
        <w:jc w:val="both"/>
        <w:rPr>
          <w:rFonts w:ascii="Times New Roman" w:eastAsia="Times New Roman" w:hAnsi="Times New Roman" w:cs="Times New Roman"/>
          <w:b/>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III.</w:t>
      </w:r>
      <w:r>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rsidR="008E6BC4" w:rsidRDefault="008E6BC4" w:rsidP="008E6BC4">
      <w:pPr>
        <w:spacing w:after="0" w:line="240" w:lineRule="auto"/>
        <w:ind w:left="567" w:right="616"/>
        <w:jc w:val="both"/>
        <w:rPr>
          <w:rFonts w:ascii="Times New Roman" w:eastAsia="Times New Roman" w:hAnsi="Times New Roman" w:cs="Times New Roman"/>
          <w:b/>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Octavo.</w:t>
      </w:r>
      <w:r>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rsidR="008E6BC4" w:rsidRDefault="008E6BC4" w:rsidP="008E6BC4">
      <w:pPr>
        <w:spacing w:after="0" w:line="240" w:lineRule="auto"/>
        <w:ind w:left="567" w:right="616"/>
        <w:jc w:val="both"/>
        <w:rPr>
          <w:rFonts w:ascii="Times New Roman" w:eastAsia="Times New Roman" w:hAnsi="Times New Roman" w:cs="Times New Roman"/>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rsidR="008E6BC4" w:rsidRDefault="008E6BC4" w:rsidP="008E6BC4">
      <w:pPr>
        <w:spacing w:after="0" w:line="240" w:lineRule="auto"/>
        <w:ind w:left="567" w:right="616"/>
        <w:jc w:val="both"/>
        <w:rPr>
          <w:rFonts w:ascii="Times New Roman" w:eastAsia="Times New Roman" w:hAnsi="Times New Roman" w:cs="Times New Roman"/>
          <w:b/>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Noveno.</w:t>
      </w:r>
      <w:r>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E6BC4" w:rsidRDefault="008E6BC4" w:rsidP="008E6BC4">
      <w:pPr>
        <w:spacing w:after="0" w:line="240" w:lineRule="auto"/>
        <w:ind w:left="567" w:right="616"/>
        <w:jc w:val="both"/>
        <w:rPr>
          <w:rFonts w:ascii="Times New Roman" w:eastAsia="Times New Roman" w:hAnsi="Times New Roman" w:cs="Times New Roman"/>
          <w:b/>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Décimo.</w:t>
      </w:r>
      <w:r>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8E6BC4" w:rsidRDefault="008E6BC4" w:rsidP="008E6BC4">
      <w:pPr>
        <w:spacing w:after="0" w:line="240" w:lineRule="auto"/>
        <w:ind w:left="567" w:right="616"/>
        <w:jc w:val="both"/>
        <w:rPr>
          <w:rFonts w:ascii="Times New Roman" w:eastAsia="Times New Roman" w:hAnsi="Times New Roman" w:cs="Times New Roman"/>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rsidR="008E6BC4" w:rsidRDefault="008E6BC4" w:rsidP="008E6BC4">
      <w:pPr>
        <w:spacing w:after="0" w:line="240" w:lineRule="auto"/>
        <w:ind w:left="567" w:right="616"/>
        <w:jc w:val="both"/>
        <w:rPr>
          <w:rFonts w:ascii="Times New Roman" w:eastAsia="Times New Roman" w:hAnsi="Times New Roman" w:cs="Times New Roman"/>
          <w:b/>
          <w:i/>
          <w:lang w:eastAsia="es-MX"/>
        </w:rPr>
      </w:pPr>
    </w:p>
    <w:p w:rsidR="008E6BC4" w:rsidRDefault="008E6BC4" w:rsidP="008E6BC4">
      <w:pPr>
        <w:spacing w:after="0" w:line="240" w:lineRule="auto"/>
        <w:ind w:left="567" w:right="616"/>
        <w:jc w:val="both"/>
        <w:rPr>
          <w:rFonts w:ascii="Times New Roman" w:eastAsia="Times New Roman" w:hAnsi="Times New Roman" w:cs="Times New Roman"/>
          <w:b/>
          <w:sz w:val="24"/>
          <w:szCs w:val="24"/>
          <w:lang w:eastAsia="es-MX"/>
        </w:rPr>
      </w:pPr>
      <w:r>
        <w:rPr>
          <w:rFonts w:ascii="Times New Roman" w:eastAsia="Times New Roman" w:hAnsi="Times New Roman" w:cs="Times New Roman"/>
          <w:b/>
          <w:i/>
          <w:lang w:eastAsia="es-MX"/>
        </w:rPr>
        <w:t>Décimo primero.</w:t>
      </w:r>
      <w:r>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Pr>
          <w:rFonts w:ascii="Times New Roman" w:eastAsia="Times New Roman" w:hAnsi="Times New Roman" w:cs="Times New Roman"/>
          <w:b/>
          <w:i/>
          <w:lang w:eastAsia="es-MX"/>
        </w:rPr>
        <w:t>”</w:t>
      </w:r>
    </w:p>
    <w:p w:rsidR="008E6BC4" w:rsidRDefault="008E6BC4" w:rsidP="008E6BC4">
      <w:pPr>
        <w:spacing w:after="0" w:line="360" w:lineRule="auto"/>
        <w:jc w:val="both"/>
        <w:rPr>
          <w:rFonts w:ascii="Palatino Linotype" w:eastAsia="Times New Roman" w:hAnsi="Palatino Linotype" w:cs="Arial"/>
          <w:i/>
          <w:sz w:val="24"/>
          <w:szCs w:val="24"/>
          <w:lang w:eastAsia="es-MX"/>
        </w:rPr>
      </w:pPr>
    </w:p>
    <w:p w:rsidR="008E6BC4" w:rsidRDefault="008E6BC4" w:rsidP="008E6BC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w:t>
      </w:r>
      <w:r>
        <w:rPr>
          <w:rFonts w:ascii="Palatino Linotype" w:eastAsia="Times New Roman" w:hAnsi="Palatino Linotype" w:cs="Times New Roman"/>
          <w:sz w:val="24"/>
          <w:szCs w:val="24"/>
          <w:lang w:eastAsia="es-ES"/>
        </w:rPr>
        <w:lastRenderedPageBreak/>
        <w:t xml:space="preserve">información relacionada con la vida privada de particulares mediante el debido Acuerdo fundado y motivado en el que </w:t>
      </w:r>
      <w:r>
        <w:rPr>
          <w:rFonts w:ascii="Palatino Linotype" w:eastAsia="Times New Roman" w:hAnsi="Palatino Linotype" w:cs="Times New Roman"/>
          <w:sz w:val="24"/>
          <w:szCs w:val="24"/>
          <w:lang w:val="es-ES_tradnl" w:eastAsia="es-ES"/>
        </w:rPr>
        <w:t>el Sujeto Obligado</w:t>
      </w:r>
      <w:r>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8E6BC4" w:rsidRDefault="008E6BC4" w:rsidP="008E6BC4">
      <w:pPr>
        <w:spacing w:after="0" w:line="360" w:lineRule="auto"/>
        <w:jc w:val="both"/>
        <w:rPr>
          <w:rFonts w:ascii="Palatino Linotype" w:eastAsia="Times New Roman" w:hAnsi="Palatino Linotype" w:cs="Times New Roman"/>
          <w:sz w:val="24"/>
          <w:szCs w:val="24"/>
          <w:lang w:eastAsia="es-ES"/>
        </w:rPr>
      </w:pPr>
    </w:p>
    <w:p w:rsidR="008E6BC4" w:rsidRDefault="008E6BC4" w:rsidP="008E6BC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8E6BC4" w:rsidRDefault="008E6BC4" w:rsidP="008E6BC4">
      <w:pPr>
        <w:spacing w:after="0" w:line="360" w:lineRule="auto"/>
        <w:jc w:val="both"/>
        <w:rPr>
          <w:rFonts w:ascii="Palatino Linotype" w:eastAsia="Times New Roman" w:hAnsi="Palatino Linotype" w:cs="Times New Roman"/>
          <w:sz w:val="24"/>
          <w:szCs w:val="24"/>
          <w:lang w:eastAsia="es-ES"/>
        </w:rPr>
      </w:pPr>
    </w:p>
    <w:p w:rsidR="008E6BC4" w:rsidRDefault="008E6BC4" w:rsidP="008E6BC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8E6BC4" w:rsidRDefault="008E6BC4" w:rsidP="008E6BC4">
      <w:pPr>
        <w:spacing w:after="0" w:line="360" w:lineRule="auto"/>
        <w:jc w:val="both"/>
        <w:rPr>
          <w:rFonts w:ascii="Palatino Linotype" w:eastAsia="Times New Roman" w:hAnsi="Palatino Linotype" w:cs="Times New Roman"/>
          <w:sz w:val="24"/>
          <w:szCs w:val="24"/>
          <w:lang w:eastAsia="es-ES"/>
        </w:rPr>
      </w:pPr>
    </w:p>
    <w:p w:rsidR="008E6BC4" w:rsidRDefault="008E6BC4" w:rsidP="008E6BC4">
      <w:pPr>
        <w:spacing w:after="0" w:line="240" w:lineRule="auto"/>
        <w:ind w:left="567" w:right="616"/>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 xml:space="preserve">FUNDAMENTACIÓN Y MOTIVACIÓN. </w:t>
      </w:r>
      <w:r>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8E6BC4" w:rsidRDefault="008E6BC4" w:rsidP="008E6BC4">
      <w:pPr>
        <w:spacing w:after="0" w:line="360" w:lineRule="auto"/>
        <w:jc w:val="both"/>
        <w:rPr>
          <w:rFonts w:ascii="Palatino Linotype" w:eastAsia="Times New Roman" w:hAnsi="Palatino Linotype" w:cs="Times New Roman"/>
          <w:sz w:val="24"/>
          <w:szCs w:val="24"/>
          <w:lang w:eastAsia="es-ES"/>
        </w:rPr>
      </w:pPr>
    </w:p>
    <w:p w:rsidR="008E6BC4" w:rsidRDefault="008E6BC4" w:rsidP="008E6BC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B240AC" w:rsidRDefault="00B240AC" w:rsidP="008E6BC4">
      <w:pPr>
        <w:spacing w:after="0" w:line="360" w:lineRule="auto"/>
        <w:jc w:val="both"/>
        <w:rPr>
          <w:rFonts w:ascii="Palatino Linotype" w:eastAsia="Times New Roman" w:hAnsi="Palatino Linotype" w:cs="Times New Roman"/>
          <w:sz w:val="24"/>
          <w:szCs w:val="24"/>
          <w:lang w:eastAsia="es-ES"/>
        </w:rPr>
      </w:pPr>
    </w:p>
    <w:p w:rsidR="008E6BC4" w:rsidRDefault="008E6BC4" w:rsidP="008E6BC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rsidR="008E6BC4" w:rsidRDefault="008E6BC4" w:rsidP="008E6BC4">
      <w:pPr>
        <w:spacing w:after="0" w:line="360" w:lineRule="auto"/>
        <w:jc w:val="both"/>
        <w:rPr>
          <w:rFonts w:ascii="Palatino Linotype" w:eastAsia="Times New Roman" w:hAnsi="Palatino Linotype" w:cs="Times New Roman"/>
          <w:sz w:val="24"/>
          <w:szCs w:val="24"/>
          <w:lang w:eastAsia="es-ES"/>
        </w:rPr>
      </w:pPr>
    </w:p>
    <w:p w:rsidR="008E6BC4" w:rsidRDefault="008E6BC4" w:rsidP="008E6BC4">
      <w:pPr>
        <w:spacing w:after="0" w:line="240" w:lineRule="auto"/>
        <w:ind w:left="567" w:right="616"/>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8E6BC4" w:rsidRDefault="008E6BC4" w:rsidP="008E6BC4">
      <w:pPr>
        <w:spacing w:after="0" w:line="360" w:lineRule="auto"/>
        <w:jc w:val="both"/>
        <w:rPr>
          <w:rFonts w:ascii="Palatino Linotype" w:eastAsia="Times New Roman" w:hAnsi="Palatino Linotype" w:cs="Times New Roman"/>
          <w:sz w:val="24"/>
          <w:szCs w:val="24"/>
          <w:lang w:eastAsia="es-ES"/>
        </w:rPr>
      </w:pPr>
    </w:p>
    <w:p w:rsidR="008E6BC4" w:rsidRDefault="008E6BC4" w:rsidP="008E6BC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8E6BC4" w:rsidRDefault="008E6BC4" w:rsidP="008E6BC4">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Pr>
          <w:rFonts w:ascii="Palatino Linotype" w:eastAsia="Times New Roman" w:hAnsi="Palatino Linotype" w:cs="Times New Roman"/>
          <w:b/>
          <w:sz w:val="24"/>
          <w:szCs w:val="24"/>
          <w:lang w:val="es-ES" w:eastAsia="es-ES"/>
        </w:rPr>
        <w:t xml:space="preserve"> </w:t>
      </w:r>
      <w:r>
        <w:rPr>
          <w:rFonts w:ascii="Palatino Linotype" w:eastAsia="Times New Roman" w:hAnsi="Palatino Linotype" w:cs="Times New Roman"/>
          <w:sz w:val="24"/>
          <w:szCs w:val="24"/>
          <w:lang w:val="es-ES" w:eastAsia="es-ES"/>
        </w:rPr>
        <w:t xml:space="preserve">que la sustente, en el que se expongan los fundamentos y razones que llevaron a la autoridad </w:t>
      </w:r>
      <w:r>
        <w:rPr>
          <w:rFonts w:ascii="Palatino Linotype" w:eastAsia="Times New Roman" w:hAnsi="Palatino Linotype" w:cs="Times New Roman"/>
          <w:sz w:val="24"/>
          <w:szCs w:val="24"/>
          <w:lang w:val="es-ES" w:eastAsia="es-ES"/>
        </w:rPr>
        <w:lastRenderedPageBreak/>
        <w:t>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E6BC4" w:rsidRDefault="008E6BC4" w:rsidP="008E6BC4">
      <w:pPr>
        <w:pStyle w:val="Sinespaciado"/>
        <w:spacing w:line="360" w:lineRule="auto"/>
        <w:jc w:val="both"/>
        <w:rPr>
          <w:rFonts w:ascii="Palatino Linotype" w:hAnsi="Palatino Linotype"/>
        </w:rPr>
      </w:pPr>
    </w:p>
    <w:p w:rsidR="008E6BC4" w:rsidRPr="008E6BC4" w:rsidRDefault="008E6BC4" w:rsidP="008E6BC4">
      <w:pPr>
        <w:pStyle w:val="Sinespaciado"/>
        <w:spacing w:line="360" w:lineRule="auto"/>
        <w:jc w:val="both"/>
        <w:rPr>
          <w:rFonts w:ascii="Palatino Linotype" w:hAnsi="Palatino Linotype" w:cs="Arial"/>
          <w:bCs/>
          <w:sz w:val="24"/>
        </w:rPr>
      </w:pPr>
      <w:r>
        <w:rPr>
          <w:rFonts w:ascii="Palatino Linotype" w:hAnsi="Palatino Linotype" w:cs="Arial"/>
          <w:bCs/>
          <w:sz w:val="24"/>
        </w:rPr>
        <w:t xml:space="preserve">En ese tenor y de acuerdo a la interpretación en el orden administrativo que le da la Ley de la materia a este Instituto específicamente, en términos de su artículo 36, fracción I, </w:t>
      </w:r>
      <w:r>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bCs/>
          <w:sz w:val="24"/>
        </w:rPr>
        <w:t>a efecto de salvaguardar el derecho de acceso a la información pública consignado a favor del Recurrente.</w:t>
      </w:r>
    </w:p>
    <w:p w:rsidR="00787C6A" w:rsidRDefault="00787C6A" w:rsidP="00787C6A">
      <w:pPr>
        <w:autoSpaceDE w:val="0"/>
        <w:autoSpaceDN w:val="0"/>
        <w:adjustRightInd w:val="0"/>
        <w:spacing w:before="240" w:after="240" w:line="360" w:lineRule="auto"/>
        <w:jc w:val="both"/>
        <w:rPr>
          <w:rFonts w:ascii="Palatino Linotype" w:eastAsia="Calibri" w:hAnsi="Palatino Linotype" w:cs="Arial"/>
          <w:sz w:val="24"/>
        </w:rPr>
      </w:pPr>
      <w:r w:rsidRPr="007C5203">
        <w:rPr>
          <w:rFonts w:ascii="Palatino Linotype" w:eastAsia="Calibri" w:hAnsi="Palatino Linotype" w:cs="Arial"/>
          <w:sz w:val="24"/>
        </w:rPr>
        <w:t xml:space="preserve">Así, con </w:t>
      </w:r>
      <w:r w:rsidRPr="007C5203">
        <w:rPr>
          <w:rFonts w:ascii="Palatino Linotype" w:hAnsi="Palatino Linotype" w:cs="Arial"/>
          <w:sz w:val="24"/>
        </w:rPr>
        <w:t>fundamento</w:t>
      </w:r>
      <w:r w:rsidRPr="007C5203">
        <w:rPr>
          <w:rFonts w:ascii="Palatino Linotype" w:eastAsia="Calibri" w:hAnsi="Palatino Linotype" w:cs="Arial"/>
          <w:sz w:val="24"/>
        </w:rPr>
        <w:t xml:space="preserve"> en lo prescrito en los artículos 5 párrafos </w:t>
      </w:r>
      <w:r w:rsidRPr="007C5203">
        <w:rPr>
          <w:rFonts w:ascii="Palatino Linotype" w:hAnsi="Palatino Linotype"/>
          <w:sz w:val="24"/>
        </w:rPr>
        <w:t>vigésimo, vigésimo primero y vigésimo segundo, fracciones IV y V</w:t>
      </w:r>
      <w:r w:rsidRPr="007C5203">
        <w:rPr>
          <w:rFonts w:ascii="Palatino Linotype" w:eastAsia="Calibri" w:hAnsi="Palatino Linotype" w:cs="Arial"/>
          <w:sz w:val="24"/>
        </w:rPr>
        <w:t xml:space="preserve"> de la Constitución Política del Estado Libre y Soberano de México; </w:t>
      </w:r>
      <w:r w:rsidRPr="007C5203">
        <w:rPr>
          <w:rFonts w:ascii="Palatino Linotype" w:hAnsi="Palatino Linotype"/>
          <w:sz w:val="24"/>
        </w:rPr>
        <w:t>2, fracción II, 9, 29, 36, fracciones I y II, 176, 178, 179, 181, 185, fracción I, 186 y 188</w:t>
      </w:r>
      <w:r w:rsidRPr="007C5203">
        <w:rPr>
          <w:rFonts w:ascii="Palatino Linotype" w:eastAsia="Calibri" w:hAnsi="Palatino Linotype" w:cs="Arial"/>
          <w:sz w:val="24"/>
        </w:rPr>
        <w:t xml:space="preserve"> de la Ley de Transparencia y Acceso a la Información Pública del Estado de México y Municipios, este Pleno:</w:t>
      </w:r>
    </w:p>
    <w:p w:rsidR="00774E00" w:rsidRPr="007C5203" w:rsidRDefault="00774E00" w:rsidP="00787C6A">
      <w:pPr>
        <w:autoSpaceDE w:val="0"/>
        <w:autoSpaceDN w:val="0"/>
        <w:adjustRightInd w:val="0"/>
        <w:spacing w:before="240" w:after="240" w:line="360" w:lineRule="auto"/>
        <w:jc w:val="both"/>
        <w:rPr>
          <w:rFonts w:ascii="Palatino Linotype" w:eastAsia="Calibri" w:hAnsi="Palatino Linotype" w:cs="Arial"/>
          <w:sz w:val="24"/>
        </w:rPr>
      </w:pPr>
    </w:p>
    <w:p w:rsidR="0034713F" w:rsidRPr="003D584C" w:rsidRDefault="0034713F" w:rsidP="0034713F">
      <w:pPr>
        <w:tabs>
          <w:tab w:val="left" w:pos="709"/>
        </w:tabs>
        <w:spacing w:before="240" w:line="360" w:lineRule="auto"/>
        <w:ind w:right="51"/>
        <w:jc w:val="both"/>
        <w:rPr>
          <w:rFonts w:ascii="Palatino Linotype" w:hAnsi="Palatino Linotype"/>
          <w:sz w:val="24"/>
          <w:szCs w:val="24"/>
        </w:rPr>
      </w:pPr>
      <w:r w:rsidRPr="003D584C">
        <w:rPr>
          <w:rFonts w:ascii="Palatino Linotype" w:hAnsi="Palatino Linotype"/>
          <w:sz w:val="24"/>
          <w:szCs w:val="24"/>
        </w:rPr>
        <w:t>Por lo antes expuesto y fundado es de resolverse y;</w:t>
      </w:r>
    </w:p>
    <w:p w:rsidR="00BB536F" w:rsidRDefault="00BB536F" w:rsidP="00C24FAE">
      <w:pPr>
        <w:pStyle w:val="Sinespaciado"/>
        <w:spacing w:line="360" w:lineRule="auto"/>
        <w:jc w:val="center"/>
        <w:rPr>
          <w:rFonts w:ascii="Palatino Linotype" w:hAnsi="Palatino Linotype"/>
          <w:b/>
          <w:bCs/>
          <w:spacing w:val="60"/>
          <w:sz w:val="14"/>
          <w:szCs w:val="28"/>
          <w:lang w:val="es-ES_tradnl"/>
        </w:rPr>
      </w:pPr>
    </w:p>
    <w:p w:rsidR="00774E00" w:rsidRPr="0066612D" w:rsidRDefault="00774E00" w:rsidP="00C24FAE">
      <w:pPr>
        <w:pStyle w:val="Sinespaciado"/>
        <w:spacing w:line="360" w:lineRule="auto"/>
        <w:jc w:val="center"/>
        <w:rPr>
          <w:rFonts w:ascii="Palatino Linotype" w:hAnsi="Palatino Linotype"/>
          <w:b/>
          <w:bCs/>
          <w:spacing w:val="60"/>
          <w:sz w:val="14"/>
          <w:szCs w:val="28"/>
          <w:lang w:val="es-ES_tradnl"/>
        </w:rPr>
      </w:pPr>
    </w:p>
    <w:p w:rsidR="00C24FAE" w:rsidRDefault="00C24FAE" w:rsidP="00C24FAE">
      <w:pPr>
        <w:pStyle w:val="Sinespaciado"/>
        <w:spacing w:line="360" w:lineRule="auto"/>
        <w:jc w:val="center"/>
        <w:rPr>
          <w:rFonts w:ascii="Palatino Linotype" w:hAnsi="Palatino Linotype"/>
          <w:b/>
          <w:bCs/>
          <w:spacing w:val="60"/>
          <w:sz w:val="28"/>
          <w:szCs w:val="28"/>
          <w:lang w:val="es-ES_tradnl"/>
        </w:rPr>
      </w:pPr>
      <w:r w:rsidRPr="00203FF2">
        <w:rPr>
          <w:rFonts w:ascii="Palatino Linotype" w:hAnsi="Palatino Linotype"/>
          <w:b/>
          <w:bCs/>
          <w:spacing w:val="60"/>
          <w:sz w:val="28"/>
          <w:szCs w:val="28"/>
          <w:lang w:val="es-ES_tradnl"/>
        </w:rPr>
        <w:lastRenderedPageBreak/>
        <w:t>RESUELVE</w:t>
      </w:r>
    </w:p>
    <w:p w:rsidR="0034713F" w:rsidRPr="0066612D" w:rsidRDefault="0034713F" w:rsidP="00C24FAE">
      <w:pPr>
        <w:pStyle w:val="Sinespaciado"/>
        <w:spacing w:line="360" w:lineRule="auto"/>
        <w:jc w:val="center"/>
        <w:rPr>
          <w:rFonts w:ascii="Palatino Linotype" w:hAnsi="Palatino Linotype"/>
          <w:b/>
          <w:bCs/>
          <w:spacing w:val="60"/>
          <w:sz w:val="14"/>
          <w:szCs w:val="28"/>
          <w:lang w:val="es-ES_tradnl"/>
        </w:rPr>
      </w:pPr>
    </w:p>
    <w:p w:rsidR="00C24FAE" w:rsidRPr="00D22D43" w:rsidRDefault="00C24FAE" w:rsidP="00C24FAE">
      <w:pPr>
        <w:pStyle w:val="Sinespaciado"/>
        <w:spacing w:line="360" w:lineRule="auto"/>
        <w:jc w:val="both"/>
        <w:rPr>
          <w:rFonts w:ascii="Palatino Linotype" w:hAnsi="Palatino Linotype"/>
          <w:bCs/>
          <w:sz w:val="24"/>
          <w:lang w:eastAsia="es-MX"/>
        </w:rPr>
      </w:pPr>
      <w:r w:rsidRPr="00D22D43">
        <w:rPr>
          <w:rFonts w:ascii="Palatino Linotype" w:hAnsi="Palatino Linotype"/>
          <w:b/>
          <w:sz w:val="24"/>
        </w:rPr>
        <w:t>PRIMERO.</w:t>
      </w:r>
      <w:r w:rsidRPr="00D22D43">
        <w:rPr>
          <w:rFonts w:ascii="Palatino Linotype" w:hAnsi="Palatino Linotype"/>
          <w:sz w:val="24"/>
        </w:rPr>
        <w:t xml:space="preserve"> Resultan fundados los motivos de in</w:t>
      </w:r>
      <w:r w:rsidR="00F0032B">
        <w:rPr>
          <w:rFonts w:ascii="Palatino Linotype" w:hAnsi="Palatino Linotype"/>
          <w:sz w:val="24"/>
        </w:rPr>
        <w:t xml:space="preserve">conformidad hechos valer por El </w:t>
      </w:r>
      <w:r w:rsidRPr="00D22D43">
        <w:rPr>
          <w:rFonts w:ascii="Palatino Linotype" w:hAnsi="Palatino Linotype"/>
          <w:sz w:val="24"/>
        </w:rPr>
        <w:t xml:space="preserve">Recurrente, en términos del </w:t>
      </w:r>
      <w:r w:rsidRPr="00130ED1">
        <w:rPr>
          <w:rFonts w:ascii="Palatino Linotype" w:hAnsi="Palatino Linotype"/>
          <w:bCs/>
          <w:sz w:val="24"/>
          <w:lang w:eastAsia="es-MX"/>
        </w:rPr>
        <w:t>Considerando</w:t>
      </w:r>
      <w:r w:rsidRPr="00D22D43">
        <w:rPr>
          <w:rFonts w:ascii="Palatino Linotype" w:hAnsi="Palatino Linotype"/>
          <w:b/>
          <w:bCs/>
          <w:sz w:val="24"/>
          <w:lang w:eastAsia="es-MX"/>
        </w:rPr>
        <w:t xml:space="preserve"> CUARTO</w:t>
      </w:r>
      <w:r w:rsidRPr="00D22D43">
        <w:rPr>
          <w:rFonts w:ascii="Palatino Linotype" w:hAnsi="Palatino Linotype"/>
          <w:bCs/>
          <w:sz w:val="24"/>
          <w:lang w:eastAsia="es-MX"/>
        </w:rPr>
        <w:t xml:space="preserve"> de la presente resolución</w:t>
      </w:r>
      <w:r w:rsidR="00B240AC">
        <w:rPr>
          <w:rFonts w:ascii="Palatino Linotype" w:hAnsi="Palatino Linotype"/>
          <w:bCs/>
          <w:sz w:val="24"/>
          <w:lang w:eastAsia="es-MX"/>
        </w:rPr>
        <w:t>.</w:t>
      </w:r>
    </w:p>
    <w:p w:rsidR="0034713F" w:rsidRPr="00693938" w:rsidRDefault="0034713F" w:rsidP="00C24FAE">
      <w:pPr>
        <w:pStyle w:val="Sinespaciado"/>
        <w:spacing w:line="360" w:lineRule="auto"/>
        <w:jc w:val="both"/>
        <w:rPr>
          <w:rFonts w:ascii="Palatino Linotype" w:hAnsi="Palatino Linotype"/>
          <w:b/>
          <w:sz w:val="20"/>
        </w:rPr>
      </w:pPr>
    </w:p>
    <w:p w:rsidR="00C24FAE" w:rsidRDefault="00C24FAE" w:rsidP="00C24FAE">
      <w:pPr>
        <w:pStyle w:val="Sinespaciado"/>
        <w:spacing w:line="360" w:lineRule="auto"/>
        <w:jc w:val="both"/>
        <w:rPr>
          <w:rFonts w:ascii="Palatino Linotype" w:hAnsi="Palatino Linotype"/>
          <w:sz w:val="24"/>
          <w:lang w:val="es-ES_tradnl"/>
        </w:rPr>
      </w:pPr>
      <w:r w:rsidRPr="00D22D43">
        <w:rPr>
          <w:rFonts w:ascii="Palatino Linotype" w:hAnsi="Palatino Linotype"/>
          <w:b/>
          <w:sz w:val="24"/>
        </w:rPr>
        <w:t>SEGUNDO</w:t>
      </w:r>
      <w:r w:rsidRPr="00D22D43">
        <w:rPr>
          <w:rFonts w:ascii="Palatino Linotype" w:hAnsi="Palatino Linotype"/>
          <w:bCs/>
          <w:sz w:val="24"/>
          <w:lang w:eastAsia="es-MX"/>
        </w:rPr>
        <w:t xml:space="preserve">. </w:t>
      </w:r>
      <w:r w:rsidRPr="00D22D43">
        <w:rPr>
          <w:rFonts w:ascii="Palatino Linotype" w:hAnsi="Palatino Linotype"/>
          <w:sz w:val="24"/>
          <w:lang w:val="es-ES_tradnl"/>
        </w:rPr>
        <w:t xml:space="preserve">Se </w:t>
      </w:r>
      <w:r w:rsidRPr="00D22D43">
        <w:rPr>
          <w:rFonts w:ascii="Palatino Linotype" w:hAnsi="Palatino Linotype"/>
          <w:b/>
          <w:sz w:val="24"/>
          <w:lang w:val="es-ES_tradnl"/>
        </w:rPr>
        <w:t>ORDENA</w:t>
      </w:r>
      <w:r w:rsidRPr="00D22D43">
        <w:rPr>
          <w:rFonts w:ascii="Palatino Linotype" w:hAnsi="Palatino Linotype"/>
          <w:sz w:val="24"/>
          <w:lang w:val="es-ES_tradnl"/>
        </w:rPr>
        <w:t xml:space="preserve"> al Sujeto Obligado que atienda la solicitud de información  número </w:t>
      </w:r>
      <w:r w:rsidR="003500CC" w:rsidRPr="003500CC">
        <w:rPr>
          <w:rFonts w:ascii="Palatino Linotype" w:hAnsi="Palatino Linotype"/>
          <w:b/>
          <w:bCs/>
          <w:sz w:val="24"/>
        </w:rPr>
        <w:t>00029/TENAAIR/IP/2019</w:t>
      </w:r>
      <w:r w:rsidRPr="00D22D43">
        <w:rPr>
          <w:rFonts w:ascii="Palatino Linotype" w:hAnsi="Palatino Linotype"/>
          <w:sz w:val="24"/>
          <w:lang w:val="es-ES_tradnl"/>
        </w:rPr>
        <w:t xml:space="preserve"> </w:t>
      </w:r>
      <w:r w:rsidR="0066612D">
        <w:rPr>
          <w:rFonts w:ascii="Palatino Linotype" w:hAnsi="Palatino Linotype"/>
          <w:sz w:val="24"/>
          <w:lang w:val="es-ES_tradnl"/>
        </w:rPr>
        <w:t>y haga entrega en versión pública</w:t>
      </w:r>
      <w:r w:rsidR="003500CC">
        <w:rPr>
          <w:rFonts w:ascii="Palatino Linotype" w:hAnsi="Palatino Linotype"/>
          <w:sz w:val="24"/>
          <w:lang w:val="es-ES_tradnl"/>
        </w:rPr>
        <w:t xml:space="preserve"> a El Recurrente a través del SAIMEX</w:t>
      </w:r>
      <w:r w:rsidR="0066612D">
        <w:rPr>
          <w:rFonts w:ascii="Palatino Linotype" w:hAnsi="Palatino Linotype"/>
          <w:sz w:val="24"/>
          <w:lang w:val="es-ES_tradnl"/>
        </w:rPr>
        <w:t>,</w:t>
      </w:r>
      <w:r w:rsidRPr="00D22D43">
        <w:rPr>
          <w:rFonts w:ascii="Palatino Linotype" w:hAnsi="Palatino Linotype"/>
          <w:sz w:val="24"/>
          <w:lang w:val="es-ES_tradnl"/>
        </w:rPr>
        <w:t xml:space="preserve"> en términos del </w:t>
      </w:r>
      <w:r w:rsidRPr="005D517E">
        <w:rPr>
          <w:rFonts w:ascii="Palatino Linotype" w:hAnsi="Palatino Linotype"/>
          <w:sz w:val="24"/>
          <w:lang w:val="es-ES_tradnl"/>
        </w:rPr>
        <w:t>Considerando</w:t>
      </w:r>
      <w:r w:rsidRPr="00D22D43">
        <w:rPr>
          <w:rFonts w:ascii="Palatino Linotype" w:hAnsi="Palatino Linotype"/>
          <w:b/>
          <w:sz w:val="24"/>
          <w:lang w:val="es-ES_tradnl"/>
        </w:rPr>
        <w:t xml:space="preserve"> CUARTO</w:t>
      </w:r>
      <w:r w:rsidR="00F0032B">
        <w:rPr>
          <w:rFonts w:ascii="Palatino Linotype" w:hAnsi="Palatino Linotype"/>
          <w:sz w:val="24"/>
          <w:lang w:val="es-ES_tradnl"/>
        </w:rPr>
        <w:t xml:space="preserve">, </w:t>
      </w:r>
      <w:r w:rsidRPr="00D22D43">
        <w:rPr>
          <w:rFonts w:ascii="Palatino Linotype" w:hAnsi="Palatino Linotype"/>
          <w:sz w:val="24"/>
          <w:lang w:val="es-ES_tradnl"/>
        </w:rPr>
        <w:t>del</w:t>
      </w:r>
      <w:r w:rsidR="003500CC">
        <w:rPr>
          <w:rFonts w:ascii="Palatino Linotype" w:hAnsi="Palatino Linotype"/>
          <w:sz w:val="24"/>
          <w:lang w:val="es-ES_tradnl"/>
        </w:rPr>
        <w:t xml:space="preserve"> o de los </w:t>
      </w:r>
      <w:r w:rsidRPr="00D22D43">
        <w:rPr>
          <w:rFonts w:ascii="Palatino Linotype" w:hAnsi="Palatino Linotype"/>
          <w:sz w:val="24"/>
          <w:lang w:val="es-ES_tradnl"/>
        </w:rPr>
        <w:t>documentos en donde conste lo</w:t>
      </w:r>
      <w:r w:rsidR="00D22D43">
        <w:rPr>
          <w:rFonts w:ascii="Palatino Linotype" w:hAnsi="Palatino Linotype"/>
          <w:sz w:val="24"/>
          <w:lang w:val="es-ES_tradnl"/>
        </w:rPr>
        <w:t xml:space="preserve"> siguiente:</w:t>
      </w:r>
    </w:p>
    <w:p w:rsidR="0066612D" w:rsidRPr="0066612D" w:rsidRDefault="0066612D" w:rsidP="00C24FAE">
      <w:pPr>
        <w:pStyle w:val="Sinespaciado"/>
        <w:spacing w:line="360" w:lineRule="auto"/>
        <w:jc w:val="both"/>
        <w:rPr>
          <w:rFonts w:ascii="Palatino Linotype" w:hAnsi="Palatino Linotype"/>
          <w:sz w:val="16"/>
          <w:lang w:val="es-ES_tradnl"/>
        </w:rPr>
      </w:pPr>
    </w:p>
    <w:p w:rsidR="003500CC" w:rsidRPr="005A1CD8" w:rsidRDefault="003500CC" w:rsidP="003500CC">
      <w:pPr>
        <w:pStyle w:val="Prrafodelista"/>
        <w:numPr>
          <w:ilvl w:val="0"/>
          <w:numId w:val="21"/>
        </w:numPr>
        <w:autoSpaceDE w:val="0"/>
        <w:autoSpaceDN w:val="0"/>
        <w:adjustRightInd w:val="0"/>
        <w:spacing w:line="360" w:lineRule="auto"/>
        <w:jc w:val="both"/>
        <w:rPr>
          <w:rFonts w:ascii="Palatino Linotype" w:hAnsi="Palatino Linotype" w:cs="Arial"/>
        </w:rPr>
      </w:pPr>
      <w:r w:rsidRPr="005A1CD8">
        <w:rPr>
          <w:rFonts w:ascii="Palatino Linotype" w:hAnsi="Palatino Linotype" w:cs="Arial"/>
        </w:rPr>
        <w:t>La factura de compra del tractor</w:t>
      </w:r>
      <w:r w:rsidR="005A1CD8" w:rsidRPr="005A1CD8">
        <w:rPr>
          <w:rFonts w:ascii="Palatino Linotype" w:hAnsi="Palatino Linotype" w:cs="Arial"/>
        </w:rPr>
        <w:t xml:space="preserve"> </w:t>
      </w:r>
      <w:r w:rsidRPr="005A1CD8">
        <w:rPr>
          <w:rFonts w:ascii="Palatino Linotype" w:hAnsi="Palatino Linotype" w:cs="Arial"/>
        </w:rPr>
        <w:t xml:space="preserve">remitida en alcance al informe justificado. </w:t>
      </w:r>
    </w:p>
    <w:p w:rsidR="00BB536F" w:rsidRPr="005A1CD8" w:rsidRDefault="00C66F1C" w:rsidP="00C66F1C">
      <w:pPr>
        <w:pStyle w:val="Prrafodelista"/>
        <w:numPr>
          <w:ilvl w:val="0"/>
          <w:numId w:val="21"/>
        </w:numPr>
        <w:autoSpaceDE w:val="0"/>
        <w:autoSpaceDN w:val="0"/>
        <w:adjustRightInd w:val="0"/>
        <w:spacing w:line="360" w:lineRule="auto"/>
        <w:jc w:val="both"/>
        <w:rPr>
          <w:rFonts w:ascii="Palatino Linotype" w:hAnsi="Palatino Linotype" w:cs="Arial"/>
        </w:rPr>
      </w:pPr>
      <w:r w:rsidRPr="005A1CD8">
        <w:rPr>
          <w:rFonts w:ascii="Palatino Linotype" w:hAnsi="Palatino Linotype" w:cs="Arial"/>
        </w:rPr>
        <w:t xml:space="preserve">El </w:t>
      </w:r>
      <w:r w:rsidR="003500CC" w:rsidRPr="005A1CD8">
        <w:rPr>
          <w:rFonts w:ascii="Palatino Linotype" w:hAnsi="Palatino Linotype" w:cs="Arial"/>
        </w:rPr>
        <w:t xml:space="preserve">soporte </w:t>
      </w:r>
      <w:r w:rsidRPr="005A1CD8">
        <w:rPr>
          <w:rFonts w:ascii="Palatino Linotype" w:hAnsi="Palatino Linotype" w:cs="Arial"/>
        </w:rPr>
        <w:t>documental del procedimiento de</w:t>
      </w:r>
      <w:r w:rsidR="0084762B" w:rsidRPr="005A1CD8">
        <w:rPr>
          <w:rFonts w:ascii="Palatino Linotype" w:hAnsi="Palatino Linotype" w:cs="Arial"/>
        </w:rPr>
        <w:t xml:space="preserve"> compra ya sea</w:t>
      </w:r>
      <w:r w:rsidRPr="005A1CD8">
        <w:rPr>
          <w:rFonts w:ascii="Palatino Linotype" w:hAnsi="Palatino Linotype" w:cs="Arial"/>
        </w:rPr>
        <w:t xml:space="preserve"> adjudicaci</w:t>
      </w:r>
      <w:r w:rsidR="0084762B" w:rsidRPr="005A1CD8">
        <w:rPr>
          <w:rFonts w:ascii="Palatino Linotype" w:hAnsi="Palatino Linotype" w:cs="Arial"/>
        </w:rPr>
        <w:t>ón directa, invitación restringida o de cualquier naturaleza</w:t>
      </w:r>
      <w:r w:rsidR="005A1CD8" w:rsidRPr="005A1CD8">
        <w:rPr>
          <w:rFonts w:ascii="Palatino Linotype" w:hAnsi="Palatino Linotype" w:cs="Arial"/>
        </w:rPr>
        <w:t>,</w:t>
      </w:r>
      <w:r w:rsidR="0084762B" w:rsidRPr="005A1CD8">
        <w:rPr>
          <w:rFonts w:ascii="Palatino Linotype" w:hAnsi="Palatino Linotype" w:cs="Arial"/>
        </w:rPr>
        <w:t xml:space="preserve"> referente al punto anterior. </w:t>
      </w:r>
    </w:p>
    <w:p w:rsidR="003500CC" w:rsidRPr="00BB536F" w:rsidRDefault="003500CC" w:rsidP="003500CC">
      <w:pPr>
        <w:pStyle w:val="Sinespaciado"/>
        <w:spacing w:line="360" w:lineRule="auto"/>
        <w:ind w:left="720"/>
        <w:jc w:val="both"/>
        <w:rPr>
          <w:rFonts w:ascii="Palatino Linotype" w:hAnsi="Palatino Linotype"/>
          <w:b/>
          <w:sz w:val="18"/>
        </w:rPr>
      </w:pPr>
    </w:p>
    <w:p w:rsidR="0066612D" w:rsidRPr="0066612D" w:rsidRDefault="0066612D" w:rsidP="0066612D">
      <w:pPr>
        <w:pStyle w:val="Sinespaciado"/>
        <w:spacing w:line="360" w:lineRule="auto"/>
        <w:jc w:val="both"/>
        <w:rPr>
          <w:rFonts w:ascii="Palatino Linotype" w:hAnsi="Palatino Linotype" w:cs="Arial"/>
          <w:sz w:val="24"/>
        </w:rPr>
      </w:pPr>
      <w:r w:rsidRPr="0066612D">
        <w:rPr>
          <w:rFonts w:ascii="Palatino Linotype" w:hAnsi="Palatino Linotype" w:cs="Arial"/>
          <w:sz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66612D" w:rsidRPr="00693938" w:rsidRDefault="0066612D" w:rsidP="0066612D">
      <w:pPr>
        <w:pStyle w:val="Sinespaciado"/>
        <w:spacing w:line="360" w:lineRule="auto"/>
        <w:jc w:val="both"/>
        <w:rPr>
          <w:rFonts w:ascii="Palatino Linotype" w:hAnsi="Palatino Linotype"/>
          <w:sz w:val="12"/>
        </w:rPr>
      </w:pPr>
    </w:p>
    <w:p w:rsidR="00B636D7" w:rsidRPr="00693938" w:rsidRDefault="00B636D7" w:rsidP="00B636D7">
      <w:pPr>
        <w:pStyle w:val="Sinespaciado"/>
        <w:rPr>
          <w:sz w:val="20"/>
        </w:rPr>
      </w:pPr>
    </w:p>
    <w:p w:rsidR="00C24FAE" w:rsidRPr="00D22D43"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t>TERCERO. NOTIFÍQUESE</w:t>
      </w:r>
      <w:r w:rsidRPr="00D22D43">
        <w:rPr>
          <w:rFonts w:ascii="Palatino Linotype" w:hAnsi="Palatino Linotype"/>
          <w:b/>
          <w:i/>
          <w:sz w:val="24"/>
        </w:rPr>
        <w:t xml:space="preserve"> </w:t>
      </w:r>
      <w:r w:rsidRPr="00D22D43">
        <w:rPr>
          <w:rFonts w:ascii="Palatino Linotype" w:hAnsi="Palatino Linotype"/>
          <w:sz w:val="24"/>
        </w:rPr>
        <w:t xml:space="preserve">la presente resolución al Titular de la Unidad de Transparencia del Sujeto Obligado, para que conforme al artículo 186 último párrafo y 189 segundo párrafo de la Ley de Transparencia y Acceso a la Información Pública del </w:t>
      </w:r>
      <w:r w:rsidRPr="00D22D43">
        <w:rPr>
          <w:rFonts w:ascii="Palatino Linotype" w:hAnsi="Palatino Linotype"/>
          <w:sz w:val="24"/>
        </w:rPr>
        <w:lastRenderedPageBreak/>
        <w:t>Estado de México y Municipios, dé cumplimiento a lo ordenado dentro del plazo de diez días hábiles, debiendo informar a este Instituto en un plazo de tres días hábiles siguientes sobre el cumplimiento dado a la presente resolución.</w:t>
      </w:r>
    </w:p>
    <w:p w:rsidR="00C24FAE" w:rsidRPr="00693938" w:rsidRDefault="00C24FAE" w:rsidP="00C24FAE">
      <w:pPr>
        <w:pStyle w:val="Sinespaciado"/>
        <w:spacing w:line="360" w:lineRule="auto"/>
        <w:jc w:val="both"/>
        <w:rPr>
          <w:rFonts w:ascii="Palatino Linotype" w:hAnsi="Palatino Linotype"/>
          <w:sz w:val="18"/>
        </w:rPr>
      </w:pPr>
    </w:p>
    <w:p w:rsidR="00C24FAE"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t>CUARTO. NOTIFÍQUESE</w:t>
      </w:r>
      <w:r w:rsidRPr="00D22D43">
        <w:rPr>
          <w:rFonts w:ascii="Palatino Linotype" w:hAnsi="Palatino Linotype"/>
          <w:sz w:val="24"/>
        </w:rPr>
        <w:t xml:space="preserve"> a</w:t>
      </w:r>
      <w:r w:rsidR="0039721A">
        <w:rPr>
          <w:rFonts w:ascii="Palatino Linotype" w:hAnsi="Palatino Linotype"/>
          <w:sz w:val="24"/>
        </w:rPr>
        <w:t xml:space="preserve"> El</w:t>
      </w:r>
      <w:r w:rsidRPr="00D22D43">
        <w:rPr>
          <w:rFonts w:ascii="Palatino Linotype" w:hAnsi="Palatino Linotype"/>
          <w:sz w:val="24"/>
        </w:rPr>
        <w:t xml:space="preserve"> Recurrente la presente resolución</w:t>
      </w:r>
      <w:r w:rsidRPr="00D22D43">
        <w:rPr>
          <w:rFonts w:ascii="Palatino Linotype" w:hAnsi="Palatino Linotype"/>
          <w:b/>
          <w:sz w:val="24"/>
        </w:rPr>
        <w:t xml:space="preserve"> </w:t>
      </w:r>
      <w:r w:rsidRPr="00D22D43">
        <w:rPr>
          <w:rFonts w:ascii="Palatino Linotype" w:hAnsi="Palatino Linotype"/>
          <w:sz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66612D" w:rsidRPr="00693938" w:rsidRDefault="0066612D" w:rsidP="00C24FAE">
      <w:pPr>
        <w:pStyle w:val="Sinespaciado"/>
        <w:spacing w:line="360" w:lineRule="auto"/>
        <w:jc w:val="both"/>
        <w:rPr>
          <w:rFonts w:ascii="Palatino Linotype" w:hAnsi="Palatino Linotype"/>
          <w:sz w:val="18"/>
        </w:rPr>
      </w:pPr>
    </w:p>
    <w:p w:rsidR="00C24FAE"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t>QUINTO.</w:t>
      </w:r>
      <w:r w:rsidRPr="00D22D43">
        <w:rPr>
          <w:rFonts w:ascii="Palatino Linotype" w:hAnsi="Palatino Linotype"/>
          <w:sz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D22D43">
        <w:rPr>
          <w:rFonts w:ascii="Palatino Linotype" w:hAnsi="Palatino Linotype"/>
          <w:b/>
          <w:sz w:val="24"/>
        </w:rPr>
        <w:t>Considerando CUARTO</w:t>
      </w:r>
      <w:r w:rsidRPr="00D22D43">
        <w:rPr>
          <w:rFonts w:ascii="Palatino Linotype" w:hAnsi="Palatino Linotype"/>
          <w:sz w:val="24"/>
        </w:rPr>
        <w:t xml:space="preserve"> de la presente resolución.</w:t>
      </w:r>
    </w:p>
    <w:p w:rsidR="00BB536F" w:rsidRPr="00D22D43" w:rsidRDefault="00BB536F" w:rsidP="00C24FAE">
      <w:pPr>
        <w:pStyle w:val="Sinespaciado"/>
        <w:spacing w:line="360" w:lineRule="auto"/>
        <w:jc w:val="both"/>
        <w:rPr>
          <w:rFonts w:ascii="Palatino Linotype" w:hAnsi="Palatino Linotype"/>
          <w:sz w:val="24"/>
        </w:rPr>
      </w:pPr>
    </w:p>
    <w:p w:rsidR="006D254A" w:rsidRPr="00D22D43" w:rsidRDefault="007E2E80" w:rsidP="00B34950">
      <w:pPr>
        <w:pStyle w:val="Sinespaciado"/>
        <w:spacing w:line="360" w:lineRule="auto"/>
        <w:jc w:val="both"/>
        <w:rPr>
          <w:rFonts w:ascii="Palatino Linotype" w:hAnsi="Palatino Linotype"/>
          <w:sz w:val="28"/>
          <w:szCs w:val="24"/>
        </w:rPr>
      </w:pPr>
      <w:r w:rsidRPr="00D22D43">
        <w:rPr>
          <w:rFonts w:ascii="Palatino Linotype" w:hAnsi="Palatino Linotype"/>
          <w:sz w:val="24"/>
          <w:szCs w:val="24"/>
        </w:rPr>
        <w:t>ASÍ LO RESUELVE, PO</w:t>
      </w:r>
      <w:r w:rsidR="00F1770B" w:rsidRPr="00D22D43">
        <w:rPr>
          <w:rFonts w:ascii="Palatino Linotype" w:hAnsi="Palatino Linotype"/>
          <w:sz w:val="24"/>
          <w:szCs w:val="24"/>
        </w:rPr>
        <w:t>R UNANIMIDAD</w:t>
      </w:r>
      <w:r w:rsidRPr="00D22D43">
        <w:rPr>
          <w:rFonts w:ascii="Palatino Linotype" w:hAnsi="Palatino Linotype"/>
          <w:sz w:val="24"/>
          <w:szCs w:val="24"/>
        </w:rPr>
        <w:t xml:space="preserve"> DE VOTOS EL PLENO DEL</w:t>
      </w:r>
      <w:r w:rsidRPr="00D22D43">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D22D43">
        <w:rPr>
          <w:rFonts w:ascii="Palatino Linotype" w:hAnsi="Palatino Linotype"/>
          <w:sz w:val="24"/>
          <w:szCs w:val="24"/>
        </w:rPr>
        <w:t xml:space="preserve">, CONFORMADO POR LOS COMISIONADOS ZULEMA MARTÍNEZ SÁNCHEZ, </w:t>
      </w:r>
      <w:r w:rsidR="00216B8D" w:rsidRPr="00D22D43">
        <w:rPr>
          <w:rFonts w:ascii="Palatino Linotype" w:hAnsi="Palatino Linotype"/>
          <w:sz w:val="24"/>
          <w:szCs w:val="24"/>
        </w:rPr>
        <w:t>EVA ABAID YAPUR</w:t>
      </w:r>
      <w:r w:rsidR="004A51FF" w:rsidRPr="00D22D43">
        <w:rPr>
          <w:rFonts w:ascii="Palatino Linotype" w:hAnsi="Palatino Linotype"/>
          <w:sz w:val="24"/>
          <w:szCs w:val="24"/>
        </w:rPr>
        <w:t>,</w:t>
      </w:r>
      <w:r w:rsidR="00CF27C6" w:rsidRPr="00D22D43">
        <w:rPr>
          <w:rFonts w:ascii="Palatino Linotype" w:hAnsi="Palatino Linotype"/>
          <w:sz w:val="24"/>
          <w:szCs w:val="24"/>
        </w:rPr>
        <w:t xml:space="preserve"> </w:t>
      </w:r>
      <w:r w:rsidRPr="00D22D43">
        <w:rPr>
          <w:rFonts w:ascii="Palatino Linotype" w:hAnsi="Palatino Linotype"/>
          <w:sz w:val="24"/>
          <w:szCs w:val="24"/>
        </w:rPr>
        <w:t xml:space="preserve">JOSÉ GUADALUPE LUNA </w:t>
      </w:r>
      <w:r w:rsidR="00D57072" w:rsidRPr="00D22D43">
        <w:rPr>
          <w:rFonts w:ascii="Palatino Linotype" w:hAnsi="Palatino Linotype"/>
          <w:sz w:val="24"/>
          <w:szCs w:val="24"/>
        </w:rPr>
        <w:t>HERNÁNDEZ</w:t>
      </w:r>
      <w:r w:rsidR="00F91340" w:rsidRPr="00D22D43">
        <w:rPr>
          <w:rFonts w:ascii="Palatino Linotype" w:hAnsi="Palatino Linotype"/>
          <w:sz w:val="24"/>
          <w:szCs w:val="24"/>
        </w:rPr>
        <w:t xml:space="preserve">, JAVIER MARTÍNEZ CRUZ </w:t>
      </w:r>
      <w:r w:rsidR="00D57072" w:rsidRPr="00D22D43">
        <w:rPr>
          <w:rFonts w:ascii="Palatino Linotype" w:hAnsi="Palatino Linotype"/>
          <w:sz w:val="24"/>
          <w:szCs w:val="24"/>
        </w:rPr>
        <w:t>Y</w:t>
      </w:r>
      <w:r w:rsidR="00F91340" w:rsidRPr="00D22D43">
        <w:rPr>
          <w:rFonts w:ascii="Palatino Linotype" w:hAnsi="Palatino Linotype"/>
          <w:sz w:val="24"/>
          <w:szCs w:val="24"/>
        </w:rPr>
        <w:t xml:space="preserve"> LUIS GUSTAVO PARRA NORIEGA</w:t>
      </w:r>
      <w:r w:rsidRPr="00D22D43">
        <w:rPr>
          <w:rFonts w:ascii="Palatino Linotype" w:hAnsi="Palatino Linotype"/>
          <w:sz w:val="24"/>
          <w:szCs w:val="24"/>
        </w:rPr>
        <w:t xml:space="preserve">, EN LA </w:t>
      </w:r>
      <w:r w:rsidR="00693938">
        <w:rPr>
          <w:rFonts w:ascii="Palatino Linotype" w:hAnsi="Palatino Linotype"/>
          <w:sz w:val="24"/>
          <w:szCs w:val="24"/>
        </w:rPr>
        <w:t>VIGÉSIMA CUARTA</w:t>
      </w:r>
      <w:r w:rsidR="0084762B">
        <w:rPr>
          <w:rFonts w:ascii="Palatino Linotype" w:hAnsi="Palatino Linotype"/>
          <w:sz w:val="24"/>
          <w:szCs w:val="24"/>
        </w:rPr>
        <w:t xml:space="preserve"> </w:t>
      </w:r>
      <w:r w:rsidR="00E755E5" w:rsidRPr="00D22D43">
        <w:rPr>
          <w:rFonts w:ascii="Palatino Linotype" w:hAnsi="Palatino Linotype"/>
          <w:sz w:val="24"/>
          <w:szCs w:val="24"/>
        </w:rPr>
        <w:t>SES</w:t>
      </w:r>
      <w:r w:rsidR="007C52F5" w:rsidRPr="00D22D43">
        <w:rPr>
          <w:rFonts w:ascii="Palatino Linotype" w:hAnsi="Palatino Linotype"/>
          <w:sz w:val="24"/>
          <w:szCs w:val="24"/>
        </w:rPr>
        <w:t xml:space="preserve">IÓN ORDINARIA CELEBRADA EL </w:t>
      </w:r>
      <w:r w:rsidR="00693938">
        <w:rPr>
          <w:rFonts w:ascii="Palatino Linotype" w:hAnsi="Palatino Linotype"/>
          <w:sz w:val="24"/>
          <w:szCs w:val="24"/>
        </w:rPr>
        <w:t>VEINTISÉIS</w:t>
      </w:r>
      <w:r w:rsidR="007C52F5" w:rsidRPr="00D22D43">
        <w:rPr>
          <w:rFonts w:ascii="Palatino Linotype" w:hAnsi="Palatino Linotype"/>
          <w:sz w:val="24"/>
          <w:szCs w:val="24"/>
        </w:rPr>
        <w:t xml:space="preserve"> </w:t>
      </w:r>
      <w:r w:rsidR="001552E9" w:rsidRPr="00D22D43">
        <w:rPr>
          <w:rFonts w:ascii="Palatino Linotype" w:hAnsi="Palatino Linotype"/>
          <w:sz w:val="24"/>
          <w:szCs w:val="24"/>
        </w:rPr>
        <w:t>DE</w:t>
      </w:r>
      <w:r w:rsidR="00693938">
        <w:rPr>
          <w:rFonts w:ascii="Palatino Linotype" w:hAnsi="Palatino Linotype"/>
          <w:sz w:val="24"/>
          <w:szCs w:val="24"/>
        </w:rPr>
        <w:t xml:space="preserve"> JUNIO</w:t>
      </w:r>
      <w:r w:rsidR="001552E9" w:rsidRPr="00D22D43">
        <w:rPr>
          <w:rFonts w:ascii="Palatino Linotype" w:hAnsi="Palatino Linotype"/>
          <w:sz w:val="24"/>
          <w:szCs w:val="24"/>
        </w:rPr>
        <w:t xml:space="preserve"> </w:t>
      </w:r>
      <w:r w:rsidR="00D57072" w:rsidRPr="00D22D43">
        <w:rPr>
          <w:rFonts w:ascii="Palatino Linotype" w:hAnsi="Palatino Linotype"/>
          <w:sz w:val="24"/>
          <w:szCs w:val="24"/>
        </w:rPr>
        <w:t xml:space="preserve">DOS MIL </w:t>
      </w:r>
      <w:r w:rsidR="007C52F5" w:rsidRPr="00D22D43">
        <w:rPr>
          <w:rFonts w:ascii="Palatino Linotype" w:hAnsi="Palatino Linotype"/>
          <w:sz w:val="24"/>
          <w:szCs w:val="24"/>
        </w:rPr>
        <w:t>DIECINUEVE</w:t>
      </w:r>
      <w:r w:rsidRPr="00D22D43">
        <w:rPr>
          <w:rFonts w:ascii="Palatino Linotype" w:hAnsi="Palatino Linotype"/>
          <w:sz w:val="24"/>
          <w:szCs w:val="24"/>
        </w:rPr>
        <w:t xml:space="preserve">, ANTE </w:t>
      </w:r>
      <w:r w:rsidR="00F2343A" w:rsidRPr="00D22D43">
        <w:rPr>
          <w:rFonts w:ascii="Palatino Linotype" w:hAnsi="Palatino Linotype"/>
          <w:sz w:val="24"/>
          <w:szCs w:val="24"/>
        </w:rPr>
        <w:t>EL SECRETARIO TÉCNICO</w:t>
      </w:r>
      <w:r w:rsidRPr="00D22D43">
        <w:rPr>
          <w:rFonts w:ascii="Palatino Linotype" w:hAnsi="Palatino Linotype"/>
          <w:sz w:val="24"/>
          <w:szCs w:val="24"/>
        </w:rPr>
        <w:t xml:space="preserve"> DEL PLENO, </w:t>
      </w:r>
      <w:r w:rsidR="00F2343A" w:rsidRPr="00D22D43">
        <w:rPr>
          <w:rFonts w:ascii="Palatino Linotype" w:hAnsi="Palatino Linotype"/>
          <w:sz w:val="24"/>
          <w:szCs w:val="24"/>
        </w:rPr>
        <w:t>ALEXIS TAPIA RAMÍREZ</w:t>
      </w:r>
      <w:r w:rsidR="00BC3F29" w:rsidRPr="00D22D43">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6149F1" w:rsidRPr="006149F1" w:rsidTr="00F91340">
        <w:tc>
          <w:tcPr>
            <w:tcW w:w="9062" w:type="dxa"/>
            <w:gridSpan w:val="2"/>
          </w:tcPr>
          <w:p w:rsidR="00B73E6C" w:rsidRDefault="00B73E6C" w:rsidP="00B73E6C">
            <w:pPr>
              <w:pStyle w:val="Sinespaciado"/>
              <w:tabs>
                <w:tab w:val="left" w:pos="5710"/>
              </w:tabs>
              <w:rPr>
                <w:rFonts w:ascii="Palatino Linotype" w:hAnsi="Palatino Linotype"/>
                <w:sz w:val="24"/>
                <w:szCs w:val="24"/>
              </w:rPr>
            </w:pPr>
          </w:p>
          <w:p w:rsidR="0066612D" w:rsidRPr="006149F1" w:rsidRDefault="0066612D" w:rsidP="00B73E6C">
            <w:pPr>
              <w:pStyle w:val="Sinespaciado"/>
              <w:tabs>
                <w:tab w:val="left" w:pos="5710"/>
              </w:tabs>
              <w:rPr>
                <w:rFonts w:ascii="Palatino Linotype" w:hAnsi="Palatino Linotype"/>
                <w:sz w:val="24"/>
                <w:szCs w:val="24"/>
              </w:rPr>
            </w:pPr>
          </w:p>
        </w:tc>
      </w:tr>
      <w:tr w:rsidR="00B73E6C" w:rsidRPr="0089501E" w:rsidTr="00142CC6">
        <w:tc>
          <w:tcPr>
            <w:tcW w:w="9062" w:type="dxa"/>
            <w:gridSpan w:val="2"/>
          </w:tcPr>
          <w:p w:rsidR="00B73E6C" w:rsidRDefault="00B73E6C" w:rsidP="00142CC6">
            <w:pPr>
              <w:jc w:val="center"/>
              <w:rPr>
                <w:rFonts w:ascii="Palatino Linotype" w:hAnsi="Palatino Linotype"/>
                <w:b/>
                <w:sz w:val="24"/>
                <w:szCs w:val="24"/>
              </w:rPr>
            </w:pPr>
          </w:p>
          <w:p w:rsidR="00B636D7" w:rsidRPr="0089501E" w:rsidRDefault="00B636D7"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Zulema Martínez Sánchez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Comisionada Presidenta</w:t>
            </w:r>
          </w:p>
          <w:p w:rsidR="00B73E6C" w:rsidRPr="0089501E" w:rsidRDefault="00B73E6C" w:rsidP="00142CC6">
            <w:pPr>
              <w:jc w:val="center"/>
              <w:rPr>
                <w:rFonts w:ascii="Palatino Linotype" w:hAnsi="Palatino Linotype"/>
                <w:b/>
                <w:sz w:val="24"/>
                <w:szCs w:val="24"/>
              </w:rPr>
            </w:pPr>
            <w:r w:rsidRPr="002F1CD7">
              <w:rPr>
                <w:rFonts w:ascii="Palatino Linotype" w:hAnsi="Palatino Linotype"/>
                <w:sz w:val="24"/>
                <w:szCs w:val="24"/>
              </w:rPr>
              <w:t>(RÚBRICA</w:t>
            </w:r>
            <w:r w:rsidRPr="0089501E">
              <w:rPr>
                <w:rFonts w:ascii="Palatino Linotype" w:hAnsi="Palatino Linotype"/>
                <w:b/>
                <w:sz w:val="24"/>
                <w:szCs w:val="24"/>
              </w:rPr>
              <w:t>).</w:t>
            </w:r>
          </w:p>
        </w:tc>
      </w:tr>
      <w:tr w:rsidR="00B73E6C" w:rsidRPr="0089501E" w:rsidTr="00142CC6">
        <w:tc>
          <w:tcPr>
            <w:tcW w:w="4532" w:type="dxa"/>
          </w:tcPr>
          <w:p w:rsidR="00B73E6C" w:rsidRPr="0089501E" w:rsidRDefault="00B73E6C" w:rsidP="00142CC6">
            <w:pPr>
              <w:jc w:val="center"/>
              <w:rPr>
                <w:rFonts w:ascii="Palatino Linotype" w:hAnsi="Palatino Linotype"/>
                <w:b/>
                <w:sz w:val="24"/>
                <w:szCs w:val="24"/>
              </w:rPr>
            </w:pPr>
          </w:p>
          <w:p w:rsidR="00B73E6C" w:rsidRDefault="00B73E6C" w:rsidP="003153A1">
            <w:pPr>
              <w:rPr>
                <w:rFonts w:ascii="Palatino Linotype" w:hAnsi="Palatino Linotype"/>
                <w:b/>
                <w:sz w:val="24"/>
                <w:szCs w:val="24"/>
              </w:rPr>
            </w:pPr>
          </w:p>
          <w:p w:rsidR="003153A1" w:rsidRDefault="003153A1" w:rsidP="00142CC6">
            <w:pPr>
              <w:jc w:val="center"/>
              <w:rPr>
                <w:rFonts w:ascii="Palatino Linotype" w:hAnsi="Palatino Linotype"/>
                <w:b/>
                <w:sz w:val="24"/>
                <w:szCs w:val="24"/>
              </w:rPr>
            </w:pPr>
          </w:p>
          <w:p w:rsidR="003153A1" w:rsidRPr="0089501E" w:rsidRDefault="003153A1" w:rsidP="004812B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Eva Abaid Yapur</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Comisionada</w:t>
            </w:r>
          </w:p>
          <w:p w:rsidR="00B73E6C" w:rsidRPr="002F1CD7" w:rsidRDefault="005A1CD8" w:rsidP="00142CC6">
            <w:pPr>
              <w:jc w:val="center"/>
              <w:rPr>
                <w:rFonts w:ascii="Palatino Linotype" w:hAnsi="Palatino Linotype"/>
                <w:sz w:val="24"/>
                <w:szCs w:val="24"/>
              </w:rPr>
            </w:pPr>
            <w:r>
              <w:rPr>
                <w:rFonts w:ascii="Palatino Linotype" w:hAnsi="Palatino Linotype"/>
                <w:sz w:val="24"/>
                <w:szCs w:val="24"/>
              </w:rPr>
              <w:t>(RÚBRICA</w:t>
            </w:r>
            <w:r w:rsidR="00B73E6C" w:rsidRPr="002F1CD7">
              <w:rPr>
                <w:rFonts w:ascii="Palatino Linotype" w:hAnsi="Palatino Linotype"/>
                <w:sz w:val="24"/>
                <w:szCs w:val="24"/>
              </w:rPr>
              <w:t>).</w:t>
            </w:r>
          </w:p>
        </w:tc>
        <w:tc>
          <w:tcPr>
            <w:tcW w:w="4530" w:type="dxa"/>
          </w:tcPr>
          <w:p w:rsidR="00B73E6C" w:rsidRDefault="00B73E6C"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BA1EA1" w:rsidP="00142CC6">
            <w:pPr>
              <w:jc w:val="center"/>
              <w:rPr>
                <w:rFonts w:ascii="Palatino Linotype" w:hAnsi="Palatino Linotype"/>
                <w:sz w:val="24"/>
                <w:szCs w:val="24"/>
              </w:rPr>
            </w:pPr>
            <w:r>
              <w:rPr>
                <w:rFonts w:ascii="Palatino Linotype" w:hAnsi="Palatino Linotype"/>
                <w:sz w:val="24"/>
                <w:szCs w:val="24"/>
              </w:rPr>
              <w:t>(RÚBRICA</w:t>
            </w:r>
            <w:r w:rsidR="00B73E6C" w:rsidRPr="002F1CD7">
              <w:rPr>
                <w:rFonts w:ascii="Palatino Linotype" w:hAnsi="Palatino Linotype"/>
                <w:sz w:val="24"/>
                <w:szCs w:val="24"/>
              </w:rPr>
              <w:t>).</w:t>
            </w:r>
          </w:p>
        </w:tc>
      </w:tr>
      <w:tr w:rsidR="00B73E6C" w:rsidRPr="0089501E" w:rsidTr="00142CC6">
        <w:tc>
          <w:tcPr>
            <w:tcW w:w="4532" w:type="dxa"/>
          </w:tcPr>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Default="00B73E6C" w:rsidP="00142CC6">
            <w:pPr>
              <w:jc w:val="center"/>
              <w:rPr>
                <w:rFonts w:ascii="Palatino Linotype" w:hAnsi="Palatino Linotype"/>
                <w:b/>
                <w:sz w:val="24"/>
                <w:szCs w:val="24"/>
              </w:rPr>
            </w:pPr>
          </w:p>
          <w:p w:rsidR="003153A1" w:rsidRDefault="003153A1" w:rsidP="004812BD">
            <w:pPr>
              <w:rPr>
                <w:rFonts w:ascii="Palatino Linotype" w:hAnsi="Palatino Linotype"/>
                <w:b/>
                <w:sz w:val="24"/>
                <w:szCs w:val="24"/>
              </w:rPr>
            </w:pPr>
          </w:p>
          <w:p w:rsidR="00B73E6C" w:rsidRPr="0089501E" w:rsidRDefault="00B73E6C" w:rsidP="004812B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Javier Martínez Cruz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5A1CD8" w:rsidP="00142CC6">
            <w:pPr>
              <w:jc w:val="center"/>
              <w:rPr>
                <w:rFonts w:ascii="Palatino Linotype" w:hAnsi="Palatino Linotype"/>
                <w:sz w:val="24"/>
                <w:szCs w:val="24"/>
              </w:rPr>
            </w:pPr>
            <w:r>
              <w:rPr>
                <w:rFonts w:ascii="Palatino Linotype" w:hAnsi="Palatino Linotype"/>
                <w:sz w:val="24"/>
                <w:szCs w:val="24"/>
              </w:rPr>
              <w:t>(RÚBRICA</w:t>
            </w:r>
            <w:r w:rsidR="00B73E6C" w:rsidRPr="002F1CD7">
              <w:rPr>
                <w:rFonts w:ascii="Palatino Linotype" w:hAnsi="Palatino Linotype"/>
                <w:sz w:val="24"/>
                <w:szCs w:val="24"/>
              </w:rPr>
              <w:t>).</w:t>
            </w:r>
          </w:p>
        </w:tc>
        <w:tc>
          <w:tcPr>
            <w:tcW w:w="4530" w:type="dxa"/>
          </w:tcPr>
          <w:p w:rsidR="00B73E6C" w:rsidRPr="0089501E"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Default="00B73E6C" w:rsidP="00142CC6">
            <w:pPr>
              <w:rPr>
                <w:rFonts w:ascii="Palatino Linotype" w:hAnsi="Palatino Linotype"/>
                <w:b/>
                <w:sz w:val="24"/>
                <w:szCs w:val="24"/>
              </w:rPr>
            </w:pPr>
          </w:p>
          <w:p w:rsidR="00B73E6C" w:rsidRDefault="00B73E6C" w:rsidP="00142CC6">
            <w:pPr>
              <w:rPr>
                <w:rFonts w:ascii="Palatino Linotype" w:hAnsi="Palatino Linotype"/>
                <w:b/>
                <w:sz w:val="24"/>
                <w:szCs w:val="24"/>
              </w:rPr>
            </w:pPr>
          </w:p>
          <w:p w:rsidR="003153A1" w:rsidRPr="0089501E" w:rsidRDefault="003153A1"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Luis Gustavo Parra Noriega</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B73E6C" w:rsidP="00142CC6">
            <w:pPr>
              <w:jc w:val="center"/>
              <w:rPr>
                <w:rFonts w:ascii="Palatino Linotype" w:hAnsi="Palatino Linotype"/>
                <w:sz w:val="24"/>
                <w:szCs w:val="24"/>
              </w:rPr>
            </w:pPr>
            <w:r w:rsidRPr="002F1CD7">
              <w:rPr>
                <w:rFonts w:ascii="Palatino Linotype" w:hAnsi="Palatino Linotype"/>
                <w:sz w:val="24"/>
                <w:szCs w:val="24"/>
              </w:rPr>
              <w:t>(RÚBRICA).</w:t>
            </w:r>
          </w:p>
        </w:tc>
      </w:tr>
      <w:tr w:rsidR="00B73E6C" w:rsidRPr="0089501E" w:rsidTr="00142CC6">
        <w:tc>
          <w:tcPr>
            <w:tcW w:w="9062" w:type="dxa"/>
            <w:gridSpan w:val="2"/>
          </w:tcPr>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Default="00B73E6C" w:rsidP="00142CC6">
            <w:pPr>
              <w:rPr>
                <w:rFonts w:ascii="Palatino Linotype" w:hAnsi="Palatino Linotype"/>
                <w:b/>
                <w:sz w:val="28"/>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Alexis Tapia Ramírez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Secretario Técnico del Pleno</w:t>
            </w:r>
          </w:p>
          <w:p w:rsidR="0066612D" w:rsidRPr="0066612D" w:rsidRDefault="00B73E6C" w:rsidP="0066612D">
            <w:pPr>
              <w:jc w:val="center"/>
              <w:rPr>
                <w:rFonts w:ascii="Palatino Linotype" w:hAnsi="Palatino Linotype"/>
                <w:sz w:val="24"/>
                <w:szCs w:val="24"/>
              </w:rPr>
            </w:pPr>
            <w:r w:rsidRPr="002F1CD7">
              <w:rPr>
                <w:rFonts w:ascii="Palatino Linotype" w:hAnsi="Palatino Linotype"/>
                <w:sz w:val="24"/>
                <w:szCs w:val="24"/>
              </w:rPr>
              <w:t>(RÚBRICA).</w:t>
            </w:r>
          </w:p>
          <w:p w:rsidR="006A58E4" w:rsidRPr="00B3452B" w:rsidRDefault="006A58E4" w:rsidP="005D517E">
            <w:pPr>
              <w:rPr>
                <w:rFonts w:ascii="Palatino Linotype" w:hAnsi="Palatino Linotype"/>
                <w:sz w:val="10"/>
                <w:szCs w:val="24"/>
              </w:rPr>
            </w:pPr>
          </w:p>
        </w:tc>
      </w:tr>
    </w:tbl>
    <w:p w:rsidR="0066612D" w:rsidRDefault="0066612D" w:rsidP="00B73E6C">
      <w:pPr>
        <w:spacing w:after="0" w:line="240" w:lineRule="auto"/>
        <w:jc w:val="both"/>
        <w:rPr>
          <w:rFonts w:ascii="Palatino Linotype" w:hAnsi="Palatino Linotype" w:cs="Arial"/>
          <w:sz w:val="18"/>
          <w:szCs w:val="16"/>
        </w:rPr>
      </w:pPr>
    </w:p>
    <w:p w:rsidR="00B3452B" w:rsidRPr="0066612D" w:rsidRDefault="00B73E6C" w:rsidP="00B73E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 xml:space="preserve">Esta hoja corresponde a la resolución de fecha </w:t>
      </w:r>
      <w:r w:rsidR="00693938">
        <w:rPr>
          <w:rFonts w:ascii="Palatino Linotype" w:hAnsi="Palatino Linotype" w:cs="Arial"/>
          <w:sz w:val="18"/>
          <w:szCs w:val="16"/>
        </w:rPr>
        <w:t>veintiséis</w:t>
      </w:r>
      <w:r w:rsidR="00B3452B">
        <w:rPr>
          <w:rFonts w:ascii="Palatino Linotype" w:hAnsi="Palatino Linotype" w:cs="Arial"/>
          <w:sz w:val="18"/>
          <w:szCs w:val="16"/>
        </w:rPr>
        <w:t xml:space="preserve"> de </w:t>
      </w:r>
      <w:r w:rsidR="00693938">
        <w:rPr>
          <w:rFonts w:ascii="Palatino Linotype" w:hAnsi="Palatino Linotype" w:cs="Arial"/>
          <w:sz w:val="18"/>
          <w:szCs w:val="16"/>
        </w:rPr>
        <w:t>junio</w:t>
      </w:r>
      <w:r w:rsidRPr="00B73E6C">
        <w:rPr>
          <w:rFonts w:ascii="Palatino Linotype" w:hAnsi="Palatino Linotype" w:cs="Arial"/>
          <w:sz w:val="18"/>
          <w:szCs w:val="16"/>
        </w:rPr>
        <w:t xml:space="preserve"> de d</w:t>
      </w:r>
      <w:r w:rsidR="00E755E5">
        <w:rPr>
          <w:rFonts w:ascii="Palatino Linotype" w:hAnsi="Palatino Linotype" w:cs="Arial"/>
          <w:sz w:val="18"/>
          <w:szCs w:val="16"/>
        </w:rPr>
        <w:t>os mil dieci</w:t>
      </w:r>
      <w:r w:rsidR="00BF25FC">
        <w:rPr>
          <w:rFonts w:ascii="Palatino Linotype" w:hAnsi="Palatino Linotype" w:cs="Arial"/>
          <w:sz w:val="18"/>
          <w:szCs w:val="16"/>
        </w:rPr>
        <w:t>nueve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7C52F5">
        <w:rPr>
          <w:rFonts w:ascii="Palatino Linotype" w:hAnsi="Palatino Linotype" w:cs="Arial"/>
          <w:bCs/>
          <w:sz w:val="18"/>
          <w:szCs w:val="16"/>
          <w:lang w:eastAsia="es-MX"/>
        </w:rPr>
        <w:t>0</w:t>
      </w:r>
      <w:r w:rsidR="005A1CD8">
        <w:rPr>
          <w:rFonts w:ascii="Palatino Linotype" w:hAnsi="Palatino Linotype" w:cs="Arial"/>
          <w:bCs/>
          <w:sz w:val="18"/>
          <w:szCs w:val="16"/>
          <w:lang w:eastAsia="es-MX"/>
        </w:rPr>
        <w:t>2555</w:t>
      </w:r>
      <w:r w:rsidRPr="00B73E6C">
        <w:rPr>
          <w:rFonts w:ascii="Palatino Linotype" w:hAnsi="Palatino Linotype" w:cs="Arial"/>
          <w:bCs/>
          <w:sz w:val="18"/>
          <w:szCs w:val="16"/>
          <w:lang w:eastAsia="es-MX"/>
        </w:rPr>
        <w:t>/INFOEM/IP/R</w:t>
      </w:r>
      <w:r w:rsidR="00F0032B">
        <w:rPr>
          <w:rFonts w:ascii="Palatino Linotype" w:hAnsi="Palatino Linotype" w:cs="Arial"/>
          <w:bCs/>
          <w:sz w:val="18"/>
          <w:szCs w:val="16"/>
          <w:lang w:eastAsia="es-MX"/>
        </w:rPr>
        <w:t>R/2019</w:t>
      </w:r>
      <w:r w:rsidR="0066612D">
        <w:rPr>
          <w:rFonts w:ascii="Palatino Linotype" w:hAnsi="Palatino Linotype" w:cs="Arial"/>
          <w:bCs/>
          <w:sz w:val="18"/>
          <w:szCs w:val="16"/>
          <w:lang w:eastAsia="es-MX"/>
        </w:rPr>
        <w:t xml:space="preserve">. </w:t>
      </w:r>
    </w:p>
    <w:p w:rsidR="007E2E80" w:rsidRPr="0066612D" w:rsidRDefault="00B73E6C" w:rsidP="00B73E6C">
      <w:pPr>
        <w:spacing w:after="0" w:line="240" w:lineRule="auto"/>
        <w:jc w:val="both"/>
        <w:rPr>
          <w:rFonts w:ascii="Palatino Linotype" w:hAnsi="Palatino Linotype" w:cs="Arial"/>
          <w:sz w:val="14"/>
          <w:szCs w:val="16"/>
        </w:rPr>
      </w:pPr>
      <w:r w:rsidRPr="0066612D">
        <w:rPr>
          <w:rFonts w:ascii="Palatino Linotype" w:hAnsi="Palatino Linotype" w:cs="Arial"/>
          <w:sz w:val="14"/>
          <w:szCs w:val="16"/>
        </w:rPr>
        <w:t>ZMS/OSAM/RDPG</w:t>
      </w:r>
    </w:p>
    <w:sectPr w:rsidR="007E2E80" w:rsidRPr="0066612D"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5AD" w:rsidRDefault="000B75AD" w:rsidP="007E2E80">
      <w:pPr>
        <w:spacing w:after="0" w:line="240" w:lineRule="auto"/>
      </w:pPr>
      <w:r>
        <w:separator/>
      </w:r>
    </w:p>
  </w:endnote>
  <w:endnote w:type="continuationSeparator" w:id="0">
    <w:p w:rsidR="000B75AD" w:rsidRDefault="000B75AD"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AF9" w:rsidRPr="000B69FA" w:rsidRDefault="00736AF9"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E08F4">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E08F4">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AF9" w:rsidRPr="000B69FA" w:rsidRDefault="00736AF9"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5216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52169">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5AD" w:rsidRDefault="000B75AD" w:rsidP="007E2E80">
      <w:pPr>
        <w:spacing w:after="0" w:line="240" w:lineRule="auto"/>
      </w:pPr>
      <w:r>
        <w:separator/>
      </w:r>
    </w:p>
  </w:footnote>
  <w:footnote w:type="continuationSeparator" w:id="0">
    <w:p w:rsidR="000B75AD" w:rsidRDefault="000B75AD" w:rsidP="007E2E80">
      <w:pPr>
        <w:spacing w:after="0" w:line="240" w:lineRule="auto"/>
      </w:pPr>
      <w:r>
        <w:continuationSeparator/>
      </w:r>
    </w:p>
  </w:footnote>
  <w:footnote w:id="1">
    <w:p w:rsidR="00736AF9" w:rsidRPr="00615B4B" w:rsidRDefault="00736AF9"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736AF9" w:rsidRPr="00615B4B" w:rsidRDefault="00736AF9"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AF9" w:rsidRDefault="00736AF9">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736AF9" w:rsidTr="00182616">
      <w:trPr>
        <w:trHeight w:val="227"/>
      </w:trPr>
      <w:tc>
        <w:tcPr>
          <w:tcW w:w="5949" w:type="dxa"/>
          <w:hideMark/>
        </w:tcPr>
        <w:p w:rsidR="00736AF9" w:rsidRDefault="00736AF9"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736AF9" w:rsidRDefault="00736AF9"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02555/INFOEM/IP/RR/2019</w:t>
          </w:r>
        </w:p>
      </w:tc>
    </w:tr>
    <w:tr w:rsidR="00736AF9" w:rsidTr="00182616">
      <w:trPr>
        <w:trHeight w:val="242"/>
      </w:trPr>
      <w:tc>
        <w:tcPr>
          <w:tcW w:w="5949" w:type="dxa"/>
          <w:hideMark/>
        </w:tcPr>
        <w:p w:rsidR="00736AF9" w:rsidRDefault="00736AF9"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736AF9" w:rsidRDefault="00736AF9" w:rsidP="005E3F88">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Tenango del Aire</w:t>
          </w:r>
        </w:p>
      </w:tc>
    </w:tr>
    <w:tr w:rsidR="00736AF9" w:rsidTr="00182616">
      <w:trPr>
        <w:trHeight w:val="342"/>
      </w:trPr>
      <w:tc>
        <w:tcPr>
          <w:tcW w:w="5949" w:type="dxa"/>
          <w:hideMark/>
        </w:tcPr>
        <w:p w:rsidR="00736AF9" w:rsidRDefault="00736AF9"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736AF9" w:rsidRDefault="00736AF9"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36AF9" w:rsidRDefault="00736A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736AF9" w:rsidTr="00182616">
      <w:trPr>
        <w:trHeight w:val="227"/>
      </w:trPr>
      <w:tc>
        <w:tcPr>
          <w:tcW w:w="5103" w:type="dxa"/>
          <w:hideMark/>
        </w:tcPr>
        <w:p w:rsidR="00736AF9" w:rsidRDefault="00736AF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736AF9" w:rsidRPr="00B4142F" w:rsidRDefault="00736AF9"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02555/INFOEM/IP/RR/2019</w:t>
          </w:r>
        </w:p>
      </w:tc>
    </w:tr>
    <w:tr w:rsidR="00736AF9" w:rsidTr="00182616">
      <w:trPr>
        <w:trHeight w:val="196"/>
      </w:trPr>
      <w:tc>
        <w:tcPr>
          <w:tcW w:w="5103" w:type="dxa"/>
          <w:hideMark/>
        </w:tcPr>
        <w:p w:rsidR="00736AF9" w:rsidRDefault="00736AF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736AF9" w:rsidRPr="00F06FED" w:rsidRDefault="00A52169" w:rsidP="00C6603E">
          <w:pPr>
            <w:spacing w:after="120" w:line="256" w:lineRule="auto"/>
            <w:ind w:left="208" w:right="214"/>
            <w:jc w:val="right"/>
            <w:rPr>
              <w:rFonts w:ascii="Palatino Linotype" w:hAnsi="Palatino Linotype" w:cs="Arial"/>
            </w:rPr>
          </w:pPr>
          <w:r>
            <w:rPr>
              <w:rFonts w:ascii="Palatino Linotype" w:hAnsi="Palatino Linotype" w:cs="Arial"/>
            </w:rPr>
            <w:t>XXXXXXXXX XXXXXXXX</w:t>
          </w:r>
          <w:r w:rsidR="00736AF9">
            <w:rPr>
              <w:rFonts w:ascii="Palatino Linotype" w:hAnsi="Palatino Linotype" w:cs="Arial"/>
            </w:rPr>
            <w:t xml:space="preserve"> </w:t>
          </w:r>
          <w:r>
            <w:rPr>
              <w:rFonts w:ascii="Palatino Linotype" w:hAnsi="Palatino Linotype" w:cs="Arial"/>
            </w:rPr>
            <w:t>XXXXXXXX</w:t>
          </w:r>
        </w:p>
      </w:tc>
    </w:tr>
    <w:tr w:rsidR="00736AF9" w:rsidTr="00182616">
      <w:trPr>
        <w:trHeight w:val="242"/>
      </w:trPr>
      <w:tc>
        <w:tcPr>
          <w:tcW w:w="5103" w:type="dxa"/>
          <w:hideMark/>
        </w:tcPr>
        <w:p w:rsidR="00736AF9" w:rsidRDefault="00736AF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736AF9" w:rsidRDefault="00736AF9" w:rsidP="0016423B">
          <w:pPr>
            <w:spacing w:after="120" w:line="256" w:lineRule="auto"/>
            <w:ind w:left="208" w:right="214"/>
            <w:jc w:val="right"/>
            <w:rPr>
              <w:rFonts w:ascii="Palatino Linotype" w:hAnsi="Palatino Linotype" w:cs="Arial"/>
              <w:szCs w:val="20"/>
            </w:rPr>
          </w:pPr>
          <w:r w:rsidRPr="00432F42">
            <w:rPr>
              <w:rFonts w:ascii="Palatino Linotype" w:hAnsi="Palatino Linotype" w:cs="Arial"/>
              <w:szCs w:val="20"/>
            </w:rPr>
            <w:t>Ayuntamiento de Tenango del Aire</w:t>
          </w:r>
        </w:p>
      </w:tc>
    </w:tr>
    <w:tr w:rsidR="00736AF9" w:rsidTr="00182616">
      <w:trPr>
        <w:trHeight w:val="342"/>
      </w:trPr>
      <w:tc>
        <w:tcPr>
          <w:tcW w:w="5103" w:type="dxa"/>
          <w:hideMark/>
        </w:tcPr>
        <w:p w:rsidR="00736AF9" w:rsidRDefault="00736AF9"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736AF9" w:rsidRDefault="00736AF9"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36AF9" w:rsidRDefault="00736A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522B9B"/>
    <w:multiLevelType w:val="hybridMultilevel"/>
    <w:tmpl w:val="103C0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1D14F28"/>
    <w:multiLevelType w:val="hybridMultilevel"/>
    <w:tmpl w:val="1362F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13C2B17"/>
    <w:multiLevelType w:val="hybridMultilevel"/>
    <w:tmpl w:val="B5E82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0"/>
  </w:num>
  <w:num w:numId="5">
    <w:abstractNumId w:val="4"/>
  </w:num>
  <w:num w:numId="6">
    <w:abstractNumId w:val="3"/>
  </w:num>
  <w:num w:numId="7">
    <w:abstractNumId w:val="13"/>
  </w:num>
  <w:num w:numId="8">
    <w:abstractNumId w:val="12"/>
  </w:num>
  <w:num w:numId="9">
    <w:abstractNumId w:val="18"/>
  </w:num>
  <w:num w:numId="10">
    <w:abstractNumId w:val="5"/>
  </w:num>
  <w:num w:numId="11">
    <w:abstractNumId w:val="19"/>
  </w:num>
  <w:num w:numId="12">
    <w:abstractNumId w:val="15"/>
  </w:num>
  <w:num w:numId="13">
    <w:abstractNumId w:val="14"/>
  </w:num>
  <w:num w:numId="14">
    <w:abstractNumId w:val="8"/>
  </w:num>
  <w:num w:numId="15">
    <w:abstractNumId w:val="2"/>
  </w:num>
  <w:num w:numId="16">
    <w:abstractNumId w:val="9"/>
  </w:num>
  <w:num w:numId="17">
    <w:abstractNumId w:val="11"/>
  </w:num>
  <w:num w:numId="18">
    <w:abstractNumId w:val="16"/>
  </w:num>
  <w:num w:numId="19">
    <w:abstractNumId w:val="7"/>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2CD"/>
    <w:rsid w:val="00000E9E"/>
    <w:rsid w:val="0000238F"/>
    <w:rsid w:val="000044B4"/>
    <w:rsid w:val="00011DF7"/>
    <w:rsid w:val="000146A2"/>
    <w:rsid w:val="00014D80"/>
    <w:rsid w:val="00015A5D"/>
    <w:rsid w:val="000204E1"/>
    <w:rsid w:val="00021D9A"/>
    <w:rsid w:val="00022E72"/>
    <w:rsid w:val="000232F8"/>
    <w:rsid w:val="000276E0"/>
    <w:rsid w:val="00032DBD"/>
    <w:rsid w:val="00033949"/>
    <w:rsid w:val="00033A37"/>
    <w:rsid w:val="000402BD"/>
    <w:rsid w:val="00041557"/>
    <w:rsid w:val="00041664"/>
    <w:rsid w:val="00043018"/>
    <w:rsid w:val="00050126"/>
    <w:rsid w:val="00050A9C"/>
    <w:rsid w:val="00051311"/>
    <w:rsid w:val="00053083"/>
    <w:rsid w:val="00053C9B"/>
    <w:rsid w:val="00054C50"/>
    <w:rsid w:val="00055FDB"/>
    <w:rsid w:val="00057570"/>
    <w:rsid w:val="00061CDD"/>
    <w:rsid w:val="00061CE1"/>
    <w:rsid w:val="00062331"/>
    <w:rsid w:val="000674FE"/>
    <w:rsid w:val="00070473"/>
    <w:rsid w:val="00070C7F"/>
    <w:rsid w:val="0007328F"/>
    <w:rsid w:val="000738E9"/>
    <w:rsid w:val="0008042E"/>
    <w:rsid w:val="00083F7E"/>
    <w:rsid w:val="0008795C"/>
    <w:rsid w:val="00090705"/>
    <w:rsid w:val="00092805"/>
    <w:rsid w:val="0009497C"/>
    <w:rsid w:val="00095218"/>
    <w:rsid w:val="00096DEA"/>
    <w:rsid w:val="000A27C1"/>
    <w:rsid w:val="000A3303"/>
    <w:rsid w:val="000A773C"/>
    <w:rsid w:val="000B0E94"/>
    <w:rsid w:val="000B45D8"/>
    <w:rsid w:val="000B75AD"/>
    <w:rsid w:val="000D4772"/>
    <w:rsid w:val="000D47AB"/>
    <w:rsid w:val="000D6982"/>
    <w:rsid w:val="000D756B"/>
    <w:rsid w:val="000E58D0"/>
    <w:rsid w:val="000E631B"/>
    <w:rsid w:val="000E7C0A"/>
    <w:rsid w:val="000F199E"/>
    <w:rsid w:val="000F3722"/>
    <w:rsid w:val="00114418"/>
    <w:rsid w:val="00114C3C"/>
    <w:rsid w:val="00115F6D"/>
    <w:rsid w:val="00117C14"/>
    <w:rsid w:val="0012205A"/>
    <w:rsid w:val="00122CD0"/>
    <w:rsid w:val="0012508A"/>
    <w:rsid w:val="001269C0"/>
    <w:rsid w:val="00130ED1"/>
    <w:rsid w:val="00132E9F"/>
    <w:rsid w:val="001346D9"/>
    <w:rsid w:val="00135494"/>
    <w:rsid w:val="00140AE4"/>
    <w:rsid w:val="00140C2F"/>
    <w:rsid w:val="0014191F"/>
    <w:rsid w:val="00142CC6"/>
    <w:rsid w:val="00143581"/>
    <w:rsid w:val="00143AC6"/>
    <w:rsid w:val="0014447C"/>
    <w:rsid w:val="001510E8"/>
    <w:rsid w:val="00153BFD"/>
    <w:rsid w:val="001552E9"/>
    <w:rsid w:val="001576AC"/>
    <w:rsid w:val="00162176"/>
    <w:rsid w:val="0016423B"/>
    <w:rsid w:val="00165929"/>
    <w:rsid w:val="00166046"/>
    <w:rsid w:val="00166623"/>
    <w:rsid w:val="00166FB7"/>
    <w:rsid w:val="00180F6B"/>
    <w:rsid w:val="00182616"/>
    <w:rsid w:val="00186CFB"/>
    <w:rsid w:val="00196888"/>
    <w:rsid w:val="001A17B9"/>
    <w:rsid w:val="001A4700"/>
    <w:rsid w:val="001B5DCE"/>
    <w:rsid w:val="001C0CE9"/>
    <w:rsid w:val="001C2DBA"/>
    <w:rsid w:val="001C69FC"/>
    <w:rsid w:val="001C73A7"/>
    <w:rsid w:val="001D39A1"/>
    <w:rsid w:val="001D6114"/>
    <w:rsid w:val="001D61D0"/>
    <w:rsid w:val="001E07AC"/>
    <w:rsid w:val="001E2E5E"/>
    <w:rsid w:val="001E477F"/>
    <w:rsid w:val="001E4D4B"/>
    <w:rsid w:val="001E60B7"/>
    <w:rsid w:val="001F021C"/>
    <w:rsid w:val="001F5577"/>
    <w:rsid w:val="00201358"/>
    <w:rsid w:val="00203FA5"/>
    <w:rsid w:val="00205BF1"/>
    <w:rsid w:val="00207DA3"/>
    <w:rsid w:val="002108D8"/>
    <w:rsid w:val="00211473"/>
    <w:rsid w:val="00212498"/>
    <w:rsid w:val="0021396E"/>
    <w:rsid w:val="00216B8D"/>
    <w:rsid w:val="00221F0B"/>
    <w:rsid w:val="002252AD"/>
    <w:rsid w:val="00226483"/>
    <w:rsid w:val="002450D9"/>
    <w:rsid w:val="00247E1F"/>
    <w:rsid w:val="00254523"/>
    <w:rsid w:val="002572CF"/>
    <w:rsid w:val="0026191D"/>
    <w:rsid w:val="00271762"/>
    <w:rsid w:val="002718DB"/>
    <w:rsid w:val="00271C39"/>
    <w:rsid w:val="00272111"/>
    <w:rsid w:val="00275C65"/>
    <w:rsid w:val="00276E33"/>
    <w:rsid w:val="00276FFD"/>
    <w:rsid w:val="00283F65"/>
    <w:rsid w:val="0028427C"/>
    <w:rsid w:val="0028471A"/>
    <w:rsid w:val="002847CC"/>
    <w:rsid w:val="0028585E"/>
    <w:rsid w:val="00285DFA"/>
    <w:rsid w:val="00287072"/>
    <w:rsid w:val="00290397"/>
    <w:rsid w:val="002910A3"/>
    <w:rsid w:val="00294480"/>
    <w:rsid w:val="00296F49"/>
    <w:rsid w:val="002A10EC"/>
    <w:rsid w:val="002A1927"/>
    <w:rsid w:val="002A26E0"/>
    <w:rsid w:val="002B1196"/>
    <w:rsid w:val="002B52D6"/>
    <w:rsid w:val="002B5B14"/>
    <w:rsid w:val="002C0C6A"/>
    <w:rsid w:val="002C2A2E"/>
    <w:rsid w:val="002C2D19"/>
    <w:rsid w:val="002C45D8"/>
    <w:rsid w:val="002C47F3"/>
    <w:rsid w:val="002C529C"/>
    <w:rsid w:val="002D0152"/>
    <w:rsid w:val="002D477F"/>
    <w:rsid w:val="002D4991"/>
    <w:rsid w:val="002D6110"/>
    <w:rsid w:val="002E22D8"/>
    <w:rsid w:val="002E2D4C"/>
    <w:rsid w:val="002E6036"/>
    <w:rsid w:val="002F044A"/>
    <w:rsid w:val="002F160B"/>
    <w:rsid w:val="002F17FB"/>
    <w:rsid w:val="00301A01"/>
    <w:rsid w:val="00301FF8"/>
    <w:rsid w:val="003021C1"/>
    <w:rsid w:val="00303FAF"/>
    <w:rsid w:val="00304C91"/>
    <w:rsid w:val="00305B06"/>
    <w:rsid w:val="00307784"/>
    <w:rsid w:val="00310760"/>
    <w:rsid w:val="00311191"/>
    <w:rsid w:val="00312E7E"/>
    <w:rsid w:val="00315192"/>
    <w:rsid w:val="003153A1"/>
    <w:rsid w:val="003209B8"/>
    <w:rsid w:val="003230BE"/>
    <w:rsid w:val="00323B11"/>
    <w:rsid w:val="00323D35"/>
    <w:rsid w:val="00325EE1"/>
    <w:rsid w:val="0032688B"/>
    <w:rsid w:val="00327932"/>
    <w:rsid w:val="00330554"/>
    <w:rsid w:val="00336EDF"/>
    <w:rsid w:val="003456A2"/>
    <w:rsid w:val="0034713F"/>
    <w:rsid w:val="003474E5"/>
    <w:rsid w:val="003500CC"/>
    <w:rsid w:val="0035493D"/>
    <w:rsid w:val="00356DEA"/>
    <w:rsid w:val="00363308"/>
    <w:rsid w:val="003634B9"/>
    <w:rsid w:val="003653BC"/>
    <w:rsid w:val="00365ADF"/>
    <w:rsid w:val="00374450"/>
    <w:rsid w:val="00375FF5"/>
    <w:rsid w:val="0038385D"/>
    <w:rsid w:val="0038396D"/>
    <w:rsid w:val="0038529C"/>
    <w:rsid w:val="00386799"/>
    <w:rsid w:val="003908F4"/>
    <w:rsid w:val="003919AC"/>
    <w:rsid w:val="0039721A"/>
    <w:rsid w:val="003A13D2"/>
    <w:rsid w:val="003A3096"/>
    <w:rsid w:val="003B123E"/>
    <w:rsid w:val="003B4AE6"/>
    <w:rsid w:val="003B7C36"/>
    <w:rsid w:val="003C042D"/>
    <w:rsid w:val="003C3124"/>
    <w:rsid w:val="003C74AF"/>
    <w:rsid w:val="003D2672"/>
    <w:rsid w:val="003D3420"/>
    <w:rsid w:val="003D4B31"/>
    <w:rsid w:val="003D584C"/>
    <w:rsid w:val="003E037E"/>
    <w:rsid w:val="003E08B9"/>
    <w:rsid w:val="003F0B5F"/>
    <w:rsid w:val="003F5460"/>
    <w:rsid w:val="00400852"/>
    <w:rsid w:val="00404F9D"/>
    <w:rsid w:val="00406B61"/>
    <w:rsid w:val="00407282"/>
    <w:rsid w:val="00410A41"/>
    <w:rsid w:val="004132B8"/>
    <w:rsid w:val="00414E53"/>
    <w:rsid w:val="00417EBD"/>
    <w:rsid w:val="00423281"/>
    <w:rsid w:val="00423C27"/>
    <w:rsid w:val="00425199"/>
    <w:rsid w:val="004307FD"/>
    <w:rsid w:val="00432F42"/>
    <w:rsid w:val="00435E52"/>
    <w:rsid w:val="00443826"/>
    <w:rsid w:val="00446D67"/>
    <w:rsid w:val="0045258F"/>
    <w:rsid w:val="0045270C"/>
    <w:rsid w:val="00452791"/>
    <w:rsid w:val="00452ABA"/>
    <w:rsid w:val="0045396C"/>
    <w:rsid w:val="004572BE"/>
    <w:rsid w:val="004601BF"/>
    <w:rsid w:val="004617C7"/>
    <w:rsid w:val="004657BE"/>
    <w:rsid w:val="00476E2C"/>
    <w:rsid w:val="00476E43"/>
    <w:rsid w:val="004807F7"/>
    <w:rsid w:val="004812BD"/>
    <w:rsid w:val="00481A59"/>
    <w:rsid w:val="004830B5"/>
    <w:rsid w:val="00484E47"/>
    <w:rsid w:val="00487B8B"/>
    <w:rsid w:val="004926F0"/>
    <w:rsid w:val="00492F91"/>
    <w:rsid w:val="00497B93"/>
    <w:rsid w:val="004A51FF"/>
    <w:rsid w:val="004B2C63"/>
    <w:rsid w:val="004B4721"/>
    <w:rsid w:val="004C7E18"/>
    <w:rsid w:val="004D5BAF"/>
    <w:rsid w:val="004D5D52"/>
    <w:rsid w:val="004E0222"/>
    <w:rsid w:val="004E257C"/>
    <w:rsid w:val="004E26A1"/>
    <w:rsid w:val="004F483E"/>
    <w:rsid w:val="004F71B4"/>
    <w:rsid w:val="0050104C"/>
    <w:rsid w:val="005023F4"/>
    <w:rsid w:val="005033CC"/>
    <w:rsid w:val="0050429A"/>
    <w:rsid w:val="00512CDD"/>
    <w:rsid w:val="00514C3B"/>
    <w:rsid w:val="00515EBB"/>
    <w:rsid w:val="00515F7A"/>
    <w:rsid w:val="00521F65"/>
    <w:rsid w:val="0052393E"/>
    <w:rsid w:val="00524986"/>
    <w:rsid w:val="005328FB"/>
    <w:rsid w:val="00534481"/>
    <w:rsid w:val="00536E75"/>
    <w:rsid w:val="00537419"/>
    <w:rsid w:val="00537D90"/>
    <w:rsid w:val="005421C7"/>
    <w:rsid w:val="005448FA"/>
    <w:rsid w:val="00545934"/>
    <w:rsid w:val="00555F06"/>
    <w:rsid w:val="00566699"/>
    <w:rsid w:val="00567676"/>
    <w:rsid w:val="00572DD6"/>
    <w:rsid w:val="005733EB"/>
    <w:rsid w:val="0057534D"/>
    <w:rsid w:val="005835E6"/>
    <w:rsid w:val="00583BDF"/>
    <w:rsid w:val="00583DD0"/>
    <w:rsid w:val="00590126"/>
    <w:rsid w:val="00591178"/>
    <w:rsid w:val="00591988"/>
    <w:rsid w:val="005947A8"/>
    <w:rsid w:val="00594C38"/>
    <w:rsid w:val="00596856"/>
    <w:rsid w:val="005A1CD8"/>
    <w:rsid w:val="005A2A6F"/>
    <w:rsid w:val="005A35E2"/>
    <w:rsid w:val="005A6F55"/>
    <w:rsid w:val="005A76B6"/>
    <w:rsid w:val="005A7809"/>
    <w:rsid w:val="005B0930"/>
    <w:rsid w:val="005B2A31"/>
    <w:rsid w:val="005B7E58"/>
    <w:rsid w:val="005C057C"/>
    <w:rsid w:val="005C35E3"/>
    <w:rsid w:val="005C76D5"/>
    <w:rsid w:val="005D02A8"/>
    <w:rsid w:val="005D517E"/>
    <w:rsid w:val="005D5EEB"/>
    <w:rsid w:val="005E37FE"/>
    <w:rsid w:val="005E3F88"/>
    <w:rsid w:val="005E6407"/>
    <w:rsid w:val="005E71BC"/>
    <w:rsid w:val="005F1019"/>
    <w:rsid w:val="005F198B"/>
    <w:rsid w:val="005F64FE"/>
    <w:rsid w:val="005F7DE3"/>
    <w:rsid w:val="00600D67"/>
    <w:rsid w:val="00604A29"/>
    <w:rsid w:val="0060633A"/>
    <w:rsid w:val="006149F1"/>
    <w:rsid w:val="00620FA6"/>
    <w:rsid w:val="006246A5"/>
    <w:rsid w:val="00624A5D"/>
    <w:rsid w:val="00627F9C"/>
    <w:rsid w:val="00630480"/>
    <w:rsid w:val="00631F1B"/>
    <w:rsid w:val="00631FF9"/>
    <w:rsid w:val="00633C3F"/>
    <w:rsid w:val="00640D07"/>
    <w:rsid w:val="00642541"/>
    <w:rsid w:val="00644363"/>
    <w:rsid w:val="006446F7"/>
    <w:rsid w:val="00647B4C"/>
    <w:rsid w:val="00661204"/>
    <w:rsid w:val="00663B3E"/>
    <w:rsid w:val="0066610F"/>
    <w:rsid w:val="0066612D"/>
    <w:rsid w:val="00670A00"/>
    <w:rsid w:val="00673D7C"/>
    <w:rsid w:val="006749FD"/>
    <w:rsid w:val="00674FA3"/>
    <w:rsid w:val="00676C32"/>
    <w:rsid w:val="00680D39"/>
    <w:rsid w:val="00686046"/>
    <w:rsid w:val="006875A3"/>
    <w:rsid w:val="00687A21"/>
    <w:rsid w:val="00690C13"/>
    <w:rsid w:val="0069391A"/>
    <w:rsid w:val="00693938"/>
    <w:rsid w:val="006956C7"/>
    <w:rsid w:val="0069776E"/>
    <w:rsid w:val="006A0ADE"/>
    <w:rsid w:val="006A29C5"/>
    <w:rsid w:val="006A3A54"/>
    <w:rsid w:val="006A561E"/>
    <w:rsid w:val="006A58E4"/>
    <w:rsid w:val="006A7D48"/>
    <w:rsid w:val="006C1F26"/>
    <w:rsid w:val="006C6176"/>
    <w:rsid w:val="006D01DC"/>
    <w:rsid w:val="006D1136"/>
    <w:rsid w:val="006D254A"/>
    <w:rsid w:val="006D4AD4"/>
    <w:rsid w:val="006D5EDF"/>
    <w:rsid w:val="006D780C"/>
    <w:rsid w:val="006E0601"/>
    <w:rsid w:val="006E2615"/>
    <w:rsid w:val="006E2D42"/>
    <w:rsid w:val="006E6394"/>
    <w:rsid w:val="006E6C81"/>
    <w:rsid w:val="006F08D7"/>
    <w:rsid w:val="006F18FD"/>
    <w:rsid w:val="006F4A35"/>
    <w:rsid w:val="006F536C"/>
    <w:rsid w:val="006F657A"/>
    <w:rsid w:val="00702DB6"/>
    <w:rsid w:val="00705D1C"/>
    <w:rsid w:val="00706410"/>
    <w:rsid w:val="007078D3"/>
    <w:rsid w:val="00711E37"/>
    <w:rsid w:val="0071210D"/>
    <w:rsid w:val="0071623D"/>
    <w:rsid w:val="00720C22"/>
    <w:rsid w:val="007218F2"/>
    <w:rsid w:val="00723B96"/>
    <w:rsid w:val="007256EA"/>
    <w:rsid w:val="007269AE"/>
    <w:rsid w:val="00727C51"/>
    <w:rsid w:val="00730DE0"/>
    <w:rsid w:val="00736AF9"/>
    <w:rsid w:val="0074093D"/>
    <w:rsid w:val="00741A50"/>
    <w:rsid w:val="00745032"/>
    <w:rsid w:val="00746ED1"/>
    <w:rsid w:val="00754BDC"/>
    <w:rsid w:val="00755795"/>
    <w:rsid w:val="0075676A"/>
    <w:rsid w:val="00763D73"/>
    <w:rsid w:val="007640C8"/>
    <w:rsid w:val="00766A8A"/>
    <w:rsid w:val="007676AF"/>
    <w:rsid w:val="00770D7C"/>
    <w:rsid w:val="00773727"/>
    <w:rsid w:val="00774E00"/>
    <w:rsid w:val="00776087"/>
    <w:rsid w:val="00785145"/>
    <w:rsid w:val="00786497"/>
    <w:rsid w:val="00787C6A"/>
    <w:rsid w:val="00790289"/>
    <w:rsid w:val="00797BE3"/>
    <w:rsid w:val="007A0571"/>
    <w:rsid w:val="007A1F44"/>
    <w:rsid w:val="007A223B"/>
    <w:rsid w:val="007A3848"/>
    <w:rsid w:val="007A4E13"/>
    <w:rsid w:val="007A694D"/>
    <w:rsid w:val="007B0292"/>
    <w:rsid w:val="007B0E30"/>
    <w:rsid w:val="007B6C26"/>
    <w:rsid w:val="007C23A2"/>
    <w:rsid w:val="007C2757"/>
    <w:rsid w:val="007C2FDE"/>
    <w:rsid w:val="007C5203"/>
    <w:rsid w:val="007C52F5"/>
    <w:rsid w:val="007C5DC4"/>
    <w:rsid w:val="007C70A4"/>
    <w:rsid w:val="007D0CFF"/>
    <w:rsid w:val="007E24A6"/>
    <w:rsid w:val="007E2E80"/>
    <w:rsid w:val="007F282E"/>
    <w:rsid w:val="007F5267"/>
    <w:rsid w:val="007F7846"/>
    <w:rsid w:val="008041A7"/>
    <w:rsid w:val="0080536C"/>
    <w:rsid w:val="008103B2"/>
    <w:rsid w:val="0081299A"/>
    <w:rsid w:val="008132B7"/>
    <w:rsid w:val="00821898"/>
    <w:rsid w:val="00823454"/>
    <w:rsid w:val="00824894"/>
    <w:rsid w:val="008307E5"/>
    <w:rsid w:val="00833B24"/>
    <w:rsid w:val="008455DC"/>
    <w:rsid w:val="0084762B"/>
    <w:rsid w:val="00852DE6"/>
    <w:rsid w:val="00853CC3"/>
    <w:rsid w:val="00853E09"/>
    <w:rsid w:val="00856768"/>
    <w:rsid w:val="00866F05"/>
    <w:rsid w:val="00867D56"/>
    <w:rsid w:val="00870064"/>
    <w:rsid w:val="008725EE"/>
    <w:rsid w:val="008731D1"/>
    <w:rsid w:val="008758DC"/>
    <w:rsid w:val="00892543"/>
    <w:rsid w:val="0089781F"/>
    <w:rsid w:val="008A1C19"/>
    <w:rsid w:val="008A5D82"/>
    <w:rsid w:val="008B537A"/>
    <w:rsid w:val="008B5FA8"/>
    <w:rsid w:val="008C0E72"/>
    <w:rsid w:val="008C0F70"/>
    <w:rsid w:val="008C351E"/>
    <w:rsid w:val="008C651F"/>
    <w:rsid w:val="008C7CEB"/>
    <w:rsid w:val="008D17A8"/>
    <w:rsid w:val="008D523F"/>
    <w:rsid w:val="008E572E"/>
    <w:rsid w:val="008E63C2"/>
    <w:rsid w:val="008E6BC4"/>
    <w:rsid w:val="008F0C26"/>
    <w:rsid w:val="008F4D69"/>
    <w:rsid w:val="008F5C2F"/>
    <w:rsid w:val="008F7F12"/>
    <w:rsid w:val="009026F3"/>
    <w:rsid w:val="00903599"/>
    <w:rsid w:val="00905CE1"/>
    <w:rsid w:val="009151CF"/>
    <w:rsid w:val="00915450"/>
    <w:rsid w:val="00916463"/>
    <w:rsid w:val="009245F6"/>
    <w:rsid w:val="009272C6"/>
    <w:rsid w:val="00930F68"/>
    <w:rsid w:val="0093185F"/>
    <w:rsid w:val="009339EC"/>
    <w:rsid w:val="0093743A"/>
    <w:rsid w:val="00937BFA"/>
    <w:rsid w:val="0094138F"/>
    <w:rsid w:val="00942349"/>
    <w:rsid w:val="00943B37"/>
    <w:rsid w:val="00954DC1"/>
    <w:rsid w:val="00960D8F"/>
    <w:rsid w:val="0096284F"/>
    <w:rsid w:val="0096359D"/>
    <w:rsid w:val="00967270"/>
    <w:rsid w:val="00973200"/>
    <w:rsid w:val="0097416D"/>
    <w:rsid w:val="009759F9"/>
    <w:rsid w:val="00983A8A"/>
    <w:rsid w:val="00984CA8"/>
    <w:rsid w:val="009859B8"/>
    <w:rsid w:val="009930C2"/>
    <w:rsid w:val="00993DE1"/>
    <w:rsid w:val="00994FE7"/>
    <w:rsid w:val="009978AF"/>
    <w:rsid w:val="009B0787"/>
    <w:rsid w:val="009B205B"/>
    <w:rsid w:val="009B3592"/>
    <w:rsid w:val="009B70C3"/>
    <w:rsid w:val="009C1EA2"/>
    <w:rsid w:val="009C3FC7"/>
    <w:rsid w:val="009C4F59"/>
    <w:rsid w:val="009D56AA"/>
    <w:rsid w:val="009E0089"/>
    <w:rsid w:val="009E396D"/>
    <w:rsid w:val="009E4E76"/>
    <w:rsid w:val="009E5E62"/>
    <w:rsid w:val="009F1D0A"/>
    <w:rsid w:val="009F7B22"/>
    <w:rsid w:val="00A01F59"/>
    <w:rsid w:val="00A06551"/>
    <w:rsid w:val="00A067A6"/>
    <w:rsid w:val="00A10000"/>
    <w:rsid w:val="00A10775"/>
    <w:rsid w:val="00A112EB"/>
    <w:rsid w:val="00A11DDF"/>
    <w:rsid w:val="00A1283C"/>
    <w:rsid w:val="00A14A8A"/>
    <w:rsid w:val="00A14AF7"/>
    <w:rsid w:val="00A2199B"/>
    <w:rsid w:val="00A22469"/>
    <w:rsid w:val="00A2645E"/>
    <w:rsid w:val="00A26AC5"/>
    <w:rsid w:val="00A3134D"/>
    <w:rsid w:val="00A33B3A"/>
    <w:rsid w:val="00A35B31"/>
    <w:rsid w:val="00A4214D"/>
    <w:rsid w:val="00A52169"/>
    <w:rsid w:val="00A56706"/>
    <w:rsid w:val="00A62727"/>
    <w:rsid w:val="00A64034"/>
    <w:rsid w:val="00A6567E"/>
    <w:rsid w:val="00A65C29"/>
    <w:rsid w:val="00A65D02"/>
    <w:rsid w:val="00A666CE"/>
    <w:rsid w:val="00A73E40"/>
    <w:rsid w:val="00A8643B"/>
    <w:rsid w:val="00A871F0"/>
    <w:rsid w:val="00A9172E"/>
    <w:rsid w:val="00A94BF6"/>
    <w:rsid w:val="00AA0676"/>
    <w:rsid w:val="00AA3840"/>
    <w:rsid w:val="00AA4F9A"/>
    <w:rsid w:val="00AA5A0A"/>
    <w:rsid w:val="00AB1AF3"/>
    <w:rsid w:val="00AB481C"/>
    <w:rsid w:val="00AB6FE4"/>
    <w:rsid w:val="00AC44F1"/>
    <w:rsid w:val="00AC6DF7"/>
    <w:rsid w:val="00AD00DF"/>
    <w:rsid w:val="00AD0168"/>
    <w:rsid w:val="00AD3C94"/>
    <w:rsid w:val="00AD4FDB"/>
    <w:rsid w:val="00AE059D"/>
    <w:rsid w:val="00AE08F4"/>
    <w:rsid w:val="00AE658B"/>
    <w:rsid w:val="00AF1F1C"/>
    <w:rsid w:val="00AF5920"/>
    <w:rsid w:val="00B00A36"/>
    <w:rsid w:val="00B070F5"/>
    <w:rsid w:val="00B10DAE"/>
    <w:rsid w:val="00B12CBA"/>
    <w:rsid w:val="00B16CAC"/>
    <w:rsid w:val="00B240AC"/>
    <w:rsid w:val="00B24972"/>
    <w:rsid w:val="00B319B6"/>
    <w:rsid w:val="00B31ACE"/>
    <w:rsid w:val="00B3452B"/>
    <w:rsid w:val="00B34950"/>
    <w:rsid w:val="00B352EF"/>
    <w:rsid w:val="00B40D36"/>
    <w:rsid w:val="00B41407"/>
    <w:rsid w:val="00B43514"/>
    <w:rsid w:val="00B45D16"/>
    <w:rsid w:val="00B501B2"/>
    <w:rsid w:val="00B519E6"/>
    <w:rsid w:val="00B525C1"/>
    <w:rsid w:val="00B549E1"/>
    <w:rsid w:val="00B56587"/>
    <w:rsid w:val="00B636D7"/>
    <w:rsid w:val="00B65E1E"/>
    <w:rsid w:val="00B73E6C"/>
    <w:rsid w:val="00B75842"/>
    <w:rsid w:val="00B77270"/>
    <w:rsid w:val="00B87778"/>
    <w:rsid w:val="00B93C5C"/>
    <w:rsid w:val="00B96B2B"/>
    <w:rsid w:val="00B97CAC"/>
    <w:rsid w:val="00BA1EA1"/>
    <w:rsid w:val="00BA69A0"/>
    <w:rsid w:val="00BB1D9B"/>
    <w:rsid w:val="00BB2359"/>
    <w:rsid w:val="00BB2580"/>
    <w:rsid w:val="00BB536F"/>
    <w:rsid w:val="00BB5394"/>
    <w:rsid w:val="00BC3F29"/>
    <w:rsid w:val="00BC64D4"/>
    <w:rsid w:val="00BD1DE7"/>
    <w:rsid w:val="00BD20DA"/>
    <w:rsid w:val="00BE100C"/>
    <w:rsid w:val="00BE48F3"/>
    <w:rsid w:val="00BE6D77"/>
    <w:rsid w:val="00BE736E"/>
    <w:rsid w:val="00BF0AEC"/>
    <w:rsid w:val="00BF123B"/>
    <w:rsid w:val="00BF123D"/>
    <w:rsid w:val="00BF25FC"/>
    <w:rsid w:val="00BF3765"/>
    <w:rsid w:val="00BF3950"/>
    <w:rsid w:val="00BF5EE2"/>
    <w:rsid w:val="00BF69B1"/>
    <w:rsid w:val="00C0025C"/>
    <w:rsid w:val="00C06E74"/>
    <w:rsid w:val="00C109FA"/>
    <w:rsid w:val="00C10AAE"/>
    <w:rsid w:val="00C115F4"/>
    <w:rsid w:val="00C17644"/>
    <w:rsid w:val="00C2107B"/>
    <w:rsid w:val="00C24FAE"/>
    <w:rsid w:val="00C25822"/>
    <w:rsid w:val="00C25B89"/>
    <w:rsid w:val="00C277F4"/>
    <w:rsid w:val="00C34B47"/>
    <w:rsid w:val="00C35F18"/>
    <w:rsid w:val="00C40345"/>
    <w:rsid w:val="00C40B89"/>
    <w:rsid w:val="00C50B3E"/>
    <w:rsid w:val="00C51021"/>
    <w:rsid w:val="00C614A7"/>
    <w:rsid w:val="00C6603E"/>
    <w:rsid w:val="00C66B27"/>
    <w:rsid w:val="00C66F1C"/>
    <w:rsid w:val="00C67122"/>
    <w:rsid w:val="00C67A59"/>
    <w:rsid w:val="00C8573E"/>
    <w:rsid w:val="00C90CE9"/>
    <w:rsid w:val="00C911DE"/>
    <w:rsid w:val="00C921D5"/>
    <w:rsid w:val="00C95F13"/>
    <w:rsid w:val="00CA2ED9"/>
    <w:rsid w:val="00CA3DD3"/>
    <w:rsid w:val="00CA5EC1"/>
    <w:rsid w:val="00CA6D10"/>
    <w:rsid w:val="00CA7E4A"/>
    <w:rsid w:val="00CC343F"/>
    <w:rsid w:val="00CC643A"/>
    <w:rsid w:val="00CD5D9E"/>
    <w:rsid w:val="00CE15C8"/>
    <w:rsid w:val="00CE207D"/>
    <w:rsid w:val="00CE3B3E"/>
    <w:rsid w:val="00CF27C6"/>
    <w:rsid w:val="00CF2AC1"/>
    <w:rsid w:val="00CF784A"/>
    <w:rsid w:val="00CF7E3D"/>
    <w:rsid w:val="00D00802"/>
    <w:rsid w:val="00D01B24"/>
    <w:rsid w:val="00D020E2"/>
    <w:rsid w:val="00D036F0"/>
    <w:rsid w:val="00D04234"/>
    <w:rsid w:val="00D0540D"/>
    <w:rsid w:val="00D13B83"/>
    <w:rsid w:val="00D14D51"/>
    <w:rsid w:val="00D14E3B"/>
    <w:rsid w:val="00D20DEA"/>
    <w:rsid w:val="00D22D43"/>
    <w:rsid w:val="00D23F11"/>
    <w:rsid w:val="00D32449"/>
    <w:rsid w:val="00D32E6F"/>
    <w:rsid w:val="00D35E9C"/>
    <w:rsid w:val="00D44EA4"/>
    <w:rsid w:val="00D46905"/>
    <w:rsid w:val="00D5329C"/>
    <w:rsid w:val="00D53F05"/>
    <w:rsid w:val="00D54889"/>
    <w:rsid w:val="00D5656D"/>
    <w:rsid w:val="00D57072"/>
    <w:rsid w:val="00D57A8D"/>
    <w:rsid w:val="00D61A59"/>
    <w:rsid w:val="00D62AFD"/>
    <w:rsid w:val="00D62B87"/>
    <w:rsid w:val="00D633B6"/>
    <w:rsid w:val="00D64F6D"/>
    <w:rsid w:val="00D6519D"/>
    <w:rsid w:val="00D70758"/>
    <w:rsid w:val="00D7194F"/>
    <w:rsid w:val="00D72130"/>
    <w:rsid w:val="00D72377"/>
    <w:rsid w:val="00D75318"/>
    <w:rsid w:val="00D760EF"/>
    <w:rsid w:val="00D77749"/>
    <w:rsid w:val="00D77F62"/>
    <w:rsid w:val="00D80239"/>
    <w:rsid w:val="00D80E2D"/>
    <w:rsid w:val="00D82C3F"/>
    <w:rsid w:val="00D82E20"/>
    <w:rsid w:val="00D906FA"/>
    <w:rsid w:val="00DA0E70"/>
    <w:rsid w:val="00DA1E7A"/>
    <w:rsid w:val="00DA21DB"/>
    <w:rsid w:val="00DA5A00"/>
    <w:rsid w:val="00DA68B9"/>
    <w:rsid w:val="00DA6917"/>
    <w:rsid w:val="00DB5FF7"/>
    <w:rsid w:val="00DC0181"/>
    <w:rsid w:val="00DC0CB0"/>
    <w:rsid w:val="00DC23FE"/>
    <w:rsid w:val="00DC4E35"/>
    <w:rsid w:val="00DD0417"/>
    <w:rsid w:val="00DD13E2"/>
    <w:rsid w:val="00DD2781"/>
    <w:rsid w:val="00DD2D53"/>
    <w:rsid w:val="00DD5971"/>
    <w:rsid w:val="00DD5DC9"/>
    <w:rsid w:val="00DE0587"/>
    <w:rsid w:val="00DE16E2"/>
    <w:rsid w:val="00DF0AF9"/>
    <w:rsid w:val="00DF1527"/>
    <w:rsid w:val="00DF2F2C"/>
    <w:rsid w:val="00DF3485"/>
    <w:rsid w:val="00DF51C8"/>
    <w:rsid w:val="00E014FE"/>
    <w:rsid w:val="00E1520C"/>
    <w:rsid w:val="00E23E06"/>
    <w:rsid w:val="00E25492"/>
    <w:rsid w:val="00E31685"/>
    <w:rsid w:val="00E325CC"/>
    <w:rsid w:val="00E37AA1"/>
    <w:rsid w:val="00E426C9"/>
    <w:rsid w:val="00E50EFF"/>
    <w:rsid w:val="00E50F4B"/>
    <w:rsid w:val="00E51947"/>
    <w:rsid w:val="00E53096"/>
    <w:rsid w:val="00E56111"/>
    <w:rsid w:val="00E57465"/>
    <w:rsid w:val="00E60476"/>
    <w:rsid w:val="00E61468"/>
    <w:rsid w:val="00E65AE8"/>
    <w:rsid w:val="00E6713D"/>
    <w:rsid w:val="00E70CAE"/>
    <w:rsid w:val="00E726BA"/>
    <w:rsid w:val="00E755E5"/>
    <w:rsid w:val="00E80DE9"/>
    <w:rsid w:val="00E83DA0"/>
    <w:rsid w:val="00E85324"/>
    <w:rsid w:val="00E93579"/>
    <w:rsid w:val="00E95C59"/>
    <w:rsid w:val="00EA0886"/>
    <w:rsid w:val="00EA2502"/>
    <w:rsid w:val="00EA2AAB"/>
    <w:rsid w:val="00EB2068"/>
    <w:rsid w:val="00EB5002"/>
    <w:rsid w:val="00EC1776"/>
    <w:rsid w:val="00EC3F2F"/>
    <w:rsid w:val="00EC4B6A"/>
    <w:rsid w:val="00EC5573"/>
    <w:rsid w:val="00EC693F"/>
    <w:rsid w:val="00ED0209"/>
    <w:rsid w:val="00ED4829"/>
    <w:rsid w:val="00ED60C2"/>
    <w:rsid w:val="00ED78F3"/>
    <w:rsid w:val="00ED7AA0"/>
    <w:rsid w:val="00EE03F5"/>
    <w:rsid w:val="00EE44C4"/>
    <w:rsid w:val="00EE5FEE"/>
    <w:rsid w:val="00EF4D17"/>
    <w:rsid w:val="00EF536F"/>
    <w:rsid w:val="00EF6B28"/>
    <w:rsid w:val="00F0032B"/>
    <w:rsid w:val="00F07DC2"/>
    <w:rsid w:val="00F10958"/>
    <w:rsid w:val="00F1657E"/>
    <w:rsid w:val="00F1770B"/>
    <w:rsid w:val="00F20846"/>
    <w:rsid w:val="00F2178A"/>
    <w:rsid w:val="00F2343A"/>
    <w:rsid w:val="00F420D8"/>
    <w:rsid w:val="00F421A5"/>
    <w:rsid w:val="00F44637"/>
    <w:rsid w:val="00F45389"/>
    <w:rsid w:val="00F46398"/>
    <w:rsid w:val="00F4708B"/>
    <w:rsid w:val="00F53B53"/>
    <w:rsid w:val="00F53C2C"/>
    <w:rsid w:val="00F53CE0"/>
    <w:rsid w:val="00F56ECE"/>
    <w:rsid w:val="00F66A72"/>
    <w:rsid w:val="00F75846"/>
    <w:rsid w:val="00F7667E"/>
    <w:rsid w:val="00F83F9F"/>
    <w:rsid w:val="00F8521C"/>
    <w:rsid w:val="00F86466"/>
    <w:rsid w:val="00F8666D"/>
    <w:rsid w:val="00F91340"/>
    <w:rsid w:val="00F92D09"/>
    <w:rsid w:val="00F9346E"/>
    <w:rsid w:val="00FA1E70"/>
    <w:rsid w:val="00FA47E2"/>
    <w:rsid w:val="00FA6C7F"/>
    <w:rsid w:val="00FB2F77"/>
    <w:rsid w:val="00FB4B56"/>
    <w:rsid w:val="00FB55E9"/>
    <w:rsid w:val="00FC475E"/>
    <w:rsid w:val="00FC7D8B"/>
    <w:rsid w:val="00FD3A3C"/>
    <w:rsid w:val="00FD4EB1"/>
    <w:rsid w:val="00FD55D4"/>
    <w:rsid w:val="00FD7EE2"/>
    <w:rsid w:val="00FE6B22"/>
    <w:rsid w:val="00FE7A66"/>
    <w:rsid w:val="00FF0836"/>
    <w:rsid w:val="00FF15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4D290BA-C495-4909-8F2E-0F26DF4E5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paragraph" w:styleId="Textonotaalfinal">
    <w:name w:val="endnote text"/>
    <w:basedOn w:val="Normal"/>
    <w:link w:val="TextonotaalfinalCar"/>
    <w:uiPriority w:val="99"/>
    <w:semiHidden/>
    <w:unhideWhenUsed/>
    <w:rsid w:val="00746ED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46ED1"/>
    <w:rPr>
      <w:sz w:val="20"/>
      <w:szCs w:val="20"/>
    </w:rPr>
  </w:style>
  <w:style w:type="character" w:styleId="Refdenotaalfinal">
    <w:name w:val="endnote reference"/>
    <w:basedOn w:val="Fuentedeprrafopredeter"/>
    <w:uiPriority w:val="99"/>
    <w:semiHidden/>
    <w:unhideWhenUsed/>
    <w:rsid w:val="00746ED1"/>
    <w:rPr>
      <w:vertAlign w:val="superscript"/>
    </w:rPr>
  </w:style>
  <w:style w:type="character" w:customStyle="1" w:styleId="TextonotapieCar1">
    <w:name w:val="Texto nota pie Car1"/>
    <w:uiPriority w:val="99"/>
    <w:rsid w:val="00AC6DF7"/>
    <w:rPr>
      <w:rFonts w:ascii="Times New Roman" w:eastAsia="Times New Roman" w:hAnsi="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9933431">
      <w:bodyDiv w:val="1"/>
      <w:marLeft w:val="0"/>
      <w:marRight w:val="0"/>
      <w:marTop w:val="0"/>
      <w:marBottom w:val="0"/>
      <w:divBdr>
        <w:top w:val="none" w:sz="0" w:space="0" w:color="auto"/>
        <w:left w:val="none" w:sz="0" w:space="0" w:color="auto"/>
        <w:bottom w:val="none" w:sz="0" w:space="0" w:color="auto"/>
        <w:right w:val="none" w:sz="0" w:space="0" w:color="auto"/>
      </w:divBdr>
    </w:div>
    <w:div w:id="533152123">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4450615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26405417">
      <w:bodyDiv w:val="1"/>
      <w:marLeft w:val="0"/>
      <w:marRight w:val="0"/>
      <w:marTop w:val="0"/>
      <w:marBottom w:val="0"/>
      <w:divBdr>
        <w:top w:val="none" w:sz="0" w:space="0" w:color="auto"/>
        <w:left w:val="none" w:sz="0" w:space="0" w:color="auto"/>
        <w:bottom w:val="none" w:sz="0" w:space="0" w:color="auto"/>
        <w:right w:val="none" w:sz="0" w:space="0" w:color="auto"/>
      </w:divBdr>
    </w:div>
    <w:div w:id="1262647162">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73189448">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26938882">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57853014">
      <w:bodyDiv w:val="1"/>
      <w:marLeft w:val="0"/>
      <w:marRight w:val="0"/>
      <w:marTop w:val="0"/>
      <w:marBottom w:val="0"/>
      <w:divBdr>
        <w:top w:val="none" w:sz="0" w:space="0" w:color="auto"/>
        <w:left w:val="none" w:sz="0" w:space="0" w:color="auto"/>
        <w:bottom w:val="none" w:sz="0" w:space="0" w:color="auto"/>
        <w:right w:val="none" w:sz="0" w:space="0" w:color="auto"/>
      </w:divBdr>
    </w:div>
    <w:div w:id="208440271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087877784">
      <w:bodyDiv w:val="1"/>
      <w:marLeft w:val="0"/>
      <w:marRight w:val="0"/>
      <w:marTop w:val="0"/>
      <w:marBottom w:val="0"/>
      <w:divBdr>
        <w:top w:val="none" w:sz="0" w:space="0" w:color="auto"/>
        <w:left w:val="none" w:sz="0" w:space="0" w:color="auto"/>
        <w:bottom w:val="none" w:sz="0" w:space="0" w:color="auto"/>
        <w:right w:val="none" w:sz="0" w:space="0" w:color="auto"/>
      </w:divBdr>
    </w:div>
    <w:div w:id="20935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Alf</b:Tag>
    <b:SourceType>Book</b:SourceType>
    <b:Guid>{6EAB2B2F-8B66-49E0-9459-8058793262E3}</b:Guid>
    <b:Author>
      <b:Author>
        <b:NameList>
          <b:Person>
            <b:Last>Alfaro Jiménez</b:Last>
            <b:First>Victor</b:First>
            <b:Middle>Manuel</b:Middle>
          </b:Person>
        </b:NameList>
      </b:Author>
    </b:Author>
    <b:Title>GLOSARIO DE TERMINOS DE DERECHO FISCAL</b:Title>
    <b:RefOrder>1</b:RefOrder>
  </b:Source>
</b:Sources>
</file>

<file path=customXml/itemProps1.xml><?xml version="1.0" encoding="utf-8"?>
<ds:datastoreItem xmlns:ds="http://schemas.openxmlformats.org/officeDocument/2006/customXml" ds:itemID="{6ADFC2CC-4B15-446A-AF30-5C3FCECF9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8270</Words>
  <Characters>45489</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2019-06-28T18:31:00Z</cp:lastPrinted>
  <dcterms:created xsi:type="dcterms:W3CDTF">2019-08-14T01:53:00Z</dcterms:created>
  <dcterms:modified xsi:type="dcterms:W3CDTF">2019-08-14T01:53:00Z</dcterms:modified>
</cp:coreProperties>
</file>