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EC22D4" w:rsidRDefault="00333841" w:rsidP="00EC22D4">
      <w:pPr>
        <w:spacing w:before="240" w:after="240" w:line="360" w:lineRule="auto"/>
        <w:jc w:val="center"/>
        <w:rPr>
          <w:rFonts w:ascii="Palatino Linotype" w:hAnsi="Palatino Linotype"/>
          <w:b/>
        </w:rPr>
      </w:pPr>
      <w:r w:rsidRPr="00EC22D4">
        <w:rPr>
          <w:rFonts w:ascii="Palatino Linotype" w:hAnsi="Palatino Linotype"/>
          <w:b/>
        </w:rPr>
        <w:t>LÍNEAS ARGUMENTATIVAS</w:t>
      </w:r>
    </w:p>
    <w:p w:rsidR="00CF1AA8" w:rsidRPr="00EC22D4" w:rsidRDefault="00CF1AA8" w:rsidP="00EC22D4">
      <w:pPr>
        <w:spacing w:before="240" w:after="240" w:line="360" w:lineRule="auto"/>
        <w:jc w:val="both"/>
        <w:rPr>
          <w:rFonts w:ascii="Palatino Linotype" w:hAnsi="Palatino Linotype"/>
        </w:rPr>
      </w:pPr>
      <w:bookmarkStart w:id="0" w:name="_Toc476570268"/>
      <w:bookmarkStart w:id="1" w:name="_Toc476570283"/>
      <w:r w:rsidRPr="00EC22D4">
        <w:rPr>
          <w:rFonts w:ascii="Palatino Linotype" w:hAnsi="Palatino Linotype"/>
          <w:b/>
        </w:rPr>
        <w:t>NEGATIVA FICTA, NO EXISTE PLAZO PERENTORIO PARA INTERPONER EL RECURSO.</w:t>
      </w:r>
      <w:r w:rsidRPr="00EC22D4">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rsidR="00CF1AA8" w:rsidRPr="00EC22D4" w:rsidRDefault="00CF1AA8" w:rsidP="00EC22D4">
      <w:pPr>
        <w:spacing w:before="240" w:after="240" w:line="360" w:lineRule="auto"/>
        <w:jc w:val="both"/>
        <w:rPr>
          <w:rFonts w:ascii="Palatino Linotype" w:eastAsia="Times New Roman" w:hAnsi="Palatino Linotype"/>
        </w:rPr>
      </w:pPr>
      <w:r w:rsidRPr="00EC22D4">
        <w:rPr>
          <w:rFonts w:ascii="Palatino Linotype" w:hAnsi="Palatino Linotype"/>
          <w:b/>
        </w:rPr>
        <w:t>DEBERES DE LAS AUTORIDADES</w:t>
      </w:r>
      <w:bookmarkEnd w:id="0"/>
      <w:r w:rsidRPr="00EC22D4">
        <w:rPr>
          <w:rFonts w:ascii="Palatino Linotype" w:eastAsia="Times New Roman" w:hAnsi="Palatino Linotype"/>
          <w:b/>
        </w:rPr>
        <w:t>.</w:t>
      </w:r>
      <w:r w:rsidRPr="00EC22D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F1AA8" w:rsidRPr="00EC22D4" w:rsidRDefault="00CF1AA8" w:rsidP="00EC22D4">
      <w:pPr>
        <w:spacing w:before="240" w:after="240" w:line="360" w:lineRule="auto"/>
        <w:ind w:right="142"/>
        <w:jc w:val="both"/>
        <w:rPr>
          <w:rFonts w:ascii="Palatino Linotype" w:eastAsia="MS Mincho" w:hAnsi="Palatino Linotype" w:cs="Arial"/>
        </w:rPr>
      </w:pPr>
      <w:r w:rsidRPr="00EC22D4">
        <w:rPr>
          <w:rFonts w:ascii="Palatino Linotype" w:eastAsia="MS Mincho" w:hAnsi="Palatino Linotype" w:cs="Arial"/>
          <w:b/>
        </w:rPr>
        <w:t xml:space="preserve">VERSIÓN PÚBLICA. </w:t>
      </w:r>
      <w:r w:rsidRPr="00EC22D4">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EC22D4" w:rsidRDefault="00323580" w:rsidP="00EC22D4">
      <w:pPr>
        <w:spacing w:before="240" w:after="240" w:line="360" w:lineRule="auto"/>
        <w:jc w:val="both"/>
        <w:rPr>
          <w:rFonts w:ascii="Palatino Linotype" w:eastAsia="Times New Roman" w:hAnsi="Palatino Linotype"/>
        </w:rPr>
      </w:pPr>
    </w:p>
    <w:p w:rsidR="00333841" w:rsidRPr="00EC22D4" w:rsidRDefault="00333841" w:rsidP="00EC22D4">
      <w:pPr>
        <w:spacing w:before="240" w:after="240" w:line="360" w:lineRule="auto"/>
        <w:jc w:val="both"/>
        <w:rPr>
          <w:rFonts w:ascii="Palatino Linotype" w:eastAsia="Calibri" w:hAnsi="Palatino Linotype" w:cs="Arial"/>
          <w:b/>
          <w:lang w:val="es-ES" w:eastAsia="es-MX"/>
        </w:rPr>
      </w:pPr>
    </w:p>
    <w:p w:rsidR="00994DEC" w:rsidRDefault="00994DEC" w:rsidP="00EC22D4">
      <w:pPr>
        <w:spacing w:before="240" w:after="240" w:line="360" w:lineRule="auto"/>
        <w:jc w:val="both"/>
        <w:rPr>
          <w:rFonts w:ascii="Palatino Linotype" w:eastAsia="Calibri" w:hAnsi="Palatino Linotype" w:cs="Arial"/>
          <w:b/>
          <w:lang w:val="es-ES" w:eastAsia="es-MX"/>
        </w:rPr>
      </w:pPr>
    </w:p>
    <w:p w:rsidR="00EC22D4" w:rsidRPr="00EC22D4" w:rsidRDefault="00EC22D4" w:rsidP="00EC22D4">
      <w:pPr>
        <w:spacing w:before="240" w:after="240" w:line="360" w:lineRule="auto"/>
        <w:jc w:val="both"/>
        <w:rPr>
          <w:rFonts w:ascii="Palatino Linotype" w:eastAsia="Calibri" w:hAnsi="Palatino Linotype" w:cs="Arial"/>
          <w:b/>
          <w:lang w:val="es-ES" w:eastAsia="es-MX"/>
        </w:rPr>
      </w:pPr>
    </w:p>
    <w:bookmarkEnd w:id="1"/>
    <w:p w:rsidR="00333841" w:rsidRPr="00EC22D4" w:rsidRDefault="00333841" w:rsidP="00EC22D4">
      <w:pPr>
        <w:spacing w:before="240" w:after="240" w:line="360" w:lineRule="auto"/>
        <w:jc w:val="center"/>
        <w:rPr>
          <w:rFonts w:ascii="Palatino Linotype" w:hAnsi="Palatino Linotype"/>
        </w:rPr>
      </w:pPr>
      <w:r w:rsidRPr="00EC22D4">
        <w:rPr>
          <w:rFonts w:ascii="Palatino Linotype" w:hAnsi="Palatino Linotype"/>
          <w:b/>
        </w:rPr>
        <w:lastRenderedPageBreak/>
        <w:t>Índice</w:t>
      </w:r>
      <w:r w:rsidRPr="00EC22D4">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EC22D4" w:rsidRDefault="00333841" w:rsidP="00EC22D4">
          <w:pPr>
            <w:pStyle w:val="TtulodeTDC"/>
            <w:spacing w:line="360" w:lineRule="auto"/>
            <w:rPr>
              <w:rFonts w:ascii="Palatino Linotype" w:hAnsi="Palatino Linotype"/>
              <w:sz w:val="24"/>
              <w:szCs w:val="24"/>
            </w:rPr>
          </w:pPr>
        </w:p>
        <w:p w:rsidR="00422BBC" w:rsidRPr="00EC22D4" w:rsidRDefault="00333841" w:rsidP="00EC22D4">
          <w:pPr>
            <w:pStyle w:val="TDC1"/>
            <w:spacing w:after="0"/>
            <w:rPr>
              <w:rFonts w:ascii="Palatino Linotype" w:hAnsi="Palatino Linotype"/>
              <w:noProof/>
              <w:lang w:val="es-MX" w:eastAsia="es-MX"/>
            </w:rPr>
          </w:pPr>
          <w:r w:rsidRPr="00EC22D4">
            <w:rPr>
              <w:rFonts w:ascii="Palatino Linotype" w:hAnsi="Palatino Linotype"/>
            </w:rPr>
            <w:fldChar w:fldCharType="begin"/>
          </w:r>
          <w:r w:rsidRPr="00EC22D4">
            <w:rPr>
              <w:rFonts w:ascii="Palatino Linotype" w:hAnsi="Palatino Linotype"/>
            </w:rPr>
            <w:instrText xml:space="preserve"> TOC \o "1-3" \h \z \u </w:instrText>
          </w:r>
          <w:r w:rsidRPr="00EC22D4">
            <w:rPr>
              <w:rFonts w:ascii="Palatino Linotype" w:hAnsi="Palatino Linotype"/>
            </w:rPr>
            <w:fldChar w:fldCharType="separate"/>
          </w:r>
          <w:hyperlink w:anchor="_Toc21009176" w:history="1">
            <w:r w:rsidR="00422BBC" w:rsidRPr="00EC22D4">
              <w:rPr>
                <w:rStyle w:val="Hipervnculo"/>
                <w:rFonts w:ascii="Palatino Linotype" w:hAnsi="Palatino Linotype"/>
                <w:b/>
                <w:noProof/>
              </w:rPr>
              <w:t>ANTECEDENTES</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_Toc21009176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3</w:t>
            </w:r>
            <w:r w:rsidR="00422BBC" w:rsidRPr="00EC22D4">
              <w:rPr>
                <w:rFonts w:ascii="Palatino Linotype" w:hAnsi="Palatino Linotype"/>
                <w:noProof/>
                <w:webHidden/>
              </w:rPr>
              <w:fldChar w:fldCharType="end"/>
            </w:r>
          </w:hyperlink>
        </w:p>
        <w:p w:rsidR="00422BBC" w:rsidRPr="00EC22D4" w:rsidRDefault="00717207" w:rsidP="00EC22D4">
          <w:pPr>
            <w:pStyle w:val="TDC1"/>
            <w:spacing w:after="0"/>
            <w:rPr>
              <w:rFonts w:ascii="Palatino Linotype" w:hAnsi="Palatino Linotype"/>
              <w:noProof/>
              <w:lang w:val="es-MX" w:eastAsia="es-MX"/>
            </w:rPr>
          </w:pPr>
          <w:hyperlink w:anchor="_Toc21009177" w:history="1">
            <w:r w:rsidR="00422BBC" w:rsidRPr="00EC22D4">
              <w:rPr>
                <w:rStyle w:val="Hipervnculo"/>
                <w:rFonts w:ascii="Palatino Linotype" w:hAnsi="Palatino Linotype"/>
                <w:b/>
                <w:noProof/>
              </w:rPr>
              <w:t>CONSIDERANDO</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_Toc21009177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5</w:t>
            </w:r>
            <w:r w:rsidR="00422BBC" w:rsidRPr="00EC22D4">
              <w:rPr>
                <w:rFonts w:ascii="Palatino Linotype" w:hAnsi="Palatino Linotype"/>
                <w:noProof/>
                <w:webHidden/>
              </w:rPr>
              <w:fldChar w:fldCharType="end"/>
            </w:r>
          </w:hyperlink>
        </w:p>
        <w:p w:rsidR="00422BBC" w:rsidRPr="00EC22D4" w:rsidRDefault="00717207" w:rsidP="00EC22D4">
          <w:pPr>
            <w:pStyle w:val="TDC2"/>
            <w:spacing w:after="0" w:line="360" w:lineRule="auto"/>
            <w:ind w:left="0"/>
            <w:rPr>
              <w:rFonts w:ascii="Palatino Linotype" w:hAnsi="Palatino Linotype"/>
              <w:noProof/>
              <w:lang w:val="es-MX" w:eastAsia="es-MX"/>
            </w:rPr>
          </w:pPr>
          <w:hyperlink w:anchor="_Toc21009178" w:history="1">
            <w:r w:rsidR="00422BBC" w:rsidRPr="00EC22D4">
              <w:rPr>
                <w:rStyle w:val="Hipervnculo"/>
                <w:rFonts w:ascii="Palatino Linotype" w:hAnsi="Palatino Linotype"/>
                <w:b/>
                <w:noProof/>
              </w:rPr>
              <w:t>PRIMERO. De la competencia</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_Toc21009178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5</w:t>
            </w:r>
            <w:r w:rsidR="00422BBC" w:rsidRPr="00EC22D4">
              <w:rPr>
                <w:rFonts w:ascii="Palatino Linotype" w:hAnsi="Palatino Linotype"/>
                <w:noProof/>
                <w:webHidden/>
              </w:rPr>
              <w:fldChar w:fldCharType="end"/>
            </w:r>
          </w:hyperlink>
        </w:p>
        <w:p w:rsidR="00422BBC" w:rsidRPr="00EC22D4" w:rsidRDefault="00717207" w:rsidP="00EC22D4">
          <w:pPr>
            <w:pStyle w:val="TDC2"/>
            <w:spacing w:after="0" w:line="360" w:lineRule="auto"/>
            <w:ind w:left="0"/>
            <w:rPr>
              <w:rFonts w:ascii="Palatino Linotype" w:hAnsi="Palatino Linotype"/>
              <w:noProof/>
              <w:lang w:val="es-MX" w:eastAsia="es-MX"/>
            </w:rPr>
          </w:pPr>
          <w:hyperlink w:anchor="_Toc21009179" w:history="1">
            <w:r w:rsidR="00422BBC" w:rsidRPr="00EC22D4">
              <w:rPr>
                <w:rStyle w:val="Hipervnculo"/>
                <w:rFonts w:ascii="Palatino Linotype" w:hAnsi="Palatino Linotype"/>
                <w:b/>
                <w:noProof/>
              </w:rPr>
              <w:t>SEGUNDO. De la oportunidad y procedencia.</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_Toc21009179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6</w:t>
            </w:r>
            <w:r w:rsidR="00422BBC" w:rsidRPr="00EC22D4">
              <w:rPr>
                <w:rFonts w:ascii="Palatino Linotype" w:hAnsi="Palatino Linotype"/>
                <w:noProof/>
                <w:webHidden/>
              </w:rPr>
              <w:fldChar w:fldCharType="end"/>
            </w:r>
          </w:hyperlink>
        </w:p>
        <w:p w:rsidR="00422BBC" w:rsidRPr="00EC22D4" w:rsidRDefault="00717207" w:rsidP="00EC22D4">
          <w:pPr>
            <w:pStyle w:val="TDC1"/>
            <w:spacing w:after="0"/>
            <w:rPr>
              <w:rFonts w:ascii="Palatino Linotype" w:hAnsi="Palatino Linotype"/>
              <w:noProof/>
              <w:lang w:val="es-MX" w:eastAsia="es-MX"/>
            </w:rPr>
          </w:pPr>
          <w:hyperlink w:anchor="_Toc21009180" w:history="1">
            <w:r w:rsidR="00422BBC" w:rsidRPr="00EC22D4">
              <w:rPr>
                <w:rStyle w:val="Hipervnculo"/>
                <w:rFonts w:ascii="Palatino Linotype" w:hAnsi="Palatino Linotype"/>
                <w:b/>
                <w:noProof/>
              </w:rPr>
              <w:t xml:space="preserve">TERCERO. Planteamiento de la </w:t>
            </w:r>
            <w:r w:rsidR="00422BBC" w:rsidRPr="00EC22D4">
              <w:rPr>
                <w:rStyle w:val="Hipervnculo"/>
                <w:rFonts w:ascii="Palatino Linotype" w:hAnsi="Palatino Linotype"/>
                <w:b/>
                <w:i/>
                <w:noProof/>
              </w:rPr>
              <w:t>Litis</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_Toc21009180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11</w:t>
            </w:r>
            <w:r w:rsidR="00422BBC" w:rsidRPr="00EC22D4">
              <w:rPr>
                <w:rFonts w:ascii="Palatino Linotype" w:hAnsi="Palatino Linotype"/>
                <w:noProof/>
                <w:webHidden/>
              </w:rPr>
              <w:fldChar w:fldCharType="end"/>
            </w:r>
          </w:hyperlink>
        </w:p>
        <w:p w:rsidR="00422BBC" w:rsidRPr="00EC22D4" w:rsidRDefault="00717207" w:rsidP="00EC22D4">
          <w:pPr>
            <w:pStyle w:val="TDC1"/>
            <w:spacing w:after="0"/>
            <w:rPr>
              <w:rFonts w:ascii="Palatino Linotype" w:hAnsi="Palatino Linotype"/>
              <w:noProof/>
              <w:lang w:val="es-MX" w:eastAsia="es-MX"/>
            </w:rPr>
          </w:pPr>
          <w:hyperlink w:anchor="_Toc21009181" w:history="1">
            <w:r w:rsidR="00422BBC" w:rsidRPr="00EC22D4">
              <w:rPr>
                <w:rStyle w:val="Hipervnculo"/>
                <w:rFonts w:ascii="Palatino Linotype" w:hAnsi="Palatino Linotype"/>
                <w:b/>
                <w:noProof/>
              </w:rPr>
              <w:t>CUARTO. Estudio y resolución del asunto</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_Toc21009181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12</w:t>
            </w:r>
            <w:r w:rsidR="00422BBC" w:rsidRPr="00EC22D4">
              <w:rPr>
                <w:rFonts w:ascii="Palatino Linotype" w:hAnsi="Palatino Linotype"/>
                <w:noProof/>
                <w:webHidden/>
              </w:rPr>
              <w:fldChar w:fldCharType="end"/>
            </w:r>
          </w:hyperlink>
        </w:p>
        <w:p w:rsidR="00422BBC" w:rsidRPr="00EC22D4" w:rsidRDefault="00717207" w:rsidP="00EC22D4">
          <w:pPr>
            <w:pStyle w:val="TDC2"/>
            <w:tabs>
              <w:tab w:val="left" w:pos="1100"/>
            </w:tabs>
            <w:spacing w:after="0" w:line="360" w:lineRule="auto"/>
            <w:ind w:left="0"/>
            <w:rPr>
              <w:rFonts w:ascii="Palatino Linotype" w:hAnsi="Palatino Linotype"/>
              <w:noProof/>
              <w:lang w:val="es-MX" w:eastAsia="es-MX"/>
            </w:rPr>
          </w:pPr>
          <w:hyperlink w:anchor="_Toc21009182" w:history="1">
            <w:r w:rsidR="00422BBC" w:rsidRPr="00EC22D4">
              <w:rPr>
                <w:rStyle w:val="Hipervnculo"/>
                <w:rFonts w:ascii="Palatino Linotype" w:hAnsi="Palatino Linotype"/>
                <w:b/>
                <w:i/>
                <w:noProof/>
              </w:rPr>
              <w:t>I.Omisión de atender una solicitud de información.</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_Toc21009182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14</w:t>
            </w:r>
            <w:r w:rsidR="00422BBC" w:rsidRPr="00EC22D4">
              <w:rPr>
                <w:rFonts w:ascii="Palatino Linotype" w:hAnsi="Palatino Linotype"/>
                <w:noProof/>
                <w:webHidden/>
              </w:rPr>
              <w:fldChar w:fldCharType="end"/>
            </w:r>
          </w:hyperlink>
        </w:p>
        <w:p w:rsidR="00422BBC" w:rsidRPr="00EC22D4" w:rsidRDefault="00717207" w:rsidP="00EC22D4">
          <w:pPr>
            <w:pStyle w:val="TDC2"/>
            <w:spacing w:after="0" w:line="360" w:lineRule="auto"/>
            <w:ind w:left="0"/>
            <w:rPr>
              <w:rFonts w:ascii="Palatino Linotype" w:hAnsi="Palatino Linotype"/>
              <w:noProof/>
              <w:lang w:val="es-MX" w:eastAsia="es-MX"/>
            </w:rPr>
          </w:pPr>
          <w:hyperlink w:anchor="_Toc21009183" w:history="1">
            <w:r w:rsidR="00422BBC" w:rsidRPr="00EC22D4">
              <w:rPr>
                <w:rStyle w:val="Hipervnculo"/>
                <w:rFonts w:ascii="Palatino Linotype" w:eastAsia="Times New Roman" w:hAnsi="Palatino Linotype"/>
                <w:b/>
                <w:i/>
                <w:noProof/>
              </w:rPr>
              <w:t>II. De la fuente obligacional.</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_Toc21009183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20</w:t>
            </w:r>
            <w:r w:rsidR="00422BBC" w:rsidRPr="00EC22D4">
              <w:rPr>
                <w:rFonts w:ascii="Palatino Linotype" w:hAnsi="Palatino Linotype"/>
                <w:noProof/>
                <w:webHidden/>
              </w:rPr>
              <w:fldChar w:fldCharType="end"/>
            </w:r>
          </w:hyperlink>
        </w:p>
        <w:p w:rsidR="00422BBC" w:rsidRPr="00EC22D4" w:rsidRDefault="00717207" w:rsidP="00EC22D4">
          <w:pPr>
            <w:pStyle w:val="TDC1"/>
            <w:spacing w:after="0"/>
            <w:rPr>
              <w:rFonts w:ascii="Palatino Linotype" w:hAnsi="Palatino Linotype"/>
              <w:noProof/>
              <w:lang w:val="es-MX" w:eastAsia="es-MX"/>
            </w:rPr>
          </w:pPr>
          <w:hyperlink w:anchor="_Toc21009184" w:history="1">
            <w:r w:rsidR="00422BBC" w:rsidRPr="00EC22D4">
              <w:rPr>
                <w:rStyle w:val="Hipervnculo"/>
                <w:rFonts w:ascii="Palatino Linotype" w:eastAsia="MS Gothic" w:hAnsi="Palatino Linotype"/>
                <w:b/>
                <w:noProof/>
              </w:rPr>
              <w:t>QUINTO. De la vista al órgano de control interno.</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_Toc21009184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31</w:t>
            </w:r>
            <w:r w:rsidR="00422BBC" w:rsidRPr="00EC22D4">
              <w:rPr>
                <w:rFonts w:ascii="Palatino Linotype" w:hAnsi="Palatino Linotype"/>
                <w:noProof/>
                <w:webHidden/>
              </w:rPr>
              <w:fldChar w:fldCharType="end"/>
            </w:r>
          </w:hyperlink>
        </w:p>
        <w:p w:rsidR="00422BBC" w:rsidRPr="00EC22D4" w:rsidRDefault="00717207" w:rsidP="00EC22D4">
          <w:pPr>
            <w:pStyle w:val="TDC3"/>
            <w:tabs>
              <w:tab w:val="right" w:leader="dot" w:pos="8828"/>
            </w:tabs>
            <w:spacing w:after="0" w:line="360" w:lineRule="auto"/>
            <w:ind w:left="0"/>
            <w:rPr>
              <w:rFonts w:ascii="Palatino Linotype" w:hAnsi="Palatino Linotype"/>
              <w:noProof/>
              <w:lang w:val="es-MX" w:eastAsia="es-MX"/>
            </w:rPr>
          </w:pPr>
          <w:hyperlink w:anchor="_Toc21009185" w:history="1">
            <w:r w:rsidR="00422BBC" w:rsidRPr="00EC22D4">
              <w:rPr>
                <w:rStyle w:val="Hipervnculo"/>
                <w:rFonts w:ascii="Palatino Linotype" w:hAnsi="Palatino Linotype"/>
                <w:b/>
                <w:noProof/>
              </w:rPr>
              <w:t>SEXTO. De la Versión Pública</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_Toc21009185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33</w:t>
            </w:r>
            <w:r w:rsidR="00422BBC" w:rsidRPr="00EC22D4">
              <w:rPr>
                <w:rFonts w:ascii="Palatino Linotype" w:hAnsi="Palatino Linotype"/>
                <w:noProof/>
                <w:webHidden/>
              </w:rPr>
              <w:fldChar w:fldCharType="end"/>
            </w:r>
          </w:hyperlink>
        </w:p>
        <w:p w:rsidR="00422BBC" w:rsidRPr="00EC22D4" w:rsidRDefault="00717207" w:rsidP="00EC22D4">
          <w:pPr>
            <w:pStyle w:val="TDC3"/>
            <w:tabs>
              <w:tab w:val="left" w:pos="880"/>
              <w:tab w:val="right" w:leader="dot" w:pos="8828"/>
            </w:tabs>
            <w:spacing w:after="0" w:line="360" w:lineRule="auto"/>
            <w:ind w:left="0"/>
            <w:rPr>
              <w:rFonts w:ascii="Palatino Linotype" w:hAnsi="Palatino Linotype"/>
              <w:noProof/>
              <w:lang w:val="es-MX" w:eastAsia="es-MX"/>
            </w:rPr>
          </w:pPr>
          <w:hyperlink w:anchor="_Toc21009186" w:history="1">
            <w:r w:rsidR="00422BBC" w:rsidRPr="00EC22D4">
              <w:rPr>
                <w:rStyle w:val="Hipervnculo"/>
                <w:rFonts w:ascii="Palatino Linotype" w:hAnsi="Palatino Linotype"/>
                <w:b/>
                <w:noProof/>
              </w:rPr>
              <w:t>I.Formalidades para emitir el acuerdo de clasificación.</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_Toc21009186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38</w:t>
            </w:r>
            <w:r w:rsidR="00422BBC" w:rsidRPr="00EC22D4">
              <w:rPr>
                <w:rFonts w:ascii="Palatino Linotype" w:hAnsi="Palatino Linotype"/>
                <w:noProof/>
                <w:webHidden/>
              </w:rPr>
              <w:fldChar w:fldCharType="end"/>
            </w:r>
          </w:hyperlink>
        </w:p>
        <w:p w:rsidR="00422BBC" w:rsidRPr="00EC22D4" w:rsidRDefault="00717207" w:rsidP="00EC22D4">
          <w:pPr>
            <w:pStyle w:val="TDC3"/>
            <w:tabs>
              <w:tab w:val="left" w:pos="1100"/>
              <w:tab w:val="right" w:leader="dot" w:pos="8828"/>
            </w:tabs>
            <w:spacing w:after="0" w:line="360" w:lineRule="auto"/>
            <w:ind w:left="0"/>
            <w:rPr>
              <w:rFonts w:ascii="Palatino Linotype" w:hAnsi="Palatino Linotype"/>
              <w:noProof/>
              <w:lang w:val="es-MX" w:eastAsia="es-MX"/>
            </w:rPr>
          </w:pPr>
          <w:hyperlink w:anchor="_Toc21009187" w:history="1">
            <w:r w:rsidR="00422BBC" w:rsidRPr="00EC22D4">
              <w:rPr>
                <w:rStyle w:val="Hipervnculo"/>
                <w:rFonts w:ascii="Palatino Linotype" w:hAnsi="Palatino Linotype"/>
                <w:b/>
                <w:noProof/>
              </w:rPr>
              <w:t>II.Requisitos de fondo del acuerdo de clasificación</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_Toc21009187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39</w:t>
            </w:r>
            <w:r w:rsidR="00422BBC" w:rsidRPr="00EC22D4">
              <w:rPr>
                <w:rFonts w:ascii="Palatino Linotype" w:hAnsi="Palatino Linotype"/>
                <w:noProof/>
                <w:webHidden/>
              </w:rPr>
              <w:fldChar w:fldCharType="end"/>
            </w:r>
          </w:hyperlink>
        </w:p>
        <w:p w:rsidR="00422BBC" w:rsidRPr="00EC22D4" w:rsidRDefault="00717207" w:rsidP="00EC22D4">
          <w:pPr>
            <w:pStyle w:val="TDC3"/>
            <w:tabs>
              <w:tab w:val="left" w:pos="1100"/>
              <w:tab w:val="right" w:leader="dot" w:pos="8828"/>
            </w:tabs>
            <w:spacing w:after="0" w:line="360" w:lineRule="auto"/>
            <w:ind w:left="0"/>
            <w:rPr>
              <w:rFonts w:ascii="Palatino Linotype" w:hAnsi="Palatino Linotype"/>
              <w:noProof/>
              <w:lang w:val="es-MX" w:eastAsia="es-MX"/>
            </w:rPr>
          </w:pPr>
          <w:hyperlink w:anchor="_Toc21009188" w:history="1">
            <w:r w:rsidR="00422BBC" w:rsidRPr="00EC22D4">
              <w:rPr>
                <w:rStyle w:val="Hipervnculo"/>
                <w:rFonts w:ascii="Palatino Linotype" w:hAnsi="Palatino Linotype"/>
                <w:b/>
                <w:noProof/>
              </w:rPr>
              <w:t>III.De la disociación.</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_Toc21009188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43</w:t>
            </w:r>
            <w:r w:rsidR="00422BBC" w:rsidRPr="00EC22D4">
              <w:rPr>
                <w:rFonts w:ascii="Palatino Linotype" w:hAnsi="Palatino Linotype"/>
                <w:noProof/>
                <w:webHidden/>
              </w:rPr>
              <w:fldChar w:fldCharType="end"/>
            </w:r>
          </w:hyperlink>
        </w:p>
        <w:p w:rsidR="00422BBC" w:rsidRPr="00EC22D4" w:rsidRDefault="00717207" w:rsidP="00EC22D4">
          <w:pPr>
            <w:pStyle w:val="TDC1"/>
            <w:spacing w:after="0"/>
            <w:rPr>
              <w:rFonts w:ascii="Palatino Linotype" w:hAnsi="Palatino Linotype"/>
              <w:noProof/>
              <w:lang w:val="es-MX" w:eastAsia="es-MX"/>
            </w:rPr>
          </w:pPr>
          <w:hyperlink w:anchor="_Toc21009190" w:history="1">
            <w:r w:rsidR="00422BBC" w:rsidRPr="00EC22D4">
              <w:rPr>
                <w:rStyle w:val="Hipervnculo"/>
                <w:rFonts w:ascii="Palatino Linotype" w:eastAsia="Calibri" w:hAnsi="Palatino Linotype"/>
                <w:b/>
                <w:noProof/>
                <w:lang w:val="es-ES"/>
              </w:rPr>
              <w:t>R E S O L U T I V O S</w:t>
            </w:r>
            <w:r w:rsidR="00422BBC" w:rsidRPr="00EC22D4">
              <w:rPr>
                <w:rFonts w:ascii="Palatino Linotype" w:hAnsi="Palatino Linotype"/>
                <w:noProof/>
                <w:webHidden/>
              </w:rPr>
              <w:tab/>
            </w:r>
            <w:r w:rsidR="00422BBC" w:rsidRPr="00EC22D4">
              <w:rPr>
                <w:rFonts w:ascii="Palatino Linotype" w:hAnsi="Palatino Linotype"/>
                <w:noProof/>
                <w:webHidden/>
              </w:rPr>
              <w:fldChar w:fldCharType="begin"/>
            </w:r>
            <w:r w:rsidR="00422BBC" w:rsidRPr="00EC22D4">
              <w:rPr>
                <w:rFonts w:ascii="Palatino Linotype" w:hAnsi="Palatino Linotype"/>
                <w:noProof/>
                <w:webHidden/>
              </w:rPr>
              <w:instrText xml:space="preserve"> PAGEREF _Toc21009190 \h </w:instrText>
            </w:r>
            <w:r w:rsidR="00422BBC" w:rsidRPr="00EC22D4">
              <w:rPr>
                <w:rFonts w:ascii="Palatino Linotype" w:hAnsi="Palatino Linotype"/>
                <w:noProof/>
                <w:webHidden/>
              </w:rPr>
            </w:r>
            <w:r w:rsidR="00422BBC" w:rsidRPr="00EC22D4">
              <w:rPr>
                <w:rFonts w:ascii="Palatino Linotype" w:hAnsi="Palatino Linotype"/>
                <w:noProof/>
                <w:webHidden/>
              </w:rPr>
              <w:fldChar w:fldCharType="separate"/>
            </w:r>
            <w:r w:rsidR="00422BBC" w:rsidRPr="00EC22D4">
              <w:rPr>
                <w:rFonts w:ascii="Palatino Linotype" w:hAnsi="Palatino Linotype"/>
                <w:noProof/>
                <w:webHidden/>
              </w:rPr>
              <w:t>48</w:t>
            </w:r>
            <w:r w:rsidR="00422BBC" w:rsidRPr="00EC22D4">
              <w:rPr>
                <w:rFonts w:ascii="Palatino Linotype" w:hAnsi="Palatino Linotype"/>
                <w:noProof/>
                <w:webHidden/>
              </w:rPr>
              <w:fldChar w:fldCharType="end"/>
            </w:r>
          </w:hyperlink>
        </w:p>
        <w:p w:rsidR="002E4103" w:rsidRPr="00EC22D4" w:rsidRDefault="00EC22D4" w:rsidP="00EC22D4">
          <w:pPr>
            <w:spacing w:line="36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76672" behindDoc="0" locked="0" layoutInCell="1" allowOverlap="1">
                    <wp:simplePos x="0" y="0"/>
                    <wp:positionH relativeFrom="column">
                      <wp:posOffset>-135</wp:posOffset>
                    </wp:positionH>
                    <wp:positionV relativeFrom="paragraph">
                      <wp:posOffset>38895</wp:posOffset>
                    </wp:positionV>
                    <wp:extent cx="5536800" cy="2520000"/>
                    <wp:effectExtent l="19050" t="19050" r="26035" b="33020"/>
                    <wp:wrapNone/>
                    <wp:docPr id="2" name="Conector recto 2"/>
                    <wp:cNvGraphicFramePr/>
                    <a:graphic xmlns:a="http://schemas.openxmlformats.org/drawingml/2006/main">
                      <a:graphicData uri="http://schemas.microsoft.com/office/word/2010/wordprocessingShape">
                        <wps:wsp>
                          <wps:cNvCnPr/>
                          <wps:spPr>
                            <a:xfrm flipH="1" flipV="1">
                              <a:off x="0" y="0"/>
                              <a:ext cx="5536800" cy="2520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9B3C8" id="Conector recto 2"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0,3.05pt" to="435.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" strokecolor="#5b9bd5 [3204]" strokeweight="3pt">
                    <v:stroke joinstyle="miter"/>
                  </v:line>
                </w:pict>
              </mc:Fallback>
            </mc:AlternateContent>
          </w:r>
          <w:r w:rsidR="00333841" w:rsidRPr="00EC22D4">
            <w:rPr>
              <w:rFonts w:ascii="Palatino Linotype" w:hAnsi="Palatino Linotype"/>
              <w:b/>
              <w:bCs/>
              <w:lang w:val="es-ES"/>
            </w:rPr>
            <w:fldChar w:fldCharType="end"/>
          </w:r>
        </w:p>
      </w:sdtContent>
    </w:sdt>
    <w:p w:rsidR="00EC22D4" w:rsidRDefault="00EC22D4" w:rsidP="00EC22D4">
      <w:pPr>
        <w:spacing w:line="360" w:lineRule="auto"/>
        <w:jc w:val="both"/>
        <w:rPr>
          <w:rFonts w:ascii="Palatino Linotype" w:hAnsi="Palatino Linotype"/>
        </w:rPr>
      </w:pPr>
    </w:p>
    <w:p w:rsidR="00EC22D4" w:rsidRDefault="00EC22D4" w:rsidP="00EC22D4">
      <w:pPr>
        <w:spacing w:line="360" w:lineRule="auto"/>
        <w:jc w:val="both"/>
        <w:rPr>
          <w:rFonts w:ascii="Palatino Linotype" w:hAnsi="Palatino Linotype"/>
        </w:rPr>
      </w:pPr>
    </w:p>
    <w:p w:rsidR="00EC22D4" w:rsidRDefault="00EC22D4" w:rsidP="00EC22D4">
      <w:pPr>
        <w:spacing w:line="360" w:lineRule="auto"/>
        <w:jc w:val="both"/>
        <w:rPr>
          <w:rFonts w:ascii="Palatino Linotype" w:hAnsi="Palatino Linotype"/>
        </w:rPr>
      </w:pPr>
    </w:p>
    <w:p w:rsidR="00333841" w:rsidRPr="00EC22D4" w:rsidRDefault="00333841" w:rsidP="00EC22D4">
      <w:pPr>
        <w:spacing w:line="360" w:lineRule="auto"/>
        <w:jc w:val="both"/>
        <w:rPr>
          <w:rFonts w:ascii="Palatino Linotype" w:hAnsi="Palatino Linotype"/>
        </w:rPr>
      </w:pPr>
      <w:r w:rsidRPr="00EC22D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EC22D4">
        <w:rPr>
          <w:rFonts w:ascii="Palatino Linotype" w:hAnsi="Palatino Linotype"/>
        </w:rPr>
        <w:t>fecha nueve</w:t>
      </w:r>
      <w:r w:rsidR="00940FF7" w:rsidRPr="00EC22D4">
        <w:rPr>
          <w:rFonts w:ascii="Palatino Linotype" w:hAnsi="Palatino Linotype"/>
        </w:rPr>
        <w:t xml:space="preserve"> </w:t>
      </w:r>
      <w:r w:rsidRPr="00EC22D4">
        <w:rPr>
          <w:rFonts w:ascii="Palatino Linotype" w:hAnsi="Palatino Linotype"/>
        </w:rPr>
        <w:t>(0</w:t>
      </w:r>
      <w:r w:rsidR="00EC22D4">
        <w:rPr>
          <w:rFonts w:ascii="Palatino Linotype" w:hAnsi="Palatino Linotype"/>
        </w:rPr>
        <w:t>9</w:t>
      </w:r>
      <w:r w:rsidRPr="00EC22D4">
        <w:rPr>
          <w:rFonts w:ascii="Palatino Linotype" w:hAnsi="Palatino Linotype"/>
        </w:rPr>
        <w:t xml:space="preserve">) de </w:t>
      </w:r>
      <w:r w:rsidR="006C24F1" w:rsidRPr="00EC22D4">
        <w:rPr>
          <w:rFonts w:ascii="Palatino Linotype" w:hAnsi="Palatino Linotype"/>
        </w:rPr>
        <w:t>octubre</w:t>
      </w:r>
      <w:r w:rsidRPr="00EC22D4">
        <w:rPr>
          <w:rFonts w:ascii="Palatino Linotype" w:hAnsi="Palatino Linotype"/>
        </w:rPr>
        <w:t xml:space="preserve"> de dos mil </w:t>
      </w:r>
      <w:r w:rsidR="00E55808" w:rsidRPr="00EC22D4">
        <w:rPr>
          <w:rFonts w:ascii="Palatino Linotype" w:hAnsi="Palatino Linotype"/>
        </w:rPr>
        <w:t>diecinueve.</w:t>
      </w:r>
    </w:p>
    <w:p w:rsidR="00333841" w:rsidRPr="00EC22D4" w:rsidRDefault="00333841" w:rsidP="00EC22D4">
      <w:pPr>
        <w:spacing w:before="240" w:after="360" w:line="360" w:lineRule="auto"/>
        <w:jc w:val="both"/>
        <w:rPr>
          <w:rFonts w:ascii="Palatino Linotype" w:hAnsi="Palatino Linotype" w:cs="Arial"/>
          <w:b/>
          <w:bCs/>
        </w:rPr>
      </w:pPr>
      <w:r w:rsidRPr="00EC22D4">
        <w:rPr>
          <w:rFonts w:ascii="Palatino Linotype" w:hAnsi="Palatino Linotype"/>
          <w:b/>
        </w:rPr>
        <w:t>VISTO</w:t>
      </w:r>
      <w:r w:rsidRPr="00EC22D4">
        <w:rPr>
          <w:rFonts w:ascii="Palatino Linotype" w:hAnsi="Palatino Linotype"/>
        </w:rPr>
        <w:t xml:space="preserve"> el expediente electrónico formado con motivo del recurso de revisión </w:t>
      </w:r>
      <w:r w:rsidR="006C24F1" w:rsidRPr="00EC22D4">
        <w:rPr>
          <w:rFonts w:ascii="Palatino Linotype" w:hAnsi="Palatino Linotype" w:cs="Arial"/>
          <w:b/>
          <w:bCs/>
        </w:rPr>
        <w:t>06508/INFOEM/IP/RR/2019</w:t>
      </w:r>
      <w:r w:rsidRPr="00EC22D4">
        <w:rPr>
          <w:rFonts w:ascii="Palatino Linotype" w:hAnsi="Palatino Linotype" w:cs="Arial"/>
          <w:b/>
          <w:bCs/>
        </w:rPr>
        <w:t xml:space="preserve">, </w:t>
      </w:r>
      <w:r w:rsidRPr="00EC22D4">
        <w:rPr>
          <w:rFonts w:ascii="Palatino Linotype" w:hAnsi="Palatino Linotype"/>
        </w:rPr>
        <w:t xml:space="preserve">promovido por </w:t>
      </w:r>
      <w:r w:rsidR="00790200" w:rsidRPr="00790200">
        <w:rPr>
          <w:rFonts w:ascii="Palatino Linotype" w:hAnsi="Palatino Linotype"/>
          <w:b/>
          <w:highlight w:val="black"/>
        </w:rPr>
        <w:t>------------------------------</w:t>
      </w:r>
      <w:r w:rsidRPr="00EC22D4">
        <w:rPr>
          <w:rFonts w:ascii="Palatino Linotype" w:hAnsi="Palatino Linotype"/>
          <w:b/>
        </w:rPr>
        <w:t xml:space="preserve"> </w:t>
      </w:r>
      <w:r w:rsidRPr="00EC22D4">
        <w:rPr>
          <w:rFonts w:ascii="Palatino Linotype" w:hAnsi="Palatino Linotype" w:cs="Arial"/>
        </w:rPr>
        <w:t xml:space="preserve">en su calidad de </w:t>
      </w:r>
      <w:r w:rsidRPr="00EC22D4">
        <w:rPr>
          <w:rFonts w:ascii="Palatino Linotype" w:hAnsi="Palatino Linotype" w:cs="Arial"/>
          <w:b/>
        </w:rPr>
        <w:t>RECURRENTE</w:t>
      </w:r>
      <w:r w:rsidRPr="00EC22D4">
        <w:rPr>
          <w:rFonts w:ascii="Palatino Linotype" w:hAnsi="Palatino Linotype" w:cs="Arial"/>
        </w:rPr>
        <w:t xml:space="preserve">, en contra de la falta de respuesta del </w:t>
      </w:r>
      <w:r w:rsidR="006C24F1" w:rsidRPr="00EC22D4">
        <w:rPr>
          <w:rFonts w:ascii="Palatino Linotype" w:hAnsi="Palatino Linotype" w:cs="Arial"/>
          <w:b/>
        </w:rPr>
        <w:t xml:space="preserve">Ayuntamiento de </w:t>
      </w:r>
      <w:proofErr w:type="spellStart"/>
      <w:r w:rsidR="006C24F1" w:rsidRPr="00EC22D4">
        <w:rPr>
          <w:rFonts w:ascii="Palatino Linotype" w:hAnsi="Palatino Linotype" w:cs="Arial"/>
          <w:b/>
        </w:rPr>
        <w:t>Tequixquiac</w:t>
      </w:r>
      <w:proofErr w:type="spellEnd"/>
      <w:r w:rsidRPr="00EC22D4">
        <w:rPr>
          <w:rFonts w:ascii="Palatino Linotype" w:hAnsi="Palatino Linotype" w:cs="Arial"/>
        </w:rPr>
        <w:t>,</w:t>
      </w:r>
      <w:r w:rsidRPr="00EC22D4">
        <w:rPr>
          <w:rFonts w:ascii="Palatino Linotype" w:hAnsi="Palatino Linotype"/>
          <w:b/>
        </w:rPr>
        <w:t xml:space="preserve"> </w:t>
      </w:r>
      <w:r w:rsidRPr="00EC22D4">
        <w:rPr>
          <w:rFonts w:ascii="Palatino Linotype" w:hAnsi="Palatino Linotype"/>
        </w:rPr>
        <w:t>en lo sucesivo el</w:t>
      </w:r>
      <w:r w:rsidRPr="00EC22D4">
        <w:rPr>
          <w:rFonts w:ascii="Palatino Linotype" w:hAnsi="Palatino Linotype"/>
          <w:b/>
        </w:rPr>
        <w:t xml:space="preserve"> SUJETO OBLIGADO, </w:t>
      </w:r>
      <w:r w:rsidRPr="00EC22D4">
        <w:rPr>
          <w:rFonts w:ascii="Palatino Linotype" w:hAnsi="Palatino Linotype"/>
        </w:rPr>
        <w:t>se procede a dictar la presente resolución, con base en los siguientes:</w:t>
      </w:r>
    </w:p>
    <w:p w:rsidR="00333841" w:rsidRDefault="00333841" w:rsidP="00EC22D4">
      <w:pPr>
        <w:pStyle w:val="Ttulo1"/>
        <w:spacing w:line="360" w:lineRule="auto"/>
        <w:jc w:val="center"/>
        <w:rPr>
          <w:rFonts w:ascii="Palatino Linotype" w:hAnsi="Palatino Linotype"/>
          <w:b/>
          <w:color w:val="auto"/>
          <w:sz w:val="24"/>
          <w:szCs w:val="24"/>
        </w:rPr>
      </w:pPr>
      <w:bookmarkStart w:id="2" w:name="_Toc21009176"/>
      <w:r w:rsidRPr="00EC22D4">
        <w:rPr>
          <w:rFonts w:ascii="Palatino Linotype" w:hAnsi="Palatino Linotype"/>
          <w:b/>
          <w:color w:val="auto"/>
          <w:sz w:val="24"/>
          <w:szCs w:val="24"/>
        </w:rPr>
        <w:t>ANTECEDENTES</w:t>
      </w:r>
      <w:bookmarkEnd w:id="2"/>
    </w:p>
    <w:p w:rsidR="00EC22D4" w:rsidRPr="00EC22D4" w:rsidRDefault="00EC22D4" w:rsidP="00EC22D4">
      <w:pPr>
        <w:rPr>
          <w:lang w:val="es-MX" w:eastAsia="en-US"/>
        </w:rPr>
      </w:pPr>
    </w:p>
    <w:p w:rsidR="00333841" w:rsidRPr="00EC22D4" w:rsidRDefault="00333841" w:rsidP="00EC22D4">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EC22D4">
        <w:rPr>
          <w:rFonts w:ascii="Palatino Linotype" w:eastAsia="Calibri" w:hAnsi="Palatino Linotype" w:cs="Arial"/>
          <w:lang w:val="es-ES"/>
        </w:rPr>
        <w:t xml:space="preserve">El día </w:t>
      </w:r>
      <w:r w:rsidR="00F73618" w:rsidRPr="00EC22D4">
        <w:rPr>
          <w:rFonts w:ascii="Palatino Linotype" w:eastAsia="Calibri" w:hAnsi="Palatino Linotype" w:cs="Arial"/>
          <w:lang w:val="es-ES"/>
        </w:rPr>
        <w:t>veinticuatro</w:t>
      </w:r>
      <w:r w:rsidRPr="00EC22D4">
        <w:rPr>
          <w:rFonts w:ascii="Palatino Linotype" w:eastAsia="Calibri" w:hAnsi="Palatino Linotype" w:cs="Arial"/>
          <w:lang w:val="es-ES"/>
        </w:rPr>
        <w:t xml:space="preserve"> (</w:t>
      </w:r>
      <w:r w:rsidR="00F73618" w:rsidRPr="00EC22D4">
        <w:rPr>
          <w:rFonts w:ascii="Palatino Linotype" w:eastAsia="Calibri" w:hAnsi="Palatino Linotype" w:cs="Arial"/>
          <w:lang w:val="es-ES"/>
        </w:rPr>
        <w:t>2</w:t>
      </w:r>
      <w:r w:rsidR="00631EC6" w:rsidRPr="00EC22D4">
        <w:rPr>
          <w:rFonts w:ascii="Palatino Linotype" w:eastAsia="Calibri" w:hAnsi="Palatino Linotype" w:cs="Arial"/>
          <w:lang w:val="es-ES"/>
        </w:rPr>
        <w:t>4</w:t>
      </w:r>
      <w:r w:rsidRPr="00EC22D4">
        <w:rPr>
          <w:rFonts w:ascii="Palatino Linotype" w:eastAsia="Calibri" w:hAnsi="Palatino Linotype" w:cs="Arial"/>
          <w:lang w:val="es-ES"/>
        </w:rPr>
        <w:t xml:space="preserve">) de </w:t>
      </w:r>
      <w:r w:rsidR="006C24F1" w:rsidRPr="00EC22D4">
        <w:rPr>
          <w:rFonts w:ascii="Palatino Linotype" w:eastAsia="Calibri" w:hAnsi="Palatino Linotype" w:cs="Arial"/>
          <w:lang w:val="es-ES"/>
        </w:rPr>
        <w:t>junio</w:t>
      </w:r>
      <w:r w:rsidR="00197D25" w:rsidRPr="00EC22D4">
        <w:rPr>
          <w:rFonts w:ascii="Palatino Linotype" w:eastAsia="Calibri" w:hAnsi="Palatino Linotype" w:cs="Arial"/>
          <w:lang w:val="es-ES"/>
        </w:rPr>
        <w:t xml:space="preserve"> </w:t>
      </w:r>
      <w:r w:rsidRPr="00EC22D4">
        <w:rPr>
          <w:rFonts w:ascii="Palatino Linotype" w:eastAsia="Calibri" w:hAnsi="Palatino Linotype" w:cs="Arial"/>
          <w:lang w:val="es-ES"/>
        </w:rPr>
        <w:t>de dos mil dieci</w:t>
      </w:r>
      <w:r w:rsidR="007F4FAB" w:rsidRPr="00EC22D4">
        <w:rPr>
          <w:rFonts w:ascii="Palatino Linotype" w:eastAsia="Calibri" w:hAnsi="Palatino Linotype" w:cs="Arial"/>
          <w:lang w:val="es-ES"/>
        </w:rPr>
        <w:t>nueve</w:t>
      </w:r>
      <w:r w:rsidRPr="00EC22D4">
        <w:rPr>
          <w:rFonts w:ascii="Palatino Linotype" w:eastAsia="Calibri" w:hAnsi="Palatino Linotype" w:cs="Arial"/>
          <w:lang w:val="es-ES"/>
        </w:rPr>
        <w:t>,</w:t>
      </w:r>
      <w:r w:rsidRPr="00EC22D4">
        <w:rPr>
          <w:rFonts w:ascii="Palatino Linotype" w:eastAsia="Calibri" w:hAnsi="Palatino Linotype" w:cs="Times New Roman"/>
          <w:lang w:val="es-ES"/>
        </w:rPr>
        <w:t xml:space="preserve"> </w:t>
      </w:r>
      <w:r w:rsidR="007F4FAB" w:rsidRPr="00EC22D4">
        <w:rPr>
          <w:rFonts w:ascii="Palatino Linotype" w:hAnsi="Palatino Linotype"/>
          <w:b/>
        </w:rPr>
        <w:t xml:space="preserve">EL </w:t>
      </w:r>
      <w:r w:rsidR="007F4FAB" w:rsidRPr="00EC22D4">
        <w:rPr>
          <w:rFonts w:ascii="Palatino Linotype" w:hAnsi="Palatino Linotype" w:cs="Arial"/>
          <w:b/>
        </w:rPr>
        <w:t>RECURRENTE</w:t>
      </w:r>
      <w:r w:rsidRPr="00EC22D4">
        <w:rPr>
          <w:rFonts w:ascii="Palatino Linotype" w:hAnsi="Palatino Linotype"/>
          <w:b/>
        </w:rPr>
        <w:t xml:space="preserve"> </w:t>
      </w:r>
      <w:r w:rsidRPr="00EC22D4">
        <w:rPr>
          <w:rFonts w:ascii="Palatino Linotype" w:hAnsi="Palatino Linotype"/>
        </w:rPr>
        <w:t>presentó</w:t>
      </w:r>
      <w:r w:rsidRPr="00EC22D4">
        <w:rPr>
          <w:rFonts w:ascii="Palatino Linotype" w:hAnsi="Palatino Linotype"/>
          <w:b/>
        </w:rPr>
        <w:t xml:space="preserve"> </w:t>
      </w:r>
      <w:r w:rsidRPr="00EC22D4">
        <w:rPr>
          <w:rFonts w:ascii="Palatino Linotype" w:eastAsia="Calibri" w:hAnsi="Palatino Linotype" w:cs="Arial"/>
          <w:lang w:val="es-ES"/>
        </w:rPr>
        <w:t xml:space="preserve">ante el </w:t>
      </w:r>
      <w:r w:rsidRPr="00EC22D4">
        <w:rPr>
          <w:rFonts w:ascii="Palatino Linotype" w:eastAsia="Calibri" w:hAnsi="Palatino Linotype" w:cs="Arial"/>
          <w:b/>
          <w:lang w:val="es-ES"/>
        </w:rPr>
        <w:t>SUJETO OBLIGADO</w:t>
      </w:r>
      <w:r w:rsidRPr="00EC22D4">
        <w:rPr>
          <w:rFonts w:ascii="Palatino Linotype" w:eastAsia="Calibri" w:hAnsi="Palatino Linotype" w:cs="Arial"/>
        </w:rPr>
        <w:t xml:space="preserve"> vía </w:t>
      </w:r>
      <w:r w:rsidRPr="00EC22D4">
        <w:rPr>
          <w:rFonts w:ascii="Palatino Linotype" w:eastAsia="Calibri" w:hAnsi="Palatino Linotype" w:cs="Arial"/>
          <w:lang w:val="es-ES"/>
        </w:rPr>
        <w:t>Sistema de Acceso a la Información Mexiquense (</w:t>
      </w:r>
      <w:r w:rsidRPr="00EC22D4">
        <w:rPr>
          <w:rFonts w:ascii="Palatino Linotype" w:eastAsia="Calibri" w:hAnsi="Palatino Linotype" w:cs="Arial"/>
          <w:b/>
          <w:lang w:val="es-ES"/>
        </w:rPr>
        <w:t>SAIMEX)</w:t>
      </w:r>
      <w:r w:rsidRPr="00EC22D4">
        <w:rPr>
          <w:rFonts w:ascii="Palatino Linotype" w:eastAsia="Calibri" w:hAnsi="Palatino Linotype" w:cs="Arial"/>
          <w:lang w:val="es-ES"/>
        </w:rPr>
        <w:t xml:space="preserve"> la solicitud de información pública registrada</w:t>
      </w:r>
      <w:r w:rsidR="00B828B6" w:rsidRPr="00EC22D4">
        <w:rPr>
          <w:rFonts w:ascii="Palatino Linotype" w:eastAsia="Calibri" w:hAnsi="Palatino Linotype" w:cs="Arial"/>
          <w:lang w:val="es-ES"/>
        </w:rPr>
        <w:t xml:space="preserve"> con el número</w:t>
      </w:r>
      <w:r w:rsidRPr="00EC22D4">
        <w:rPr>
          <w:rFonts w:ascii="Palatino Linotype" w:eastAsia="Calibri" w:hAnsi="Palatino Linotype" w:cs="Arial"/>
          <w:lang w:val="es-ES"/>
        </w:rPr>
        <w:t xml:space="preserve"> </w:t>
      </w:r>
      <w:r w:rsidR="006C24F1" w:rsidRPr="00EC22D4">
        <w:rPr>
          <w:rFonts w:ascii="Palatino Linotype" w:hAnsi="Palatino Linotype"/>
          <w:b/>
          <w:bCs/>
        </w:rPr>
        <w:t>00066/TEQUIXQU/IP/2019</w:t>
      </w:r>
      <w:r w:rsidRPr="00EC22D4">
        <w:rPr>
          <w:rFonts w:ascii="Palatino Linotype" w:hAnsi="Palatino Linotype"/>
          <w:b/>
          <w:bCs/>
        </w:rPr>
        <w:t>;</w:t>
      </w:r>
      <w:r w:rsidRPr="00EC22D4">
        <w:rPr>
          <w:rFonts w:ascii="Palatino Linotype" w:eastAsia="Calibri" w:hAnsi="Palatino Linotype" w:cs="Arial"/>
          <w:lang w:val="es-ES"/>
        </w:rPr>
        <w:t xml:space="preserve"> mediante la cual</w:t>
      </w:r>
      <w:r w:rsidR="00A21054" w:rsidRPr="00EC22D4">
        <w:rPr>
          <w:rFonts w:ascii="Palatino Linotype" w:eastAsia="Calibri" w:hAnsi="Palatino Linotype" w:cs="Arial"/>
          <w:lang w:val="es-ES"/>
        </w:rPr>
        <w:t xml:space="preserve"> solicitó</w:t>
      </w:r>
      <w:r w:rsidRPr="00EC22D4">
        <w:rPr>
          <w:rFonts w:ascii="Palatino Linotype" w:eastAsia="Calibri" w:hAnsi="Palatino Linotype" w:cs="Arial"/>
          <w:lang w:val="es-ES"/>
        </w:rPr>
        <w:t>:</w:t>
      </w:r>
    </w:p>
    <w:p w:rsidR="002E4103" w:rsidRPr="00EC22D4" w:rsidRDefault="002E4103" w:rsidP="00EC22D4">
      <w:pPr>
        <w:pStyle w:val="Prrafodelista"/>
        <w:tabs>
          <w:tab w:val="left" w:pos="0"/>
        </w:tabs>
        <w:spacing w:line="360" w:lineRule="auto"/>
        <w:ind w:left="0" w:right="49"/>
        <w:jc w:val="both"/>
        <w:rPr>
          <w:rFonts w:ascii="Palatino Linotype" w:eastAsia="Calibri" w:hAnsi="Palatino Linotype" w:cs="Arial"/>
          <w:lang w:val="es-ES"/>
        </w:rPr>
      </w:pPr>
    </w:p>
    <w:p w:rsidR="00333841" w:rsidRPr="00EC22D4" w:rsidRDefault="00B828B6" w:rsidP="00EC22D4">
      <w:pPr>
        <w:spacing w:line="360" w:lineRule="auto"/>
        <w:ind w:left="567" w:right="567"/>
        <w:jc w:val="both"/>
        <w:rPr>
          <w:rFonts w:ascii="Palatino Linotype" w:eastAsia="Times New Roman" w:hAnsi="Palatino Linotype" w:cs="Times New Roman"/>
          <w:i/>
          <w:lang w:val="es-ES"/>
        </w:rPr>
      </w:pPr>
      <w:r w:rsidRPr="00EC22D4">
        <w:rPr>
          <w:rFonts w:ascii="Palatino Linotype" w:eastAsia="Times New Roman" w:hAnsi="Palatino Linotype" w:cs="Times New Roman"/>
          <w:i/>
          <w:lang w:val="es-ES"/>
        </w:rPr>
        <w:t xml:space="preserve"> </w:t>
      </w:r>
      <w:r w:rsidR="00F73618" w:rsidRPr="00EC22D4">
        <w:rPr>
          <w:rFonts w:ascii="Palatino Linotype" w:eastAsia="Times New Roman" w:hAnsi="Palatino Linotype" w:cs="Times New Roman"/>
          <w:i/>
          <w:lang w:val="es-ES"/>
        </w:rPr>
        <w:t>“</w:t>
      </w:r>
      <w:r w:rsidR="006C24F1" w:rsidRPr="00EC22D4">
        <w:rPr>
          <w:rFonts w:ascii="Palatino Linotype" w:eastAsia="Times New Roman" w:hAnsi="Palatino Linotype" w:cs="Times New Roman"/>
          <w:i/>
          <w:lang w:val="es-ES"/>
        </w:rPr>
        <w:t xml:space="preserve">Solicito los recibos de </w:t>
      </w:r>
      <w:proofErr w:type="spellStart"/>
      <w:r w:rsidR="006C24F1" w:rsidRPr="00EC22D4">
        <w:rPr>
          <w:rFonts w:ascii="Palatino Linotype" w:eastAsia="Times New Roman" w:hAnsi="Palatino Linotype" w:cs="Times New Roman"/>
          <w:i/>
          <w:lang w:val="es-ES"/>
        </w:rPr>
        <w:t>nomina</w:t>
      </w:r>
      <w:proofErr w:type="spellEnd"/>
      <w:r w:rsidR="006C24F1" w:rsidRPr="00EC22D4">
        <w:rPr>
          <w:rFonts w:ascii="Palatino Linotype" w:eastAsia="Times New Roman" w:hAnsi="Palatino Linotype" w:cs="Times New Roman"/>
          <w:i/>
          <w:lang w:val="es-ES"/>
        </w:rPr>
        <w:t xml:space="preserve"> de todos los servidores públicos de Enero 2019 a Junio de 2019, </w:t>
      </w:r>
      <w:proofErr w:type="spellStart"/>
      <w:r w:rsidR="006C24F1" w:rsidRPr="00EC22D4">
        <w:rPr>
          <w:rFonts w:ascii="Palatino Linotype" w:eastAsia="Times New Roman" w:hAnsi="Palatino Linotype" w:cs="Times New Roman"/>
          <w:i/>
          <w:lang w:val="es-ES"/>
        </w:rPr>
        <w:t>asi</w:t>
      </w:r>
      <w:proofErr w:type="spellEnd"/>
      <w:r w:rsidR="006C24F1" w:rsidRPr="00EC22D4">
        <w:rPr>
          <w:rFonts w:ascii="Palatino Linotype" w:eastAsia="Times New Roman" w:hAnsi="Palatino Linotype" w:cs="Times New Roman"/>
          <w:i/>
          <w:lang w:val="es-ES"/>
        </w:rPr>
        <w:t xml:space="preserve"> como del Presidente Municipal y Cabildo</w:t>
      </w:r>
      <w:r w:rsidR="00975DAA" w:rsidRPr="00EC22D4">
        <w:rPr>
          <w:rFonts w:ascii="Palatino Linotype" w:eastAsia="Times New Roman" w:hAnsi="Palatino Linotype" w:cs="Times New Roman"/>
          <w:i/>
          <w:lang w:val="es-ES"/>
        </w:rPr>
        <w:t xml:space="preserve">” </w:t>
      </w:r>
      <w:r w:rsidR="00333841" w:rsidRPr="00EC22D4">
        <w:rPr>
          <w:rFonts w:ascii="Palatino Linotype" w:eastAsia="Times New Roman" w:hAnsi="Palatino Linotype" w:cs="Times New Roman"/>
          <w:i/>
          <w:lang w:val="es-ES"/>
        </w:rPr>
        <w:t>(Sic)</w:t>
      </w:r>
    </w:p>
    <w:p w:rsidR="00197D25" w:rsidRPr="00EC22D4" w:rsidRDefault="00197D25" w:rsidP="00EC22D4">
      <w:pPr>
        <w:pStyle w:val="Prrafodelista"/>
        <w:spacing w:line="360" w:lineRule="auto"/>
        <w:ind w:right="34"/>
        <w:jc w:val="both"/>
        <w:rPr>
          <w:rFonts w:ascii="Palatino Linotype" w:hAnsi="Palatino Linotype"/>
        </w:rPr>
      </w:pPr>
    </w:p>
    <w:p w:rsidR="00631EC6" w:rsidRPr="00EC22D4" w:rsidRDefault="00333841" w:rsidP="00EC22D4">
      <w:pPr>
        <w:pStyle w:val="Prrafodelista"/>
        <w:numPr>
          <w:ilvl w:val="0"/>
          <w:numId w:val="3"/>
        </w:numPr>
        <w:spacing w:line="360" w:lineRule="auto"/>
        <w:ind w:right="34"/>
        <w:jc w:val="both"/>
        <w:rPr>
          <w:rFonts w:ascii="Palatino Linotype" w:hAnsi="Palatino Linotype" w:cs="Arial"/>
          <w:b/>
        </w:rPr>
      </w:pPr>
      <w:r w:rsidRPr="00EC22D4">
        <w:rPr>
          <w:rFonts w:ascii="Palatino Linotype" w:hAnsi="Palatino Linotype" w:cs="Arial"/>
        </w:rPr>
        <w:t xml:space="preserve">El particular señaló como modalidad de entrega de la información: </w:t>
      </w:r>
      <w:r w:rsidRPr="00EC22D4">
        <w:rPr>
          <w:rFonts w:ascii="Palatino Linotype" w:hAnsi="Palatino Linotype" w:cs="Arial"/>
          <w:b/>
        </w:rPr>
        <w:t>a través del SAIMEX.</w:t>
      </w:r>
    </w:p>
    <w:p w:rsidR="00426AAA" w:rsidRPr="00EC22D4" w:rsidRDefault="00426AAA" w:rsidP="00EC22D4">
      <w:pPr>
        <w:pStyle w:val="Prrafodelista"/>
        <w:numPr>
          <w:ilvl w:val="0"/>
          <w:numId w:val="1"/>
        </w:numPr>
        <w:spacing w:line="360" w:lineRule="auto"/>
        <w:ind w:left="0" w:right="34" w:firstLine="0"/>
        <w:jc w:val="both"/>
        <w:rPr>
          <w:rFonts w:ascii="Palatino Linotype" w:hAnsi="Palatino Linotype" w:cs="Arial"/>
          <w:i/>
        </w:rPr>
      </w:pPr>
      <w:r w:rsidRPr="00EC22D4">
        <w:rPr>
          <w:rFonts w:ascii="Palatino Linotype" w:eastAsia="Calibri" w:hAnsi="Palatino Linotype" w:cs="Arial"/>
          <w:lang w:val="es-AR"/>
        </w:rPr>
        <w:lastRenderedPageBreak/>
        <w:t>El</w:t>
      </w:r>
      <w:r w:rsidRPr="00EC22D4">
        <w:rPr>
          <w:rFonts w:ascii="Palatino Linotype" w:eastAsia="Times New Roman" w:hAnsi="Palatino Linotype" w:cs="Arial"/>
          <w:lang w:val="es-ES"/>
        </w:rPr>
        <w:t xml:space="preserve"> </w:t>
      </w:r>
      <w:r w:rsidRPr="00EC22D4">
        <w:rPr>
          <w:rFonts w:ascii="Palatino Linotype" w:eastAsia="Times New Roman" w:hAnsi="Palatino Linotype" w:cs="Arial"/>
          <w:b/>
          <w:lang w:val="es-ES"/>
        </w:rPr>
        <w:t>SUJETO OBLIGADO</w:t>
      </w:r>
      <w:r w:rsidRPr="00EC22D4">
        <w:rPr>
          <w:rFonts w:ascii="Palatino Linotype" w:eastAsia="Times New Roman" w:hAnsi="Palatino Linotype" w:cs="Arial"/>
          <w:lang w:val="es-ES"/>
        </w:rPr>
        <w:t xml:space="preserve"> fue omiso en emitir respuesta a la solicitud de información formulada por el recurrente.</w:t>
      </w:r>
    </w:p>
    <w:p w:rsidR="002B7F36" w:rsidRPr="00EC22D4" w:rsidRDefault="002B7F36" w:rsidP="00EC22D4">
      <w:pPr>
        <w:pStyle w:val="Prrafodelista"/>
        <w:tabs>
          <w:tab w:val="left" w:pos="0"/>
        </w:tabs>
        <w:spacing w:line="360" w:lineRule="auto"/>
        <w:ind w:left="0" w:right="49"/>
        <w:jc w:val="both"/>
        <w:rPr>
          <w:rFonts w:ascii="Palatino Linotype" w:hAnsi="Palatino Linotype" w:cs="Arial"/>
          <w:i/>
        </w:rPr>
      </w:pPr>
    </w:p>
    <w:p w:rsidR="00333841" w:rsidRPr="00EC22D4" w:rsidRDefault="00333841" w:rsidP="00EC22D4">
      <w:pPr>
        <w:pStyle w:val="Prrafodelista"/>
        <w:numPr>
          <w:ilvl w:val="0"/>
          <w:numId w:val="1"/>
        </w:numPr>
        <w:tabs>
          <w:tab w:val="left" w:pos="0"/>
        </w:tabs>
        <w:spacing w:line="360" w:lineRule="auto"/>
        <w:ind w:left="0" w:right="49" w:firstLine="0"/>
        <w:jc w:val="both"/>
        <w:rPr>
          <w:rFonts w:ascii="Palatino Linotype" w:hAnsi="Palatino Linotype" w:cs="Arial"/>
          <w:i/>
        </w:rPr>
      </w:pPr>
      <w:r w:rsidRPr="00EC22D4">
        <w:rPr>
          <w:rFonts w:ascii="Palatino Linotype" w:eastAsia="Times New Roman" w:hAnsi="Palatino Linotype" w:cs="Arial"/>
          <w:lang w:val="es-ES"/>
        </w:rPr>
        <w:t xml:space="preserve">El día </w:t>
      </w:r>
      <w:r w:rsidR="00426AAA" w:rsidRPr="00EC22D4">
        <w:rPr>
          <w:rFonts w:ascii="Palatino Linotype" w:eastAsia="Times New Roman" w:hAnsi="Palatino Linotype" w:cs="Arial"/>
          <w:lang w:val="es-ES"/>
        </w:rPr>
        <w:t>cinco</w:t>
      </w:r>
      <w:r w:rsidRPr="00EC22D4">
        <w:rPr>
          <w:rFonts w:ascii="Palatino Linotype" w:eastAsia="Times New Roman" w:hAnsi="Palatino Linotype" w:cs="Arial"/>
          <w:lang w:val="es-ES"/>
        </w:rPr>
        <w:t xml:space="preserve"> (</w:t>
      </w:r>
      <w:r w:rsidR="006A5C83" w:rsidRPr="00EC22D4">
        <w:rPr>
          <w:rFonts w:ascii="Palatino Linotype" w:eastAsia="Times New Roman" w:hAnsi="Palatino Linotype" w:cs="Arial"/>
          <w:lang w:val="es-ES"/>
        </w:rPr>
        <w:t>0</w:t>
      </w:r>
      <w:r w:rsidR="00426AAA" w:rsidRPr="00EC22D4">
        <w:rPr>
          <w:rFonts w:ascii="Palatino Linotype" w:eastAsia="Times New Roman" w:hAnsi="Palatino Linotype" w:cs="Arial"/>
          <w:lang w:val="es-ES"/>
        </w:rPr>
        <w:t>5</w:t>
      </w:r>
      <w:r w:rsidRPr="00EC22D4">
        <w:rPr>
          <w:rFonts w:ascii="Palatino Linotype" w:eastAsia="Times New Roman" w:hAnsi="Palatino Linotype" w:cs="Arial"/>
          <w:lang w:val="es-ES"/>
        </w:rPr>
        <w:t xml:space="preserve">) de </w:t>
      </w:r>
      <w:r w:rsidR="006C24F1" w:rsidRPr="00EC22D4">
        <w:rPr>
          <w:rFonts w:ascii="Palatino Linotype" w:eastAsia="Times New Roman" w:hAnsi="Palatino Linotype" w:cs="Arial"/>
          <w:lang w:val="es-ES"/>
        </w:rPr>
        <w:t>agosto</w:t>
      </w:r>
      <w:r w:rsidRPr="00EC22D4">
        <w:rPr>
          <w:rFonts w:ascii="Palatino Linotype" w:eastAsia="Times New Roman" w:hAnsi="Palatino Linotype" w:cs="Arial"/>
          <w:lang w:val="es-ES"/>
        </w:rPr>
        <w:t xml:space="preserve"> de dos mil dieciocho, el particular interpuso el recurso de revisión en contra de la de respuesta del </w:t>
      </w:r>
      <w:r w:rsidRPr="00EC22D4">
        <w:rPr>
          <w:rFonts w:ascii="Palatino Linotype" w:eastAsia="Times New Roman" w:hAnsi="Palatino Linotype" w:cs="Arial"/>
          <w:b/>
          <w:lang w:val="es-ES"/>
        </w:rPr>
        <w:t>SUJETO OBLIGADO</w:t>
      </w:r>
      <w:r w:rsidRPr="00EC22D4">
        <w:rPr>
          <w:rFonts w:ascii="Palatino Linotype" w:eastAsia="Times New Roman" w:hAnsi="Palatino Linotype" w:cs="Arial"/>
          <w:lang w:val="es-ES"/>
        </w:rPr>
        <w:t>, señalando</w:t>
      </w:r>
      <w:r w:rsidR="00EC32CC" w:rsidRPr="00EC22D4">
        <w:rPr>
          <w:rFonts w:ascii="Palatino Linotype" w:eastAsia="Times New Roman" w:hAnsi="Palatino Linotype" w:cs="Arial"/>
        </w:rPr>
        <w:t xml:space="preserve"> </w:t>
      </w:r>
      <w:r w:rsidRPr="00EC22D4">
        <w:rPr>
          <w:rFonts w:ascii="Palatino Linotype" w:eastAsia="Times New Roman" w:hAnsi="Palatino Linotype" w:cs="Arial"/>
          <w:lang w:val="es-ES"/>
        </w:rPr>
        <w:t>como:</w:t>
      </w:r>
      <w:bookmarkStart w:id="3" w:name="_Toc462307683"/>
      <w:bookmarkStart w:id="4" w:name="_Toc472427085"/>
      <w:bookmarkStart w:id="5" w:name="_Toc472500652"/>
    </w:p>
    <w:p w:rsidR="00333841" w:rsidRPr="00EC22D4" w:rsidRDefault="00333841" w:rsidP="00EC22D4">
      <w:pPr>
        <w:pStyle w:val="Prrafodelista"/>
        <w:spacing w:line="360" w:lineRule="auto"/>
        <w:ind w:left="1416" w:hanging="696"/>
        <w:rPr>
          <w:rFonts w:ascii="Palatino Linotype" w:hAnsi="Palatino Linotype" w:cs="Arial"/>
          <w:i/>
        </w:rPr>
      </w:pPr>
    </w:p>
    <w:p w:rsidR="00333841" w:rsidRPr="00EC22D4" w:rsidRDefault="00333841" w:rsidP="00EC22D4">
      <w:pPr>
        <w:pStyle w:val="Prrafodelista"/>
        <w:numPr>
          <w:ilvl w:val="0"/>
          <w:numId w:val="4"/>
        </w:numPr>
        <w:spacing w:line="360" w:lineRule="auto"/>
        <w:ind w:right="34"/>
        <w:jc w:val="both"/>
        <w:rPr>
          <w:rFonts w:ascii="Palatino Linotype" w:eastAsia="Calibri" w:hAnsi="Palatino Linotype" w:cs="Arial"/>
          <w:lang w:val="es-ES"/>
        </w:rPr>
      </w:pPr>
      <w:r w:rsidRPr="00EC22D4">
        <w:rPr>
          <w:rFonts w:ascii="Palatino Linotype" w:hAnsi="Palatino Linotype"/>
          <w:b/>
        </w:rPr>
        <w:t>Acto impugnado</w:t>
      </w:r>
      <w:bookmarkEnd w:id="3"/>
      <w:bookmarkEnd w:id="4"/>
      <w:bookmarkEnd w:id="5"/>
      <w:r w:rsidRPr="00EC22D4">
        <w:rPr>
          <w:rFonts w:ascii="Palatino Linotype" w:hAnsi="Palatino Linotype"/>
          <w:b/>
        </w:rPr>
        <w:t>:</w:t>
      </w:r>
      <w:r w:rsidRPr="00EC22D4">
        <w:rPr>
          <w:rStyle w:val="Ttulo2Car"/>
          <w:rFonts w:ascii="Palatino Linotype" w:hAnsi="Palatino Linotype"/>
          <w:b/>
          <w:i/>
          <w:color w:val="auto"/>
          <w:sz w:val="24"/>
          <w:szCs w:val="24"/>
          <w:lang w:val="es-ES"/>
        </w:rPr>
        <w:t xml:space="preserve"> </w:t>
      </w:r>
      <w:r w:rsidR="001624E5" w:rsidRPr="00EC22D4">
        <w:rPr>
          <w:rStyle w:val="Ttulo2Car"/>
          <w:rFonts w:ascii="Palatino Linotype" w:hAnsi="Palatino Linotype"/>
          <w:i/>
          <w:color w:val="auto"/>
          <w:sz w:val="24"/>
          <w:szCs w:val="24"/>
          <w:lang w:val="es-ES"/>
        </w:rPr>
        <w:t>“</w:t>
      </w:r>
      <w:r w:rsidR="006C24F1" w:rsidRPr="00EC22D4">
        <w:rPr>
          <w:rFonts w:ascii="Palatino Linotype" w:eastAsiaTheme="majorEastAsia" w:hAnsi="Palatino Linotype" w:cstheme="majorBidi"/>
          <w:i/>
        </w:rPr>
        <w:t>No presento respuesta</w:t>
      </w:r>
      <w:r w:rsidRPr="00EC22D4">
        <w:rPr>
          <w:rStyle w:val="Ttulo2Car"/>
          <w:rFonts w:ascii="Palatino Linotype" w:hAnsi="Palatino Linotype"/>
          <w:i/>
          <w:color w:val="auto"/>
          <w:sz w:val="24"/>
          <w:szCs w:val="24"/>
          <w:lang w:val="es-ES"/>
        </w:rPr>
        <w:t>” (Sic)</w:t>
      </w:r>
      <w:r w:rsidRPr="00EC22D4">
        <w:rPr>
          <w:rFonts w:ascii="Palatino Linotype" w:eastAsia="Calibri" w:hAnsi="Palatino Linotype" w:cs="Arial"/>
          <w:i/>
          <w:lang w:val="es-ES"/>
        </w:rPr>
        <w:t xml:space="preserve">; </w:t>
      </w:r>
    </w:p>
    <w:p w:rsidR="00EC32CC" w:rsidRPr="00EC22D4" w:rsidRDefault="00EC32CC" w:rsidP="00EC22D4">
      <w:pPr>
        <w:pStyle w:val="Prrafodelista"/>
        <w:spacing w:line="360" w:lineRule="auto"/>
        <w:ind w:left="780" w:right="34"/>
        <w:jc w:val="both"/>
        <w:rPr>
          <w:rFonts w:ascii="Palatino Linotype" w:hAnsi="Palatino Linotype" w:cs="Arial"/>
          <w:i/>
        </w:rPr>
      </w:pPr>
    </w:p>
    <w:p w:rsidR="00333841" w:rsidRPr="00EC22D4" w:rsidRDefault="00333841" w:rsidP="00EC22D4">
      <w:pPr>
        <w:pStyle w:val="Prrafodelista"/>
        <w:numPr>
          <w:ilvl w:val="0"/>
          <w:numId w:val="4"/>
        </w:numPr>
        <w:spacing w:line="360" w:lineRule="auto"/>
        <w:jc w:val="both"/>
        <w:rPr>
          <w:rFonts w:ascii="Palatino Linotype" w:hAnsi="Palatino Linotype" w:cs="Arial"/>
          <w:i/>
        </w:rPr>
      </w:pPr>
      <w:bookmarkStart w:id="6" w:name="_Toc462307685"/>
      <w:bookmarkStart w:id="7" w:name="_Toc472427087"/>
      <w:bookmarkStart w:id="8" w:name="_Toc472500654"/>
      <w:r w:rsidRPr="00EC22D4">
        <w:rPr>
          <w:rFonts w:ascii="Palatino Linotype" w:hAnsi="Palatino Linotype"/>
          <w:b/>
        </w:rPr>
        <w:t>Razones o Motivos de inconformidad:</w:t>
      </w:r>
      <w:bookmarkEnd w:id="6"/>
      <w:bookmarkEnd w:id="7"/>
      <w:bookmarkEnd w:id="8"/>
      <w:r w:rsidRPr="00EC22D4">
        <w:rPr>
          <w:rStyle w:val="Ttulo2Car"/>
          <w:rFonts w:ascii="Palatino Linotype" w:hAnsi="Palatino Linotype"/>
          <w:b/>
          <w:sz w:val="24"/>
          <w:szCs w:val="24"/>
          <w:lang w:val="es-ES"/>
        </w:rPr>
        <w:t xml:space="preserve"> </w:t>
      </w:r>
      <w:r w:rsidRPr="00EC22D4">
        <w:rPr>
          <w:rFonts w:ascii="Palatino Linotype" w:hAnsi="Palatino Linotype"/>
          <w:i/>
        </w:rPr>
        <w:t>“</w:t>
      </w:r>
      <w:r w:rsidR="006C24F1" w:rsidRPr="00EC22D4">
        <w:rPr>
          <w:rFonts w:ascii="Palatino Linotype" w:hAnsi="Palatino Linotype"/>
          <w:i/>
        </w:rPr>
        <w:t>El sujeto obligado no presenta respuesta alguna</w:t>
      </w:r>
      <w:r w:rsidRPr="00EC22D4">
        <w:rPr>
          <w:rFonts w:ascii="Palatino Linotype" w:hAnsi="Palatino Linotype"/>
          <w:i/>
        </w:rPr>
        <w:t xml:space="preserve">” </w:t>
      </w:r>
      <w:r w:rsidRPr="00EC22D4">
        <w:rPr>
          <w:rFonts w:ascii="Palatino Linotype" w:hAnsi="Palatino Linotype" w:cs="Arial"/>
          <w:i/>
        </w:rPr>
        <w:t xml:space="preserve">(Sic) </w:t>
      </w:r>
    </w:p>
    <w:p w:rsidR="00426AAA" w:rsidRPr="00EC22D4" w:rsidRDefault="00426AAA" w:rsidP="00EC22D4">
      <w:pPr>
        <w:pStyle w:val="Prrafodelista"/>
        <w:spacing w:line="360" w:lineRule="auto"/>
        <w:rPr>
          <w:rFonts w:ascii="Palatino Linotype" w:hAnsi="Palatino Linotype" w:cs="Arial"/>
          <w:i/>
        </w:rPr>
      </w:pPr>
    </w:p>
    <w:p w:rsidR="00EF1AC5" w:rsidRPr="00EC22D4" w:rsidRDefault="00376174" w:rsidP="00EC22D4">
      <w:pPr>
        <w:pStyle w:val="Prrafodelista"/>
        <w:numPr>
          <w:ilvl w:val="0"/>
          <w:numId w:val="1"/>
        </w:numPr>
        <w:tabs>
          <w:tab w:val="left" w:pos="0"/>
        </w:tabs>
        <w:spacing w:line="360" w:lineRule="auto"/>
        <w:ind w:left="0" w:right="49" w:firstLine="0"/>
        <w:jc w:val="both"/>
        <w:rPr>
          <w:rFonts w:ascii="Palatino Linotype" w:hAnsi="Palatino Linotype"/>
          <w:i/>
        </w:rPr>
      </w:pPr>
      <w:r w:rsidRPr="00EC22D4">
        <w:rPr>
          <w:rFonts w:ascii="Palatino Linotype" w:eastAsia="Calibri" w:hAnsi="Palatino Linotype" w:cs="Arial"/>
        </w:rPr>
        <w:t xml:space="preserve">El </w:t>
      </w:r>
      <w:r w:rsidRPr="00EC22D4">
        <w:rPr>
          <w:rFonts w:ascii="Palatino Linotype" w:eastAsia="Calibri" w:hAnsi="Palatino Linotype" w:cs="Times New Roman"/>
        </w:rPr>
        <w:t>Comisionado</w:t>
      </w:r>
      <w:r w:rsidRPr="00EC22D4">
        <w:rPr>
          <w:rFonts w:ascii="Palatino Linotype" w:eastAsia="Calibri" w:hAnsi="Palatino Linotype" w:cs="Arial"/>
        </w:rPr>
        <w:t xml:space="preserve"> Ponente con fundamento en lo dispuesto por el artículo 185 fracción II de la ley de la materia, a través del acuerdo de admisión de fecha </w:t>
      </w:r>
      <w:r w:rsidR="006C24F1" w:rsidRPr="00EC22D4">
        <w:rPr>
          <w:rFonts w:ascii="Palatino Linotype" w:eastAsia="Calibri" w:hAnsi="Palatino Linotype" w:cs="Arial"/>
        </w:rPr>
        <w:t>nueve</w:t>
      </w:r>
      <w:r w:rsidR="00A26284" w:rsidRPr="00EC22D4">
        <w:rPr>
          <w:rFonts w:ascii="Palatino Linotype" w:eastAsia="Calibri" w:hAnsi="Palatino Linotype" w:cs="Arial"/>
        </w:rPr>
        <w:t xml:space="preserve"> </w:t>
      </w:r>
      <w:r w:rsidRPr="00EC22D4">
        <w:rPr>
          <w:rFonts w:ascii="Palatino Linotype" w:eastAsia="Calibri" w:hAnsi="Palatino Linotype" w:cs="Arial"/>
        </w:rPr>
        <w:t>(</w:t>
      </w:r>
      <w:r w:rsidR="006C24F1" w:rsidRPr="00EC22D4">
        <w:rPr>
          <w:rFonts w:ascii="Palatino Linotype" w:eastAsia="Calibri" w:hAnsi="Palatino Linotype" w:cs="Arial"/>
        </w:rPr>
        <w:t>09</w:t>
      </w:r>
      <w:r w:rsidR="00580B17" w:rsidRPr="00EC22D4">
        <w:rPr>
          <w:rFonts w:ascii="Palatino Linotype" w:eastAsia="Calibri" w:hAnsi="Palatino Linotype" w:cs="Arial"/>
        </w:rPr>
        <w:t xml:space="preserve">) de </w:t>
      </w:r>
      <w:r w:rsidR="006C24F1" w:rsidRPr="00EC22D4">
        <w:rPr>
          <w:rFonts w:ascii="Palatino Linotype" w:eastAsia="Calibri" w:hAnsi="Palatino Linotype" w:cs="Arial"/>
        </w:rPr>
        <w:t>agost</w:t>
      </w:r>
      <w:r w:rsidR="00580B17" w:rsidRPr="00EC22D4">
        <w:rPr>
          <w:rFonts w:ascii="Palatino Linotype" w:eastAsia="Calibri" w:hAnsi="Palatino Linotype" w:cs="Arial"/>
        </w:rPr>
        <w:t>o</w:t>
      </w:r>
      <w:r w:rsidR="00301C09" w:rsidRPr="00EC22D4">
        <w:rPr>
          <w:rFonts w:ascii="Palatino Linotype" w:eastAsia="Calibri" w:hAnsi="Palatino Linotype" w:cs="Arial"/>
        </w:rPr>
        <w:t xml:space="preserve"> de dos mil diecinueve</w:t>
      </w:r>
      <w:r w:rsidRPr="00EC22D4">
        <w:rPr>
          <w:rFonts w:ascii="Palatino Linotype" w:eastAsia="Calibri" w:hAnsi="Palatino Linotype" w:cs="Arial"/>
        </w:rPr>
        <w:t xml:space="preserve">, puso a disposición de las partes el expediente electrónico vía Sistema de Acceso a la Información Mexiquense </w:t>
      </w:r>
      <w:r w:rsidR="00A26284" w:rsidRPr="00EC22D4">
        <w:rPr>
          <w:rFonts w:ascii="Palatino Linotype" w:eastAsia="Calibri" w:hAnsi="Palatino Linotype" w:cs="Arial"/>
        </w:rPr>
        <w:t>(</w:t>
      </w:r>
      <w:r w:rsidRPr="00EC22D4">
        <w:rPr>
          <w:rFonts w:ascii="Palatino Linotype" w:eastAsia="Calibri" w:hAnsi="Palatino Linotype" w:cs="Arial"/>
          <w:b/>
        </w:rPr>
        <w:t>SAIMEX</w:t>
      </w:r>
      <w:r w:rsidR="00A26284" w:rsidRPr="00EC22D4">
        <w:rPr>
          <w:rFonts w:ascii="Palatino Linotype" w:eastAsia="Calibri" w:hAnsi="Palatino Linotype" w:cs="Arial"/>
          <w:b/>
        </w:rPr>
        <w:t>)</w:t>
      </w:r>
      <w:r w:rsidRPr="00EC22D4">
        <w:rPr>
          <w:rFonts w:ascii="Palatino Linotype" w:eastAsia="Calibri" w:hAnsi="Palatino Linotype" w:cs="Arial"/>
          <w:b/>
        </w:rPr>
        <w:t xml:space="preserve"> </w:t>
      </w:r>
      <w:r w:rsidR="00A26284" w:rsidRPr="00EC22D4">
        <w:rPr>
          <w:rFonts w:ascii="Palatino Linotype" w:eastAsia="Calibri" w:hAnsi="Palatino Linotype" w:cs="Arial"/>
        </w:rPr>
        <w:t>con la finalidad</w:t>
      </w:r>
      <w:r w:rsidRPr="00EC22D4">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EC22D4">
        <w:rPr>
          <w:rFonts w:ascii="Palatino Linotype" w:eastAsia="Calibri" w:hAnsi="Palatino Linotype" w:cs="Arial"/>
          <w:b/>
        </w:rPr>
        <w:t>SUJETO OBLIGADO</w:t>
      </w:r>
      <w:r w:rsidRPr="00EC22D4">
        <w:rPr>
          <w:rFonts w:ascii="Palatino Linotype" w:eastAsia="Calibri" w:hAnsi="Palatino Linotype" w:cs="Arial"/>
        </w:rPr>
        <w:t xml:space="preserve"> presentará el Informe Justificado procedente.</w:t>
      </w:r>
    </w:p>
    <w:p w:rsidR="002C4293" w:rsidRPr="00EC22D4" w:rsidRDefault="002C4293" w:rsidP="00EC22D4">
      <w:pPr>
        <w:pStyle w:val="Prrafodelista"/>
        <w:tabs>
          <w:tab w:val="left" w:pos="0"/>
        </w:tabs>
        <w:spacing w:line="360" w:lineRule="auto"/>
        <w:ind w:left="0" w:right="49"/>
        <w:jc w:val="both"/>
        <w:rPr>
          <w:rFonts w:ascii="Palatino Linotype" w:hAnsi="Palatino Linotype"/>
          <w:i/>
        </w:rPr>
      </w:pPr>
    </w:p>
    <w:p w:rsidR="00A26284" w:rsidRPr="00EC22D4" w:rsidRDefault="002C4293" w:rsidP="00EC22D4">
      <w:pPr>
        <w:pStyle w:val="Prrafodelista"/>
        <w:numPr>
          <w:ilvl w:val="0"/>
          <w:numId w:val="1"/>
        </w:numPr>
        <w:spacing w:before="240" w:after="240" w:line="360" w:lineRule="auto"/>
        <w:ind w:left="0" w:firstLine="0"/>
        <w:jc w:val="both"/>
        <w:rPr>
          <w:rFonts w:ascii="Palatino Linotype" w:hAnsi="Palatino Linotype"/>
          <w:color w:val="000000"/>
        </w:rPr>
      </w:pPr>
      <w:r w:rsidRPr="00EC22D4">
        <w:rPr>
          <w:rFonts w:ascii="Palatino Linotype" w:hAnsi="Palatino Linotype"/>
          <w:color w:val="000000"/>
        </w:rPr>
        <w:t>E</w:t>
      </w:r>
      <w:r w:rsidR="00A26284" w:rsidRPr="00EC22D4">
        <w:rPr>
          <w:rFonts w:ascii="Palatino Linotype" w:hAnsi="Palatino Linotype"/>
          <w:color w:val="000000"/>
        </w:rPr>
        <w:t xml:space="preserve">l </w:t>
      </w:r>
      <w:r w:rsidR="00A26284" w:rsidRPr="00EC22D4">
        <w:rPr>
          <w:rFonts w:ascii="Palatino Linotype" w:hAnsi="Palatino Linotype"/>
          <w:b/>
          <w:color w:val="000000"/>
        </w:rPr>
        <w:t>SUJETO OBLIGADO</w:t>
      </w:r>
      <w:r w:rsidR="00A26284" w:rsidRPr="00EC22D4">
        <w:rPr>
          <w:rFonts w:ascii="Palatino Linotype" w:hAnsi="Palatino Linotype"/>
          <w:color w:val="000000"/>
        </w:rPr>
        <w:t xml:space="preserve">, </w:t>
      </w:r>
      <w:r w:rsidRPr="00EC22D4">
        <w:rPr>
          <w:rFonts w:ascii="Palatino Linotype" w:hAnsi="Palatino Linotype"/>
          <w:color w:val="000000"/>
        </w:rPr>
        <w:t xml:space="preserve">fue omiso en </w:t>
      </w:r>
      <w:r w:rsidR="00A26284" w:rsidRPr="00EC22D4">
        <w:rPr>
          <w:rFonts w:ascii="Palatino Linotype" w:hAnsi="Palatino Linotype"/>
          <w:color w:val="000000"/>
        </w:rPr>
        <w:t>emiti</w:t>
      </w:r>
      <w:r w:rsidRPr="00EC22D4">
        <w:rPr>
          <w:rFonts w:ascii="Palatino Linotype" w:hAnsi="Palatino Linotype"/>
          <w:color w:val="000000"/>
        </w:rPr>
        <w:t>r</w:t>
      </w:r>
      <w:r w:rsidR="00A26284" w:rsidRPr="00EC22D4">
        <w:rPr>
          <w:rFonts w:ascii="Palatino Linotype" w:hAnsi="Palatino Linotype"/>
          <w:color w:val="000000"/>
        </w:rPr>
        <w:t xml:space="preserve"> el informe just</w:t>
      </w:r>
      <w:r w:rsidR="00C07142" w:rsidRPr="00EC22D4">
        <w:rPr>
          <w:rFonts w:ascii="Palatino Linotype" w:hAnsi="Palatino Linotype"/>
          <w:color w:val="000000"/>
        </w:rPr>
        <w:t xml:space="preserve">ificado </w:t>
      </w:r>
      <w:r w:rsidRPr="00EC22D4">
        <w:rPr>
          <w:rFonts w:ascii="Palatino Linotype" w:hAnsi="Palatino Linotype"/>
          <w:color w:val="000000"/>
        </w:rPr>
        <w:t>respectivo</w:t>
      </w:r>
      <w:r w:rsidR="00C52040" w:rsidRPr="00EC22D4">
        <w:rPr>
          <w:rFonts w:ascii="Palatino Linotype" w:hAnsi="Palatino Linotype"/>
          <w:color w:val="000000"/>
        </w:rPr>
        <w:t xml:space="preserve">. </w:t>
      </w:r>
      <w:r w:rsidR="00A26284" w:rsidRPr="00EC22D4">
        <w:rPr>
          <w:rFonts w:ascii="Palatino Linotype" w:hAnsi="Palatino Linotype"/>
          <w:color w:val="000000"/>
        </w:rPr>
        <w:t xml:space="preserve">Por su parte, </w:t>
      </w:r>
      <w:proofErr w:type="gramStart"/>
      <w:r w:rsidR="00A26284" w:rsidRPr="00EC22D4">
        <w:rPr>
          <w:rFonts w:ascii="Palatino Linotype" w:hAnsi="Palatino Linotype"/>
          <w:color w:val="000000"/>
        </w:rPr>
        <w:t>l</w:t>
      </w:r>
      <w:r w:rsidRPr="00EC22D4">
        <w:rPr>
          <w:rFonts w:ascii="Palatino Linotype" w:hAnsi="Palatino Linotype"/>
          <w:color w:val="000000"/>
        </w:rPr>
        <w:t>a</w:t>
      </w:r>
      <w:proofErr w:type="gramEnd"/>
      <w:r w:rsidR="00C0028F" w:rsidRPr="00EC22D4">
        <w:rPr>
          <w:rFonts w:ascii="Palatino Linotype" w:hAnsi="Palatino Linotype"/>
          <w:color w:val="000000"/>
        </w:rPr>
        <w:t xml:space="preserve"> hoy recurrente</w:t>
      </w:r>
      <w:r w:rsidR="0021153D" w:rsidRPr="00EC22D4">
        <w:rPr>
          <w:rFonts w:ascii="Palatino Linotype" w:hAnsi="Palatino Linotype"/>
          <w:color w:val="000000"/>
        </w:rPr>
        <w:t xml:space="preserve"> también</w:t>
      </w:r>
      <w:r w:rsidR="00C0028F" w:rsidRPr="00EC22D4">
        <w:rPr>
          <w:rFonts w:ascii="Palatino Linotype" w:hAnsi="Palatino Linotype"/>
          <w:color w:val="000000"/>
        </w:rPr>
        <w:t xml:space="preserve"> fue omisa</w:t>
      </w:r>
      <w:r w:rsidR="00A26284" w:rsidRPr="00EC22D4">
        <w:rPr>
          <w:rFonts w:ascii="Palatino Linotype" w:hAnsi="Palatino Linotype"/>
          <w:color w:val="000000"/>
        </w:rPr>
        <w:t xml:space="preserve"> en manifestar lo que a su derecho convinieran y asistiera.</w:t>
      </w:r>
    </w:p>
    <w:p w:rsidR="00796274" w:rsidRPr="00EC22D4" w:rsidRDefault="00796274" w:rsidP="00EC22D4">
      <w:pPr>
        <w:pStyle w:val="Prrafodelista"/>
        <w:tabs>
          <w:tab w:val="left" w:pos="0"/>
        </w:tabs>
        <w:spacing w:line="360" w:lineRule="auto"/>
        <w:ind w:left="0" w:right="49"/>
        <w:jc w:val="both"/>
        <w:rPr>
          <w:rFonts w:ascii="Palatino Linotype" w:hAnsi="Palatino Linotype"/>
          <w:b/>
          <w:u w:val="single"/>
        </w:rPr>
      </w:pPr>
    </w:p>
    <w:p w:rsidR="0021153D" w:rsidRPr="00EC22D4" w:rsidRDefault="00376174" w:rsidP="00EC22D4">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EC22D4">
        <w:rPr>
          <w:rFonts w:ascii="Palatino Linotype" w:hAnsi="Palatino Linotype"/>
        </w:rPr>
        <w:t>El Comisionado Ponente</w:t>
      </w:r>
      <w:r w:rsidRPr="00EC22D4">
        <w:rPr>
          <w:rFonts w:ascii="Palatino Linotype" w:eastAsia="Calibri" w:hAnsi="Palatino Linotype" w:cs="Arial"/>
        </w:rPr>
        <w:t>, e</w:t>
      </w:r>
      <w:r w:rsidR="00FF1335" w:rsidRPr="00EC22D4">
        <w:rPr>
          <w:rFonts w:ascii="Palatino Linotype" w:eastAsia="Calibri" w:hAnsi="Palatino Linotype" w:cs="Arial"/>
        </w:rPr>
        <w:t>n</w:t>
      </w:r>
      <w:r w:rsidR="00FF1335" w:rsidRPr="00EC22D4">
        <w:rPr>
          <w:rFonts w:ascii="Palatino Linotype" w:hAnsi="Palatino Linotype"/>
        </w:rPr>
        <w:t xml:space="preserve"> fecha </w:t>
      </w:r>
      <w:r w:rsidR="006C24F1" w:rsidRPr="00EC22D4">
        <w:rPr>
          <w:rFonts w:ascii="Palatino Linotype" w:hAnsi="Palatino Linotype"/>
        </w:rPr>
        <w:t>veinticinco</w:t>
      </w:r>
      <w:r w:rsidRPr="00EC22D4">
        <w:rPr>
          <w:rFonts w:ascii="Palatino Linotype" w:hAnsi="Palatino Linotype"/>
        </w:rPr>
        <w:t xml:space="preserve"> (</w:t>
      </w:r>
      <w:r w:rsidR="006C24F1" w:rsidRPr="00EC22D4">
        <w:rPr>
          <w:rFonts w:ascii="Palatino Linotype" w:hAnsi="Palatino Linotype"/>
        </w:rPr>
        <w:t>25</w:t>
      </w:r>
      <w:r w:rsidRPr="00EC22D4">
        <w:rPr>
          <w:rFonts w:ascii="Palatino Linotype" w:hAnsi="Palatino Linotype"/>
        </w:rPr>
        <w:t xml:space="preserve">) de </w:t>
      </w:r>
      <w:r w:rsidR="006C24F1" w:rsidRPr="00EC22D4">
        <w:rPr>
          <w:rFonts w:ascii="Palatino Linotype" w:hAnsi="Palatino Linotype"/>
        </w:rPr>
        <w:t>septiembre</w:t>
      </w:r>
      <w:r w:rsidRPr="00EC22D4">
        <w:rPr>
          <w:rFonts w:ascii="Palatino Linotype" w:hAnsi="Palatino Linotype"/>
        </w:rPr>
        <w:t xml:space="preserve"> del añ</w:t>
      </w:r>
      <w:r w:rsidR="00EE265F" w:rsidRPr="00EC22D4">
        <w:rPr>
          <w:rFonts w:ascii="Palatino Linotype" w:hAnsi="Palatino Linotype"/>
        </w:rPr>
        <w:t xml:space="preserve">o en curso </w:t>
      </w:r>
      <w:r w:rsidRPr="00EC22D4">
        <w:rPr>
          <w:rFonts w:ascii="Palatino Linotype" w:hAnsi="Palatino Linotype"/>
        </w:rPr>
        <w:t xml:space="preserve"> </w:t>
      </w:r>
      <w:r w:rsidR="00B317F0" w:rsidRPr="00EC22D4">
        <w:rPr>
          <w:rFonts w:ascii="Palatino Linotype" w:hAnsi="Palatino Linotype"/>
        </w:rPr>
        <w:t xml:space="preserve"> </w:t>
      </w:r>
      <w:r w:rsidRPr="00EC22D4">
        <w:rPr>
          <w:rFonts w:ascii="Palatino Linotype" w:hAnsi="Palatino Linotype"/>
        </w:rPr>
        <w:t>d</w:t>
      </w:r>
      <w:r w:rsidR="00B317F0" w:rsidRPr="00EC22D4">
        <w:rPr>
          <w:rFonts w:ascii="Palatino Linotype" w:hAnsi="Palatino Linotype"/>
        </w:rPr>
        <w:t>ecretó el cierre de instrucción,</w:t>
      </w:r>
      <w:r w:rsidRPr="00EC22D4">
        <w:rPr>
          <w:rFonts w:ascii="Palatino Linotype" w:hAnsi="Palatino Linotype"/>
        </w:rPr>
        <w:t xml:space="preserve"> </w:t>
      </w:r>
      <w:r w:rsidR="00B317F0" w:rsidRPr="00EC22D4">
        <w:rPr>
          <w:rFonts w:ascii="Palatino Linotype" w:hAnsi="Palatino Linotype"/>
        </w:rPr>
        <w:t>consecutivamente</w:t>
      </w:r>
      <w:r w:rsidRPr="00EC22D4">
        <w:rPr>
          <w:rFonts w:ascii="Palatino Linotype" w:hAnsi="Palatino Linotype"/>
        </w:rPr>
        <w:t xml:space="preserve"> en </w:t>
      </w:r>
      <w:r w:rsidR="00B317F0" w:rsidRPr="00EC22D4">
        <w:rPr>
          <w:rFonts w:ascii="Palatino Linotype" w:hAnsi="Palatino Linotype"/>
        </w:rPr>
        <w:t>fecha</w:t>
      </w:r>
      <w:r w:rsidR="00923F45" w:rsidRPr="00EC22D4">
        <w:rPr>
          <w:rFonts w:ascii="Palatino Linotype" w:hAnsi="Palatino Linotype"/>
        </w:rPr>
        <w:t xml:space="preserve"> </w:t>
      </w:r>
      <w:r w:rsidR="006C24F1" w:rsidRPr="00EC22D4">
        <w:rPr>
          <w:rFonts w:ascii="Palatino Linotype" w:hAnsi="Palatino Linotype"/>
        </w:rPr>
        <w:t>tres</w:t>
      </w:r>
      <w:r w:rsidR="00923F45" w:rsidRPr="00EC22D4">
        <w:rPr>
          <w:rFonts w:ascii="Palatino Linotype" w:hAnsi="Palatino Linotype"/>
        </w:rPr>
        <w:t xml:space="preserve"> (</w:t>
      </w:r>
      <w:r w:rsidR="002C4293" w:rsidRPr="00EC22D4">
        <w:rPr>
          <w:rFonts w:ascii="Palatino Linotype" w:hAnsi="Palatino Linotype"/>
        </w:rPr>
        <w:t>0</w:t>
      </w:r>
      <w:r w:rsidR="006C24F1" w:rsidRPr="00EC22D4">
        <w:rPr>
          <w:rFonts w:ascii="Palatino Linotype" w:hAnsi="Palatino Linotype"/>
        </w:rPr>
        <w:t>3</w:t>
      </w:r>
      <w:r w:rsidR="00923F45" w:rsidRPr="00EC22D4">
        <w:rPr>
          <w:rFonts w:ascii="Palatino Linotype" w:hAnsi="Palatino Linotype"/>
        </w:rPr>
        <w:t>) de</w:t>
      </w:r>
      <w:r w:rsidR="005C5AA0" w:rsidRPr="00EC22D4">
        <w:rPr>
          <w:rFonts w:ascii="Palatino Linotype" w:hAnsi="Palatino Linotype"/>
        </w:rPr>
        <w:t xml:space="preserve"> </w:t>
      </w:r>
      <w:r w:rsidR="006C24F1" w:rsidRPr="00EC22D4">
        <w:rPr>
          <w:rFonts w:ascii="Palatino Linotype" w:hAnsi="Palatino Linotype"/>
        </w:rPr>
        <w:t>octubre</w:t>
      </w:r>
      <w:r w:rsidR="005C5AA0" w:rsidRPr="00EC22D4">
        <w:rPr>
          <w:rFonts w:ascii="Palatino Linotype" w:hAnsi="Palatino Linotype"/>
        </w:rPr>
        <w:t xml:space="preserve"> del mismo</w:t>
      </w:r>
      <w:r w:rsidR="00923F45" w:rsidRPr="00EC22D4">
        <w:rPr>
          <w:rFonts w:ascii="Palatino Linotype" w:hAnsi="Palatino Linotype"/>
        </w:rPr>
        <w:t xml:space="preserve"> año</w:t>
      </w:r>
      <w:r w:rsidRPr="00EC22D4">
        <w:rPr>
          <w:rFonts w:ascii="Palatino Linotype" w:hAnsi="Palatino Linotype"/>
        </w:rPr>
        <w:t>,</w:t>
      </w:r>
      <w:r w:rsidR="00B317F0" w:rsidRPr="00EC22D4">
        <w:rPr>
          <w:rFonts w:ascii="Palatino Linotype" w:hAnsi="Palatino Linotype"/>
        </w:rPr>
        <w:t xml:space="preserve"> </w:t>
      </w:r>
      <w:r w:rsidR="00FF1335" w:rsidRPr="00EC22D4">
        <w:rPr>
          <w:rFonts w:ascii="Palatino Linotype" w:hAnsi="Palatino Linotype"/>
        </w:rPr>
        <w:t>emitió un acuerdo de termino para resolver el recurso de mérito a efecto de mejor proveer</w:t>
      </w:r>
      <w:r w:rsidR="00B317F0" w:rsidRPr="00EC22D4">
        <w:rPr>
          <w:rFonts w:ascii="Palatino Linotype" w:hAnsi="Palatino Linotype"/>
        </w:rPr>
        <w:t xml:space="preserve"> en su estudio y resolución</w:t>
      </w:r>
      <w:r w:rsidR="00333841" w:rsidRPr="00EC22D4">
        <w:rPr>
          <w:rFonts w:ascii="Palatino Linotype" w:hAnsi="Palatino Linotype"/>
        </w:rPr>
        <w:t xml:space="preserve">, </w:t>
      </w:r>
      <w:r w:rsidR="00333841" w:rsidRPr="00EC22D4">
        <w:rPr>
          <w:rFonts w:ascii="Palatino Linotype" w:hAnsi="Palatino Linotype" w:cs="Arial"/>
        </w:rPr>
        <w:t>por lo que, ordenó turnar el expediente a resolución.</w:t>
      </w:r>
    </w:p>
    <w:p w:rsidR="00333841" w:rsidRDefault="00333841" w:rsidP="00EC22D4">
      <w:pPr>
        <w:pStyle w:val="Ttulo1"/>
        <w:spacing w:line="360" w:lineRule="auto"/>
        <w:jc w:val="center"/>
        <w:rPr>
          <w:rFonts w:ascii="Palatino Linotype" w:hAnsi="Palatino Linotype"/>
          <w:b/>
          <w:color w:val="auto"/>
          <w:sz w:val="24"/>
          <w:szCs w:val="24"/>
        </w:rPr>
      </w:pPr>
      <w:bookmarkStart w:id="9" w:name="_Toc21009177"/>
      <w:r w:rsidRPr="00EC22D4">
        <w:rPr>
          <w:rFonts w:ascii="Palatino Linotype" w:hAnsi="Palatino Linotype"/>
          <w:b/>
          <w:color w:val="auto"/>
          <w:sz w:val="24"/>
          <w:szCs w:val="24"/>
        </w:rPr>
        <w:t>CONSIDERANDO</w:t>
      </w:r>
      <w:bookmarkEnd w:id="9"/>
    </w:p>
    <w:p w:rsidR="00EC22D4" w:rsidRPr="00EC22D4" w:rsidRDefault="00EC22D4" w:rsidP="00EC22D4">
      <w:pPr>
        <w:rPr>
          <w:lang w:val="es-MX" w:eastAsia="en-US"/>
        </w:rPr>
      </w:pPr>
    </w:p>
    <w:p w:rsidR="00333841" w:rsidRPr="00EC22D4" w:rsidRDefault="00333841" w:rsidP="00EC22D4">
      <w:pPr>
        <w:pStyle w:val="Ttulo2"/>
        <w:spacing w:line="360" w:lineRule="auto"/>
        <w:rPr>
          <w:rFonts w:ascii="Palatino Linotype" w:hAnsi="Palatino Linotype"/>
          <w:b/>
          <w:color w:val="auto"/>
          <w:sz w:val="24"/>
          <w:szCs w:val="24"/>
        </w:rPr>
      </w:pPr>
      <w:bookmarkStart w:id="10" w:name="_Toc21009178"/>
      <w:r w:rsidRPr="00EC22D4">
        <w:rPr>
          <w:rFonts w:ascii="Palatino Linotype" w:hAnsi="Palatino Linotype"/>
          <w:b/>
          <w:color w:val="auto"/>
          <w:sz w:val="24"/>
          <w:szCs w:val="24"/>
        </w:rPr>
        <w:t>PRIMERO. De la competencia</w:t>
      </w:r>
      <w:bookmarkEnd w:id="10"/>
    </w:p>
    <w:p w:rsidR="00ED1EBA" w:rsidRPr="00EC22D4" w:rsidRDefault="00ED1EBA" w:rsidP="00EC22D4">
      <w:pPr>
        <w:spacing w:line="360" w:lineRule="auto"/>
        <w:rPr>
          <w:rFonts w:ascii="Palatino Linotype" w:hAnsi="Palatino Linotype"/>
          <w:lang w:val="es-MX" w:eastAsia="en-US"/>
        </w:rPr>
      </w:pPr>
    </w:p>
    <w:p w:rsidR="00333841" w:rsidRDefault="00333841" w:rsidP="00EC22D4">
      <w:pPr>
        <w:pStyle w:val="Prrafodelista"/>
        <w:numPr>
          <w:ilvl w:val="0"/>
          <w:numId w:val="1"/>
        </w:numPr>
        <w:tabs>
          <w:tab w:val="left" w:pos="0"/>
        </w:tabs>
        <w:spacing w:line="360" w:lineRule="auto"/>
        <w:ind w:left="0" w:right="49" w:firstLine="0"/>
        <w:jc w:val="both"/>
        <w:rPr>
          <w:rFonts w:ascii="Palatino Linotype" w:hAnsi="Palatino Linotype"/>
        </w:rPr>
      </w:pPr>
      <w:r w:rsidRPr="00EC22D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C22D4">
        <w:rPr>
          <w:rFonts w:ascii="Palatino Linotype" w:eastAsia="Calibri" w:hAnsi="Palatino Linotype" w:cs="Times New Roman"/>
          <w:b/>
          <w:lang w:val="es-ES"/>
        </w:rPr>
        <w:t>Constitución Política de los Estados Unidos Mexicanos</w:t>
      </w:r>
      <w:r w:rsidRPr="00EC22D4">
        <w:rPr>
          <w:rFonts w:ascii="Palatino Linotype" w:eastAsia="Calibri" w:hAnsi="Palatino Linotype" w:cs="Times New Roman"/>
          <w:lang w:val="es-ES"/>
        </w:rPr>
        <w:t xml:space="preserve">; 5, párrafos vigésimo, vigésimo primero y vigésimo segundo fracciones IV y V de la </w:t>
      </w:r>
      <w:r w:rsidRPr="00EC22D4">
        <w:rPr>
          <w:rFonts w:ascii="Palatino Linotype" w:eastAsia="Calibri" w:hAnsi="Palatino Linotype" w:cs="Times New Roman"/>
          <w:b/>
          <w:lang w:val="es-ES"/>
        </w:rPr>
        <w:t>Constitución Política del Estado Libre y Soberano de México</w:t>
      </w:r>
      <w:r w:rsidRPr="00EC22D4">
        <w:rPr>
          <w:rFonts w:ascii="Palatino Linotype" w:eastAsia="Calibri" w:hAnsi="Palatino Linotype" w:cs="Times New Roman"/>
          <w:lang w:val="es-ES"/>
        </w:rPr>
        <w:t xml:space="preserve">; artículos 1, 2 fracción II, 13, 29, 36 fracciones I y II, 176, 178, 179, 181 párrafo tercero y 185 </w:t>
      </w:r>
      <w:r w:rsidRPr="00EC22D4">
        <w:rPr>
          <w:rFonts w:ascii="Palatino Linotype" w:eastAsia="Calibri" w:hAnsi="Palatino Linotype" w:cs="Arial"/>
          <w:lang w:val="es-ES"/>
        </w:rPr>
        <w:t xml:space="preserve">de la </w:t>
      </w:r>
      <w:r w:rsidRPr="00EC22D4">
        <w:rPr>
          <w:rFonts w:ascii="Palatino Linotype" w:eastAsia="Calibri" w:hAnsi="Palatino Linotype" w:cs="Arial"/>
          <w:b/>
          <w:lang w:val="es-ES"/>
        </w:rPr>
        <w:t>Ley de Transparencia y Acceso a la Información Pública del Estado de México y Municipios</w:t>
      </w:r>
      <w:r w:rsidRPr="00EC22D4">
        <w:rPr>
          <w:rFonts w:ascii="Palatino Linotype" w:eastAsia="Calibri" w:hAnsi="Palatino Linotype" w:cs="Arial"/>
          <w:lang w:val="es-ES"/>
        </w:rPr>
        <w:t xml:space="preserve">; ; y 10, 7, 9 fracciones I y XXIV, y 11 del </w:t>
      </w:r>
      <w:r w:rsidRPr="00EC22D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EC22D4" w:rsidRPr="00EC22D4" w:rsidRDefault="00EC22D4" w:rsidP="00EC22D4">
      <w:pPr>
        <w:pStyle w:val="Prrafodelista"/>
        <w:tabs>
          <w:tab w:val="left" w:pos="0"/>
        </w:tabs>
        <w:spacing w:line="360" w:lineRule="auto"/>
        <w:ind w:left="0" w:right="49"/>
        <w:jc w:val="both"/>
        <w:rPr>
          <w:rFonts w:ascii="Palatino Linotype" w:hAnsi="Palatino Linotype"/>
        </w:rPr>
      </w:pPr>
    </w:p>
    <w:p w:rsidR="00333841" w:rsidRPr="00EC22D4" w:rsidRDefault="00333841" w:rsidP="00EC22D4">
      <w:pPr>
        <w:pStyle w:val="Ttulo2"/>
        <w:spacing w:line="360" w:lineRule="auto"/>
        <w:rPr>
          <w:rFonts w:ascii="Palatino Linotype" w:hAnsi="Palatino Linotype"/>
          <w:b/>
          <w:color w:val="auto"/>
          <w:sz w:val="24"/>
          <w:szCs w:val="24"/>
        </w:rPr>
      </w:pPr>
      <w:bookmarkStart w:id="11" w:name="_Toc21009179"/>
      <w:r w:rsidRPr="00EC22D4">
        <w:rPr>
          <w:rFonts w:ascii="Palatino Linotype" w:hAnsi="Palatino Linotype"/>
          <w:b/>
          <w:color w:val="auto"/>
          <w:sz w:val="24"/>
          <w:szCs w:val="24"/>
        </w:rPr>
        <w:t>SEGUNDO. De la oportunidad y procedencia.</w:t>
      </w:r>
      <w:bookmarkEnd w:id="11"/>
    </w:p>
    <w:p w:rsidR="00ED1EBA" w:rsidRPr="00EC22D4" w:rsidRDefault="00ED1EBA" w:rsidP="00EC22D4">
      <w:pPr>
        <w:spacing w:line="360" w:lineRule="auto"/>
        <w:rPr>
          <w:rFonts w:ascii="Palatino Linotype" w:hAnsi="Palatino Linotype"/>
          <w:lang w:val="es-MX" w:eastAsia="en-US"/>
        </w:rPr>
      </w:pP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b/>
        </w:rPr>
      </w:pPr>
      <w:r w:rsidRPr="00EC22D4">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1B0532" w:rsidRPr="00EC22D4" w:rsidRDefault="001B0532" w:rsidP="00EC22D4">
      <w:pPr>
        <w:pStyle w:val="Prrafodelista"/>
        <w:tabs>
          <w:tab w:val="left" w:pos="0"/>
        </w:tabs>
        <w:spacing w:line="360" w:lineRule="auto"/>
        <w:ind w:left="0" w:right="49"/>
        <w:jc w:val="both"/>
        <w:rPr>
          <w:rFonts w:ascii="Palatino Linotype" w:hAnsi="Palatino Linotype"/>
          <w:b/>
        </w:rPr>
      </w:pPr>
    </w:p>
    <w:p w:rsidR="001B0532" w:rsidRPr="00EC22D4" w:rsidRDefault="001B0532" w:rsidP="00EC22D4">
      <w:pPr>
        <w:pStyle w:val="Prrafodelista"/>
        <w:spacing w:before="240" w:after="240" w:line="360" w:lineRule="auto"/>
        <w:ind w:left="567" w:right="567"/>
        <w:jc w:val="both"/>
        <w:rPr>
          <w:rFonts w:ascii="Palatino Linotype" w:hAnsi="Palatino Linotype"/>
          <w:i/>
        </w:rPr>
      </w:pPr>
      <w:r w:rsidRPr="00EC22D4">
        <w:rPr>
          <w:rFonts w:ascii="Palatino Linotype" w:hAnsi="Palatino Linotype"/>
          <w:b/>
          <w:i/>
        </w:rPr>
        <w:t>Artículo 179.</w:t>
      </w:r>
      <w:r w:rsidRPr="00EC22D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1B0532" w:rsidRPr="00EC22D4" w:rsidRDefault="001B0532" w:rsidP="00EC22D4">
      <w:pPr>
        <w:pStyle w:val="Prrafodelista"/>
        <w:spacing w:before="240" w:after="240" w:line="360" w:lineRule="auto"/>
        <w:ind w:left="567" w:right="567"/>
        <w:jc w:val="both"/>
        <w:rPr>
          <w:rFonts w:ascii="Palatino Linotype" w:hAnsi="Palatino Linotype"/>
          <w:i/>
        </w:rPr>
      </w:pPr>
      <w:r w:rsidRPr="00EC22D4">
        <w:rPr>
          <w:rFonts w:ascii="Palatino Linotype" w:hAnsi="Palatino Linotype"/>
          <w:i/>
        </w:rPr>
        <w:t>(…)</w:t>
      </w:r>
    </w:p>
    <w:p w:rsidR="001B0532" w:rsidRPr="00EC22D4" w:rsidRDefault="001B0532" w:rsidP="00EC22D4">
      <w:pPr>
        <w:pStyle w:val="Prrafodelista"/>
        <w:spacing w:before="240" w:after="240" w:line="360" w:lineRule="auto"/>
        <w:ind w:left="567" w:right="567"/>
        <w:jc w:val="both"/>
        <w:rPr>
          <w:rFonts w:ascii="Palatino Linotype" w:hAnsi="Palatino Linotype"/>
          <w:b/>
          <w:i/>
        </w:rPr>
      </w:pPr>
      <w:r w:rsidRPr="00EC22D4">
        <w:rPr>
          <w:rFonts w:ascii="Palatino Linotype" w:hAnsi="Palatino Linotype"/>
          <w:b/>
          <w:i/>
        </w:rPr>
        <w:t>VII. La falta de respuesta a una solicitud de acceso a la información;</w:t>
      </w:r>
    </w:p>
    <w:p w:rsidR="001B0532" w:rsidRPr="00EC22D4" w:rsidRDefault="001B0532" w:rsidP="00EC22D4">
      <w:pPr>
        <w:spacing w:line="360" w:lineRule="auto"/>
        <w:ind w:left="567"/>
        <w:rPr>
          <w:rFonts w:ascii="Palatino Linotype" w:hAnsi="Palatino Linotype"/>
          <w:i/>
          <w:lang w:val="es-MX" w:eastAsia="en-US"/>
        </w:rPr>
      </w:pPr>
      <w:r w:rsidRPr="00EC22D4">
        <w:rPr>
          <w:rFonts w:ascii="Palatino Linotype" w:hAnsi="Palatino Linotype"/>
          <w:i/>
          <w:lang w:val="es-MX" w:eastAsia="en-US"/>
        </w:rPr>
        <w:t>(…)</w:t>
      </w:r>
    </w:p>
    <w:p w:rsidR="001B0532" w:rsidRPr="00EC22D4" w:rsidRDefault="001B0532" w:rsidP="00EC22D4">
      <w:pPr>
        <w:pStyle w:val="Prrafodelista"/>
        <w:spacing w:before="240" w:after="240" w:line="360" w:lineRule="auto"/>
        <w:ind w:left="0" w:right="49"/>
        <w:jc w:val="both"/>
        <w:rPr>
          <w:rFonts w:ascii="Palatino Linotype" w:hAnsi="Palatino Linotype"/>
        </w:rPr>
      </w:pP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rPr>
      </w:pPr>
      <w:r w:rsidRPr="00EC22D4">
        <w:rPr>
          <w:rFonts w:ascii="Palatino Linotype" w:eastAsia="Calibri" w:hAnsi="Palatino Linotype" w:cs="Arial"/>
        </w:rPr>
        <w:t>Así</w:t>
      </w:r>
      <w:r w:rsidRPr="00EC22D4">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EC22D4">
        <w:rPr>
          <w:rFonts w:ascii="Palatino Linotype" w:hAnsi="Palatino Linotype"/>
          <w:b/>
        </w:rPr>
        <w:t>SUJETO OBLIGADO</w:t>
      </w:r>
      <w:r w:rsidRPr="00EC22D4">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1B0532" w:rsidRPr="00EC22D4" w:rsidRDefault="001B0532" w:rsidP="00EC22D4">
      <w:pPr>
        <w:pStyle w:val="Prrafodelista"/>
        <w:spacing w:before="240" w:after="240" w:line="360" w:lineRule="auto"/>
        <w:ind w:left="0" w:right="49"/>
        <w:jc w:val="both"/>
        <w:rPr>
          <w:rFonts w:ascii="Palatino Linotype" w:hAnsi="Palatino Linotype"/>
        </w:rPr>
      </w:pPr>
    </w:p>
    <w:p w:rsidR="001B0532" w:rsidRPr="00EC22D4" w:rsidRDefault="001B0532" w:rsidP="00EC22D4">
      <w:pPr>
        <w:pStyle w:val="Prrafodelista"/>
        <w:spacing w:before="240" w:after="240" w:line="360" w:lineRule="auto"/>
        <w:ind w:left="567" w:right="567"/>
        <w:jc w:val="both"/>
        <w:rPr>
          <w:rFonts w:ascii="Palatino Linotype" w:hAnsi="Palatino Linotype"/>
          <w:i/>
        </w:rPr>
      </w:pPr>
      <w:r w:rsidRPr="00EC22D4">
        <w:rPr>
          <w:rFonts w:ascii="Palatino Linotype" w:hAnsi="Palatino Linotype"/>
          <w:b/>
          <w:i/>
        </w:rPr>
        <w:t>Artículo 163.</w:t>
      </w:r>
      <w:r w:rsidRPr="00EC22D4">
        <w:rPr>
          <w:rFonts w:ascii="Palatino Linotype" w:hAnsi="Palatino Linotype"/>
          <w:i/>
        </w:rPr>
        <w:t xml:space="preserve"> La Unidad de Transparencia deberá notificar la respuesta a la solicitud al interesado en el menor tiempo posible, que </w:t>
      </w:r>
      <w:r w:rsidRPr="00EC22D4">
        <w:rPr>
          <w:rFonts w:ascii="Palatino Linotype" w:hAnsi="Palatino Linotype"/>
          <w:b/>
          <w:i/>
          <w:u w:val="single"/>
        </w:rPr>
        <w:t>no podrá exceder de quince días hábiles</w:t>
      </w:r>
      <w:r w:rsidRPr="00EC22D4">
        <w:rPr>
          <w:rFonts w:ascii="Palatino Linotype" w:hAnsi="Palatino Linotype"/>
          <w:i/>
        </w:rPr>
        <w:t xml:space="preserve">, contados a partir del día siguiente a la presentación de aquélla. </w:t>
      </w:r>
    </w:p>
    <w:p w:rsidR="001B0532" w:rsidRPr="00EC22D4" w:rsidRDefault="001B0532" w:rsidP="00EC22D4">
      <w:pPr>
        <w:pStyle w:val="Prrafodelista"/>
        <w:spacing w:before="240" w:after="240" w:line="360" w:lineRule="auto"/>
        <w:ind w:left="567" w:right="567"/>
        <w:jc w:val="both"/>
        <w:rPr>
          <w:rFonts w:ascii="Palatino Linotype" w:hAnsi="Palatino Linotype"/>
          <w:i/>
        </w:rPr>
      </w:pPr>
    </w:p>
    <w:p w:rsidR="001B0532" w:rsidRPr="00EC22D4" w:rsidRDefault="001B0532" w:rsidP="00EC22D4">
      <w:pPr>
        <w:pStyle w:val="Prrafodelista"/>
        <w:spacing w:before="240" w:after="240" w:line="360" w:lineRule="auto"/>
        <w:ind w:left="567" w:right="567"/>
        <w:jc w:val="both"/>
        <w:rPr>
          <w:rFonts w:ascii="Palatino Linotype" w:hAnsi="Palatino Linotype" w:cs="Arial"/>
          <w:i/>
        </w:rPr>
      </w:pPr>
      <w:r w:rsidRPr="00EC22D4">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B0532" w:rsidRPr="00EC22D4" w:rsidRDefault="001B0532" w:rsidP="00EC22D4">
      <w:pPr>
        <w:pStyle w:val="Prrafodelista"/>
        <w:spacing w:before="240" w:after="240" w:line="360" w:lineRule="auto"/>
        <w:ind w:left="567" w:right="616"/>
        <w:jc w:val="both"/>
        <w:rPr>
          <w:rFonts w:ascii="Palatino Linotype" w:hAnsi="Palatino Linotype" w:cs="Arial"/>
          <w:i/>
        </w:rPr>
      </w:pPr>
      <w:r w:rsidRPr="00EC22D4">
        <w:rPr>
          <w:rFonts w:ascii="Palatino Linotype" w:hAnsi="Palatino Linotype" w:cs="Arial"/>
          <w:i/>
        </w:rPr>
        <w:t>…</w:t>
      </w:r>
    </w:p>
    <w:p w:rsidR="001B0532" w:rsidRPr="00EC22D4" w:rsidRDefault="001B0532" w:rsidP="00EC22D4">
      <w:pPr>
        <w:spacing w:before="240" w:after="240" w:line="360" w:lineRule="auto"/>
        <w:ind w:left="567" w:right="567"/>
        <w:jc w:val="both"/>
        <w:rPr>
          <w:rFonts w:ascii="Palatino Linotype" w:hAnsi="Palatino Linotype" w:cs="Arial"/>
          <w:i/>
        </w:rPr>
      </w:pPr>
      <w:r w:rsidRPr="00EC22D4">
        <w:rPr>
          <w:rFonts w:ascii="Palatino Linotype" w:hAnsi="Palatino Linotype"/>
          <w:b/>
          <w:i/>
        </w:rPr>
        <w:t>Artículo 166.</w:t>
      </w:r>
      <w:r w:rsidRPr="00EC22D4">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EC22D4">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EC22D4">
        <w:rPr>
          <w:rFonts w:ascii="Palatino Linotype" w:hAnsi="Palatino Linotype"/>
          <w:i/>
        </w:rPr>
        <w:t>Una vez entregada la información, el solicitante acusará recibo por escrito, dándose por terminado el trámite de acceso a la información.</w:t>
      </w: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eastAsia="Calibri" w:hAnsi="Palatino Linotype" w:cs="Arial"/>
        </w:rPr>
        <w:t>De</w:t>
      </w:r>
      <w:r w:rsidRPr="00EC22D4">
        <w:rPr>
          <w:rFonts w:ascii="Palatino Linotype" w:hAnsi="Palatino Linotype" w:cs="Arial"/>
        </w:rPr>
        <w:t xml:space="preserve"> la interpretación a los preceptos legales insertos se obtiene que el plazo que les asiste a los </w:t>
      </w:r>
      <w:r w:rsidRPr="00EC22D4">
        <w:rPr>
          <w:rFonts w:ascii="Palatino Linotype" w:hAnsi="Palatino Linotype" w:cs="Arial"/>
          <w:b/>
        </w:rPr>
        <w:t>SUJETOS OBLIGADOS</w:t>
      </w:r>
      <w:r w:rsidRPr="00EC22D4">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1B0532" w:rsidRPr="00EC22D4" w:rsidRDefault="001B0532" w:rsidP="00EC22D4">
      <w:pPr>
        <w:pStyle w:val="Prrafodelista"/>
        <w:spacing w:before="240" w:after="240" w:line="360" w:lineRule="auto"/>
        <w:ind w:left="0"/>
        <w:jc w:val="both"/>
        <w:rPr>
          <w:rFonts w:ascii="Palatino Linotype" w:hAnsi="Palatino Linotype" w:cs="Arial"/>
        </w:rPr>
      </w:pP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hAnsi="Palatino Linotype" w:cs="Arial"/>
        </w:rPr>
        <w:t xml:space="preserve">Derivado de lo anterior, se constituye la figura jurídica de la </w:t>
      </w:r>
      <w:r w:rsidRPr="00EC22D4">
        <w:rPr>
          <w:rFonts w:ascii="Palatino Linotype" w:hAnsi="Palatino Linotype" w:cs="Arial"/>
          <w:b/>
        </w:rPr>
        <w:t>NEGATIVA FICTA</w:t>
      </w:r>
      <w:r w:rsidRPr="00EC22D4">
        <w:rPr>
          <w:rFonts w:ascii="Palatino Linotype" w:hAnsi="Palatino Linotype" w:cs="Arial"/>
        </w:rPr>
        <w:t>, cuya esencia consiste en atribuir un efecto negativo al silencio de la autoridad administrativa frente a las instancias y solicitudes que hagan los particulares.</w:t>
      </w:r>
    </w:p>
    <w:p w:rsidR="001B0532" w:rsidRPr="00EC22D4" w:rsidRDefault="001B0532" w:rsidP="00EC22D4">
      <w:pPr>
        <w:pStyle w:val="Prrafodelista"/>
        <w:spacing w:before="240" w:after="240" w:line="360" w:lineRule="auto"/>
        <w:ind w:left="0"/>
        <w:jc w:val="both"/>
        <w:rPr>
          <w:rFonts w:ascii="Palatino Linotype" w:hAnsi="Palatino Linotype" w:cs="Arial"/>
        </w:rPr>
      </w:pP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hAnsi="Palatino Linotype" w:cs="Arial"/>
        </w:rPr>
        <w:t xml:space="preserve">Por su parte el artículo 178 de la </w:t>
      </w:r>
      <w:r w:rsidRPr="00EC22D4">
        <w:rPr>
          <w:rFonts w:ascii="Palatino Linotype" w:hAnsi="Palatino Linotype" w:cs="Arial"/>
          <w:b/>
        </w:rPr>
        <w:t>Ley de Transparencia y Acceso a la Información Pública del Estado de México y Municipios</w:t>
      </w:r>
      <w:r w:rsidRPr="00EC22D4">
        <w:rPr>
          <w:rFonts w:ascii="Palatino Linotype" w:hAnsi="Palatino Linotype" w:cs="Arial"/>
        </w:rPr>
        <w:t>, establece:</w:t>
      </w:r>
    </w:p>
    <w:p w:rsidR="001B0532" w:rsidRPr="00EC22D4" w:rsidRDefault="001B0532" w:rsidP="00EC22D4">
      <w:pPr>
        <w:pStyle w:val="Prrafodelista"/>
        <w:spacing w:line="360" w:lineRule="auto"/>
        <w:ind w:left="0"/>
        <w:rPr>
          <w:rFonts w:ascii="Palatino Linotype" w:hAnsi="Palatino Linotype" w:cs="Arial"/>
          <w:highlight w:val="lightGray"/>
        </w:rPr>
      </w:pPr>
    </w:p>
    <w:p w:rsidR="001B0532" w:rsidRPr="00EC22D4" w:rsidRDefault="001B0532" w:rsidP="00EC22D4">
      <w:pPr>
        <w:pStyle w:val="Prrafodelista"/>
        <w:spacing w:line="360" w:lineRule="auto"/>
        <w:ind w:left="851" w:right="567"/>
        <w:jc w:val="both"/>
        <w:rPr>
          <w:rFonts w:ascii="Palatino Linotype" w:hAnsi="Palatino Linotype"/>
          <w:i/>
        </w:rPr>
      </w:pPr>
      <w:r w:rsidRPr="00EC22D4">
        <w:rPr>
          <w:rFonts w:ascii="Palatino Linotype" w:hAnsi="Palatino Linotype"/>
          <w:b/>
          <w:i/>
        </w:rPr>
        <w:t>Artículo 178.</w:t>
      </w:r>
      <w:r w:rsidRPr="00EC22D4">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EC22D4">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EC22D4">
        <w:rPr>
          <w:rFonts w:ascii="Palatino Linotype" w:hAnsi="Palatino Linotype"/>
          <w:i/>
        </w:rPr>
        <w:t xml:space="preserve"> En el caso de que se interponga ante la Unidad de Transparencia, ésta deberá remitir el recurso de revisión al Instituto a más tardar al día siguiente de haberlo recibido.</w:t>
      </w:r>
    </w:p>
    <w:p w:rsidR="001B0532" w:rsidRPr="00EC22D4" w:rsidRDefault="001B0532" w:rsidP="00EC22D4">
      <w:pPr>
        <w:pStyle w:val="Prrafodelista"/>
        <w:spacing w:line="360" w:lineRule="auto"/>
        <w:ind w:left="567" w:right="567"/>
        <w:jc w:val="both"/>
        <w:rPr>
          <w:rFonts w:ascii="Palatino Linotype" w:hAnsi="Palatino Linotype"/>
          <w:i/>
        </w:rPr>
      </w:pP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EC22D4">
        <w:rPr>
          <w:rFonts w:ascii="Palatino Linotype" w:hAnsi="Palatino Linotype" w:cs="Arial"/>
          <w:b/>
        </w:rPr>
        <w:t>SUJETO OBLIGADO</w:t>
      </w:r>
      <w:r w:rsidRPr="00EC22D4">
        <w:rPr>
          <w:rFonts w:ascii="Palatino Linotype" w:hAnsi="Palatino Linotype" w:cs="Arial"/>
        </w:rPr>
        <w:t xml:space="preserve">; sin embargo </w:t>
      </w:r>
      <w:r w:rsidRPr="00EC22D4">
        <w:rPr>
          <w:rFonts w:ascii="Palatino Linotype" w:hAnsi="Palatino Linotype" w:cs="Arial"/>
          <w:u w:val="single"/>
        </w:rPr>
        <w:t>tratándose de negativa ficta</w:t>
      </w:r>
      <w:r w:rsidRPr="00EC22D4">
        <w:rPr>
          <w:rStyle w:val="Refdenotaalpie"/>
          <w:rFonts w:ascii="Palatino Linotype" w:hAnsi="Palatino Linotype" w:cs="Arial"/>
          <w:u w:val="single"/>
        </w:rPr>
        <w:footnoteReference w:id="1"/>
      </w:r>
      <w:r w:rsidRPr="00EC22D4">
        <w:rPr>
          <w:rFonts w:ascii="Palatino Linotype" w:hAnsi="Palatino Linotype" w:cs="Arial"/>
        </w:rPr>
        <w:t xml:space="preserve"> no existe resolución que se haga del conocimiento del particular a partir de la cual pueda computarse dicho plazo, por tal motivo es pertinente establecer que </w:t>
      </w:r>
      <w:r w:rsidRPr="00EC22D4">
        <w:rPr>
          <w:rFonts w:ascii="Palatino Linotype" w:hAnsi="Palatino Linotype" w:cs="Arial"/>
          <w:u w:val="single"/>
        </w:rPr>
        <w:t>no existe plazo para la interposición del recurso de revisión</w:t>
      </w:r>
      <w:r w:rsidRPr="00EC22D4">
        <w:rPr>
          <w:rFonts w:ascii="Palatino Linotype" w:hAnsi="Palatino Linotype" w:cs="Arial"/>
        </w:rPr>
        <w:t>.</w:t>
      </w:r>
    </w:p>
    <w:p w:rsidR="001B0532" w:rsidRPr="00EC22D4" w:rsidRDefault="001B0532" w:rsidP="00EC22D4">
      <w:pPr>
        <w:pStyle w:val="Prrafodelista"/>
        <w:spacing w:before="240" w:after="240" w:line="360" w:lineRule="auto"/>
        <w:ind w:left="0"/>
        <w:jc w:val="both"/>
        <w:rPr>
          <w:rFonts w:ascii="Palatino Linotype" w:hAnsi="Palatino Linotype" w:cs="Arial"/>
        </w:rPr>
      </w:pP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1B0532" w:rsidRPr="00EC22D4" w:rsidRDefault="001B0532" w:rsidP="00EC22D4">
      <w:pPr>
        <w:pStyle w:val="Prrafodelista"/>
        <w:spacing w:before="240" w:after="240" w:line="360" w:lineRule="auto"/>
        <w:ind w:left="851" w:right="616"/>
        <w:jc w:val="center"/>
        <w:rPr>
          <w:rFonts w:ascii="Palatino Linotype" w:hAnsi="Palatino Linotype" w:cs="Arial"/>
          <w:b/>
        </w:rPr>
      </w:pPr>
    </w:p>
    <w:p w:rsidR="001B0532" w:rsidRPr="00EC22D4" w:rsidRDefault="001B0532" w:rsidP="00EC22D4">
      <w:pPr>
        <w:pStyle w:val="Prrafodelista"/>
        <w:spacing w:before="240" w:after="240" w:line="360" w:lineRule="auto"/>
        <w:ind w:left="851" w:right="616"/>
        <w:jc w:val="center"/>
        <w:rPr>
          <w:rFonts w:ascii="Palatino Linotype" w:hAnsi="Palatino Linotype" w:cs="Arial"/>
          <w:b/>
        </w:rPr>
      </w:pPr>
      <w:r w:rsidRPr="00EC22D4">
        <w:rPr>
          <w:rFonts w:ascii="Palatino Linotype" w:hAnsi="Palatino Linotype" w:cs="Arial"/>
          <w:b/>
        </w:rPr>
        <w:t>Criterio 0001-15</w:t>
      </w:r>
    </w:p>
    <w:p w:rsidR="001B0532" w:rsidRPr="00EC22D4" w:rsidRDefault="001B0532" w:rsidP="00EC22D4">
      <w:pPr>
        <w:pStyle w:val="Prrafodelista"/>
        <w:spacing w:before="240" w:after="240" w:line="360" w:lineRule="auto"/>
        <w:ind w:left="851" w:right="616"/>
        <w:jc w:val="center"/>
        <w:rPr>
          <w:rFonts w:ascii="Palatino Linotype" w:hAnsi="Palatino Linotype" w:cs="Arial"/>
          <w:b/>
        </w:rPr>
      </w:pPr>
    </w:p>
    <w:p w:rsidR="001B0532" w:rsidRPr="00EC22D4" w:rsidRDefault="001B0532" w:rsidP="00EC22D4">
      <w:pPr>
        <w:pStyle w:val="Prrafodelista"/>
        <w:spacing w:before="240" w:after="240" w:line="360" w:lineRule="auto"/>
        <w:ind w:left="851" w:right="616"/>
        <w:jc w:val="both"/>
        <w:rPr>
          <w:rFonts w:ascii="Palatino Linotype" w:hAnsi="Palatino Linotype" w:cs="Arial"/>
        </w:rPr>
      </w:pPr>
      <w:r w:rsidRPr="00EC22D4">
        <w:rPr>
          <w:rFonts w:ascii="Palatino Linotype" w:hAnsi="Palatino Linotype" w:cs="Arial"/>
          <w:b/>
          <w:i/>
        </w:rPr>
        <w:t>NEGATIVA FICTA. PLAZO PARA INTERPONER EL RECURSO DE REVISIÓN TRATÁNDOSE DE</w:t>
      </w:r>
      <w:r w:rsidRPr="00EC22D4">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C22D4">
        <w:rPr>
          <w:rFonts w:ascii="Palatino Linotype" w:hAnsi="Palatino Linotype" w:cs="Arial"/>
        </w:rPr>
        <w:t>.</w:t>
      </w:r>
    </w:p>
    <w:p w:rsidR="001B0532" w:rsidRPr="00EC22D4" w:rsidRDefault="001B0532" w:rsidP="00EC22D4">
      <w:pPr>
        <w:pStyle w:val="Prrafodelista"/>
        <w:spacing w:before="240" w:after="240" w:line="360" w:lineRule="auto"/>
        <w:ind w:left="0"/>
        <w:jc w:val="both"/>
        <w:rPr>
          <w:rFonts w:ascii="Palatino Linotype" w:hAnsi="Palatino Linotype"/>
        </w:rPr>
      </w:pPr>
    </w:p>
    <w:p w:rsidR="001B0532"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rPr>
      </w:pPr>
      <w:r w:rsidRPr="00EC22D4">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1B0532" w:rsidRPr="00EC22D4" w:rsidRDefault="001B0532" w:rsidP="00EC22D4">
      <w:pPr>
        <w:pStyle w:val="Prrafodelista"/>
        <w:spacing w:before="240" w:after="240" w:line="360" w:lineRule="auto"/>
        <w:ind w:left="0"/>
        <w:jc w:val="both"/>
        <w:rPr>
          <w:rFonts w:ascii="Palatino Linotype" w:hAnsi="Palatino Linotype"/>
        </w:rPr>
      </w:pPr>
    </w:p>
    <w:p w:rsidR="00C57508" w:rsidRPr="00EC22D4" w:rsidRDefault="001B0532" w:rsidP="00EC22D4">
      <w:pPr>
        <w:pStyle w:val="Prrafodelista"/>
        <w:numPr>
          <w:ilvl w:val="0"/>
          <w:numId w:val="1"/>
        </w:numPr>
        <w:tabs>
          <w:tab w:val="left" w:pos="0"/>
        </w:tabs>
        <w:spacing w:line="360" w:lineRule="auto"/>
        <w:ind w:left="0" w:right="49" w:firstLine="0"/>
        <w:jc w:val="both"/>
        <w:rPr>
          <w:rFonts w:ascii="Palatino Linotype" w:hAnsi="Palatino Linotype"/>
        </w:rPr>
      </w:pPr>
      <w:r w:rsidRPr="00EC22D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Pr="00EC22D4" w:rsidRDefault="002F3A74" w:rsidP="00EC22D4">
      <w:pPr>
        <w:pStyle w:val="Ttulo1"/>
        <w:spacing w:line="360" w:lineRule="auto"/>
        <w:rPr>
          <w:rFonts w:ascii="Palatino Linotype" w:hAnsi="Palatino Linotype"/>
          <w:b/>
          <w:color w:val="auto"/>
          <w:sz w:val="24"/>
          <w:szCs w:val="24"/>
        </w:rPr>
      </w:pPr>
      <w:bookmarkStart w:id="12" w:name="_Toc21009180"/>
      <w:bookmarkStart w:id="13" w:name="_Toc447183492"/>
      <w:bookmarkStart w:id="14" w:name="_Toc450120667"/>
      <w:bookmarkStart w:id="15" w:name="_Toc461555895"/>
      <w:r w:rsidRPr="00EC22D4">
        <w:rPr>
          <w:rFonts w:ascii="Palatino Linotype" w:hAnsi="Palatino Linotype"/>
          <w:b/>
          <w:color w:val="auto"/>
          <w:sz w:val="24"/>
          <w:szCs w:val="24"/>
        </w:rPr>
        <w:t>TERCER</w:t>
      </w:r>
      <w:r w:rsidR="00333841" w:rsidRPr="00EC22D4">
        <w:rPr>
          <w:rFonts w:ascii="Palatino Linotype" w:hAnsi="Palatino Linotype"/>
          <w:b/>
          <w:color w:val="auto"/>
          <w:sz w:val="24"/>
          <w:szCs w:val="24"/>
        </w:rPr>
        <w:t xml:space="preserve">O. Planteamiento de la </w:t>
      </w:r>
      <w:r w:rsidR="00333841" w:rsidRPr="00EC22D4">
        <w:rPr>
          <w:rFonts w:ascii="Palatino Linotype" w:hAnsi="Palatino Linotype"/>
          <w:b/>
          <w:i/>
          <w:color w:val="auto"/>
          <w:sz w:val="24"/>
          <w:szCs w:val="24"/>
        </w:rPr>
        <w:t>Litis</w:t>
      </w:r>
      <w:bookmarkEnd w:id="12"/>
    </w:p>
    <w:p w:rsidR="00333841" w:rsidRPr="00EC22D4" w:rsidRDefault="00333841" w:rsidP="00EC22D4">
      <w:pPr>
        <w:spacing w:line="360" w:lineRule="auto"/>
        <w:rPr>
          <w:rFonts w:ascii="Palatino Linotype" w:hAnsi="Palatino Linotype"/>
          <w:lang w:val="es-MX" w:eastAsia="en-US"/>
        </w:rPr>
      </w:pPr>
    </w:p>
    <w:p w:rsidR="00953FDF" w:rsidRPr="00EC22D4" w:rsidRDefault="00953FDF" w:rsidP="00EC22D4">
      <w:pPr>
        <w:pStyle w:val="Prrafodelista"/>
        <w:numPr>
          <w:ilvl w:val="0"/>
          <w:numId w:val="1"/>
        </w:numPr>
        <w:spacing w:line="360" w:lineRule="auto"/>
        <w:ind w:left="0" w:firstLine="0"/>
        <w:jc w:val="both"/>
        <w:rPr>
          <w:rFonts w:ascii="Palatino Linotype" w:hAnsi="Palatino Linotype" w:cs="Arial"/>
        </w:rPr>
      </w:pPr>
      <w:r w:rsidRPr="00EC22D4">
        <w:rPr>
          <w:rFonts w:ascii="Palatino Linotype" w:eastAsia="Calibri" w:hAnsi="Palatino Linotype" w:cs="Arial"/>
        </w:rPr>
        <w:t xml:space="preserve">De lo inicialmente solicitado, El </w:t>
      </w:r>
      <w:r w:rsidRPr="00EC22D4">
        <w:rPr>
          <w:rFonts w:ascii="Palatino Linotype" w:hAnsi="Palatino Linotype" w:cs="Arial"/>
          <w:b/>
        </w:rPr>
        <w:t xml:space="preserve">SUJETO OBLIGADO </w:t>
      </w:r>
      <w:r w:rsidRPr="00EC22D4">
        <w:rPr>
          <w:rFonts w:ascii="Palatino Linotype" w:hAnsi="Palatino Linotype" w:cs="Arial"/>
        </w:rPr>
        <w:t>fue omiso en atender la solicitud del particular en el periodo comprendido para dar respuesta.</w:t>
      </w:r>
    </w:p>
    <w:p w:rsidR="00953FDF" w:rsidRPr="00EC22D4" w:rsidRDefault="00953FDF" w:rsidP="00EC22D4">
      <w:pPr>
        <w:pStyle w:val="Prrafodelista"/>
        <w:spacing w:line="360" w:lineRule="auto"/>
        <w:ind w:left="426"/>
        <w:jc w:val="both"/>
        <w:rPr>
          <w:rFonts w:ascii="Palatino Linotype" w:hAnsi="Palatino Linotype" w:cs="Arial"/>
        </w:rPr>
      </w:pPr>
    </w:p>
    <w:p w:rsidR="00953FDF" w:rsidRPr="00EC22D4" w:rsidRDefault="00953FDF" w:rsidP="00EC22D4">
      <w:pPr>
        <w:pStyle w:val="Prrafodelista"/>
        <w:numPr>
          <w:ilvl w:val="0"/>
          <w:numId w:val="1"/>
        </w:numPr>
        <w:spacing w:line="360" w:lineRule="auto"/>
        <w:ind w:left="0" w:firstLine="0"/>
        <w:jc w:val="both"/>
        <w:rPr>
          <w:rFonts w:ascii="Palatino Linotype" w:hAnsi="Palatino Linotype" w:cs="Arial"/>
          <w:color w:val="000000" w:themeColor="text1"/>
        </w:rPr>
      </w:pPr>
      <w:r w:rsidRPr="00EC22D4">
        <w:rPr>
          <w:rFonts w:ascii="Palatino Linotype" w:hAnsi="Palatino Linotype" w:cs="Arial"/>
          <w:color w:val="000000" w:themeColor="text1"/>
        </w:rPr>
        <w:t>Derivado de la omisión del Sujeto Obligado para atender la solicitud, el recurrente presenta su inconformidad señalando como motivos o razones de la inconformidad los ya transcritos.</w:t>
      </w:r>
    </w:p>
    <w:p w:rsidR="00953FDF" w:rsidRPr="00EC22D4" w:rsidRDefault="00953FDF" w:rsidP="00EC22D4">
      <w:pPr>
        <w:pStyle w:val="Prrafodelista"/>
        <w:numPr>
          <w:ilvl w:val="0"/>
          <w:numId w:val="1"/>
        </w:numPr>
        <w:spacing w:line="360" w:lineRule="auto"/>
        <w:ind w:left="0" w:right="49" w:firstLine="0"/>
        <w:jc w:val="both"/>
        <w:rPr>
          <w:rFonts w:ascii="Palatino Linotype" w:hAnsi="Palatino Linotype" w:cs="Arial"/>
        </w:rPr>
      </w:pPr>
      <w:r w:rsidRPr="00EC22D4">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rsidR="00953FDF" w:rsidRPr="00EC22D4" w:rsidRDefault="00953FDF" w:rsidP="00EC22D4">
      <w:pPr>
        <w:pStyle w:val="Prrafodelista"/>
        <w:spacing w:line="360" w:lineRule="auto"/>
        <w:rPr>
          <w:rFonts w:ascii="Palatino Linotype" w:hAnsi="Palatino Linotype" w:cs="Arial"/>
        </w:rPr>
      </w:pPr>
    </w:p>
    <w:p w:rsidR="00953FDF" w:rsidRPr="00EC22D4" w:rsidRDefault="00953FDF" w:rsidP="00EC22D4">
      <w:pPr>
        <w:pStyle w:val="Prrafodelista"/>
        <w:numPr>
          <w:ilvl w:val="0"/>
          <w:numId w:val="1"/>
        </w:numPr>
        <w:spacing w:line="360" w:lineRule="auto"/>
        <w:ind w:left="0" w:right="49" w:firstLine="0"/>
        <w:jc w:val="both"/>
        <w:rPr>
          <w:rFonts w:ascii="Palatino Linotype" w:eastAsia="MS Mincho" w:hAnsi="Palatino Linotype" w:cs="Arial"/>
        </w:rPr>
      </w:pPr>
      <w:r w:rsidRPr="00EC22D4">
        <w:rPr>
          <w:rFonts w:ascii="Palatino Linotype" w:eastAsia="MS Mincho" w:hAnsi="Palatino Linotype" w:cs="Arial"/>
        </w:rPr>
        <w:t>En</w:t>
      </w:r>
      <w:r w:rsidRPr="00EC22D4">
        <w:rPr>
          <w:rFonts w:ascii="Palatino Linotype" w:eastAsia="Times New Roman" w:hAnsi="Palatino Linotype" w:cs="Arial"/>
        </w:rPr>
        <w:t xml:space="preserve"> </w:t>
      </w:r>
      <w:r w:rsidRPr="00EC22D4">
        <w:rPr>
          <w:rFonts w:ascii="Palatino Linotype" w:hAnsi="Palatino Linotype" w:cs="Arial"/>
          <w:lang w:eastAsia="es-MX"/>
        </w:rPr>
        <w:t>dichas</w:t>
      </w:r>
      <w:r w:rsidRPr="00EC22D4">
        <w:rPr>
          <w:rFonts w:ascii="Palatino Linotype" w:eastAsia="Times New Roman" w:hAnsi="Palatino Linotype" w:cs="Arial"/>
        </w:rPr>
        <w:t xml:space="preserve"> condiciones, la </w:t>
      </w:r>
      <w:r w:rsidRPr="00EC22D4">
        <w:rPr>
          <w:rFonts w:ascii="Palatino Linotype" w:eastAsia="Times New Roman" w:hAnsi="Palatino Linotype" w:cs="Arial"/>
          <w:i/>
        </w:rPr>
        <w:t>Litis</w:t>
      </w:r>
      <w:r w:rsidRPr="00EC22D4">
        <w:rPr>
          <w:rFonts w:ascii="Palatino Linotype" w:eastAsia="Times New Roman" w:hAnsi="Palatino Linotype" w:cs="Arial"/>
        </w:rPr>
        <w:t xml:space="preserve"> a resolver en este recurso se circunscribe a determinar si </w:t>
      </w:r>
      <w:r w:rsidRPr="00EC22D4">
        <w:rPr>
          <w:rFonts w:ascii="Palatino Linotype" w:eastAsia="MS Mincho" w:hAnsi="Palatino Linotype" w:cs="Arial"/>
        </w:rPr>
        <w:t>se actualiza la causal de procedencia prevista en el artículo señalado por la 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rsidR="00F9561E" w:rsidRPr="00EC22D4" w:rsidRDefault="00F9561E" w:rsidP="00EC22D4">
      <w:pPr>
        <w:pStyle w:val="Prrafodelista"/>
        <w:spacing w:line="360" w:lineRule="auto"/>
        <w:rPr>
          <w:rFonts w:ascii="Palatino Linotype" w:hAnsi="Palatino Linotype" w:cs="Arial"/>
        </w:rPr>
      </w:pPr>
    </w:p>
    <w:p w:rsidR="00333841" w:rsidRPr="00EC22D4" w:rsidRDefault="002F3A74" w:rsidP="00EC22D4">
      <w:pPr>
        <w:pStyle w:val="Ttulo1"/>
        <w:spacing w:line="360" w:lineRule="auto"/>
        <w:rPr>
          <w:rFonts w:ascii="Palatino Linotype" w:hAnsi="Palatino Linotype"/>
          <w:b/>
          <w:color w:val="auto"/>
          <w:sz w:val="24"/>
          <w:szCs w:val="24"/>
        </w:rPr>
      </w:pPr>
      <w:bookmarkStart w:id="16" w:name="_Toc21009181"/>
      <w:r w:rsidRPr="00EC22D4">
        <w:rPr>
          <w:rFonts w:ascii="Palatino Linotype" w:hAnsi="Palatino Linotype"/>
          <w:b/>
          <w:color w:val="auto"/>
          <w:sz w:val="24"/>
          <w:szCs w:val="24"/>
        </w:rPr>
        <w:t>CUAR</w:t>
      </w:r>
      <w:r w:rsidR="00333841" w:rsidRPr="00EC22D4">
        <w:rPr>
          <w:rFonts w:ascii="Palatino Linotype" w:hAnsi="Palatino Linotype"/>
          <w:b/>
          <w:color w:val="auto"/>
          <w:sz w:val="24"/>
          <w:szCs w:val="24"/>
        </w:rPr>
        <w:t>TO. Estudio y resolución del asunto</w:t>
      </w:r>
      <w:bookmarkEnd w:id="16"/>
    </w:p>
    <w:p w:rsidR="00ED1EBA" w:rsidRPr="00EC22D4" w:rsidRDefault="00ED1EBA" w:rsidP="00EC22D4">
      <w:pPr>
        <w:spacing w:line="360" w:lineRule="auto"/>
        <w:rPr>
          <w:rFonts w:ascii="Palatino Linotype" w:hAnsi="Palatino Linotype"/>
          <w:lang w:val="es-MX" w:eastAsia="en-US"/>
        </w:rPr>
      </w:pPr>
    </w:p>
    <w:p w:rsidR="00453DAD" w:rsidRPr="00EC22D4" w:rsidRDefault="00453DAD"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EC22D4">
        <w:rPr>
          <w:rFonts w:ascii="Palatino Linotype" w:eastAsia="Calibri" w:hAnsi="Palatino Linotype" w:cs="Arial"/>
        </w:rPr>
        <w:t>Transparencia, Acceso a la Información Pública del Estado de México y Municipios</w:t>
      </w:r>
      <w:r w:rsidRPr="00EC22D4">
        <w:rPr>
          <w:rFonts w:ascii="Palatino Linotype" w:hAnsi="Palatino Linotype" w:cs="Arial"/>
        </w:rPr>
        <w:t xml:space="preserve">, y determinar la confirmación; revocación o modificación; </w:t>
      </w:r>
      <w:proofErr w:type="spellStart"/>
      <w:r w:rsidRPr="00EC22D4">
        <w:rPr>
          <w:rFonts w:ascii="Palatino Linotype" w:hAnsi="Palatino Linotype" w:cs="Arial"/>
        </w:rPr>
        <w:t>desechamiento</w:t>
      </w:r>
      <w:proofErr w:type="spellEnd"/>
      <w:r w:rsidRPr="00EC22D4">
        <w:rPr>
          <w:rFonts w:ascii="Palatino Linotype" w:hAnsi="Palatino Linotype" w:cs="Arial"/>
        </w:rPr>
        <w:t xml:space="preserve"> o sobreseimiento; y en su caso ordenar la entrega de la información, con respecto a la respuesta emitida por el </w:t>
      </w:r>
      <w:r w:rsidRPr="00EC22D4">
        <w:rPr>
          <w:rFonts w:ascii="Palatino Linotype" w:hAnsi="Palatino Linotype" w:cs="Arial"/>
          <w:b/>
        </w:rPr>
        <w:t>SUJETO</w:t>
      </w:r>
      <w:r w:rsidRPr="00EC22D4">
        <w:rPr>
          <w:rFonts w:ascii="Palatino Linotype" w:hAnsi="Palatino Linotype" w:cs="Arial"/>
        </w:rPr>
        <w:t xml:space="preserve"> </w:t>
      </w:r>
      <w:r w:rsidRPr="00EC22D4">
        <w:rPr>
          <w:rFonts w:ascii="Palatino Linotype" w:hAnsi="Palatino Linotype" w:cs="Arial"/>
          <w:b/>
        </w:rPr>
        <w:t>OBLIGADO</w:t>
      </w:r>
      <w:r w:rsidR="00E0464A" w:rsidRPr="00EC22D4">
        <w:rPr>
          <w:rFonts w:ascii="Palatino Linotype" w:hAnsi="Palatino Linotype" w:cs="Arial"/>
        </w:rPr>
        <w:t>.</w:t>
      </w:r>
    </w:p>
    <w:p w:rsidR="00453DAD" w:rsidRPr="00EC22D4" w:rsidRDefault="00453DAD" w:rsidP="00EC22D4">
      <w:pPr>
        <w:pStyle w:val="Prrafodelista"/>
        <w:spacing w:before="240" w:after="240" w:line="360" w:lineRule="auto"/>
        <w:ind w:left="426" w:right="49"/>
        <w:jc w:val="both"/>
        <w:rPr>
          <w:rFonts w:ascii="Palatino Linotype" w:hAnsi="Palatino Linotype" w:cs="Arial"/>
        </w:rPr>
      </w:pPr>
    </w:p>
    <w:p w:rsidR="00453DAD" w:rsidRPr="00EC22D4" w:rsidRDefault="00453DAD" w:rsidP="00EC22D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C22D4">
        <w:rPr>
          <w:rFonts w:ascii="Palatino Linotype" w:hAnsi="Palatino Linotype" w:cs="Arial"/>
        </w:rPr>
        <w:t>Asimismo</w:t>
      </w:r>
      <w:r w:rsidRPr="00EC22D4">
        <w:rPr>
          <w:rFonts w:ascii="Palatino Linotype" w:hAnsi="Palatino Linotype"/>
        </w:rPr>
        <w:t xml:space="preserve">, es menester precisar que </w:t>
      </w:r>
      <w:r w:rsidRPr="00EC22D4">
        <w:rPr>
          <w:rFonts w:ascii="Palatino Linotype" w:eastAsia="MS Mincho" w:hAnsi="Palatino Linotype" w:cs="Times New Roman"/>
          <w:color w:val="000000"/>
        </w:rPr>
        <w:t xml:space="preserve">Órgano Garante parte de que </w:t>
      </w:r>
      <w:r w:rsidRPr="00EC22D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C22D4">
        <w:rPr>
          <w:rFonts w:ascii="Palatino Linotype" w:eastAsia="Times New Roman" w:hAnsi="Palatino Linotype" w:cs="Arial"/>
          <w:color w:val="000000"/>
        </w:rPr>
        <w:t xml:space="preserve"> </w:t>
      </w:r>
      <w:r w:rsidRPr="00EC22D4">
        <w:rPr>
          <w:rFonts w:ascii="Palatino Linotype" w:eastAsia="Times New Roman" w:hAnsi="Palatino Linotype" w:cs="Arial"/>
          <w:b/>
          <w:color w:val="000000"/>
        </w:rPr>
        <w:t>SUJETO OBLIGADO</w:t>
      </w:r>
      <w:r w:rsidRPr="00EC22D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C22D4">
        <w:rPr>
          <w:rFonts w:ascii="Palatino Linotype" w:eastAsia="Times New Roman" w:hAnsi="Palatino Linotype" w:cs="Arial"/>
          <w:b/>
          <w:color w:val="000000"/>
        </w:rPr>
        <w:t xml:space="preserve">Constitución Política de los Estados Unidos Mexicanos </w:t>
      </w:r>
      <w:r w:rsidRPr="00EC22D4">
        <w:rPr>
          <w:rFonts w:ascii="Palatino Linotype" w:eastAsia="Times New Roman" w:hAnsi="Palatino Linotype" w:cs="Arial"/>
          <w:color w:val="000000"/>
        </w:rPr>
        <w:t xml:space="preserve">al señalar la obligación de “promover, </w:t>
      </w:r>
      <w:r w:rsidRPr="00EC22D4">
        <w:rPr>
          <w:rFonts w:ascii="Palatino Linotype" w:eastAsia="Times New Roman" w:hAnsi="Palatino Linotype" w:cs="Arial"/>
          <w:b/>
          <w:color w:val="000000"/>
        </w:rPr>
        <w:t>respetar</w:t>
      </w:r>
      <w:r w:rsidRPr="00EC22D4">
        <w:rPr>
          <w:rFonts w:ascii="Palatino Linotype" w:eastAsia="Times New Roman" w:hAnsi="Palatino Linotype" w:cs="Arial"/>
          <w:color w:val="000000"/>
        </w:rPr>
        <w:t xml:space="preserve">, proteger y </w:t>
      </w:r>
      <w:r w:rsidRPr="00EC22D4">
        <w:rPr>
          <w:rFonts w:ascii="Palatino Linotype" w:eastAsia="Times New Roman" w:hAnsi="Palatino Linotype" w:cs="Arial"/>
          <w:b/>
          <w:color w:val="000000"/>
        </w:rPr>
        <w:t>garantizar</w:t>
      </w:r>
      <w:r w:rsidRPr="00EC22D4">
        <w:rPr>
          <w:rFonts w:ascii="Palatino Linotype" w:eastAsia="Times New Roman" w:hAnsi="Palatino Linotype" w:cs="Arial"/>
          <w:color w:val="000000"/>
        </w:rPr>
        <w:t xml:space="preserve"> los derechos humanos”, entre los cuales se encuentra dicho derecho. </w:t>
      </w:r>
    </w:p>
    <w:p w:rsidR="00453DAD" w:rsidRPr="00EC22D4" w:rsidRDefault="00453DAD" w:rsidP="00EC22D4">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453DAD" w:rsidRPr="00EC22D4" w:rsidRDefault="00453DAD" w:rsidP="00EC22D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C22D4">
        <w:rPr>
          <w:rFonts w:ascii="Palatino Linotype" w:hAnsi="Palatino Linotype" w:cs="Arial"/>
        </w:rPr>
        <w:t>Por</w:t>
      </w:r>
      <w:r w:rsidRPr="00EC22D4">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0028F" w:rsidRPr="00EC22D4" w:rsidRDefault="00C0028F" w:rsidP="00EC22D4">
      <w:pPr>
        <w:pStyle w:val="Prrafodelista"/>
        <w:spacing w:line="360" w:lineRule="auto"/>
        <w:rPr>
          <w:rFonts w:ascii="Palatino Linotype" w:eastAsia="Times New Roman" w:hAnsi="Palatino Linotype"/>
        </w:rPr>
      </w:pPr>
    </w:p>
    <w:p w:rsidR="00453DAD" w:rsidRPr="00EC22D4" w:rsidRDefault="00453DAD" w:rsidP="00EC22D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C22D4">
        <w:rPr>
          <w:rFonts w:ascii="Palatino Linotype" w:eastAsia="MS Mincho" w:hAnsi="Palatino Linotype" w:cs="Times New Roman"/>
          <w:color w:val="000000"/>
        </w:rPr>
        <w:t xml:space="preserve">Además de la obligación de promover, respetar, proteger y garantizar el derecho de acceso a la información, la </w:t>
      </w:r>
      <w:r w:rsidRPr="00EC22D4">
        <w:rPr>
          <w:rFonts w:ascii="Palatino Linotype" w:eastAsia="MS Mincho" w:hAnsi="Palatino Linotype" w:cs="Times New Roman"/>
          <w:b/>
          <w:color w:val="000000"/>
        </w:rPr>
        <w:t xml:space="preserve">Ley General de Trasparencia y Acceso a la Información Pública del Estado de México y Municipios </w:t>
      </w:r>
      <w:r w:rsidRPr="00EC22D4">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C22D4">
        <w:rPr>
          <w:rFonts w:ascii="Palatino Linotype" w:eastAsia="MS Mincho" w:hAnsi="Palatino Linotype" w:cs="Times New Roman"/>
          <w:b/>
          <w:color w:val="000000"/>
          <w:u w:val="single"/>
        </w:rPr>
        <w:t>simplicidad y rapidez</w:t>
      </w:r>
      <w:r w:rsidRPr="00EC22D4">
        <w:rPr>
          <w:rFonts w:ascii="Palatino Linotype" w:eastAsia="MS Mincho" w:hAnsi="Palatino Linotype" w:cs="Times New Roman"/>
          <w:color w:val="000000"/>
        </w:rPr>
        <w:t xml:space="preserve">. </w:t>
      </w:r>
    </w:p>
    <w:p w:rsidR="00453DAD" w:rsidRPr="00EC22D4" w:rsidRDefault="00453DAD" w:rsidP="00EC22D4">
      <w:pPr>
        <w:pStyle w:val="Prrafodelista"/>
        <w:spacing w:line="360" w:lineRule="auto"/>
        <w:rPr>
          <w:rFonts w:ascii="Palatino Linotype" w:eastAsia="MS Mincho" w:hAnsi="Palatino Linotype" w:cs="Times New Roman"/>
          <w:color w:val="000000"/>
        </w:rPr>
      </w:pPr>
    </w:p>
    <w:p w:rsidR="00453DAD" w:rsidRPr="00EC22D4" w:rsidRDefault="00453DAD" w:rsidP="00EC22D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C22D4">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EC22D4">
        <w:rPr>
          <w:rFonts w:ascii="Palatino Linotype" w:hAnsi="Palatino Linotype" w:cs="Arial"/>
          <w:color w:val="000000" w:themeColor="text1"/>
        </w:rPr>
        <w:t xml:space="preserve">l hoy recurrente solicito a modo desagregado la información siguiente: </w:t>
      </w:r>
    </w:p>
    <w:p w:rsidR="00453DAD" w:rsidRPr="00EC22D4" w:rsidRDefault="00453DAD" w:rsidP="00EC22D4">
      <w:pPr>
        <w:pStyle w:val="Prrafodelista"/>
        <w:spacing w:line="360" w:lineRule="auto"/>
        <w:rPr>
          <w:rFonts w:ascii="Palatino Linotype" w:hAnsi="Palatino Linotype" w:cs="Arial"/>
          <w:color w:val="000000" w:themeColor="text1"/>
        </w:rPr>
      </w:pPr>
    </w:p>
    <w:p w:rsidR="00953FDF" w:rsidRPr="00EC22D4" w:rsidRDefault="00C57508" w:rsidP="00EC22D4">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EC22D4">
        <w:rPr>
          <w:rFonts w:ascii="Palatino Linotype" w:hAnsi="Palatino Linotype" w:cs="Arial"/>
          <w:b/>
          <w:color w:val="000000" w:themeColor="text1"/>
        </w:rPr>
        <w:t xml:space="preserve">Recibos de nómina de los integrantes del Cabildo y los servidores públicos adscritos al Ayuntamiento de </w:t>
      </w:r>
      <w:proofErr w:type="spellStart"/>
      <w:r w:rsidRPr="00EC22D4">
        <w:rPr>
          <w:rFonts w:ascii="Palatino Linotype" w:hAnsi="Palatino Linotype" w:cs="Arial"/>
          <w:b/>
          <w:color w:val="000000" w:themeColor="text1"/>
        </w:rPr>
        <w:t>Tequixquiac</w:t>
      </w:r>
      <w:proofErr w:type="spellEnd"/>
      <w:r w:rsidRPr="00EC22D4">
        <w:rPr>
          <w:rFonts w:ascii="Palatino Linotype" w:hAnsi="Palatino Linotype" w:cs="Arial"/>
          <w:b/>
          <w:color w:val="000000" w:themeColor="text1"/>
        </w:rPr>
        <w:t>, de enero a junio de 2019</w:t>
      </w:r>
      <w:r w:rsidR="00953FDF" w:rsidRPr="00EC22D4">
        <w:rPr>
          <w:rFonts w:ascii="Palatino Linotype" w:hAnsi="Palatino Linotype" w:cs="Arial"/>
          <w:b/>
          <w:color w:val="000000" w:themeColor="text1"/>
        </w:rPr>
        <w:t>.</w:t>
      </w:r>
    </w:p>
    <w:p w:rsidR="00D62829" w:rsidRPr="00EC22D4" w:rsidRDefault="00953FDF" w:rsidP="00EC22D4">
      <w:pPr>
        <w:pStyle w:val="Prrafodelista"/>
        <w:spacing w:before="240" w:after="240" w:line="360" w:lineRule="auto"/>
        <w:ind w:left="1146" w:right="49"/>
        <w:jc w:val="both"/>
        <w:rPr>
          <w:rFonts w:ascii="Palatino Linotype" w:hAnsi="Palatino Linotype" w:cs="Arial"/>
          <w:color w:val="000000" w:themeColor="text1"/>
        </w:rPr>
      </w:pPr>
      <w:r w:rsidRPr="00EC22D4">
        <w:rPr>
          <w:rFonts w:ascii="Palatino Linotype" w:hAnsi="Palatino Linotype" w:cs="Arial"/>
          <w:color w:val="000000" w:themeColor="text1"/>
        </w:rPr>
        <w:t xml:space="preserve"> </w:t>
      </w:r>
    </w:p>
    <w:p w:rsidR="001B7F0E" w:rsidRPr="00EC22D4" w:rsidRDefault="001B7F0E" w:rsidP="00EC22D4">
      <w:pPr>
        <w:pStyle w:val="Ttulo2"/>
        <w:numPr>
          <w:ilvl w:val="1"/>
          <w:numId w:val="1"/>
        </w:numPr>
        <w:spacing w:line="360" w:lineRule="auto"/>
        <w:ind w:left="567" w:hanging="283"/>
        <w:rPr>
          <w:rFonts w:ascii="Palatino Linotype" w:hAnsi="Palatino Linotype"/>
          <w:b/>
          <w:i/>
          <w:color w:val="auto"/>
          <w:sz w:val="24"/>
          <w:szCs w:val="24"/>
        </w:rPr>
      </w:pPr>
      <w:bookmarkStart w:id="17" w:name="_Toc868931"/>
      <w:bookmarkStart w:id="18" w:name="_Toc21009182"/>
      <w:r w:rsidRPr="00EC22D4">
        <w:rPr>
          <w:rFonts w:ascii="Palatino Linotype" w:hAnsi="Palatino Linotype"/>
          <w:b/>
          <w:i/>
          <w:color w:val="auto"/>
          <w:sz w:val="24"/>
          <w:szCs w:val="24"/>
        </w:rPr>
        <w:t>Omisión de atender una solicitud de información.</w:t>
      </w:r>
      <w:bookmarkEnd w:id="17"/>
      <w:bookmarkEnd w:id="18"/>
    </w:p>
    <w:p w:rsidR="001B7F0E" w:rsidRPr="00EC22D4" w:rsidRDefault="001B7F0E" w:rsidP="00EC22D4">
      <w:pPr>
        <w:spacing w:line="360" w:lineRule="auto"/>
        <w:rPr>
          <w:rFonts w:ascii="Palatino Linotype" w:hAnsi="Palatino Linotype"/>
          <w:lang w:val="es-MX" w:eastAsia="en-US"/>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C22D4">
        <w:rPr>
          <w:rFonts w:ascii="Palatino Linotype" w:hAnsi="Palatino Linotype" w:cs="Arial"/>
          <w:color w:val="222222"/>
        </w:rPr>
        <w:t>Establecido</w:t>
      </w:r>
      <w:r w:rsidRPr="00EC22D4">
        <w:rPr>
          <w:rFonts w:ascii="Palatino Linotype" w:hAnsi="Palatino Linotype" w:cs="Arial"/>
        </w:rPr>
        <w:t xml:space="preserve"> lo anterior, resulta evidente que las razones o motivos de </w:t>
      </w:r>
      <w:r w:rsidRPr="00EC22D4">
        <w:rPr>
          <w:rFonts w:ascii="Palatino Linotype" w:hAnsi="Palatino Linotype"/>
        </w:rPr>
        <w:t xml:space="preserve">inconformidad hechos valer en el recurso de revisión resultan </w:t>
      </w:r>
      <w:r w:rsidRPr="00EC22D4">
        <w:rPr>
          <w:rFonts w:ascii="Palatino Linotype" w:hAnsi="Palatino Linotype"/>
          <w:b/>
        </w:rPr>
        <w:t>fundadas y procedentes</w:t>
      </w:r>
      <w:r w:rsidRPr="00EC22D4">
        <w:rPr>
          <w:rFonts w:ascii="Palatino Linotype" w:hAnsi="Palatino Linotype"/>
        </w:rPr>
        <w:t xml:space="preserve">, en virtud de que el </w:t>
      </w:r>
      <w:r w:rsidRPr="00EC22D4">
        <w:rPr>
          <w:rFonts w:ascii="Palatino Linotype" w:hAnsi="Palatino Linotype" w:cs="Arial"/>
          <w:b/>
          <w:lang w:eastAsia="es-MX"/>
        </w:rPr>
        <w:t>SUJETO OBLIGADO</w:t>
      </w:r>
      <w:r w:rsidRPr="00EC22D4">
        <w:rPr>
          <w:rFonts w:ascii="Palatino Linotype" w:hAnsi="Palatino Linotype" w:cs="Arial"/>
          <w:lang w:eastAsia="es-MX"/>
        </w:rPr>
        <w:t xml:space="preserve"> fue omiso en responder la solicitud de información en cuestión. </w:t>
      </w:r>
    </w:p>
    <w:p w:rsidR="001B7F0E" w:rsidRPr="00EC22D4" w:rsidRDefault="001B7F0E" w:rsidP="00EC22D4">
      <w:pPr>
        <w:pStyle w:val="Prrafodelista"/>
        <w:tabs>
          <w:tab w:val="left" w:pos="0"/>
        </w:tabs>
        <w:spacing w:line="360" w:lineRule="auto"/>
        <w:ind w:left="0" w:right="49"/>
        <w:jc w:val="both"/>
        <w:rPr>
          <w:rFonts w:ascii="Palatino Linotype" w:hAnsi="Palatino Linotype" w:cs="Arial"/>
          <w:lang w:eastAsia="es-MX"/>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C22D4">
        <w:rPr>
          <w:rFonts w:ascii="Palatino Linotype" w:hAnsi="Palatino Linotype" w:cs="Arial"/>
          <w:color w:val="222222"/>
        </w:rPr>
        <w:t>Dicha</w:t>
      </w:r>
      <w:r w:rsidRPr="00EC22D4">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rsidR="001B7F0E" w:rsidRPr="00EC22D4" w:rsidRDefault="001B7F0E" w:rsidP="00EC22D4">
      <w:pPr>
        <w:pStyle w:val="Prrafodelista"/>
        <w:spacing w:line="360" w:lineRule="auto"/>
        <w:rPr>
          <w:rFonts w:ascii="Palatino Linotype" w:hAnsi="Palatino Linotype" w:cs="Arial"/>
          <w:lang w:eastAsia="es-MX"/>
        </w:rPr>
      </w:pPr>
    </w:p>
    <w:p w:rsidR="001B7F0E" w:rsidRPr="00EC22D4" w:rsidRDefault="001B7F0E" w:rsidP="00EC22D4">
      <w:pPr>
        <w:spacing w:line="360" w:lineRule="auto"/>
        <w:ind w:left="709" w:right="709"/>
        <w:jc w:val="both"/>
        <w:rPr>
          <w:rFonts w:ascii="Palatino Linotype" w:hAnsi="Palatino Linotype" w:cs="Arial"/>
          <w:bCs/>
          <w:i/>
        </w:rPr>
      </w:pPr>
      <w:r w:rsidRPr="00EC22D4">
        <w:rPr>
          <w:rFonts w:ascii="Palatino Linotype" w:hAnsi="Palatino Linotype" w:cs="Arial"/>
          <w:b/>
          <w:bCs/>
          <w:i/>
        </w:rPr>
        <w:t>Artículo 23</w:t>
      </w:r>
      <w:r w:rsidRPr="00EC22D4">
        <w:rPr>
          <w:rFonts w:ascii="Palatino Linotype" w:hAnsi="Palatino Linotype" w:cs="Arial"/>
          <w:bCs/>
          <w:i/>
        </w:rPr>
        <w:t xml:space="preserve">. </w:t>
      </w:r>
      <w:r w:rsidRPr="00EC22D4">
        <w:rPr>
          <w:rFonts w:ascii="Palatino Linotype" w:hAnsi="Palatino Linotype" w:cs="Arial"/>
          <w:b/>
          <w:bCs/>
          <w:i/>
          <w:u w:val="single"/>
        </w:rPr>
        <w:t>Son sujetos obligados a transparentar y permitir el acceso a su información y proteger los datos personales que obren en su poder</w:t>
      </w:r>
      <w:r w:rsidRPr="00EC22D4">
        <w:rPr>
          <w:rFonts w:ascii="Palatino Linotype" w:hAnsi="Palatino Linotype" w:cs="Arial"/>
          <w:bCs/>
          <w:i/>
        </w:rPr>
        <w:t xml:space="preserve">: </w:t>
      </w:r>
    </w:p>
    <w:p w:rsidR="001B7F0E" w:rsidRPr="00EC22D4" w:rsidRDefault="001B7F0E" w:rsidP="00EC22D4">
      <w:pPr>
        <w:spacing w:line="360" w:lineRule="auto"/>
        <w:ind w:left="709" w:right="709"/>
        <w:jc w:val="both"/>
        <w:rPr>
          <w:rFonts w:ascii="Palatino Linotype" w:hAnsi="Palatino Linotype" w:cs="Arial"/>
          <w:b/>
          <w:bCs/>
          <w:i/>
        </w:rPr>
      </w:pPr>
      <w:proofErr w:type="gramStart"/>
      <w:r w:rsidRPr="00EC22D4">
        <w:rPr>
          <w:rFonts w:ascii="Palatino Linotype" w:hAnsi="Palatino Linotype" w:cs="Arial"/>
          <w:b/>
          <w:bCs/>
          <w:i/>
        </w:rPr>
        <w:t>I.</w:t>
      </w:r>
      <w:proofErr w:type="gramEnd"/>
      <w:r w:rsidRPr="00EC22D4">
        <w:rPr>
          <w:rFonts w:ascii="Palatino Linotype" w:hAnsi="Palatino Linotype" w:cs="Arial"/>
          <w:b/>
          <w:bCs/>
          <w:i/>
        </w:rPr>
        <w:t xml:space="preserve"> …</w:t>
      </w:r>
    </w:p>
    <w:p w:rsidR="001B7F0E" w:rsidRPr="00EC22D4" w:rsidRDefault="001B7F0E" w:rsidP="00EC22D4">
      <w:pPr>
        <w:spacing w:line="360" w:lineRule="auto"/>
        <w:ind w:left="709" w:right="709"/>
        <w:jc w:val="both"/>
        <w:rPr>
          <w:rFonts w:ascii="Palatino Linotype" w:hAnsi="Palatino Linotype" w:cs="Arial"/>
          <w:b/>
          <w:bCs/>
          <w:i/>
          <w:u w:val="single"/>
        </w:rPr>
      </w:pPr>
      <w:r w:rsidRPr="00EC22D4">
        <w:rPr>
          <w:rFonts w:ascii="Palatino Linotype" w:hAnsi="Palatino Linotype" w:cs="Arial"/>
          <w:b/>
          <w:bCs/>
          <w:i/>
          <w:u w:val="single"/>
        </w:rPr>
        <w:t>IV. Los ayuntamientos y las dependencias, organismos, órganos y entidades de la administración municipal;</w:t>
      </w:r>
    </w:p>
    <w:p w:rsidR="001B7F0E" w:rsidRPr="00EC22D4" w:rsidRDefault="001B7F0E" w:rsidP="00EC22D4">
      <w:pPr>
        <w:spacing w:line="360" w:lineRule="auto"/>
        <w:ind w:left="709" w:right="709"/>
        <w:jc w:val="both"/>
        <w:rPr>
          <w:rFonts w:ascii="Palatino Linotype" w:hAnsi="Palatino Linotype" w:cs="Arial"/>
          <w:b/>
          <w:bCs/>
          <w:i/>
          <w:u w:val="single"/>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EC22D4">
        <w:rPr>
          <w:rFonts w:ascii="Palatino Linotype" w:hAnsi="Palatino Linotype"/>
          <w:lang w:eastAsia="es-MX"/>
        </w:rPr>
        <w:t xml:space="preserve">De tal manera que, en su calidad de sujeto obligado de la Ley de la materia, el </w:t>
      </w:r>
      <w:r w:rsidRPr="00EC22D4">
        <w:rPr>
          <w:rFonts w:ascii="Palatino Linotype" w:hAnsi="Palatino Linotype"/>
          <w:b/>
          <w:lang w:eastAsia="es-MX"/>
        </w:rPr>
        <w:t>SUJETO OBLIGADO</w:t>
      </w:r>
      <w:r w:rsidRPr="00EC22D4">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EC22D4">
        <w:rPr>
          <w:rFonts w:ascii="Palatino Linotype" w:eastAsia="Calibri" w:hAnsi="Palatino Linotype" w:cs="Arial"/>
        </w:rPr>
        <w:t>disponen lo siguiente, respectivamente:</w:t>
      </w:r>
    </w:p>
    <w:p w:rsidR="001B7F0E" w:rsidRPr="00EC22D4" w:rsidRDefault="001B7F0E" w:rsidP="00EC22D4">
      <w:pPr>
        <w:pStyle w:val="Prrafodelista"/>
        <w:tabs>
          <w:tab w:val="left" w:pos="0"/>
        </w:tabs>
        <w:spacing w:line="360" w:lineRule="auto"/>
        <w:ind w:left="0" w:right="49"/>
        <w:jc w:val="both"/>
        <w:rPr>
          <w:rFonts w:ascii="Palatino Linotype" w:hAnsi="Palatino Linotype"/>
          <w:lang w:eastAsia="es-MX"/>
        </w:rPr>
      </w:pPr>
    </w:p>
    <w:p w:rsidR="001B7F0E" w:rsidRPr="00EC22D4" w:rsidRDefault="001B7F0E" w:rsidP="00EC22D4">
      <w:pPr>
        <w:spacing w:line="360" w:lineRule="auto"/>
        <w:ind w:left="567" w:right="567"/>
        <w:jc w:val="center"/>
        <w:rPr>
          <w:rFonts w:ascii="Palatino Linotype" w:hAnsi="Palatino Linotype" w:cs="Arial"/>
          <w:b/>
          <w:bCs/>
          <w:i/>
        </w:rPr>
      </w:pPr>
      <w:r w:rsidRPr="00EC22D4">
        <w:rPr>
          <w:rFonts w:ascii="Palatino Linotype" w:hAnsi="Palatino Linotype" w:cs="Arial"/>
          <w:b/>
          <w:bCs/>
          <w:i/>
        </w:rPr>
        <w:t>Constitución Política de los Estados Unidos Mexicanos</w:t>
      </w: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
          <w:bCs/>
          <w:i/>
        </w:rPr>
        <w:t xml:space="preserve">Artículo </w:t>
      </w:r>
      <w:proofErr w:type="gramStart"/>
      <w:r w:rsidRPr="00EC22D4">
        <w:rPr>
          <w:rFonts w:ascii="Palatino Linotype" w:hAnsi="Palatino Linotype" w:cs="Arial"/>
          <w:b/>
          <w:bCs/>
          <w:i/>
        </w:rPr>
        <w:t>6o.</w:t>
      </w:r>
      <w:r w:rsidRPr="00EC22D4">
        <w:rPr>
          <w:rFonts w:ascii="Palatino Linotype" w:hAnsi="Palatino Linotype" w:cs="Arial"/>
          <w:bCs/>
          <w:i/>
        </w:rPr>
        <w:t xml:space="preserve"> …</w:t>
      </w:r>
      <w:proofErr w:type="gramEnd"/>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Cs/>
          <w:i/>
        </w:rPr>
        <w:t>…</w:t>
      </w: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Cs/>
          <w:i/>
        </w:rPr>
        <w:t>Para efectos de lo dispuesto en el presente artículo se observará lo siguiente:</w:t>
      </w:r>
    </w:p>
    <w:p w:rsidR="001B7F0E" w:rsidRPr="00EC22D4" w:rsidRDefault="001B7F0E" w:rsidP="00EC22D4">
      <w:pPr>
        <w:spacing w:line="360" w:lineRule="auto"/>
        <w:ind w:left="567" w:right="567"/>
        <w:jc w:val="both"/>
        <w:rPr>
          <w:rFonts w:ascii="Palatino Linotype" w:hAnsi="Palatino Linotype" w:cs="Arial"/>
          <w:b/>
          <w:bCs/>
          <w:i/>
        </w:rPr>
      </w:pPr>
      <w:r w:rsidRPr="00EC22D4">
        <w:rPr>
          <w:rFonts w:ascii="Palatino Linotype" w:hAnsi="Palatino Linotype" w:cs="Arial"/>
          <w:b/>
          <w:bCs/>
          <w:i/>
        </w:rPr>
        <w:t>A</w:t>
      </w:r>
      <w:r w:rsidRPr="00EC22D4">
        <w:rPr>
          <w:rFonts w:ascii="Palatino Linotype" w:hAnsi="Palatino Linotype" w:cs="Arial"/>
          <w:bCs/>
          <w:i/>
        </w:rPr>
        <w:t xml:space="preserve">. </w:t>
      </w:r>
      <w:r w:rsidRPr="00EC22D4">
        <w:rPr>
          <w:rFonts w:ascii="Palatino Linotype" w:hAnsi="Palatino Linotype" w:cs="Arial"/>
          <w:b/>
          <w:bCs/>
          <w:i/>
        </w:rPr>
        <w:t>Para el ejercicio del derecho de acceso a la información</w:t>
      </w:r>
      <w:r w:rsidRPr="00EC22D4">
        <w:rPr>
          <w:rFonts w:ascii="Palatino Linotype" w:hAnsi="Palatino Linotype" w:cs="Arial"/>
          <w:bCs/>
          <w:i/>
        </w:rPr>
        <w:t xml:space="preserve">, la Federación y </w:t>
      </w:r>
      <w:r w:rsidRPr="00EC22D4">
        <w:rPr>
          <w:rFonts w:ascii="Palatino Linotype" w:hAnsi="Palatino Linotype" w:cs="Arial"/>
          <w:b/>
          <w:bCs/>
          <w:i/>
        </w:rPr>
        <w:t>las entidades federativas, en el ámbito de sus respectivas competencias, se regirán por los siguientes principios y bases:</w:t>
      </w:r>
    </w:p>
    <w:p w:rsidR="00C57508" w:rsidRPr="00EC22D4" w:rsidRDefault="00C57508" w:rsidP="00EC22D4">
      <w:pPr>
        <w:spacing w:line="360" w:lineRule="auto"/>
        <w:ind w:left="567" w:right="567"/>
        <w:jc w:val="both"/>
        <w:rPr>
          <w:rFonts w:ascii="Palatino Linotype" w:hAnsi="Palatino Linotype" w:cs="Arial"/>
          <w:b/>
          <w:bCs/>
          <w:i/>
        </w:rPr>
      </w:pP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
          <w:bCs/>
          <w:i/>
        </w:rPr>
        <w:t xml:space="preserve">I. </w:t>
      </w:r>
      <w:r w:rsidRPr="00EC22D4">
        <w:rPr>
          <w:rFonts w:ascii="Palatino Linotype" w:hAnsi="Palatino Linotype" w:cs="Arial"/>
          <w:b/>
          <w:bCs/>
          <w:i/>
        </w:rPr>
        <w:tab/>
        <w:t>Toda la información en posesión de cualquier</w:t>
      </w:r>
      <w:r w:rsidRPr="00EC22D4">
        <w:rPr>
          <w:rFonts w:ascii="Palatino Linotype" w:hAnsi="Palatino Linotype" w:cs="Arial"/>
          <w:bCs/>
          <w:i/>
        </w:rPr>
        <w:t xml:space="preserve"> </w:t>
      </w:r>
      <w:r w:rsidRPr="00EC22D4">
        <w:rPr>
          <w:rFonts w:ascii="Palatino Linotype" w:hAnsi="Palatino Linotype" w:cs="Arial"/>
          <w:b/>
          <w:bCs/>
          <w:i/>
        </w:rPr>
        <w:t>autoridad</w:t>
      </w:r>
      <w:r w:rsidRPr="00EC22D4">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C22D4">
        <w:rPr>
          <w:rFonts w:ascii="Palatino Linotype" w:hAnsi="Palatino Linotype" w:cs="Arial"/>
          <w:b/>
          <w:bCs/>
          <w:i/>
          <w:u w:val="single"/>
        </w:rPr>
        <w:t>municipal</w:t>
      </w:r>
      <w:r w:rsidRPr="00EC22D4">
        <w:rPr>
          <w:rFonts w:ascii="Palatino Linotype" w:hAnsi="Palatino Linotype" w:cs="Arial"/>
          <w:bCs/>
          <w:i/>
        </w:rPr>
        <w:t xml:space="preserve">, </w:t>
      </w:r>
      <w:r w:rsidRPr="00EC22D4">
        <w:rPr>
          <w:rFonts w:ascii="Palatino Linotype" w:hAnsi="Palatino Linotype" w:cs="Arial"/>
          <w:b/>
          <w:bCs/>
          <w:i/>
        </w:rPr>
        <w:t>es pública</w:t>
      </w:r>
      <w:r w:rsidRPr="00EC22D4">
        <w:rPr>
          <w:rFonts w:ascii="Palatino Linotype" w:hAnsi="Palatino Linotype" w:cs="Arial"/>
          <w:bCs/>
          <w:i/>
        </w:rPr>
        <w:t xml:space="preserve"> y sólo podrá ser reservada temporalmente por razones de interés público y seguridad nacional, en los términos que fijen las leyes. </w:t>
      </w:r>
      <w:r w:rsidRPr="00EC22D4">
        <w:rPr>
          <w:rFonts w:ascii="Palatino Linotype" w:hAnsi="Palatino Linotype" w:cs="Arial"/>
          <w:b/>
          <w:bCs/>
          <w:i/>
        </w:rPr>
        <w:t xml:space="preserve">En la interpretación de este derecho deberá prevalecer el principio de máxima publicidad. </w:t>
      </w:r>
      <w:r w:rsidRPr="00EC22D4">
        <w:rPr>
          <w:rFonts w:ascii="Palatino Linotype" w:hAnsi="Palatino Linotype" w:cs="Arial"/>
          <w:b/>
          <w:bCs/>
          <w:i/>
          <w:u w:val="single"/>
        </w:rPr>
        <w:t>Los sujetos obligados deberán documentar todo acto que derive del ejercicio de sus facultades, competencias o funciones</w:t>
      </w:r>
      <w:r w:rsidRPr="00EC22D4">
        <w:rPr>
          <w:rFonts w:ascii="Palatino Linotype" w:hAnsi="Palatino Linotype" w:cs="Arial"/>
          <w:bCs/>
          <w:i/>
        </w:rPr>
        <w:t>, la ley determinará los supuestos específicos bajo los cuales procederá la declaración de inexistencia de la información.</w:t>
      </w:r>
    </w:p>
    <w:p w:rsidR="001B7F0E" w:rsidRPr="00EC22D4" w:rsidRDefault="001B7F0E" w:rsidP="00EC22D4">
      <w:pPr>
        <w:spacing w:line="360" w:lineRule="auto"/>
        <w:ind w:left="567" w:right="567"/>
        <w:jc w:val="both"/>
        <w:rPr>
          <w:rFonts w:ascii="Palatino Linotype" w:hAnsi="Palatino Linotype" w:cs="Arial"/>
          <w:b/>
          <w:bCs/>
          <w:i/>
        </w:rPr>
      </w:pPr>
    </w:p>
    <w:p w:rsidR="001B7F0E" w:rsidRPr="00EC22D4" w:rsidRDefault="001B7F0E" w:rsidP="00EC22D4">
      <w:pPr>
        <w:spacing w:line="360" w:lineRule="auto"/>
        <w:ind w:left="567" w:right="567"/>
        <w:jc w:val="center"/>
        <w:rPr>
          <w:rFonts w:ascii="Palatino Linotype" w:hAnsi="Palatino Linotype" w:cs="Arial"/>
          <w:b/>
          <w:bCs/>
          <w:i/>
        </w:rPr>
      </w:pPr>
      <w:r w:rsidRPr="00EC22D4">
        <w:rPr>
          <w:rFonts w:ascii="Palatino Linotype" w:hAnsi="Palatino Linotype" w:cs="Arial"/>
          <w:b/>
          <w:bCs/>
          <w:i/>
        </w:rPr>
        <w:t>Constitución Política del Estado Libre y Soberano de México</w:t>
      </w:r>
    </w:p>
    <w:p w:rsidR="001B7F0E" w:rsidRPr="00EC22D4" w:rsidRDefault="001B7F0E" w:rsidP="00EC22D4">
      <w:pPr>
        <w:spacing w:line="360" w:lineRule="auto"/>
        <w:ind w:left="567" w:right="567"/>
        <w:jc w:val="both"/>
        <w:rPr>
          <w:rFonts w:ascii="Palatino Linotype" w:hAnsi="Palatino Linotype" w:cs="Arial"/>
          <w:b/>
          <w:bCs/>
          <w:i/>
        </w:rPr>
      </w:pP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
          <w:bCs/>
          <w:i/>
        </w:rPr>
        <w:t>Artículo 5</w:t>
      </w:r>
      <w:r w:rsidRPr="00EC22D4">
        <w:rPr>
          <w:rFonts w:ascii="Palatino Linotype" w:hAnsi="Palatino Linotype" w:cs="Arial"/>
          <w:bCs/>
          <w:i/>
        </w:rPr>
        <w:t>.</w:t>
      </w:r>
      <w:proofErr w:type="gramStart"/>
      <w:r w:rsidRPr="00EC22D4">
        <w:rPr>
          <w:rFonts w:ascii="Palatino Linotype" w:hAnsi="Palatino Linotype" w:cs="Arial"/>
          <w:bCs/>
          <w:i/>
        </w:rPr>
        <w:t>- …</w:t>
      </w:r>
      <w:proofErr w:type="gramEnd"/>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Cs/>
          <w:i/>
        </w:rPr>
        <w:t>…</w:t>
      </w: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
          <w:bCs/>
          <w:i/>
          <w:u w:val="single"/>
        </w:rPr>
        <w:t>El derecho a la información será garantizado por el Estado</w:t>
      </w:r>
      <w:r w:rsidRPr="00EC22D4">
        <w:rPr>
          <w:rFonts w:ascii="Palatino Linotype" w:hAnsi="Palatino Linotype" w:cs="Arial"/>
          <w:b/>
          <w:bCs/>
          <w:i/>
        </w:rPr>
        <w:t>. La ley establecerá las previsiones que permitan asegurar la protección, el respeto y la difusión de este derecho</w:t>
      </w:r>
      <w:r w:rsidRPr="00EC22D4">
        <w:rPr>
          <w:rFonts w:ascii="Palatino Linotype" w:hAnsi="Palatino Linotype" w:cs="Arial"/>
          <w:bCs/>
          <w:i/>
        </w:rPr>
        <w:t>.</w:t>
      </w: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
          <w:bCs/>
          <w:i/>
          <w:u w:val="single"/>
        </w:rPr>
        <w:t>Este derecho se regirá por los principios y bases siguientes</w:t>
      </w:r>
      <w:r w:rsidRPr="00EC22D4">
        <w:rPr>
          <w:rFonts w:ascii="Palatino Linotype" w:hAnsi="Palatino Linotype" w:cs="Arial"/>
          <w:bCs/>
          <w:i/>
        </w:rPr>
        <w:t>:</w:t>
      </w:r>
    </w:p>
    <w:p w:rsidR="001B7F0E" w:rsidRPr="00EC22D4" w:rsidRDefault="001B7F0E" w:rsidP="00EC22D4">
      <w:pPr>
        <w:spacing w:line="360" w:lineRule="auto"/>
        <w:ind w:left="567" w:right="567"/>
        <w:jc w:val="both"/>
        <w:rPr>
          <w:rFonts w:ascii="Palatino Linotype" w:hAnsi="Palatino Linotype" w:cs="Arial"/>
          <w:bCs/>
          <w:i/>
        </w:rPr>
      </w:pPr>
      <w:r w:rsidRPr="00EC22D4">
        <w:rPr>
          <w:rFonts w:ascii="Palatino Linotype" w:hAnsi="Palatino Linotype" w:cs="Arial"/>
          <w:b/>
          <w:bCs/>
          <w:i/>
        </w:rPr>
        <w:t xml:space="preserve">I. </w:t>
      </w:r>
      <w:r w:rsidRPr="00EC22D4">
        <w:rPr>
          <w:rFonts w:ascii="Palatino Linotype" w:hAnsi="Palatino Linotype" w:cs="Arial"/>
          <w:b/>
          <w:bCs/>
          <w:i/>
          <w:u w:val="single"/>
        </w:rPr>
        <w:t>Toda la información en posesión de cualquier autoridad, entidad, órgano y organismos de los</w:t>
      </w:r>
      <w:r w:rsidRPr="00EC22D4">
        <w:rPr>
          <w:rFonts w:ascii="Palatino Linotype" w:hAnsi="Palatino Linotype" w:cs="Arial"/>
          <w:bCs/>
          <w:i/>
        </w:rPr>
        <w:t xml:space="preserve"> Poderes Ejecutivo, Legislativo y Judicial, órganos autónomos, partidos políticos, fideicomisos y fondos públicos estatales y </w:t>
      </w:r>
      <w:r w:rsidRPr="00EC22D4">
        <w:rPr>
          <w:rFonts w:ascii="Palatino Linotype" w:hAnsi="Palatino Linotype" w:cs="Arial"/>
          <w:b/>
          <w:bCs/>
          <w:i/>
        </w:rPr>
        <w:t>municipales</w:t>
      </w:r>
      <w:r w:rsidRPr="00EC22D4">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C22D4">
        <w:rPr>
          <w:rFonts w:ascii="Palatino Linotype" w:hAnsi="Palatino Linotype" w:cs="Arial"/>
          <w:b/>
          <w:bCs/>
          <w:i/>
          <w:u w:val="single"/>
        </w:rPr>
        <w:t>es pública</w:t>
      </w:r>
      <w:r w:rsidRPr="00EC22D4">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EC22D4">
        <w:rPr>
          <w:rFonts w:ascii="Palatino Linotype" w:hAnsi="Palatino Linotype" w:cs="Arial"/>
          <w:b/>
          <w:bCs/>
          <w:i/>
          <w:u w:val="single"/>
        </w:rPr>
        <w:t>En la interpretación de este derecho deberá prevalecer el principio de máxima publicidad</w:t>
      </w:r>
      <w:r w:rsidRPr="00EC22D4">
        <w:rPr>
          <w:rFonts w:ascii="Palatino Linotype" w:hAnsi="Palatino Linotype" w:cs="Arial"/>
          <w:bCs/>
          <w:i/>
        </w:rPr>
        <w:t xml:space="preserve">. </w:t>
      </w:r>
      <w:r w:rsidRPr="00EC22D4">
        <w:rPr>
          <w:rFonts w:ascii="Palatino Linotype" w:hAnsi="Palatino Linotype" w:cs="Arial"/>
          <w:b/>
          <w:bCs/>
          <w:i/>
          <w:u w:val="single"/>
        </w:rPr>
        <w:t>Los sujetos obligados deberán documentar todo acto que derive del ejercicio de sus facultades, competencias o funciones</w:t>
      </w:r>
      <w:r w:rsidRPr="00EC22D4">
        <w:rPr>
          <w:rFonts w:ascii="Palatino Linotype" w:hAnsi="Palatino Linotype" w:cs="Arial"/>
          <w:bCs/>
          <w:i/>
        </w:rPr>
        <w:t>, la ley determinará los supuestos específicos bajo los cuales procederá la declaración de inexistencia de la información.</w:t>
      </w:r>
    </w:p>
    <w:p w:rsidR="001B7F0E" w:rsidRPr="00EC22D4" w:rsidRDefault="001B7F0E" w:rsidP="00EC22D4">
      <w:pPr>
        <w:spacing w:line="360" w:lineRule="auto"/>
        <w:ind w:left="567" w:right="567"/>
        <w:jc w:val="both"/>
        <w:rPr>
          <w:rFonts w:ascii="Palatino Linotype" w:hAnsi="Palatino Linotype" w:cs="Arial"/>
          <w:bCs/>
          <w:i/>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1B7F0E" w:rsidRPr="00EC22D4" w:rsidRDefault="001B7F0E" w:rsidP="00EC22D4">
      <w:pPr>
        <w:pStyle w:val="Prrafodelista"/>
        <w:spacing w:before="240" w:after="240" w:line="360" w:lineRule="auto"/>
        <w:ind w:left="426"/>
        <w:jc w:val="both"/>
        <w:rPr>
          <w:rFonts w:ascii="Palatino Linotype" w:hAnsi="Palatino Linotype" w:cs="Arial"/>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hAnsi="Palatino Linotype" w:cs="Arial"/>
        </w:rPr>
      </w:pPr>
      <w:r w:rsidRPr="00EC22D4">
        <w:rPr>
          <w:rFonts w:ascii="Palatino Linotype" w:hAnsi="Palatino Linotype" w:cs="Arial"/>
        </w:rPr>
        <w:t xml:space="preserve">Por tanto, en cumplimiento a las obligaciones que la Carta Fundante Básica, la Constitución Estatal y la Ley de la materia le imponen, el </w:t>
      </w:r>
      <w:r w:rsidRPr="00EC22D4">
        <w:rPr>
          <w:rFonts w:ascii="Palatino Linotype" w:hAnsi="Palatino Linotype" w:cs="Arial"/>
          <w:b/>
        </w:rPr>
        <w:t>SUJETO OBLIGADO</w:t>
      </w:r>
      <w:r w:rsidRPr="00EC22D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EC22D4">
        <w:rPr>
          <w:rFonts w:ascii="Palatino Linotype" w:hAnsi="Palatino Linotype" w:cs="Arial"/>
          <w:b/>
        </w:rPr>
        <w:t>SUJETO OBLIGADO</w:t>
      </w:r>
      <w:r w:rsidRPr="00EC22D4">
        <w:rPr>
          <w:rFonts w:ascii="Palatino Linotype" w:hAnsi="Palatino Linotype" w:cs="Arial"/>
        </w:rPr>
        <w:t xml:space="preserve"> fue omiso en dar respuesta a la solicitud. Prueba de ello, es la</w:t>
      </w:r>
      <w:r w:rsidR="00C57508" w:rsidRPr="00EC22D4">
        <w:rPr>
          <w:rFonts w:ascii="Palatino Linotype" w:hAnsi="Palatino Linotype" w:cs="Arial"/>
        </w:rPr>
        <w:t>s</w:t>
      </w:r>
      <w:r w:rsidRPr="00EC22D4">
        <w:rPr>
          <w:rFonts w:ascii="Palatino Linotype" w:hAnsi="Palatino Linotype" w:cs="Arial"/>
        </w:rPr>
        <w:t xml:space="preserve"> captura</w:t>
      </w:r>
      <w:r w:rsidR="00C57508" w:rsidRPr="00EC22D4">
        <w:rPr>
          <w:rFonts w:ascii="Palatino Linotype" w:hAnsi="Palatino Linotype" w:cs="Arial"/>
        </w:rPr>
        <w:t>s</w:t>
      </w:r>
      <w:r w:rsidRPr="00EC22D4">
        <w:rPr>
          <w:rFonts w:ascii="Palatino Linotype" w:hAnsi="Palatino Linotype" w:cs="Arial"/>
        </w:rPr>
        <w:t xml:space="preserve"> de pantalla que se incorporan</w:t>
      </w:r>
      <w:r w:rsidR="00C57508" w:rsidRPr="00EC22D4">
        <w:rPr>
          <w:rFonts w:ascii="Palatino Linotype" w:hAnsi="Palatino Linotype" w:cs="Arial"/>
        </w:rPr>
        <w:t xml:space="preserve"> </w:t>
      </w:r>
      <w:r w:rsidRPr="00EC22D4">
        <w:rPr>
          <w:rFonts w:ascii="Palatino Linotype" w:hAnsi="Palatino Linotype" w:cs="Arial"/>
        </w:rPr>
        <w:t>de dicho expediente electrónico:</w:t>
      </w:r>
    </w:p>
    <w:p w:rsidR="00B82C8F" w:rsidRPr="00EC22D4" w:rsidRDefault="00790200" w:rsidP="00EC22D4">
      <w:pPr>
        <w:pStyle w:val="Prrafodelista"/>
        <w:tabs>
          <w:tab w:val="left" w:pos="0"/>
        </w:tabs>
        <w:spacing w:line="360" w:lineRule="auto"/>
        <w:ind w:left="0" w:right="49"/>
        <w:jc w:val="both"/>
        <w:rPr>
          <w:rFonts w:ascii="Palatino Linotype" w:hAnsi="Palatino Linotype" w:cs="Arial"/>
          <w:i/>
          <w:color w:val="000000" w:themeColor="text1"/>
        </w:rPr>
      </w:pPr>
      <w:r w:rsidRPr="00790200">
        <w:rPr>
          <w:rFonts w:ascii="Palatino Linotype" w:hAnsi="Palatino Linotype" w:cs="Arial"/>
          <w:i/>
          <w:noProof/>
          <w:color w:val="000000" w:themeColor="text1"/>
          <w:lang w:val="es-MX" w:eastAsia="es-MX"/>
        </w:rPr>
        <w:drawing>
          <wp:inline distT="0" distB="0" distL="0" distR="0">
            <wp:extent cx="5579745" cy="1518198"/>
            <wp:effectExtent l="19050" t="19050" r="20955" b="254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1518198"/>
                    </a:xfrm>
                    <a:prstGeom prst="rect">
                      <a:avLst/>
                    </a:prstGeom>
                    <a:noFill/>
                    <a:ln w="12700">
                      <a:solidFill>
                        <a:schemeClr val="tx1"/>
                      </a:solidFill>
                    </a:ln>
                  </pic:spPr>
                </pic:pic>
              </a:graphicData>
            </a:graphic>
          </wp:inline>
        </w:drawing>
      </w:r>
    </w:p>
    <w:p w:rsidR="00B82C8F" w:rsidRPr="00EC22D4" w:rsidRDefault="00B82C8F" w:rsidP="00EC22D4">
      <w:pPr>
        <w:pStyle w:val="Prrafodelista"/>
        <w:tabs>
          <w:tab w:val="left" w:pos="0"/>
        </w:tabs>
        <w:spacing w:line="360" w:lineRule="auto"/>
        <w:ind w:left="0" w:right="49"/>
        <w:jc w:val="both"/>
        <w:rPr>
          <w:rFonts w:ascii="Palatino Linotype" w:hAnsi="Palatino Linotype" w:cs="Arial"/>
          <w:i/>
          <w:color w:val="000000" w:themeColor="text1"/>
        </w:rPr>
      </w:pPr>
    </w:p>
    <w:p w:rsidR="00B82C8F" w:rsidRPr="00EC22D4" w:rsidRDefault="00C57508" w:rsidP="00EC22D4">
      <w:pPr>
        <w:pStyle w:val="Prrafodelista"/>
        <w:tabs>
          <w:tab w:val="left" w:pos="0"/>
        </w:tabs>
        <w:spacing w:line="360" w:lineRule="auto"/>
        <w:ind w:left="0" w:right="49"/>
        <w:jc w:val="both"/>
        <w:rPr>
          <w:rFonts w:ascii="Palatino Linotype" w:hAnsi="Palatino Linotype" w:cs="Arial"/>
          <w:i/>
          <w:color w:val="000000" w:themeColor="text1"/>
        </w:rPr>
      </w:pPr>
      <w:r w:rsidRPr="00EC22D4">
        <w:rPr>
          <w:rFonts w:ascii="Palatino Linotype" w:hAnsi="Palatino Linotype" w:cs="Arial"/>
          <w:i/>
          <w:noProof/>
          <w:color w:val="000000" w:themeColor="text1"/>
          <w:lang w:val="es-MX" w:eastAsia="es-MX"/>
        </w:rPr>
        <w:drawing>
          <wp:inline distT="0" distB="0" distL="0" distR="0">
            <wp:extent cx="5595620" cy="1316990"/>
            <wp:effectExtent l="19050" t="19050" r="24130"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5620" cy="1316990"/>
                    </a:xfrm>
                    <a:prstGeom prst="rect">
                      <a:avLst/>
                    </a:prstGeom>
                    <a:noFill/>
                    <a:ln>
                      <a:solidFill>
                        <a:schemeClr val="tx1"/>
                      </a:solidFill>
                    </a:ln>
                  </pic:spPr>
                </pic:pic>
              </a:graphicData>
            </a:graphic>
          </wp:inline>
        </w:drawing>
      </w:r>
    </w:p>
    <w:p w:rsidR="00B82C8F" w:rsidRPr="00EC22D4" w:rsidRDefault="00B82C8F" w:rsidP="00EC22D4">
      <w:pPr>
        <w:pStyle w:val="Prrafodelista"/>
        <w:tabs>
          <w:tab w:val="left" w:pos="0"/>
        </w:tabs>
        <w:spacing w:line="360" w:lineRule="auto"/>
        <w:ind w:left="0" w:right="49"/>
        <w:jc w:val="both"/>
        <w:rPr>
          <w:rFonts w:ascii="Palatino Linotype" w:hAnsi="Palatino Linotype"/>
          <w:color w:val="000000"/>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EC22D4">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1B7F0E" w:rsidRPr="00EC22D4" w:rsidRDefault="001B7F0E" w:rsidP="00EC22D4">
      <w:pPr>
        <w:pStyle w:val="Prrafodelista"/>
        <w:spacing w:line="360" w:lineRule="auto"/>
        <w:ind w:left="0" w:right="49"/>
        <w:jc w:val="both"/>
        <w:rPr>
          <w:rFonts w:ascii="Palatino Linotype" w:eastAsia="Times New Roman" w:hAnsi="Palatino Linotype" w:cs="Arial"/>
          <w:color w:val="000000"/>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EC22D4">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C22D4">
        <w:rPr>
          <w:rFonts w:ascii="Palatino Linotype" w:eastAsia="Calibri" w:hAnsi="Palatino Linotype" w:cs="Times New Roman"/>
          <w:i/>
          <w:lang w:val="es-ES"/>
        </w:rPr>
        <w:t xml:space="preserve">en el ámbito de sus atribuciones, de promover, respetar, proteger y </w:t>
      </w:r>
      <w:r w:rsidRPr="00EC22D4">
        <w:rPr>
          <w:rFonts w:ascii="Palatino Linotype" w:eastAsia="Calibri" w:hAnsi="Palatino Linotype" w:cs="Times New Roman"/>
          <w:b/>
          <w:i/>
          <w:lang w:val="es-ES"/>
        </w:rPr>
        <w:t>garantizar</w:t>
      </w:r>
      <w:r w:rsidRPr="00EC22D4">
        <w:rPr>
          <w:rFonts w:ascii="Palatino Linotype" w:eastAsia="Calibri" w:hAnsi="Palatino Linotype" w:cs="Times New Roman"/>
          <w:i/>
          <w:lang w:val="es-ES"/>
        </w:rPr>
        <w:t xml:space="preserve"> los derechos humanos. </w:t>
      </w:r>
      <w:r w:rsidRPr="00EC22D4">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EC22D4">
        <w:rPr>
          <w:rFonts w:ascii="Palatino Linotype" w:eastAsia="Calibri" w:hAnsi="Palatino Linotype" w:cs="Times New Roman"/>
          <w:i/>
          <w:lang w:val="es-ES"/>
        </w:rPr>
        <w:t>procedimiento de acceso a la información es la garantía primaria del derecho en cuestión.</w:t>
      </w:r>
      <w:r w:rsidRPr="00EC22D4">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C22D4">
        <w:rPr>
          <w:rFonts w:ascii="Palatino Linotype" w:eastAsia="Calibri" w:hAnsi="Palatino Linotype" w:cs="Times New Roman"/>
          <w:i/>
          <w:lang w:val="es-ES"/>
        </w:rPr>
        <w:t>investigar, sancionar y reparar las violaciones a los derechos humanos.</w:t>
      </w:r>
      <w:r w:rsidRPr="00EC22D4">
        <w:rPr>
          <w:rFonts w:ascii="Palatino Linotype" w:eastAsia="Calibri" w:hAnsi="Palatino Linotype" w:cs="Times New Roman"/>
          <w:lang w:val="es-ES"/>
        </w:rPr>
        <w:t xml:space="preserve"> </w:t>
      </w:r>
    </w:p>
    <w:p w:rsidR="001B7F0E" w:rsidRPr="00EC22D4" w:rsidRDefault="001B7F0E" w:rsidP="00EC22D4">
      <w:pPr>
        <w:pStyle w:val="Prrafodelista"/>
        <w:spacing w:line="360" w:lineRule="auto"/>
        <w:ind w:left="0" w:right="49"/>
        <w:jc w:val="both"/>
        <w:rPr>
          <w:rFonts w:ascii="Palatino Linotype" w:eastAsia="Times New Roman" w:hAnsi="Palatino Linotype" w:cs="Arial"/>
          <w:color w:val="000000"/>
        </w:rPr>
      </w:pPr>
    </w:p>
    <w:p w:rsidR="001B7F0E" w:rsidRPr="00EC22D4" w:rsidRDefault="001B7F0E" w:rsidP="00EC22D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EC22D4">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1B7F0E" w:rsidRPr="00EC22D4" w:rsidRDefault="001B7F0E" w:rsidP="00EC22D4">
      <w:pPr>
        <w:pStyle w:val="Ttulo2"/>
        <w:spacing w:line="360" w:lineRule="auto"/>
        <w:ind w:left="567" w:hanging="567"/>
        <w:rPr>
          <w:rFonts w:ascii="Palatino Linotype" w:eastAsia="Times New Roman" w:hAnsi="Palatino Linotype"/>
          <w:b/>
          <w:i/>
          <w:color w:val="auto"/>
          <w:sz w:val="24"/>
          <w:szCs w:val="24"/>
        </w:rPr>
      </w:pPr>
      <w:bookmarkStart w:id="19" w:name="_Toc21009183"/>
      <w:r w:rsidRPr="00EC22D4">
        <w:rPr>
          <w:rFonts w:ascii="Palatino Linotype" w:eastAsia="Times New Roman" w:hAnsi="Palatino Linotype"/>
          <w:b/>
          <w:i/>
          <w:color w:val="auto"/>
          <w:sz w:val="24"/>
          <w:szCs w:val="24"/>
        </w:rPr>
        <w:t xml:space="preserve">II. </w:t>
      </w:r>
      <w:bookmarkStart w:id="20" w:name="_Toc868932"/>
      <w:r w:rsidRPr="00EC22D4">
        <w:rPr>
          <w:rFonts w:ascii="Palatino Linotype" w:eastAsia="Times New Roman" w:hAnsi="Palatino Linotype"/>
          <w:b/>
          <w:i/>
          <w:color w:val="auto"/>
          <w:sz w:val="24"/>
          <w:szCs w:val="24"/>
        </w:rPr>
        <w:t>De la fuente obligacional.</w:t>
      </w:r>
      <w:bookmarkEnd w:id="19"/>
      <w:bookmarkEnd w:id="20"/>
    </w:p>
    <w:p w:rsidR="009D37AE" w:rsidRPr="00EC22D4" w:rsidRDefault="002636AE" w:rsidP="00EC22D4">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EC22D4">
        <w:rPr>
          <w:rFonts w:ascii="Palatino Linotype" w:hAnsi="Palatino Linotype"/>
          <w:color w:val="000000"/>
        </w:rPr>
        <w:t>Ahora bien</w:t>
      </w:r>
      <w:r w:rsidR="00374961" w:rsidRPr="00EC22D4">
        <w:rPr>
          <w:rFonts w:ascii="Palatino Linotype" w:hAnsi="Palatino Linotype" w:cs="Arial"/>
        </w:rPr>
        <w:t>,</w:t>
      </w:r>
      <w:r w:rsidR="009D37AE" w:rsidRPr="00EC22D4">
        <w:rPr>
          <w:rFonts w:ascii="Palatino Linotype" w:hAnsi="Palatino Linotype" w:cs="Arial"/>
        </w:rPr>
        <w:t xml:space="preserve"> </w:t>
      </w:r>
      <w:r w:rsidR="009D37AE" w:rsidRPr="00EC22D4">
        <w:rPr>
          <w:rFonts w:ascii="Palatino Linotype" w:hAnsi="Palatino Linotype" w:cs="Arial"/>
          <w:color w:val="000000"/>
          <w:shd w:val="clear" w:color="auto" w:fill="FFFFFF"/>
        </w:rPr>
        <w:t xml:space="preserve">la </w:t>
      </w:r>
      <w:r w:rsidR="009D37AE" w:rsidRPr="00EC22D4">
        <w:rPr>
          <w:rFonts w:ascii="Palatino Linotype" w:hAnsi="Palatino Linotype" w:cs="Arial"/>
          <w:b/>
          <w:color w:val="000000"/>
          <w:shd w:val="clear" w:color="auto" w:fill="FFFFFF"/>
        </w:rPr>
        <w:t>Constitución Política de los Estados Unidos Mexicanos</w:t>
      </w:r>
      <w:r w:rsidR="009D37AE" w:rsidRPr="00EC22D4">
        <w:rPr>
          <w:rFonts w:ascii="Palatino Linotype" w:hAnsi="Palatino Linotype" w:cs="Arial"/>
          <w:color w:val="000000"/>
          <w:shd w:val="clear" w:color="auto" w:fill="FFFFFF"/>
        </w:rPr>
        <w:t xml:space="preserve">  establece en su artículo 127 fracción I que los servidores públicos de los tres niveles de gobierno y de las demarcaciones territoriales de la Ciudad de México, entidades y dependencias,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 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9D37AE" w:rsidRPr="00EC22D4" w:rsidRDefault="009D37AE" w:rsidP="00EC22D4">
      <w:pPr>
        <w:pStyle w:val="Prrafodelista"/>
        <w:spacing w:line="360" w:lineRule="auto"/>
        <w:rPr>
          <w:rFonts w:ascii="Palatino Linotype" w:eastAsia="MS Mincho" w:hAnsi="Palatino Linotype" w:cs="Arial"/>
        </w:rPr>
      </w:pPr>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EC22D4">
        <w:rPr>
          <w:rFonts w:ascii="Palatino Linotype" w:hAnsi="Palatino Linotype" w:cs="Arial"/>
          <w:color w:val="000000"/>
          <w:shd w:val="clear" w:color="auto" w:fill="FFFFFF"/>
        </w:rPr>
        <w:t xml:space="preserve">El artículo 125 fracción III párrafo cuarto y quinto de la </w:t>
      </w:r>
      <w:r w:rsidRPr="00EC22D4">
        <w:rPr>
          <w:rFonts w:ascii="Palatino Linotype" w:hAnsi="Palatino Linotype" w:cs="Arial"/>
          <w:b/>
          <w:color w:val="000000"/>
          <w:shd w:val="clear" w:color="auto" w:fill="FFFFFF"/>
        </w:rPr>
        <w:t>Constitución Política del Estado Libre y Soberano de México</w:t>
      </w:r>
      <w:r w:rsidRPr="00EC22D4">
        <w:rPr>
          <w:rFonts w:ascii="Palatino Linotype" w:hAnsi="Palatino Linotype" w:cs="Arial"/>
          <w:color w:val="000000"/>
          <w:shd w:val="clear" w:color="auto" w:fill="FFFFFF"/>
        </w:rPr>
        <w:t xml:space="preserve">, señala que el presupuesto deberá incluir los </w:t>
      </w:r>
      <w:r w:rsidRPr="00EC22D4">
        <w:rPr>
          <w:rFonts w:ascii="Palatino Linotype" w:hAnsi="Palatino Linotype" w:cs="Arial"/>
          <w:b/>
          <w:color w:val="000000"/>
          <w:shd w:val="clear" w:color="auto" w:fill="FFFFFF"/>
        </w:rPr>
        <w:t>tabuladores</w:t>
      </w:r>
      <w:r w:rsidRPr="00EC22D4">
        <w:rPr>
          <w:rFonts w:ascii="Palatino Linotype" w:hAnsi="Palatino Linotype" w:cs="Arial"/>
          <w:color w:val="000000"/>
          <w:shd w:val="clear" w:color="auto" w:fill="FFFFFF"/>
        </w:rPr>
        <w:t xml:space="preserve">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w:t>
      </w:r>
      <w:r w:rsidR="002636AE" w:rsidRPr="00EC22D4">
        <w:rPr>
          <w:rFonts w:ascii="Palatino Linotype" w:hAnsi="Palatino Linotype" w:cs="Arial"/>
          <w:color w:val="000000"/>
          <w:shd w:val="clear" w:color="auto" w:fill="FFFFFF"/>
        </w:rPr>
        <w:t>sto de egresos que corresponda.</w:t>
      </w:r>
    </w:p>
    <w:p w:rsidR="002636AE" w:rsidRPr="00EC22D4" w:rsidRDefault="002636AE" w:rsidP="00EC22D4">
      <w:pPr>
        <w:pStyle w:val="Prrafodelista"/>
        <w:spacing w:line="360" w:lineRule="auto"/>
        <w:rPr>
          <w:rFonts w:ascii="Palatino Linotype" w:hAnsi="Palatino Linotype" w:cs="Arial"/>
          <w:color w:val="000000"/>
          <w:shd w:val="clear" w:color="auto" w:fill="FFFFFF"/>
        </w:rPr>
      </w:pPr>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EC22D4">
        <w:rPr>
          <w:rFonts w:ascii="Palatino Linotype" w:hAnsi="Palatino Linotype" w:cs="Arial"/>
          <w:color w:val="000000"/>
          <w:shd w:val="clear" w:color="auto" w:fill="FFFFFF"/>
        </w:rPr>
        <w:t xml:space="preserve">El artículo 3, fracción XXXII del </w:t>
      </w:r>
      <w:r w:rsidRPr="00EC22D4">
        <w:rPr>
          <w:rFonts w:ascii="Palatino Linotype" w:hAnsi="Palatino Linotype" w:cs="Arial"/>
          <w:b/>
          <w:color w:val="000000"/>
          <w:shd w:val="clear" w:color="auto" w:fill="FFFFFF"/>
        </w:rPr>
        <w:t>Código Financiero del Estado de México y Municipios</w:t>
      </w:r>
      <w:r w:rsidRPr="00EC22D4">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rsidR="002636AE" w:rsidRPr="00EC22D4" w:rsidRDefault="002636AE" w:rsidP="00EC22D4">
      <w:pPr>
        <w:pStyle w:val="Prrafodelista"/>
        <w:spacing w:before="240" w:after="240" w:line="360" w:lineRule="auto"/>
        <w:ind w:left="0" w:right="49"/>
        <w:jc w:val="both"/>
        <w:rPr>
          <w:rFonts w:ascii="Palatino Linotype" w:hAnsi="Palatino Linotype" w:cs="Arial"/>
          <w:color w:val="000000"/>
          <w:shd w:val="clear" w:color="auto" w:fill="FFFFFF"/>
        </w:rPr>
      </w:pPr>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EC22D4">
        <w:rPr>
          <w:rFonts w:ascii="Palatino Linotype"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9D37AE" w:rsidRPr="00EC22D4" w:rsidRDefault="009D37AE" w:rsidP="00EC22D4">
      <w:pPr>
        <w:tabs>
          <w:tab w:val="left" w:pos="851"/>
        </w:tabs>
        <w:spacing w:before="240" w:after="240" w:line="360" w:lineRule="auto"/>
        <w:ind w:left="567"/>
        <w:contextualSpacing/>
        <w:jc w:val="center"/>
        <w:rPr>
          <w:rFonts w:ascii="Palatino Linotype" w:hAnsi="Palatino Linotype" w:cs="Arial"/>
          <w:i/>
          <w:color w:val="000000"/>
          <w:shd w:val="clear" w:color="auto" w:fill="FFFFFF"/>
        </w:rPr>
      </w:pPr>
      <w:r w:rsidRPr="00EC22D4">
        <w:rPr>
          <w:rFonts w:ascii="Palatino Linotype" w:hAnsi="Palatino Linotype" w:cs="Arial"/>
          <w:i/>
          <w:color w:val="000000"/>
          <w:shd w:val="clear" w:color="auto" w:fill="FFFFFF"/>
        </w:rPr>
        <w:t>Criterio 01/2003.</w:t>
      </w:r>
    </w:p>
    <w:p w:rsidR="009D37AE" w:rsidRPr="00EC22D4" w:rsidRDefault="009D37AE" w:rsidP="00EC22D4">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EC22D4">
        <w:rPr>
          <w:rFonts w:ascii="Palatino Linotype" w:hAnsi="Palatino Linotype" w:cs="Arial"/>
          <w:b/>
          <w:i/>
          <w:color w:val="000000"/>
          <w:shd w:val="clear" w:color="auto" w:fill="FFFFFF"/>
        </w:rPr>
        <w:t>“INGRESOS DE LOS SERVIDORES PÚBLICOS. CONSTITUYEN INFORMACIÓN PÚBLICA AÚN CUANDO SU DIFUSIÓN PUEDE AFECTAR LA VIDA O LA SEGURIDAD DE AQUELLOS</w:t>
      </w:r>
      <w:r w:rsidRPr="00EC22D4">
        <w:rPr>
          <w:rFonts w:ascii="Palatino Linotype" w:hAnsi="Palatino Linotype" w:cs="Arial"/>
          <w:i/>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9D37AE" w:rsidRPr="00EC22D4" w:rsidRDefault="009D37AE" w:rsidP="00EC22D4">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EC22D4">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rsidR="009D37AE" w:rsidRPr="00EC22D4" w:rsidRDefault="009D37AE" w:rsidP="00EC22D4">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rsidR="009D37AE" w:rsidRPr="00EC22D4" w:rsidRDefault="009D37AE" w:rsidP="00EC22D4">
      <w:pPr>
        <w:tabs>
          <w:tab w:val="left" w:pos="851"/>
        </w:tabs>
        <w:spacing w:before="240" w:after="240" w:line="360" w:lineRule="auto"/>
        <w:ind w:left="567" w:right="616"/>
        <w:contextualSpacing/>
        <w:jc w:val="center"/>
        <w:rPr>
          <w:rFonts w:ascii="Palatino Linotype" w:hAnsi="Palatino Linotype" w:cs="Arial"/>
          <w:i/>
          <w:color w:val="000000"/>
          <w:shd w:val="clear" w:color="auto" w:fill="FFFFFF"/>
        </w:rPr>
      </w:pPr>
      <w:r w:rsidRPr="00EC22D4">
        <w:rPr>
          <w:rFonts w:ascii="Palatino Linotype" w:hAnsi="Palatino Linotype" w:cs="Arial"/>
          <w:i/>
          <w:color w:val="000000"/>
          <w:shd w:val="clear" w:color="auto" w:fill="FFFFFF"/>
        </w:rPr>
        <w:t>Criterio 02/2003.</w:t>
      </w:r>
    </w:p>
    <w:p w:rsidR="009D37AE" w:rsidRPr="00EC22D4" w:rsidRDefault="009D37AE" w:rsidP="00EC22D4">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EC22D4">
        <w:rPr>
          <w:rFonts w:ascii="Palatino Linotype" w:hAnsi="Palatino Linotype" w:cs="Arial"/>
          <w:b/>
          <w:i/>
          <w:color w:val="000000"/>
          <w:shd w:val="clear" w:color="auto" w:fill="FFFFFF"/>
        </w:rPr>
        <w:t>“INGRESOS DE LOS SERVIDORES PÚBLICOS, SON INFORMACIÓN PÚBLICA AÚN CUANDO CONSTITUYEN DATOS PERSONALES QUE SE REFIEREN AL PATRIMONIO  DE AQUÉLLOS.</w:t>
      </w:r>
      <w:r w:rsidRPr="00EC22D4">
        <w:rPr>
          <w:rFonts w:ascii="Palatino Linotype" w:hAnsi="Palatino Linotype" w:cs="Arial"/>
          <w:i/>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9D37AE" w:rsidRPr="00EC22D4" w:rsidRDefault="009D37AE" w:rsidP="00EC22D4">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rsidR="009D37AE" w:rsidRPr="00EC22D4" w:rsidRDefault="009D37AE" w:rsidP="00EC22D4">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EC22D4">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rsidR="009D37AE" w:rsidRPr="00EC22D4" w:rsidRDefault="009D37AE" w:rsidP="00EC22D4">
      <w:pPr>
        <w:pStyle w:val="Prrafodelista"/>
        <w:spacing w:before="240" w:after="240" w:line="360" w:lineRule="auto"/>
        <w:ind w:left="0" w:right="49"/>
        <w:jc w:val="both"/>
        <w:rPr>
          <w:rFonts w:ascii="Palatino Linotype" w:hAnsi="Palatino Linotype" w:cs="Arial"/>
          <w:color w:val="000000"/>
          <w:shd w:val="clear" w:color="auto" w:fill="FFFFFF"/>
        </w:rPr>
      </w:pPr>
      <w:bookmarkStart w:id="21" w:name="_Toc445744410"/>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EC22D4">
        <w:rPr>
          <w:rFonts w:ascii="Palatino Linotype" w:hAnsi="Palatino Linotype"/>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21"/>
      <w:r w:rsidRPr="00EC22D4">
        <w:rPr>
          <w:rFonts w:ascii="Palatino Linotype" w:hAnsi="Palatino Linotype"/>
        </w:rPr>
        <w:t>.</w:t>
      </w:r>
    </w:p>
    <w:p w:rsidR="009D37AE" w:rsidRPr="00EC22D4" w:rsidRDefault="009D37AE" w:rsidP="00EC22D4">
      <w:pPr>
        <w:pStyle w:val="Prrafodelista"/>
        <w:tabs>
          <w:tab w:val="left" w:pos="851"/>
        </w:tabs>
        <w:spacing w:before="240" w:after="240" w:line="360" w:lineRule="auto"/>
        <w:ind w:left="426"/>
        <w:jc w:val="both"/>
        <w:rPr>
          <w:rFonts w:ascii="Palatino Linotype" w:hAnsi="Palatino Linotype" w:cs="Arial"/>
          <w:color w:val="000000"/>
          <w:shd w:val="clear" w:color="auto" w:fill="FFFFFF"/>
        </w:rPr>
      </w:pPr>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EC22D4">
        <w:rPr>
          <w:rFonts w:ascii="Palatino Linotype" w:eastAsia="MS Mincho" w:hAnsi="Palatino Linotype" w:cs="Tahoma"/>
        </w:rPr>
        <w:t xml:space="preserve">La </w:t>
      </w:r>
      <w:r w:rsidRPr="00EC22D4">
        <w:rPr>
          <w:rFonts w:ascii="Palatino Linotype" w:eastAsia="MS Mincho" w:hAnsi="Palatino Linotype" w:cs="Tahoma"/>
          <w:b/>
        </w:rPr>
        <w:t>Ley General de Transparencia y Acceso a la Información Pública</w:t>
      </w:r>
      <w:r w:rsidRPr="00EC22D4">
        <w:rPr>
          <w:rFonts w:ascii="Palatino Linotype" w:eastAsia="Arial Unicode MS" w:hAnsi="Palatino Linotype" w:cs="Arial"/>
          <w:lang w:val="es-ES"/>
        </w:rPr>
        <w:t xml:space="preserve"> en su artículo 70 </w:t>
      </w:r>
      <w:r w:rsidRPr="00EC22D4">
        <w:rPr>
          <w:rFonts w:ascii="Palatino Linotype" w:eastAsia="Arial Unicode MS" w:hAnsi="Palatino Linotype" w:cs="Times New Roman"/>
          <w:lang w:val="es-ES"/>
        </w:rPr>
        <w:t>fracción VIII señala que</w:t>
      </w:r>
      <w:r w:rsidRPr="00EC22D4">
        <w:rPr>
          <w:rFonts w:ascii="Palatino Linotype" w:eastAsia="MS Mincho" w:hAnsi="Palatino Linotype" w:cs="Tahoma"/>
        </w:rPr>
        <w:t xml:space="preserve"> la </w:t>
      </w:r>
      <w:r w:rsidRPr="00EC22D4">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EC22D4">
        <w:rPr>
          <w:rFonts w:ascii="Palatino Linotype" w:eastAsia="Times New Roman" w:hAnsi="Palatino Linotype" w:cs="Arial"/>
          <w:b/>
          <w:lang w:val="es-ES"/>
        </w:rPr>
        <w:t>incluyendo sueldos, prestaciones, gratificaciones, primas, comisiones, dietas, bonos, estímulos, ingresos y sistemas de compensación</w:t>
      </w:r>
      <w:r w:rsidRPr="00EC22D4">
        <w:rPr>
          <w:rFonts w:ascii="Palatino Linotype" w:eastAsia="Times New Roman" w:hAnsi="Palatino Linotype" w:cs="Arial"/>
          <w:lang w:val="es-ES"/>
        </w:rPr>
        <w:t xml:space="preserve">, señalando la periodicidad de dicha remuneración, </w:t>
      </w:r>
      <w:r w:rsidRPr="00EC22D4">
        <w:rPr>
          <w:rFonts w:ascii="Palatino Linotype" w:eastAsia="Arial Unicode MS" w:hAnsi="Palatino Linotype" w:cs="Arial"/>
          <w:lang w:val="es-ES"/>
        </w:rPr>
        <w:t xml:space="preserve">se trata de información que por su naturaleza es pública y que los </w:t>
      </w:r>
      <w:r w:rsidRPr="00EC22D4">
        <w:rPr>
          <w:rFonts w:ascii="Palatino Linotype" w:eastAsia="MS Mincho" w:hAnsi="Palatino Linotype" w:cs="Times New Roman"/>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EC22D4">
        <w:rPr>
          <w:rFonts w:ascii="Palatino Linotype" w:eastAsia="Times New Roman" w:hAnsi="Palatino Linotype" w:cs="Arial"/>
        </w:rPr>
        <w:t>.</w:t>
      </w:r>
    </w:p>
    <w:p w:rsidR="009D37AE" w:rsidRPr="00EC22D4" w:rsidRDefault="009D37AE" w:rsidP="00EC22D4">
      <w:pPr>
        <w:pStyle w:val="Prrafodelista"/>
        <w:spacing w:before="240" w:after="240" w:line="360" w:lineRule="auto"/>
        <w:ind w:left="0" w:right="49"/>
        <w:jc w:val="both"/>
        <w:rPr>
          <w:rFonts w:ascii="Palatino Linotype" w:eastAsia="MS Mincho" w:hAnsi="Palatino Linotype" w:cs="Arial"/>
        </w:rPr>
      </w:pPr>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EC22D4">
        <w:rPr>
          <w:rFonts w:ascii="Palatino Linotype" w:eastAsia="MS Mincho" w:hAnsi="Palatino Linotype" w:cs="Tahoma"/>
        </w:rPr>
        <w:t>La</w:t>
      </w:r>
      <w:r w:rsidRPr="00EC22D4">
        <w:rPr>
          <w:rFonts w:ascii="Palatino Linotype" w:eastAsia="MS Mincho" w:hAnsi="Palatino Linotype" w:cs="Arial"/>
        </w:rPr>
        <w:t xml:space="preserve"> </w:t>
      </w:r>
      <w:r w:rsidRPr="00EC22D4">
        <w:rPr>
          <w:rFonts w:ascii="Palatino Linotype" w:eastAsia="MS Mincho" w:hAnsi="Palatino Linotype" w:cs="Arial"/>
          <w:b/>
        </w:rPr>
        <w:t>Ley Federal de Trabajo en su artículo</w:t>
      </w:r>
      <w:r w:rsidRPr="00EC22D4">
        <w:rPr>
          <w:rFonts w:ascii="Palatino Linotype" w:eastAsia="MS Mincho" w:hAnsi="Palatino Linotype" w:cs="Arial"/>
        </w:rPr>
        <w:t xml:space="preserve"> </w:t>
      </w:r>
      <w:r w:rsidRPr="00EC22D4">
        <w:rPr>
          <w:rFonts w:ascii="Palatino Linotype" w:eastAsia="MS Mincho" w:hAnsi="Palatino Linotype" w:cs="Arial"/>
          <w:b/>
        </w:rPr>
        <w:t>804 fracción IV</w:t>
      </w:r>
      <w:r w:rsidRPr="00EC22D4">
        <w:rPr>
          <w:rFonts w:ascii="Palatino Linotype" w:eastAsia="MS Mincho" w:hAnsi="Palatino Linotype" w:cs="Arial"/>
        </w:rPr>
        <w:t xml:space="preserve"> establece que el patrón cuenta con la obligación de conserva y exhibir en juicio los documentos tales como, contratos individuales de trabajo, </w:t>
      </w:r>
      <w:r w:rsidRPr="00EC22D4">
        <w:rPr>
          <w:rFonts w:ascii="Palatino Linotype" w:eastAsia="MS Mincho" w:hAnsi="Palatino Linotype" w:cs="Arial"/>
          <w:b/>
        </w:rPr>
        <w:t>listas de raya o nómina de personal, recibos de pago de salarios</w:t>
      </w:r>
      <w:r w:rsidRPr="00EC22D4">
        <w:rPr>
          <w:rFonts w:ascii="Palatino Linotype" w:eastAsia="MS Mincho" w:hAnsi="Palatino Linotype" w:cs="Arial"/>
        </w:rPr>
        <w:t xml:space="preserve">, controles de asistencia, </w:t>
      </w:r>
      <w:r w:rsidRPr="00EC22D4">
        <w:rPr>
          <w:rFonts w:ascii="Palatino Linotype" w:eastAsia="MS Mincho" w:hAnsi="Palatino Linotype" w:cs="Arial"/>
          <w:b/>
        </w:rPr>
        <w:t>comprobantes de pago de participaciones de utilidades, vacaciones y aguinaldos</w:t>
      </w:r>
      <w:r w:rsidRPr="00EC22D4">
        <w:rPr>
          <w:rFonts w:ascii="Palatino Linotype" w:eastAsia="MS Mincho" w:hAnsi="Palatino Linotype" w:cs="Arial"/>
        </w:rPr>
        <w:t xml:space="preserve">, así como  las </w:t>
      </w:r>
      <w:r w:rsidRPr="00EC22D4">
        <w:rPr>
          <w:rFonts w:ascii="Palatino Linotype" w:eastAsia="MS Mincho" w:hAnsi="Palatino Linotype" w:cs="Arial"/>
          <w:b/>
        </w:rPr>
        <w:t>primas a que hace referencia la propia ley, pagos, aportaciones y cuotas de seguridad social y demás que señalen la ley</w:t>
      </w:r>
      <w:r w:rsidRPr="00EC22D4">
        <w:rPr>
          <w:rFonts w:ascii="Palatino Linotype" w:eastAsia="MS Mincho" w:hAnsi="Palatino Linotype" w:cs="Arial"/>
        </w:rPr>
        <w:t xml:space="preserve">; los documentos deberán ser conservados mientras dure la relación laboral y hasta un año después de que se extinga la relación laboral. </w:t>
      </w:r>
    </w:p>
    <w:p w:rsidR="009D37AE" w:rsidRPr="00EC22D4" w:rsidRDefault="009D37AE" w:rsidP="00EC22D4">
      <w:pPr>
        <w:pStyle w:val="Prrafodelista"/>
        <w:spacing w:before="240" w:after="240" w:line="360" w:lineRule="auto"/>
        <w:ind w:left="0" w:right="49"/>
        <w:jc w:val="both"/>
        <w:rPr>
          <w:rFonts w:ascii="Palatino Linotype" w:eastAsia="MS Mincho" w:hAnsi="Palatino Linotype" w:cs="Arial"/>
        </w:rPr>
      </w:pPr>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EC22D4">
        <w:rPr>
          <w:rFonts w:ascii="Palatino Linotype" w:eastAsia="MS Mincho" w:hAnsi="Palatino Linotype" w:cs="Arial"/>
        </w:rPr>
        <w:t xml:space="preserve">En este mismo sentido, la </w:t>
      </w:r>
      <w:r w:rsidRPr="00EC22D4">
        <w:rPr>
          <w:rFonts w:ascii="Palatino Linotype" w:eastAsia="MS Mincho" w:hAnsi="Palatino Linotype" w:cs="Arial"/>
          <w:b/>
        </w:rPr>
        <w:t>Ley de Trabajo de los Servidores Públicos del Estado y Municipios</w:t>
      </w:r>
      <w:r w:rsidRPr="00EC22D4">
        <w:rPr>
          <w:rFonts w:ascii="Palatino Linotype" w:eastAsia="MS Mincho" w:hAnsi="Palatino Linotype" w:cs="Arial"/>
        </w:rPr>
        <w:t xml:space="preserve">, establece en su artículo </w:t>
      </w:r>
      <w:r w:rsidRPr="00EC22D4">
        <w:rPr>
          <w:rFonts w:ascii="Palatino Linotype" w:eastAsia="Cambria" w:hAnsi="Palatino Linotype" w:cs="Times New Roman"/>
          <w:b/>
        </w:rPr>
        <w:t>220 K</w:t>
      </w:r>
      <w:r w:rsidRPr="00EC22D4">
        <w:rPr>
          <w:rFonts w:ascii="Palatino Linotype" w:eastAsia="Cambria" w:hAnsi="Palatino Linotype" w:cs="Times New Roman"/>
        </w:rPr>
        <w:t xml:space="preserve"> que la </w:t>
      </w:r>
      <w:r w:rsidRPr="00EC22D4">
        <w:rPr>
          <w:rFonts w:ascii="Palatino Linotype" w:eastAsia="Cambria" w:hAnsi="Palatino Linotype" w:cs="Times New Roman"/>
          <w:b/>
        </w:rPr>
        <w:t>institución</w:t>
      </w:r>
      <w:r w:rsidRPr="00EC22D4">
        <w:rPr>
          <w:rFonts w:ascii="Palatino Linotype" w:eastAsia="Cambria" w:hAnsi="Palatino Linotype" w:cs="Times New Roman"/>
        </w:rPr>
        <w:t xml:space="preserve"> o </w:t>
      </w:r>
      <w:r w:rsidRPr="00EC22D4">
        <w:rPr>
          <w:rFonts w:ascii="Palatino Linotype" w:eastAsia="Cambria" w:hAnsi="Palatino Linotype" w:cs="Times New Roman"/>
          <w:b/>
        </w:rPr>
        <w:t>dependencia pública</w:t>
      </w:r>
      <w:r w:rsidRPr="00EC22D4">
        <w:rPr>
          <w:rFonts w:ascii="Palatino Linotype" w:eastAsia="Cambria" w:hAnsi="Palatino Linotype" w:cs="Times New Roman"/>
        </w:rPr>
        <w:t xml:space="preserve"> tiene la </w:t>
      </w:r>
      <w:r w:rsidRPr="00EC22D4">
        <w:rPr>
          <w:rFonts w:ascii="Palatino Linotype" w:eastAsia="Cambria" w:hAnsi="Palatino Linotype" w:cs="Times New Roman"/>
          <w:b/>
        </w:rPr>
        <w:t>obligación de conservar y exhibir</w:t>
      </w:r>
      <w:r w:rsidRPr="00EC22D4">
        <w:rPr>
          <w:rFonts w:ascii="Palatino Linotype" w:eastAsia="Cambria" w:hAnsi="Palatino Linotype" w:cs="Times New Roman"/>
        </w:rPr>
        <w:t xml:space="preserve"> en el proceso los </w:t>
      </w:r>
      <w:r w:rsidRPr="00EC22D4">
        <w:rPr>
          <w:rFonts w:ascii="Palatino Linotype" w:eastAsia="Cambria" w:hAnsi="Palatino Linotype" w:cs="Times New Roman"/>
          <w:b/>
        </w:rPr>
        <w:t xml:space="preserve">documentos </w:t>
      </w:r>
      <w:r w:rsidRPr="00EC22D4">
        <w:rPr>
          <w:rFonts w:ascii="Palatino Linotype" w:eastAsia="Cambria" w:hAnsi="Palatino Linotype" w:cs="Times New Roman"/>
        </w:rPr>
        <w:t xml:space="preserve">como contratos, nombramientos o Formato Único de Movimientos de Personal, </w:t>
      </w:r>
      <w:r w:rsidRPr="00EC22D4">
        <w:rPr>
          <w:rFonts w:ascii="Palatino Linotype" w:eastAsia="Cambria" w:hAnsi="Palatino Linotype" w:cs="Times New Roman"/>
          <w:b/>
        </w:rPr>
        <w:t>recibos de pagos de salarios o las constancias documentales del pago de salario cuando sea por depósito o electrónica</w:t>
      </w:r>
      <w:r w:rsidRPr="00EC22D4">
        <w:rPr>
          <w:rFonts w:ascii="Palatino Linotype" w:eastAsia="Cambria" w:hAnsi="Palatino Linotype" w:cs="Times New Roman"/>
        </w:rPr>
        <w:t>, controles de asistencia información magnética o electrónica, r</w:t>
      </w:r>
      <w:r w:rsidRPr="00EC22D4">
        <w:rPr>
          <w:rFonts w:ascii="Palatino Linotype" w:eastAsia="Cambria" w:hAnsi="Palatino Linotype" w:cs="Times New Roman"/>
          <w:b/>
        </w:rPr>
        <w:t xml:space="preserve">ecibos o las constancias de depósito, información magnética o electrónica del pago de </w:t>
      </w:r>
      <w:r w:rsidRPr="00EC22D4">
        <w:rPr>
          <w:rFonts w:ascii="Palatino Linotype" w:eastAsia="Cambria" w:hAnsi="Palatino Linotype" w:cs="Times New Roman"/>
        </w:rPr>
        <w:t xml:space="preserve">salarios, prima vacacional, aguinaldo y demás prestaciones que señalen las leyes; </w:t>
      </w:r>
      <w:r w:rsidRPr="00EC22D4">
        <w:rPr>
          <w:rFonts w:ascii="Palatino Linotype" w:eastAsia="Cambria" w:hAnsi="Palatino Linotype" w:cs="Times New Roman"/>
          <w:b/>
        </w:rPr>
        <w:t>los documentos</w:t>
      </w:r>
      <w:r w:rsidRPr="00EC22D4">
        <w:rPr>
          <w:rFonts w:ascii="Palatino Linotype" w:eastAsia="Cambria" w:hAnsi="Palatino Linotype" w:cs="Times New Roman"/>
        </w:rPr>
        <w:t xml:space="preserve"> señalados </w:t>
      </w:r>
      <w:r w:rsidRPr="00EC22D4">
        <w:rPr>
          <w:rFonts w:ascii="Palatino Linotype" w:eastAsia="Cambria" w:hAnsi="Palatino Linotype" w:cs="Times New Roman"/>
          <w:b/>
        </w:rPr>
        <w:t>deberán conservarse mientras dure la relación laboral y hasta un año después</w:t>
      </w:r>
      <w:r w:rsidRPr="00EC22D4">
        <w:rPr>
          <w:rFonts w:ascii="Palatino Linotype" w:eastAsia="Cambria" w:hAnsi="Palatino Linotype" w:cs="Times New Roman"/>
        </w:rPr>
        <w:t xml:space="preserve">; los documentos y constancias aquí señalados, </w:t>
      </w:r>
      <w:r w:rsidRPr="00EC22D4">
        <w:rPr>
          <w:rFonts w:ascii="Palatino Linotype" w:eastAsia="Cambria" w:hAnsi="Palatino Linotype" w:cs="Times New Roman"/>
          <w:b/>
        </w:rPr>
        <w:t>podrá conservarlos por medio de los sistemas de digitalización o de información magnética o electrónica o cualquier medio,</w:t>
      </w:r>
      <w:r w:rsidRPr="00EC22D4">
        <w:rPr>
          <w:rFonts w:ascii="Palatino Linotype" w:eastAsia="Cambria" w:hAnsi="Palatino Linotype" w:cs="Times New Roman"/>
        </w:rPr>
        <w:t xml:space="preserve"> las constancias expedidas por el encargado del área de personal de éstas, harán prueba plena. </w:t>
      </w:r>
      <w:r w:rsidRPr="00EC22D4">
        <w:rPr>
          <w:rFonts w:ascii="Palatino Linotype" w:eastAsia="Cambria" w:hAnsi="Palatino Linotype" w:cs="Times New Roman"/>
          <w:b/>
        </w:rPr>
        <w:t xml:space="preserve">El incumplimiento </w:t>
      </w:r>
      <w:r w:rsidRPr="00EC22D4">
        <w:rPr>
          <w:rFonts w:ascii="Palatino Linotype" w:eastAsia="Cambria" w:hAnsi="Palatino Linotype" w:cs="Times New Roman"/>
        </w:rPr>
        <w:t xml:space="preserve">por lo dispuesto, </w:t>
      </w:r>
      <w:r w:rsidRPr="00EC22D4">
        <w:rPr>
          <w:rFonts w:ascii="Palatino Linotype" w:eastAsia="Cambria" w:hAnsi="Palatino Linotype" w:cs="Times New Roman"/>
          <w:b/>
        </w:rPr>
        <w:t>establecerá la presunción de ser ciertos los hechos</w:t>
      </w:r>
      <w:r w:rsidRPr="00EC22D4">
        <w:rPr>
          <w:rFonts w:ascii="Palatino Linotype" w:eastAsia="Cambria" w:hAnsi="Palatino Linotype" w:cs="Times New Roman"/>
        </w:rPr>
        <w:t xml:space="preserve"> que el actor exprese en su demanda, en relación con tales documentos, salvo prueba en contrario.</w:t>
      </w:r>
    </w:p>
    <w:p w:rsidR="009D37AE" w:rsidRPr="00EC22D4" w:rsidRDefault="009D37AE" w:rsidP="00EC22D4">
      <w:pPr>
        <w:pStyle w:val="Prrafodelista"/>
        <w:spacing w:before="240" w:after="240" w:line="360" w:lineRule="auto"/>
        <w:ind w:left="0" w:right="49"/>
        <w:jc w:val="both"/>
        <w:rPr>
          <w:rFonts w:ascii="Palatino Linotype" w:hAnsi="Palatino Linotype"/>
        </w:rPr>
      </w:pPr>
    </w:p>
    <w:p w:rsidR="009D37AE" w:rsidRPr="00EC22D4" w:rsidRDefault="009D37AE" w:rsidP="00EC22D4">
      <w:pPr>
        <w:pStyle w:val="Prrafodelista"/>
        <w:numPr>
          <w:ilvl w:val="0"/>
          <w:numId w:val="1"/>
        </w:numPr>
        <w:spacing w:before="240" w:after="240" w:line="360" w:lineRule="auto"/>
        <w:ind w:left="0" w:right="49" w:firstLine="0"/>
        <w:jc w:val="both"/>
        <w:rPr>
          <w:rFonts w:ascii="Palatino Linotype" w:hAnsi="Palatino Linotype"/>
        </w:rPr>
      </w:pPr>
      <w:r w:rsidRPr="00EC22D4">
        <w:rPr>
          <w:rFonts w:ascii="Palatino Linotype" w:hAnsi="Palatino Linotype"/>
        </w:rPr>
        <w:t xml:space="preserve">De acuerdo, a </w:t>
      </w:r>
      <w:r w:rsidRPr="00EC22D4">
        <w:rPr>
          <w:rFonts w:ascii="Palatino Linotype" w:eastAsia="MS Mincho" w:hAnsi="Palatino Linotype" w:cs="Arial"/>
        </w:rPr>
        <w:t xml:space="preserve">las disposiciones administrativas que rigen a las Entidades Fiscalizables en el Estado de México, se encuentran los </w:t>
      </w:r>
      <w:r w:rsidRPr="00EC22D4">
        <w:rPr>
          <w:rFonts w:ascii="Palatino Linotype" w:eastAsia="MS Mincho" w:hAnsi="Palatino Linotype" w:cs="Arial"/>
          <w:b/>
        </w:rPr>
        <w:t xml:space="preserve">Lineamientos para la integración del Informe Mensual 2019 emitidos </w:t>
      </w:r>
      <w:r w:rsidRPr="00EC22D4">
        <w:rPr>
          <w:rFonts w:ascii="Palatino Linotype" w:eastAsia="MS Mincho" w:hAnsi="Palatino Linotype" w:cs="Arial"/>
        </w:rPr>
        <w:t>por el Órgano Superior de Fiscalización del Estado de México (OSFEM), los cuales representan un h</w:t>
      </w:r>
      <w:r w:rsidRPr="00EC22D4">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EC22D4">
        <w:rPr>
          <w:rFonts w:ascii="Palatino Linotype" w:eastAsia="MS Mincho" w:hAnsi="Palatino Linotype" w:cs="Tahoma"/>
          <w:b/>
        </w:rPr>
        <w:t>Ley Orgánica Municipal, Ley de Ingresos de los Municipios, Presupuesto de Egresos y Manual Único de Contabilidad Gubernamental para las Dependencias y Entidades Públicas del Gobierno y Municipios, todos del Estado de México.</w:t>
      </w:r>
    </w:p>
    <w:p w:rsidR="009D37AE" w:rsidRPr="00EC22D4" w:rsidRDefault="009D37AE" w:rsidP="00EC22D4">
      <w:pPr>
        <w:pStyle w:val="Prrafodelista"/>
        <w:spacing w:before="240" w:after="240" w:line="360" w:lineRule="auto"/>
        <w:ind w:left="0" w:right="49"/>
        <w:jc w:val="both"/>
        <w:rPr>
          <w:rFonts w:ascii="Palatino Linotype" w:eastAsia="MS Mincho" w:hAnsi="Palatino Linotype" w:cs="Arial"/>
        </w:rPr>
      </w:pPr>
    </w:p>
    <w:p w:rsidR="009D37AE" w:rsidRPr="00EC22D4" w:rsidRDefault="00EC22D4" w:rsidP="00EC22D4">
      <w:pPr>
        <w:pStyle w:val="Prrafodelista"/>
        <w:numPr>
          <w:ilvl w:val="0"/>
          <w:numId w:val="1"/>
        </w:numPr>
        <w:spacing w:before="240" w:after="240" w:line="360" w:lineRule="auto"/>
        <w:ind w:left="0" w:right="49" w:firstLine="0"/>
        <w:jc w:val="both"/>
        <w:rPr>
          <w:rFonts w:ascii="Palatino Linotype" w:eastAsia="MS Mincho" w:hAnsi="Palatino Linotype" w:cs="Arial"/>
        </w:rPr>
      </w:pPr>
      <w:r>
        <w:rPr>
          <w:rFonts w:ascii="Palatino Linotype" w:eastAsia="MS Mincho" w:hAnsi="Palatino Linotype" w:cs="Tahoma"/>
          <w:noProof/>
          <w:lang w:val="es-MX" w:eastAsia="es-MX"/>
        </w:rPr>
        <mc:AlternateContent>
          <mc:Choice Requires="wps">
            <w:drawing>
              <wp:anchor distT="0" distB="0" distL="114300" distR="114300" simplePos="0" relativeHeight="251677696" behindDoc="0" locked="0" layoutInCell="1" allowOverlap="1">
                <wp:simplePos x="0" y="0"/>
                <wp:positionH relativeFrom="column">
                  <wp:posOffset>50265</wp:posOffset>
                </wp:positionH>
                <wp:positionV relativeFrom="paragraph">
                  <wp:posOffset>4294285</wp:posOffset>
                </wp:positionV>
                <wp:extent cx="5529600" cy="2368800"/>
                <wp:effectExtent l="19050" t="19050" r="33020" b="31750"/>
                <wp:wrapNone/>
                <wp:docPr id="4" name="Conector recto 4"/>
                <wp:cNvGraphicFramePr/>
                <a:graphic xmlns:a="http://schemas.openxmlformats.org/drawingml/2006/main">
                  <a:graphicData uri="http://schemas.microsoft.com/office/word/2010/wordprocessingShape">
                    <wps:wsp>
                      <wps:cNvCnPr/>
                      <wps:spPr>
                        <a:xfrm>
                          <a:off x="0" y="0"/>
                          <a:ext cx="5529600" cy="2368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346AC" id="Conector recto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95pt,338.15pt" to="439.35pt,5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" strokecolor="#5b9bd5 [3204]" strokeweight="3pt">
                <v:stroke joinstyle="miter"/>
              </v:line>
            </w:pict>
          </mc:Fallback>
        </mc:AlternateContent>
      </w:r>
      <w:r w:rsidR="009D37AE" w:rsidRPr="00EC22D4">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009D37AE" w:rsidRPr="00EC22D4">
        <w:rPr>
          <w:rFonts w:ascii="Palatino Linotype" w:eastAsia="MS Mincho" w:hAnsi="Palatino Linotype" w:cs="Tahoma"/>
          <w:b/>
          <w:i/>
        </w:rPr>
        <w:t>información de nómina</w:t>
      </w:r>
      <w:r w:rsidR="009D37AE" w:rsidRPr="00EC22D4">
        <w:rPr>
          <w:rFonts w:ascii="Palatino Linotype" w:eastAsia="MS Mincho" w:hAnsi="Palatino Linotype" w:cs="Tahoma"/>
        </w:rPr>
        <w:t xml:space="preserve">, el cual, se integra por documentos tales como </w:t>
      </w:r>
      <w:r w:rsidR="009D37AE" w:rsidRPr="00EC22D4">
        <w:rPr>
          <w:rFonts w:ascii="Palatino Linotype" w:eastAsia="MS Mincho" w:hAnsi="Palatino Linotype" w:cs="Tahoma"/>
          <w:b/>
        </w:rPr>
        <w:t xml:space="preserve">4.1 Nómina General del 01 al 15 del mes (Formato </w:t>
      </w:r>
      <w:proofErr w:type="spellStart"/>
      <w:r w:rsidR="009D37AE" w:rsidRPr="00EC22D4">
        <w:rPr>
          <w:rFonts w:ascii="Palatino Linotype" w:eastAsia="MS Mincho" w:hAnsi="Palatino Linotype" w:cs="Tahoma"/>
          <w:b/>
        </w:rPr>
        <w:t>xls</w:t>
      </w:r>
      <w:proofErr w:type="spellEnd"/>
      <w:r w:rsidR="009D37AE" w:rsidRPr="00EC22D4">
        <w:rPr>
          <w:rFonts w:ascii="Palatino Linotype" w:eastAsia="MS Mincho" w:hAnsi="Palatino Linotype" w:cs="Tahoma"/>
          <w:b/>
        </w:rPr>
        <w:t xml:space="preserve">), Nómina General del 16 al 30/31 del mes (Formato </w:t>
      </w:r>
      <w:proofErr w:type="spellStart"/>
      <w:r w:rsidR="009D37AE" w:rsidRPr="00EC22D4">
        <w:rPr>
          <w:rFonts w:ascii="Palatino Linotype" w:eastAsia="MS Mincho" w:hAnsi="Palatino Linotype" w:cs="Tahoma"/>
          <w:b/>
        </w:rPr>
        <w:t>xls</w:t>
      </w:r>
      <w:proofErr w:type="spellEnd"/>
      <w:r w:rsidR="009D37AE" w:rsidRPr="00EC22D4">
        <w:rPr>
          <w:rFonts w:ascii="Palatino Linotype" w:eastAsia="MS Mincho" w:hAnsi="Palatino Linotype" w:cs="Tahoma"/>
          <w:b/>
        </w:rPr>
        <w:t xml:space="preserve">), </w:t>
      </w:r>
      <w:r w:rsidR="009D37AE" w:rsidRPr="00EC22D4">
        <w:rPr>
          <w:rFonts w:ascii="Palatino Linotype" w:eastAsia="MS Mincho" w:hAnsi="Palatino Linotype" w:cs="Tahoma"/>
        </w:rPr>
        <w:t xml:space="preserve">4.3 Reporte de remuneraciones de mandos medios y superiores (Formato </w:t>
      </w:r>
      <w:proofErr w:type="spellStart"/>
      <w:r w:rsidR="009D37AE" w:rsidRPr="00EC22D4">
        <w:rPr>
          <w:rFonts w:ascii="Palatino Linotype" w:eastAsia="MS Mincho" w:hAnsi="Palatino Linotype" w:cs="Tahoma"/>
        </w:rPr>
        <w:t>xls</w:t>
      </w:r>
      <w:proofErr w:type="spellEnd"/>
      <w:r w:rsidR="009D37AE" w:rsidRPr="00EC22D4">
        <w:rPr>
          <w:rFonts w:ascii="Palatino Linotype" w:eastAsia="MS Mincho" w:hAnsi="Palatino Linotype" w:cs="Tahoma"/>
        </w:rPr>
        <w:t xml:space="preserve">), 4.4 Reporte de Altas y Bajas del Personal (Formato </w:t>
      </w:r>
      <w:proofErr w:type="spellStart"/>
      <w:r w:rsidR="009D37AE" w:rsidRPr="00EC22D4">
        <w:rPr>
          <w:rFonts w:ascii="Palatino Linotype" w:eastAsia="MS Mincho" w:hAnsi="Palatino Linotype" w:cs="Tahoma"/>
        </w:rPr>
        <w:t>xls</w:t>
      </w:r>
      <w:proofErr w:type="spellEnd"/>
      <w:r w:rsidR="009D37AE" w:rsidRPr="00EC22D4">
        <w:rPr>
          <w:rFonts w:ascii="Palatino Linotype" w:eastAsia="MS Mincho" w:hAnsi="Palatino Linotype" w:cs="Tahoma"/>
        </w:rPr>
        <w:t xml:space="preserve">), 4.5 Comprobantes fiscales digitales por internet por concepto de Honorarios (CFDI), </w:t>
      </w:r>
      <w:r w:rsidR="009D37AE" w:rsidRPr="00EC22D4">
        <w:rPr>
          <w:rFonts w:ascii="Palatino Linotype" w:eastAsia="MS Mincho" w:hAnsi="Palatino Linotype" w:cs="Tahoma"/>
          <w:b/>
        </w:rPr>
        <w:t xml:space="preserve">4.6 Comprobantes Fiscales por Internet por concepto de nómina del 01 al 15 del mes (CFDI), 4.7 Comprobantes Fiscales Digitales por Internet por concepto de nómina del 16 al 30/31 del mes (CFDI), </w:t>
      </w:r>
      <w:r w:rsidR="009D37AE" w:rsidRPr="00EC22D4">
        <w:rPr>
          <w:rFonts w:ascii="Palatino Linotype" w:eastAsia="MS Mincho" w:hAnsi="Palatino Linotype" w:cs="Tahoma"/>
        </w:rPr>
        <w:t xml:space="preserve">4.8 Tabulador de sueldos (Formato </w:t>
      </w:r>
      <w:proofErr w:type="spellStart"/>
      <w:r w:rsidR="009D37AE" w:rsidRPr="00EC22D4">
        <w:rPr>
          <w:rFonts w:ascii="Palatino Linotype" w:eastAsia="MS Mincho" w:hAnsi="Palatino Linotype" w:cs="Tahoma"/>
        </w:rPr>
        <w:t>xls</w:t>
      </w:r>
      <w:proofErr w:type="spellEnd"/>
      <w:r w:rsidR="009D37AE" w:rsidRPr="00EC22D4">
        <w:rPr>
          <w:rFonts w:ascii="Palatino Linotype" w:eastAsia="MS Mincho" w:hAnsi="Palatino Linotype" w:cs="Tahoma"/>
        </w:rPr>
        <w:t xml:space="preserve">) y Dispersión de Nómina (Formato </w:t>
      </w:r>
      <w:proofErr w:type="spellStart"/>
      <w:r w:rsidR="009D37AE" w:rsidRPr="00EC22D4">
        <w:rPr>
          <w:rFonts w:ascii="Palatino Linotype" w:eastAsia="MS Mincho" w:hAnsi="Palatino Linotype" w:cs="Tahoma"/>
        </w:rPr>
        <w:t>xls</w:t>
      </w:r>
      <w:proofErr w:type="spellEnd"/>
      <w:r w:rsidR="009D37AE" w:rsidRPr="00EC22D4">
        <w:rPr>
          <w:rFonts w:ascii="Palatino Linotype" w:eastAsia="MS Mincho" w:hAnsi="Palatino Linotype" w:cs="Tahoma"/>
        </w:rPr>
        <w:t>).</w:t>
      </w:r>
      <w:r w:rsidR="009D37AE" w:rsidRPr="00EC22D4">
        <w:rPr>
          <w:rFonts w:ascii="Palatino Linotype" w:eastAsia="MS Mincho" w:hAnsi="Palatino Linotype" w:cs="Tahoma"/>
          <w:b/>
          <w:i/>
        </w:rPr>
        <w:t xml:space="preserve"> </w:t>
      </w:r>
      <w:r w:rsidR="009D37AE" w:rsidRPr="00EC22D4">
        <w:rPr>
          <w:rFonts w:ascii="Palatino Linotype" w:eastAsia="MS Mincho" w:hAnsi="Palatino Linotype" w:cs="Tahoma"/>
        </w:rPr>
        <w:t>Lo anterior se aprecia con mayor detalle en la siguiente impresión de pantalla que se hace de los Lineamientos de referencia.</w:t>
      </w:r>
    </w:p>
    <w:p w:rsidR="009D37AE" w:rsidRPr="00EC22D4" w:rsidRDefault="009D37AE" w:rsidP="00EC22D4">
      <w:pPr>
        <w:pStyle w:val="Prrafodelista"/>
        <w:spacing w:line="360" w:lineRule="auto"/>
        <w:rPr>
          <w:rFonts w:ascii="Palatino Linotype" w:eastAsia="MS Mincho" w:hAnsi="Palatino Linotype" w:cs="Arial"/>
        </w:rPr>
      </w:pPr>
    </w:p>
    <w:p w:rsidR="009D37AE" w:rsidRPr="00EC22D4" w:rsidRDefault="009D37AE" w:rsidP="00EC22D4">
      <w:pPr>
        <w:pStyle w:val="Prrafodelista"/>
        <w:tabs>
          <w:tab w:val="left" w:pos="851"/>
        </w:tabs>
        <w:spacing w:before="240" w:after="240" w:line="360" w:lineRule="auto"/>
        <w:ind w:left="426" w:right="-93"/>
        <w:jc w:val="both"/>
        <w:rPr>
          <w:rFonts w:ascii="Palatino Linotype" w:eastAsia="MS Mincho" w:hAnsi="Palatino Linotype" w:cs="Arial"/>
        </w:rPr>
      </w:pPr>
    </w:p>
    <w:p w:rsidR="009D37AE" w:rsidRPr="00EC22D4" w:rsidRDefault="009D37AE" w:rsidP="00EC22D4">
      <w:pPr>
        <w:tabs>
          <w:tab w:val="left" w:pos="851"/>
        </w:tabs>
        <w:spacing w:before="240" w:after="240" w:line="360" w:lineRule="auto"/>
        <w:ind w:right="-93"/>
        <w:jc w:val="center"/>
        <w:rPr>
          <w:rFonts w:ascii="Palatino Linotype" w:eastAsia="MS Mincho" w:hAnsi="Palatino Linotype" w:cs="Arial"/>
        </w:rPr>
      </w:pPr>
      <w:r w:rsidRPr="00EC22D4">
        <w:rPr>
          <w:rFonts w:ascii="Palatino Linotype" w:eastAsia="MS Mincho" w:hAnsi="Palatino Linotype"/>
          <w:noProof/>
          <w:lang w:val="es-MX" w:eastAsia="es-MX"/>
        </w:rPr>
        <w:drawing>
          <wp:inline distT="0" distB="0" distL="0" distR="0" wp14:anchorId="28EDECF9" wp14:editId="4AA8D91C">
            <wp:extent cx="4914900" cy="3580536"/>
            <wp:effectExtent l="19050" t="19050" r="19050" b="203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042" cy="3595210"/>
                    </a:xfrm>
                    <a:prstGeom prst="rect">
                      <a:avLst/>
                    </a:prstGeom>
                    <a:noFill/>
                    <a:ln>
                      <a:solidFill>
                        <a:schemeClr val="tx1"/>
                      </a:solidFill>
                    </a:ln>
                  </pic:spPr>
                </pic:pic>
              </a:graphicData>
            </a:graphic>
          </wp:inline>
        </w:drawing>
      </w:r>
    </w:p>
    <w:p w:rsidR="009D37AE" w:rsidRPr="00EC22D4" w:rsidRDefault="009D37AE" w:rsidP="00EC22D4">
      <w:pPr>
        <w:pStyle w:val="Prrafodelista"/>
        <w:numPr>
          <w:ilvl w:val="0"/>
          <w:numId w:val="1"/>
        </w:numPr>
        <w:spacing w:line="360" w:lineRule="auto"/>
        <w:ind w:left="0" w:right="-93" w:firstLine="0"/>
        <w:jc w:val="both"/>
        <w:rPr>
          <w:rFonts w:ascii="Palatino Linotype" w:eastAsia="MS Mincho" w:hAnsi="Palatino Linotype" w:cs="Arial"/>
          <w:i/>
        </w:rPr>
      </w:pPr>
      <w:r w:rsidRPr="00EC22D4">
        <w:rPr>
          <w:rFonts w:ascii="Palatino Linotype" w:eastAsia="MS Mincho" w:hAnsi="Palatino Linotype" w:cs="Tahoma"/>
        </w:rPr>
        <w:t>Por</w:t>
      </w:r>
      <w:r w:rsidRPr="00EC22D4">
        <w:rPr>
          <w:rFonts w:ascii="Palatino Linotype" w:eastAsia="MS Mincho" w:hAnsi="Palatino Linotype" w:cs="Arial"/>
        </w:rPr>
        <w:t xml:space="preserve"> otro lado, los </w:t>
      </w:r>
      <w:r w:rsidRPr="00EC22D4">
        <w:rPr>
          <w:rFonts w:ascii="Palatino Linotype" w:eastAsia="MS Mincho" w:hAnsi="Palatino Linotype" w:cs="Arial"/>
          <w:b/>
        </w:rPr>
        <w:t>“recibos de nómina”;</w:t>
      </w:r>
      <w:r w:rsidRPr="00EC22D4">
        <w:rPr>
          <w:rFonts w:ascii="Palatino Linotype" w:eastAsia="MS Mincho" w:hAnsi="Palatino Linotype" w:cs="Arial"/>
        </w:rPr>
        <w:t xml:space="preserve"> según el “</w:t>
      </w:r>
      <w:r w:rsidRPr="00EC22D4">
        <w:rPr>
          <w:rFonts w:ascii="Palatino Linotype" w:eastAsia="MS Mincho" w:hAnsi="Palatino Linotype" w:cs="Arial"/>
          <w:b/>
        </w:rPr>
        <w:t>Glosario de Términos Usuales de Finanzas Públicas”</w:t>
      </w:r>
      <w:r w:rsidRPr="00EC22D4">
        <w:rPr>
          <w:rFonts w:ascii="Palatino Linotype" w:eastAsia="MS Mincho" w:hAnsi="Palatino Linotype" w:cs="Arial"/>
        </w:rPr>
        <w:t xml:space="preserve"> del Centro de Estudios de las Finanzas Públicas de la Cámara de Diputados del H. Congreso de la Unión, el “Glosario de Términos Administrativos”, emitido por el Instituto Nacional de Administración Pública, A.C. y el “</w:t>
      </w:r>
      <w:r w:rsidRPr="00EC22D4">
        <w:rPr>
          <w:rFonts w:ascii="Palatino Linotype" w:eastAsia="MS Mincho" w:hAnsi="Palatino Linotype" w:cs="Arial"/>
          <w:b/>
        </w:rPr>
        <w:t xml:space="preserve">Glosario de Términos para el Proceso de Planeación, Programación, </w:t>
      </w:r>
      <w:proofErr w:type="spellStart"/>
      <w:r w:rsidRPr="00EC22D4">
        <w:rPr>
          <w:rFonts w:ascii="Palatino Linotype" w:eastAsia="MS Mincho" w:hAnsi="Palatino Linotype" w:cs="Arial"/>
          <w:b/>
        </w:rPr>
        <w:t>Presupuestación</w:t>
      </w:r>
      <w:proofErr w:type="spellEnd"/>
      <w:r w:rsidRPr="00EC22D4">
        <w:rPr>
          <w:rFonts w:ascii="Palatino Linotype" w:eastAsia="MS Mincho" w:hAnsi="Palatino Linotype" w:cs="Arial"/>
          <w:b/>
        </w:rPr>
        <w:t xml:space="preserve"> y Evaluación en la Administración Pública”</w:t>
      </w:r>
      <w:r w:rsidRPr="00EC22D4">
        <w:rPr>
          <w:rFonts w:ascii="Palatino Linotype" w:eastAsia="MS Mincho" w:hAnsi="Palatino Linotype" w:cs="Arial"/>
        </w:rPr>
        <w:t>, elaborado por el Grupo de Trabajo de Sistemas de Información Financiera, Contable y Presupuestal de la Comisión Permanente de Funcionarios Fiscales del Instituto para el Desarrollo Técnico de las Haciendas Públicas (INDETEC) como:</w:t>
      </w:r>
    </w:p>
    <w:p w:rsidR="009D37AE" w:rsidRPr="00EC22D4" w:rsidRDefault="009D37AE" w:rsidP="00EC22D4">
      <w:pPr>
        <w:spacing w:line="360" w:lineRule="auto"/>
        <w:ind w:left="851" w:right="616"/>
        <w:contextualSpacing/>
        <w:jc w:val="both"/>
        <w:rPr>
          <w:rFonts w:ascii="Palatino Linotype" w:eastAsia="MS Mincho" w:hAnsi="Palatino Linotype" w:cs="Arial"/>
          <w:i/>
        </w:rPr>
      </w:pPr>
      <w:r w:rsidRPr="00EC22D4">
        <w:rPr>
          <w:rFonts w:ascii="Palatino Linotype" w:eastAsia="MS Mincho" w:hAnsi="Palatino Linotype" w:cs="Arial"/>
        </w:rPr>
        <w:t>“</w:t>
      </w:r>
      <w:r w:rsidRPr="00EC22D4">
        <w:rPr>
          <w:rFonts w:ascii="Palatino Linotype" w:eastAsia="MS Mincho" w:hAnsi="Palatino Linotype" w:cs="Arial"/>
          <w:b/>
          <w:i/>
        </w:rPr>
        <w:t xml:space="preserve">CONTRARECIBO </w:t>
      </w:r>
      <w:r w:rsidRPr="00EC22D4">
        <w:rPr>
          <w:rFonts w:ascii="Palatino Linotype" w:eastAsia="MS Mincho" w:hAnsi="Palatino Linotype" w:cs="Arial"/>
          <w:i/>
        </w:rPr>
        <w:t>Documento emitido para su entrega al beneficiario de un pago, contiene datos como nombre, folio, concepto, importe en número y letra, fecha probable de pago y requisitos para el cobro correspondiente.”</w:t>
      </w:r>
    </w:p>
    <w:p w:rsidR="009D37AE" w:rsidRPr="00EC22D4" w:rsidRDefault="009D37AE" w:rsidP="00EC22D4">
      <w:pPr>
        <w:spacing w:line="360" w:lineRule="auto"/>
        <w:ind w:left="851"/>
        <w:contextualSpacing/>
        <w:jc w:val="both"/>
        <w:rPr>
          <w:rFonts w:ascii="Palatino Linotype" w:eastAsia="MS Mincho" w:hAnsi="Palatino Linotype" w:cs="Arial"/>
          <w:i/>
        </w:rPr>
      </w:pPr>
    </w:p>
    <w:p w:rsidR="009D37AE" w:rsidRPr="00EC22D4" w:rsidRDefault="009D37AE" w:rsidP="00EC22D4">
      <w:pPr>
        <w:spacing w:line="360" w:lineRule="auto"/>
        <w:ind w:left="851" w:right="616"/>
        <w:contextualSpacing/>
        <w:jc w:val="both"/>
        <w:rPr>
          <w:rFonts w:ascii="Palatino Linotype" w:eastAsia="MS Mincho" w:hAnsi="Palatino Linotype" w:cs="Arial"/>
          <w:i/>
        </w:rPr>
      </w:pPr>
      <w:r w:rsidRPr="00EC22D4">
        <w:rPr>
          <w:rFonts w:ascii="Palatino Linotype" w:eastAsia="MS Mincho" w:hAnsi="Palatino Linotype" w:cs="Arial"/>
          <w:b/>
          <w:i/>
        </w:rPr>
        <w:t>“NÓMINA</w:t>
      </w:r>
      <w:r w:rsidRPr="00EC22D4">
        <w:rPr>
          <w:rFonts w:ascii="Palatino Linotype" w:eastAsia="MS Mincho"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D37AE" w:rsidRPr="00EC22D4" w:rsidRDefault="009D37AE" w:rsidP="00EC22D4">
      <w:pPr>
        <w:spacing w:line="360" w:lineRule="auto"/>
        <w:contextualSpacing/>
        <w:jc w:val="both"/>
        <w:rPr>
          <w:rFonts w:ascii="Palatino Linotype" w:eastAsia="MS Mincho" w:hAnsi="Palatino Linotype" w:cs="Arial"/>
        </w:rPr>
      </w:pPr>
    </w:p>
    <w:p w:rsidR="002636AE" w:rsidRPr="00A30700" w:rsidRDefault="0000464E" w:rsidP="00A30700">
      <w:pPr>
        <w:pStyle w:val="Prrafodelista"/>
        <w:numPr>
          <w:ilvl w:val="0"/>
          <w:numId w:val="1"/>
        </w:numPr>
        <w:spacing w:line="360" w:lineRule="auto"/>
        <w:ind w:left="0" w:right="-93" w:firstLine="0"/>
        <w:jc w:val="both"/>
        <w:rPr>
          <w:rFonts w:ascii="Palatino Linotype" w:hAnsi="Palatino Linotype"/>
        </w:rPr>
      </w:pPr>
      <w:r w:rsidRPr="00EC22D4">
        <w:rPr>
          <w:rFonts w:ascii="Palatino Linotype" w:hAnsi="Palatino Linotype" w:cs="Arial"/>
          <w:color w:val="000000" w:themeColor="text1"/>
        </w:rPr>
        <w:t xml:space="preserve">De modo tal </w:t>
      </w:r>
      <w:r w:rsidRPr="00A30700">
        <w:rPr>
          <w:rFonts w:ascii="Palatino Linotype" w:hAnsi="Palatino Linotype" w:cs="Arial"/>
          <w:color w:val="000000" w:themeColor="text1"/>
        </w:rPr>
        <w:t>que también, resulta dable ordenar dicho soporte documental</w:t>
      </w:r>
      <w:r w:rsidR="00575C4F" w:rsidRPr="00A30700">
        <w:rPr>
          <w:rFonts w:ascii="Palatino Linotype" w:hAnsi="Palatino Linotype" w:cs="Arial"/>
          <w:color w:val="000000" w:themeColor="text1"/>
        </w:rPr>
        <w:t>;</w:t>
      </w:r>
      <w:r w:rsidRPr="00A30700">
        <w:rPr>
          <w:rFonts w:ascii="Palatino Linotype" w:hAnsi="Palatino Linotype" w:cs="Arial"/>
          <w:color w:val="000000" w:themeColor="text1"/>
        </w:rPr>
        <w:t xml:space="preserve"> </w:t>
      </w:r>
      <w:r w:rsidR="00575C4F" w:rsidRPr="00A30700">
        <w:rPr>
          <w:rFonts w:ascii="Palatino Linotype" w:hAnsi="Palatino Linotype" w:cs="Arial"/>
          <w:color w:val="000000" w:themeColor="text1"/>
        </w:rPr>
        <w:t xml:space="preserve">por otro lado, </w:t>
      </w:r>
      <w:r w:rsidR="002636AE" w:rsidRPr="00A30700">
        <w:rPr>
          <w:rFonts w:ascii="Palatino Linotype" w:hAnsi="Palatino Linotype" w:cs="Arial"/>
          <w:color w:val="000000" w:themeColor="text1"/>
        </w:rPr>
        <w:t>y dada su propia y especial naturaleza la misma deberá versar en versión pública emitiendo el acuerdo del Comité de Transparencia respectivo, poniéndolo a disposición del hoy recurrente en términos del Considerando Sexto de esta resolución.</w:t>
      </w:r>
    </w:p>
    <w:p w:rsidR="002636AE" w:rsidRPr="00EC22D4" w:rsidRDefault="002636AE" w:rsidP="00EC22D4">
      <w:pPr>
        <w:pStyle w:val="Prrafodelista"/>
        <w:spacing w:line="360" w:lineRule="auto"/>
        <w:ind w:left="0" w:right="-93"/>
        <w:jc w:val="both"/>
        <w:rPr>
          <w:rFonts w:ascii="Palatino Linotype" w:hAnsi="Palatino Linotype"/>
        </w:rPr>
      </w:pPr>
    </w:p>
    <w:p w:rsidR="003C47D9" w:rsidRPr="00EC22D4" w:rsidRDefault="002636AE" w:rsidP="00EC22D4">
      <w:pPr>
        <w:pStyle w:val="Prrafodelista"/>
        <w:numPr>
          <w:ilvl w:val="0"/>
          <w:numId w:val="1"/>
        </w:numPr>
        <w:spacing w:line="360" w:lineRule="auto"/>
        <w:ind w:left="0" w:right="-93" w:firstLine="0"/>
        <w:jc w:val="both"/>
        <w:rPr>
          <w:rFonts w:ascii="Palatino Linotype" w:hAnsi="Palatino Linotype"/>
          <w:lang w:val="es-ES"/>
        </w:rPr>
      </w:pPr>
      <w:r w:rsidRPr="00EC22D4">
        <w:rPr>
          <w:rFonts w:ascii="Palatino Linotype" w:hAnsi="Palatino Linotype" w:cs="Arial"/>
          <w:color w:val="000000" w:themeColor="text1"/>
        </w:rPr>
        <w:t xml:space="preserve">Lo anterior, </w:t>
      </w:r>
      <w:r w:rsidRPr="00EC22D4">
        <w:rPr>
          <w:rFonts w:ascii="Palatino Linotype" w:hAnsi="Palatino Linotype"/>
          <w:lang w:val="es-ES"/>
        </w:rPr>
        <w:t xml:space="preserve">en virtud que el Ayuntamiento </w:t>
      </w:r>
      <w:proofErr w:type="spellStart"/>
      <w:r w:rsidRPr="00EC22D4">
        <w:rPr>
          <w:rFonts w:ascii="Palatino Linotype" w:hAnsi="Palatino Linotype"/>
          <w:lang w:val="es-ES"/>
        </w:rPr>
        <w:t>Tequixquiac</w:t>
      </w:r>
      <w:proofErr w:type="spellEnd"/>
      <w:r w:rsidRPr="00EC22D4">
        <w:rPr>
          <w:rFonts w:ascii="Palatino Linotype" w:hAnsi="Palatino Linotype"/>
          <w:lang w:val="es-ES"/>
        </w:rPr>
        <w:t xml:space="preserve"> tiene l</w:t>
      </w:r>
      <w:r w:rsidR="003C47D9" w:rsidRPr="00EC22D4">
        <w:rPr>
          <w:rFonts w:ascii="Palatino Linotype" w:hAnsi="Palatino Linotype"/>
          <w:lang w:val="es-ES"/>
        </w:rPr>
        <w:t>a obligación de documentar todos los actos que se lleven a cabo en el ejercicio de sus funcione</w:t>
      </w:r>
      <w:r w:rsidRPr="00EC22D4">
        <w:rPr>
          <w:rFonts w:ascii="Palatino Linotype" w:hAnsi="Palatino Linotype"/>
          <w:lang w:val="es-ES"/>
        </w:rPr>
        <w:t>s, atribuciones y competencias; asimismo se ve</w:t>
      </w:r>
      <w:r w:rsidR="003C47D9" w:rsidRPr="00EC22D4">
        <w:rPr>
          <w:rFonts w:ascii="Palatino Linotype" w:hAnsi="Palatino Linotype"/>
          <w:lang w:val="es-ES"/>
        </w:rPr>
        <w:t xml:space="preserve"> impuesto</w:t>
      </w:r>
      <w:r w:rsidRPr="00EC22D4">
        <w:rPr>
          <w:rFonts w:ascii="Palatino Linotype" w:hAnsi="Palatino Linotype"/>
          <w:lang w:val="es-ES"/>
        </w:rPr>
        <w:t xml:space="preserve"> a</w:t>
      </w:r>
      <w:r w:rsidR="003C47D9" w:rsidRPr="00EC22D4">
        <w:rPr>
          <w:rFonts w:ascii="Palatino Linotype" w:hAnsi="Palatino Linotype"/>
          <w:lang w:val="es-ES"/>
        </w:rPr>
        <w:t xml:space="preserve"> la obligación de hacer pública toda aquella información que se encuentre en su posesión en estricto apego a los principios de eficacia</w:t>
      </w:r>
      <w:r w:rsidR="003C47D9" w:rsidRPr="00EC22D4">
        <w:rPr>
          <w:rStyle w:val="Refdenotaalpie"/>
          <w:rFonts w:ascii="Palatino Linotype" w:hAnsi="Palatino Linotype"/>
          <w:lang w:val="es-ES"/>
        </w:rPr>
        <w:footnoteReference w:id="2"/>
      </w:r>
      <w:r w:rsidR="003C47D9" w:rsidRPr="00EC22D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C47D9" w:rsidRPr="00EC22D4" w:rsidRDefault="003C47D9" w:rsidP="00EC22D4">
      <w:pPr>
        <w:pStyle w:val="Prrafodelista"/>
        <w:tabs>
          <w:tab w:val="left" w:pos="851"/>
        </w:tabs>
        <w:spacing w:line="360" w:lineRule="auto"/>
        <w:ind w:left="0" w:right="49"/>
        <w:jc w:val="both"/>
        <w:rPr>
          <w:rFonts w:ascii="Palatino Linotype" w:hAnsi="Palatino Linotype"/>
          <w:lang w:val="es-ES"/>
        </w:rPr>
      </w:pPr>
    </w:p>
    <w:p w:rsidR="003C47D9" w:rsidRPr="00EC22D4" w:rsidRDefault="003C47D9" w:rsidP="00EC22D4">
      <w:pPr>
        <w:pStyle w:val="Prrafodelista"/>
        <w:numPr>
          <w:ilvl w:val="0"/>
          <w:numId w:val="1"/>
        </w:numPr>
        <w:spacing w:line="360" w:lineRule="auto"/>
        <w:ind w:left="0" w:right="-93" w:firstLine="0"/>
        <w:jc w:val="both"/>
        <w:rPr>
          <w:rFonts w:ascii="Palatino Linotype" w:hAnsi="Palatino Linotype"/>
          <w:lang w:val="es-ES"/>
        </w:rPr>
      </w:pPr>
      <w:r w:rsidRPr="00EC22D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C47D9" w:rsidRPr="00EC22D4" w:rsidRDefault="003C47D9" w:rsidP="00EC22D4">
      <w:pPr>
        <w:pStyle w:val="Prrafodelista"/>
        <w:spacing w:line="360" w:lineRule="auto"/>
        <w:rPr>
          <w:rFonts w:ascii="Palatino Linotype" w:hAnsi="Palatino Linotype"/>
          <w:lang w:val="es-ES"/>
        </w:rPr>
      </w:pPr>
    </w:p>
    <w:p w:rsidR="003C47D9" w:rsidRPr="00EC22D4" w:rsidRDefault="003C47D9" w:rsidP="00EC22D4">
      <w:pPr>
        <w:pStyle w:val="Prrafodelista"/>
        <w:tabs>
          <w:tab w:val="left" w:pos="851"/>
        </w:tabs>
        <w:spacing w:line="360" w:lineRule="auto"/>
        <w:ind w:left="567" w:right="567"/>
        <w:jc w:val="both"/>
        <w:rPr>
          <w:rFonts w:ascii="Palatino Linotype" w:hAnsi="Palatino Linotype"/>
          <w:i/>
        </w:rPr>
      </w:pPr>
      <w:r w:rsidRPr="00EC22D4">
        <w:rPr>
          <w:rFonts w:ascii="Palatino Linotype" w:hAnsi="Palatino Linotype"/>
          <w:b/>
          <w:i/>
        </w:rPr>
        <w:t>ACCESO A LA INFORMACIÓN. IMPLICACIÓN DEL PRINCIPIO DE MÁXIMA PUBLICIDAD EN EL DERECHO FUNDAMENTAL RELATIVO.</w:t>
      </w:r>
      <w:r w:rsidRPr="00EC22D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C47D9" w:rsidRPr="00EC22D4" w:rsidRDefault="003C47D9" w:rsidP="00EC22D4">
      <w:pPr>
        <w:pStyle w:val="Prrafodelista"/>
        <w:tabs>
          <w:tab w:val="left" w:pos="851"/>
        </w:tabs>
        <w:spacing w:line="360" w:lineRule="auto"/>
        <w:ind w:left="567" w:right="567"/>
        <w:jc w:val="both"/>
        <w:rPr>
          <w:rFonts w:ascii="Palatino Linotype" w:hAnsi="Palatino Linotype"/>
          <w:i/>
        </w:rPr>
      </w:pPr>
    </w:p>
    <w:p w:rsidR="003C47D9" w:rsidRPr="00EC22D4" w:rsidRDefault="003C47D9" w:rsidP="00EC22D4">
      <w:pPr>
        <w:pStyle w:val="Prrafodelista"/>
        <w:tabs>
          <w:tab w:val="left" w:pos="851"/>
        </w:tabs>
        <w:spacing w:line="360" w:lineRule="auto"/>
        <w:ind w:left="567" w:right="567"/>
        <w:jc w:val="both"/>
        <w:rPr>
          <w:rFonts w:ascii="Palatino Linotype" w:hAnsi="Palatino Linotype"/>
          <w:i/>
        </w:rPr>
      </w:pPr>
      <w:r w:rsidRPr="00EC22D4">
        <w:rPr>
          <w:rFonts w:ascii="Palatino Linotype" w:hAnsi="Palatino Linotype"/>
          <w:i/>
        </w:rPr>
        <w:t xml:space="preserve">CUARTO TRIBUNAL COLEGIADO EN MATERIA ADMINISTRATIVA DEL PRIMER CIRCUITO. </w:t>
      </w:r>
    </w:p>
    <w:p w:rsidR="003C47D9" w:rsidRPr="00EC22D4" w:rsidRDefault="003C47D9" w:rsidP="00EC22D4">
      <w:pPr>
        <w:pStyle w:val="Prrafodelista"/>
        <w:tabs>
          <w:tab w:val="left" w:pos="851"/>
        </w:tabs>
        <w:spacing w:line="360" w:lineRule="auto"/>
        <w:ind w:left="567" w:right="567"/>
        <w:jc w:val="both"/>
        <w:rPr>
          <w:rFonts w:ascii="Palatino Linotype" w:hAnsi="Palatino Linotype"/>
          <w:i/>
        </w:rPr>
      </w:pPr>
    </w:p>
    <w:p w:rsidR="003C47D9" w:rsidRPr="00EC22D4" w:rsidRDefault="003C47D9" w:rsidP="00EC22D4">
      <w:pPr>
        <w:pStyle w:val="Prrafodelista"/>
        <w:tabs>
          <w:tab w:val="left" w:pos="851"/>
        </w:tabs>
        <w:spacing w:line="360" w:lineRule="auto"/>
        <w:ind w:left="567" w:right="567"/>
        <w:jc w:val="both"/>
        <w:rPr>
          <w:rFonts w:ascii="Palatino Linotype" w:hAnsi="Palatino Linotype"/>
          <w:i/>
        </w:rPr>
      </w:pPr>
      <w:r w:rsidRPr="00EC22D4">
        <w:rPr>
          <w:rFonts w:ascii="Palatino Linotype" w:hAnsi="Palatino Linotype"/>
          <w:i/>
        </w:rPr>
        <w:t xml:space="preserve">Amparo en revisión 257/2012. Ruth Corona Muñoz. 6 de diciembre de 2012. Unanimidad de votos. Ponente: Jean Claude </w:t>
      </w:r>
      <w:proofErr w:type="spellStart"/>
      <w:r w:rsidRPr="00EC22D4">
        <w:rPr>
          <w:rFonts w:ascii="Palatino Linotype" w:hAnsi="Palatino Linotype"/>
          <w:i/>
        </w:rPr>
        <w:t>Tron</w:t>
      </w:r>
      <w:proofErr w:type="spellEnd"/>
      <w:r w:rsidRPr="00EC22D4">
        <w:rPr>
          <w:rFonts w:ascii="Palatino Linotype" w:hAnsi="Palatino Linotype"/>
          <w:i/>
        </w:rPr>
        <w:t xml:space="preserve"> </w:t>
      </w:r>
      <w:proofErr w:type="spellStart"/>
      <w:r w:rsidRPr="00EC22D4">
        <w:rPr>
          <w:rFonts w:ascii="Palatino Linotype" w:hAnsi="Palatino Linotype"/>
          <w:i/>
        </w:rPr>
        <w:t>Petit</w:t>
      </w:r>
      <w:proofErr w:type="spellEnd"/>
      <w:r w:rsidRPr="00EC22D4">
        <w:rPr>
          <w:rFonts w:ascii="Palatino Linotype" w:hAnsi="Palatino Linotype"/>
          <w:i/>
        </w:rPr>
        <w:t>. Secretaria: Mayra Susana Martínez López.</w:t>
      </w:r>
    </w:p>
    <w:p w:rsidR="002636AE" w:rsidRPr="00EC22D4" w:rsidRDefault="002636AE" w:rsidP="00EC22D4">
      <w:pPr>
        <w:pStyle w:val="Prrafodelista"/>
        <w:tabs>
          <w:tab w:val="left" w:pos="851"/>
        </w:tabs>
        <w:spacing w:line="360" w:lineRule="auto"/>
        <w:ind w:left="567" w:right="567"/>
        <w:jc w:val="both"/>
        <w:rPr>
          <w:rFonts w:ascii="Palatino Linotype" w:hAnsi="Palatino Linotype"/>
          <w:i/>
          <w:lang w:val="es-ES"/>
        </w:rPr>
      </w:pPr>
    </w:p>
    <w:p w:rsidR="003C47D9" w:rsidRPr="00EC22D4" w:rsidRDefault="002636AE" w:rsidP="00EC22D4">
      <w:pPr>
        <w:pStyle w:val="Prrafodelista"/>
        <w:numPr>
          <w:ilvl w:val="0"/>
          <w:numId w:val="1"/>
        </w:numPr>
        <w:spacing w:line="360" w:lineRule="auto"/>
        <w:ind w:left="0" w:right="-93" w:firstLine="0"/>
        <w:jc w:val="both"/>
        <w:rPr>
          <w:rFonts w:ascii="Palatino Linotype" w:hAnsi="Palatino Linotype" w:cs="Arial"/>
          <w:lang w:val="es-ES"/>
        </w:rPr>
      </w:pPr>
      <w:r w:rsidRPr="00EC22D4">
        <w:rPr>
          <w:rFonts w:ascii="Palatino Linotype" w:hAnsi="Palatino Linotype"/>
          <w:lang w:val="es-ES"/>
        </w:rPr>
        <w:t>Luego entonces, e</w:t>
      </w:r>
      <w:r w:rsidR="003C47D9" w:rsidRPr="00EC22D4">
        <w:rPr>
          <w:rFonts w:ascii="Palatino Linotype" w:hAnsi="Palatino Linotype"/>
          <w:lang w:val="es-ES"/>
        </w:rPr>
        <w:t>l derecho de acceso a la información encuentra su materia elemental en los documentos, y la Ley de Transparencia local  nos brinda el siguiente concepto, para darnos un mejor panorama:</w:t>
      </w:r>
    </w:p>
    <w:p w:rsidR="002636AE" w:rsidRPr="00EC22D4" w:rsidRDefault="002636AE" w:rsidP="00EC22D4">
      <w:pPr>
        <w:pStyle w:val="Prrafodelista"/>
        <w:spacing w:line="360" w:lineRule="auto"/>
        <w:ind w:left="0" w:right="-93"/>
        <w:jc w:val="both"/>
        <w:rPr>
          <w:rFonts w:ascii="Palatino Linotype" w:hAnsi="Palatino Linotype" w:cs="Arial"/>
          <w:lang w:val="es-ES"/>
        </w:rPr>
      </w:pPr>
    </w:p>
    <w:p w:rsidR="003C47D9" w:rsidRPr="00EC22D4" w:rsidRDefault="003C47D9" w:rsidP="00EC22D4">
      <w:pPr>
        <w:autoSpaceDE w:val="0"/>
        <w:autoSpaceDN w:val="0"/>
        <w:adjustRightInd w:val="0"/>
        <w:spacing w:line="360" w:lineRule="auto"/>
        <w:ind w:left="567" w:right="567"/>
        <w:jc w:val="both"/>
        <w:rPr>
          <w:rFonts w:ascii="Palatino Linotype" w:hAnsi="Palatino Linotype"/>
          <w:i/>
          <w:lang w:val="es-ES"/>
        </w:rPr>
      </w:pPr>
      <w:r w:rsidRPr="00EC22D4">
        <w:rPr>
          <w:rFonts w:ascii="Palatino Linotype" w:eastAsiaTheme="minorHAnsi" w:hAnsi="Palatino Linotype" w:cs="Bookman Old Style,Bold"/>
          <w:b/>
          <w:bCs/>
          <w:i/>
          <w:lang w:val="es-MX" w:eastAsia="en-US"/>
        </w:rPr>
        <w:t xml:space="preserve">XI. Documento: </w:t>
      </w:r>
      <w:r w:rsidRPr="00EC22D4">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EC22D4">
        <w:rPr>
          <w:rFonts w:ascii="Palatino Linotype" w:eastAsiaTheme="minorHAnsi" w:hAnsi="Palatino Linotype" w:cs="Bookman Old Style"/>
          <w:b/>
          <w:i/>
          <w:lang w:val="es-MX" w:eastAsia="en-US"/>
        </w:rPr>
        <w:t>cualquier otro registro</w:t>
      </w:r>
      <w:r w:rsidRPr="00EC22D4">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47D9" w:rsidRPr="00EC22D4" w:rsidRDefault="003C47D9" w:rsidP="00EC22D4">
      <w:pPr>
        <w:pStyle w:val="Prrafodelista"/>
        <w:tabs>
          <w:tab w:val="left" w:pos="851"/>
        </w:tabs>
        <w:spacing w:line="360" w:lineRule="auto"/>
        <w:ind w:left="0" w:right="49"/>
        <w:jc w:val="both"/>
        <w:rPr>
          <w:rFonts w:ascii="Palatino Linotype" w:hAnsi="Palatino Linotype"/>
          <w:lang w:val="es-ES"/>
        </w:rPr>
      </w:pPr>
    </w:p>
    <w:p w:rsidR="002636AE" w:rsidRPr="00EC22D4" w:rsidRDefault="003C47D9" w:rsidP="00EC22D4">
      <w:pPr>
        <w:pStyle w:val="Prrafodelista"/>
        <w:numPr>
          <w:ilvl w:val="0"/>
          <w:numId w:val="1"/>
        </w:numPr>
        <w:spacing w:line="360" w:lineRule="auto"/>
        <w:ind w:left="0" w:right="-93" w:firstLine="0"/>
        <w:jc w:val="both"/>
        <w:rPr>
          <w:rFonts w:ascii="Palatino Linotype" w:hAnsi="Palatino Linotype" w:cs="Arial"/>
        </w:rPr>
      </w:pPr>
      <w:r w:rsidRPr="00EC22D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w:t>
      </w:r>
      <w:r w:rsidR="00964D97" w:rsidRPr="00EC22D4">
        <w:rPr>
          <w:rFonts w:ascii="Palatino Linotype" w:hAnsi="Palatino Linotype"/>
          <w:lang w:val="es-ES"/>
        </w:rPr>
        <w:t>s particulares que la soliciten, de modo tal que resulta dable ordenarse su entrega de ser el caso en versión pública</w:t>
      </w:r>
      <w:r w:rsidR="002636AE" w:rsidRPr="00EC22D4">
        <w:rPr>
          <w:rFonts w:ascii="Palatino Linotype" w:hAnsi="Palatino Linotype"/>
          <w:lang w:val="es-ES"/>
        </w:rPr>
        <w:t>.</w:t>
      </w:r>
    </w:p>
    <w:p w:rsidR="00FB5FDE" w:rsidRPr="00EC22D4" w:rsidRDefault="00FB5FDE" w:rsidP="00EC22D4">
      <w:pPr>
        <w:pStyle w:val="Prrafodelista"/>
        <w:tabs>
          <w:tab w:val="left" w:pos="0"/>
        </w:tabs>
        <w:spacing w:line="360" w:lineRule="auto"/>
        <w:ind w:left="0" w:right="49"/>
        <w:jc w:val="both"/>
        <w:rPr>
          <w:rFonts w:ascii="Palatino Linotype" w:hAnsi="Palatino Linotype" w:cs="Arial"/>
        </w:rPr>
      </w:pPr>
    </w:p>
    <w:p w:rsidR="00C0028F" w:rsidRPr="00EC22D4" w:rsidRDefault="002F3A74" w:rsidP="00EC22D4">
      <w:pPr>
        <w:pStyle w:val="Ttulo1"/>
        <w:spacing w:line="360" w:lineRule="auto"/>
        <w:rPr>
          <w:rFonts w:ascii="Palatino Linotype" w:eastAsia="MS Gothic" w:hAnsi="Palatino Linotype"/>
          <w:b/>
          <w:color w:val="000000" w:themeColor="text1"/>
          <w:sz w:val="24"/>
          <w:szCs w:val="24"/>
        </w:rPr>
      </w:pPr>
      <w:bookmarkStart w:id="22" w:name="_Toc487739452"/>
      <w:bookmarkStart w:id="23" w:name="_Toc517895117"/>
      <w:bookmarkStart w:id="24" w:name="_Toc517977029"/>
      <w:bookmarkStart w:id="25" w:name="_Toc534888068"/>
      <w:bookmarkStart w:id="26" w:name="_Toc536627357"/>
      <w:bookmarkStart w:id="27" w:name="_Toc21009184"/>
      <w:r w:rsidRPr="00EC22D4">
        <w:rPr>
          <w:rFonts w:ascii="Palatino Linotype" w:eastAsia="MS Gothic" w:hAnsi="Palatino Linotype"/>
          <w:b/>
          <w:color w:val="000000" w:themeColor="text1"/>
          <w:sz w:val="24"/>
          <w:szCs w:val="24"/>
        </w:rPr>
        <w:t>QUIN</w:t>
      </w:r>
      <w:r w:rsidR="00C0028F" w:rsidRPr="00EC22D4">
        <w:rPr>
          <w:rFonts w:ascii="Palatino Linotype" w:eastAsia="MS Gothic" w:hAnsi="Palatino Linotype"/>
          <w:b/>
          <w:color w:val="000000" w:themeColor="text1"/>
          <w:sz w:val="24"/>
          <w:szCs w:val="24"/>
        </w:rPr>
        <w:t>TO. De la vista al órgano de control interno</w:t>
      </w:r>
      <w:bookmarkEnd w:id="22"/>
      <w:r w:rsidR="00C0028F" w:rsidRPr="00EC22D4">
        <w:rPr>
          <w:rFonts w:ascii="Palatino Linotype" w:eastAsia="MS Gothic" w:hAnsi="Palatino Linotype"/>
          <w:b/>
          <w:color w:val="000000" w:themeColor="text1"/>
          <w:sz w:val="24"/>
          <w:szCs w:val="24"/>
        </w:rPr>
        <w:t>.</w:t>
      </w:r>
      <w:bookmarkEnd w:id="23"/>
      <w:bookmarkEnd w:id="24"/>
      <w:bookmarkEnd w:id="25"/>
      <w:bookmarkEnd w:id="26"/>
      <w:bookmarkEnd w:id="27"/>
    </w:p>
    <w:p w:rsidR="00C0028F" w:rsidRPr="00EC22D4" w:rsidRDefault="00C0028F" w:rsidP="00EC22D4">
      <w:pPr>
        <w:spacing w:line="360" w:lineRule="auto"/>
        <w:rPr>
          <w:rFonts w:ascii="Palatino Linotype" w:hAnsi="Palatino Linotype"/>
          <w:lang w:eastAsia="en-US"/>
        </w:rPr>
      </w:pPr>
    </w:p>
    <w:bookmarkEnd w:id="13"/>
    <w:bookmarkEnd w:id="14"/>
    <w:bookmarkEnd w:id="15"/>
    <w:p w:rsidR="001D29E8" w:rsidRDefault="003A5DD5" w:rsidP="00EC22D4">
      <w:pPr>
        <w:pStyle w:val="Prrafodelista"/>
        <w:numPr>
          <w:ilvl w:val="0"/>
          <w:numId w:val="1"/>
        </w:numPr>
        <w:spacing w:line="360" w:lineRule="auto"/>
        <w:ind w:left="0" w:right="-93" w:firstLine="0"/>
        <w:jc w:val="both"/>
        <w:rPr>
          <w:rFonts w:ascii="Palatino Linotype" w:eastAsia="Times New Roman" w:hAnsi="Palatino Linotype"/>
        </w:rPr>
      </w:pPr>
      <w:r w:rsidRPr="00EC22D4">
        <w:rPr>
          <w:rFonts w:ascii="Palatino Linotype" w:eastAsia="Times New Roman" w:hAnsi="Palatino Linotype"/>
        </w:rPr>
        <w:t>Por otro lado</w:t>
      </w:r>
      <w:r w:rsidR="001D29E8" w:rsidRPr="00EC22D4">
        <w:rPr>
          <w:rFonts w:ascii="Palatino Linotype" w:eastAsia="Times New Roman" w:hAnsi="Palatino Linotype"/>
        </w:rPr>
        <w:t xml:space="preserve">, es necesario resaltar que los recursos de revisión previsto en la Ley de la materia no es el medio para investigar y en su caso, sancionar a servidores públicos </w:t>
      </w:r>
      <w:r w:rsidR="001D29E8" w:rsidRPr="00EC22D4">
        <w:rPr>
          <w:rFonts w:ascii="Palatino Linotype" w:eastAsia="Times New Roman" w:hAnsi="Palatino Linotype"/>
          <w:b/>
          <w:u w:val="single"/>
        </w:rPr>
        <w:t>por la omisión de la entrega de información pública</w:t>
      </w:r>
      <w:r w:rsidR="001D29E8" w:rsidRPr="00EC22D4">
        <w:rPr>
          <w:rFonts w:ascii="Palatino Linotype" w:eastAsia="Times New Roman" w:hAnsi="Palatino Linotype"/>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001D29E8" w:rsidRPr="00EC22D4">
        <w:rPr>
          <w:rFonts w:ascii="Palatino Linotype" w:eastAsia="Times New Roman" w:hAnsi="Palatino Linotype"/>
          <w:b/>
        </w:rPr>
        <w:t>SUJETO OBLIGADO</w:t>
      </w:r>
      <w:r w:rsidR="001D29E8" w:rsidRPr="00EC22D4">
        <w:rPr>
          <w:rFonts w:ascii="Palatino Linotype" w:eastAsia="Times New Roman" w:hAnsi="Palatino Linotype"/>
        </w:rPr>
        <w:t>.</w:t>
      </w:r>
    </w:p>
    <w:p w:rsidR="00CE5881" w:rsidRPr="00EC22D4" w:rsidRDefault="00CE5881" w:rsidP="00CE5881">
      <w:pPr>
        <w:pStyle w:val="Prrafodelista"/>
        <w:spacing w:line="360" w:lineRule="auto"/>
        <w:ind w:left="0" w:right="-93"/>
        <w:jc w:val="both"/>
        <w:rPr>
          <w:rFonts w:ascii="Palatino Linotype" w:eastAsia="Times New Roman" w:hAnsi="Palatino Linotype"/>
        </w:rPr>
      </w:pPr>
    </w:p>
    <w:p w:rsidR="001D29E8" w:rsidRPr="00EC22D4" w:rsidRDefault="001D29E8" w:rsidP="00EC22D4">
      <w:pPr>
        <w:pStyle w:val="Prrafodelista"/>
        <w:numPr>
          <w:ilvl w:val="0"/>
          <w:numId w:val="1"/>
        </w:numPr>
        <w:spacing w:line="360" w:lineRule="auto"/>
        <w:ind w:left="0" w:right="-93" w:firstLine="0"/>
        <w:jc w:val="both"/>
        <w:rPr>
          <w:rFonts w:ascii="Palatino Linotype" w:eastAsia="Times New Roman" w:hAnsi="Palatino Linotype"/>
        </w:rPr>
      </w:pPr>
      <w:r w:rsidRPr="00EC22D4">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1D29E8" w:rsidRPr="00EC22D4" w:rsidRDefault="001D29E8" w:rsidP="00EC22D4">
      <w:pPr>
        <w:spacing w:before="240" w:after="240" w:line="360" w:lineRule="auto"/>
        <w:contextualSpacing/>
        <w:jc w:val="both"/>
        <w:rPr>
          <w:rFonts w:ascii="Palatino Linotype" w:eastAsia="Times New Roman" w:hAnsi="Palatino Linotype"/>
        </w:rPr>
      </w:pP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Artículo 36. El Instituto tendrá, en el ámbito de su competencia, las siguientes atribuciones:</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 xml:space="preserve">X. Hacer del conocimiento del órgano de control interno o equivalente de cada Sujeto Obligado las infracciones a esta Ley; </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w:t>
      </w:r>
    </w:p>
    <w:p w:rsidR="001D29E8" w:rsidRPr="00EC22D4" w:rsidRDefault="001D29E8" w:rsidP="00EC22D4">
      <w:pPr>
        <w:spacing w:before="240" w:after="240" w:line="360" w:lineRule="auto"/>
        <w:ind w:left="426"/>
        <w:contextualSpacing/>
        <w:jc w:val="both"/>
        <w:rPr>
          <w:rFonts w:ascii="Palatino Linotype" w:eastAsia="MS Mincho" w:hAnsi="Palatino Linotype" w:cs="Arial"/>
        </w:rPr>
      </w:pPr>
    </w:p>
    <w:p w:rsidR="001D29E8" w:rsidRPr="00EC22D4" w:rsidRDefault="001D29E8" w:rsidP="00EC22D4">
      <w:pPr>
        <w:pStyle w:val="Prrafodelista"/>
        <w:numPr>
          <w:ilvl w:val="0"/>
          <w:numId w:val="1"/>
        </w:numPr>
        <w:spacing w:line="360" w:lineRule="auto"/>
        <w:ind w:left="0" w:right="-93" w:firstLine="0"/>
        <w:jc w:val="both"/>
        <w:rPr>
          <w:rFonts w:ascii="Palatino Linotype" w:eastAsia="MS Mincho" w:hAnsi="Palatino Linotype" w:cs="Arial"/>
        </w:rPr>
      </w:pPr>
      <w:r w:rsidRPr="00EC22D4">
        <w:rPr>
          <w:rFonts w:ascii="Palatino Linotype" w:eastAsia="Times New Roman" w:hAnsi="Palatino Linotype"/>
        </w:rPr>
        <w:t xml:space="preserve">Asimismo, este Pleno hará del conocimiento del órgano de control de este Instituto de las infracciones en que el </w:t>
      </w:r>
      <w:r w:rsidRPr="00EC22D4">
        <w:rPr>
          <w:rFonts w:ascii="Palatino Linotype" w:eastAsia="Times New Roman" w:hAnsi="Palatino Linotype"/>
          <w:b/>
        </w:rPr>
        <w:t>SUJETO OBLIGADO</w:t>
      </w:r>
      <w:r w:rsidRPr="00EC22D4">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EC22D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1D29E8" w:rsidRPr="00EC22D4" w:rsidRDefault="001D29E8" w:rsidP="00EC22D4">
      <w:pPr>
        <w:spacing w:before="240" w:after="240" w:line="360" w:lineRule="auto"/>
        <w:ind w:left="426"/>
        <w:contextualSpacing/>
        <w:jc w:val="both"/>
        <w:rPr>
          <w:rFonts w:ascii="Palatino Linotype" w:eastAsia="MS Mincho" w:hAnsi="Palatino Linotype" w:cs="Arial"/>
        </w:rPr>
      </w:pP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b/>
          <w:i/>
        </w:rPr>
        <w:t>I. Cualquier acto u omisión que provoque la suspensión o deficiencia en la atención de las solicitudes de información</w:t>
      </w:r>
      <w:r w:rsidRPr="00EC22D4">
        <w:rPr>
          <w:rFonts w:ascii="Palatino Linotype" w:eastAsia="Times New Roman" w:hAnsi="Palatino Linotype" w:cs="Times New Roman"/>
          <w:i/>
        </w:rPr>
        <w:t>;</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b/>
          <w:i/>
        </w:rPr>
        <w:t>II. La falta de respuesta a las solicitudes de información en los plazos señalados en la normatividad aplicable</w:t>
      </w:r>
      <w:r w:rsidRPr="00EC22D4">
        <w:rPr>
          <w:rFonts w:ascii="Palatino Linotype" w:eastAsia="Times New Roman" w:hAnsi="Palatino Linotype" w:cs="Times New Roman"/>
          <w:i/>
        </w:rPr>
        <w:t>;</w:t>
      </w:r>
    </w:p>
    <w:p w:rsidR="001D29E8" w:rsidRPr="00EC22D4" w:rsidRDefault="001D29E8" w:rsidP="00EC22D4">
      <w:pPr>
        <w:spacing w:line="360" w:lineRule="auto"/>
        <w:ind w:left="567" w:right="567"/>
        <w:contextualSpacing/>
        <w:jc w:val="both"/>
        <w:rPr>
          <w:rFonts w:ascii="Palatino Linotype" w:eastAsia="Times New Roman" w:hAnsi="Palatino Linotype" w:cs="Times New Roman"/>
          <w:i/>
        </w:rPr>
      </w:pPr>
      <w:r w:rsidRPr="00EC22D4">
        <w:rPr>
          <w:rFonts w:ascii="Palatino Linotype" w:eastAsia="Times New Roman" w:hAnsi="Palatino Linotype" w:cs="Times New Roman"/>
          <w:i/>
        </w:rPr>
        <w:t>…”</w:t>
      </w:r>
    </w:p>
    <w:p w:rsidR="001D29E8" w:rsidRPr="00EC22D4" w:rsidRDefault="001D29E8" w:rsidP="00EC22D4">
      <w:pPr>
        <w:spacing w:line="360" w:lineRule="auto"/>
        <w:ind w:left="567" w:right="567"/>
        <w:contextualSpacing/>
        <w:jc w:val="both"/>
        <w:rPr>
          <w:rFonts w:ascii="Palatino Linotype" w:hAnsi="Palatino Linotype"/>
          <w:i/>
        </w:rPr>
      </w:pPr>
      <w:r w:rsidRPr="00EC22D4">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C22D4">
        <w:rPr>
          <w:rFonts w:ascii="Palatino Linotype" w:hAnsi="Palatino Linotype"/>
          <w:i/>
        </w:rPr>
        <w:t xml:space="preserve"> (De Acuerdo al Decreto N°207, Publicado el 30 de mayo de 2017)</w:t>
      </w:r>
    </w:p>
    <w:p w:rsidR="001D29E8" w:rsidRPr="00EC22D4" w:rsidRDefault="001D29E8" w:rsidP="00EC22D4">
      <w:pPr>
        <w:spacing w:line="360" w:lineRule="auto"/>
        <w:ind w:left="567" w:right="567"/>
        <w:contextualSpacing/>
        <w:jc w:val="both"/>
        <w:rPr>
          <w:rFonts w:ascii="Palatino Linotype" w:hAnsi="Palatino Linotype"/>
          <w:i/>
        </w:rPr>
      </w:pPr>
      <w:r w:rsidRPr="00EC22D4">
        <w:rPr>
          <w:rFonts w:ascii="Palatino Linotype" w:hAnsi="Palatino Linotype"/>
          <w:i/>
        </w:rPr>
        <w:t>…”</w:t>
      </w:r>
    </w:p>
    <w:p w:rsidR="00422BBC" w:rsidRPr="00EC22D4" w:rsidRDefault="00422BBC" w:rsidP="00EC22D4">
      <w:pPr>
        <w:pStyle w:val="Ttulo3"/>
        <w:spacing w:line="360" w:lineRule="auto"/>
        <w:rPr>
          <w:rFonts w:ascii="Palatino Linotype" w:hAnsi="Palatino Linotype"/>
          <w:b/>
          <w:color w:val="000000" w:themeColor="text1"/>
        </w:rPr>
      </w:pPr>
      <w:bookmarkStart w:id="28" w:name="_Toc8758944"/>
    </w:p>
    <w:p w:rsidR="003A5DD5" w:rsidRPr="00EC22D4" w:rsidRDefault="003A5DD5" w:rsidP="00EC22D4">
      <w:pPr>
        <w:pStyle w:val="Ttulo3"/>
        <w:spacing w:line="360" w:lineRule="auto"/>
        <w:rPr>
          <w:rFonts w:ascii="Palatino Linotype" w:hAnsi="Palatino Linotype"/>
          <w:b/>
          <w:color w:val="000000" w:themeColor="text1"/>
        </w:rPr>
      </w:pPr>
      <w:bookmarkStart w:id="29" w:name="_Toc21009185"/>
      <w:r w:rsidRPr="00EC22D4">
        <w:rPr>
          <w:rFonts w:ascii="Palatino Linotype" w:hAnsi="Palatino Linotype"/>
          <w:b/>
          <w:color w:val="000000" w:themeColor="text1"/>
        </w:rPr>
        <w:t>SEXTO. De la Versión Pública</w:t>
      </w:r>
      <w:bookmarkEnd w:id="28"/>
      <w:bookmarkEnd w:id="29"/>
      <w:r w:rsidRPr="00EC22D4">
        <w:rPr>
          <w:rFonts w:ascii="Palatino Linotype" w:hAnsi="Palatino Linotype"/>
          <w:b/>
          <w:color w:val="000000" w:themeColor="text1"/>
        </w:rPr>
        <w:t xml:space="preserve"> </w:t>
      </w:r>
    </w:p>
    <w:p w:rsidR="003A5DD5" w:rsidRPr="00EC22D4" w:rsidRDefault="003A5DD5" w:rsidP="00EC22D4">
      <w:pPr>
        <w:spacing w:line="360" w:lineRule="auto"/>
        <w:rPr>
          <w:rFonts w:ascii="Palatino Linotype" w:hAnsi="Palatino Linotype"/>
          <w:lang w:val="es-MX" w:eastAsia="en-U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lang w:val="es-ES"/>
        </w:rPr>
        <w:t xml:space="preserve">Como ya se ha señalado en el considerando anterior el </w:t>
      </w:r>
      <w:r w:rsidRPr="00EC22D4">
        <w:rPr>
          <w:rFonts w:ascii="Palatino Linotype" w:hAnsi="Palatino Linotype" w:cs="Palatino Linotype"/>
          <w:b/>
          <w:bCs/>
          <w:lang w:val="es-ES"/>
        </w:rPr>
        <w:t>SUJETO OBLIGADO,</w:t>
      </w:r>
      <w:r w:rsidRPr="00EC22D4">
        <w:rPr>
          <w:rFonts w:ascii="Palatino Linotype" w:hAnsi="Palatino Linotype" w:cs="Palatino Linotype"/>
          <w:lang w:val="es-ES"/>
        </w:rPr>
        <w:t xml:space="preserve"> deberá entregar recibos de nómina de todos los servidores públicos. Documentos en los que, de ser el caso que contengan datos personales que deban de ser clasificados como confidenciales, se protegerán mediante una versión pública</w:t>
      </w:r>
      <w:r w:rsidRPr="00EC22D4">
        <w:rPr>
          <w:rFonts w:ascii="Palatino Linotype" w:hAnsi="Palatino Linotype" w:cs="Palatino Linotype"/>
          <w:color w:val="222222"/>
          <w:lang w:val="es-ES"/>
        </w:rPr>
        <w:t xml:space="preserve"> que deje a la vista los datos que ofrezcan la información requerida. </w:t>
      </w:r>
    </w:p>
    <w:p w:rsidR="003A5DD5" w:rsidRPr="00EC22D4" w:rsidRDefault="003A5DD5" w:rsidP="00EC22D4">
      <w:pPr>
        <w:spacing w:line="360" w:lineRule="auto"/>
        <w:ind w:right="49"/>
        <w:jc w:val="both"/>
        <w:rPr>
          <w:rFonts w:ascii="Palatino Linotype" w:hAnsi="Palatino Linotype" w:cs="Palatino Linotype"/>
        </w:rPr>
      </w:pPr>
    </w:p>
    <w:p w:rsidR="003A5DD5" w:rsidRPr="00EC22D4" w:rsidRDefault="003A5DD5" w:rsidP="00EC22D4">
      <w:pPr>
        <w:spacing w:line="360" w:lineRule="auto"/>
        <w:ind w:left="720" w:hanging="360"/>
        <w:rPr>
          <w:rFonts w:ascii="Palatino Linotype" w:hAnsi="Palatino Linotype" w:cs="Palatino Linotype"/>
          <w:b/>
          <w:bCs/>
        </w:rPr>
      </w:pPr>
      <w:r w:rsidRPr="00EC22D4">
        <w:rPr>
          <w:rFonts w:ascii="Palatino Linotype" w:hAnsi="Palatino Linotype" w:cs="Symbol"/>
        </w:rPr>
        <w:t></w:t>
      </w:r>
      <w:r w:rsidRPr="00EC22D4">
        <w:rPr>
          <w:rFonts w:ascii="Palatino Linotype" w:hAnsi="Palatino Linotype" w:cs="Symbol"/>
        </w:rPr>
        <w:tab/>
      </w:r>
      <w:r w:rsidRPr="00EC22D4">
        <w:rPr>
          <w:rFonts w:ascii="Palatino Linotype" w:hAnsi="Palatino Linotype" w:cs="Palatino Linotype"/>
          <w:b/>
          <w:bCs/>
        </w:rPr>
        <w:t>Requisitos previos.</w:t>
      </w:r>
    </w:p>
    <w:p w:rsidR="003A5DD5" w:rsidRPr="00EC22D4" w:rsidRDefault="003A5DD5" w:rsidP="00EC22D4">
      <w:pPr>
        <w:spacing w:after="160" w:line="360" w:lineRule="auto"/>
        <w:ind w:right="50"/>
        <w:jc w:val="both"/>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A5DD5" w:rsidRPr="00EC22D4" w:rsidRDefault="003A5DD5" w:rsidP="00EC22D4">
      <w:pPr>
        <w:spacing w:after="160" w:line="360" w:lineRule="auto"/>
        <w:ind w:right="50"/>
        <w:jc w:val="both"/>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A5DD5" w:rsidRPr="00EC22D4" w:rsidRDefault="003A5DD5" w:rsidP="00EC22D4">
      <w:pPr>
        <w:spacing w:line="360" w:lineRule="auto"/>
        <w:ind w:left="720"/>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A5DD5" w:rsidRPr="00EC22D4" w:rsidRDefault="003A5DD5" w:rsidP="00EC22D4">
      <w:pPr>
        <w:spacing w:line="360" w:lineRule="auto"/>
        <w:ind w:left="720"/>
        <w:rPr>
          <w:rFonts w:ascii="Palatino Linotype" w:hAnsi="Palatino Linotype" w:cs="Palatino Linotype"/>
          <w:lang w:val="es-ES"/>
        </w:rPr>
      </w:pPr>
    </w:p>
    <w:p w:rsidR="003A5DD5" w:rsidRPr="00EC22D4" w:rsidRDefault="003A5DD5" w:rsidP="00EC22D4">
      <w:pPr>
        <w:spacing w:after="160" w:line="360" w:lineRule="auto"/>
        <w:ind w:right="50"/>
        <w:jc w:val="both"/>
        <w:rPr>
          <w:rFonts w:ascii="Palatino Linotype" w:hAnsi="Palatino Linotype" w:cs="Palatino Linotype"/>
          <w:lang w:val="es-ES"/>
        </w:rPr>
      </w:pPr>
    </w:p>
    <w:p w:rsidR="003A5DD5" w:rsidRPr="00CE5881" w:rsidRDefault="003A5DD5" w:rsidP="00CE5881">
      <w:pPr>
        <w:pStyle w:val="Prrafodelista"/>
        <w:numPr>
          <w:ilvl w:val="0"/>
          <w:numId w:val="30"/>
        </w:numPr>
        <w:spacing w:line="360" w:lineRule="auto"/>
        <w:rPr>
          <w:rFonts w:ascii="Palatino Linotype" w:hAnsi="Palatino Linotype" w:cs="Palatino Linotype"/>
          <w:b/>
          <w:bCs/>
        </w:rPr>
      </w:pPr>
      <w:r w:rsidRPr="00CE5881">
        <w:rPr>
          <w:rFonts w:ascii="Palatino Linotype" w:hAnsi="Palatino Linotype" w:cs="Palatino Linotype"/>
          <w:b/>
          <w:bCs/>
        </w:rPr>
        <w:t>Supuesto de clasificación.</w:t>
      </w:r>
    </w:p>
    <w:p w:rsidR="00CE5881" w:rsidRPr="00CE5881" w:rsidRDefault="00CE5881" w:rsidP="00CE5881">
      <w:pPr>
        <w:spacing w:line="360" w:lineRule="auto"/>
        <w:ind w:left="720" w:hanging="360"/>
        <w:rPr>
          <w:rFonts w:ascii="Palatino Linotype" w:hAnsi="Palatino Linotype" w:cs="Palatino Linotype"/>
          <w:b/>
          <w:bC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3A5DD5" w:rsidRPr="00EC22D4" w:rsidRDefault="003A5DD5" w:rsidP="00EC22D4">
      <w:pPr>
        <w:spacing w:after="160" w:line="360" w:lineRule="auto"/>
        <w:ind w:right="50"/>
        <w:jc w:val="both"/>
        <w:rPr>
          <w:rFonts w:ascii="Palatino Linotype" w:hAnsi="Palatino Linotype" w:cs="Palatino Linotype"/>
          <w:lang w:val="es-ES"/>
        </w:rPr>
      </w:pPr>
    </w:p>
    <w:p w:rsidR="003A5DD5" w:rsidRPr="00EC22D4" w:rsidRDefault="003A5DD5" w:rsidP="00EC22D4">
      <w:pPr>
        <w:spacing w:after="160" w:line="360" w:lineRule="auto"/>
        <w:ind w:left="567" w:right="567"/>
        <w:jc w:val="both"/>
        <w:rPr>
          <w:rFonts w:ascii="Palatino Linotype" w:hAnsi="Palatino Linotype" w:cs="Palatino Linotype"/>
          <w:i/>
          <w:iCs/>
        </w:rPr>
      </w:pPr>
      <w:r w:rsidRPr="00EC22D4">
        <w:rPr>
          <w:rFonts w:ascii="Palatino Linotype" w:hAnsi="Palatino Linotype" w:cs="Palatino Linotype"/>
          <w:b/>
          <w:bCs/>
          <w:i/>
          <w:iCs/>
        </w:rPr>
        <w:t xml:space="preserve">Artículo 3. </w:t>
      </w:r>
      <w:r w:rsidRPr="00EC22D4">
        <w:rPr>
          <w:rFonts w:ascii="Palatino Linotype" w:hAnsi="Palatino Linotype" w:cs="Palatino Linotype"/>
          <w:i/>
          <w:iCs/>
        </w:rPr>
        <w:t>Para los efectos de la presente Ley se entenderá por:</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 xml:space="preserve"> (…)</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IX. Datos personales: La información concerniente a una persona, identificada o identificable según lo dispuesto por la Ley de Protección de Datos Personales del Estado de México;</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XX. Información clasificada: Aquella considerada por la presente Ley como reservada o confidencial;</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XLV. Versión pública: Documento en el que se elimine, suprime o borra la información clasificada como reservada o confidencial para permitir su acceso.</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Artículo 91. El acceso a la información pública será restringido excepcionalmente, cuando ésta sea clasificada como reservada o confidencial.</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Artículo 143. Para los efectos de esta Ley se considera información confidencial, la clasificada como tal, de manera permanente, por su naturaleza, cuando:</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 xml:space="preserve">I. Se refiera a la información privada y los datos personales concernientes a una persona física o </w:t>
      </w:r>
      <w:proofErr w:type="gramStart"/>
      <w:r w:rsidRPr="00EC22D4">
        <w:rPr>
          <w:rFonts w:ascii="Palatino Linotype" w:hAnsi="Palatino Linotype" w:cs="Palatino Linotype"/>
          <w:i/>
          <w:iCs/>
          <w:lang w:val="es-ES"/>
        </w:rPr>
        <w:t>jurídico</w:t>
      </w:r>
      <w:proofErr w:type="gramEnd"/>
      <w:r w:rsidRPr="00EC22D4">
        <w:rPr>
          <w:rFonts w:ascii="Palatino Linotype" w:hAnsi="Palatino Linotype" w:cs="Palatino Linotype"/>
          <w:i/>
          <w:iCs/>
          <w:lang w:val="es-ES"/>
        </w:rPr>
        <w:t xml:space="preserve"> colectiva identificada o identificable;</w:t>
      </w:r>
    </w:p>
    <w:p w:rsidR="003A5DD5" w:rsidRPr="00EC22D4" w:rsidRDefault="003A5DD5" w:rsidP="00EC22D4">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La información confidencial no estará sujeta a temporalidad alguna y sólo podrán tener acceso a ella los titulares de la misma, sus representantes y los servidores públicos facultados para ello.</w:t>
      </w:r>
    </w:p>
    <w:p w:rsidR="00CE5881" w:rsidRPr="00EC22D4" w:rsidRDefault="003A5DD5" w:rsidP="00CE5881">
      <w:pPr>
        <w:spacing w:after="160" w:line="360" w:lineRule="auto"/>
        <w:ind w:left="567" w:right="567"/>
        <w:jc w:val="both"/>
        <w:rPr>
          <w:rFonts w:ascii="Palatino Linotype" w:hAnsi="Palatino Linotype" w:cs="Palatino Linotype"/>
          <w:i/>
          <w:iCs/>
          <w:lang w:val="es-ES"/>
        </w:rPr>
      </w:pPr>
      <w:r w:rsidRPr="00EC22D4">
        <w:rPr>
          <w:rFonts w:ascii="Palatino Linotype" w:hAnsi="Palatino Linotype" w:cs="Palatino Linotype"/>
          <w:i/>
          <w:iCs/>
          <w:lang w:val="es-ES"/>
        </w:rPr>
        <w:t>No se considerará confidencial la información que se encuentre en los registros públicos o en fuentes de acceso público, ni tampoco la que sea considerada por la presente ley como información pública.</w:t>
      </w: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lang w:val="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A5DD5" w:rsidRPr="00EC22D4" w:rsidRDefault="003A5DD5" w:rsidP="00EC22D4">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lang w:val="es-ES"/>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3A5DD5" w:rsidRPr="00EC22D4" w:rsidRDefault="003A5DD5" w:rsidP="00EC22D4">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lang w:val="es-ES"/>
        </w:rPr>
        <w:t>Una vez hecho lo anterior, se remite la información al Titular de la Unidad de Transparencia, con el acuerdo de clasificación correspondiente, para que sea sometido al conocimiento del Comité de Transparencia.</w:t>
      </w:r>
    </w:p>
    <w:p w:rsidR="003A5DD5" w:rsidRPr="00EC22D4" w:rsidRDefault="003A5DD5" w:rsidP="00EC22D4">
      <w:pPr>
        <w:spacing w:line="360" w:lineRule="auto"/>
        <w:ind w:left="720"/>
        <w:rPr>
          <w:rFonts w:ascii="Palatino Linotype" w:hAnsi="Palatino Linotype" w:cs="Palatino Linotype"/>
          <w:lang w:val="es-ES"/>
        </w:rPr>
      </w:pPr>
    </w:p>
    <w:p w:rsidR="003A5DD5" w:rsidRPr="00CE5881" w:rsidRDefault="003A5DD5" w:rsidP="00CE5881">
      <w:pPr>
        <w:pStyle w:val="Prrafodelista"/>
        <w:numPr>
          <w:ilvl w:val="0"/>
          <w:numId w:val="30"/>
        </w:numPr>
        <w:spacing w:line="360" w:lineRule="auto"/>
        <w:rPr>
          <w:rFonts w:ascii="Palatino Linotype" w:hAnsi="Palatino Linotype" w:cs="Palatino Linotype"/>
          <w:b/>
          <w:bCs/>
        </w:rPr>
      </w:pPr>
      <w:r w:rsidRPr="00CE5881">
        <w:rPr>
          <w:rFonts w:ascii="Palatino Linotype" w:hAnsi="Palatino Linotype" w:cs="Palatino Linotype"/>
          <w:b/>
          <w:bCs/>
        </w:rPr>
        <w:t>La intervención del Comité de Transparencia.</w:t>
      </w:r>
    </w:p>
    <w:p w:rsidR="003A5DD5" w:rsidRPr="00EC22D4" w:rsidRDefault="003A5DD5" w:rsidP="00EC22D4">
      <w:pPr>
        <w:spacing w:line="360" w:lineRule="auto"/>
        <w:rPr>
          <w:rFonts w:ascii="Palatino Linotype" w:hAnsi="Palatino Linotype" w:cs="Calibri"/>
        </w:rPr>
      </w:pPr>
    </w:p>
    <w:p w:rsidR="003A5DD5" w:rsidRPr="00EC22D4" w:rsidRDefault="003A5DD5" w:rsidP="00EC22D4">
      <w:pPr>
        <w:pStyle w:val="Ttulo3"/>
        <w:numPr>
          <w:ilvl w:val="0"/>
          <w:numId w:val="29"/>
        </w:numPr>
        <w:spacing w:line="360" w:lineRule="auto"/>
        <w:rPr>
          <w:rFonts w:ascii="Palatino Linotype" w:hAnsi="Palatino Linotype"/>
          <w:b/>
          <w:color w:val="000000" w:themeColor="text1"/>
        </w:rPr>
      </w:pPr>
      <w:bookmarkStart w:id="30" w:name="_Toc8758945"/>
      <w:bookmarkStart w:id="31" w:name="_Toc21009186"/>
      <w:r w:rsidRPr="00EC22D4">
        <w:rPr>
          <w:rFonts w:ascii="Palatino Linotype" w:hAnsi="Palatino Linotype"/>
          <w:b/>
          <w:color w:val="000000" w:themeColor="text1"/>
        </w:rPr>
        <w:t>Formalidades para emitir el acuerdo de clasificación.</w:t>
      </w:r>
      <w:bookmarkEnd w:id="30"/>
      <w:bookmarkEnd w:id="31"/>
    </w:p>
    <w:p w:rsidR="003A5DD5" w:rsidRPr="00EC22D4" w:rsidRDefault="003A5DD5" w:rsidP="00EC22D4">
      <w:pPr>
        <w:spacing w:line="360" w:lineRule="auto"/>
        <w:rPr>
          <w:rFonts w:ascii="Palatino Linotype" w:hAnsi="Palatino Linotype" w:cs="Palatino Linotype"/>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A5DD5" w:rsidRPr="00EC22D4" w:rsidRDefault="003A5DD5" w:rsidP="00EC22D4">
      <w:pPr>
        <w:spacing w:line="360" w:lineRule="auto"/>
        <w:ind w:right="49"/>
        <w:jc w:val="both"/>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A5DD5" w:rsidRPr="00EC22D4" w:rsidRDefault="003A5DD5" w:rsidP="00EC22D4">
      <w:pPr>
        <w:spacing w:line="360" w:lineRule="auto"/>
        <w:ind w:left="720"/>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A5DD5" w:rsidRPr="00EC22D4" w:rsidRDefault="003A5DD5" w:rsidP="00EC22D4">
      <w:pPr>
        <w:spacing w:line="360" w:lineRule="auto"/>
        <w:ind w:left="720"/>
        <w:rPr>
          <w:rFonts w:ascii="Palatino Linotype" w:hAnsi="Palatino Linotype" w:cs="Palatino Linotype"/>
          <w:lang w:val="es-ES"/>
        </w:rPr>
      </w:pPr>
    </w:p>
    <w:p w:rsidR="003A5DD5" w:rsidRPr="00EC22D4" w:rsidRDefault="003A5DD5" w:rsidP="00EC22D4">
      <w:pPr>
        <w:pStyle w:val="Ttulo3"/>
        <w:numPr>
          <w:ilvl w:val="0"/>
          <w:numId w:val="29"/>
        </w:numPr>
        <w:spacing w:line="360" w:lineRule="auto"/>
        <w:rPr>
          <w:rFonts w:ascii="Palatino Linotype" w:hAnsi="Palatino Linotype"/>
          <w:b/>
          <w:color w:val="000000" w:themeColor="text1"/>
        </w:rPr>
      </w:pPr>
      <w:bookmarkStart w:id="32" w:name="_Toc8758946"/>
      <w:bookmarkStart w:id="33" w:name="_Toc21009187"/>
      <w:r w:rsidRPr="00EC22D4">
        <w:rPr>
          <w:rFonts w:ascii="Palatino Linotype" w:hAnsi="Palatino Linotype"/>
          <w:b/>
          <w:color w:val="000000" w:themeColor="text1"/>
        </w:rPr>
        <w:t>Requisitos de fondo del acuerdo de clasificación</w:t>
      </w:r>
      <w:bookmarkEnd w:id="32"/>
      <w:bookmarkEnd w:id="33"/>
    </w:p>
    <w:p w:rsidR="003A5DD5" w:rsidRPr="00EC22D4" w:rsidRDefault="003A5DD5" w:rsidP="00EC22D4">
      <w:pPr>
        <w:spacing w:line="360" w:lineRule="auto"/>
        <w:ind w:left="720"/>
        <w:rPr>
          <w:rFonts w:ascii="Palatino Linotype" w:hAnsi="Palatino Linotype" w:cs="Palatino Linotype"/>
          <w:lang w:val="es-ES"/>
        </w:rPr>
      </w:pPr>
    </w:p>
    <w:p w:rsidR="00CE5881" w:rsidRDefault="003A5DD5" w:rsidP="00CE5881">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E5881" w:rsidRPr="00CE5881" w:rsidRDefault="00CE5881" w:rsidP="00CE5881">
      <w:pPr>
        <w:pStyle w:val="Prrafodelista"/>
        <w:spacing w:line="360" w:lineRule="auto"/>
        <w:ind w:left="0" w:right="-93"/>
        <w:jc w:val="both"/>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A5DD5" w:rsidRPr="00EC22D4" w:rsidRDefault="003A5DD5" w:rsidP="00EC22D4">
      <w:pPr>
        <w:spacing w:line="360" w:lineRule="auto"/>
        <w:ind w:left="720"/>
        <w:rPr>
          <w:rFonts w:ascii="Palatino Linotype" w:hAnsi="Palatino Linotype" w:cs="Palatino Linotype"/>
          <w:lang w:val="es-ES"/>
        </w:rPr>
      </w:pPr>
    </w:p>
    <w:p w:rsidR="003A5DD5" w:rsidRPr="00CE5881" w:rsidRDefault="003A5DD5" w:rsidP="00CE5881">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rPr>
        <w:t>Por su parte, el intérprete judicial del país ha establecido una jurisprudencia respecto a qué debe entenderse por fundamentación y motivación, en los siguientes términos:</w:t>
      </w:r>
    </w:p>
    <w:p w:rsidR="003A5DD5" w:rsidRPr="00EC22D4" w:rsidRDefault="003A5DD5" w:rsidP="00EC22D4">
      <w:pPr>
        <w:spacing w:line="360" w:lineRule="auto"/>
        <w:ind w:left="720"/>
        <w:rPr>
          <w:rFonts w:ascii="Palatino Linotype" w:hAnsi="Palatino Linotype" w:cs="Palatino Linotype"/>
          <w:lang w:val="es-ES"/>
        </w:rPr>
      </w:pPr>
    </w:p>
    <w:p w:rsidR="003A5DD5" w:rsidRPr="00EC22D4" w:rsidRDefault="003A5DD5" w:rsidP="00EC22D4">
      <w:pPr>
        <w:spacing w:line="360" w:lineRule="auto"/>
        <w:ind w:left="567" w:right="567"/>
        <w:jc w:val="both"/>
        <w:rPr>
          <w:rFonts w:ascii="Palatino Linotype" w:hAnsi="Palatino Linotype" w:cs="Palatino Linotype"/>
          <w:i/>
          <w:iCs/>
        </w:rPr>
      </w:pPr>
      <w:r w:rsidRPr="00EC22D4">
        <w:rPr>
          <w:rFonts w:ascii="Palatino Linotype" w:hAnsi="Palatino Linotype" w:cs="Palatino Linotype"/>
          <w:b/>
          <w:bCs/>
          <w:i/>
          <w:iCs/>
        </w:rPr>
        <w:t>FUNDAMENTACIÓN Y MOTIVACIÓN.</w:t>
      </w:r>
      <w:r w:rsidRPr="00EC22D4">
        <w:rPr>
          <w:rFonts w:ascii="Palatino Linotype" w:hAnsi="Palatino Linotype" w:cs="Palatino Linotype"/>
          <w:i/>
          <w:iCs/>
        </w:rPr>
        <w:t xml:space="preserve"> La </w:t>
      </w:r>
      <w:r w:rsidRPr="00EC22D4">
        <w:rPr>
          <w:rFonts w:ascii="Palatino Linotype" w:hAnsi="Palatino Linotype" w:cs="Palatino Linotype"/>
          <w:i/>
          <w:iCs/>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C22D4">
        <w:rPr>
          <w:rFonts w:ascii="Palatino Linotype" w:hAnsi="Palatino Linotype" w:cs="Palatino Linotype"/>
          <w:i/>
          <w:iCs/>
        </w:rPr>
        <w:t>.</w:t>
      </w:r>
    </w:p>
    <w:p w:rsidR="003A5DD5" w:rsidRPr="00EC22D4" w:rsidRDefault="003A5DD5" w:rsidP="00EC22D4">
      <w:pPr>
        <w:spacing w:line="360" w:lineRule="auto"/>
        <w:ind w:left="567" w:right="567"/>
        <w:jc w:val="both"/>
        <w:rPr>
          <w:rFonts w:ascii="Palatino Linotype" w:hAnsi="Palatino Linotype" w:cs="Palatino Linotype"/>
          <w:i/>
          <w:iCs/>
        </w:rPr>
      </w:pPr>
      <w:r w:rsidRPr="00EC22D4">
        <w:rPr>
          <w:rFonts w:ascii="Palatino Linotype" w:hAnsi="Palatino Linotype" w:cs="Palatino Linotype"/>
          <w:i/>
          <w:iCs/>
        </w:rPr>
        <w:t>SEGUNDO TRIBUNAL COLEGIADO DEL SEXTO CIRCUITO.</w:t>
      </w:r>
    </w:p>
    <w:p w:rsidR="003A5DD5" w:rsidRPr="00EC22D4" w:rsidRDefault="003A5DD5" w:rsidP="00EC22D4">
      <w:pPr>
        <w:spacing w:line="360" w:lineRule="auto"/>
        <w:ind w:left="567" w:right="567"/>
        <w:jc w:val="both"/>
        <w:rPr>
          <w:rFonts w:ascii="Palatino Linotype" w:hAnsi="Palatino Linotype" w:cs="Palatino Linotype"/>
          <w:i/>
          <w:iCs/>
        </w:rPr>
      </w:pPr>
      <w:r w:rsidRPr="00EC22D4">
        <w:rPr>
          <w:rFonts w:ascii="Palatino Linotype" w:hAnsi="Palatino Linotype" w:cs="Palatino Linotype"/>
          <w:i/>
          <w:iCs/>
        </w:rPr>
        <w:t>Amparo directo 194/88. Bufete Industrial Construcciones, S.A. de C.V. 28 de junio de 1988. Unanimidad de votos. Ponente: Gustavo Calvillo Rangel. Secretario: Jorge Alberto González Álvarez.</w:t>
      </w:r>
    </w:p>
    <w:p w:rsidR="003A5DD5" w:rsidRPr="00EC22D4" w:rsidRDefault="003A5DD5" w:rsidP="00EC22D4">
      <w:pPr>
        <w:spacing w:line="360" w:lineRule="auto"/>
        <w:ind w:left="567" w:right="567"/>
        <w:jc w:val="both"/>
        <w:rPr>
          <w:rFonts w:ascii="Palatino Linotype" w:hAnsi="Palatino Linotype" w:cs="Palatino Linotype"/>
          <w:i/>
          <w:iCs/>
        </w:rPr>
      </w:pPr>
      <w:r w:rsidRPr="00EC22D4">
        <w:rPr>
          <w:rFonts w:ascii="Palatino Linotype" w:hAnsi="Palatino Linotype" w:cs="Palatino Linotype"/>
          <w:i/>
          <w:iCs/>
        </w:rPr>
        <w:t xml:space="preserve">Revisión fiscal 103/88. Instituto Mexicano del Seguro Social. 18 de octubre de 1988. Unanimidad de votos. Ponente: Arnoldo Nájera Virgen. Secretario: Alejandro </w:t>
      </w:r>
      <w:proofErr w:type="spellStart"/>
      <w:r w:rsidRPr="00EC22D4">
        <w:rPr>
          <w:rFonts w:ascii="Palatino Linotype" w:hAnsi="Palatino Linotype" w:cs="Palatino Linotype"/>
          <w:i/>
          <w:iCs/>
        </w:rPr>
        <w:t>Esponda</w:t>
      </w:r>
      <w:proofErr w:type="spellEnd"/>
      <w:r w:rsidRPr="00EC22D4">
        <w:rPr>
          <w:rFonts w:ascii="Palatino Linotype" w:hAnsi="Palatino Linotype" w:cs="Palatino Linotype"/>
          <w:i/>
          <w:iCs/>
        </w:rPr>
        <w:t xml:space="preserve"> Rincón.</w:t>
      </w:r>
    </w:p>
    <w:p w:rsidR="003A5DD5" w:rsidRPr="00EC22D4" w:rsidRDefault="003A5DD5" w:rsidP="00EC22D4">
      <w:pPr>
        <w:spacing w:line="360" w:lineRule="auto"/>
        <w:ind w:left="567" w:right="567"/>
        <w:jc w:val="both"/>
        <w:rPr>
          <w:rFonts w:ascii="Palatino Linotype" w:hAnsi="Palatino Linotype" w:cs="Palatino Linotype"/>
          <w:i/>
          <w:iCs/>
        </w:rPr>
      </w:pPr>
      <w:r w:rsidRPr="00EC22D4">
        <w:rPr>
          <w:rFonts w:ascii="Palatino Linotype" w:hAnsi="Palatino Linotype" w:cs="Palatino Linotype"/>
          <w:i/>
          <w:iCs/>
        </w:rPr>
        <w:t xml:space="preserve">Amparo en revisión 333/88. </w:t>
      </w:r>
      <w:proofErr w:type="spellStart"/>
      <w:r w:rsidRPr="00EC22D4">
        <w:rPr>
          <w:rFonts w:ascii="Palatino Linotype" w:hAnsi="Palatino Linotype" w:cs="Palatino Linotype"/>
          <w:i/>
          <w:iCs/>
        </w:rPr>
        <w:t>Adilia</w:t>
      </w:r>
      <w:proofErr w:type="spellEnd"/>
      <w:r w:rsidRPr="00EC22D4">
        <w:rPr>
          <w:rFonts w:ascii="Palatino Linotype" w:hAnsi="Palatino Linotype" w:cs="Palatino Linotype"/>
          <w:i/>
          <w:iCs/>
        </w:rPr>
        <w:t xml:space="preserve"> Romero. 26 de octubre de 1988. Unanimidad de votos. Ponente: Arnoldo Nájera Virgen. Secretario: Enrique Crispín Campos Ramírez.</w:t>
      </w:r>
    </w:p>
    <w:p w:rsidR="003A5DD5" w:rsidRPr="00EC22D4" w:rsidRDefault="003A5DD5" w:rsidP="00EC22D4">
      <w:pPr>
        <w:spacing w:line="360" w:lineRule="auto"/>
        <w:ind w:left="567" w:right="567"/>
        <w:jc w:val="both"/>
        <w:rPr>
          <w:rFonts w:ascii="Palatino Linotype" w:hAnsi="Palatino Linotype" w:cs="Palatino Linotype"/>
          <w:i/>
          <w:iCs/>
        </w:rPr>
      </w:pPr>
      <w:r w:rsidRPr="00EC22D4">
        <w:rPr>
          <w:rFonts w:ascii="Palatino Linotype" w:hAnsi="Palatino Linotype" w:cs="Palatino Linotype"/>
          <w:i/>
          <w:iCs/>
        </w:rPr>
        <w:t xml:space="preserve">Amparo en revisión 597/95. Emilio Maurer Bretón. 15 de noviembre de 1995. Unanimidad de votos. Ponente: Clementina Ramírez Moguel </w:t>
      </w:r>
      <w:proofErr w:type="spellStart"/>
      <w:r w:rsidRPr="00EC22D4">
        <w:rPr>
          <w:rFonts w:ascii="Palatino Linotype" w:hAnsi="Palatino Linotype" w:cs="Palatino Linotype"/>
          <w:i/>
          <w:iCs/>
        </w:rPr>
        <w:t>Goyzueta</w:t>
      </w:r>
      <w:proofErr w:type="spellEnd"/>
      <w:r w:rsidRPr="00EC22D4">
        <w:rPr>
          <w:rFonts w:ascii="Palatino Linotype" w:hAnsi="Palatino Linotype" w:cs="Palatino Linotype"/>
          <w:i/>
          <w:iCs/>
        </w:rPr>
        <w:t>. Secretario: Gonzalo Carrera Molina.</w:t>
      </w:r>
    </w:p>
    <w:p w:rsidR="003A5DD5" w:rsidRPr="00EC22D4" w:rsidRDefault="003A5DD5" w:rsidP="00EC22D4">
      <w:pPr>
        <w:spacing w:line="360" w:lineRule="auto"/>
        <w:ind w:left="567" w:right="567"/>
        <w:jc w:val="both"/>
        <w:rPr>
          <w:rFonts w:ascii="Palatino Linotype" w:hAnsi="Palatino Linotype" w:cs="Palatino Linotype"/>
          <w:i/>
          <w:iCs/>
        </w:rPr>
      </w:pPr>
      <w:r w:rsidRPr="00EC22D4">
        <w:rPr>
          <w:rFonts w:ascii="Palatino Linotype" w:hAnsi="Palatino Linotype" w:cs="Palatino Linotype"/>
          <w:i/>
          <w:iCs/>
        </w:rPr>
        <w:t xml:space="preserve">Amparo directo 7/96. Pedro Vicente López Miro. 21 de febrero de 1996. Unanimidad de votos. Ponente: María Eugenia Estela Martínez Cardiel. Secretario: Enrique </w:t>
      </w:r>
      <w:proofErr w:type="spellStart"/>
      <w:r w:rsidRPr="00EC22D4">
        <w:rPr>
          <w:rFonts w:ascii="Palatino Linotype" w:hAnsi="Palatino Linotype" w:cs="Palatino Linotype"/>
          <w:i/>
          <w:iCs/>
        </w:rPr>
        <w:t>Baigts</w:t>
      </w:r>
      <w:proofErr w:type="spellEnd"/>
      <w:r w:rsidRPr="00EC22D4">
        <w:rPr>
          <w:rFonts w:ascii="Palatino Linotype" w:hAnsi="Palatino Linotype" w:cs="Palatino Linotype"/>
          <w:i/>
          <w:iCs/>
        </w:rPr>
        <w:t xml:space="preserve"> Muñoz.</w:t>
      </w:r>
    </w:p>
    <w:p w:rsidR="003A5DD5" w:rsidRPr="00EC22D4" w:rsidRDefault="003A5DD5" w:rsidP="00EC22D4">
      <w:pPr>
        <w:spacing w:line="360" w:lineRule="auto"/>
        <w:ind w:firstLine="1418"/>
        <w:jc w:val="both"/>
        <w:rPr>
          <w:rFonts w:ascii="Palatino Linotype" w:hAnsi="Palatino Linotype" w:cs="Palatino Linotype"/>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A5DD5" w:rsidRPr="00EC22D4" w:rsidRDefault="003A5DD5" w:rsidP="00EC22D4">
      <w:pPr>
        <w:shd w:val="clear" w:color="auto" w:fill="FFFFFF"/>
        <w:spacing w:line="360" w:lineRule="auto"/>
        <w:ind w:left="360"/>
        <w:jc w:val="both"/>
        <w:rPr>
          <w:rFonts w:ascii="Palatino Linotype" w:hAnsi="Palatino Linotype" w:cs="Palatino Linotype"/>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A5DD5" w:rsidRPr="00CE5881" w:rsidRDefault="003A5DD5" w:rsidP="00EC22D4">
      <w:pPr>
        <w:shd w:val="clear" w:color="auto" w:fill="FFFFFF"/>
        <w:spacing w:line="360" w:lineRule="auto"/>
        <w:jc w:val="both"/>
        <w:rPr>
          <w:rFonts w:ascii="Palatino Linotype" w:hAnsi="Palatino Linotype" w:cs="Palatino Linotype"/>
          <w:sz w:val="12"/>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En ese mismo sentido, el lineamiento trigésimo tercero fracción V de los Lineamientos Generales, precisa que para motivar la clasificación se deben acreditar las circunstancias de tiempo, modo y lugar.</w:t>
      </w:r>
    </w:p>
    <w:p w:rsidR="003A5DD5" w:rsidRPr="00CE5881" w:rsidRDefault="003A5DD5" w:rsidP="00EC22D4">
      <w:pPr>
        <w:spacing w:line="360" w:lineRule="auto"/>
        <w:ind w:left="720"/>
        <w:rPr>
          <w:rFonts w:ascii="Palatino Linotype" w:hAnsi="Palatino Linotype" w:cs="Palatino Linotype"/>
          <w:sz w:val="12"/>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 del servidor público que no tienen ninguna injerencia en el tema de la transparencia y la rendición de cuentas,  por ejemplo, </w:t>
      </w:r>
      <w:r w:rsidRPr="00EC22D4">
        <w:rPr>
          <w:rFonts w:ascii="Palatino Linotype" w:hAnsi="Palatino Linotype" w:cs="Palatino Linotype"/>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3A5DD5" w:rsidRPr="00CE5881" w:rsidRDefault="003A5DD5" w:rsidP="00EC22D4">
      <w:pPr>
        <w:spacing w:line="360" w:lineRule="auto"/>
        <w:ind w:left="720"/>
        <w:rPr>
          <w:rFonts w:ascii="Palatino Linotype" w:hAnsi="Palatino Linotype" w:cs="Palatino Linotype"/>
          <w:sz w:val="12"/>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A5DD5" w:rsidRPr="00CE5881" w:rsidRDefault="003A5DD5" w:rsidP="00EC22D4">
      <w:pPr>
        <w:spacing w:line="360" w:lineRule="auto"/>
        <w:ind w:left="720"/>
        <w:rPr>
          <w:rFonts w:ascii="Palatino Linotype" w:hAnsi="Palatino Linotype" w:cs="Palatino Linotype"/>
          <w:sz w:val="12"/>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lang w:val="es-ES"/>
        </w:rPr>
      </w:pPr>
      <w:r w:rsidRPr="00EC22D4">
        <w:rPr>
          <w:rFonts w:ascii="Palatino Linotype" w:hAnsi="Palatino Linotype" w:cs="Palatino Linotype"/>
          <w:lang w:val="es-ES"/>
        </w:rPr>
        <w:t>Si</w:t>
      </w:r>
      <w:r w:rsidRPr="00EC22D4">
        <w:rPr>
          <w:rFonts w:ascii="Palatino Linotype" w:hAnsi="Palatino Linotype" w:cs="Palatino Linotype"/>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C22D4">
        <w:rPr>
          <w:rFonts w:ascii="Palatino Linotype" w:hAnsi="Palatino Linotype" w:cs="Palatino Linotype"/>
          <w:lang w:val="es-ES"/>
        </w:rPr>
        <w:t xml:space="preserve"> </w:t>
      </w:r>
    </w:p>
    <w:p w:rsidR="003A5DD5" w:rsidRPr="00EC22D4" w:rsidRDefault="003A5DD5" w:rsidP="00EC22D4">
      <w:pPr>
        <w:spacing w:line="360" w:lineRule="auto"/>
        <w:ind w:right="49"/>
        <w:jc w:val="both"/>
        <w:rPr>
          <w:rFonts w:ascii="Palatino Linotype" w:hAnsi="Palatino Linotype" w:cs="Palatino Linotype"/>
          <w:lang w:val="es-ES"/>
        </w:rPr>
      </w:pPr>
    </w:p>
    <w:p w:rsidR="003A5DD5" w:rsidRPr="00EC22D4" w:rsidRDefault="003A5DD5" w:rsidP="00EC22D4">
      <w:pPr>
        <w:pStyle w:val="Ttulo3"/>
        <w:numPr>
          <w:ilvl w:val="0"/>
          <w:numId w:val="29"/>
        </w:numPr>
        <w:spacing w:line="360" w:lineRule="auto"/>
        <w:rPr>
          <w:rFonts w:ascii="Palatino Linotype" w:hAnsi="Palatino Linotype"/>
          <w:b/>
          <w:color w:val="000000" w:themeColor="text1"/>
        </w:rPr>
      </w:pPr>
      <w:bookmarkStart w:id="34" w:name="_Toc8758947"/>
      <w:bookmarkStart w:id="35" w:name="_Toc21009188"/>
      <w:r w:rsidRPr="00EC22D4">
        <w:rPr>
          <w:rFonts w:ascii="Palatino Linotype" w:hAnsi="Palatino Linotype"/>
          <w:b/>
          <w:color w:val="000000" w:themeColor="text1"/>
        </w:rPr>
        <w:t>De la disociación.</w:t>
      </w:r>
      <w:bookmarkEnd w:id="34"/>
      <w:bookmarkEnd w:id="35"/>
      <w:r w:rsidRPr="00EC22D4">
        <w:rPr>
          <w:rFonts w:ascii="Palatino Linotype" w:hAnsi="Palatino Linotype"/>
          <w:b/>
          <w:color w:val="000000" w:themeColor="text1"/>
        </w:rPr>
        <w:t xml:space="preserve"> </w:t>
      </w:r>
    </w:p>
    <w:p w:rsidR="003A5DD5" w:rsidRPr="00CE5881" w:rsidRDefault="003A5DD5" w:rsidP="00EC22D4">
      <w:pPr>
        <w:spacing w:line="360" w:lineRule="auto"/>
        <w:ind w:left="720"/>
        <w:rPr>
          <w:rFonts w:ascii="Palatino Linotype" w:hAnsi="Palatino Linotype" w:cs="Palatino Linotype"/>
          <w:sz w:val="12"/>
          <w:lang w:val="es-E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lang w:val="es-ES"/>
        </w:rPr>
        <w:t>Por</w:t>
      </w:r>
      <w:r w:rsidRPr="00EC22D4">
        <w:rPr>
          <w:rFonts w:ascii="Palatino Linotype" w:hAnsi="Palatino Linotype" w:cs="Palatino Linotype"/>
        </w:rPr>
        <w:t xml:space="preserve"> otro lado, de la nómina que se ordena entregar debe existir información de la denominada </w:t>
      </w:r>
      <w:r w:rsidRPr="00EC22D4">
        <w:rPr>
          <w:rFonts w:ascii="Palatino Linotype" w:hAnsi="Palatino Linotype" w:cs="Palatino Linotype"/>
          <w:b/>
          <w:bCs/>
          <w:u w:val="single"/>
        </w:rPr>
        <w:t xml:space="preserve">Dirección de Seguridad Pública Municipal </w:t>
      </w:r>
      <w:r w:rsidRPr="00EC22D4">
        <w:rPr>
          <w:rFonts w:ascii="Palatino Linotype" w:hAnsi="Palatino Linotype" w:cs="Palatino Linotype"/>
        </w:rPr>
        <w:t xml:space="preserve">de conformidad con el vigente bando municipal del </w:t>
      </w:r>
      <w:r w:rsidRPr="00EC22D4">
        <w:rPr>
          <w:rFonts w:ascii="Palatino Linotype" w:hAnsi="Palatino Linotype" w:cs="Palatino Linotype"/>
          <w:b/>
          <w:bCs/>
        </w:rPr>
        <w:t>SUJETO OBLIGADO</w:t>
      </w:r>
      <w:r w:rsidRPr="00EC22D4">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Ayuntamiento de </w:t>
      </w:r>
      <w:proofErr w:type="spellStart"/>
      <w:r w:rsidRPr="00EC22D4">
        <w:rPr>
          <w:rFonts w:ascii="Palatino Linotype" w:hAnsi="Palatino Linotype" w:cs="Palatino Linotype"/>
        </w:rPr>
        <w:t>Otzoloapan</w:t>
      </w:r>
      <w:proofErr w:type="spellEnd"/>
      <w:r w:rsidRPr="00EC22D4">
        <w:rPr>
          <w:rFonts w:ascii="Palatino Linotype" w:hAnsi="Palatino Linotype" w:cs="Palatino Linotype"/>
          <w:b/>
          <w:bCs/>
        </w:rPr>
        <w:t xml:space="preserve"> </w:t>
      </w:r>
      <w:r w:rsidRPr="00EC22D4">
        <w:rPr>
          <w:rFonts w:ascii="Palatino Linotype" w:hAnsi="Palatino Linotype" w:cs="Palatino Linotype"/>
        </w:rPr>
        <w:t xml:space="preserve">deberá proteger los datos de los servidores públicos que integran dicha Dirección por lo cual, la entrega de la información habrá de </w:t>
      </w:r>
      <w:r w:rsidRPr="00EC22D4">
        <w:rPr>
          <w:rFonts w:ascii="Palatino Linotype" w:hAnsi="Palatino Linotype" w:cs="Palatino Linotype"/>
          <w:b/>
          <w:bCs/>
          <w:u w:val="single"/>
        </w:rPr>
        <w:t>disociarse</w:t>
      </w:r>
      <w:r w:rsidRPr="00EC22D4">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EC22D4">
        <w:rPr>
          <w:rFonts w:ascii="Palatino Linotype" w:hAnsi="Palatino Linotype" w:cs="Palatino Linotype"/>
          <w:b/>
          <w:bCs/>
        </w:rPr>
        <w:t>Ley de Protección de Datos Personales en Posesión de Sujetos Obligados  del Estado de México y Municipios</w:t>
      </w:r>
      <w:r w:rsidRPr="00EC22D4">
        <w:rPr>
          <w:rFonts w:ascii="Palatino Linotype" w:hAnsi="Palatino Linotype" w:cs="Palatino Linotype"/>
        </w:rPr>
        <w:t>, que refiere:</w:t>
      </w:r>
    </w:p>
    <w:p w:rsidR="003A5DD5" w:rsidRPr="00EC22D4" w:rsidRDefault="003A5DD5" w:rsidP="00EC22D4">
      <w:pPr>
        <w:spacing w:line="360" w:lineRule="auto"/>
        <w:ind w:left="4472"/>
        <w:jc w:val="both"/>
        <w:rPr>
          <w:rFonts w:ascii="Palatino Linotype" w:hAnsi="Palatino Linotype" w:cs="Palatino Linotype"/>
        </w:rPr>
      </w:pPr>
    </w:p>
    <w:p w:rsidR="003A5DD5" w:rsidRPr="00EC22D4" w:rsidRDefault="003A5DD5" w:rsidP="00EC22D4">
      <w:pPr>
        <w:spacing w:line="360" w:lineRule="auto"/>
        <w:ind w:left="851" w:right="616"/>
        <w:jc w:val="both"/>
        <w:rPr>
          <w:rFonts w:ascii="Palatino Linotype" w:hAnsi="Palatino Linotype" w:cs="Palatino Linotype"/>
          <w:i/>
          <w:iCs/>
        </w:rPr>
      </w:pPr>
      <w:r w:rsidRPr="00EC22D4">
        <w:rPr>
          <w:rFonts w:ascii="Palatino Linotype" w:hAnsi="Palatino Linotype" w:cs="Palatino Linotype"/>
          <w:i/>
          <w:iCs/>
        </w:rPr>
        <w:t>“</w:t>
      </w:r>
      <w:r w:rsidRPr="00EC22D4">
        <w:rPr>
          <w:rFonts w:ascii="Palatino Linotype" w:hAnsi="Palatino Linotype" w:cs="Palatino Linotype"/>
          <w:b/>
          <w:bCs/>
          <w:i/>
          <w:iCs/>
        </w:rPr>
        <w:t>Artículo 4</w:t>
      </w:r>
      <w:r w:rsidRPr="00EC22D4">
        <w:rPr>
          <w:rFonts w:ascii="Palatino Linotype" w:hAnsi="Palatino Linotype" w:cs="Palatino Linotype"/>
          <w:i/>
          <w:iCs/>
        </w:rPr>
        <w:t>.- Para los efectos de esta Ley se entenderá por:</w:t>
      </w:r>
    </w:p>
    <w:p w:rsidR="003A5DD5" w:rsidRPr="00EC22D4" w:rsidRDefault="003A5DD5" w:rsidP="00EC22D4">
      <w:pPr>
        <w:spacing w:line="360" w:lineRule="auto"/>
        <w:ind w:left="851" w:right="616"/>
        <w:jc w:val="both"/>
        <w:rPr>
          <w:rFonts w:ascii="Palatino Linotype" w:hAnsi="Palatino Linotype" w:cs="Palatino Linotype"/>
          <w:i/>
          <w:iCs/>
        </w:rPr>
      </w:pPr>
      <w:r w:rsidRPr="00EC22D4">
        <w:rPr>
          <w:rFonts w:ascii="Palatino Linotype" w:hAnsi="Palatino Linotype" w:cs="Palatino Linotype"/>
          <w:i/>
          <w:iCs/>
        </w:rPr>
        <w:t>…</w:t>
      </w:r>
    </w:p>
    <w:p w:rsidR="003A5DD5" w:rsidRPr="00EC22D4" w:rsidRDefault="003A5DD5" w:rsidP="00EC22D4">
      <w:pPr>
        <w:spacing w:line="360" w:lineRule="auto"/>
        <w:ind w:left="851" w:right="616"/>
        <w:jc w:val="both"/>
        <w:rPr>
          <w:rFonts w:ascii="Palatino Linotype" w:hAnsi="Palatino Linotype" w:cs="Palatino Linotype"/>
          <w:i/>
          <w:iCs/>
        </w:rPr>
      </w:pPr>
      <w:r w:rsidRPr="00EC22D4">
        <w:rPr>
          <w:rFonts w:ascii="Palatino Linotype" w:hAnsi="Palatino Linotype" w:cs="Palatino Linotype"/>
          <w:b/>
          <w:bCs/>
          <w:i/>
          <w:iCs/>
        </w:rPr>
        <w:t>XVI. Disociación</w:t>
      </w:r>
      <w:r w:rsidRPr="00EC22D4">
        <w:rPr>
          <w:rFonts w:ascii="Palatino Linotype" w:hAnsi="Palatino Linotype" w:cs="Palatino Linotype"/>
          <w:i/>
          <w:iCs/>
        </w:rPr>
        <w:t>: al procedimiento por el que los datos personales no pueden asociarse a la o el titular, ni permitir por su estructura, contenido o grado de desagregación, la identificación individual del mismo;”</w:t>
      </w:r>
    </w:p>
    <w:p w:rsidR="003A5DD5" w:rsidRPr="00EC22D4" w:rsidRDefault="003A5DD5" w:rsidP="00EC22D4">
      <w:pPr>
        <w:spacing w:line="360" w:lineRule="auto"/>
        <w:ind w:left="851" w:right="616"/>
        <w:jc w:val="both"/>
        <w:rPr>
          <w:rFonts w:ascii="Palatino Linotype" w:hAnsi="Palatino Linotype" w:cs="Palatino Linotype"/>
          <w:i/>
          <w:iCs/>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3A5DD5" w:rsidRPr="00CE5881" w:rsidRDefault="003A5DD5" w:rsidP="00EC22D4">
      <w:pPr>
        <w:pStyle w:val="Prrafodelista"/>
        <w:autoSpaceDE w:val="0"/>
        <w:autoSpaceDN w:val="0"/>
        <w:adjustRightInd w:val="0"/>
        <w:spacing w:line="360" w:lineRule="auto"/>
        <w:ind w:left="0" w:right="49"/>
        <w:jc w:val="both"/>
        <w:rPr>
          <w:rFonts w:ascii="Palatino Linotype" w:hAnsi="Palatino Linotype" w:cs="Palatino Linotype"/>
          <w:sz w:val="12"/>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 xml:space="preserve">En ese sentido la documentación que deberá proporcionar el </w:t>
      </w:r>
      <w:r w:rsidRPr="00EC22D4">
        <w:rPr>
          <w:rFonts w:ascii="Palatino Linotype" w:hAnsi="Palatino Linotype" w:cs="Palatino Linotype"/>
          <w:b/>
          <w:bCs/>
        </w:rPr>
        <w:t>SUJETO OBLIGADO</w:t>
      </w:r>
      <w:r w:rsidRPr="00EC22D4">
        <w:rPr>
          <w:rFonts w:ascii="Palatino Linotype" w:hAnsi="Palatino Linotype" w:cs="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3A5DD5" w:rsidRPr="00EC22D4" w:rsidRDefault="003A5DD5" w:rsidP="00EC22D4">
      <w:pPr>
        <w:spacing w:line="360" w:lineRule="auto"/>
        <w:ind w:left="720"/>
        <w:rPr>
          <w:rFonts w:ascii="Palatino Linotype" w:hAnsi="Palatino Linotype" w:cs="Palatino Linotype"/>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rsidR="003A5DD5" w:rsidRPr="00EC22D4" w:rsidRDefault="003A5DD5" w:rsidP="00EC22D4">
      <w:pPr>
        <w:tabs>
          <w:tab w:val="left" w:pos="426"/>
        </w:tabs>
        <w:spacing w:line="360" w:lineRule="auto"/>
        <w:jc w:val="both"/>
        <w:rPr>
          <w:rFonts w:ascii="Palatino Linotype" w:hAnsi="Palatino Linotype" w:cs="Palatino Linotype"/>
        </w:rPr>
      </w:pPr>
    </w:p>
    <w:p w:rsidR="003A5DD5" w:rsidRPr="00EC22D4" w:rsidRDefault="003A5DD5" w:rsidP="00EC22D4">
      <w:pPr>
        <w:tabs>
          <w:tab w:val="left" w:pos="851"/>
        </w:tabs>
        <w:spacing w:line="360" w:lineRule="auto"/>
        <w:ind w:left="851" w:right="616"/>
        <w:jc w:val="center"/>
        <w:rPr>
          <w:rFonts w:ascii="Palatino Linotype" w:hAnsi="Palatino Linotype" w:cs="Palatino Linotype"/>
          <w:b/>
          <w:bCs/>
          <w:i/>
          <w:iCs/>
        </w:rPr>
      </w:pPr>
      <w:r w:rsidRPr="00EC22D4">
        <w:rPr>
          <w:rFonts w:ascii="Palatino Linotype" w:hAnsi="Palatino Linotype" w:cs="Palatino Linotype"/>
          <w:b/>
          <w:bCs/>
          <w:i/>
          <w:iCs/>
        </w:rPr>
        <w:t>“LA INFORMACIÓN EN MATERIA DE SEGURIDAD PÚBLICA NO TIENE POR ESA SOLA CARACTERÍSTICA LA CATEGORÍA DE RESERVADA</w:t>
      </w:r>
    </w:p>
    <w:p w:rsidR="003A5DD5" w:rsidRPr="00EC22D4" w:rsidRDefault="003A5DD5" w:rsidP="00EC22D4">
      <w:pPr>
        <w:tabs>
          <w:tab w:val="left" w:pos="851"/>
        </w:tabs>
        <w:spacing w:line="360" w:lineRule="auto"/>
        <w:ind w:left="851" w:right="616"/>
        <w:jc w:val="both"/>
        <w:rPr>
          <w:rFonts w:ascii="Palatino Linotype" w:hAnsi="Palatino Linotype" w:cs="Palatino Linotype"/>
          <w:i/>
          <w:iCs/>
        </w:rPr>
      </w:pPr>
    </w:p>
    <w:p w:rsidR="003A5DD5" w:rsidRPr="00EC22D4" w:rsidRDefault="003A5DD5" w:rsidP="00EC22D4">
      <w:pPr>
        <w:tabs>
          <w:tab w:val="left" w:pos="851"/>
        </w:tabs>
        <w:spacing w:line="360" w:lineRule="auto"/>
        <w:ind w:left="851" w:right="616"/>
        <w:jc w:val="both"/>
        <w:rPr>
          <w:rFonts w:ascii="Palatino Linotype" w:hAnsi="Palatino Linotype" w:cs="Palatino Linotype"/>
          <w:i/>
          <w:iCs/>
        </w:rPr>
      </w:pPr>
      <w:r w:rsidRPr="00EC22D4">
        <w:rPr>
          <w:rFonts w:ascii="Palatino Linotype" w:hAnsi="Palatino Linotype" w:cs="Palatino Linotype"/>
          <w:i/>
          <w:iCs/>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3A5DD5" w:rsidRPr="00CE5881" w:rsidRDefault="003A5DD5" w:rsidP="00EC22D4">
      <w:pPr>
        <w:tabs>
          <w:tab w:val="left" w:pos="851"/>
        </w:tabs>
        <w:spacing w:line="360" w:lineRule="auto"/>
        <w:ind w:left="851" w:right="616"/>
        <w:jc w:val="both"/>
        <w:rPr>
          <w:rFonts w:ascii="Palatino Linotype" w:hAnsi="Palatino Linotype" w:cs="Palatino Linotype"/>
          <w:i/>
          <w:iCs/>
          <w:sz w:val="12"/>
        </w:rPr>
      </w:pPr>
    </w:p>
    <w:p w:rsidR="003A5DD5" w:rsidRPr="00EC22D4" w:rsidRDefault="003A5DD5" w:rsidP="00EC22D4">
      <w:pPr>
        <w:tabs>
          <w:tab w:val="left" w:pos="851"/>
        </w:tabs>
        <w:spacing w:line="360" w:lineRule="auto"/>
        <w:ind w:left="851" w:right="616"/>
        <w:jc w:val="both"/>
        <w:rPr>
          <w:rFonts w:ascii="Palatino Linotype" w:hAnsi="Palatino Linotype" w:cs="Palatino Linotype"/>
          <w:i/>
          <w:iCs/>
        </w:rPr>
      </w:pPr>
      <w:r w:rsidRPr="00EC22D4">
        <w:rPr>
          <w:rFonts w:ascii="Palatino Linotype" w:hAnsi="Palatino Linotype" w:cs="Palatino Linotype"/>
          <w:i/>
          <w:iCs/>
        </w:rPr>
        <w:t>Lo anterior al considerar que esta disposición establecía de manera previa una reserva total e indeterminada, respecto de información que no debería ser clasificada de esa forma.</w:t>
      </w:r>
    </w:p>
    <w:p w:rsidR="003A5DD5" w:rsidRPr="00CE5881" w:rsidRDefault="003A5DD5" w:rsidP="00EC22D4">
      <w:pPr>
        <w:tabs>
          <w:tab w:val="left" w:pos="851"/>
        </w:tabs>
        <w:spacing w:line="360" w:lineRule="auto"/>
        <w:ind w:left="851" w:right="616"/>
        <w:jc w:val="both"/>
        <w:rPr>
          <w:rFonts w:ascii="Palatino Linotype" w:hAnsi="Palatino Linotype" w:cs="Palatino Linotype"/>
          <w:i/>
          <w:iCs/>
          <w:sz w:val="12"/>
        </w:rPr>
      </w:pPr>
    </w:p>
    <w:p w:rsidR="003A5DD5" w:rsidRPr="00EC22D4" w:rsidRDefault="003A5DD5" w:rsidP="00EC22D4">
      <w:pPr>
        <w:tabs>
          <w:tab w:val="left" w:pos="851"/>
        </w:tabs>
        <w:spacing w:line="360" w:lineRule="auto"/>
        <w:ind w:left="851" w:right="616"/>
        <w:jc w:val="both"/>
        <w:rPr>
          <w:rFonts w:ascii="Palatino Linotype" w:hAnsi="Palatino Linotype" w:cs="Palatino Linotype"/>
          <w:i/>
          <w:iCs/>
        </w:rPr>
      </w:pPr>
      <w:r w:rsidRPr="00EC22D4">
        <w:rPr>
          <w:rFonts w:ascii="Palatino Linotype" w:hAnsi="Palatino Linotype" w:cs="Palatino Linotype"/>
          <w:i/>
          <w:iCs/>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3A5DD5" w:rsidRPr="00CE5881" w:rsidRDefault="003A5DD5" w:rsidP="00EC22D4">
      <w:pPr>
        <w:tabs>
          <w:tab w:val="left" w:pos="851"/>
        </w:tabs>
        <w:spacing w:line="360" w:lineRule="auto"/>
        <w:ind w:left="851" w:right="616"/>
        <w:jc w:val="both"/>
        <w:rPr>
          <w:rFonts w:ascii="Palatino Linotype" w:hAnsi="Palatino Linotype" w:cs="Palatino Linotype"/>
          <w:i/>
          <w:iCs/>
          <w:sz w:val="12"/>
        </w:rPr>
      </w:pPr>
    </w:p>
    <w:p w:rsidR="003A5DD5" w:rsidRPr="00EC22D4" w:rsidRDefault="003A5DD5" w:rsidP="00EC22D4">
      <w:pPr>
        <w:tabs>
          <w:tab w:val="left" w:pos="851"/>
        </w:tabs>
        <w:spacing w:line="360" w:lineRule="auto"/>
        <w:ind w:left="851" w:right="616"/>
        <w:jc w:val="both"/>
        <w:rPr>
          <w:rFonts w:ascii="Palatino Linotype" w:hAnsi="Palatino Linotype" w:cs="Palatino Linotype"/>
          <w:i/>
          <w:iCs/>
        </w:rPr>
      </w:pPr>
      <w:r w:rsidRPr="00EC22D4">
        <w:rPr>
          <w:rFonts w:ascii="Palatino Linotype" w:hAnsi="Palatino Linotype" w:cs="Palatino Linotype"/>
          <w:i/>
          <w:iCs/>
        </w:rPr>
        <w:t>En este sentido, la reserva previa también es contraria al principio de máxima publicidad, ya que establece categorías de información que no debe ser entregada, sin que se lleve a cabo una prueba del daño que ocasionaría su divulgación.</w:t>
      </w:r>
    </w:p>
    <w:p w:rsidR="003A5DD5" w:rsidRPr="00CE5881" w:rsidRDefault="003A5DD5" w:rsidP="00EC22D4">
      <w:pPr>
        <w:tabs>
          <w:tab w:val="left" w:pos="851"/>
        </w:tabs>
        <w:spacing w:line="360" w:lineRule="auto"/>
        <w:ind w:left="851" w:right="616"/>
        <w:jc w:val="both"/>
        <w:rPr>
          <w:rFonts w:ascii="Palatino Linotype" w:hAnsi="Palatino Linotype" w:cs="Palatino Linotype"/>
          <w:i/>
          <w:iCs/>
          <w:sz w:val="12"/>
        </w:rPr>
      </w:pPr>
    </w:p>
    <w:p w:rsidR="003A5DD5" w:rsidRPr="00EC22D4" w:rsidRDefault="003A5DD5" w:rsidP="00EC22D4">
      <w:pPr>
        <w:tabs>
          <w:tab w:val="left" w:pos="851"/>
        </w:tabs>
        <w:spacing w:line="360" w:lineRule="auto"/>
        <w:ind w:left="851" w:right="616"/>
        <w:jc w:val="both"/>
        <w:rPr>
          <w:rFonts w:ascii="Palatino Linotype" w:hAnsi="Palatino Linotype" w:cs="Palatino Linotype"/>
          <w:i/>
          <w:iCs/>
        </w:rPr>
      </w:pPr>
      <w:r w:rsidRPr="00EC22D4">
        <w:rPr>
          <w:rFonts w:ascii="Palatino Linotype" w:hAnsi="Palatino Linotype" w:cs="Palatino Linotype"/>
          <w:i/>
          <w:iCs/>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3A5DD5" w:rsidRPr="00CE5881" w:rsidRDefault="003A5DD5" w:rsidP="00EC22D4">
      <w:pPr>
        <w:tabs>
          <w:tab w:val="left" w:pos="851"/>
        </w:tabs>
        <w:spacing w:line="360" w:lineRule="auto"/>
        <w:ind w:left="851" w:right="616"/>
        <w:jc w:val="both"/>
        <w:rPr>
          <w:rFonts w:ascii="Palatino Linotype" w:hAnsi="Palatino Linotype" w:cs="Palatino Linotype"/>
          <w:i/>
          <w:iCs/>
          <w:sz w:val="12"/>
        </w:rPr>
      </w:pPr>
    </w:p>
    <w:p w:rsidR="003A5DD5" w:rsidRPr="00EC22D4" w:rsidRDefault="003A5DD5" w:rsidP="00EC22D4">
      <w:pPr>
        <w:tabs>
          <w:tab w:val="left" w:pos="851"/>
        </w:tabs>
        <w:spacing w:line="360" w:lineRule="auto"/>
        <w:ind w:left="851" w:right="616"/>
        <w:jc w:val="both"/>
        <w:rPr>
          <w:rFonts w:ascii="Palatino Linotype" w:hAnsi="Palatino Linotype" w:cs="Palatino Linotype"/>
        </w:rPr>
      </w:pPr>
      <w:r w:rsidRPr="00EC22D4">
        <w:rPr>
          <w:rFonts w:ascii="Palatino Linotype" w:hAnsi="Palatino Linotype" w:cs="Palatino Linotype"/>
        </w:rPr>
        <w:t>(Énfasis añadido)</w:t>
      </w:r>
    </w:p>
    <w:p w:rsidR="003A5DD5" w:rsidRPr="00CE5881" w:rsidRDefault="003A5DD5" w:rsidP="00EC22D4">
      <w:pPr>
        <w:tabs>
          <w:tab w:val="left" w:pos="851"/>
        </w:tabs>
        <w:spacing w:line="360" w:lineRule="auto"/>
        <w:ind w:left="851" w:right="616"/>
        <w:jc w:val="both"/>
        <w:rPr>
          <w:rFonts w:ascii="Palatino Linotype" w:hAnsi="Palatino Linotype" w:cs="Palatino Linotype"/>
          <w:sz w:val="12"/>
        </w:rPr>
      </w:pPr>
    </w:p>
    <w:p w:rsidR="003A5DD5" w:rsidRPr="00EC22D4" w:rsidRDefault="003A5DD5" w:rsidP="00EC22D4">
      <w:pPr>
        <w:pStyle w:val="Prrafodelista"/>
        <w:numPr>
          <w:ilvl w:val="0"/>
          <w:numId w:val="1"/>
        </w:numPr>
        <w:spacing w:line="360" w:lineRule="auto"/>
        <w:ind w:left="0" w:right="-93" w:firstLine="0"/>
        <w:jc w:val="both"/>
        <w:rPr>
          <w:rFonts w:ascii="Palatino Linotype" w:hAnsi="Palatino Linotype" w:cs="Palatino Linotype"/>
        </w:rPr>
      </w:pPr>
      <w:r w:rsidRPr="00EC22D4">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rsidR="001D29E8" w:rsidRPr="00EC22D4" w:rsidRDefault="001D29E8" w:rsidP="00EC22D4">
      <w:pPr>
        <w:pStyle w:val="Prrafodelista"/>
        <w:spacing w:line="360" w:lineRule="auto"/>
        <w:ind w:left="0" w:right="-93"/>
        <w:jc w:val="both"/>
        <w:rPr>
          <w:rFonts w:ascii="Palatino Linotype" w:eastAsia="Times New Roman" w:hAnsi="Palatino Linotype" w:cs="Arial"/>
          <w:lang w:val="es-MX" w:eastAsia="en-US"/>
        </w:rPr>
      </w:pPr>
    </w:p>
    <w:p w:rsidR="001D29E8" w:rsidRPr="00EC22D4" w:rsidRDefault="001D29E8" w:rsidP="00EC22D4">
      <w:pPr>
        <w:pStyle w:val="Prrafodelista"/>
        <w:numPr>
          <w:ilvl w:val="0"/>
          <w:numId w:val="1"/>
        </w:numPr>
        <w:spacing w:line="360" w:lineRule="auto"/>
        <w:ind w:left="0" w:right="-93" w:firstLine="0"/>
        <w:jc w:val="both"/>
        <w:rPr>
          <w:rFonts w:ascii="Palatino Linotype" w:hAnsi="Palatino Linotype"/>
          <w:lang w:val="es-ES"/>
        </w:rPr>
      </w:pPr>
      <w:r w:rsidRPr="00EC22D4">
        <w:rPr>
          <w:rFonts w:ascii="Palatino Linotype" w:hAnsi="Palatino Linotype" w:cs="Arial"/>
          <w:color w:val="000000" w:themeColor="text1"/>
        </w:rPr>
        <w:t>Por</w:t>
      </w:r>
      <w:r w:rsidRPr="00EC22D4">
        <w:rPr>
          <w:rFonts w:ascii="Palatino Linotype" w:hAnsi="Palatino Linotype"/>
        </w:rPr>
        <w:t xml:space="preserve"> lo anteriormente expuesto y fundado este </w:t>
      </w:r>
      <w:r w:rsidRPr="00EC22D4">
        <w:rPr>
          <w:rFonts w:ascii="Palatino Linotype" w:hAnsi="Palatino Linotype"/>
          <w:b/>
        </w:rPr>
        <w:t>ÓRGANO GARANTE</w:t>
      </w:r>
      <w:r w:rsidRPr="00EC22D4">
        <w:rPr>
          <w:rFonts w:ascii="Palatino Linotype" w:hAnsi="Palatino Linotype"/>
        </w:rPr>
        <w:t xml:space="preserve"> emite los siguientes: </w:t>
      </w:r>
    </w:p>
    <w:p w:rsidR="001D29E8" w:rsidRPr="00EC22D4" w:rsidRDefault="001D29E8" w:rsidP="00CE5881">
      <w:pPr>
        <w:pStyle w:val="Ttulo1"/>
        <w:spacing w:line="360" w:lineRule="auto"/>
        <w:jc w:val="center"/>
        <w:rPr>
          <w:rFonts w:ascii="Palatino Linotype" w:eastAsia="Calibri" w:hAnsi="Palatino Linotype"/>
          <w:b/>
          <w:color w:val="auto"/>
          <w:sz w:val="24"/>
          <w:szCs w:val="24"/>
          <w:lang w:val="es-ES" w:eastAsia="es-ES"/>
        </w:rPr>
      </w:pPr>
      <w:bookmarkStart w:id="36" w:name="_Toc7100107"/>
      <w:bookmarkStart w:id="37" w:name="_Toc21009190"/>
      <w:r w:rsidRPr="00EC22D4">
        <w:rPr>
          <w:rFonts w:ascii="Palatino Linotype" w:eastAsia="Calibri" w:hAnsi="Palatino Linotype"/>
          <w:b/>
          <w:color w:val="auto"/>
          <w:sz w:val="24"/>
          <w:szCs w:val="24"/>
          <w:lang w:val="es-ES" w:eastAsia="es-ES"/>
        </w:rPr>
        <w:t>R E S O L U T I V O S</w:t>
      </w:r>
      <w:bookmarkEnd w:id="36"/>
      <w:bookmarkEnd w:id="37"/>
    </w:p>
    <w:p w:rsidR="001D29E8" w:rsidRPr="00EC22D4" w:rsidRDefault="001D29E8" w:rsidP="00EC22D4">
      <w:pPr>
        <w:spacing w:line="360" w:lineRule="auto"/>
        <w:rPr>
          <w:rFonts w:ascii="Palatino Linotype" w:hAnsi="Palatino Linotype"/>
          <w:lang w:val="es-ES"/>
        </w:rPr>
      </w:pPr>
    </w:p>
    <w:p w:rsidR="001D29E8" w:rsidRPr="00EC22D4" w:rsidRDefault="001D29E8" w:rsidP="00EC22D4">
      <w:pPr>
        <w:spacing w:line="360" w:lineRule="auto"/>
        <w:jc w:val="both"/>
        <w:rPr>
          <w:rFonts w:ascii="Palatino Linotype" w:hAnsi="Palatino Linotype" w:cs="Arial"/>
          <w:bCs/>
          <w:lang w:eastAsia="es-MX"/>
        </w:rPr>
      </w:pPr>
      <w:r w:rsidRPr="00EC22D4">
        <w:rPr>
          <w:rFonts w:ascii="Palatino Linotype" w:eastAsia="Times New Roman" w:hAnsi="Palatino Linotype" w:cs="Arial"/>
          <w:b/>
        </w:rPr>
        <w:t xml:space="preserve">PRIMERO. </w:t>
      </w:r>
      <w:r w:rsidRPr="00EC22D4">
        <w:rPr>
          <w:rFonts w:ascii="Palatino Linotype" w:eastAsia="Times New Roman" w:hAnsi="Palatino Linotype" w:cs="Arial"/>
        </w:rPr>
        <w:t>Resultan fundadas las</w:t>
      </w:r>
      <w:r w:rsidRPr="00EC22D4">
        <w:rPr>
          <w:rFonts w:ascii="Palatino Linotype" w:eastAsia="Times New Roman" w:hAnsi="Palatino Linotype" w:cs="Arial"/>
          <w:b/>
        </w:rPr>
        <w:t xml:space="preserve"> </w:t>
      </w:r>
      <w:r w:rsidRPr="00EC22D4">
        <w:rPr>
          <w:rFonts w:ascii="Palatino Linotype" w:eastAsia="Times New Roman" w:hAnsi="Palatino Linotype" w:cs="Arial"/>
          <w:lang w:val="es-ES"/>
        </w:rPr>
        <w:t xml:space="preserve">razones o motivos de inconformidad hechos valer </w:t>
      </w:r>
      <w:r w:rsidRPr="00EC22D4">
        <w:rPr>
          <w:rFonts w:ascii="Palatino Linotype" w:eastAsia="Calibri" w:hAnsi="Palatino Linotype" w:cs="Arial"/>
          <w:lang w:val="es-ES"/>
        </w:rPr>
        <w:t xml:space="preserve">en el recurso de revisión </w:t>
      </w:r>
      <w:r w:rsidR="006C24F1" w:rsidRPr="00EC22D4">
        <w:rPr>
          <w:rFonts w:ascii="Palatino Linotype" w:hAnsi="Palatino Linotype" w:cs="Arial"/>
          <w:b/>
          <w:bCs/>
        </w:rPr>
        <w:t>06508/INFOEM/IP/RR/2019</w:t>
      </w:r>
      <w:r w:rsidRPr="00EC22D4">
        <w:rPr>
          <w:rFonts w:ascii="Palatino Linotype" w:hAnsi="Palatino Linotype" w:cs="Arial"/>
          <w:b/>
          <w:bCs/>
          <w:lang w:eastAsia="es-MX"/>
        </w:rPr>
        <w:t xml:space="preserve"> </w:t>
      </w:r>
      <w:r w:rsidRPr="00EC22D4">
        <w:rPr>
          <w:rFonts w:ascii="Palatino Linotype" w:hAnsi="Palatino Linotype" w:cs="Arial"/>
          <w:bCs/>
          <w:lang w:eastAsia="es-MX"/>
        </w:rPr>
        <w:t xml:space="preserve">en términos del </w:t>
      </w:r>
      <w:r w:rsidRPr="00EC22D4">
        <w:rPr>
          <w:rFonts w:ascii="Palatino Linotype" w:hAnsi="Palatino Linotype" w:cs="Arial"/>
          <w:b/>
          <w:bCs/>
          <w:lang w:eastAsia="es-MX"/>
        </w:rPr>
        <w:t xml:space="preserve">Considerando </w:t>
      </w:r>
      <w:r w:rsidR="002F3A74" w:rsidRPr="00EC22D4">
        <w:rPr>
          <w:rFonts w:ascii="Palatino Linotype" w:hAnsi="Palatino Linotype" w:cs="Arial"/>
          <w:b/>
          <w:bCs/>
          <w:lang w:eastAsia="es-MX"/>
        </w:rPr>
        <w:t>C</w:t>
      </w:r>
      <w:r w:rsidR="0087203B" w:rsidRPr="00EC22D4">
        <w:rPr>
          <w:rFonts w:ascii="Palatino Linotype" w:hAnsi="Palatino Linotype" w:cs="Arial"/>
          <w:b/>
          <w:bCs/>
          <w:lang w:eastAsia="es-MX"/>
        </w:rPr>
        <w:t>uarto</w:t>
      </w:r>
      <w:r w:rsidRPr="00EC22D4">
        <w:rPr>
          <w:rFonts w:ascii="Palatino Linotype" w:hAnsi="Palatino Linotype" w:cs="Arial"/>
          <w:b/>
          <w:bCs/>
          <w:lang w:eastAsia="es-MX"/>
        </w:rPr>
        <w:t xml:space="preserve"> </w:t>
      </w:r>
      <w:r w:rsidRPr="00EC22D4">
        <w:rPr>
          <w:rFonts w:ascii="Palatino Linotype" w:hAnsi="Palatino Linotype" w:cs="Arial"/>
          <w:bCs/>
          <w:lang w:eastAsia="es-MX"/>
        </w:rPr>
        <w:t>de la presente resolución.</w:t>
      </w:r>
    </w:p>
    <w:p w:rsidR="001D29E8" w:rsidRPr="00EC22D4" w:rsidRDefault="001D29E8" w:rsidP="00EC22D4">
      <w:pPr>
        <w:spacing w:before="240" w:after="240" w:line="360" w:lineRule="auto"/>
        <w:jc w:val="both"/>
        <w:rPr>
          <w:rFonts w:ascii="Palatino Linotype" w:hAnsi="Palatino Linotype" w:cs="Arial"/>
          <w:bCs/>
          <w:shd w:val="clear" w:color="auto" w:fill="FFFFFF"/>
        </w:rPr>
      </w:pPr>
      <w:r w:rsidRPr="00EC22D4">
        <w:rPr>
          <w:rFonts w:ascii="Palatino Linotype" w:hAnsi="Palatino Linotype"/>
          <w:b/>
        </w:rPr>
        <w:t>SEGUNDO.</w:t>
      </w:r>
      <w:r w:rsidRPr="00EC22D4">
        <w:rPr>
          <w:rStyle w:val="Ttulo2Car"/>
          <w:rFonts w:ascii="Palatino Linotype" w:hAnsi="Palatino Linotype"/>
          <w:b/>
          <w:sz w:val="24"/>
          <w:szCs w:val="24"/>
        </w:rPr>
        <w:t xml:space="preserve"> </w:t>
      </w:r>
      <w:r w:rsidRPr="00EC22D4">
        <w:rPr>
          <w:rFonts w:ascii="Palatino Linotype" w:eastAsia="Calibri" w:hAnsi="Palatino Linotype" w:cs="Arial"/>
          <w:lang w:val="es-ES"/>
        </w:rPr>
        <w:t>Se</w:t>
      </w:r>
      <w:r w:rsidRPr="00EC22D4">
        <w:rPr>
          <w:rFonts w:ascii="Palatino Linotype" w:eastAsia="Calibri" w:hAnsi="Palatino Linotype" w:cs="Arial"/>
          <w:b/>
          <w:lang w:val="es-ES"/>
        </w:rPr>
        <w:t xml:space="preserve"> ORDENA </w:t>
      </w:r>
      <w:r w:rsidRPr="00EC22D4">
        <w:rPr>
          <w:rFonts w:ascii="Palatino Linotype" w:eastAsia="Calibri" w:hAnsi="Palatino Linotype" w:cs="Arial"/>
          <w:lang w:val="es-ES"/>
        </w:rPr>
        <w:t>al</w:t>
      </w:r>
      <w:r w:rsidRPr="00EC22D4">
        <w:rPr>
          <w:rFonts w:ascii="Palatino Linotype" w:eastAsia="Calibri" w:hAnsi="Palatino Linotype" w:cs="Arial"/>
          <w:b/>
          <w:lang w:val="es-ES"/>
        </w:rPr>
        <w:t xml:space="preserve"> </w:t>
      </w:r>
      <w:r w:rsidRPr="00EC22D4">
        <w:rPr>
          <w:rFonts w:ascii="Palatino Linotype" w:hAnsi="Palatino Linotype"/>
          <w:b/>
          <w:bCs/>
        </w:rPr>
        <w:t xml:space="preserve">Ayuntamiento de </w:t>
      </w:r>
      <w:proofErr w:type="spellStart"/>
      <w:r w:rsidR="00110803" w:rsidRPr="00EC22D4">
        <w:rPr>
          <w:rFonts w:ascii="Palatino Linotype" w:hAnsi="Palatino Linotype"/>
          <w:b/>
          <w:bCs/>
        </w:rPr>
        <w:t>Tequixquiac</w:t>
      </w:r>
      <w:proofErr w:type="spellEnd"/>
      <w:r w:rsidRPr="00EC22D4">
        <w:rPr>
          <w:rFonts w:ascii="Palatino Linotype" w:eastAsia="Times New Roman" w:hAnsi="Palatino Linotype" w:cs="Arial"/>
          <w:lang w:val="es-ES"/>
        </w:rPr>
        <w:t xml:space="preserve"> </w:t>
      </w:r>
      <w:r w:rsidRPr="00EC22D4">
        <w:rPr>
          <w:rFonts w:ascii="Palatino Linotype" w:eastAsia="Calibri" w:hAnsi="Palatino Linotype" w:cs="Arial"/>
          <w:lang w:val="es-ES"/>
        </w:rPr>
        <w:t xml:space="preserve">hacer entrega vía Sistema de Acceso a la Información Mexiquense </w:t>
      </w:r>
      <w:r w:rsidRPr="00EC22D4">
        <w:rPr>
          <w:rFonts w:ascii="Palatino Linotype" w:eastAsia="Calibri" w:hAnsi="Palatino Linotype" w:cs="Arial"/>
          <w:b/>
          <w:lang w:val="es-ES"/>
        </w:rPr>
        <w:t>(SAIMEX)</w:t>
      </w:r>
      <w:r w:rsidRPr="00EC22D4">
        <w:rPr>
          <w:rFonts w:ascii="Palatino Linotype" w:hAnsi="Palatino Linotype" w:cs="Arial"/>
          <w:bCs/>
          <w:shd w:val="clear" w:color="auto" w:fill="FFFFFF"/>
        </w:rPr>
        <w:t xml:space="preserve">, en versión pública, </w:t>
      </w:r>
      <w:r w:rsidR="00110803" w:rsidRPr="00EC22D4">
        <w:rPr>
          <w:rFonts w:ascii="Palatino Linotype" w:hAnsi="Palatino Linotype" w:cs="Arial"/>
          <w:bCs/>
          <w:shd w:val="clear" w:color="auto" w:fill="FFFFFF"/>
        </w:rPr>
        <w:t>la siguiente información</w:t>
      </w:r>
      <w:r w:rsidRPr="00EC22D4">
        <w:rPr>
          <w:rFonts w:ascii="Palatino Linotype" w:hAnsi="Palatino Linotype" w:cs="Arial"/>
          <w:bCs/>
          <w:shd w:val="clear" w:color="auto" w:fill="FFFFFF"/>
        </w:rPr>
        <w:t>:</w:t>
      </w:r>
    </w:p>
    <w:p w:rsidR="003E3F3C" w:rsidRPr="00EC22D4" w:rsidRDefault="003E3F3C" w:rsidP="00EC22D4">
      <w:pPr>
        <w:pStyle w:val="Prrafodelista"/>
        <w:numPr>
          <w:ilvl w:val="0"/>
          <w:numId w:val="24"/>
        </w:numPr>
        <w:spacing w:before="240" w:after="240" w:line="360" w:lineRule="auto"/>
        <w:ind w:right="49"/>
        <w:jc w:val="both"/>
        <w:rPr>
          <w:rFonts w:ascii="Palatino Linotype" w:hAnsi="Palatino Linotype" w:cs="Arial"/>
          <w:b/>
          <w:color w:val="000000" w:themeColor="text1"/>
        </w:rPr>
      </w:pPr>
      <w:r w:rsidRPr="00EC22D4">
        <w:rPr>
          <w:rFonts w:ascii="Palatino Linotype" w:hAnsi="Palatino Linotype" w:cs="Arial"/>
          <w:b/>
          <w:color w:val="000000" w:themeColor="text1"/>
        </w:rPr>
        <w:t>Recibos de nómina de</w:t>
      </w:r>
      <w:r w:rsidR="0087203B" w:rsidRPr="00EC22D4">
        <w:rPr>
          <w:rFonts w:ascii="Palatino Linotype" w:hAnsi="Palatino Linotype" w:cs="Arial"/>
          <w:b/>
          <w:color w:val="000000" w:themeColor="text1"/>
        </w:rPr>
        <w:t xml:space="preserve"> </w:t>
      </w:r>
      <w:r w:rsidRPr="00EC22D4">
        <w:rPr>
          <w:rFonts w:ascii="Palatino Linotype" w:hAnsi="Palatino Linotype" w:cs="Arial"/>
          <w:b/>
          <w:color w:val="000000" w:themeColor="text1"/>
        </w:rPr>
        <w:t>l</w:t>
      </w:r>
      <w:r w:rsidR="0087203B" w:rsidRPr="00EC22D4">
        <w:rPr>
          <w:rFonts w:ascii="Palatino Linotype" w:hAnsi="Palatino Linotype" w:cs="Arial"/>
          <w:b/>
          <w:color w:val="000000" w:themeColor="text1"/>
        </w:rPr>
        <w:t>os servidores públicos adscritos al</w:t>
      </w:r>
      <w:r w:rsidRPr="00EC22D4">
        <w:rPr>
          <w:rFonts w:ascii="Palatino Linotype" w:hAnsi="Palatino Linotype" w:cs="Arial"/>
          <w:b/>
          <w:color w:val="000000" w:themeColor="text1"/>
        </w:rPr>
        <w:t xml:space="preserve"> Municipio de </w:t>
      </w:r>
      <w:proofErr w:type="spellStart"/>
      <w:r w:rsidRPr="00EC22D4">
        <w:rPr>
          <w:rFonts w:ascii="Palatino Linotype" w:hAnsi="Palatino Linotype" w:cs="Arial"/>
          <w:b/>
          <w:color w:val="000000" w:themeColor="text1"/>
        </w:rPr>
        <w:t>Tequixquiac</w:t>
      </w:r>
      <w:proofErr w:type="spellEnd"/>
      <w:r w:rsidRPr="00EC22D4">
        <w:rPr>
          <w:rFonts w:ascii="Palatino Linotype" w:hAnsi="Palatino Linotype" w:cs="Arial"/>
          <w:b/>
          <w:color w:val="000000" w:themeColor="text1"/>
        </w:rPr>
        <w:t xml:space="preserve">, de </w:t>
      </w:r>
      <w:r w:rsidR="00422BBC" w:rsidRPr="00EC22D4">
        <w:rPr>
          <w:rFonts w:ascii="Palatino Linotype" w:hAnsi="Palatino Linotype" w:cs="Arial"/>
          <w:b/>
          <w:color w:val="000000" w:themeColor="text1"/>
        </w:rPr>
        <w:t xml:space="preserve">los meses de </w:t>
      </w:r>
      <w:r w:rsidRPr="00EC22D4">
        <w:rPr>
          <w:rFonts w:ascii="Palatino Linotype" w:hAnsi="Palatino Linotype" w:cs="Arial"/>
          <w:b/>
          <w:color w:val="000000" w:themeColor="text1"/>
        </w:rPr>
        <w:t>enero a junio de 2019.</w:t>
      </w:r>
    </w:p>
    <w:p w:rsidR="001D29E8" w:rsidRPr="00EC22D4" w:rsidRDefault="001D29E8" w:rsidP="00EC22D4">
      <w:pPr>
        <w:spacing w:line="360" w:lineRule="auto"/>
        <w:jc w:val="both"/>
        <w:rPr>
          <w:rFonts w:ascii="Palatino Linotype" w:eastAsia="Calibri" w:hAnsi="Palatino Linotype" w:cs="Arial"/>
          <w:lang w:val="es-ES"/>
        </w:rPr>
      </w:pPr>
      <w:r w:rsidRPr="00EC22D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910DF4" w:rsidRPr="00EC22D4">
        <w:rPr>
          <w:rFonts w:ascii="Palatino Linotype" w:hAnsi="Palatino Linotype"/>
          <w:b/>
        </w:rPr>
        <w:t xml:space="preserve">l </w:t>
      </w:r>
      <w:r w:rsidR="00910DF4" w:rsidRPr="00EC22D4">
        <w:rPr>
          <w:rFonts w:ascii="Palatino Linotype" w:hAnsi="Palatino Linotype"/>
        </w:rPr>
        <w:t>RECURRENTE.</w:t>
      </w:r>
    </w:p>
    <w:p w:rsidR="001D29E8" w:rsidRPr="00EC22D4" w:rsidRDefault="001D29E8" w:rsidP="00EC22D4">
      <w:pPr>
        <w:spacing w:line="360" w:lineRule="auto"/>
        <w:jc w:val="both"/>
        <w:rPr>
          <w:rFonts w:ascii="Palatino Linotype" w:eastAsia="Calibri" w:hAnsi="Palatino Linotype" w:cs="Arial"/>
          <w:color w:val="000000" w:themeColor="text1"/>
        </w:rPr>
      </w:pPr>
    </w:p>
    <w:p w:rsidR="001D29E8" w:rsidRPr="00EC22D4" w:rsidRDefault="001D29E8" w:rsidP="00EC22D4">
      <w:pPr>
        <w:tabs>
          <w:tab w:val="left" w:pos="8080"/>
        </w:tabs>
        <w:spacing w:line="360" w:lineRule="auto"/>
        <w:ind w:right="49"/>
        <w:contextualSpacing/>
        <w:jc w:val="both"/>
        <w:rPr>
          <w:rFonts w:ascii="Palatino Linotype" w:eastAsia="Palatino Linotype" w:hAnsi="Palatino Linotype" w:cs="Palatino Linotype"/>
          <w:b/>
        </w:rPr>
      </w:pPr>
      <w:r w:rsidRPr="00EC22D4">
        <w:rPr>
          <w:rFonts w:ascii="Palatino Linotype" w:eastAsia="Palatino Linotype" w:hAnsi="Palatino Linotype" w:cs="Palatino Linotype"/>
          <w:b/>
        </w:rPr>
        <w:t xml:space="preserve">TERCERO. Notifíquese </w:t>
      </w:r>
      <w:r w:rsidRPr="00EC22D4">
        <w:rPr>
          <w:rFonts w:ascii="Palatino Linotype" w:eastAsia="Palatino Linotype" w:hAnsi="Palatino Linotype" w:cs="Palatino Linotype"/>
        </w:rPr>
        <w:t xml:space="preserve">al Titular de la Unidad de Transparencia del </w:t>
      </w:r>
      <w:r w:rsidRPr="00EC22D4">
        <w:rPr>
          <w:rFonts w:ascii="Palatino Linotype" w:eastAsia="Palatino Linotype" w:hAnsi="Palatino Linotype" w:cs="Palatino Linotype"/>
          <w:b/>
        </w:rPr>
        <w:t>SUJETO OBLIGADO</w:t>
      </w:r>
      <w:r w:rsidRPr="00EC22D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C22D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1D29E8" w:rsidRPr="00EC22D4" w:rsidRDefault="001D29E8" w:rsidP="00EC22D4">
      <w:pPr>
        <w:shd w:val="clear" w:color="auto" w:fill="FFFFFF"/>
        <w:spacing w:line="360" w:lineRule="auto"/>
        <w:jc w:val="both"/>
        <w:rPr>
          <w:rFonts w:ascii="Palatino Linotype" w:eastAsia="Times New Roman" w:hAnsi="Palatino Linotype" w:cs="Arial"/>
          <w:b/>
        </w:rPr>
      </w:pPr>
    </w:p>
    <w:p w:rsidR="001D29E8" w:rsidRPr="00EC22D4" w:rsidRDefault="001D29E8" w:rsidP="00EC22D4">
      <w:pPr>
        <w:shd w:val="clear" w:color="auto" w:fill="FFFFFF"/>
        <w:spacing w:line="360" w:lineRule="auto"/>
        <w:jc w:val="both"/>
        <w:rPr>
          <w:rFonts w:ascii="Palatino Linotype" w:hAnsi="Palatino Linotype"/>
        </w:rPr>
      </w:pPr>
      <w:r w:rsidRPr="00EC22D4">
        <w:rPr>
          <w:rFonts w:ascii="Palatino Linotype" w:eastAsia="Times New Roman" w:hAnsi="Palatino Linotype" w:cs="Arial"/>
          <w:b/>
        </w:rPr>
        <w:t xml:space="preserve">CUARTO. </w:t>
      </w:r>
      <w:r w:rsidRPr="00EC22D4">
        <w:rPr>
          <w:rFonts w:ascii="Palatino Linotype" w:eastAsia="Times New Roman" w:hAnsi="Palatino Linotype" w:cs="Times New Roman"/>
          <w:b/>
          <w:bCs/>
          <w:color w:val="222222"/>
          <w:lang w:val="es-ES"/>
        </w:rPr>
        <w:t>Notifíquese a</w:t>
      </w:r>
      <w:r w:rsidRPr="00EC22D4">
        <w:rPr>
          <w:rFonts w:ascii="Palatino Linotype" w:hAnsi="Palatino Linotype"/>
          <w:b/>
        </w:rPr>
        <w:t xml:space="preserve"> </w:t>
      </w:r>
      <w:r w:rsidR="00D10323" w:rsidRPr="00D10323">
        <w:rPr>
          <w:rFonts w:ascii="Palatino Linotype" w:hAnsi="Palatino Linotype"/>
          <w:b/>
          <w:highlight w:val="black"/>
        </w:rPr>
        <w:t>----------------------------------</w:t>
      </w:r>
      <w:r w:rsidRPr="00EC22D4">
        <w:rPr>
          <w:rFonts w:ascii="Palatino Linotype" w:hAnsi="Palatino Linotype"/>
          <w:b/>
        </w:rPr>
        <w:t xml:space="preserve"> </w:t>
      </w:r>
      <w:r w:rsidRPr="00EC22D4">
        <w:rPr>
          <w:rFonts w:ascii="Palatino Linotype" w:hAnsi="Palatino Linotype"/>
        </w:rPr>
        <w:t>la presente resolución</w:t>
      </w:r>
      <w:r w:rsidRPr="00EC22D4">
        <w:rPr>
          <w:rFonts w:ascii="Palatino Linotype" w:hAnsi="Palatino Linotype"/>
          <w:highlight w:val="yellow"/>
        </w:rPr>
        <w:t>.</w:t>
      </w:r>
    </w:p>
    <w:p w:rsidR="001D29E8" w:rsidRPr="00EC22D4" w:rsidRDefault="001D29E8" w:rsidP="00EC22D4">
      <w:pPr>
        <w:shd w:val="clear" w:color="auto" w:fill="FFFFFF"/>
        <w:spacing w:line="360" w:lineRule="auto"/>
        <w:jc w:val="both"/>
        <w:rPr>
          <w:rFonts w:ascii="Palatino Linotype" w:hAnsi="Palatino Linotype"/>
        </w:rPr>
      </w:pPr>
    </w:p>
    <w:p w:rsidR="001D29E8" w:rsidRPr="00EC22D4" w:rsidRDefault="001D29E8" w:rsidP="00EC22D4">
      <w:pPr>
        <w:shd w:val="clear" w:color="auto" w:fill="FFFFFF"/>
        <w:spacing w:line="360" w:lineRule="auto"/>
        <w:jc w:val="both"/>
        <w:rPr>
          <w:rFonts w:ascii="Palatino Linotype" w:eastAsia="MS Mincho" w:hAnsi="Palatino Linotype" w:cs="Times New Roman"/>
          <w:lang w:val="es-ES"/>
        </w:rPr>
      </w:pPr>
      <w:r w:rsidRPr="00EC22D4">
        <w:rPr>
          <w:rFonts w:ascii="Palatino Linotype" w:eastAsia="MS Mincho" w:hAnsi="Palatino Linotype" w:cs="Times New Roman"/>
          <w:b/>
          <w:lang w:val="es-MX"/>
        </w:rPr>
        <w:t>QUINTO.</w:t>
      </w:r>
      <w:r w:rsidRPr="00EC22D4">
        <w:rPr>
          <w:rFonts w:ascii="Palatino Linotype" w:eastAsia="MS Mincho" w:hAnsi="Palatino Linotype" w:cs="Times New Roman"/>
          <w:lang w:val="es-MX"/>
        </w:rPr>
        <w:t xml:space="preserve"> </w:t>
      </w:r>
      <w:r w:rsidRPr="00EC22D4">
        <w:rPr>
          <w:rFonts w:ascii="Palatino Linotype" w:eastAsia="MS Mincho" w:hAnsi="Palatino Linotype" w:cs="Times New Roman"/>
          <w:lang w:val="es-ES"/>
        </w:rPr>
        <w:t xml:space="preserve">Se hace del conocimiento de </w:t>
      </w:r>
      <w:r w:rsidR="00D10323" w:rsidRPr="00D10323">
        <w:rPr>
          <w:rFonts w:ascii="Palatino Linotype" w:hAnsi="Palatino Linotype"/>
          <w:b/>
          <w:highlight w:val="black"/>
        </w:rPr>
        <w:t>--------------</w:t>
      </w:r>
      <w:r w:rsidR="00D10323">
        <w:rPr>
          <w:rFonts w:ascii="Palatino Linotype" w:hAnsi="Palatino Linotype"/>
          <w:b/>
          <w:highlight w:val="black"/>
        </w:rPr>
        <w:t>--</w:t>
      </w:r>
      <w:r w:rsidR="00D10323" w:rsidRPr="00D10323">
        <w:rPr>
          <w:rFonts w:ascii="Palatino Linotype" w:hAnsi="Palatino Linotype"/>
          <w:b/>
          <w:highlight w:val="black"/>
        </w:rPr>
        <w:t>------------------</w:t>
      </w:r>
      <w:r w:rsidRPr="00EC22D4">
        <w:rPr>
          <w:rFonts w:ascii="Palatino Linotype" w:hAnsi="Palatino Linotype"/>
          <w:b/>
        </w:rPr>
        <w:t xml:space="preserve"> </w:t>
      </w:r>
      <w:r w:rsidRPr="00EC22D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C22D4">
        <w:rPr>
          <w:rFonts w:ascii="Palatino Linotype" w:eastAsia="MS Mincho" w:hAnsi="Palatino Linotype" w:cs="Times New Roman"/>
          <w:bCs/>
          <w:lang w:val="es-ES"/>
        </w:rPr>
        <w:t>vía juicio de amparo</w:t>
      </w:r>
      <w:r w:rsidRPr="00EC22D4">
        <w:rPr>
          <w:rFonts w:ascii="Palatino Linotype" w:eastAsia="MS Mincho" w:hAnsi="Palatino Linotype" w:cs="Times New Roman"/>
          <w:lang w:val="es-ES"/>
        </w:rPr>
        <w:t> en los términos de las leyes aplicables.</w:t>
      </w:r>
    </w:p>
    <w:p w:rsidR="00087292" w:rsidRPr="00EC22D4" w:rsidRDefault="00087292" w:rsidP="00EC22D4">
      <w:pPr>
        <w:shd w:val="clear" w:color="auto" w:fill="FFFFFF"/>
        <w:spacing w:line="360" w:lineRule="auto"/>
        <w:jc w:val="both"/>
        <w:rPr>
          <w:rFonts w:ascii="Palatino Linotype" w:eastAsia="MS Mincho" w:hAnsi="Palatino Linotype" w:cs="Times New Roman"/>
          <w:lang w:val="es-ES"/>
        </w:rPr>
      </w:pPr>
    </w:p>
    <w:p w:rsidR="001D29E8" w:rsidRPr="00EC22D4" w:rsidRDefault="001D29E8" w:rsidP="00EC22D4">
      <w:pPr>
        <w:spacing w:line="360" w:lineRule="auto"/>
        <w:jc w:val="both"/>
        <w:rPr>
          <w:rFonts w:ascii="Palatino Linotype" w:eastAsia="MS Mincho" w:hAnsi="Palatino Linotype" w:cs="Times New Roman"/>
        </w:rPr>
      </w:pPr>
      <w:r w:rsidRPr="00EC22D4">
        <w:rPr>
          <w:rFonts w:ascii="Palatino Linotype" w:eastAsia="MS Mincho" w:hAnsi="Palatino Linotype" w:cs="Times New Roman"/>
          <w:b/>
        </w:rPr>
        <w:t xml:space="preserve">SEXTO. </w:t>
      </w:r>
      <w:r w:rsidRPr="00EC22D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C22D4">
        <w:rPr>
          <w:rFonts w:ascii="Palatino Linotype" w:eastAsia="MS Mincho" w:hAnsi="Palatino Linotype" w:cs="Times New Roman"/>
          <w:b/>
        </w:rPr>
        <w:t xml:space="preserve">Considerando </w:t>
      </w:r>
      <w:r w:rsidR="00422BBC" w:rsidRPr="00EC22D4">
        <w:rPr>
          <w:rFonts w:ascii="Palatino Linotype" w:eastAsia="MS Mincho" w:hAnsi="Palatino Linotype" w:cs="Times New Roman"/>
          <w:b/>
        </w:rPr>
        <w:t>Quinto</w:t>
      </w:r>
      <w:r w:rsidRPr="00EC22D4">
        <w:rPr>
          <w:rFonts w:ascii="Palatino Linotype" w:eastAsia="MS Mincho" w:hAnsi="Palatino Linotype" w:cs="Times New Roman"/>
        </w:rPr>
        <w:t>.</w:t>
      </w:r>
    </w:p>
    <w:p w:rsidR="00333841" w:rsidRPr="00EC22D4" w:rsidRDefault="00333841" w:rsidP="00EC22D4">
      <w:pPr>
        <w:shd w:val="clear" w:color="auto" w:fill="FFFFFF"/>
        <w:spacing w:before="240" w:after="360" w:line="360" w:lineRule="auto"/>
        <w:jc w:val="both"/>
        <w:rPr>
          <w:rFonts w:ascii="Palatino Linotype" w:hAnsi="Palatino Linotype" w:cs="Arial"/>
        </w:rPr>
      </w:pPr>
      <w:r w:rsidRPr="00EC22D4">
        <w:rPr>
          <w:rFonts w:ascii="Palatino Linotype" w:hAnsi="Palatino Linotype"/>
        </w:rPr>
        <w:t>A</w:t>
      </w:r>
      <w:r w:rsidRPr="00CE5881">
        <w:rPr>
          <w:rFonts w:ascii="Palatino Linotype" w:hAnsi="Palatino Linotype"/>
        </w:rPr>
        <w:t>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CE5881">
        <w:rPr>
          <w:rFonts w:ascii="Palatino Linotype" w:hAnsi="Palatino Linotype"/>
        </w:rPr>
        <w:t xml:space="preserve"> Y LUIS GUSTAVO PARRA NORIEGA EMITIENDO VOTO PARTICULAR, </w:t>
      </w:r>
      <w:r w:rsidRPr="00CE5881">
        <w:rPr>
          <w:rFonts w:ascii="Palatino Linotype" w:hAnsi="Palatino Linotype"/>
        </w:rPr>
        <w:t>EN LA</w:t>
      </w:r>
      <w:r w:rsidR="00CE5881">
        <w:rPr>
          <w:rFonts w:ascii="Palatino Linotype" w:hAnsi="Palatino Linotype"/>
        </w:rPr>
        <w:t xml:space="preserve"> TRIGÉSIMA SÉPTIMA</w:t>
      </w:r>
      <w:r w:rsidRPr="00CE5881">
        <w:rPr>
          <w:rFonts w:ascii="Palatino Linotype" w:hAnsi="Palatino Linotype"/>
        </w:rPr>
        <w:t xml:space="preserve"> SE</w:t>
      </w:r>
      <w:r w:rsidR="00CE5881">
        <w:rPr>
          <w:rFonts w:ascii="Palatino Linotype" w:hAnsi="Palatino Linotype"/>
        </w:rPr>
        <w:t>SIÓN ORDINARIA CELEBRADA EL DÍA NUEVE</w:t>
      </w:r>
      <w:r w:rsidRPr="00CE5881">
        <w:rPr>
          <w:rFonts w:ascii="Palatino Linotype" w:hAnsi="Palatino Linotype"/>
        </w:rPr>
        <w:t xml:space="preserve"> (</w:t>
      </w:r>
      <w:r w:rsidR="00CE5881">
        <w:rPr>
          <w:rFonts w:ascii="Palatino Linotype" w:hAnsi="Palatino Linotype"/>
        </w:rPr>
        <w:t>09) DE OCTUBRE</w:t>
      </w:r>
      <w:r w:rsidRPr="00CE5881">
        <w:rPr>
          <w:rFonts w:ascii="Palatino Linotype" w:hAnsi="Palatino Linotype"/>
        </w:rPr>
        <w:t xml:space="preserve"> DE DOS MIL DIECI</w:t>
      </w:r>
      <w:r w:rsidR="002A52B8" w:rsidRPr="00CE5881">
        <w:rPr>
          <w:rFonts w:ascii="Palatino Linotype" w:hAnsi="Palatino Linotype"/>
        </w:rPr>
        <w:t>NUEVE</w:t>
      </w:r>
      <w:r w:rsidR="00CE5881">
        <w:rPr>
          <w:rFonts w:ascii="Palatino Linotype" w:hAnsi="Palatino Linotype"/>
        </w:rPr>
        <w:t>, ANTE EL SECRETARIO TÉCNICO</w:t>
      </w:r>
      <w:r w:rsidRPr="00CE5881">
        <w:rPr>
          <w:rFonts w:ascii="Palatino Linotype" w:hAnsi="Palatino Linotype"/>
        </w:rPr>
        <w:t xml:space="preserve"> DEL PLENO</w:t>
      </w:r>
      <w:r w:rsidR="00CE5881">
        <w:rPr>
          <w:rFonts w:ascii="Palatino Linotype" w:hAnsi="Palatino Linotype"/>
        </w:rPr>
        <w:t>,</w:t>
      </w:r>
      <w:r w:rsidRPr="00CE5881">
        <w:rPr>
          <w:rFonts w:ascii="Palatino Linotype" w:hAnsi="Palatino Linotype"/>
        </w:rPr>
        <w:t xml:space="preserve"> </w:t>
      </w:r>
      <w:r w:rsidR="00994DEC" w:rsidRPr="00CE5881">
        <w:rPr>
          <w:rFonts w:ascii="Palatino Linotype" w:hAnsi="Palatino Linotype"/>
        </w:rPr>
        <w:t>ALEXIS TAPIA RAMÍREZ</w:t>
      </w:r>
      <w:r w:rsidRPr="00CE5881">
        <w:rPr>
          <w:rFonts w:ascii="Palatino Linotype" w:hAnsi="Palatino Linotype"/>
        </w:rPr>
        <w:t>.</w:t>
      </w:r>
      <w:r w:rsidRPr="00EC22D4">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EC22D4" w:rsidTr="00453DAD">
        <w:trPr>
          <w:jc w:val="center"/>
        </w:trPr>
        <w:tc>
          <w:tcPr>
            <w:tcW w:w="9918" w:type="dxa"/>
            <w:gridSpan w:val="2"/>
          </w:tcPr>
          <w:p w:rsidR="00994DEC" w:rsidRPr="00EC22D4" w:rsidRDefault="00994DEC" w:rsidP="00EC22D4">
            <w:pPr>
              <w:tabs>
                <w:tab w:val="left" w:pos="0"/>
              </w:tabs>
              <w:spacing w:line="360" w:lineRule="auto"/>
              <w:jc w:val="center"/>
              <w:rPr>
                <w:rFonts w:ascii="Palatino Linotype" w:hAnsi="Palatino Linotype" w:cs="Arial"/>
                <w:b/>
              </w:rPr>
            </w:pPr>
          </w:p>
          <w:p w:rsidR="00994DEC" w:rsidRDefault="00994DEC" w:rsidP="00EC22D4">
            <w:pPr>
              <w:tabs>
                <w:tab w:val="left" w:pos="0"/>
              </w:tabs>
              <w:spacing w:line="360" w:lineRule="auto"/>
              <w:jc w:val="center"/>
              <w:rPr>
                <w:rFonts w:ascii="Palatino Linotype" w:hAnsi="Palatino Linotype" w:cs="Arial"/>
                <w:b/>
              </w:rPr>
            </w:pPr>
          </w:p>
          <w:p w:rsidR="00CE5881" w:rsidRDefault="00CE5881" w:rsidP="00EC22D4">
            <w:pPr>
              <w:tabs>
                <w:tab w:val="left" w:pos="0"/>
              </w:tabs>
              <w:spacing w:line="360" w:lineRule="auto"/>
              <w:jc w:val="center"/>
              <w:rPr>
                <w:rFonts w:ascii="Palatino Linotype" w:hAnsi="Palatino Linotype" w:cs="Arial"/>
                <w:b/>
              </w:rPr>
            </w:pPr>
          </w:p>
          <w:p w:rsidR="00CE5881" w:rsidRPr="00CE5881" w:rsidRDefault="00CE5881" w:rsidP="00EC22D4">
            <w:pPr>
              <w:tabs>
                <w:tab w:val="left" w:pos="0"/>
              </w:tabs>
              <w:spacing w:line="360" w:lineRule="auto"/>
              <w:jc w:val="center"/>
              <w:rPr>
                <w:rFonts w:ascii="Palatino Linotype" w:hAnsi="Palatino Linotype" w:cs="Arial"/>
                <w:b/>
                <w:sz w:val="6"/>
              </w:rPr>
            </w:pP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Zulema Martínez Sánchez</w:t>
            </w: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rPr>
              <w:t>Comisionada Presidenta</w:t>
            </w:r>
          </w:p>
          <w:p w:rsidR="00994DEC" w:rsidRDefault="00994DEC" w:rsidP="00CE5881">
            <w:pPr>
              <w:tabs>
                <w:tab w:val="left" w:pos="0"/>
              </w:tabs>
              <w:spacing w:line="360" w:lineRule="auto"/>
              <w:jc w:val="center"/>
              <w:rPr>
                <w:rFonts w:ascii="Palatino Linotype" w:hAnsi="Palatino Linotype" w:cs="Arial"/>
                <w:b/>
              </w:rPr>
            </w:pPr>
            <w:r w:rsidRPr="00EC22D4">
              <w:rPr>
                <w:rFonts w:ascii="Palatino Linotype" w:hAnsi="Palatino Linotype" w:cs="Arial"/>
                <w:b/>
              </w:rPr>
              <w:t xml:space="preserve">(RÚBRICA) </w:t>
            </w:r>
          </w:p>
          <w:p w:rsidR="00CE5881" w:rsidRPr="00EC22D4" w:rsidRDefault="00CE5881" w:rsidP="00CE5881">
            <w:pPr>
              <w:tabs>
                <w:tab w:val="left" w:pos="0"/>
              </w:tabs>
              <w:spacing w:line="360" w:lineRule="auto"/>
              <w:jc w:val="center"/>
              <w:rPr>
                <w:rFonts w:ascii="Palatino Linotype" w:hAnsi="Palatino Linotype" w:cs="Arial"/>
                <w:b/>
              </w:rPr>
            </w:pPr>
          </w:p>
        </w:tc>
      </w:tr>
      <w:tr w:rsidR="00994DEC" w:rsidRPr="00EC22D4" w:rsidTr="00453DAD">
        <w:trPr>
          <w:jc w:val="center"/>
        </w:trPr>
        <w:tc>
          <w:tcPr>
            <w:tcW w:w="4905" w:type="dxa"/>
          </w:tcPr>
          <w:p w:rsidR="00994DEC" w:rsidRPr="00EC22D4" w:rsidRDefault="00994DEC" w:rsidP="00CE5881">
            <w:pPr>
              <w:tabs>
                <w:tab w:val="left" w:pos="0"/>
              </w:tabs>
              <w:spacing w:line="360" w:lineRule="auto"/>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 xml:space="preserve">Eva </w:t>
            </w:r>
            <w:proofErr w:type="spellStart"/>
            <w:r w:rsidRPr="00EC22D4">
              <w:rPr>
                <w:rFonts w:ascii="Palatino Linotype" w:hAnsi="Palatino Linotype" w:cs="Arial"/>
                <w:b/>
              </w:rPr>
              <w:t>Abaid</w:t>
            </w:r>
            <w:proofErr w:type="spellEnd"/>
            <w:r w:rsidRPr="00EC22D4">
              <w:rPr>
                <w:rFonts w:ascii="Palatino Linotype" w:hAnsi="Palatino Linotype" w:cs="Arial"/>
                <w:b/>
              </w:rPr>
              <w:t xml:space="preserve"> </w:t>
            </w:r>
            <w:proofErr w:type="spellStart"/>
            <w:r w:rsidRPr="00EC22D4">
              <w:rPr>
                <w:rFonts w:ascii="Palatino Linotype" w:hAnsi="Palatino Linotype" w:cs="Arial"/>
                <w:b/>
              </w:rPr>
              <w:t>Yapur</w:t>
            </w:r>
            <w:proofErr w:type="spellEnd"/>
          </w:p>
          <w:p w:rsidR="00994DEC" w:rsidRPr="00EC22D4" w:rsidRDefault="00994DEC" w:rsidP="00EC22D4">
            <w:pPr>
              <w:tabs>
                <w:tab w:val="left" w:pos="0"/>
              </w:tabs>
              <w:spacing w:line="360" w:lineRule="auto"/>
              <w:jc w:val="center"/>
              <w:rPr>
                <w:rFonts w:ascii="Palatino Linotype" w:hAnsi="Palatino Linotype" w:cs="Arial"/>
              </w:rPr>
            </w:pPr>
            <w:r w:rsidRPr="00EC22D4">
              <w:rPr>
                <w:rFonts w:ascii="Palatino Linotype" w:hAnsi="Palatino Linotype" w:cs="Arial"/>
              </w:rPr>
              <w:t>Comisionada</w:t>
            </w: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(RÚBRICA)</w:t>
            </w:r>
          </w:p>
        </w:tc>
        <w:tc>
          <w:tcPr>
            <w:tcW w:w="5013" w:type="dxa"/>
          </w:tcPr>
          <w:p w:rsidR="00994DEC" w:rsidRPr="00EC22D4" w:rsidRDefault="00994DEC" w:rsidP="00EC22D4">
            <w:pPr>
              <w:tabs>
                <w:tab w:val="left" w:pos="0"/>
              </w:tabs>
              <w:spacing w:line="360" w:lineRule="auto"/>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José Guadalupe Luna Hernández</w:t>
            </w:r>
          </w:p>
          <w:p w:rsidR="00994DEC" w:rsidRPr="00EC22D4" w:rsidRDefault="00994DEC" w:rsidP="00EC22D4">
            <w:pPr>
              <w:tabs>
                <w:tab w:val="left" w:pos="0"/>
              </w:tabs>
              <w:spacing w:line="360" w:lineRule="auto"/>
              <w:jc w:val="center"/>
              <w:rPr>
                <w:rFonts w:ascii="Palatino Linotype" w:hAnsi="Palatino Linotype" w:cs="Arial"/>
              </w:rPr>
            </w:pPr>
            <w:r w:rsidRPr="00EC22D4">
              <w:rPr>
                <w:rFonts w:ascii="Palatino Linotype" w:hAnsi="Palatino Linotype" w:cs="Arial"/>
              </w:rPr>
              <w:t>Comisionado</w:t>
            </w: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(RÚBRICA)</w:t>
            </w:r>
          </w:p>
          <w:p w:rsidR="00994DEC" w:rsidRPr="00EC22D4" w:rsidRDefault="00994DEC" w:rsidP="00EC22D4">
            <w:pPr>
              <w:tabs>
                <w:tab w:val="left" w:pos="0"/>
              </w:tabs>
              <w:spacing w:line="360" w:lineRule="auto"/>
              <w:jc w:val="center"/>
              <w:rPr>
                <w:rFonts w:ascii="Palatino Linotype" w:hAnsi="Palatino Linotype" w:cs="Arial"/>
                <w:b/>
              </w:rPr>
            </w:pPr>
          </w:p>
        </w:tc>
      </w:tr>
      <w:tr w:rsidR="00994DEC" w:rsidRPr="00EC22D4" w:rsidTr="00453DAD">
        <w:trPr>
          <w:jc w:val="center"/>
        </w:trPr>
        <w:tc>
          <w:tcPr>
            <w:tcW w:w="4905" w:type="dxa"/>
          </w:tcPr>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Javier Martínez Cruz</w:t>
            </w:r>
          </w:p>
          <w:p w:rsidR="00994DEC" w:rsidRPr="00EC22D4" w:rsidRDefault="00994DEC" w:rsidP="00EC22D4">
            <w:pPr>
              <w:tabs>
                <w:tab w:val="left" w:pos="0"/>
              </w:tabs>
              <w:spacing w:line="360" w:lineRule="auto"/>
              <w:jc w:val="center"/>
              <w:rPr>
                <w:rFonts w:ascii="Palatino Linotype" w:hAnsi="Palatino Linotype" w:cs="Arial"/>
              </w:rPr>
            </w:pPr>
            <w:r w:rsidRPr="00EC22D4">
              <w:rPr>
                <w:rFonts w:ascii="Palatino Linotype" w:hAnsi="Palatino Linotype" w:cs="Arial"/>
              </w:rPr>
              <w:t>Comisionado</w:t>
            </w: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(RÚBRICA)</w:t>
            </w:r>
          </w:p>
        </w:tc>
        <w:tc>
          <w:tcPr>
            <w:tcW w:w="5013" w:type="dxa"/>
          </w:tcPr>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Luis Gustavo Parra Noriega</w:t>
            </w:r>
          </w:p>
          <w:p w:rsidR="00994DEC" w:rsidRPr="00EC22D4" w:rsidRDefault="00994DEC" w:rsidP="00EC22D4">
            <w:pPr>
              <w:tabs>
                <w:tab w:val="left" w:pos="0"/>
              </w:tabs>
              <w:spacing w:line="360" w:lineRule="auto"/>
              <w:jc w:val="center"/>
              <w:rPr>
                <w:rFonts w:ascii="Palatino Linotype" w:hAnsi="Palatino Linotype" w:cs="Arial"/>
              </w:rPr>
            </w:pPr>
            <w:r w:rsidRPr="00EC22D4">
              <w:rPr>
                <w:rFonts w:ascii="Palatino Linotype" w:hAnsi="Palatino Linotype" w:cs="Arial"/>
              </w:rPr>
              <w:t>Comisionado</w:t>
            </w: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(RÚBRICA)</w:t>
            </w:r>
          </w:p>
        </w:tc>
      </w:tr>
      <w:tr w:rsidR="00994DEC" w:rsidRPr="00EC22D4" w:rsidTr="00453DAD">
        <w:trPr>
          <w:jc w:val="center"/>
        </w:trPr>
        <w:tc>
          <w:tcPr>
            <w:tcW w:w="9918" w:type="dxa"/>
            <w:gridSpan w:val="2"/>
          </w:tcPr>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p>
          <w:p w:rsidR="00994DEC" w:rsidRPr="00EC22D4" w:rsidRDefault="00994DEC" w:rsidP="00EC22D4">
            <w:pPr>
              <w:tabs>
                <w:tab w:val="left" w:pos="0"/>
              </w:tabs>
              <w:spacing w:line="360" w:lineRule="auto"/>
              <w:rPr>
                <w:rFonts w:ascii="Palatino Linotype" w:hAnsi="Palatino Linotype" w:cs="Arial"/>
                <w:b/>
              </w:rPr>
            </w:pP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Alexis Tapia Ramírez</w:t>
            </w:r>
          </w:p>
          <w:p w:rsidR="00994DEC" w:rsidRPr="00EC22D4" w:rsidRDefault="00994DEC" w:rsidP="00EC22D4">
            <w:pPr>
              <w:tabs>
                <w:tab w:val="left" w:pos="0"/>
              </w:tabs>
              <w:spacing w:line="360" w:lineRule="auto"/>
              <w:jc w:val="center"/>
              <w:rPr>
                <w:rFonts w:ascii="Palatino Linotype" w:hAnsi="Palatino Linotype" w:cs="Arial"/>
              </w:rPr>
            </w:pPr>
            <w:r w:rsidRPr="00EC22D4">
              <w:rPr>
                <w:rFonts w:ascii="Palatino Linotype" w:hAnsi="Palatino Linotype" w:cs="Arial"/>
              </w:rPr>
              <w:t>Secretario Técnico del Pleno</w:t>
            </w:r>
          </w:p>
          <w:p w:rsidR="00994DEC" w:rsidRPr="00EC22D4" w:rsidRDefault="00994DEC" w:rsidP="00EC22D4">
            <w:pPr>
              <w:tabs>
                <w:tab w:val="left" w:pos="0"/>
              </w:tabs>
              <w:spacing w:line="360" w:lineRule="auto"/>
              <w:jc w:val="center"/>
              <w:rPr>
                <w:rFonts w:ascii="Palatino Linotype" w:hAnsi="Palatino Linotype" w:cs="Arial"/>
                <w:b/>
              </w:rPr>
            </w:pPr>
            <w:r w:rsidRPr="00EC22D4">
              <w:rPr>
                <w:rFonts w:ascii="Palatino Linotype" w:hAnsi="Palatino Linotype" w:cs="Arial"/>
                <w:b/>
              </w:rPr>
              <w:t>(RÚBRICA)</w:t>
            </w:r>
          </w:p>
          <w:p w:rsidR="00994DEC" w:rsidRPr="00EC22D4" w:rsidRDefault="00994DEC" w:rsidP="00EC22D4">
            <w:pPr>
              <w:tabs>
                <w:tab w:val="left" w:pos="0"/>
              </w:tabs>
              <w:spacing w:line="360" w:lineRule="auto"/>
              <w:jc w:val="center"/>
              <w:rPr>
                <w:rFonts w:ascii="Palatino Linotype" w:hAnsi="Palatino Linotype" w:cs="Arial"/>
                <w:b/>
              </w:rPr>
            </w:pPr>
          </w:p>
        </w:tc>
      </w:tr>
    </w:tbl>
    <w:p w:rsidR="00333841" w:rsidRPr="00EC22D4" w:rsidRDefault="00333841" w:rsidP="00EC22D4">
      <w:pPr>
        <w:spacing w:before="240" w:after="240" w:line="360" w:lineRule="auto"/>
        <w:jc w:val="both"/>
        <w:rPr>
          <w:rFonts w:ascii="Palatino Linotype" w:eastAsia="Times New Roman" w:hAnsi="Palatino Linotype" w:cs="Arial"/>
          <w:color w:val="000000" w:themeColor="text1"/>
        </w:rPr>
      </w:pPr>
    </w:p>
    <w:p w:rsidR="00333841" w:rsidRPr="00EC22D4" w:rsidRDefault="00333841" w:rsidP="00EC22D4">
      <w:pPr>
        <w:spacing w:before="240" w:after="240" w:line="360" w:lineRule="auto"/>
        <w:jc w:val="both"/>
        <w:rPr>
          <w:rFonts w:ascii="Palatino Linotype" w:eastAsia="Calibri" w:hAnsi="Palatino Linotype" w:cs="Arial"/>
          <w:b/>
        </w:rPr>
      </w:pPr>
      <w:r w:rsidRPr="00EC22D4">
        <w:rPr>
          <w:rFonts w:ascii="Palatino Linotype" w:eastAsia="Times New Roman" w:hAnsi="Palatino Linotype" w:cs="Arial"/>
          <w:color w:val="000000" w:themeColor="text1"/>
        </w:rPr>
        <w:t>Esta hoja cor</w:t>
      </w:r>
      <w:r w:rsidR="00CE5881">
        <w:rPr>
          <w:rFonts w:ascii="Palatino Linotype" w:eastAsia="Times New Roman" w:hAnsi="Palatino Linotype" w:cs="Arial"/>
          <w:color w:val="000000" w:themeColor="text1"/>
        </w:rPr>
        <w:t xml:space="preserve">responde a la resolución de fecha nueve de octubre </w:t>
      </w:r>
      <w:r w:rsidR="00994DEC" w:rsidRPr="00EC22D4">
        <w:rPr>
          <w:rFonts w:ascii="Palatino Linotype" w:eastAsia="Times New Roman" w:hAnsi="Palatino Linotype" w:cs="Arial"/>
          <w:color w:val="000000" w:themeColor="text1"/>
        </w:rPr>
        <w:t>de dos mil diecinueve</w:t>
      </w:r>
      <w:r w:rsidRPr="00EC22D4">
        <w:rPr>
          <w:rFonts w:ascii="Palatino Linotype" w:eastAsia="Times New Roman" w:hAnsi="Palatino Linotype" w:cs="Arial"/>
          <w:color w:val="000000" w:themeColor="text1"/>
        </w:rPr>
        <w:t xml:space="preserve">, emitida en el recurso de revisión </w:t>
      </w:r>
      <w:r w:rsidR="00CE5881">
        <w:rPr>
          <w:rFonts w:ascii="Palatino Linotype" w:hAnsi="Palatino Linotype" w:cs="Arial"/>
          <w:b/>
          <w:bCs/>
        </w:rPr>
        <w:t>06508</w:t>
      </w:r>
      <w:r w:rsidR="005B2875" w:rsidRPr="00EC22D4">
        <w:rPr>
          <w:rFonts w:ascii="Palatino Linotype" w:hAnsi="Palatino Linotype" w:cs="Arial"/>
          <w:b/>
          <w:bCs/>
        </w:rPr>
        <w:t>/INFOEM/IP/RR/2019</w:t>
      </w:r>
      <w:r w:rsidRPr="00EC22D4">
        <w:rPr>
          <w:rFonts w:ascii="Palatino Linotype" w:eastAsia="Times New Roman" w:hAnsi="Palatino Linotype" w:cs="Arial"/>
          <w:color w:val="000000" w:themeColor="text1"/>
        </w:rPr>
        <w:t>.</w:t>
      </w:r>
    </w:p>
    <w:p w:rsidR="008F4DCF" w:rsidRPr="00EC22D4" w:rsidRDefault="008F4DCF" w:rsidP="00EC22D4">
      <w:pPr>
        <w:spacing w:line="360" w:lineRule="auto"/>
        <w:rPr>
          <w:rFonts w:ascii="Palatino Linotype" w:hAnsi="Palatino Linotype"/>
        </w:rPr>
      </w:pPr>
    </w:p>
    <w:p w:rsidR="00EC22D4" w:rsidRPr="00EC22D4" w:rsidRDefault="00EC22D4">
      <w:pPr>
        <w:spacing w:line="360" w:lineRule="auto"/>
        <w:rPr>
          <w:rFonts w:ascii="Palatino Linotype" w:hAnsi="Palatino Linotype"/>
        </w:rPr>
      </w:pPr>
      <w:bookmarkStart w:id="38" w:name="_GoBack"/>
      <w:bookmarkEnd w:id="38"/>
    </w:p>
    <w:sectPr w:rsidR="00EC22D4" w:rsidRPr="00EC22D4" w:rsidSect="00EC22D4">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EB3" w:rsidRDefault="00147EB3" w:rsidP="00333841">
      <w:r>
        <w:separator/>
      </w:r>
    </w:p>
  </w:endnote>
  <w:endnote w:type="continuationSeparator" w:id="0">
    <w:p w:rsidR="00147EB3" w:rsidRDefault="00147EB3"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6C24F1" w:rsidRPr="00883450" w:rsidRDefault="006C24F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17207">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17207">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rsidR="006C24F1" w:rsidRDefault="006C24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F1" w:rsidRPr="00883450" w:rsidRDefault="006C24F1"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17207" w:rsidRPr="007172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17207" w:rsidRPr="00717207">
      <w:rPr>
        <w:rFonts w:ascii="Palatino Linotype" w:hAnsi="Palatino Linotype"/>
        <w:noProof/>
        <w:sz w:val="22"/>
        <w:szCs w:val="22"/>
        <w:lang w:val="es-ES"/>
      </w:rPr>
      <w:t>53</w:t>
    </w:r>
    <w:r w:rsidRPr="00883450">
      <w:rPr>
        <w:rFonts w:ascii="Palatino Linotype" w:hAnsi="Palatino Linotype"/>
        <w:sz w:val="22"/>
        <w:szCs w:val="22"/>
      </w:rPr>
      <w:fldChar w:fldCharType="end"/>
    </w:r>
  </w:p>
  <w:p w:rsidR="006C24F1" w:rsidRPr="00883450" w:rsidRDefault="006C24F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EB3" w:rsidRDefault="00147EB3" w:rsidP="00333841">
      <w:r>
        <w:separator/>
      </w:r>
    </w:p>
  </w:footnote>
  <w:footnote w:type="continuationSeparator" w:id="0">
    <w:p w:rsidR="00147EB3" w:rsidRDefault="00147EB3" w:rsidP="00333841">
      <w:r>
        <w:continuationSeparator/>
      </w:r>
    </w:p>
  </w:footnote>
  <w:footnote w:id="1">
    <w:p w:rsidR="006C24F1" w:rsidRPr="000C61AA" w:rsidRDefault="006C24F1" w:rsidP="001B0532">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6C24F1" w:rsidRDefault="006C24F1" w:rsidP="003C47D9">
      <w:pPr>
        <w:pStyle w:val="Textonotapie"/>
      </w:pPr>
      <w:r>
        <w:rPr>
          <w:rStyle w:val="Refdenotaalpie"/>
        </w:rPr>
        <w:footnoteRef/>
      </w:r>
      <w:r>
        <w:t xml:space="preserve"> Ley de Transparencia y Acceso a la Información Pública del Estado de México y Municipios. Artículo 9. …</w:t>
      </w:r>
    </w:p>
    <w:p w:rsidR="006C24F1" w:rsidRDefault="006C24F1" w:rsidP="003C47D9">
      <w:pPr>
        <w:pStyle w:val="Textonotapie"/>
      </w:pPr>
      <w:r>
        <w:t>II. Eficacia: Obligación del Instituto para tutelar, de manera efectiva, el derecho de acceso a la información;</w:t>
      </w:r>
    </w:p>
    <w:p w:rsidR="006C24F1" w:rsidRDefault="006C24F1" w:rsidP="003C47D9">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C24F1" w:rsidRPr="00EF13C1" w:rsidTr="00333841">
      <w:trPr>
        <w:trHeight w:val="138"/>
        <w:jc w:val="right"/>
      </w:trPr>
      <w:tc>
        <w:tcPr>
          <w:tcW w:w="2552" w:type="dxa"/>
          <w:vAlign w:val="center"/>
        </w:tcPr>
        <w:p w:rsidR="006C24F1" w:rsidRPr="00EF13C1" w:rsidRDefault="006C24F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C24F1" w:rsidRPr="003516BD" w:rsidRDefault="006C24F1" w:rsidP="00073BF3">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06508</w:t>
          </w:r>
          <w:r w:rsidRPr="007F4FAB">
            <w:rPr>
              <w:rFonts w:ascii="Palatino Linotype" w:hAnsi="Palatino Linotype" w:cs="Arial"/>
              <w:b/>
              <w:bCs/>
              <w:sz w:val="22"/>
              <w:szCs w:val="22"/>
              <w:lang w:eastAsia="es-MX"/>
            </w:rPr>
            <w:t>/INFOEM/IP/RR/2019</w:t>
          </w:r>
        </w:p>
      </w:tc>
    </w:tr>
    <w:tr w:rsidR="006C24F1" w:rsidRPr="00EF13C1" w:rsidTr="00333841">
      <w:trPr>
        <w:trHeight w:val="321"/>
        <w:jc w:val="right"/>
      </w:trPr>
      <w:tc>
        <w:tcPr>
          <w:tcW w:w="2552" w:type="dxa"/>
          <w:vAlign w:val="center"/>
        </w:tcPr>
        <w:p w:rsidR="006C24F1" w:rsidRPr="00EF13C1" w:rsidRDefault="006C24F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C24F1" w:rsidRPr="00920CDF" w:rsidRDefault="006C24F1" w:rsidP="003679F4">
          <w:pPr>
            <w:pStyle w:val="Encabezado"/>
            <w:jc w:val="both"/>
            <w:rPr>
              <w:rFonts w:ascii="Palatino Linotype" w:hAnsi="Palatino Linotype"/>
              <w:b/>
              <w:sz w:val="22"/>
              <w:szCs w:val="22"/>
            </w:rPr>
          </w:pPr>
          <w:r w:rsidRPr="006C24F1">
            <w:rPr>
              <w:rFonts w:ascii="Palatino Linotype" w:hAnsi="Palatino Linotype"/>
              <w:b/>
              <w:bCs/>
              <w:sz w:val="22"/>
              <w:szCs w:val="22"/>
            </w:rPr>
            <w:t xml:space="preserve">Ayuntamiento de </w:t>
          </w:r>
          <w:proofErr w:type="spellStart"/>
          <w:r w:rsidRPr="006C24F1">
            <w:rPr>
              <w:rFonts w:ascii="Palatino Linotype" w:hAnsi="Palatino Linotype"/>
              <w:b/>
              <w:bCs/>
              <w:sz w:val="22"/>
              <w:szCs w:val="22"/>
            </w:rPr>
            <w:t>Tequixquiac</w:t>
          </w:r>
          <w:proofErr w:type="spellEnd"/>
        </w:p>
      </w:tc>
    </w:tr>
    <w:tr w:rsidR="006C24F1" w:rsidRPr="00EF13C1" w:rsidTr="00333841">
      <w:trPr>
        <w:trHeight w:val="321"/>
        <w:jc w:val="right"/>
      </w:trPr>
      <w:tc>
        <w:tcPr>
          <w:tcW w:w="2552" w:type="dxa"/>
          <w:vAlign w:val="center"/>
        </w:tcPr>
        <w:p w:rsidR="006C24F1" w:rsidRPr="00EF13C1" w:rsidRDefault="006C24F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C24F1" w:rsidRPr="00EF13C1" w:rsidRDefault="006C24F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C24F1" w:rsidRDefault="006C24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F1" w:rsidRDefault="006C24F1"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C24F1" w:rsidRPr="00EF13C1" w:rsidTr="00333841">
      <w:trPr>
        <w:trHeight w:val="138"/>
        <w:jc w:val="right"/>
      </w:trPr>
      <w:tc>
        <w:tcPr>
          <w:tcW w:w="2552" w:type="dxa"/>
          <w:vAlign w:val="center"/>
        </w:tcPr>
        <w:p w:rsidR="006C24F1" w:rsidRPr="00EF13C1" w:rsidRDefault="006C24F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C24F1" w:rsidRPr="003516BD" w:rsidRDefault="006C24F1" w:rsidP="006C24F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06508</w:t>
          </w:r>
          <w:r w:rsidRPr="005B2875">
            <w:rPr>
              <w:rFonts w:ascii="Palatino Linotype" w:hAnsi="Palatino Linotype" w:cs="Arial"/>
              <w:b/>
              <w:bCs/>
              <w:sz w:val="22"/>
              <w:szCs w:val="22"/>
              <w:lang w:eastAsia="es-MX"/>
            </w:rPr>
            <w:t>/INFOEM/IP/RR/2019</w:t>
          </w:r>
        </w:p>
      </w:tc>
    </w:tr>
    <w:tr w:rsidR="006C24F1" w:rsidRPr="00EF13C1" w:rsidTr="00333841">
      <w:trPr>
        <w:trHeight w:val="233"/>
        <w:jc w:val="right"/>
      </w:trPr>
      <w:tc>
        <w:tcPr>
          <w:tcW w:w="2552" w:type="dxa"/>
          <w:vAlign w:val="center"/>
        </w:tcPr>
        <w:p w:rsidR="006C24F1" w:rsidRPr="00EF13C1" w:rsidRDefault="006C24F1"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C24F1" w:rsidRPr="00EF13C1" w:rsidRDefault="00790200" w:rsidP="00E55808">
          <w:pPr>
            <w:pStyle w:val="Encabezado"/>
            <w:rPr>
              <w:rFonts w:ascii="Palatino Linotype" w:hAnsi="Palatino Linotype"/>
              <w:b/>
              <w:sz w:val="22"/>
              <w:szCs w:val="22"/>
            </w:rPr>
          </w:pPr>
          <w:r w:rsidRPr="00790200">
            <w:rPr>
              <w:rFonts w:ascii="Palatino Linotype" w:hAnsi="Palatino Linotype"/>
              <w:b/>
              <w:sz w:val="22"/>
              <w:szCs w:val="22"/>
              <w:highlight w:val="black"/>
            </w:rPr>
            <w:t>----------------------------------</w:t>
          </w:r>
        </w:p>
      </w:tc>
    </w:tr>
    <w:tr w:rsidR="006C24F1" w:rsidRPr="00EF13C1" w:rsidTr="00333841">
      <w:trPr>
        <w:trHeight w:val="321"/>
        <w:jc w:val="right"/>
      </w:trPr>
      <w:tc>
        <w:tcPr>
          <w:tcW w:w="2552" w:type="dxa"/>
          <w:vAlign w:val="center"/>
        </w:tcPr>
        <w:p w:rsidR="006C24F1" w:rsidRPr="00EF13C1" w:rsidRDefault="006C24F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C24F1" w:rsidRPr="00EF13C1" w:rsidRDefault="006C24F1" w:rsidP="00B704E9">
          <w:pPr>
            <w:pStyle w:val="Encabezado"/>
            <w:jc w:val="both"/>
            <w:rPr>
              <w:rFonts w:ascii="Palatino Linotype" w:hAnsi="Palatino Linotype"/>
              <w:b/>
              <w:sz w:val="22"/>
              <w:szCs w:val="22"/>
            </w:rPr>
          </w:pPr>
          <w:r w:rsidRPr="006C24F1">
            <w:rPr>
              <w:rFonts w:ascii="Palatino Linotype" w:hAnsi="Palatino Linotype"/>
              <w:b/>
              <w:bCs/>
              <w:sz w:val="22"/>
              <w:szCs w:val="22"/>
            </w:rPr>
            <w:t xml:space="preserve">Ayuntamiento de </w:t>
          </w:r>
          <w:proofErr w:type="spellStart"/>
          <w:r w:rsidRPr="006C24F1">
            <w:rPr>
              <w:rFonts w:ascii="Palatino Linotype" w:hAnsi="Palatino Linotype"/>
              <w:b/>
              <w:bCs/>
              <w:sz w:val="22"/>
              <w:szCs w:val="22"/>
            </w:rPr>
            <w:t>Tequixquiac</w:t>
          </w:r>
          <w:proofErr w:type="spellEnd"/>
        </w:p>
      </w:tc>
    </w:tr>
    <w:tr w:rsidR="006C24F1" w:rsidRPr="00EF13C1" w:rsidTr="00333841">
      <w:trPr>
        <w:trHeight w:val="321"/>
        <w:jc w:val="right"/>
      </w:trPr>
      <w:tc>
        <w:tcPr>
          <w:tcW w:w="2552" w:type="dxa"/>
          <w:vAlign w:val="center"/>
        </w:tcPr>
        <w:p w:rsidR="006C24F1" w:rsidRPr="00EF13C1" w:rsidRDefault="006C24F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C24F1" w:rsidRPr="00EF13C1" w:rsidRDefault="006C24F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C24F1" w:rsidRDefault="006C24F1"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A88"/>
    <w:multiLevelType w:val="hybridMultilevel"/>
    <w:tmpl w:val="AB5C80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975D6D"/>
    <w:multiLevelType w:val="hybridMultilevel"/>
    <w:tmpl w:val="DEB67DA6"/>
    <w:lvl w:ilvl="0" w:tplc="BFA493DA">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13FC0F0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573983"/>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6"/>
  </w:num>
  <w:num w:numId="5">
    <w:abstractNumId w:val="19"/>
  </w:num>
  <w:num w:numId="6">
    <w:abstractNumId w:val="23"/>
  </w:num>
  <w:num w:numId="7">
    <w:abstractNumId w:val="14"/>
  </w:num>
  <w:num w:numId="8">
    <w:abstractNumId w:val="15"/>
  </w:num>
  <w:num w:numId="9">
    <w:abstractNumId w:val="7"/>
  </w:num>
  <w:num w:numId="10">
    <w:abstractNumId w:val="21"/>
  </w:num>
  <w:num w:numId="11">
    <w:abstractNumId w:val="22"/>
  </w:num>
  <w:num w:numId="12">
    <w:abstractNumId w:val="12"/>
  </w:num>
  <w:num w:numId="13">
    <w:abstractNumId w:val="24"/>
  </w:num>
  <w:num w:numId="14">
    <w:abstractNumId w:val="28"/>
  </w:num>
  <w:num w:numId="15">
    <w:abstractNumId w:val="10"/>
  </w:num>
  <w:num w:numId="16">
    <w:abstractNumId w:val="26"/>
  </w:num>
  <w:num w:numId="17">
    <w:abstractNumId w:val="27"/>
  </w:num>
  <w:num w:numId="18">
    <w:abstractNumId w:val="5"/>
  </w:num>
  <w:num w:numId="19">
    <w:abstractNumId w:val="20"/>
  </w:num>
  <w:num w:numId="20">
    <w:abstractNumId w:val="4"/>
  </w:num>
  <w:num w:numId="21">
    <w:abstractNumId w:val="3"/>
  </w:num>
  <w:num w:numId="22">
    <w:abstractNumId w:val="11"/>
  </w:num>
  <w:num w:numId="23">
    <w:abstractNumId w:val="1"/>
  </w:num>
  <w:num w:numId="24">
    <w:abstractNumId w:val="6"/>
  </w:num>
  <w:num w:numId="25">
    <w:abstractNumId w:val="7"/>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7"/>
  </w:num>
  <w:num w:numId="28">
    <w:abstractNumId w:val="9"/>
  </w:num>
  <w:num w:numId="29">
    <w:abstractNumId w:val="18"/>
  </w:num>
  <w:num w:numId="3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464E"/>
    <w:rsid w:val="00035535"/>
    <w:rsid w:val="00036937"/>
    <w:rsid w:val="00050B9A"/>
    <w:rsid w:val="00051BE7"/>
    <w:rsid w:val="00061859"/>
    <w:rsid w:val="00066D3D"/>
    <w:rsid w:val="00066DF4"/>
    <w:rsid w:val="00073BF3"/>
    <w:rsid w:val="0007664D"/>
    <w:rsid w:val="000800E4"/>
    <w:rsid w:val="00081791"/>
    <w:rsid w:val="00087292"/>
    <w:rsid w:val="00097574"/>
    <w:rsid w:val="000A7BF0"/>
    <w:rsid w:val="000B19BE"/>
    <w:rsid w:val="000B4938"/>
    <w:rsid w:val="000B5F28"/>
    <w:rsid w:val="000C0CF9"/>
    <w:rsid w:val="000C2BD5"/>
    <w:rsid w:val="000D6153"/>
    <w:rsid w:val="000F1E3E"/>
    <w:rsid w:val="00100DEC"/>
    <w:rsid w:val="00107A3B"/>
    <w:rsid w:val="00110803"/>
    <w:rsid w:val="00141C2D"/>
    <w:rsid w:val="001426D3"/>
    <w:rsid w:val="00147EB3"/>
    <w:rsid w:val="00156474"/>
    <w:rsid w:val="001624E5"/>
    <w:rsid w:val="001915A6"/>
    <w:rsid w:val="001943B4"/>
    <w:rsid w:val="00197D25"/>
    <w:rsid w:val="001B0532"/>
    <w:rsid w:val="001B7F0E"/>
    <w:rsid w:val="001D0413"/>
    <w:rsid w:val="001D29E8"/>
    <w:rsid w:val="001E0B39"/>
    <w:rsid w:val="001F734A"/>
    <w:rsid w:val="002002CE"/>
    <w:rsid w:val="0021153D"/>
    <w:rsid w:val="00230700"/>
    <w:rsid w:val="00234160"/>
    <w:rsid w:val="002636AE"/>
    <w:rsid w:val="00292D68"/>
    <w:rsid w:val="00297536"/>
    <w:rsid w:val="002A52B8"/>
    <w:rsid w:val="002B46BF"/>
    <w:rsid w:val="002B50E4"/>
    <w:rsid w:val="002B530A"/>
    <w:rsid w:val="002B79C6"/>
    <w:rsid w:val="002B7F36"/>
    <w:rsid w:val="002C4293"/>
    <w:rsid w:val="002D0010"/>
    <w:rsid w:val="002E4103"/>
    <w:rsid w:val="002E46FD"/>
    <w:rsid w:val="002F3A74"/>
    <w:rsid w:val="002F6329"/>
    <w:rsid w:val="002F6822"/>
    <w:rsid w:val="00301C09"/>
    <w:rsid w:val="00317BFE"/>
    <w:rsid w:val="00323580"/>
    <w:rsid w:val="00323990"/>
    <w:rsid w:val="00333841"/>
    <w:rsid w:val="003378A4"/>
    <w:rsid w:val="00342F2D"/>
    <w:rsid w:val="003460C1"/>
    <w:rsid w:val="003516BD"/>
    <w:rsid w:val="003679F4"/>
    <w:rsid w:val="00374961"/>
    <w:rsid w:val="00375338"/>
    <w:rsid w:val="00376174"/>
    <w:rsid w:val="0038045C"/>
    <w:rsid w:val="003A5DD5"/>
    <w:rsid w:val="003A64D9"/>
    <w:rsid w:val="003B62A4"/>
    <w:rsid w:val="003C47D9"/>
    <w:rsid w:val="003D2966"/>
    <w:rsid w:val="003E3F3C"/>
    <w:rsid w:val="003F2DAD"/>
    <w:rsid w:val="00410FDF"/>
    <w:rsid w:val="0042014B"/>
    <w:rsid w:val="00422489"/>
    <w:rsid w:val="00422BBC"/>
    <w:rsid w:val="00426AAA"/>
    <w:rsid w:val="004336C2"/>
    <w:rsid w:val="0043467F"/>
    <w:rsid w:val="00453DAD"/>
    <w:rsid w:val="00474EDB"/>
    <w:rsid w:val="004A35BD"/>
    <w:rsid w:val="004B1520"/>
    <w:rsid w:val="004B79C8"/>
    <w:rsid w:val="004C01F4"/>
    <w:rsid w:val="004D02CC"/>
    <w:rsid w:val="004F7B5A"/>
    <w:rsid w:val="0051151D"/>
    <w:rsid w:val="0051599B"/>
    <w:rsid w:val="00517CF8"/>
    <w:rsid w:val="00517D96"/>
    <w:rsid w:val="00527C85"/>
    <w:rsid w:val="00530C93"/>
    <w:rsid w:val="00545202"/>
    <w:rsid w:val="00575403"/>
    <w:rsid w:val="00575C4F"/>
    <w:rsid w:val="00580B17"/>
    <w:rsid w:val="00582A2D"/>
    <w:rsid w:val="00586493"/>
    <w:rsid w:val="0058701C"/>
    <w:rsid w:val="00592436"/>
    <w:rsid w:val="005B2875"/>
    <w:rsid w:val="005C5AA0"/>
    <w:rsid w:val="005D0BAF"/>
    <w:rsid w:val="00603FD7"/>
    <w:rsid w:val="00630BC6"/>
    <w:rsid w:val="00631EC6"/>
    <w:rsid w:val="0063729E"/>
    <w:rsid w:val="0066236C"/>
    <w:rsid w:val="00662B97"/>
    <w:rsid w:val="0067773A"/>
    <w:rsid w:val="006A5C83"/>
    <w:rsid w:val="006B18C6"/>
    <w:rsid w:val="006C24F1"/>
    <w:rsid w:val="006C5790"/>
    <w:rsid w:val="006D0CD4"/>
    <w:rsid w:val="006D3B0E"/>
    <w:rsid w:val="006E6170"/>
    <w:rsid w:val="006E6CF0"/>
    <w:rsid w:val="007061D8"/>
    <w:rsid w:val="00711FE1"/>
    <w:rsid w:val="00717207"/>
    <w:rsid w:val="00723AA0"/>
    <w:rsid w:val="00743996"/>
    <w:rsid w:val="00760B63"/>
    <w:rsid w:val="00772E9B"/>
    <w:rsid w:val="007771A4"/>
    <w:rsid w:val="00782672"/>
    <w:rsid w:val="00785905"/>
    <w:rsid w:val="00790200"/>
    <w:rsid w:val="00793E08"/>
    <w:rsid w:val="00796274"/>
    <w:rsid w:val="007B74AB"/>
    <w:rsid w:val="007F4FAB"/>
    <w:rsid w:val="007F7113"/>
    <w:rsid w:val="00800A6F"/>
    <w:rsid w:val="0080305F"/>
    <w:rsid w:val="0082278A"/>
    <w:rsid w:val="00823712"/>
    <w:rsid w:val="00826542"/>
    <w:rsid w:val="00827E13"/>
    <w:rsid w:val="008516BF"/>
    <w:rsid w:val="00856572"/>
    <w:rsid w:val="00863F29"/>
    <w:rsid w:val="0087203B"/>
    <w:rsid w:val="00873722"/>
    <w:rsid w:val="00895628"/>
    <w:rsid w:val="008A18A4"/>
    <w:rsid w:val="008A1A68"/>
    <w:rsid w:val="008A2F1C"/>
    <w:rsid w:val="008C3233"/>
    <w:rsid w:val="008D6080"/>
    <w:rsid w:val="008F2A82"/>
    <w:rsid w:val="008F2D9C"/>
    <w:rsid w:val="008F4DCF"/>
    <w:rsid w:val="008F75A7"/>
    <w:rsid w:val="008F7ADB"/>
    <w:rsid w:val="00910DF4"/>
    <w:rsid w:val="00920CDF"/>
    <w:rsid w:val="00923F45"/>
    <w:rsid w:val="00940FF7"/>
    <w:rsid w:val="00950A09"/>
    <w:rsid w:val="00953FDF"/>
    <w:rsid w:val="00955416"/>
    <w:rsid w:val="00956F61"/>
    <w:rsid w:val="009614F0"/>
    <w:rsid w:val="00963C8C"/>
    <w:rsid w:val="00964D97"/>
    <w:rsid w:val="00975DAA"/>
    <w:rsid w:val="00976E88"/>
    <w:rsid w:val="00986CD8"/>
    <w:rsid w:val="00994258"/>
    <w:rsid w:val="00994DEC"/>
    <w:rsid w:val="009B1A11"/>
    <w:rsid w:val="009B6FBB"/>
    <w:rsid w:val="009D2B84"/>
    <w:rsid w:val="009D37AE"/>
    <w:rsid w:val="009E2388"/>
    <w:rsid w:val="00A21054"/>
    <w:rsid w:val="00A22CB1"/>
    <w:rsid w:val="00A26284"/>
    <w:rsid w:val="00A26DF7"/>
    <w:rsid w:val="00A30700"/>
    <w:rsid w:val="00A359F5"/>
    <w:rsid w:val="00A57583"/>
    <w:rsid w:val="00A57AFF"/>
    <w:rsid w:val="00A670CB"/>
    <w:rsid w:val="00A8367F"/>
    <w:rsid w:val="00A87EB5"/>
    <w:rsid w:val="00AA43DE"/>
    <w:rsid w:val="00AB15A5"/>
    <w:rsid w:val="00AB4717"/>
    <w:rsid w:val="00AC3A3D"/>
    <w:rsid w:val="00AC3F01"/>
    <w:rsid w:val="00AC4A14"/>
    <w:rsid w:val="00AE05FB"/>
    <w:rsid w:val="00AE07C5"/>
    <w:rsid w:val="00AF7A12"/>
    <w:rsid w:val="00AF7AC3"/>
    <w:rsid w:val="00B317F0"/>
    <w:rsid w:val="00B44BF0"/>
    <w:rsid w:val="00B44E20"/>
    <w:rsid w:val="00B45B27"/>
    <w:rsid w:val="00B54A3B"/>
    <w:rsid w:val="00B556A8"/>
    <w:rsid w:val="00B704E9"/>
    <w:rsid w:val="00B726DF"/>
    <w:rsid w:val="00B828B6"/>
    <w:rsid w:val="00B82C8F"/>
    <w:rsid w:val="00BA6F11"/>
    <w:rsid w:val="00BB757C"/>
    <w:rsid w:val="00BE30F1"/>
    <w:rsid w:val="00BF42AE"/>
    <w:rsid w:val="00C0028F"/>
    <w:rsid w:val="00C02384"/>
    <w:rsid w:val="00C07142"/>
    <w:rsid w:val="00C27494"/>
    <w:rsid w:val="00C32CF8"/>
    <w:rsid w:val="00C4479E"/>
    <w:rsid w:val="00C52040"/>
    <w:rsid w:val="00C57508"/>
    <w:rsid w:val="00C75F5A"/>
    <w:rsid w:val="00CB11E8"/>
    <w:rsid w:val="00CB17CE"/>
    <w:rsid w:val="00CD2473"/>
    <w:rsid w:val="00CD3DDA"/>
    <w:rsid w:val="00CE257E"/>
    <w:rsid w:val="00CE5881"/>
    <w:rsid w:val="00CF1AA8"/>
    <w:rsid w:val="00CF460B"/>
    <w:rsid w:val="00D05AFA"/>
    <w:rsid w:val="00D10323"/>
    <w:rsid w:val="00D21192"/>
    <w:rsid w:val="00D374F6"/>
    <w:rsid w:val="00D413DD"/>
    <w:rsid w:val="00D62829"/>
    <w:rsid w:val="00D62B67"/>
    <w:rsid w:val="00D8790E"/>
    <w:rsid w:val="00DA519D"/>
    <w:rsid w:val="00DC00F9"/>
    <w:rsid w:val="00DC4AC6"/>
    <w:rsid w:val="00DE22C6"/>
    <w:rsid w:val="00E0464A"/>
    <w:rsid w:val="00E13A48"/>
    <w:rsid w:val="00E14249"/>
    <w:rsid w:val="00E2598A"/>
    <w:rsid w:val="00E27245"/>
    <w:rsid w:val="00E33240"/>
    <w:rsid w:val="00E55493"/>
    <w:rsid w:val="00E55808"/>
    <w:rsid w:val="00E7226C"/>
    <w:rsid w:val="00E752DA"/>
    <w:rsid w:val="00E7576A"/>
    <w:rsid w:val="00E93ACA"/>
    <w:rsid w:val="00E95EC5"/>
    <w:rsid w:val="00E966A7"/>
    <w:rsid w:val="00EC22D4"/>
    <w:rsid w:val="00EC32CC"/>
    <w:rsid w:val="00ED1EBA"/>
    <w:rsid w:val="00EE265F"/>
    <w:rsid w:val="00EE5AC9"/>
    <w:rsid w:val="00EE791E"/>
    <w:rsid w:val="00EF1AC5"/>
    <w:rsid w:val="00F04200"/>
    <w:rsid w:val="00F04C5D"/>
    <w:rsid w:val="00F1008C"/>
    <w:rsid w:val="00F15414"/>
    <w:rsid w:val="00F17CB5"/>
    <w:rsid w:val="00F25B79"/>
    <w:rsid w:val="00F43488"/>
    <w:rsid w:val="00F64AAE"/>
    <w:rsid w:val="00F73618"/>
    <w:rsid w:val="00F7376C"/>
    <w:rsid w:val="00F9124A"/>
    <w:rsid w:val="00F9561E"/>
    <w:rsid w:val="00F968EA"/>
    <w:rsid w:val="00FA7680"/>
    <w:rsid w:val="00FB5FDE"/>
    <w:rsid w:val="00FC008A"/>
    <w:rsid w:val="00FC27EC"/>
    <w:rsid w:val="00FD2682"/>
    <w:rsid w:val="00FE5C1D"/>
    <w:rsid w:val="00FF03CF"/>
    <w:rsid w:val="00FF1335"/>
    <w:rsid w:val="00FF22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422BBC"/>
    <w:pPr>
      <w:tabs>
        <w:tab w:val="right" w:leader="dot" w:pos="8828"/>
      </w:tabs>
      <w:spacing w:after="100" w:line="360" w:lineRule="auto"/>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D29E8"/>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8809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1354-3E62-4715-B0E5-3E04C5B8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9900</Words>
  <Characters>54450</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2019-10-10T17:21:00Z</dcterms:created>
  <dcterms:modified xsi:type="dcterms:W3CDTF">2020-02-19T00:17:00Z</dcterms:modified>
</cp:coreProperties>
</file>