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3B6632"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R</w:t>
      </w:r>
      <w:r w:rsidR="007E2E80" w:rsidRPr="00C35F18">
        <w:rPr>
          <w:rFonts w:ascii="Palatino Linotype" w:hAnsi="Palatino Linotype"/>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6C2923">
        <w:rPr>
          <w:rFonts w:ascii="Palatino Linotype" w:hAnsi="Palatino Linotype"/>
          <w:sz w:val="24"/>
          <w:szCs w:val="24"/>
          <w:lang w:eastAsia="es-MX"/>
        </w:rPr>
        <w:t>cinco de marzo</w:t>
      </w:r>
      <w:r>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D367BE">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367BE">
        <w:rPr>
          <w:rFonts w:ascii="Palatino Linotype" w:hAnsi="Palatino Linotype"/>
          <w:b/>
          <w:bCs/>
          <w:sz w:val="24"/>
          <w:szCs w:val="24"/>
          <w:lang w:eastAsia="es-MX"/>
        </w:rPr>
        <w:t xml:space="preserve"> 09795</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24C59">
        <w:rPr>
          <w:rFonts w:ascii="Palatino Linotype" w:hAnsi="Palatino Linotype"/>
          <w:sz w:val="24"/>
          <w:szCs w:val="24"/>
        </w:rPr>
        <w:t xml:space="preserve">o por el </w:t>
      </w:r>
      <w:r w:rsidR="00824C59" w:rsidRPr="00824C59">
        <w:rPr>
          <w:rFonts w:ascii="Palatino Linotype" w:hAnsi="Palatino Linotype"/>
          <w:b/>
          <w:sz w:val="24"/>
          <w:szCs w:val="24"/>
        </w:rPr>
        <w:t xml:space="preserve">C. </w:t>
      </w:r>
      <w:r w:rsidR="00D367BE">
        <w:rPr>
          <w:rFonts w:ascii="Palatino Linotype" w:hAnsi="Palatino Linotype"/>
          <w:b/>
          <w:sz w:val="24"/>
          <w:szCs w:val="24"/>
        </w:rPr>
        <w:t xml:space="preserve">  </w:t>
      </w:r>
      <w:r w:rsidR="00D428B2">
        <w:rPr>
          <w:rFonts w:ascii="Palatino Linotype" w:hAnsi="Palatino Linotype"/>
          <w:b/>
          <w:sz w:val="24"/>
          <w:szCs w:val="24"/>
        </w:rPr>
        <w:t>xxxx</w:t>
      </w:r>
      <w:bookmarkStart w:id="0" w:name="_GoBack"/>
      <w:bookmarkEnd w:id="0"/>
      <w:r w:rsidR="00D367BE">
        <w:rPr>
          <w:rFonts w:ascii="Palatino Linotype" w:hAnsi="Palatino Linotype"/>
          <w:b/>
          <w:sz w:val="24"/>
          <w:szCs w:val="24"/>
        </w:rPr>
        <w:t xml:space="preserve">     </w:t>
      </w:r>
      <w:r w:rsidR="00824C59">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BB26EE" w:rsidRPr="00BB26EE">
        <w:rPr>
          <w:rFonts w:ascii="Palatino Linotype" w:hAnsi="Palatino Linotype" w:cs="Arial"/>
          <w:b/>
          <w:sz w:val="24"/>
          <w:szCs w:val="24"/>
        </w:rPr>
        <w:t xml:space="preserve">Ayuntamiento </w:t>
      </w:r>
      <w:r w:rsidR="00D367BE">
        <w:rPr>
          <w:rFonts w:ascii="Palatino Linotype" w:hAnsi="Palatino Linotype" w:cs="Arial"/>
          <w:b/>
          <w:sz w:val="24"/>
          <w:szCs w:val="24"/>
        </w:rPr>
        <w:t>Axapusco</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367BE">
        <w:rPr>
          <w:rFonts w:ascii="Palatino Linotype" w:hAnsi="Palatino Linotype"/>
          <w:sz w:val="24"/>
          <w:szCs w:val="24"/>
        </w:rPr>
        <w:t>veintiséis de noviembre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D367BE" w:rsidRPr="00D367BE">
        <w:rPr>
          <w:rFonts w:ascii="Palatino Linotype" w:hAnsi="Palatino Linotype"/>
          <w:b/>
          <w:sz w:val="24"/>
          <w:szCs w:val="24"/>
        </w:rPr>
        <w:t>00491/AXAPUSCO/IP/2019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3B6632" w:rsidRDefault="00C35F18" w:rsidP="005157A8">
      <w:pPr>
        <w:rPr>
          <w:sz w:val="20"/>
        </w:rPr>
      </w:pPr>
    </w:p>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F6028A" w:rsidRPr="00F6028A">
        <w:rPr>
          <w:rFonts w:ascii="Palatino Linotype" w:eastAsia="Times New Roman" w:hAnsi="Palatino Linotype" w:cs="Times New Roman"/>
          <w:i/>
          <w:sz w:val="24"/>
          <w:szCs w:val="24"/>
          <w:lang w:val="es-ES_tradnl" w:eastAsia="es-ES"/>
        </w:rPr>
        <w:t>Solicito el titulo universitario y cedula profesional del Director de Servicios Públicos.</w:t>
      </w:r>
      <w:r w:rsidRPr="00FD55D4">
        <w:rPr>
          <w:rFonts w:ascii="Palatino Linotype" w:eastAsia="Times New Roman" w:hAnsi="Palatino Linotype" w:cs="Times New Roman"/>
          <w:i/>
          <w:lang w:val="es-ES_tradnl" w:eastAsia="es-ES"/>
        </w:rPr>
        <w:t>” [Sic]</w:t>
      </w:r>
    </w:p>
    <w:p w:rsidR="0016423B" w:rsidRPr="003B6632" w:rsidRDefault="0016423B" w:rsidP="0014447C">
      <w:pPr>
        <w:pStyle w:val="Sinespaciado"/>
        <w:spacing w:line="360" w:lineRule="auto"/>
        <w:jc w:val="both"/>
        <w:rPr>
          <w:rFonts w:ascii="Palatino Linotype" w:eastAsia="Times New Roman" w:hAnsi="Palatino Linotype" w:cs="Times New Roman"/>
          <w:i/>
          <w:sz w:val="14"/>
          <w:lang w:val="es-ES_tradnl" w:eastAsia="es-ES"/>
        </w:rPr>
      </w:pPr>
    </w:p>
    <w:p w:rsidR="0085433C" w:rsidRDefault="0085433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D4796" w:rsidRDefault="008D4796" w:rsidP="008D4796">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F6028A">
        <w:rPr>
          <w:rFonts w:ascii="Palatino Linotype" w:hAnsi="Palatino Linotype"/>
          <w:sz w:val="24"/>
        </w:rPr>
        <w:t>dos de diciembre</w:t>
      </w:r>
      <w:r>
        <w:rPr>
          <w:rFonts w:ascii="Palatino Linotype" w:hAnsi="Palatino Linotype"/>
          <w:sz w:val="24"/>
        </w:rPr>
        <w:t xml:space="preserve"> de dos mil diecinueve</w:t>
      </w:r>
      <w:r w:rsidRPr="00C35F18">
        <w:rPr>
          <w:rFonts w:ascii="Palatino Linotype" w:hAnsi="Palatino Linotype"/>
          <w:sz w:val="24"/>
        </w:rPr>
        <w:t xml:space="preserve">, </w:t>
      </w:r>
      <w:r>
        <w:rPr>
          <w:rFonts w:ascii="Palatino Linotype" w:hAnsi="Palatino Linotype"/>
          <w:sz w:val="24"/>
        </w:rPr>
        <w:t>manifestando lo siguiente:</w:t>
      </w:r>
    </w:p>
    <w:p w:rsidR="008D4796" w:rsidRDefault="008D4796" w:rsidP="008D4796">
      <w:pPr>
        <w:pStyle w:val="Sinespaciado"/>
        <w:spacing w:line="360" w:lineRule="auto"/>
        <w:jc w:val="both"/>
        <w:rPr>
          <w:rFonts w:ascii="Palatino Linotype" w:hAnsi="Palatino Linotype"/>
          <w:sz w:val="24"/>
        </w:rPr>
      </w:pPr>
    </w:p>
    <w:tbl>
      <w:tblPr>
        <w:tblW w:w="8577" w:type="dxa"/>
        <w:jc w:val="center"/>
        <w:tblCellSpacing w:w="0" w:type="dxa"/>
        <w:tblCellMar>
          <w:left w:w="0" w:type="dxa"/>
          <w:right w:w="0" w:type="dxa"/>
        </w:tblCellMar>
        <w:tblLook w:val="04A0" w:firstRow="1" w:lastRow="0" w:firstColumn="1" w:lastColumn="0" w:noHBand="0" w:noVBand="1"/>
      </w:tblPr>
      <w:tblGrid>
        <w:gridCol w:w="8577"/>
      </w:tblGrid>
      <w:tr w:rsidR="00F6028A" w:rsidRPr="00F6028A" w:rsidTr="00F6028A">
        <w:trPr>
          <w:trHeight w:val="204"/>
          <w:tblCellSpacing w:w="0" w:type="dxa"/>
          <w:jc w:val="center"/>
        </w:trPr>
        <w:tc>
          <w:tcPr>
            <w:tcW w:w="0" w:type="auto"/>
            <w:vAlign w:val="center"/>
            <w:hideMark/>
          </w:tcPr>
          <w:p w:rsidR="00F6028A" w:rsidRPr="00F6028A" w:rsidRDefault="00F6028A" w:rsidP="00F6028A">
            <w:pPr>
              <w:spacing w:after="0" w:line="240" w:lineRule="auto"/>
              <w:jc w:val="right"/>
              <w:rPr>
                <w:rFonts w:ascii="Times New Roman" w:eastAsia="Times New Roman" w:hAnsi="Times New Roman" w:cs="Times New Roman"/>
                <w:sz w:val="24"/>
                <w:szCs w:val="24"/>
                <w:lang w:eastAsia="es-MX"/>
              </w:rPr>
            </w:pPr>
            <w:r w:rsidRPr="00F6028A">
              <w:rPr>
                <w:rFonts w:ascii="Verdana" w:eastAsia="Times New Roman" w:hAnsi="Verdana" w:cs="Times New Roman"/>
                <w:sz w:val="18"/>
                <w:szCs w:val="18"/>
                <w:lang w:eastAsia="es-MX"/>
              </w:rPr>
              <w:t>Axapusco, México a 02 de Diciembre de 2019</w:t>
            </w:r>
          </w:p>
        </w:tc>
      </w:tr>
      <w:tr w:rsidR="00F6028A" w:rsidRPr="00F6028A" w:rsidTr="00F6028A">
        <w:trPr>
          <w:trHeight w:val="204"/>
          <w:tblCellSpacing w:w="0" w:type="dxa"/>
          <w:jc w:val="center"/>
        </w:trPr>
        <w:tc>
          <w:tcPr>
            <w:tcW w:w="0" w:type="auto"/>
            <w:vAlign w:val="center"/>
            <w:hideMark/>
          </w:tcPr>
          <w:p w:rsidR="00F6028A" w:rsidRPr="00F6028A" w:rsidRDefault="00F6028A" w:rsidP="00F6028A">
            <w:pPr>
              <w:spacing w:after="0" w:line="240" w:lineRule="auto"/>
              <w:jc w:val="right"/>
              <w:rPr>
                <w:rFonts w:ascii="Times New Roman" w:eastAsia="Times New Roman" w:hAnsi="Times New Roman" w:cs="Times New Roman"/>
                <w:sz w:val="24"/>
                <w:szCs w:val="24"/>
                <w:lang w:eastAsia="es-MX"/>
              </w:rPr>
            </w:pPr>
            <w:r w:rsidRPr="00F6028A">
              <w:rPr>
                <w:rFonts w:ascii="Verdana" w:eastAsia="Times New Roman" w:hAnsi="Verdana" w:cs="Times New Roman"/>
                <w:sz w:val="18"/>
                <w:szCs w:val="18"/>
                <w:lang w:eastAsia="es-MX"/>
              </w:rPr>
              <w:t>Nombre del solicitante:</w:t>
            </w:r>
          </w:p>
        </w:tc>
      </w:tr>
      <w:tr w:rsidR="00F6028A" w:rsidRPr="00F6028A" w:rsidTr="00F6028A">
        <w:trPr>
          <w:trHeight w:val="204"/>
          <w:tblCellSpacing w:w="0" w:type="dxa"/>
          <w:jc w:val="center"/>
        </w:trPr>
        <w:tc>
          <w:tcPr>
            <w:tcW w:w="0" w:type="auto"/>
            <w:vAlign w:val="center"/>
            <w:hideMark/>
          </w:tcPr>
          <w:p w:rsidR="00F6028A" w:rsidRPr="00F6028A" w:rsidRDefault="00F6028A" w:rsidP="00F6028A">
            <w:pPr>
              <w:spacing w:after="0" w:line="240" w:lineRule="auto"/>
              <w:jc w:val="right"/>
              <w:rPr>
                <w:rFonts w:ascii="Times New Roman" w:eastAsia="Times New Roman" w:hAnsi="Times New Roman" w:cs="Times New Roman"/>
                <w:sz w:val="24"/>
                <w:szCs w:val="24"/>
                <w:lang w:eastAsia="es-MX"/>
              </w:rPr>
            </w:pPr>
            <w:r w:rsidRPr="00F6028A">
              <w:rPr>
                <w:rFonts w:ascii="Verdana" w:eastAsia="Times New Roman" w:hAnsi="Verdana" w:cs="Times New Roman"/>
                <w:sz w:val="18"/>
                <w:szCs w:val="18"/>
                <w:lang w:eastAsia="es-MX"/>
              </w:rPr>
              <w:t>Folio de la solicitud: 00491/AXAPUSCO/IP/2019</w:t>
            </w:r>
          </w:p>
        </w:tc>
      </w:tr>
      <w:tr w:rsidR="00F6028A" w:rsidRPr="00F6028A" w:rsidTr="00F6028A">
        <w:trPr>
          <w:trHeight w:val="306"/>
          <w:tblCellSpacing w:w="0" w:type="dxa"/>
          <w:jc w:val="center"/>
        </w:trPr>
        <w:tc>
          <w:tcPr>
            <w:tcW w:w="0" w:type="auto"/>
            <w:vAlign w:val="center"/>
            <w:hideMark/>
          </w:tcPr>
          <w:p w:rsidR="00F6028A" w:rsidRPr="00F6028A" w:rsidRDefault="00F6028A" w:rsidP="00F6028A">
            <w:pPr>
              <w:spacing w:after="0" w:line="240" w:lineRule="auto"/>
              <w:jc w:val="right"/>
              <w:rPr>
                <w:rFonts w:ascii="Times New Roman" w:eastAsia="Times New Roman" w:hAnsi="Times New Roman" w:cs="Times New Roman"/>
                <w:sz w:val="24"/>
                <w:szCs w:val="24"/>
                <w:lang w:eastAsia="es-MX"/>
              </w:rPr>
            </w:pPr>
          </w:p>
        </w:tc>
      </w:tr>
      <w:tr w:rsidR="00F6028A" w:rsidRPr="00F6028A" w:rsidTr="00F6028A">
        <w:trPr>
          <w:trHeight w:val="102"/>
          <w:tblCellSpacing w:w="0" w:type="dxa"/>
          <w:jc w:val="center"/>
        </w:trPr>
        <w:tc>
          <w:tcPr>
            <w:tcW w:w="0" w:type="auto"/>
            <w:vAlign w:val="center"/>
            <w:hideMark/>
          </w:tcPr>
          <w:p w:rsidR="00F6028A" w:rsidRPr="00F6028A" w:rsidRDefault="00F6028A" w:rsidP="00F6028A">
            <w:pPr>
              <w:spacing w:after="0" w:line="240" w:lineRule="auto"/>
              <w:jc w:val="center"/>
              <w:rPr>
                <w:rFonts w:ascii="Times New Roman" w:eastAsia="Times New Roman" w:hAnsi="Times New Roman" w:cs="Times New Roman"/>
                <w:sz w:val="20"/>
                <w:szCs w:val="20"/>
                <w:lang w:eastAsia="es-MX"/>
              </w:rPr>
            </w:pPr>
          </w:p>
        </w:tc>
      </w:tr>
      <w:tr w:rsidR="00F6028A" w:rsidRPr="00F6028A" w:rsidTr="00F6028A">
        <w:trPr>
          <w:trHeight w:val="255"/>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0"/>
                <w:szCs w:val="20"/>
                <w:lang w:eastAsia="es-MX"/>
              </w:rPr>
            </w:pPr>
          </w:p>
        </w:tc>
      </w:tr>
      <w:tr w:rsidR="00F6028A" w:rsidRPr="00F6028A" w:rsidTr="00F6028A">
        <w:trPr>
          <w:trHeight w:val="102"/>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4"/>
                <w:szCs w:val="24"/>
                <w:lang w:eastAsia="es-MX"/>
              </w:rPr>
            </w:pPr>
            <w:r w:rsidRPr="00F6028A">
              <w:rPr>
                <w:rFonts w:ascii="Verdana" w:eastAsia="Times New Roman" w:hAnsi="Verdana" w:cs="Times New Roman"/>
                <w:sz w:val="18"/>
                <w:szCs w:val="18"/>
                <w:lang w:eastAsia="es-MX"/>
              </w:rPr>
              <w:t>De conformidad con los artículos 150, 163 de la Ley de Transparencia y Acceso a la Información Publica del Estado de México y Municipios, otorgo la contestación a su solicitud; por ello me permito informar con fundamento en Artículo 32 de la Ley Orgánica Municipal del Estado de México lo siguiente: 1.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deberán de cumplir con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 Aunado a lo anterior me permito informarle que la área de Servicios Públicos no esta contemplada dentro de las áreas que deben de contar con certificación o titulo profesional como lo marca el articulo ya mencionado anteriormente, por consecuente para este H. Ayuntamiento no es requisito contar con titulo y cédula profesional para ocupar el cargo de Director de Servicios Públicos, por lo que en nuestros archivos no obran los documentos que solicitan. Para mayor información o cualquier duda y/o aclaración puede comunicarse a la siguiente dirección de correo; axapusco@itaipem.org.mx, asi como para cualquier duda y aclaración, esperando que la información sea de su utilidad. Sin otro particular reciba un cordial saludo.</w:t>
            </w:r>
          </w:p>
        </w:tc>
      </w:tr>
      <w:tr w:rsidR="00F6028A" w:rsidRPr="00F6028A" w:rsidTr="00F6028A">
        <w:trPr>
          <w:trHeight w:val="255"/>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4"/>
                <w:szCs w:val="24"/>
                <w:lang w:eastAsia="es-MX"/>
              </w:rPr>
            </w:pPr>
          </w:p>
        </w:tc>
      </w:tr>
      <w:tr w:rsidR="00F6028A" w:rsidRPr="00F6028A" w:rsidTr="00F6028A">
        <w:trPr>
          <w:trHeight w:val="102"/>
          <w:tblCellSpacing w:w="0" w:type="dxa"/>
          <w:jc w:val="center"/>
        </w:trPr>
        <w:tc>
          <w:tcPr>
            <w:tcW w:w="0" w:type="auto"/>
            <w:vAlign w:val="center"/>
            <w:hideMark/>
          </w:tcPr>
          <w:p w:rsidR="00F6028A" w:rsidRPr="00F6028A" w:rsidRDefault="00F6028A" w:rsidP="00F6028A">
            <w:pPr>
              <w:spacing w:after="0" w:line="240" w:lineRule="auto"/>
              <w:jc w:val="center"/>
              <w:rPr>
                <w:rFonts w:ascii="Times New Roman" w:eastAsia="Times New Roman" w:hAnsi="Times New Roman" w:cs="Times New Roman"/>
                <w:sz w:val="20"/>
                <w:szCs w:val="20"/>
                <w:lang w:eastAsia="es-MX"/>
              </w:rPr>
            </w:pPr>
          </w:p>
        </w:tc>
      </w:tr>
      <w:tr w:rsidR="00F6028A" w:rsidRPr="00F6028A" w:rsidTr="00F6028A">
        <w:trPr>
          <w:trHeight w:val="102"/>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0"/>
                <w:szCs w:val="20"/>
                <w:lang w:eastAsia="es-MX"/>
              </w:rPr>
            </w:pPr>
          </w:p>
        </w:tc>
      </w:tr>
      <w:tr w:rsidR="00F6028A" w:rsidRPr="00F6028A" w:rsidTr="00F6028A">
        <w:trPr>
          <w:trHeight w:val="102"/>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4"/>
                <w:szCs w:val="24"/>
                <w:lang w:eastAsia="es-MX"/>
              </w:rPr>
            </w:pPr>
            <w:r w:rsidRPr="00F6028A">
              <w:rPr>
                <w:rFonts w:ascii="Verdana" w:eastAsia="Times New Roman" w:hAnsi="Verdana" w:cs="Times New Roman"/>
                <w:sz w:val="18"/>
                <w:szCs w:val="18"/>
                <w:lang w:eastAsia="es-MX"/>
              </w:rPr>
              <w:t>ATENTAMENTE</w:t>
            </w:r>
          </w:p>
        </w:tc>
      </w:tr>
      <w:tr w:rsidR="00F6028A" w:rsidRPr="00F6028A" w:rsidTr="00F6028A">
        <w:trPr>
          <w:trHeight w:val="153"/>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4"/>
                <w:szCs w:val="24"/>
                <w:lang w:eastAsia="es-MX"/>
              </w:rPr>
            </w:pPr>
          </w:p>
        </w:tc>
      </w:tr>
      <w:tr w:rsidR="00F6028A" w:rsidRPr="00F6028A" w:rsidTr="00F6028A">
        <w:trPr>
          <w:trHeight w:val="102"/>
          <w:tblCellSpacing w:w="0" w:type="dxa"/>
          <w:jc w:val="center"/>
        </w:trPr>
        <w:tc>
          <w:tcPr>
            <w:tcW w:w="0" w:type="auto"/>
            <w:vAlign w:val="center"/>
            <w:hideMark/>
          </w:tcPr>
          <w:p w:rsidR="00F6028A" w:rsidRPr="00F6028A" w:rsidRDefault="00F6028A" w:rsidP="00F6028A">
            <w:pPr>
              <w:spacing w:after="0" w:line="240" w:lineRule="auto"/>
              <w:rPr>
                <w:rFonts w:ascii="Times New Roman" w:eastAsia="Times New Roman" w:hAnsi="Times New Roman" w:cs="Times New Roman"/>
                <w:sz w:val="24"/>
                <w:szCs w:val="24"/>
                <w:lang w:eastAsia="es-MX"/>
              </w:rPr>
            </w:pPr>
            <w:r w:rsidRPr="00F6028A">
              <w:rPr>
                <w:rFonts w:ascii="Verdana" w:eastAsia="Times New Roman" w:hAnsi="Verdana" w:cs="Times New Roman"/>
                <w:sz w:val="18"/>
                <w:szCs w:val="18"/>
                <w:lang w:eastAsia="es-MX"/>
              </w:rPr>
              <w:t>Lic. Diana Nallely López García</w:t>
            </w:r>
          </w:p>
        </w:tc>
      </w:tr>
    </w:tbl>
    <w:p w:rsidR="00F6028A" w:rsidRDefault="00F6028A"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F6028A">
        <w:rPr>
          <w:rFonts w:ascii="Palatino Linotype" w:hAnsi="Palatino Linotype"/>
          <w:sz w:val="24"/>
          <w:szCs w:val="24"/>
        </w:rPr>
        <w:t xml:space="preserve">trece de diciembre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 xml:space="preserve">el </w:t>
      </w:r>
      <w:r w:rsidR="00852DE6">
        <w:rPr>
          <w:rFonts w:ascii="Palatino Linotype" w:hAnsi="Palatino Linotype"/>
          <w:sz w:val="24"/>
          <w:szCs w:val="24"/>
        </w:rPr>
        <w:lastRenderedPageBreak/>
        <w:t>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F6028A">
        <w:rPr>
          <w:rFonts w:ascii="Palatino Linotype" w:hAnsi="Palatino Linotype"/>
          <w:b/>
          <w:bCs/>
          <w:sz w:val="24"/>
          <w:szCs w:val="24"/>
          <w:lang w:eastAsia="es-MX"/>
        </w:rPr>
        <w:t>9795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F6028A" w:rsidRPr="00F6028A">
        <w:rPr>
          <w:rFonts w:ascii="Palatino Linotype" w:hAnsi="Palatino Linotype" w:cs="Arial"/>
          <w:i/>
          <w:sz w:val="24"/>
        </w:rPr>
        <w:t>No me entregan la informacion que solicite.</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F6028A" w:rsidRPr="00F6028A">
        <w:rPr>
          <w:rFonts w:ascii="Palatino Linotype" w:hAnsi="Palatino Linotype" w:cs="Arial"/>
          <w:i/>
          <w:sz w:val="24"/>
        </w:rPr>
        <w:t>es obligación de transparencia el ultimo grado de estudios de los servidores públicos.</w:t>
      </w:r>
      <w:r w:rsidR="006A3A54" w:rsidRPr="00D46905">
        <w:rPr>
          <w:rFonts w:ascii="Palatino Linotype" w:hAnsi="Palatino Linotype" w:cs="Arial"/>
          <w:i/>
          <w:sz w:val="24"/>
        </w:rPr>
        <w:t>” (Sic)</w:t>
      </w:r>
    </w:p>
    <w:p w:rsidR="00D84B09" w:rsidRDefault="00D84B09" w:rsidP="004657BE">
      <w:pPr>
        <w:pStyle w:val="Sinespaciado"/>
        <w:spacing w:line="360" w:lineRule="auto"/>
        <w:jc w:val="both"/>
        <w:rPr>
          <w:rFonts w:ascii="Palatino Linotype" w:hAnsi="Palatino Linotype"/>
          <w:b/>
          <w:sz w:val="26"/>
          <w:szCs w:val="26"/>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BE6D77"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w:t>
      </w:r>
      <w:r w:rsidR="00971417" w:rsidRPr="004657BE">
        <w:rPr>
          <w:rFonts w:ascii="Palatino Linotype" w:hAnsi="Palatino Linotype"/>
          <w:sz w:val="24"/>
          <w:szCs w:val="24"/>
        </w:rPr>
        <w:t xml:space="preserve">ios, del cual recayó acuerdo de admisión en fecha </w:t>
      </w:r>
      <w:r w:rsidR="00102C77">
        <w:rPr>
          <w:rFonts w:ascii="Palatino Linotype" w:hAnsi="Palatino Linotype"/>
          <w:sz w:val="24"/>
          <w:szCs w:val="24"/>
        </w:rPr>
        <w:t>diecinueve de diciembre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w:t>
      </w:r>
      <w:r w:rsidR="00102C77">
        <w:rPr>
          <w:rFonts w:ascii="Palatino Linotype" w:hAnsi="Palatino Linotype"/>
          <w:sz w:val="24"/>
          <w:szCs w:val="24"/>
        </w:rPr>
        <w:t>do.</w:t>
      </w:r>
    </w:p>
    <w:p w:rsidR="00971417" w:rsidRDefault="0097141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B40B6C" w:rsidRDefault="00B40B6C" w:rsidP="00B40B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64589">
        <w:rPr>
          <w:rFonts w:ascii="Palatino Linotype" w:hAnsi="Palatino Linotype"/>
          <w:sz w:val="24"/>
          <w:szCs w:val="24"/>
        </w:rPr>
        <w:t xml:space="preserve"> </w:t>
      </w:r>
      <w:r w:rsidR="00971417">
        <w:rPr>
          <w:rFonts w:ascii="Palatino Linotype" w:hAnsi="Palatino Linotype"/>
          <w:sz w:val="24"/>
          <w:szCs w:val="24"/>
        </w:rPr>
        <w:t xml:space="preserve">no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w:t>
      </w:r>
      <w:r w:rsidR="00E64589">
        <w:rPr>
          <w:rFonts w:ascii="Palatino Linotype" w:hAnsi="Palatino Linotype"/>
          <w:sz w:val="24"/>
          <w:szCs w:val="24"/>
        </w:rPr>
        <w:t>Por su parte el Sujeto Obligado fue omiso en presentar su Informe justificado</w:t>
      </w:r>
      <w:r>
        <w:rPr>
          <w:rFonts w:ascii="Palatino Linotype" w:hAnsi="Palatino Linotype"/>
          <w:sz w:val="24"/>
          <w:szCs w:val="24"/>
        </w:rPr>
        <w:t>.</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102C77">
        <w:rPr>
          <w:rFonts w:ascii="Palatino Linotype" w:hAnsi="Palatino Linotype"/>
          <w:sz w:val="24"/>
          <w:szCs w:val="24"/>
        </w:rPr>
        <w:t xml:space="preserve">dieciséis de diciembre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102C77">
        <w:rPr>
          <w:rFonts w:ascii="Palatino Linotype" w:hAnsi="Palatino Linotype" w:cs="Arial"/>
          <w:sz w:val="24"/>
          <w:szCs w:val="24"/>
        </w:rPr>
        <w:t xml:space="preserve">dieciocho de febrero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Pr="00971417" w:rsidRDefault="000E631B" w:rsidP="00485EAA">
      <w:pPr>
        <w:pStyle w:val="Sinespaciado"/>
        <w:rPr>
          <w:sz w:val="8"/>
        </w:rPr>
      </w:pPr>
    </w:p>
    <w:p w:rsidR="00E64589" w:rsidRDefault="00E64589" w:rsidP="00971417"/>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 xml:space="preserve">I, 181 párrafo tercero, 182, 185, 188 y 194 de la Ley de Transparencia y Acceso a la Información </w:t>
      </w:r>
      <w:r w:rsidRPr="0014447C">
        <w:rPr>
          <w:rFonts w:ascii="Palatino Linotype" w:hAnsi="Palatino Linotype"/>
          <w:sz w:val="24"/>
          <w:szCs w:val="24"/>
        </w:rPr>
        <w:lastRenderedPageBreak/>
        <w:t>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4F75" w:rsidRDefault="00334F75" w:rsidP="00705D1C">
      <w:pPr>
        <w:pStyle w:val="Sinespaciado"/>
        <w:spacing w:line="360" w:lineRule="auto"/>
        <w:jc w:val="both"/>
        <w:rPr>
          <w:rFonts w:ascii="Palatino Linotype" w:hAnsi="Palatino Linotype"/>
          <w:b/>
          <w:sz w:val="26"/>
          <w:szCs w:val="26"/>
        </w:rPr>
      </w:pPr>
    </w:p>
    <w:p w:rsidR="00705D1C" w:rsidRPr="0014447C" w:rsidRDefault="00B15EE4"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8652D4" w:rsidRDefault="008652D4" w:rsidP="008652D4">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8652D4" w:rsidRDefault="008652D4" w:rsidP="008652D4">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8652D4" w:rsidRPr="008626E3" w:rsidRDefault="008652D4" w:rsidP="008652D4">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8652D4" w:rsidRPr="008626E3" w:rsidRDefault="008652D4" w:rsidP="008652D4">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8652D4" w:rsidRDefault="008652D4" w:rsidP="008652D4">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lastRenderedPageBreak/>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8652D4" w:rsidRDefault="008652D4" w:rsidP="008652D4">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8652D4" w:rsidRDefault="008652D4" w:rsidP="008652D4">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652D4" w:rsidRDefault="008652D4" w:rsidP="008652D4">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8652D4" w:rsidRPr="004902C5" w:rsidRDefault="008652D4" w:rsidP="008652D4">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lastRenderedPageBreak/>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8652D4" w:rsidRPr="004902C5" w:rsidRDefault="008652D4" w:rsidP="008652D4">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8652D4" w:rsidRPr="004902C5" w:rsidRDefault="008652D4" w:rsidP="008652D4">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8652D4" w:rsidRPr="004902C5" w:rsidRDefault="008652D4" w:rsidP="008652D4">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652D4" w:rsidRPr="004902C5" w:rsidRDefault="008652D4" w:rsidP="008652D4">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8652D4" w:rsidRPr="004902C5" w:rsidRDefault="008652D4" w:rsidP="008652D4">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8652D4" w:rsidRDefault="008652D4" w:rsidP="008652D4">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8652D4" w:rsidRDefault="008652D4" w:rsidP="008652D4">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8652D4" w:rsidRPr="006F63D2" w:rsidRDefault="008652D4" w:rsidP="008652D4">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652D4" w:rsidRPr="006F63D2" w:rsidRDefault="008652D4" w:rsidP="008652D4">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8652D4" w:rsidRDefault="008652D4" w:rsidP="008652D4">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8652D4" w:rsidRPr="006F63D2" w:rsidRDefault="008652D4" w:rsidP="008652D4">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8652D4" w:rsidRDefault="008652D4" w:rsidP="008652D4">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Pr>
          <w:rFonts w:ascii="Palatino Linotype" w:hAnsi="Palatino Linotype"/>
          <w:sz w:val="24"/>
          <w:szCs w:val="28"/>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652D4" w:rsidRDefault="008652D4" w:rsidP="008652D4">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8652D4" w:rsidRPr="006F251D" w:rsidRDefault="008652D4" w:rsidP="008652D4">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8652D4" w:rsidRPr="00187FF4" w:rsidRDefault="008652D4" w:rsidP="008652D4">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8652D4" w:rsidRDefault="008652D4" w:rsidP="008652D4">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 xml:space="preserve">ciertos extremos se equipara </w:t>
      </w:r>
      <w:r w:rsidRPr="00187FF4">
        <w:rPr>
          <w:rFonts w:ascii="Palatino Linotype" w:hAnsi="Palatino Linotype" w:cs="Times New Roman"/>
          <w:color w:val="000000" w:themeColor="text1"/>
          <w:w w:val="105"/>
          <w:sz w:val="24"/>
          <w:szCs w:val="25"/>
        </w:rPr>
        <w:lastRenderedPageBreak/>
        <w:t>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8652D4" w:rsidRDefault="008652D4" w:rsidP="008652D4">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8652D4" w:rsidRDefault="008652D4" w:rsidP="008652D4">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w:t>
      </w:r>
      <w:r>
        <w:rPr>
          <w:rFonts w:ascii="Palatino Linotype" w:hAnsi="Palatino Linotype" w:cs="Times New Roman"/>
          <w:color w:val="000000" w:themeColor="text1"/>
          <w:w w:val="105"/>
          <w:sz w:val="24"/>
          <w:szCs w:val="25"/>
        </w:rPr>
        <w:t xml:space="preserve">mericana  de Derechos Humanos, </w:t>
      </w:r>
      <w:r w:rsidRPr="00187FF4">
        <w:rPr>
          <w:rFonts w:ascii="Palatino Linotype" w:hAnsi="Palatino Linotype" w:cs="Times New Roman"/>
          <w:color w:val="000000" w:themeColor="text1"/>
          <w:w w:val="105"/>
          <w:sz w:val="24"/>
          <w:szCs w:val="25"/>
        </w:rPr>
        <w:t>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8652D4" w:rsidRPr="001267CD" w:rsidRDefault="008652D4" w:rsidP="008652D4">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lastRenderedPageBreak/>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8652D4" w:rsidRPr="009A0D0A" w:rsidRDefault="008652D4" w:rsidP="008652D4">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Pr="007D15EF">
        <w:rPr>
          <w:rFonts w:ascii="Palatino Linotype" w:hAnsi="Palatino Linotype"/>
          <w:b/>
          <w:sz w:val="28"/>
          <w:szCs w:val="28"/>
        </w:rPr>
        <w:t>.</w:t>
      </w:r>
      <w:r>
        <w:rPr>
          <w:rFonts w:ascii="Palatino Linotype" w:hAnsi="Palatino Linotype"/>
          <w:b/>
          <w:sz w:val="28"/>
          <w:szCs w:val="28"/>
        </w:rPr>
        <w:t xml:space="preserve"> Estudio y Resolución del asunto.</w:t>
      </w:r>
    </w:p>
    <w:p w:rsidR="00801391" w:rsidRPr="00B230B3" w:rsidRDefault="00801391" w:rsidP="00801391">
      <w:pPr>
        <w:pStyle w:val="Sinespaciado"/>
        <w:spacing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w:t>
      </w:r>
      <w:r w:rsidR="008652D4">
        <w:rPr>
          <w:rFonts w:ascii="Palatino Linotype" w:hAnsi="Palatino Linotype"/>
          <w:sz w:val="24"/>
        </w:rPr>
        <w:t xml:space="preserve">forme a derecho, tomando </w:t>
      </w:r>
      <w:r w:rsidRPr="00B230B3">
        <w:rPr>
          <w:rFonts w:ascii="Palatino Linotype" w:hAnsi="Palatino Linotype"/>
          <w:sz w:val="24"/>
        </w:rPr>
        <w:t>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01391" w:rsidRPr="00407282" w:rsidRDefault="00801391" w:rsidP="00801391">
      <w:pPr>
        <w:pStyle w:val="Sinespaciado"/>
        <w:spacing w:line="360" w:lineRule="auto"/>
        <w:jc w:val="both"/>
        <w:rPr>
          <w:rFonts w:ascii="Palatino Linotype" w:hAnsi="Palatino Linotype"/>
        </w:rPr>
      </w:pPr>
    </w:p>
    <w:p w:rsidR="00801391" w:rsidRPr="00407282" w:rsidRDefault="00801391" w:rsidP="00801391">
      <w:pPr>
        <w:pStyle w:val="Sinespaciado"/>
        <w:spacing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rsidR="00801391" w:rsidRPr="00407282" w:rsidRDefault="00801391" w:rsidP="00801391">
      <w:pPr>
        <w:pStyle w:val="Sinespaciado"/>
        <w:ind w:left="567" w:right="567"/>
        <w:jc w:val="both"/>
        <w:rPr>
          <w:rFonts w:ascii="Palatino Linotype" w:hAnsi="Palatino Linotype"/>
        </w:rPr>
      </w:pP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i/>
        </w:rPr>
        <w:t>…</w:t>
      </w: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el ejercicio de las facultades, funciones y competencias de los sujetos obligados, </w:t>
      </w:r>
      <w:r w:rsidRPr="00993DE1">
        <w:rPr>
          <w:rFonts w:ascii="Palatino Linotype" w:hAnsi="Palatino Linotype"/>
          <w:i/>
        </w:rPr>
        <w:lastRenderedPageBreak/>
        <w:t>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801391" w:rsidRPr="006376FA" w:rsidRDefault="00801391" w:rsidP="00801391">
      <w:pPr>
        <w:pStyle w:val="Sinespaciado"/>
        <w:ind w:left="567" w:right="567"/>
        <w:jc w:val="both"/>
        <w:rPr>
          <w:rFonts w:ascii="Palatino Linotype" w:hAnsi="Palatino Linotype"/>
          <w:i/>
        </w:rPr>
      </w:pPr>
    </w:p>
    <w:p w:rsidR="00801391" w:rsidRPr="006376FA" w:rsidRDefault="00801391" w:rsidP="00801391">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01391" w:rsidRPr="006376FA" w:rsidRDefault="00801391" w:rsidP="00801391">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1391" w:rsidRPr="006376FA" w:rsidRDefault="00801391" w:rsidP="00801391">
      <w:pPr>
        <w:pStyle w:val="Sinespaciado"/>
        <w:ind w:left="567" w:right="567"/>
        <w:jc w:val="both"/>
        <w:rPr>
          <w:rFonts w:ascii="Palatino Linotype" w:hAnsi="Palatino Linotype"/>
          <w:bCs/>
          <w:i/>
        </w:rPr>
      </w:pPr>
    </w:p>
    <w:p w:rsidR="00801391" w:rsidRPr="006376FA" w:rsidRDefault="00801391" w:rsidP="00801391">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01391" w:rsidRPr="006376FA" w:rsidRDefault="00801391" w:rsidP="00801391">
      <w:pPr>
        <w:pStyle w:val="Sinespaciado"/>
        <w:ind w:left="567" w:right="567"/>
        <w:jc w:val="both"/>
        <w:rPr>
          <w:rFonts w:ascii="Palatino Linotype" w:hAnsi="Palatino Linotype"/>
          <w:i/>
        </w:rPr>
      </w:pPr>
    </w:p>
    <w:p w:rsidR="00801391" w:rsidRPr="006376FA" w:rsidRDefault="00801391" w:rsidP="00801391">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01391" w:rsidRPr="006376FA" w:rsidRDefault="00801391" w:rsidP="00801391">
      <w:pPr>
        <w:pStyle w:val="Sinespaciado"/>
        <w:ind w:left="567" w:right="567"/>
        <w:jc w:val="both"/>
        <w:rPr>
          <w:rFonts w:ascii="Palatino Linotype" w:hAnsi="Palatino Linotype"/>
          <w:i/>
        </w:rPr>
      </w:pPr>
    </w:p>
    <w:p w:rsidR="00801391" w:rsidRPr="004E6B5B" w:rsidRDefault="00801391" w:rsidP="00801391">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801391" w:rsidRPr="00407282" w:rsidRDefault="00801391" w:rsidP="00801391">
      <w:pPr>
        <w:pStyle w:val="Sinespaciado"/>
        <w:spacing w:line="360" w:lineRule="auto"/>
        <w:jc w:val="both"/>
        <w:rPr>
          <w:rFonts w:ascii="Palatino Linotype" w:hAnsi="Palatino Linotype"/>
        </w:rPr>
      </w:pPr>
    </w:p>
    <w:p w:rsidR="00801391" w:rsidRDefault="00801391" w:rsidP="00801391">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01391" w:rsidRDefault="00801391" w:rsidP="00801391">
      <w:pPr>
        <w:pStyle w:val="Sinespaciado"/>
      </w:pPr>
    </w:p>
    <w:p w:rsidR="00801391" w:rsidRDefault="00801391" w:rsidP="00801391">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lastRenderedPageBreak/>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rsidR="00801391" w:rsidRDefault="00801391" w:rsidP="00801391">
      <w:pPr>
        <w:pStyle w:val="Prrafodelista"/>
        <w:autoSpaceDE w:val="0"/>
        <w:autoSpaceDN w:val="0"/>
        <w:adjustRightInd w:val="0"/>
        <w:spacing w:line="360" w:lineRule="auto"/>
        <w:ind w:left="0"/>
        <w:jc w:val="both"/>
        <w:rPr>
          <w:rFonts w:ascii="Palatino Linotype" w:hAnsi="Palatino Linotype" w:cs="Arial"/>
        </w:rPr>
      </w:pPr>
    </w:p>
    <w:p w:rsidR="00801391" w:rsidRDefault="00EA01EE" w:rsidP="00801391">
      <w:pPr>
        <w:pStyle w:val="Prrafodelista"/>
        <w:numPr>
          <w:ilvl w:val="0"/>
          <w:numId w:val="33"/>
        </w:numPr>
        <w:autoSpaceDE w:val="0"/>
        <w:autoSpaceDN w:val="0"/>
        <w:adjustRightInd w:val="0"/>
        <w:spacing w:line="360" w:lineRule="auto"/>
        <w:ind w:left="567" w:right="851" w:hanging="567"/>
        <w:jc w:val="both"/>
        <w:rPr>
          <w:rFonts w:ascii="Palatino Linotype" w:hAnsi="Palatino Linotype" w:cs="Arial"/>
        </w:rPr>
      </w:pPr>
      <w:r>
        <w:rPr>
          <w:rFonts w:ascii="Palatino Linotype" w:hAnsi="Palatino Linotype" w:cs="Arial"/>
        </w:rPr>
        <w:t>Título universitario y cédula profesional del Director de Servicios Públicos</w:t>
      </w:r>
    </w:p>
    <w:p w:rsidR="00801391" w:rsidRPr="009A3626" w:rsidRDefault="00801391" w:rsidP="00801391">
      <w:pPr>
        <w:pStyle w:val="Prrafodelista"/>
        <w:autoSpaceDE w:val="0"/>
        <w:autoSpaceDN w:val="0"/>
        <w:adjustRightInd w:val="0"/>
        <w:spacing w:line="360" w:lineRule="auto"/>
        <w:ind w:left="720"/>
        <w:jc w:val="both"/>
        <w:rPr>
          <w:rFonts w:ascii="Palatino Linotype" w:hAnsi="Palatino Linotype"/>
          <w:sz w:val="14"/>
        </w:rPr>
      </w:pPr>
    </w:p>
    <w:p w:rsidR="00801391" w:rsidRDefault="00EA01EE" w:rsidP="00801391">
      <w:pPr>
        <w:pStyle w:val="Sinespaciado"/>
        <w:spacing w:line="360" w:lineRule="auto"/>
        <w:jc w:val="both"/>
        <w:rPr>
          <w:rFonts w:ascii="Palatino Linotype" w:hAnsi="Palatino Linotype"/>
          <w:sz w:val="24"/>
        </w:rPr>
      </w:pPr>
      <w:r>
        <w:rPr>
          <w:rFonts w:ascii="Palatino Linotype" w:hAnsi="Palatino Linotype"/>
          <w:sz w:val="24"/>
        </w:rPr>
        <w:t>En este sentido</w:t>
      </w:r>
      <w:r w:rsidR="00801391" w:rsidRPr="00833B24">
        <w:rPr>
          <w:rFonts w:ascii="Palatino Linotype" w:hAnsi="Palatino Linotype"/>
          <w:sz w:val="24"/>
        </w:rPr>
        <w:t>, la Constitución Política del Estado Libre y Soberano de México, en su artículo 5°, dispone en su parte conducente, lo siguiente:</w:t>
      </w:r>
    </w:p>
    <w:p w:rsidR="00801391" w:rsidRPr="00833B24" w:rsidRDefault="00801391" w:rsidP="00801391">
      <w:pPr>
        <w:pStyle w:val="Sinespaciado"/>
        <w:spacing w:line="360" w:lineRule="auto"/>
        <w:jc w:val="both"/>
        <w:rPr>
          <w:rFonts w:ascii="Palatino Linotype" w:hAnsi="Palatino Linotype"/>
          <w:sz w:val="24"/>
        </w:rPr>
      </w:pP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01391" w:rsidRPr="006010FE" w:rsidRDefault="00801391" w:rsidP="00801391">
      <w:pPr>
        <w:pStyle w:val="Sinespaciado"/>
      </w:pP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801391" w:rsidRPr="006010FE" w:rsidRDefault="00801391" w:rsidP="00801391">
      <w:pPr>
        <w:pStyle w:val="Sinespaciado"/>
      </w:pP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01391" w:rsidRPr="006010FE" w:rsidRDefault="00801391" w:rsidP="00801391">
      <w:pPr>
        <w:pStyle w:val="Sinespaciado"/>
        <w:spacing w:line="360" w:lineRule="auto"/>
        <w:jc w:val="both"/>
        <w:rPr>
          <w:rFonts w:ascii="Palatino Linotype" w:hAnsi="Palatino Linotype"/>
        </w:rPr>
      </w:pPr>
    </w:p>
    <w:p w:rsidR="00801391" w:rsidRPr="00833B24" w:rsidRDefault="00801391" w:rsidP="00801391">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801391" w:rsidRPr="006010FE" w:rsidRDefault="00801391" w:rsidP="00801391">
      <w:pPr>
        <w:pStyle w:val="Sinespaciado"/>
      </w:pP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801391" w:rsidRPr="006010FE" w:rsidRDefault="00801391" w:rsidP="00801391">
      <w:pPr>
        <w:pStyle w:val="Sinespaciado"/>
        <w:ind w:left="567" w:right="567"/>
        <w:jc w:val="both"/>
        <w:rPr>
          <w:rFonts w:ascii="Palatino Linotype" w:hAnsi="Palatino Linotype"/>
          <w:i/>
        </w:rPr>
      </w:pP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lastRenderedPageBreak/>
        <w:t>V. Los órganos autónomos;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01391" w:rsidRPr="006010FE" w:rsidRDefault="00801391" w:rsidP="00801391">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801391" w:rsidRDefault="00801391" w:rsidP="00801391">
      <w:pPr>
        <w:pStyle w:val="Sinespaciado"/>
        <w:spacing w:line="360" w:lineRule="auto"/>
        <w:jc w:val="both"/>
        <w:rPr>
          <w:rFonts w:ascii="Palatino Linotype" w:hAnsi="Palatino Linotype"/>
          <w:sz w:val="24"/>
        </w:rPr>
      </w:pPr>
    </w:p>
    <w:p w:rsidR="00801391" w:rsidRDefault="00801391" w:rsidP="00801391">
      <w:pPr>
        <w:pStyle w:val="Sinespaciado"/>
        <w:spacing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801391" w:rsidRPr="00833B24" w:rsidRDefault="00801391" w:rsidP="00801391">
      <w:pPr>
        <w:pStyle w:val="Sinespaciado"/>
        <w:spacing w:line="360" w:lineRule="auto"/>
        <w:jc w:val="both"/>
        <w:rPr>
          <w:rFonts w:ascii="Palatino Linotype" w:hAnsi="Palatino Linotype"/>
          <w:sz w:val="24"/>
        </w:rPr>
      </w:pPr>
    </w:p>
    <w:p w:rsidR="00801391" w:rsidRPr="00B20846" w:rsidRDefault="00801391" w:rsidP="00801391">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w:t>
      </w:r>
      <w:r w:rsidRPr="00B20846">
        <w:rPr>
          <w:rFonts w:ascii="Palatino Linotype" w:hAnsi="Palatino Linotype" w:cs="Arial"/>
          <w:sz w:val="24"/>
        </w:rPr>
        <w:lastRenderedPageBreak/>
        <w:t>administre, maneje, procese, archive o conserve, esto de conformidad con los artículos 51 y 53 fracción IV de la Ley en cita, que refieren:</w:t>
      </w:r>
    </w:p>
    <w:p w:rsidR="00801391" w:rsidRDefault="00801391" w:rsidP="00801391">
      <w:pPr>
        <w:tabs>
          <w:tab w:val="left" w:pos="709"/>
        </w:tabs>
        <w:ind w:left="851" w:right="760"/>
        <w:jc w:val="both"/>
        <w:rPr>
          <w:rFonts w:ascii="Palatino Linotype" w:hAnsi="Palatino Linotype" w:cs="Arial"/>
          <w:i/>
          <w:sz w:val="20"/>
          <w:szCs w:val="20"/>
          <w:lang w:eastAsia="es-MX"/>
        </w:rPr>
      </w:pPr>
    </w:p>
    <w:p w:rsidR="00801391" w:rsidRPr="00745E05" w:rsidRDefault="00801391" w:rsidP="00801391">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801391" w:rsidRPr="00745E05" w:rsidRDefault="00801391" w:rsidP="00801391">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801391" w:rsidRPr="00745E05" w:rsidRDefault="00801391" w:rsidP="0080139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801391" w:rsidRPr="009E2F7A" w:rsidRDefault="00801391" w:rsidP="00801391">
      <w:pPr>
        <w:tabs>
          <w:tab w:val="left" w:pos="709"/>
        </w:tabs>
        <w:ind w:left="851" w:right="760"/>
        <w:jc w:val="both"/>
        <w:rPr>
          <w:rFonts w:ascii="Palatino Linotype" w:hAnsi="Palatino Linotype" w:cs="Arial"/>
          <w:i/>
          <w:sz w:val="6"/>
          <w:lang w:eastAsia="es-MX"/>
        </w:rPr>
      </w:pPr>
    </w:p>
    <w:p w:rsidR="00212201" w:rsidRDefault="00212201" w:rsidP="00406E86">
      <w:pPr>
        <w:rPr>
          <w:noProof/>
          <w:lang w:eastAsia="es-MX"/>
        </w:rPr>
      </w:pPr>
    </w:p>
    <w:p w:rsidR="008E576B" w:rsidRDefault="008E576B" w:rsidP="008E576B">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Lo anterior es así </w:t>
      </w:r>
      <w:r w:rsidRPr="0027680C">
        <w:rPr>
          <w:rFonts w:ascii="Palatino Linotype" w:hAnsi="Palatino Linotype" w:cs="Arial"/>
          <w:sz w:val="24"/>
          <w:szCs w:val="24"/>
        </w:rPr>
        <w:t xml:space="preserve">ya que derivado de la solicitud número </w:t>
      </w:r>
      <w:r w:rsidRPr="008E576B">
        <w:rPr>
          <w:rFonts w:ascii="Palatino Linotype" w:hAnsi="Palatino Linotype" w:cs="Arial"/>
          <w:b/>
          <w:sz w:val="24"/>
          <w:szCs w:val="24"/>
        </w:rPr>
        <w:t xml:space="preserve">00491/AXAPUSCO/IP/2019 </w:t>
      </w:r>
      <w:r w:rsidRPr="0027680C">
        <w:rPr>
          <w:rFonts w:ascii="Palatino Linotype" w:hAnsi="Palatino Linotype" w:cs="Arial"/>
          <w:sz w:val="24"/>
          <w:szCs w:val="24"/>
        </w:rPr>
        <w:t>(en</w:t>
      </w:r>
      <w:r w:rsidRPr="00854307">
        <w:rPr>
          <w:rFonts w:ascii="Palatino Linotype" w:hAnsi="Palatino Linotype" w:cs="Arial"/>
          <w:sz w:val="24"/>
          <w:szCs w:val="24"/>
        </w:rPr>
        <w:t xml:space="preserve"> la que se resuelve), se aprecia en el sistema SAIMEX, que la servidora pública en </w:t>
      </w:r>
      <w:r w:rsidRPr="00854307">
        <w:rPr>
          <w:rFonts w:ascii="Palatino Linotype" w:hAnsi="Palatino Linotype" w:cs="Arial"/>
          <w:sz w:val="24"/>
          <w:szCs w:val="24"/>
        </w:rPr>
        <w:lastRenderedPageBreak/>
        <w:t>comento, no tramitó ante todas las instancias del Ayuntamiento, que pudieran tener lo solicitado (derivado de sus funciones) lo requerido por el particular</w:t>
      </w:r>
      <w:r>
        <w:rPr>
          <w:rFonts w:ascii="Palatino Linotype" w:hAnsi="Palatino Linotype" w:cs="Arial"/>
          <w:sz w:val="24"/>
          <w:szCs w:val="24"/>
        </w:rPr>
        <w:t>.</w:t>
      </w:r>
    </w:p>
    <w:p w:rsidR="008E576B" w:rsidRPr="00854307" w:rsidRDefault="008E576B" w:rsidP="008E576B">
      <w:pPr>
        <w:tabs>
          <w:tab w:val="left" w:pos="7938"/>
        </w:tabs>
        <w:spacing w:after="0" w:line="360" w:lineRule="auto"/>
        <w:jc w:val="both"/>
        <w:rPr>
          <w:rFonts w:ascii="Palatino Linotype" w:hAnsi="Palatino Linotype" w:cs="Arial"/>
          <w:sz w:val="24"/>
          <w:szCs w:val="24"/>
        </w:rPr>
      </w:pPr>
    </w:p>
    <w:p w:rsidR="008E576B" w:rsidRPr="00854307" w:rsidRDefault="008E576B" w:rsidP="008E576B">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decir, </w:t>
      </w:r>
      <w:r w:rsidRPr="00854307">
        <w:rPr>
          <w:rFonts w:ascii="Palatino Linotype" w:hAnsi="Palatino Linotype" w:cs="Arial"/>
          <w:sz w:val="24"/>
          <w:szCs w:val="24"/>
        </w:rPr>
        <w:t>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8E576B" w:rsidRDefault="008E576B" w:rsidP="008E576B">
      <w:pPr>
        <w:tabs>
          <w:tab w:val="left" w:pos="7938"/>
        </w:tabs>
        <w:spacing w:after="0" w:line="360" w:lineRule="auto"/>
        <w:jc w:val="both"/>
        <w:rPr>
          <w:rFonts w:ascii="Palatino Linotype" w:hAnsi="Palatino Linotype" w:cs="Arial"/>
          <w:sz w:val="24"/>
          <w:szCs w:val="24"/>
        </w:rPr>
      </w:pPr>
    </w:p>
    <w:p w:rsidR="0078122F" w:rsidRDefault="008E576B" w:rsidP="008E576B">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Si bien la Unidad de Transparencia es la encargada de orientar a los particulares, también lo es que no es una notoria in</w:t>
      </w:r>
      <w:r w:rsidR="0078122F">
        <w:rPr>
          <w:rFonts w:ascii="Palatino Linotype" w:hAnsi="Palatino Linotype" w:cs="Arial"/>
          <w:sz w:val="24"/>
          <w:szCs w:val="24"/>
        </w:rPr>
        <w:t>competencia ya que se trata de información referente al Director General de Servicios Públicos, cuyos documentos entregados previo a su contratación es facultad de la Dirección de Recursos Humanos y Administración del Personal contar con dicha información</w:t>
      </w:r>
      <w:r w:rsidRPr="00854307">
        <w:rPr>
          <w:rFonts w:ascii="Palatino Linotype" w:hAnsi="Palatino Linotype" w:cs="Arial"/>
          <w:sz w:val="24"/>
          <w:szCs w:val="24"/>
        </w:rPr>
        <w:t>,</w:t>
      </w:r>
      <w:r w:rsidR="0078122F">
        <w:rPr>
          <w:rFonts w:ascii="Palatino Linotype" w:hAnsi="Palatino Linotype" w:cs="Arial"/>
          <w:sz w:val="24"/>
          <w:szCs w:val="24"/>
        </w:rPr>
        <w:t xml:space="preserve"> como se aprecia en el artículo 90 del Bando Municipal del Municipio de Axapusco, que a la letra señala:</w:t>
      </w:r>
    </w:p>
    <w:p w:rsidR="00AE76F7" w:rsidRDefault="00AE76F7" w:rsidP="008E576B">
      <w:pPr>
        <w:tabs>
          <w:tab w:val="left" w:pos="7938"/>
        </w:tabs>
        <w:spacing w:after="0" w:line="360" w:lineRule="auto"/>
        <w:jc w:val="both"/>
        <w:rPr>
          <w:rFonts w:ascii="Palatino Linotype" w:hAnsi="Palatino Linotype" w:cs="Arial"/>
          <w:sz w:val="24"/>
          <w:szCs w:val="24"/>
        </w:rPr>
      </w:pPr>
    </w:p>
    <w:p w:rsidR="0078122F" w:rsidRPr="0078122F" w:rsidRDefault="0078122F" w:rsidP="0078122F">
      <w:pPr>
        <w:tabs>
          <w:tab w:val="left" w:pos="7938"/>
        </w:tabs>
        <w:spacing w:after="0" w:line="360" w:lineRule="auto"/>
        <w:ind w:left="709" w:right="709"/>
        <w:jc w:val="both"/>
        <w:rPr>
          <w:rFonts w:ascii="Palatino Linotype" w:hAnsi="Palatino Linotype" w:cs="Arial"/>
          <w:i/>
          <w:szCs w:val="24"/>
        </w:rPr>
      </w:pPr>
      <w:r w:rsidRPr="0078122F">
        <w:rPr>
          <w:rFonts w:ascii="Palatino Linotype" w:hAnsi="Palatino Linotype" w:cs="Arial"/>
          <w:b/>
          <w:i/>
          <w:szCs w:val="24"/>
        </w:rPr>
        <w:t>ARTÍCULO 90.</w:t>
      </w:r>
      <w:r w:rsidRPr="0078122F">
        <w:rPr>
          <w:rFonts w:ascii="Palatino Linotype" w:hAnsi="Palatino Linotype" w:cs="Arial"/>
          <w:i/>
          <w:szCs w:val="24"/>
        </w:rPr>
        <w:t xml:space="preserve"> De acuerdo con la normatividad vigente, son facultades y </w:t>
      </w:r>
      <w:r>
        <w:rPr>
          <w:rFonts w:ascii="Palatino Linotype" w:hAnsi="Palatino Linotype" w:cs="Arial"/>
          <w:i/>
          <w:szCs w:val="24"/>
        </w:rPr>
        <w:t xml:space="preserve">obligaciones de la Dirección de </w:t>
      </w:r>
      <w:r w:rsidRPr="0078122F">
        <w:rPr>
          <w:rFonts w:ascii="Palatino Linotype" w:hAnsi="Palatino Linotype" w:cs="Arial"/>
          <w:i/>
          <w:szCs w:val="24"/>
        </w:rPr>
        <w:t xml:space="preserve">Recursos Humanos las siguientes: </w:t>
      </w:r>
    </w:p>
    <w:p w:rsidR="0078122F" w:rsidRPr="00AE76F7" w:rsidRDefault="0078122F" w:rsidP="00AE76F7">
      <w:pPr>
        <w:pStyle w:val="Sinespaciado"/>
        <w:spacing w:line="360" w:lineRule="auto"/>
        <w:ind w:left="709" w:right="709"/>
        <w:jc w:val="both"/>
        <w:rPr>
          <w:rFonts w:ascii="Palatino Linotype" w:hAnsi="Palatino Linotype"/>
          <w:i/>
          <w:sz w:val="24"/>
          <w:szCs w:val="24"/>
        </w:rPr>
      </w:pPr>
      <w:r w:rsidRPr="00AE76F7">
        <w:rPr>
          <w:rFonts w:ascii="Palatino Linotype" w:hAnsi="Palatino Linotype"/>
          <w:i/>
          <w:sz w:val="24"/>
          <w:szCs w:val="24"/>
        </w:rPr>
        <w:t>I. Realizar el proceso de reclutamiento del posible personal a ocupar por las diferentes áreas de la Administración Pública Municipal;</w:t>
      </w:r>
    </w:p>
    <w:p w:rsidR="0078122F" w:rsidRPr="00AE76F7" w:rsidRDefault="0078122F" w:rsidP="00AE76F7">
      <w:pPr>
        <w:pStyle w:val="Sinespaciado"/>
        <w:spacing w:line="360" w:lineRule="auto"/>
        <w:ind w:left="709" w:right="709"/>
        <w:jc w:val="both"/>
        <w:rPr>
          <w:rFonts w:ascii="Palatino Linotype" w:hAnsi="Palatino Linotype"/>
          <w:i/>
          <w:sz w:val="24"/>
          <w:szCs w:val="24"/>
        </w:rPr>
      </w:pPr>
      <w:r w:rsidRPr="00AE76F7">
        <w:rPr>
          <w:rFonts w:ascii="Palatino Linotype" w:hAnsi="Palatino Linotype"/>
          <w:i/>
          <w:sz w:val="24"/>
          <w:szCs w:val="24"/>
        </w:rPr>
        <w:t>II. Realizar el proceso de selección, atendiendo a las capacidades pertinentes al puesto solicitado, del posible personal a ocupar por las difere</w:t>
      </w:r>
      <w:r w:rsidR="00AE76F7">
        <w:rPr>
          <w:rFonts w:ascii="Palatino Linotype" w:hAnsi="Palatino Linotype"/>
          <w:i/>
          <w:sz w:val="24"/>
          <w:szCs w:val="24"/>
        </w:rPr>
        <w:t xml:space="preserve">ntes áreas de la Administración </w:t>
      </w:r>
      <w:r w:rsidRPr="00AE76F7">
        <w:rPr>
          <w:rFonts w:ascii="Palatino Linotype" w:hAnsi="Palatino Linotype"/>
          <w:i/>
          <w:sz w:val="24"/>
          <w:szCs w:val="24"/>
        </w:rPr>
        <w:t>Pública Municipal;</w:t>
      </w:r>
    </w:p>
    <w:p w:rsidR="0078122F" w:rsidRPr="00AE76F7" w:rsidRDefault="0078122F" w:rsidP="00AE76F7">
      <w:pPr>
        <w:pStyle w:val="Sinespaciado"/>
        <w:spacing w:line="360" w:lineRule="auto"/>
        <w:ind w:left="709" w:right="709"/>
        <w:jc w:val="both"/>
        <w:rPr>
          <w:rFonts w:ascii="Palatino Linotype" w:hAnsi="Palatino Linotype"/>
          <w:i/>
          <w:sz w:val="24"/>
          <w:szCs w:val="24"/>
        </w:rPr>
      </w:pPr>
      <w:r w:rsidRPr="00AE76F7">
        <w:rPr>
          <w:rFonts w:ascii="Palatino Linotype" w:hAnsi="Palatino Linotype"/>
          <w:i/>
          <w:sz w:val="24"/>
          <w:szCs w:val="24"/>
        </w:rPr>
        <w:lastRenderedPageBreak/>
        <w:t>III. Realizar el proceso de contratación y asignación del personal seleccionado que ocupará algún puesto en las diferentes áreas de la Administración Pública Municipal;</w:t>
      </w:r>
    </w:p>
    <w:p w:rsidR="0078122F" w:rsidRPr="00AE76F7" w:rsidRDefault="0078122F" w:rsidP="00AE76F7">
      <w:pPr>
        <w:pStyle w:val="Sinespaciado"/>
        <w:spacing w:line="360" w:lineRule="auto"/>
        <w:ind w:left="709" w:right="709"/>
        <w:jc w:val="both"/>
        <w:rPr>
          <w:rFonts w:ascii="Palatino Linotype" w:hAnsi="Palatino Linotype"/>
          <w:i/>
          <w:sz w:val="24"/>
          <w:szCs w:val="24"/>
        </w:rPr>
      </w:pPr>
      <w:r w:rsidRPr="00AE76F7">
        <w:rPr>
          <w:rFonts w:ascii="Palatino Linotype" w:hAnsi="Palatino Linotype"/>
          <w:i/>
          <w:sz w:val="24"/>
          <w:szCs w:val="24"/>
        </w:rPr>
        <w:t xml:space="preserve">IV. Fomentar la capacitación </w:t>
      </w:r>
      <w:r w:rsidR="00AE76F7" w:rsidRPr="00AE76F7">
        <w:rPr>
          <w:rFonts w:ascii="Palatino Linotype" w:hAnsi="Palatino Linotype"/>
          <w:i/>
          <w:sz w:val="24"/>
          <w:szCs w:val="24"/>
        </w:rPr>
        <w:t>continua</w:t>
      </w:r>
      <w:r w:rsidRPr="00AE76F7">
        <w:rPr>
          <w:rFonts w:ascii="Palatino Linotype" w:hAnsi="Palatino Linotype"/>
          <w:i/>
          <w:sz w:val="24"/>
          <w:szCs w:val="24"/>
        </w:rPr>
        <w:t xml:space="preserve"> del personal ocupado en las diferentes áreas de la Administración Pública Municipal;</w:t>
      </w:r>
    </w:p>
    <w:p w:rsidR="00AE76F7" w:rsidRDefault="0078122F" w:rsidP="00AE76F7">
      <w:pPr>
        <w:pStyle w:val="Sinespaciado"/>
        <w:spacing w:line="360" w:lineRule="auto"/>
        <w:ind w:left="709" w:right="709"/>
        <w:jc w:val="both"/>
        <w:rPr>
          <w:rFonts w:ascii="Palatino Linotype" w:hAnsi="Palatino Linotype"/>
          <w:i/>
          <w:sz w:val="24"/>
          <w:szCs w:val="24"/>
        </w:rPr>
      </w:pPr>
      <w:r w:rsidRPr="00AE76F7">
        <w:rPr>
          <w:rFonts w:ascii="Palatino Linotype" w:hAnsi="Palatino Linotype"/>
          <w:i/>
          <w:sz w:val="24"/>
          <w:szCs w:val="24"/>
        </w:rPr>
        <w:t>V. Prescindir de los servicios del personal ocupado en las diferentes áreas de la Administración Pública Municipal.</w:t>
      </w:r>
      <w:r w:rsidR="00AE76F7" w:rsidRPr="00AE76F7">
        <w:rPr>
          <w:rFonts w:ascii="Palatino Linotype" w:hAnsi="Palatino Linotype"/>
          <w:i/>
          <w:sz w:val="24"/>
          <w:szCs w:val="24"/>
        </w:rPr>
        <w:t xml:space="preserve"> </w:t>
      </w:r>
    </w:p>
    <w:p w:rsidR="00AE76F7" w:rsidRPr="00AE76F7" w:rsidRDefault="00AE76F7" w:rsidP="00AE76F7">
      <w:pPr>
        <w:pStyle w:val="Sinespaciado"/>
        <w:spacing w:line="360" w:lineRule="auto"/>
        <w:ind w:left="709" w:right="709"/>
        <w:jc w:val="both"/>
        <w:rPr>
          <w:rFonts w:ascii="Palatino Linotype" w:hAnsi="Palatino Linotype"/>
          <w:i/>
          <w:sz w:val="24"/>
          <w:szCs w:val="24"/>
        </w:rPr>
      </w:pPr>
      <w:r w:rsidRPr="00AE76F7">
        <w:rPr>
          <w:rFonts w:ascii="Palatino Linotype" w:hAnsi="Palatino Linotype"/>
          <w:i/>
          <w:sz w:val="24"/>
          <w:szCs w:val="24"/>
        </w:rPr>
        <w:t>VI. Todos los procesos anteriores se realizarán bajo los prin</w:t>
      </w:r>
      <w:r>
        <w:rPr>
          <w:rFonts w:ascii="Palatino Linotype" w:hAnsi="Palatino Linotype"/>
          <w:i/>
          <w:sz w:val="24"/>
          <w:szCs w:val="24"/>
        </w:rPr>
        <w:t xml:space="preserve">cipios de eficiencia, eficacia, </w:t>
      </w:r>
      <w:r w:rsidRPr="00AE76F7">
        <w:rPr>
          <w:rFonts w:ascii="Palatino Linotype" w:hAnsi="Palatino Linotype"/>
          <w:i/>
          <w:sz w:val="24"/>
          <w:szCs w:val="24"/>
        </w:rPr>
        <w:t>honradez, transparencia y con sujeción a los presup</w:t>
      </w:r>
      <w:r>
        <w:rPr>
          <w:rFonts w:ascii="Palatino Linotype" w:hAnsi="Palatino Linotype"/>
          <w:i/>
          <w:sz w:val="24"/>
          <w:szCs w:val="24"/>
        </w:rPr>
        <w:t xml:space="preserve">uestos, objetivos y programas </w:t>
      </w:r>
      <w:r w:rsidRPr="00AE76F7">
        <w:rPr>
          <w:rFonts w:ascii="Palatino Linotype" w:hAnsi="Palatino Linotype"/>
          <w:i/>
          <w:sz w:val="24"/>
          <w:szCs w:val="24"/>
        </w:rPr>
        <w:t>aprobados de las distintas áreas que conforman la Administración Pública Municipal.</w:t>
      </w:r>
    </w:p>
    <w:p w:rsidR="00AE76F7" w:rsidRDefault="00AE76F7" w:rsidP="00684D1A">
      <w:pPr>
        <w:pStyle w:val="Sinespaciado"/>
        <w:spacing w:line="360" w:lineRule="auto"/>
        <w:jc w:val="both"/>
        <w:rPr>
          <w:rFonts w:ascii="Palatino Linotype" w:hAnsi="Palatino Linotype"/>
          <w:sz w:val="24"/>
          <w:szCs w:val="24"/>
        </w:rPr>
      </w:pPr>
    </w:p>
    <w:p w:rsidR="00684D1A" w:rsidRPr="00E06A24" w:rsidRDefault="00684D1A" w:rsidP="00684D1A">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684D1A" w:rsidRPr="00E06A24" w:rsidRDefault="00684D1A" w:rsidP="00684D1A">
      <w:pPr>
        <w:pStyle w:val="Sinespaciado"/>
        <w:spacing w:line="360" w:lineRule="auto"/>
        <w:jc w:val="both"/>
        <w:rPr>
          <w:rFonts w:ascii="Palatino Linotype" w:hAnsi="Palatino Linotype"/>
          <w:sz w:val="24"/>
          <w:szCs w:val="24"/>
        </w:rPr>
      </w:pPr>
    </w:p>
    <w:p w:rsidR="00684D1A" w:rsidRPr="00AB00F7" w:rsidRDefault="00684D1A" w:rsidP="00684D1A">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w:t>
      </w:r>
      <w:r w:rsidRPr="00AB00F7">
        <w:rPr>
          <w:rFonts w:ascii="Palatino Linotype" w:hAnsi="Palatino Linotype"/>
          <w:i/>
        </w:rPr>
        <w:lastRenderedPageBreak/>
        <w:t>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684D1A" w:rsidRPr="00E06A24" w:rsidRDefault="00684D1A" w:rsidP="00684D1A">
      <w:pPr>
        <w:pStyle w:val="Sinespaciado"/>
        <w:spacing w:line="360" w:lineRule="auto"/>
        <w:jc w:val="both"/>
        <w:rPr>
          <w:rFonts w:ascii="Palatino Linotype" w:hAnsi="Palatino Linotype"/>
          <w:sz w:val="24"/>
          <w:szCs w:val="24"/>
        </w:rPr>
      </w:pPr>
    </w:p>
    <w:p w:rsidR="00684D1A" w:rsidRPr="00E06A24" w:rsidRDefault="00684D1A" w:rsidP="00684D1A">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684D1A" w:rsidRDefault="00684D1A" w:rsidP="00684D1A">
      <w:pPr>
        <w:pStyle w:val="Sinespaciado"/>
      </w:pPr>
    </w:p>
    <w:p w:rsidR="00684D1A" w:rsidRDefault="00684D1A" w:rsidP="00684D1A">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w:t>
      </w:r>
      <w:r w:rsidR="00172F8F">
        <w:rPr>
          <w:rFonts w:ascii="Palatino Linotype" w:hAnsi="Palatino Linotype"/>
        </w:rPr>
        <w:t xml:space="preserve">nformación pública solicitada; </w:t>
      </w:r>
    </w:p>
    <w:p w:rsidR="00172F8F" w:rsidRDefault="00172F8F" w:rsidP="00684D1A">
      <w:pPr>
        <w:pStyle w:val="Prrafodelista"/>
        <w:spacing w:line="360" w:lineRule="auto"/>
        <w:ind w:left="0"/>
        <w:contextualSpacing/>
        <w:jc w:val="both"/>
        <w:rPr>
          <w:rFonts w:ascii="Palatino Linotype" w:hAnsi="Palatino Linotype"/>
        </w:rPr>
      </w:pPr>
    </w:p>
    <w:p w:rsidR="00172F8F" w:rsidRDefault="00172F8F" w:rsidP="00684D1A">
      <w:pPr>
        <w:pStyle w:val="Prrafodelista"/>
        <w:spacing w:line="360" w:lineRule="auto"/>
        <w:ind w:left="0"/>
        <w:contextualSpacing/>
        <w:jc w:val="both"/>
        <w:rPr>
          <w:rFonts w:ascii="Palatino Linotype" w:hAnsi="Palatino Linotype"/>
          <w:i/>
        </w:rPr>
      </w:pPr>
      <w:r>
        <w:rPr>
          <w:rFonts w:ascii="Palatino Linotype" w:hAnsi="Palatino Linotype"/>
        </w:rPr>
        <w:t>Es pertinente iniciar, refiriendo que</w:t>
      </w:r>
      <w:r w:rsidR="005C7A28">
        <w:rPr>
          <w:rFonts w:ascii="Palatino Linotype" w:hAnsi="Palatino Linotype"/>
        </w:rPr>
        <w:t>,</w:t>
      </w:r>
      <w:r>
        <w:rPr>
          <w:rFonts w:ascii="Palatino Linotype" w:hAnsi="Palatino Linotype"/>
        </w:rPr>
        <w:t xml:space="preserve"> el Sujeto Obligado en respuesta informo al particular “</w:t>
      </w:r>
      <w:r w:rsidR="006F7F26" w:rsidRPr="006F7F26">
        <w:rPr>
          <w:rFonts w:ascii="Palatino Linotype" w:hAnsi="Palatino Linotype"/>
        </w:rPr>
        <w:t>me permito informarle que la área de Servicios Públicos no esta contemplada dentro de las áreas que deben de contar con certificación o titulo profesional como lo marca el articulo ya mencionado anteriormente, por consecuente para este H. Ayuntamiento no es requisito contar con titulo y cédula profesional para ocupar el cargo de Director de Servicios Públicos, por lo que en nuestros archivos no obran los documentos que solicitan.</w:t>
      </w:r>
      <w:r w:rsidR="00EA6E72">
        <w:rPr>
          <w:rFonts w:ascii="Palatino Linotype" w:hAnsi="Palatino Linotype"/>
        </w:rPr>
        <w:t xml:space="preserve">” </w:t>
      </w:r>
      <w:r w:rsidR="00EA6E72" w:rsidRPr="00EA6E72">
        <w:rPr>
          <w:rFonts w:ascii="Palatino Linotype" w:hAnsi="Palatino Linotype"/>
          <w:i/>
        </w:rPr>
        <w:t>Énfasis añadido</w:t>
      </w:r>
    </w:p>
    <w:p w:rsidR="00EA6E72" w:rsidRDefault="00EA6E72" w:rsidP="00684D1A">
      <w:pPr>
        <w:pStyle w:val="Prrafodelista"/>
        <w:spacing w:line="360" w:lineRule="auto"/>
        <w:ind w:left="0"/>
        <w:contextualSpacing/>
        <w:jc w:val="both"/>
        <w:rPr>
          <w:rFonts w:ascii="Palatino Linotype" w:hAnsi="Palatino Linotype"/>
          <w:i/>
        </w:rPr>
      </w:pPr>
    </w:p>
    <w:p w:rsidR="00EA6E72" w:rsidRPr="00EA6E72" w:rsidRDefault="005C7A28" w:rsidP="00684D1A">
      <w:pPr>
        <w:pStyle w:val="Prrafodelista"/>
        <w:spacing w:line="360" w:lineRule="auto"/>
        <w:ind w:left="0"/>
        <w:contextualSpacing/>
        <w:jc w:val="both"/>
        <w:rPr>
          <w:rFonts w:ascii="Palatino Linotype" w:hAnsi="Palatino Linotype"/>
        </w:rPr>
      </w:pPr>
      <w:r>
        <w:rPr>
          <w:rFonts w:ascii="Palatino Linotype" w:hAnsi="Palatino Linotype"/>
        </w:rPr>
        <w:t>Bajo ese tenor el Particular inconforme con la respuesta proporcionada por el Ayuntamiento de Valle de Bravo</w:t>
      </w:r>
      <w:r w:rsidR="00485FC8">
        <w:rPr>
          <w:rFonts w:ascii="Palatino Linotype" w:hAnsi="Palatino Linotype"/>
        </w:rPr>
        <w:t>,</w:t>
      </w:r>
      <w:r>
        <w:rPr>
          <w:rFonts w:ascii="Palatino Linotype" w:hAnsi="Palatino Linotype"/>
        </w:rPr>
        <w:t xml:space="preserve"> </w:t>
      </w:r>
      <w:r w:rsidR="00485FC8">
        <w:rPr>
          <w:rFonts w:ascii="Palatino Linotype" w:hAnsi="Palatino Linotype"/>
        </w:rPr>
        <w:t xml:space="preserve">interpuso el presente recurso de revisión manifestando como razones o motivos de inconformidad </w:t>
      </w:r>
      <w:r w:rsidR="004F01E0">
        <w:rPr>
          <w:rFonts w:ascii="Palatino Linotype" w:hAnsi="Palatino Linotype"/>
        </w:rPr>
        <w:t>“…</w:t>
      </w:r>
      <w:r w:rsidR="004A0FDC" w:rsidRPr="004A0FDC">
        <w:rPr>
          <w:rFonts w:ascii="Palatino Linotype" w:hAnsi="Palatino Linotype"/>
          <w:i/>
          <w:sz w:val="22"/>
        </w:rPr>
        <w:t>es obligación de transparencia el ultimo grado de estudios de los servidores públicos.</w:t>
      </w:r>
      <w:r w:rsidR="004F01E0">
        <w:rPr>
          <w:rFonts w:ascii="Palatino Linotype" w:hAnsi="Palatino Linotype"/>
          <w:i/>
          <w:sz w:val="22"/>
        </w:rPr>
        <w:t xml:space="preserve">…” </w:t>
      </w:r>
    </w:p>
    <w:p w:rsidR="002C566D" w:rsidRDefault="002C566D" w:rsidP="00406E86">
      <w:pPr>
        <w:rPr>
          <w:noProof/>
          <w:lang w:eastAsia="es-MX"/>
        </w:rPr>
      </w:pPr>
    </w:p>
    <w:p w:rsidR="002E3A12" w:rsidRDefault="002E3A12" w:rsidP="002E3A12">
      <w:pPr>
        <w:pStyle w:val="Sinespaciado"/>
      </w:pPr>
    </w:p>
    <w:p w:rsidR="002E3A12" w:rsidRPr="00C43915" w:rsidRDefault="002E3A12" w:rsidP="002E3A12">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sz w:val="24"/>
          <w:szCs w:val="24"/>
        </w:rPr>
        <w:t xml:space="preserve"> en la m</w:t>
      </w:r>
      <w:r w:rsidRPr="00C43915">
        <w:rPr>
          <w:rFonts w:ascii="Palatino Linotype" w:hAnsi="Palatino Linotype"/>
          <w:sz w:val="24"/>
          <w:szCs w:val="24"/>
        </w:rPr>
        <w:t>ateria, lo anterior de acuerdo a lo establecido en el párrafo vigésimo segundo, fracción VIII del artículo 5 de la Constitución Política del Estado Libre y Soberano de México, que a la letra señala:</w:t>
      </w:r>
    </w:p>
    <w:p w:rsidR="002E3A12" w:rsidRPr="00C43915" w:rsidRDefault="002E3A12" w:rsidP="002E3A12">
      <w:pPr>
        <w:pStyle w:val="Sinespaciado"/>
        <w:spacing w:line="360" w:lineRule="auto"/>
        <w:jc w:val="both"/>
        <w:rPr>
          <w:rFonts w:ascii="Palatino Linotype" w:hAnsi="Palatino Linotype"/>
          <w:sz w:val="24"/>
          <w:szCs w:val="24"/>
        </w:rPr>
      </w:pP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rsidR="002E3A12" w:rsidRPr="00C43915" w:rsidRDefault="002E3A12" w:rsidP="002E3A12">
      <w:pPr>
        <w:pStyle w:val="Sinespaciado"/>
        <w:ind w:left="567" w:right="616"/>
        <w:jc w:val="both"/>
        <w:rPr>
          <w:rFonts w:ascii="Palatino Linotype" w:hAnsi="Palatino Linotype"/>
          <w:i/>
          <w:sz w:val="24"/>
          <w:szCs w:val="24"/>
        </w:rPr>
      </w:pP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rsidR="002E3A12" w:rsidRPr="00C43915" w:rsidRDefault="002E3A12" w:rsidP="002E3A12">
      <w:pPr>
        <w:pStyle w:val="Sinespaciado"/>
        <w:spacing w:line="360" w:lineRule="auto"/>
        <w:jc w:val="both"/>
        <w:rPr>
          <w:rFonts w:ascii="Palatino Linotype" w:hAnsi="Palatino Linotype"/>
          <w:sz w:val="24"/>
          <w:szCs w:val="24"/>
        </w:rPr>
      </w:pPr>
    </w:p>
    <w:p w:rsidR="002E3A12" w:rsidRPr="00C43915" w:rsidRDefault="002E3A12" w:rsidP="002E3A1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2E3A12" w:rsidRPr="00C43915" w:rsidRDefault="002E3A12" w:rsidP="002E3A12">
      <w:pPr>
        <w:pStyle w:val="Sinespaciado"/>
        <w:spacing w:line="360" w:lineRule="auto"/>
        <w:ind w:right="49"/>
        <w:jc w:val="both"/>
        <w:rPr>
          <w:rFonts w:ascii="Palatino Linotype" w:hAnsi="Palatino Linotype"/>
          <w:sz w:val="24"/>
          <w:szCs w:val="24"/>
        </w:rPr>
      </w:pPr>
    </w:p>
    <w:p w:rsidR="002E3A12" w:rsidRPr="00C43915" w:rsidRDefault="002E3A12" w:rsidP="002E3A1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rsidR="002E3A12" w:rsidRPr="00C43915" w:rsidRDefault="002E3A12" w:rsidP="002E3A12">
      <w:pPr>
        <w:pStyle w:val="Sinespaciado"/>
        <w:ind w:left="567" w:right="616"/>
        <w:jc w:val="both"/>
        <w:rPr>
          <w:rFonts w:ascii="Palatino Linotype" w:hAnsi="Palatino Linotype"/>
          <w:i/>
          <w:sz w:val="24"/>
          <w:szCs w:val="24"/>
        </w:rPr>
      </w:pP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rsidR="002E3A12" w:rsidRPr="00C43915" w:rsidRDefault="002E3A12" w:rsidP="002E3A12">
      <w:pPr>
        <w:pStyle w:val="Sinespaciado"/>
        <w:ind w:left="567" w:right="616"/>
        <w:jc w:val="both"/>
        <w:rPr>
          <w:rFonts w:ascii="Palatino Linotype" w:hAnsi="Palatino Linotype"/>
          <w:i/>
          <w:sz w:val="24"/>
          <w:szCs w:val="24"/>
        </w:rPr>
      </w:pP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2E3A12" w:rsidRPr="00C43915" w:rsidRDefault="002E3A12" w:rsidP="002E3A12">
      <w:pPr>
        <w:pStyle w:val="Sinespaciado"/>
        <w:ind w:left="567" w:right="616"/>
        <w:jc w:val="both"/>
        <w:rPr>
          <w:rFonts w:ascii="Palatino Linotype" w:hAnsi="Palatino Linotype"/>
          <w:i/>
          <w:sz w:val="24"/>
          <w:szCs w:val="24"/>
        </w:rPr>
      </w:pPr>
    </w:p>
    <w:p w:rsidR="002E3A12" w:rsidRPr="00C43915" w:rsidRDefault="002E3A12" w:rsidP="002E3A12">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rsidR="002E3A12" w:rsidRPr="00C43915" w:rsidRDefault="002E3A12" w:rsidP="002E3A12">
      <w:pPr>
        <w:pStyle w:val="Sinespaciado"/>
        <w:ind w:left="567" w:right="616"/>
        <w:jc w:val="both"/>
        <w:rPr>
          <w:rFonts w:ascii="Palatino Linotype" w:hAnsi="Palatino Linotype"/>
          <w:b/>
          <w:bCs/>
          <w:i/>
          <w:sz w:val="24"/>
          <w:szCs w:val="24"/>
        </w:rPr>
      </w:pP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lastRenderedPageBreak/>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rsidR="002E3A12" w:rsidRPr="00C43915" w:rsidRDefault="002E3A12" w:rsidP="002E3A12">
      <w:pPr>
        <w:pStyle w:val="Sinespaciado"/>
        <w:ind w:left="567" w:right="616"/>
        <w:jc w:val="both"/>
        <w:rPr>
          <w:rFonts w:ascii="Palatino Linotype" w:hAnsi="Palatino Linotype"/>
          <w:b/>
          <w:bCs/>
          <w:i/>
          <w:sz w:val="24"/>
          <w:szCs w:val="24"/>
        </w:rPr>
      </w:pPr>
    </w:p>
    <w:p w:rsidR="002E3A12" w:rsidRPr="00C43915" w:rsidRDefault="002E3A12" w:rsidP="002E3A12">
      <w:pPr>
        <w:pStyle w:val="Sinespaciado"/>
        <w:numPr>
          <w:ilvl w:val="0"/>
          <w:numId w:val="34"/>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 xml:space="preserve">municipal, es pública y sólo podrá ser reservada temporalmente por , razones de interés público y 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2E3A12" w:rsidRPr="00C43915" w:rsidRDefault="002E3A12" w:rsidP="002E3A12">
      <w:pPr>
        <w:pStyle w:val="Sinespaciado"/>
        <w:ind w:left="1287" w:right="616"/>
        <w:jc w:val="both"/>
        <w:rPr>
          <w:rFonts w:ascii="Palatino Linotype" w:hAnsi="Palatino Linotype"/>
          <w:i/>
          <w:sz w:val="24"/>
          <w:szCs w:val="24"/>
        </w:rPr>
      </w:pPr>
    </w:p>
    <w:p w:rsidR="002E3A12" w:rsidRPr="00C43915" w:rsidRDefault="002E3A12" w:rsidP="002E3A12">
      <w:pPr>
        <w:pStyle w:val="Sinespaciado"/>
        <w:numPr>
          <w:ilvl w:val="0"/>
          <w:numId w:val="34"/>
        </w:numPr>
        <w:ind w:right="616"/>
        <w:jc w:val="both"/>
        <w:rPr>
          <w:rFonts w:ascii="Palatino Linotype" w:hAnsi="Palatino Linotype"/>
          <w:i/>
          <w:sz w:val="24"/>
          <w:szCs w:val="24"/>
        </w:rPr>
      </w:pPr>
      <w:r w:rsidRPr="00C43915">
        <w:rPr>
          <w:rFonts w:ascii="Palatino Linotype" w:hAnsi="Palatino Linotype"/>
          <w:b/>
          <w:i/>
          <w:sz w:val="24"/>
          <w:szCs w:val="24"/>
          <w:u w:val="single"/>
        </w:rPr>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rsidR="002E3A12" w:rsidRPr="00C43915" w:rsidRDefault="002E3A12" w:rsidP="002E3A12">
      <w:pPr>
        <w:pStyle w:val="Prrafodelista"/>
        <w:rPr>
          <w:rFonts w:ascii="Palatino Linotype" w:hAnsi="Palatino Linotype"/>
          <w:i/>
        </w:rPr>
      </w:pPr>
    </w:p>
    <w:p w:rsidR="002E3A12" w:rsidRPr="00C43915" w:rsidRDefault="002E3A12" w:rsidP="002E3A12">
      <w:pPr>
        <w:pStyle w:val="Sinespaciado"/>
        <w:numPr>
          <w:ilvl w:val="0"/>
          <w:numId w:val="34"/>
        </w:numPr>
        <w:ind w:right="616"/>
        <w:jc w:val="both"/>
        <w:rPr>
          <w:rFonts w:ascii="Palatino Linotype" w:hAnsi="Palatino Linotype"/>
          <w:i/>
          <w:sz w:val="24"/>
          <w:szCs w:val="24"/>
        </w:rPr>
      </w:pPr>
      <w:r w:rsidRPr="00C43915">
        <w:rPr>
          <w:rFonts w:ascii="Palatino Linotype" w:hAnsi="Palatino Linotype"/>
          <w:i/>
          <w:sz w:val="24"/>
          <w:szCs w:val="24"/>
        </w:rPr>
        <w:t>…</w:t>
      </w:r>
    </w:p>
    <w:p w:rsidR="002E3A12" w:rsidRPr="00C43915" w:rsidRDefault="002E3A12" w:rsidP="002E3A12">
      <w:pPr>
        <w:pStyle w:val="Sinespaciado"/>
        <w:spacing w:line="360" w:lineRule="auto"/>
        <w:jc w:val="both"/>
        <w:rPr>
          <w:rFonts w:ascii="Palatino Linotype" w:hAnsi="Palatino Linotype"/>
          <w:sz w:val="24"/>
          <w:szCs w:val="24"/>
        </w:rPr>
      </w:pPr>
    </w:p>
    <w:p w:rsidR="002E3A12" w:rsidRDefault="002E3A12" w:rsidP="002E3A12">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rsidR="002E3A12" w:rsidRPr="006C1CED" w:rsidRDefault="002E3A12" w:rsidP="002E3A12">
      <w:pPr>
        <w:pStyle w:val="Sinespaciado"/>
        <w:spacing w:line="360" w:lineRule="auto"/>
        <w:jc w:val="both"/>
        <w:rPr>
          <w:rFonts w:ascii="Palatino Linotype" w:hAnsi="Palatino Linotype"/>
          <w:sz w:val="16"/>
          <w:szCs w:val="24"/>
        </w:rPr>
      </w:pPr>
    </w:p>
    <w:p w:rsidR="002E3A12" w:rsidRPr="00C43915" w:rsidRDefault="002E3A12" w:rsidP="002E3A1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rsidR="002E3A12" w:rsidRPr="00C43915" w:rsidRDefault="002E3A12" w:rsidP="002E3A12">
      <w:pPr>
        <w:pStyle w:val="Sinespaciado"/>
        <w:spacing w:line="360" w:lineRule="auto"/>
        <w:ind w:right="616"/>
        <w:jc w:val="both"/>
        <w:rPr>
          <w:rFonts w:ascii="Palatino Linotype" w:hAnsi="Palatino Linotype"/>
          <w:i/>
          <w:sz w:val="24"/>
          <w:szCs w:val="24"/>
        </w:rPr>
      </w:pPr>
    </w:p>
    <w:p w:rsidR="002E3A12" w:rsidRPr="009071F6" w:rsidRDefault="002E3A12" w:rsidP="002E3A1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lastRenderedPageBreak/>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w:t>
      </w:r>
      <w:r>
        <w:rPr>
          <w:rFonts w:ascii="Palatino Linotype" w:hAnsi="Palatino Linotype"/>
          <w:sz w:val="24"/>
          <w:szCs w:val="24"/>
        </w:rPr>
        <w:t xml:space="preserve">que fijen las leyes. Por tanto, </w:t>
      </w:r>
      <w:r w:rsidRPr="00C43915">
        <w:rPr>
          <w:rFonts w:ascii="Palatino Linotype" w:hAnsi="Palatino Linotype"/>
          <w:sz w:val="24"/>
          <w:szCs w:val="24"/>
        </w:rPr>
        <w:t>se puede colegir que la información que posee el Sujeto Obligado respecto a</w:t>
      </w:r>
      <w:r>
        <w:rPr>
          <w:rFonts w:ascii="Palatino Linotype" w:hAnsi="Palatino Linotype"/>
          <w:sz w:val="24"/>
          <w:szCs w:val="24"/>
        </w:rPr>
        <w:t xml:space="preserve"> la licencia de  construcción otorgada</w:t>
      </w:r>
      <w:r w:rsidRPr="00C43915">
        <w:rPr>
          <w:rFonts w:ascii="Palatino Linotype" w:hAnsi="Palatino Linotype"/>
          <w:sz w:val="24"/>
          <w:szCs w:val="24"/>
        </w:rPr>
        <w:t xml:space="preserve"> para la </w:t>
      </w:r>
      <w:r>
        <w:rPr>
          <w:rFonts w:ascii="Palatino Linotype" w:hAnsi="Palatino Linotype"/>
          <w:sz w:val="24"/>
          <w:szCs w:val="24"/>
        </w:rPr>
        <w:t>obra privada</w:t>
      </w:r>
      <w:r w:rsidRPr="00C43915">
        <w:rPr>
          <w:rFonts w:ascii="Palatino Linotype" w:hAnsi="Palatino Linotype"/>
          <w:sz w:val="24"/>
          <w:szCs w:val="24"/>
        </w:rPr>
        <w:t xml:space="preserve"> es pública, por lo que es dable que se lleve </w:t>
      </w:r>
      <w:r>
        <w:rPr>
          <w:rFonts w:ascii="Palatino Linotype" w:hAnsi="Palatino Linotype"/>
          <w:sz w:val="24"/>
          <w:szCs w:val="24"/>
        </w:rPr>
        <w:t>a cabo su entrega al Recurrente</w:t>
      </w:r>
      <w:r w:rsidRPr="00C43915">
        <w:rPr>
          <w:rFonts w:ascii="Palatino Linotype" w:hAnsi="Palatino Linotype"/>
          <w:sz w:val="24"/>
          <w:szCs w:val="24"/>
        </w:rPr>
        <w:t>, también es procedente que en los documentos en donde conste dicha informació</w:t>
      </w:r>
      <w:r>
        <w:rPr>
          <w:rFonts w:ascii="Palatino Linotype" w:hAnsi="Palatino Linotype"/>
          <w:sz w:val="24"/>
          <w:szCs w:val="24"/>
        </w:rPr>
        <w:t>n se teste el nombre del perito</w:t>
      </w:r>
      <w:r w:rsidRPr="00C43915">
        <w:rPr>
          <w:rFonts w:ascii="Palatino Linotype" w:hAnsi="Palatino Linotype"/>
          <w:sz w:val="24"/>
          <w:szCs w:val="24"/>
        </w:rPr>
        <w:t xml:space="preserve">, pues éste se considera un </w:t>
      </w:r>
      <w:r w:rsidRPr="00C43915">
        <w:rPr>
          <w:rFonts w:ascii="Palatino Linotype" w:hAnsi="Palatino Linotype"/>
          <w:b/>
          <w:sz w:val="24"/>
          <w:szCs w:val="24"/>
        </w:rPr>
        <w:t>dato personal</w:t>
      </w:r>
      <w:r w:rsidRPr="00C43915">
        <w:rPr>
          <w:rFonts w:ascii="Palatino Linotype" w:hAnsi="Palatino Linotype"/>
          <w:sz w:val="24"/>
          <w:szCs w:val="24"/>
        </w:rPr>
        <w:t xml:space="preserve">, que está protegido por una de las dos leyes que rige al Instituto, además de que no se actualiza la hipótesis establecida en el mismo artículo 6 constitucional, apartado A, inciso I, respecto a que se trate de una persona física </w:t>
      </w:r>
      <w:r>
        <w:rPr>
          <w:rFonts w:ascii="Palatino Linotype" w:hAnsi="Palatino Linotype"/>
          <w:sz w:val="24"/>
          <w:szCs w:val="24"/>
        </w:rPr>
        <w:t xml:space="preserve">o moral </w:t>
      </w:r>
      <w:r w:rsidRPr="00C43915">
        <w:rPr>
          <w:rFonts w:ascii="Palatino Linotype" w:hAnsi="Palatino Linotype"/>
          <w:sz w:val="24"/>
          <w:szCs w:val="24"/>
        </w:rPr>
        <w:t>que reciba y ejerza recursos públicos o realice actos de autoridad en el cualquier ámbito.</w:t>
      </w:r>
    </w:p>
    <w:p w:rsidR="00F56598" w:rsidRDefault="00F56598" w:rsidP="00DA43C3">
      <w:pPr>
        <w:autoSpaceDE w:val="0"/>
        <w:autoSpaceDN w:val="0"/>
        <w:adjustRightInd w:val="0"/>
        <w:spacing w:after="0" w:line="360" w:lineRule="auto"/>
        <w:jc w:val="both"/>
        <w:rPr>
          <w:rFonts w:ascii="Palatino Linotype" w:hAnsi="Palatino Linotype" w:cs="Arial"/>
          <w:b/>
        </w:rPr>
      </w:pPr>
    </w:p>
    <w:p w:rsidR="009C470F" w:rsidRPr="00DA43C3" w:rsidRDefault="009C470F" w:rsidP="00DA43C3">
      <w:pPr>
        <w:autoSpaceDE w:val="0"/>
        <w:autoSpaceDN w:val="0"/>
        <w:adjustRightInd w:val="0"/>
        <w:spacing w:after="0" w:line="360" w:lineRule="auto"/>
        <w:jc w:val="both"/>
        <w:rPr>
          <w:rFonts w:ascii="Palatino Linotype" w:hAnsi="Palatino Linotype"/>
          <w:sz w:val="24"/>
        </w:rPr>
      </w:pPr>
      <w:r w:rsidRPr="009D1CEC">
        <w:rPr>
          <w:rFonts w:ascii="Palatino Linotype" w:hAnsi="Palatino Linotype" w:cs="Arial"/>
          <w:b/>
        </w:rPr>
        <w:t xml:space="preserve">De la Versión Pública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w:t>
      </w:r>
      <w:r w:rsidR="00232FBB">
        <w:rPr>
          <w:rFonts w:ascii="Palatino Linotype" w:eastAsia="Arial Unicode MS" w:hAnsi="Palatino Linotype" w:cs="Times New Roman"/>
          <w:sz w:val="24"/>
          <w:szCs w:val="24"/>
          <w:lang w:val="es-ES" w:eastAsia="es-ES"/>
        </w:rPr>
        <w:t>pudieran contener datos personales susceptibles de ser clasificados, atendiendo a los</w:t>
      </w:r>
      <w:r w:rsidRPr="00347D2A">
        <w:rPr>
          <w:rFonts w:ascii="Palatino Linotype" w:eastAsia="Arial Unicode MS" w:hAnsi="Palatino Linotype" w:cs="Times New Roman"/>
          <w:sz w:val="24"/>
          <w:szCs w:val="24"/>
          <w:lang w:val="es-ES" w:eastAsia="es-ES"/>
        </w:rPr>
        <w:t xml:space="preserve"> requerimiento</w:t>
      </w:r>
      <w:r w:rsidR="00232FBB">
        <w:rPr>
          <w:rFonts w:ascii="Palatino Linotype" w:eastAsia="Arial Unicode MS" w:hAnsi="Palatino Linotype" w:cs="Times New Roman"/>
          <w:sz w:val="24"/>
          <w:szCs w:val="24"/>
          <w:lang w:val="es-ES" w:eastAsia="es-ES"/>
        </w:rPr>
        <w:t>s</w:t>
      </w:r>
      <w:r w:rsidRPr="00347D2A">
        <w:rPr>
          <w:rFonts w:ascii="Palatino Linotype" w:eastAsia="Arial Unicode MS" w:hAnsi="Palatino Linotype" w:cs="Times New Roman"/>
          <w:sz w:val="24"/>
          <w:szCs w:val="24"/>
          <w:lang w:val="es-ES" w:eastAsia="es-ES"/>
        </w:rPr>
        <w:t xml:space="preserve"> del ciudadano, este Órgano Garante determina ordenar que la entrega de la información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C470F" w:rsidRPr="00347D2A" w:rsidRDefault="009C470F" w:rsidP="009C470F">
      <w:pPr>
        <w:spacing w:after="0" w:line="360" w:lineRule="auto"/>
        <w:jc w:val="both"/>
        <w:rPr>
          <w:rFonts w:ascii="Palatino Linotype" w:eastAsia="Times New Roman" w:hAnsi="Palatino Linotype" w:cs="Times New Roman"/>
          <w:b/>
          <w:bCs/>
          <w:i/>
          <w:noProof/>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C470F" w:rsidRPr="00347D2A" w:rsidRDefault="009C470F" w:rsidP="009C470F">
      <w:pPr>
        <w:spacing w:after="0" w:line="240" w:lineRule="auto"/>
        <w:ind w:left="567" w:right="616"/>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C470F" w:rsidRPr="00347D2A" w:rsidRDefault="009C470F" w:rsidP="009C470F">
      <w:pPr>
        <w:spacing w:after="0" w:line="360" w:lineRule="auto"/>
        <w:jc w:val="both"/>
        <w:rPr>
          <w:rFonts w:ascii="Palatino Linotype" w:eastAsia="Arial Unicode MS"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w:t>
      </w:r>
      <w:r w:rsidRPr="00347D2A">
        <w:rPr>
          <w:rFonts w:ascii="Palatino Linotype" w:eastAsia="Times New Roman" w:hAnsi="Palatino Linotype" w:cs="Times New Roman"/>
          <w:sz w:val="24"/>
          <w:szCs w:val="24"/>
          <w:lang w:eastAsia="es-ES"/>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232FBB">
      <w:pPr>
        <w:pStyle w:val="Sinespaciado"/>
        <w:rPr>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C470F" w:rsidRPr="00347D2A" w:rsidRDefault="009C470F" w:rsidP="00232FBB">
      <w:pPr>
        <w:pStyle w:val="Sinespaciado"/>
        <w:rPr>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w:t>
      </w:r>
      <w:r w:rsidRPr="00347D2A">
        <w:rPr>
          <w:rFonts w:ascii="Palatino Linotype" w:eastAsia="Times New Roman" w:hAnsi="Palatino Linotype" w:cs="Times New Roman"/>
          <w:i/>
          <w:lang w:eastAsia="es-MX"/>
        </w:rPr>
        <w:lastRenderedPageBreak/>
        <w:t>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w:t>
      </w:r>
      <w:r w:rsidRPr="00347D2A">
        <w:rPr>
          <w:rFonts w:ascii="Palatino Linotype" w:eastAsia="Times New Roman" w:hAnsi="Palatino Linotype" w:cs="Times New Roman"/>
          <w:sz w:val="24"/>
          <w:szCs w:val="24"/>
          <w:lang w:val="es-ES" w:eastAsia="es-ES"/>
        </w:rPr>
        <w:lastRenderedPageBreak/>
        <w:t xml:space="preserve">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0053251F">
        <w:rPr>
          <w:rFonts w:ascii="Palatino Linotype" w:eastAsia="Times New Roman" w:hAnsi="Palatino Linotype" w:cs="Times New Roman"/>
          <w:sz w:val="24"/>
          <w:szCs w:val="24"/>
          <w:lang w:val="es-ES" w:eastAsia="es-ES"/>
        </w:rPr>
        <w:t xml:space="preserve"> (CURP).</w:t>
      </w:r>
    </w:p>
    <w:p w:rsidR="0053251F" w:rsidRPr="00347D2A" w:rsidRDefault="0053251F" w:rsidP="009C470F">
      <w:pPr>
        <w:spacing w:after="0" w:line="360" w:lineRule="auto"/>
        <w:jc w:val="both"/>
        <w:rPr>
          <w:rFonts w:ascii="Palatino Linotype" w:eastAsia="Times New Roman" w:hAnsi="Palatino Linotype" w:cs="Times New Roman"/>
          <w:sz w:val="24"/>
          <w:szCs w:val="24"/>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9C470F" w:rsidRPr="00347D2A" w:rsidRDefault="009C470F" w:rsidP="009C470F">
      <w:pPr>
        <w:spacing w:after="0" w:line="360" w:lineRule="auto"/>
        <w:jc w:val="both"/>
        <w:rPr>
          <w:rFonts w:ascii="Palatino Linotype" w:eastAsia="Times New Roman" w:hAnsi="Palatino Linotype" w:cs="Arial"/>
          <w:sz w:val="24"/>
          <w:szCs w:val="24"/>
          <w:lang w:val="es-ES" w:eastAsia="es-MX"/>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C470F" w:rsidRPr="00347D2A" w:rsidRDefault="009C470F" w:rsidP="009C470F">
      <w:pPr>
        <w:spacing w:after="0" w:line="240" w:lineRule="auto"/>
        <w:ind w:left="567" w:right="616"/>
        <w:jc w:val="both"/>
        <w:rPr>
          <w:rFonts w:ascii="Palatino Linotype" w:eastAsia="Times New Roman" w:hAnsi="Palatino Linotype" w:cs="Arial"/>
          <w:bCs/>
          <w:i/>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347D2A">
        <w:rPr>
          <w:rFonts w:ascii="Palatino Linotype" w:eastAsia="Times New Roman" w:hAnsi="Palatino Linotype" w:cs="Times New Roman"/>
          <w:sz w:val="24"/>
          <w:szCs w:val="24"/>
          <w:lang w:val="es-ES"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347D2A">
        <w:rPr>
          <w:rFonts w:ascii="Palatino Linotype" w:eastAsia="Calibri"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347D2A">
        <w:rPr>
          <w:rFonts w:ascii="Times New Roman" w:eastAsia="Times New Roman" w:hAnsi="Times New Roman" w:cs="Times New Roman"/>
          <w:i/>
          <w:lang w:eastAsia="es-MX"/>
        </w:rPr>
        <w:lastRenderedPageBreak/>
        <w:t>ámbito de sus respectivas competencias, en tanto estas últimas no contravengan lo dispuesto en la Ley General.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lastRenderedPageBreak/>
        <w:t>Los documentos contenidos en los archivos históricos y los identificados como históricos confidenciales no serán susceptibles de clasificación como reservados.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9C470F" w:rsidRPr="00347D2A" w:rsidRDefault="009C470F" w:rsidP="009C470F">
      <w:pPr>
        <w:spacing w:after="0" w:line="360" w:lineRule="auto"/>
        <w:jc w:val="both"/>
        <w:rPr>
          <w:rFonts w:ascii="Palatino Linotype" w:eastAsia="Times New Roman" w:hAnsi="Palatino Linotype" w:cs="Arial"/>
          <w:i/>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347D2A">
        <w:rPr>
          <w:rFonts w:ascii="Palatino Linotype" w:eastAsia="Times New Roman" w:hAnsi="Palatino Linotype" w:cs="Times New Roman"/>
          <w:i/>
          <w:lang w:eastAsia="es-ES"/>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347D2A">
        <w:rPr>
          <w:rFonts w:ascii="Palatino Linotype" w:eastAsia="Times New Roman" w:hAnsi="Palatino Linotype" w:cs="Times New Roman"/>
          <w:sz w:val="24"/>
          <w:szCs w:val="24"/>
          <w:lang w:val="es-ES" w:eastAsia="es-ES"/>
        </w:rPr>
        <w:lastRenderedPageBreak/>
        <w:t>manera puntual las razones de ello se estaría violentando desde un inicio el derecho de acceso a la información del solicitante.</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sidR="00CA4F4C">
        <w:rPr>
          <w:rFonts w:ascii="Palatino Linotype" w:eastAsia="Times New Roman" w:hAnsi="Palatino Linotype" w:cs="Arial"/>
          <w:bCs/>
          <w:sz w:val="24"/>
          <w:szCs w:val="24"/>
          <w:lang w:eastAsia="es-ES"/>
        </w:rPr>
        <w:t xml:space="preserve">e </w:t>
      </w:r>
      <w:r w:rsidR="00BB26EE">
        <w:rPr>
          <w:rFonts w:ascii="Palatino Linotype" w:eastAsia="Times New Roman" w:hAnsi="Palatino Linotype" w:cs="Arial"/>
          <w:bCs/>
          <w:sz w:val="24"/>
          <w:szCs w:val="24"/>
          <w:lang w:eastAsia="es-ES"/>
        </w:rPr>
        <w:t>El Recurrente</w:t>
      </w:r>
      <w:r w:rsidRPr="00347D2A">
        <w:rPr>
          <w:rFonts w:ascii="Palatino Linotype" w:eastAsia="Times New Roman" w:hAnsi="Palatino Linotype" w:cs="Arial"/>
          <w:bCs/>
          <w:sz w:val="24"/>
          <w:szCs w:val="24"/>
          <w:lang w:eastAsia="es-ES"/>
        </w:rPr>
        <w:t>.</w:t>
      </w:r>
    </w:p>
    <w:p w:rsidR="000E5159" w:rsidRDefault="000E5159" w:rsidP="008706DB">
      <w:pPr>
        <w:pStyle w:val="Textonotapie"/>
      </w:pPr>
    </w:p>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sidR="00224F85">
        <w:rPr>
          <w:rFonts w:ascii="Palatino Linotype" w:hAnsi="Palatino Linotype"/>
          <w:sz w:val="24"/>
        </w:rPr>
        <w:t xml:space="preserve"> segundo</w:t>
      </w:r>
      <w:r w:rsidRPr="007C5203">
        <w:rPr>
          <w:rFonts w:ascii="Palatino Linotype" w:hAnsi="Palatino Linotype"/>
          <w:sz w:val="24"/>
        </w:rPr>
        <w:t xml:space="preserve">, vigésimo </w:t>
      </w:r>
      <w:r w:rsidR="00224F85">
        <w:rPr>
          <w:rFonts w:ascii="Palatino Linotype" w:hAnsi="Palatino Linotype"/>
          <w:sz w:val="24"/>
        </w:rPr>
        <w:t>tercero</w:t>
      </w:r>
      <w:r w:rsidRPr="007C5203">
        <w:rPr>
          <w:rFonts w:ascii="Palatino Linotype" w:hAnsi="Palatino Linotype"/>
          <w:sz w:val="24"/>
        </w:rPr>
        <w:t xml:space="preserve"> y vigésimo </w:t>
      </w:r>
      <w:r w:rsidR="00224F85">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FF4576" w:rsidRDefault="00FF4576" w:rsidP="00FF4576">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955477">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266B4E" w:rsidRPr="00266B4E">
        <w:rPr>
          <w:rFonts w:ascii="Palatino Linotype" w:hAnsi="Palatino Linotype"/>
          <w:b/>
          <w:sz w:val="24"/>
          <w:szCs w:val="24"/>
        </w:rPr>
        <w:t>00491/AXAPUSCO/IP/2019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266B4E">
        <w:rPr>
          <w:rFonts w:ascii="Palatino Linotype" w:hAnsi="Palatino Linotype" w:cs="Arial"/>
          <w:b/>
          <w:bCs/>
          <w:sz w:val="24"/>
          <w:szCs w:val="24"/>
        </w:rPr>
        <w:t>09795</w:t>
      </w:r>
      <w:r w:rsidRPr="00241712">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BD71B0">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FF4576" w:rsidRPr="00B712CA" w:rsidRDefault="00FF4576" w:rsidP="00FF4576">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lastRenderedPageBreak/>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316D23">
        <w:rPr>
          <w:rFonts w:ascii="Palatino Linotype" w:hAnsi="Palatino Linotype" w:cs="Arial"/>
          <w:sz w:val="24"/>
          <w:szCs w:val="24"/>
        </w:rPr>
        <w:t>en versión pública</w:t>
      </w:r>
      <w:r w:rsidR="00545810">
        <w:rPr>
          <w:rFonts w:ascii="Palatino Linotype" w:hAnsi="Palatino Linotype" w:cs="Arial"/>
          <w:sz w:val="24"/>
          <w:szCs w:val="24"/>
        </w:rPr>
        <w:t>, previa búsqueda exhaustiva y razonable</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w:t>
      </w:r>
      <w:r w:rsidR="00625227">
        <w:rPr>
          <w:rFonts w:ascii="Palatino Linotype" w:hAnsi="Palatino Linotype" w:cs="Arial"/>
          <w:sz w:val="24"/>
          <w:szCs w:val="24"/>
        </w:rPr>
        <w:t xml:space="preserve"> documentos donde conste lo siguiente:</w:t>
      </w:r>
    </w:p>
    <w:p w:rsidR="00591189" w:rsidRPr="00655A88" w:rsidRDefault="00591189" w:rsidP="00316D23"/>
    <w:p w:rsidR="00087885" w:rsidRDefault="001132C2" w:rsidP="000D7B84">
      <w:pPr>
        <w:pStyle w:val="Prrafodelista"/>
        <w:numPr>
          <w:ilvl w:val="0"/>
          <w:numId w:val="27"/>
        </w:numPr>
        <w:autoSpaceDE w:val="0"/>
        <w:autoSpaceDN w:val="0"/>
        <w:adjustRightInd w:val="0"/>
        <w:spacing w:before="240" w:line="360" w:lineRule="auto"/>
        <w:ind w:right="49"/>
        <w:jc w:val="both"/>
        <w:rPr>
          <w:rFonts w:ascii="Palatino Linotype" w:hAnsi="Palatino Linotype"/>
          <w:i/>
          <w:lang w:val="es-ES_tradnl"/>
        </w:rPr>
      </w:pPr>
      <w:r>
        <w:rPr>
          <w:rFonts w:ascii="Palatino Linotype" w:hAnsi="Palatino Linotype"/>
          <w:i/>
          <w:lang w:val="es-ES_tradnl"/>
        </w:rPr>
        <w:t>Título universitario y cédula profesional</w:t>
      </w:r>
      <w:r w:rsidR="00B5796A">
        <w:rPr>
          <w:rFonts w:ascii="Palatino Linotype" w:hAnsi="Palatino Linotype"/>
          <w:i/>
          <w:lang w:val="es-ES_tradnl"/>
        </w:rPr>
        <w:t xml:space="preserve">. </w:t>
      </w:r>
    </w:p>
    <w:p w:rsidR="00D80A70" w:rsidRDefault="00D80A70" w:rsidP="00D80A70">
      <w:pPr>
        <w:pStyle w:val="Textonotapie"/>
        <w:rPr>
          <w:lang w:eastAsia="es-MX"/>
        </w:rPr>
      </w:pPr>
    </w:p>
    <w:p w:rsidR="00087885" w:rsidRPr="00087885" w:rsidRDefault="00087885" w:rsidP="00087885">
      <w:pPr>
        <w:autoSpaceDE w:val="0"/>
        <w:autoSpaceDN w:val="0"/>
        <w:adjustRightInd w:val="0"/>
        <w:spacing w:before="240" w:line="360" w:lineRule="auto"/>
        <w:ind w:right="49"/>
        <w:jc w:val="both"/>
        <w:rPr>
          <w:rFonts w:ascii="Palatino Linotype" w:hAnsi="Palatino Linotype"/>
          <w:i/>
          <w:sz w:val="6"/>
          <w:lang w:val="es-ES_tradnl"/>
        </w:rPr>
      </w:pPr>
    </w:p>
    <w:p w:rsidR="0066612D" w:rsidRDefault="0066612D" w:rsidP="0066612D">
      <w:pPr>
        <w:pStyle w:val="Sinespaciado"/>
        <w:spacing w:line="360" w:lineRule="auto"/>
        <w:jc w:val="both"/>
        <w:rPr>
          <w:rFonts w:ascii="Palatino Linotype" w:hAnsi="Palatino Linotype" w:cs="Arial"/>
          <w:i/>
        </w:rPr>
      </w:pPr>
      <w:r w:rsidRPr="00537BEE">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2D3426" w:rsidRPr="00537BEE">
        <w:rPr>
          <w:rFonts w:ascii="Palatino Linotype" w:hAnsi="Palatino Linotype" w:cs="Arial"/>
          <w:i/>
        </w:rPr>
        <w:t>e</w:t>
      </w:r>
      <w:r w:rsidR="00BB26EE" w:rsidRPr="00537BEE">
        <w:rPr>
          <w:rFonts w:ascii="Palatino Linotype" w:hAnsi="Palatino Linotype" w:cs="Arial"/>
          <w:i/>
        </w:rPr>
        <w:t>l Recurrente</w:t>
      </w:r>
      <w:r w:rsidRPr="00537BEE">
        <w:rPr>
          <w:rFonts w:ascii="Palatino Linotype" w:hAnsi="Palatino Linotype" w:cs="Arial"/>
          <w:i/>
        </w:rPr>
        <w:t>.</w:t>
      </w:r>
    </w:p>
    <w:p w:rsidR="00537BEE" w:rsidRPr="00537BEE" w:rsidRDefault="00537BEE" w:rsidP="0066612D">
      <w:pPr>
        <w:pStyle w:val="Sinespaciado"/>
        <w:spacing w:line="360" w:lineRule="auto"/>
        <w:jc w:val="both"/>
        <w:rPr>
          <w:rFonts w:ascii="Palatino Linotype" w:hAnsi="Palatino Linotype" w:cs="Arial"/>
          <w:i/>
          <w:sz w:val="12"/>
        </w:rPr>
      </w:pPr>
    </w:p>
    <w:p w:rsidR="00537BEE" w:rsidRPr="00537BEE" w:rsidRDefault="00537BEE" w:rsidP="00537BEE">
      <w:pPr>
        <w:spacing w:line="360" w:lineRule="auto"/>
        <w:jc w:val="both"/>
        <w:rPr>
          <w:rFonts w:ascii="Palatino Linotype" w:hAnsi="Palatino Linotype" w:cs="Tahoma"/>
          <w:bCs/>
          <w:i/>
        </w:rPr>
      </w:pPr>
      <w:r w:rsidRPr="0021052B">
        <w:rPr>
          <w:rFonts w:ascii="Palatino Linotype" w:hAnsi="Palatino Linotype" w:cs="Tahoma"/>
          <w:bCs/>
          <w:i/>
        </w:rPr>
        <w:t>En el supuesto</w:t>
      </w:r>
      <w:r w:rsidRPr="00537BEE">
        <w:rPr>
          <w:rFonts w:ascii="Palatino Linotype" w:hAnsi="Palatino Linotype" w:cs="Tahoma"/>
          <w:bCs/>
          <w:i/>
        </w:rPr>
        <w:t>, que no se cuente</w:t>
      </w:r>
      <w:r>
        <w:rPr>
          <w:rFonts w:ascii="Palatino Linotype" w:hAnsi="Palatino Linotype" w:cs="Tahoma"/>
          <w:bCs/>
          <w:i/>
        </w:rPr>
        <w:t xml:space="preserve"> con el título universitario y la cédula profesional del Director de Servicios Públicos del  Ayuntamiento de Axapusco</w:t>
      </w:r>
      <w:r w:rsidRPr="0021052B">
        <w:rPr>
          <w:rFonts w:ascii="Palatino Linotype" w:hAnsi="Palatino Linotype" w:cs="Tahoma"/>
          <w:bCs/>
          <w:i/>
        </w:rPr>
        <w:t>, deberá hacerlo del conocimiento del ahora Recurrente, en términos del artículo 19, párrafo segundo de la Ley de la materia.</w:t>
      </w:r>
    </w:p>
    <w:p w:rsidR="0066612D" w:rsidRPr="0066612D" w:rsidRDefault="0066612D" w:rsidP="0066612D">
      <w:pPr>
        <w:pStyle w:val="Sinespaciado"/>
        <w:spacing w:line="360" w:lineRule="auto"/>
        <w:jc w:val="both"/>
        <w:rPr>
          <w:rFonts w:ascii="Palatino Linotype" w:hAnsi="Palatino Linotype"/>
          <w:sz w:val="16"/>
        </w:rPr>
      </w:pPr>
    </w:p>
    <w:p w:rsidR="00B636D7" w:rsidRDefault="00B636D7" w:rsidP="00B636D7">
      <w:pPr>
        <w:pStyle w:val="Sinespaciado"/>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80A70" w:rsidRPr="00D22D43" w:rsidRDefault="00D80A70"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lastRenderedPageBreak/>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B536F" w:rsidRPr="00D22D43" w:rsidRDefault="00BB536F" w:rsidP="00C24FAE">
      <w:pPr>
        <w:pStyle w:val="Sinespaciado"/>
        <w:spacing w:line="360" w:lineRule="auto"/>
        <w:jc w:val="both"/>
        <w:rPr>
          <w:rFonts w:ascii="Palatino Linotype" w:hAnsi="Palatino Linotype"/>
          <w:sz w:val="24"/>
        </w:rPr>
      </w:pPr>
    </w:p>
    <w:p w:rsidR="00F56598" w:rsidRPr="006C2923"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JAVIER MARTÍNEZ CRUZ</w:t>
      </w:r>
      <w:r w:rsidR="006C2923">
        <w:rPr>
          <w:rFonts w:ascii="Palatino Linotype" w:hAnsi="Palatino Linotype"/>
          <w:sz w:val="24"/>
          <w:szCs w:val="24"/>
        </w:rPr>
        <w:t xml:space="preserve"> (AUSENCA JUSTIFICADA)</w:t>
      </w:r>
      <w:r w:rsidR="00F91340" w:rsidRPr="00D22D43">
        <w:rPr>
          <w:rFonts w:ascii="Palatino Linotype" w:hAnsi="Palatino Linotype"/>
          <w:sz w:val="24"/>
          <w:szCs w:val="24"/>
        </w:rPr>
        <w:t xml:space="preserve">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006C2923">
        <w:rPr>
          <w:rFonts w:ascii="Palatino Linotype" w:hAnsi="Palatino Linotype"/>
          <w:sz w:val="24"/>
          <w:szCs w:val="24"/>
        </w:rPr>
        <w:t xml:space="preserve">, EN LA OCTAVA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6C2923">
        <w:rPr>
          <w:rFonts w:ascii="Palatino Linotype" w:hAnsi="Palatino Linotype"/>
          <w:sz w:val="24"/>
          <w:szCs w:val="24"/>
        </w:rPr>
        <w:t>CINCO DE MARZO DE DOS MIL VEINTE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D80A70">
        <w:rPr>
          <w:rFonts w:ascii="Palatino Linotype" w:hAnsi="Palatino Linotype"/>
          <w:sz w:val="24"/>
          <w:szCs w:val="24"/>
        </w:rPr>
        <w:t>-------------------------------------------------------------------------------------------------------------------------- ---------------------------------------------------------------------------------------------------------------------------------------------------------------------------------------------------------------------------------------------------</w:t>
      </w:r>
      <w:r w:rsidR="00C16DEB">
        <w:rPr>
          <w:rFonts w:ascii="Palatino Linotype" w:hAnsi="Palatino Linotype"/>
          <w:sz w:val="24"/>
          <w:szCs w:val="24"/>
        </w:rPr>
        <w:t>-------------------------------------------------------------------------------------------------------------------------------------------------------------------------------</w:t>
      </w:r>
      <w:r w:rsidR="00EF5D86">
        <w:rPr>
          <w:rFonts w:ascii="Palatino Linotype" w:hAnsi="Palatino Linotype"/>
          <w:sz w:val="24"/>
          <w:szCs w:val="24"/>
        </w:rPr>
        <w:t>-----------------</w:t>
      </w:r>
      <w:r w:rsidR="006C2923">
        <w:rPr>
          <w:rFonts w:ascii="Palatino Linotype" w:hAnsi="Palatino Linotype"/>
          <w:sz w:val="24"/>
          <w:szCs w:val="24"/>
        </w:rPr>
        <w:t>----------------------------------------------------------------------------------------------------------------------------------------------------------------------------------------------------------------------------------------------------------------------------------------------------------------------------------------------------------------------------------------------------------------------------------------------------------------------</w:t>
      </w:r>
      <w:r w:rsidR="00EF5D86">
        <w:rPr>
          <w:rFonts w:ascii="Palatino Linotype" w:hAnsi="Palatino Linotype"/>
          <w:sz w:val="24"/>
          <w:szCs w:val="24"/>
        </w:rPr>
        <w:t>--------------</w:t>
      </w:r>
      <w:r w:rsidR="006C2923">
        <w:rPr>
          <w:rFonts w:ascii="Palatino Linotype" w:hAnsi="Palatino Linotype"/>
          <w:sz w:val="24"/>
          <w:szCs w:val="24"/>
        </w:rPr>
        <w:t>-</w:t>
      </w:r>
    </w:p>
    <w:p w:rsidR="00F56598" w:rsidRPr="00D22D43" w:rsidRDefault="00F56598"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65"/>
      </w:tblGrid>
      <w:tr w:rsidR="006149F1" w:rsidRPr="006149F1" w:rsidTr="00F91340">
        <w:tc>
          <w:tcPr>
            <w:tcW w:w="9062" w:type="dxa"/>
            <w:gridSpan w:val="2"/>
          </w:tcPr>
          <w:p w:rsidR="00AF0CFA" w:rsidRPr="006149F1" w:rsidRDefault="00AF0CFA"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D80A70" w:rsidRDefault="00D80A70"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6C2923" w:rsidP="00142CC6">
            <w:pPr>
              <w:jc w:val="center"/>
              <w:rPr>
                <w:rFonts w:ascii="Palatino Linotype" w:hAnsi="Palatino Linotype"/>
                <w:sz w:val="24"/>
                <w:szCs w:val="24"/>
              </w:rPr>
            </w:pPr>
            <w:r>
              <w:rPr>
                <w:rFonts w:ascii="Palatino Linotype" w:hAnsi="Palatino Linotype"/>
                <w:sz w:val="24"/>
                <w:szCs w:val="24"/>
              </w:rPr>
              <w:t>(Ausencia justificada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C16DEB">
        <w:rPr>
          <w:rFonts w:ascii="Palatino Linotype" w:hAnsi="Palatino Linotype" w:cs="Arial"/>
          <w:sz w:val="18"/>
          <w:szCs w:val="16"/>
        </w:rPr>
        <w:t xml:space="preserve">esolución de fecha </w:t>
      </w:r>
      <w:r w:rsidR="006C2923">
        <w:rPr>
          <w:rFonts w:ascii="Palatino Linotype" w:hAnsi="Palatino Linotype" w:cs="Arial"/>
          <w:sz w:val="18"/>
          <w:szCs w:val="16"/>
        </w:rPr>
        <w:t>cinco de marzo de dos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F56598">
        <w:rPr>
          <w:rFonts w:ascii="Palatino Linotype" w:hAnsi="Palatino Linotype" w:cs="Arial"/>
          <w:bCs/>
          <w:sz w:val="18"/>
          <w:szCs w:val="16"/>
          <w:lang w:eastAsia="es-MX"/>
        </w:rPr>
        <w:t>9795</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Default="00F56598" w:rsidP="00B73E6C">
      <w:pPr>
        <w:spacing w:after="0" w:line="240" w:lineRule="auto"/>
        <w:jc w:val="both"/>
        <w:rPr>
          <w:rFonts w:ascii="Palatino Linotype" w:hAnsi="Palatino Linotype" w:cs="Arial"/>
          <w:sz w:val="14"/>
          <w:szCs w:val="16"/>
        </w:rPr>
      </w:pPr>
      <w:r>
        <w:rPr>
          <w:rFonts w:ascii="Palatino Linotype" w:hAnsi="Palatino Linotype" w:cs="Arial"/>
          <w:sz w:val="14"/>
          <w:szCs w:val="16"/>
        </w:rPr>
        <w:t>ZMS/OSAM/FJJC</w:t>
      </w:r>
    </w:p>
    <w:p w:rsidR="0051274A" w:rsidRPr="0066612D" w:rsidRDefault="0051274A" w:rsidP="00B73E6C">
      <w:pPr>
        <w:spacing w:after="0" w:line="240" w:lineRule="auto"/>
        <w:jc w:val="both"/>
        <w:rPr>
          <w:rFonts w:ascii="Palatino Linotype" w:hAnsi="Palatino Linotype" w:cs="Arial"/>
          <w:sz w:val="14"/>
          <w:szCs w:val="16"/>
        </w:rPr>
      </w:pPr>
    </w:p>
    <w:sectPr w:rsidR="0051274A" w:rsidRPr="0066612D" w:rsidSect="00552930">
      <w:headerReference w:type="default" r:id="rId8"/>
      <w:footerReference w:type="default" r:id="rId9"/>
      <w:headerReference w:type="first" r:id="rId10"/>
      <w:foot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7AF" w:rsidRDefault="006137AF" w:rsidP="007E2E80">
      <w:pPr>
        <w:spacing w:after="0" w:line="240" w:lineRule="auto"/>
      </w:pPr>
      <w:r>
        <w:separator/>
      </w:r>
    </w:p>
  </w:endnote>
  <w:endnote w:type="continuationSeparator" w:id="0">
    <w:p w:rsidR="006137AF" w:rsidRDefault="006137A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C2" w:rsidRPr="000B69FA" w:rsidRDefault="001132C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28B2">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28B2">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C2" w:rsidRPr="000B69FA" w:rsidRDefault="001132C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28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28B2">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7AF" w:rsidRDefault="006137AF" w:rsidP="007E2E80">
      <w:pPr>
        <w:spacing w:after="0" w:line="240" w:lineRule="auto"/>
      </w:pPr>
      <w:r>
        <w:separator/>
      </w:r>
    </w:p>
  </w:footnote>
  <w:footnote w:type="continuationSeparator" w:id="0">
    <w:p w:rsidR="006137AF" w:rsidRDefault="006137AF" w:rsidP="007E2E80">
      <w:pPr>
        <w:spacing w:after="0" w:line="240" w:lineRule="auto"/>
      </w:pPr>
      <w:r>
        <w:continuationSeparator/>
      </w:r>
    </w:p>
  </w:footnote>
  <w:footnote w:id="1">
    <w:p w:rsidR="001132C2" w:rsidRPr="00615B4B" w:rsidRDefault="001132C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132C2" w:rsidRPr="00615B4B" w:rsidRDefault="001132C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C2" w:rsidRDefault="001132C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132C2" w:rsidTr="00182616">
      <w:trPr>
        <w:trHeight w:val="227"/>
      </w:trPr>
      <w:tc>
        <w:tcPr>
          <w:tcW w:w="5949" w:type="dxa"/>
          <w:hideMark/>
        </w:tcPr>
        <w:p w:rsidR="001132C2" w:rsidRDefault="001132C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132C2" w:rsidRDefault="001132C2"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09795/INFOEM/IP/RR/2019</w:t>
          </w:r>
        </w:p>
      </w:tc>
    </w:tr>
    <w:tr w:rsidR="001132C2" w:rsidTr="00182616">
      <w:trPr>
        <w:trHeight w:val="242"/>
      </w:trPr>
      <w:tc>
        <w:tcPr>
          <w:tcW w:w="5949" w:type="dxa"/>
          <w:hideMark/>
        </w:tcPr>
        <w:p w:rsidR="001132C2" w:rsidRDefault="001132C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132C2" w:rsidRDefault="001132C2" w:rsidP="00F6028A">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Axapusco</w:t>
          </w:r>
        </w:p>
      </w:tc>
    </w:tr>
    <w:tr w:rsidR="001132C2" w:rsidTr="00182616">
      <w:trPr>
        <w:trHeight w:val="342"/>
      </w:trPr>
      <w:tc>
        <w:tcPr>
          <w:tcW w:w="5949" w:type="dxa"/>
          <w:hideMark/>
        </w:tcPr>
        <w:p w:rsidR="001132C2" w:rsidRDefault="001132C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132C2" w:rsidRDefault="001132C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132C2" w:rsidRDefault="001132C2" w:rsidP="00F6028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132C2" w:rsidTr="00182616">
      <w:trPr>
        <w:trHeight w:val="227"/>
      </w:trPr>
      <w:tc>
        <w:tcPr>
          <w:tcW w:w="5103" w:type="dxa"/>
          <w:hideMark/>
        </w:tcPr>
        <w:p w:rsidR="001132C2" w:rsidRDefault="001132C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132C2" w:rsidRPr="00B4142F" w:rsidRDefault="001132C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09795</w:t>
          </w:r>
          <w:r w:rsidRPr="0009709A">
            <w:rPr>
              <w:rFonts w:ascii="Palatino Linotype" w:hAnsi="Palatino Linotype" w:cs="Arial"/>
              <w:bCs/>
              <w:sz w:val="24"/>
              <w:lang w:eastAsia="es-MX"/>
            </w:rPr>
            <w:t>/INFOEM/IP/RR/2019</w:t>
          </w:r>
        </w:p>
      </w:tc>
    </w:tr>
    <w:tr w:rsidR="001132C2" w:rsidTr="00182616">
      <w:trPr>
        <w:trHeight w:val="196"/>
      </w:trPr>
      <w:tc>
        <w:tcPr>
          <w:tcW w:w="5103" w:type="dxa"/>
          <w:hideMark/>
        </w:tcPr>
        <w:p w:rsidR="001132C2" w:rsidRDefault="001132C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132C2" w:rsidRPr="00F06FED" w:rsidRDefault="00D428B2" w:rsidP="000B4B3D">
          <w:pPr>
            <w:spacing w:after="120" w:line="256" w:lineRule="auto"/>
            <w:ind w:left="208" w:right="214"/>
            <w:jc w:val="right"/>
            <w:rPr>
              <w:rFonts w:ascii="Palatino Linotype" w:hAnsi="Palatino Linotype" w:cs="Arial"/>
            </w:rPr>
          </w:pPr>
          <w:r>
            <w:rPr>
              <w:rFonts w:ascii="Palatino Linotype" w:hAnsi="Palatino Linotype" w:cs="Arial"/>
            </w:rPr>
            <w:t>xxxx</w:t>
          </w:r>
        </w:p>
      </w:tc>
    </w:tr>
    <w:tr w:rsidR="001132C2" w:rsidTr="00182616">
      <w:trPr>
        <w:trHeight w:val="242"/>
      </w:trPr>
      <w:tc>
        <w:tcPr>
          <w:tcW w:w="5103" w:type="dxa"/>
          <w:hideMark/>
        </w:tcPr>
        <w:p w:rsidR="001132C2" w:rsidRDefault="001132C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132C2" w:rsidRDefault="001132C2" w:rsidP="0016423B">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Pr="00D367BE">
            <w:rPr>
              <w:rFonts w:ascii="Palatino Linotype" w:hAnsi="Palatino Linotype" w:cs="Arial"/>
              <w:szCs w:val="20"/>
            </w:rPr>
            <w:t>Axapusco</w:t>
          </w:r>
        </w:p>
      </w:tc>
    </w:tr>
    <w:tr w:rsidR="001132C2" w:rsidTr="00182616">
      <w:trPr>
        <w:trHeight w:val="342"/>
      </w:trPr>
      <w:tc>
        <w:tcPr>
          <w:tcW w:w="5103" w:type="dxa"/>
          <w:hideMark/>
        </w:tcPr>
        <w:p w:rsidR="001132C2" w:rsidRDefault="001132C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132C2" w:rsidRDefault="001132C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132C2" w:rsidRDefault="001132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32"/>
  </w:num>
  <w:num w:numId="5">
    <w:abstractNumId w:val="6"/>
  </w:num>
  <w:num w:numId="6">
    <w:abstractNumId w:val="4"/>
  </w:num>
  <w:num w:numId="7">
    <w:abstractNumId w:val="20"/>
  </w:num>
  <w:num w:numId="8">
    <w:abstractNumId w:val="19"/>
  </w:num>
  <w:num w:numId="9">
    <w:abstractNumId w:val="29"/>
  </w:num>
  <w:num w:numId="10">
    <w:abstractNumId w:val="9"/>
  </w:num>
  <w:num w:numId="11">
    <w:abstractNumId w:val="30"/>
  </w:num>
  <w:num w:numId="12">
    <w:abstractNumId w:val="22"/>
  </w:num>
  <w:num w:numId="13">
    <w:abstractNumId w:val="21"/>
  </w:num>
  <w:num w:numId="14">
    <w:abstractNumId w:val="15"/>
  </w:num>
  <w:num w:numId="15">
    <w:abstractNumId w:val="3"/>
  </w:num>
  <w:num w:numId="16">
    <w:abstractNumId w:val="16"/>
  </w:num>
  <w:num w:numId="17">
    <w:abstractNumId w:val="18"/>
  </w:num>
  <w:num w:numId="18">
    <w:abstractNumId w:val="23"/>
  </w:num>
  <w:num w:numId="19">
    <w:abstractNumId w:val="12"/>
  </w:num>
  <w:num w:numId="20">
    <w:abstractNumId w:val="17"/>
  </w:num>
  <w:num w:numId="21">
    <w:abstractNumId w:val="24"/>
  </w:num>
  <w:num w:numId="22">
    <w:abstractNumId w:val="27"/>
  </w:num>
  <w:num w:numId="23">
    <w:abstractNumId w:val="28"/>
  </w:num>
  <w:num w:numId="24">
    <w:abstractNumId w:val="8"/>
  </w:num>
  <w:num w:numId="25">
    <w:abstractNumId w:val="14"/>
  </w:num>
  <w:num w:numId="26">
    <w:abstractNumId w:val="7"/>
  </w:num>
  <w:num w:numId="27">
    <w:abstractNumId w:val="11"/>
  </w:num>
  <w:num w:numId="28">
    <w:abstractNumId w:val="26"/>
  </w:num>
  <w:num w:numId="29">
    <w:abstractNumId w:val="31"/>
  </w:num>
  <w:num w:numId="30">
    <w:abstractNumId w:val="13"/>
  </w:num>
  <w:num w:numId="31">
    <w:abstractNumId w:val="33"/>
  </w:num>
  <w:num w:numId="32">
    <w:abstractNumId w:val="2"/>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74F5"/>
    <w:rsid w:val="00057570"/>
    <w:rsid w:val="000576BF"/>
    <w:rsid w:val="00060115"/>
    <w:rsid w:val="00061CDD"/>
    <w:rsid w:val="00061CE1"/>
    <w:rsid w:val="00062331"/>
    <w:rsid w:val="0006498F"/>
    <w:rsid w:val="000674FE"/>
    <w:rsid w:val="00070473"/>
    <w:rsid w:val="00070C7F"/>
    <w:rsid w:val="000723B9"/>
    <w:rsid w:val="0007328F"/>
    <w:rsid w:val="000738E9"/>
    <w:rsid w:val="0008042E"/>
    <w:rsid w:val="00083F7E"/>
    <w:rsid w:val="000859BB"/>
    <w:rsid w:val="00087885"/>
    <w:rsid w:val="0008795C"/>
    <w:rsid w:val="00090705"/>
    <w:rsid w:val="00091583"/>
    <w:rsid w:val="00092805"/>
    <w:rsid w:val="00093E42"/>
    <w:rsid w:val="0009497C"/>
    <w:rsid w:val="00095218"/>
    <w:rsid w:val="00095D0C"/>
    <w:rsid w:val="00096DEA"/>
    <w:rsid w:val="0009709A"/>
    <w:rsid w:val="000A27C1"/>
    <w:rsid w:val="000A3303"/>
    <w:rsid w:val="000A5C79"/>
    <w:rsid w:val="000A6898"/>
    <w:rsid w:val="000A773C"/>
    <w:rsid w:val="000A7F00"/>
    <w:rsid w:val="000B0E94"/>
    <w:rsid w:val="000B2868"/>
    <w:rsid w:val="000B45D8"/>
    <w:rsid w:val="000B4B3D"/>
    <w:rsid w:val="000B5D48"/>
    <w:rsid w:val="000C289A"/>
    <w:rsid w:val="000C58B6"/>
    <w:rsid w:val="000C62B4"/>
    <w:rsid w:val="000C74AA"/>
    <w:rsid w:val="000D4772"/>
    <w:rsid w:val="000D47AB"/>
    <w:rsid w:val="000D6982"/>
    <w:rsid w:val="000D756B"/>
    <w:rsid w:val="000D7B84"/>
    <w:rsid w:val="000E28C7"/>
    <w:rsid w:val="000E2AE1"/>
    <w:rsid w:val="000E4C77"/>
    <w:rsid w:val="000E4E90"/>
    <w:rsid w:val="000E5159"/>
    <w:rsid w:val="000E58D0"/>
    <w:rsid w:val="000E631B"/>
    <w:rsid w:val="000E7C0A"/>
    <w:rsid w:val="000F0A72"/>
    <w:rsid w:val="000F199E"/>
    <w:rsid w:val="000F3722"/>
    <w:rsid w:val="000F4E60"/>
    <w:rsid w:val="000F76C0"/>
    <w:rsid w:val="00102C77"/>
    <w:rsid w:val="001132C2"/>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2F8F"/>
    <w:rsid w:val="00173299"/>
    <w:rsid w:val="00180F6B"/>
    <w:rsid w:val="00182616"/>
    <w:rsid w:val="00186CFB"/>
    <w:rsid w:val="00195C69"/>
    <w:rsid w:val="00196888"/>
    <w:rsid w:val="001A0EEE"/>
    <w:rsid w:val="001A17B9"/>
    <w:rsid w:val="001A19E9"/>
    <w:rsid w:val="001A1AC5"/>
    <w:rsid w:val="001A1DA5"/>
    <w:rsid w:val="001A4700"/>
    <w:rsid w:val="001A4B29"/>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E7E97"/>
    <w:rsid w:val="001F021C"/>
    <w:rsid w:val="001F5537"/>
    <w:rsid w:val="001F5577"/>
    <w:rsid w:val="001F59A0"/>
    <w:rsid w:val="001F5C55"/>
    <w:rsid w:val="001F6C27"/>
    <w:rsid w:val="00201358"/>
    <w:rsid w:val="00203DD5"/>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66E1"/>
    <w:rsid w:val="00241CD8"/>
    <w:rsid w:val="00242169"/>
    <w:rsid w:val="002450D9"/>
    <w:rsid w:val="002452C3"/>
    <w:rsid w:val="00246F65"/>
    <w:rsid w:val="0024709D"/>
    <w:rsid w:val="00247E1F"/>
    <w:rsid w:val="002517EC"/>
    <w:rsid w:val="00252BC8"/>
    <w:rsid w:val="00254523"/>
    <w:rsid w:val="002572CF"/>
    <w:rsid w:val="0026191D"/>
    <w:rsid w:val="00265E52"/>
    <w:rsid w:val="00266B4E"/>
    <w:rsid w:val="00267C45"/>
    <w:rsid w:val="00271762"/>
    <w:rsid w:val="002718DB"/>
    <w:rsid w:val="00271C39"/>
    <w:rsid w:val="00272111"/>
    <w:rsid w:val="00272609"/>
    <w:rsid w:val="00275C65"/>
    <w:rsid w:val="00276987"/>
    <w:rsid w:val="00276B33"/>
    <w:rsid w:val="00276E33"/>
    <w:rsid w:val="00276FFD"/>
    <w:rsid w:val="002823D5"/>
    <w:rsid w:val="00283F65"/>
    <w:rsid w:val="002841C3"/>
    <w:rsid w:val="0028427C"/>
    <w:rsid w:val="0028471A"/>
    <w:rsid w:val="002847CC"/>
    <w:rsid w:val="0028585E"/>
    <w:rsid w:val="00285DFA"/>
    <w:rsid w:val="00287072"/>
    <w:rsid w:val="00287DCC"/>
    <w:rsid w:val="00290131"/>
    <w:rsid w:val="00290397"/>
    <w:rsid w:val="002910A3"/>
    <w:rsid w:val="00293511"/>
    <w:rsid w:val="00294480"/>
    <w:rsid w:val="00294C9B"/>
    <w:rsid w:val="00295186"/>
    <w:rsid w:val="002965A1"/>
    <w:rsid w:val="00296F49"/>
    <w:rsid w:val="00297B3F"/>
    <w:rsid w:val="002A08AC"/>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C566D"/>
    <w:rsid w:val="002D0152"/>
    <w:rsid w:val="002D3426"/>
    <w:rsid w:val="002D4743"/>
    <w:rsid w:val="002D477F"/>
    <w:rsid w:val="002D4991"/>
    <w:rsid w:val="002D4B7A"/>
    <w:rsid w:val="002D6110"/>
    <w:rsid w:val="002D6B70"/>
    <w:rsid w:val="002D7D51"/>
    <w:rsid w:val="002E22D8"/>
    <w:rsid w:val="002E2D4C"/>
    <w:rsid w:val="002E3A12"/>
    <w:rsid w:val="002E434B"/>
    <w:rsid w:val="002E49DD"/>
    <w:rsid w:val="002E6036"/>
    <w:rsid w:val="002F044A"/>
    <w:rsid w:val="002F160B"/>
    <w:rsid w:val="002F17FB"/>
    <w:rsid w:val="002F35AC"/>
    <w:rsid w:val="002F7D7F"/>
    <w:rsid w:val="003002D9"/>
    <w:rsid w:val="00301A01"/>
    <w:rsid w:val="00301FF8"/>
    <w:rsid w:val="003021C1"/>
    <w:rsid w:val="00303FAF"/>
    <w:rsid w:val="00304C91"/>
    <w:rsid w:val="00305B06"/>
    <w:rsid w:val="00307784"/>
    <w:rsid w:val="00307BF6"/>
    <w:rsid w:val="00310760"/>
    <w:rsid w:val="00311191"/>
    <w:rsid w:val="00312E7E"/>
    <w:rsid w:val="00314251"/>
    <w:rsid w:val="00314F7E"/>
    <w:rsid w:val="00315192"/>
    <w:rsid w:val="003153A1"/>
    <w:rsid w:val="00316005"/>
    <w:rsid w:val="00316D23"/>
    <w:rsid w:val="003209B8"/>
    <w:rsid w:val="003230BE"/>
    <w:rsid w:val="00323B11"/>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3308"/>
    <w:rsid w:val="003653BC"/>
    <w:rsid w:val="00365ADF"/>
    <w:rsid w:val="00371710"/>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6632"/>
    <w:rsid w:val="003B7C36"/>
    <w:rsid w:val="003C042D"/>
    <w:rsid w:val="003C3124"/>
    <w:rsid w:val="003C47FB"/>
    <w:rsid w:val="003C74AF"/>
    <w:rsid w:val="003D2672"/>
    <w:rsid w:val="003D3420"/>
    <w:rsid w:val="003D3A66"/>
    <w:rsid w:val="003D3D51"/>
    <w:rsid w:val="003D4B31"/>
    <w:rsid w:val="003D584C"/>
    <w:rsid w:val="003E037E"/>
    <w:rsid w:val="003E08B9"/>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6378"/>
    <w:rsid w:val="004174D8"/>
    <w:rsid w:val="00417EBD"/>
    <w:rsid w:val="00417F1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71B5"/>
    <w:rsid w:val="004572BE"/>
    <w:rsid w:val="004601BF"/>
    <w:rsid w:val="0046044E"/>
    <w:rsid w:val="004617AE"/>
    <w:rsid w:val="004617C7"/>
    <w:rsid w:val="00463E3B"/>
    <w:rsid w:val="00464417"/>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5FC8"/>
    <w:rsid w:val="00486336"/>
    <w:rsid w:val="00487B8B"/>
    <w:rsid w:val="0049054C"/>
    <w:rsid w:val="004912BB"/>
    <w:rsid w:val="004926F0"/>
    <w:rsid w:val="00492F91"/>
    <w:rsid w:val="00493364"/>
    <w:rsid w:val="004943EE"/>
    <w:rsid w:val="00494C99"/>
    <w:rsid w:val="00497B93"/>
    <w:rsid w:val="004A0FDC"/>
    <w:rsid w:val="004A23F1"/>
    <w:rsid w:val="004A51FF"/>
    <w:rsid w:val="004B2391"/>
    <w:rsid w:val="004B2C63"/>
    <w:rsid w:val="004B4721"/>
    <w:rsid w:val="004B54FF"/>
    <w:rsid w:val="004C7E18"/>
    <w:rsid w:val="004D5BAF"/>
    <w:rsid w:val="004D5D52"/>
    <w:rsid w:val="004E0222"/>
    <w:rsid w:val="004E257C"/>
    <w:rsid w:val="004E26A1"/>
    <w:rsid w:val="004E65C2"/>
    <w:rsid w:val="004F01E0"/>
    <w:rsid w:val="004F483E"/>
    <w:rsid w:val="004F5D37"/>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261D7"/>
    <w:rsid w:val="0053251F"/>
    <w:rsid w:val="005328FB"/>
    <w:rsid w:val="00534481"/>
    <w:rsid w:val="00536E75"/>
    <w:rsid w:val="0053702D"/>
    <w:rsid w:val="00537419"/>
    <w:rsid w:val="00537BEE"/>
    <w:rsid w:val="00537D90"/>
    <w:rsid w:val="00541B0A"/>
    <w:rsid w:val="005421C7"/>
    <w:rsid w:val="005448FA"/>
    <w:rsid w:val="00545810"/>
    <w:rsid w:val="00545934"/>
    <w:rsid w:val="00552930"/>
    <w:rsid w:val="00554E8A"/>
    <w:rsid w:val="00555F06"/>
    <w:rsid w:val="00556787"/>
    <w:rsid w:val="00560AE0"/>
    <w:rsid w:val="0056175D"/>
    <w:rsid w:val="00566699"/>
    <w:rsid w:val="00567676"/>
    <w:rsid w:val="00567B3F"/>
    <w:rsid w:val="005703F1"/>
    <w:rsid w:val="00572DD6"/>
    <w:rsid w:val="00573035"/>
    <w:rsid w:val="00573298"/>
    <w:rsid w:val="005733EB"/>
    <w:rsid w:val="0057534D"/>
    <w:rsid w:val="00575721"/>
    <w:rsid w:val="00576514"/>
    <w:rsid w:val="00576D36"/>
    <w:rsid w:val="00577F37"/>
    <w:rsid w:val="0058149B"/>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5C96"/>
    <w:rsid w:val="005C76D5"/>
    <w:rsid w:val="005C7A28"/>
    <w:rsid w:val="005D02A8"/>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37AF"/>
    <w:rsid w:val="006149F1"/>
    <w:rsid w:val="00620FA6"/>
    <w:rsid w:val="0062128C"/>
    <w:rsid w:val="006246A5"/>
    <w:rsid w:val="00624A5D"/>
    <w:rsid w:val="00625227"/>
    <w:rsid w:val="00627396"/>
    <w:rsid w:val="00627F9C"/>
    <w:rsid w:val="00630480"/>
    <w:rsid w:val="00631F1B"/>
    <w:rsid w:val="00631FF9"/>
    <w:rsid w:val="00633C3F"/>
    <w:rsid w:val="0063768E"/>
    <w:rsid w:val="00640D07"/>
    <w:rsid w:val="00642541"/>
    <w:rsid w:val="00644363"/>
    <w:rsid w:val="006446F7"/>
    <w:rsid w:val="00647B4C"/>
    <w:rsid w:val="00653F16"/>
    <w:rsid w:val="00655A88"/>
    <w:rsid w:val="00656C1C"/>
    <w:rsid w:val="00661204"/>
    <w:rsid w:val="006616F1"/>
    <w:rsid w:val="00663B3E"/>
    <w:rsid w:val="0066610F"/>
    <w:rsid w:val="0066612D"/>
    <w:rsid w:val="00670A00"/>
    <w:rsid w:val="00673D7C"/>
    <w:rsid w:val="006748C2"/>
    <w:rsid w:val="006749FD"/>
    <w:rsid w:val="00674FA3"/>
    <w:rsid w:val="006761EE"/>
    <w:rsid w:val="00676C32"/>
    <w:rsid w:val="00680275"/>
    <w:rsid w:val="0068081F"/>
    <w:rsid w:val="00680D39"/>
    <w:rsid w:val="00684D1A"/>
    <w:rsid w:val="00686046"/>
    <w:rsid w:val="006875A3"/>
    <w:rsid w:val="00687A21"/>
    <w:rsid w:val="00690C13"/>
    <w:rsid w:val="0069391A"/>
    <w:rsid w:val="006956C7"/>
    <w:rsid w:val="00695967"/>
    <w:rsid w:val="0069776E"/>
    <w:rsid w:val="00697A63"/>
    <w:rsid w:val="006A042C"/>
    <w:rsid w:val="006A0ADE"/>
    <w:rsid w:val="006A29C5"/>
    <w:rsid w:val="006A3A54"/>
    <w:rsid w:val="006A561E"/>
    <w:rsid w:val="006A58E4"/>
    <w:rsid w:val="006A5E38"/>
    <w:rsid w:val="006A7D48"/>
    <w:rsid w:val="006C0D71"/>
    <w:rsid w:val="006C1F26"/>
    <w:rsid w:val="006C2923"/>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43F"/>
    <w:rsid w:val="006F08D7"/>
    <w:rsid w:val="006F18FD"/>
    <w:rsid w:val="006F4A35"/>
    <w:rsid w:val="006F536C"/>
    <w:rsid w:val="006F657A"/>
    <w:rsid w:val="006F7F26"/>
    <w:rsid w:val="00702DB6"/>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21C"/>
    <w:rsid w:val="007469C3"/>
    <w:rsid w:val="00746ED1"/>
    <w:rsid w:val="00754BDC"/>
    <w:rsid w:val="00755795"/>
    <w:rsid w:val="0075676A"/>
    <w:rsid w:val="007577D1"/>
    <w:rsid w:val="00763D73"/>
    <w:rsid w:val="007640C8"/>
    <w:rsid w:val="00766945"/>
    <w:rsid w:val="00766A13"/>
    <w:rsid w:val="00766A8A"/>
    <w:rsid w:val="007676AF"/>
    <w:rsid w:val="00770D7C"/>
    <w:rsid w:val="00771421"/>
    <w:rsid w:val="00773727"/>
    <w:rsid w:val="00775F8F"/>
    <w:rsid w:val="00776087"/>
    <w:rsid w:val="0078122F"/>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225"/>
    <w:rsid w:val="007C23A2"/>
    <w:rsid w:val="007C2757"/>
    <w:rsid w:val="007C2FDE"/>
    <w:rsid w:val="007C5203"/>
    <w:rsid w:val="007C52F5"/>
    <w:rsid w:val="007C58CF"/>
    <w:rsid w:val="007C5DC4"/>
    <w:rsid w:val="007C70A4"/>
    <w:rsid w:val="007D0339"/>
    <w:rsid w:val="007D0CFF"/>
    <w:rsid w:val="007D519C"/>
    <w:rsid w:val="007E24A6"/>
    <w:rsid w:val="007E2E80"/>
    <w:rsid w:val="007E3E1E"/>
    <w:rsid w:val="007E473B"/>
    <w:rsid w:val="007F2256"/>
    <w:rsid w:val="007F282E"/>
    <w:rsid w:val="007F5267"/>
    <w:rsid w:val="007F7846"/>
    <w:rsid w:val="00801391"/>
    <w:rsid w:val="00803379"/>
    <w:rsid w:val="008041A7"/>
    <w:rsid w:val="0080536C"/>
    <w:rsid w:val="00805578"/>
    <w:rsid w:val="008103B2"/>
    <w:rsid w:val="0081299A"/>
    <w:rsid w:val="008132B7"/>
    <w:rsid w:val="008152B2"/>
    <w:rsid w:val="00820B44"/>
    <w:rsid w:val="00821898"/>
    <w:rsid w:val="0082268A"/>
    <w:rsid w:val="00823454"/>
    <w:rsid w:val="00824894"/>
    <w:rsid w:val="00824C59"/>
    <w:rsid w:val="008307E5"/>
    <w:rsid w:val="00833B24"/>
    <w:rsid w:val="00834547"/>
    <w:rsid w:val="00837290"/>
    <w:rsid w:val="008455DC"/>
    <w:rsid w:val="0084762B"/>
    <w:rsid w:val="00847AD2"/>
    <w:rsid w:val="00852DE6"/>
    <w:rsid w:val="00852E83"/>
    <w:rsid w:val="00853CC3"/>
    <w:rsid w:val="00853E09"/>
    <w:rsid w:val="0085433C"/>
    <w:rsid w:val="0085458F"/>
    <w:rsid w:val="00856768"/>
    <w:rsid w:val="00864A61"/>
    <w:rsid w:val="008652D4"/>
    <w:rsid w:val="00866F05"/>
    <w:rsid w:val="00867D56"/>
    <w:rsid w:val="00870064"/>
    <w:rsid w:val="008706DB"/>
    <w:rsid w:val="008725EE"/>
    <w:rsid w:val="008731D1"/>
    <w:rsid w:val="008758DC"/>
    <w:rsid w:val="00881FAB"/>
    <w:rsid w:val="00892543"/>
    <w:rsid w:val="008932C9"/>
    <w:rsid w:val="008937FD"/>
    <w:rsid w:val="008960D1"/>
    <w:rsid w:val="008976A8"/>
    <w:rsid w:val="0089781F"/>
    <w:rsid w:val="008A0964"/>
    <w:rsid w:val="008A105E"/>
    <w:rsid w:val="008A188B"/>
    <w:rsid w:val="008A1C19"/>
    <w:rsid w:val="008A3A93"/>
    <w:rsid w:val="008A3B21"/>
    <w:rsid w:val="008A5D82"/>
    <w:rsid w:val="008B048C"/>
    <w:rsid w:val="008B537A"/>
    <w:rsid w:val="008B5FA8"/>
    <w:rsid w:val="008B6631"/>
    <w:rsid w:val="008C0E72"/>
    <w:rsid w:val="008C0F70"/>
    <w:rsid w:val="008C351E"/>
    <w:rsid w:val="008C651F"/>
    <w:rsid w:val="008C6F50"/>
    <w:rsid w:val="008C7CEB"/>
    <w:rsid w:val="008C7E34"/>
    <w:rsid w:val="008D17A8"/>
    <w:rsid w:val="008D2C03"/>
    <w:rsid w:val="008D3CD1"/>
    <w:rsid w:val="008D4796"/>
    <w:rsid w:val="008D523F"/>
    <w:rsid w:val="008D6327"/>
    <w:rsid w:val="008D640A"/>
    <w:rsid w:val="008E3305"/>
    <w:rsid w:val="008E40C0"/>
    <w:rsid w:val="008E572E"/>
    <w:rsid w:val="008E576B"/>
    <w:rsid w:val="008E63C2"/>
    <w:rsid w:val="008E6BC4"/>
    <w:rsid w:val="008E7171"/>
    <w:rsid w:val="008F0C26"/>
    <w:rsid w:val="008F1579"/>
    <w:rsid w:val="008F4D69"/>
    <w:rsid w:val="008F5C2F"/>
    <w:rsid w:val="008F7F12"/>
    <w:rsid w:val="00901429"/>
    <w:rsid w:val="009026F3"/>
    <w:rsid w:val="00903599"/>
    <w:rsid w:val="00905CE1"/>
    <w:rsid w:val="009151CF"/>
    <w:rsid w:val="00915450"/>
    <w:rsid w:val="00915A9C"/>
    <w:rsid w:val="00916463"/>
    <w:rsid w:val="009219F2"/>
    <w:rsid w:val="009245F6"/>
    <w:rsid w:val="0092645A"/>
    <w:rsid w:val="009269A2"/>
    <w:rsid w:val="009272C6"/>
    <w:rsid w:val="00930F68"/>
    <w:rsid w:val="0093185F"/>
    <w:rsid w:val="009339EC"/>
    <w:rsid w:val="0093743A"/>
    <w:rsid w:val="00937BFA"/>
    <w:rsid w:val="00940069"/>
    <w:rsid w:val="0094138F"/>
    <w:rsid w:val="00942349"/>
    <w:rsid w:val="009436D4"/>
    <w:rsid w:val="00943B37"/>
    <w:rsid w:val="009460FF"/>
    <w:rsid w:val="00954DC1"/>
    <w:rsid w:val="00955477"/>
    <w:rsid w:val="00960B59"/>
    <w:rsid w:val="00960D8F"/>
    <w:rsid w:val="0096284F"/>
    <w:rsid w:val="0096359D"/>
    <w:rsid w:val="00963E83"/>
    <w:rsid w:val="00964774"/>
    <w:rsid w:val="00967270"/>
    <w:rsid w:val="00967F63"/>
    <w:rsid w:val="00971417"/>
    <w:rsid w:val="00973200"/>
    <w:rsid w:val="0097416D"/>
    <w:rsid w:val="009759F9"/>
    <w:rsid w:val="0098096A"/>
    <w:rsid w:val="00983A8A"/>
    <w:rsid w:val="00983F37"/>
    <w:rsid w:val="00984CA8"/>
    <w:rsid w:val="009859B8"/>
    <w:rsid w:val="00991300"/>
    <w:rsid w:val="009930C2"/>
    <w:rsid w:val="00993DE1"/>
    <w:rsid w:val="00994FE7"/>
    <w:rsid w:val="009978AF"/>
    <w:rsid w:val="009A1138"/>
    <w:rsid w:val="009A32F9"/>
    <w:rsid w:val="009A3626"/>
    <w:rsid w:val="009A5C57"/>
    <w:rsid w:val="009B0787"/>
    <w:rsid w:val="009B0881"/>
    <w:rsid w:val="009B1AC0"/>
    <w:rsid w:val="009B205B"/>
    <w:rsid w:val="009B3592"/>
    <w:rsid w:val="009B70C3"/>
    <w:rsid w:val="009C10B1"/>
    <w:rsid w:val="009C11A0"/>
    <w:rsid w:val="009C1EA2"/>
    <w:rsid w:val="009C3FC7"/>
    <w:rsid w:val="009C470F"/>
    <w:rsid w:val="009C4F59"/>
    <w:rsid w:val="009C7409"/>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42FF"/>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72E29"/>
    <w:rsid w:val="00A73E40"/>
    <w:rsid w:val="00A80597"/>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526E"/>
    <w:rsid w:val="00AE658B"/>
    <w:rsid w:val="00AE76F7"/>
    <w:rsid w:val="00AF0CFA"/>
    <w:rsid w:val="00AF163E"/>
    <w:rsid w:val="00AF1F1C"/>
    <w:rsid w:val="00AF5920"/>
    <w:rsid w:val="00AF719F"/>
    <w:rsid w:val="00B00A36"/>
    <w:rsid w:val="00B00ED3"/>
    <w:rsid w:val="00B070F5"/>
    <w:rsid w:val="00B10042"/>
    <w:rsid w:val="00B10DAE"/>
    <w:rsid w:val="00B12CBA"/>
    <w:rsid w:val="00B130AF"/>
    <w:rsid w:val="00B13B4A"/>
    <w:rsid w:val="00B15EE4"/>
    <w:rsid w:val="00B16CAC"/>
    <w:rsid w:val="00B240AC"/>
    <w:rsid w:val="00B245D7"/>
    <w:rsid w:val="00B24972"/>
    <w:rsid w:val="00B319B6"/>
    <w:rsid w:val="00B31ACE"/>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5796A"/>
    <w:rsid w:val="00B636D7"/>
    <w:rsid w:val="00B64B28"/>
    <w:rsid w:val="00B65E1E"/>
    <w:rsid w:val="00B73E6C"/>
    <w:rsid w:val="00B75842"/>
    <w:rsid w:val="00B77270"/>
    <w:rsid w:val="00B8332F"/>
    <w:rsid w:val="00B87778"/>
    <w:rsid w:val="00B93C5C"/>
    <w:rsid w:val="00B93F29"/>
    <w:rsid w:val="00B96B2B"/>
    <w:rsid w:val="00B97CAC"/>
    <w:rsid w:val="00BA1EA1"/>
    <w:rsid w:val="00BA69A0"/>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D71B0"/>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37EB"/>
    <w:rsid w:val="00C24D1D"/>
    <w:rsid w:val="00C24FAE"/>
    <w:rsid w:val="00C256B4"/>
    <w:rsid w:val="00C25822"/>
    <w:rsid w:val="00C25B89"/>
    <w:rsid w:val="00C277F4"/>
    <w:rsid w:val="00C34B47"/>
    <w:rsid w:val="00C35F18"/>
    <w:rsid w:val="00C37950"/>
    <w:rsid w:val="00C40345"/>
    <w:rsid w:val="00C40B89"/>
    <w:rsid w:val="00C41CC2"/>
    <w:rsid w:val="00C44868"/>
    <w:rsid w:val="00C47B36"/>
    <w:rsid w:val="00C47EEF"/>
    <w:rsid w:val="00C50B3E"/>
    <w:rsid w:val="00C51021"/>
    <w:rsid w:val="00C51304"/>
    <w:rsid w:val="00C522DB"/>
    <w:rsid w:val="00C55D8A"/>
    <w:rsid w:val="00C614A7"/>
    <w:rsid w:val="00C61E4B"/>
    <w:rsid w:val="00C6603E"/>
    <w:rsid w:val="00C66B27"/>
    <w:rsid w:val="00C66F1C"/>
    <w:rsid w:val="00C67122"/>
    <w:rsid w:val="00C67A59"/>
    <w:rsid w:val="00C76838"/>
    <w:rsid w:val="00C82FCC"/>
    <w:rsid w:val="00C84206"/>
    <w:rsid w:val="00C8573E"/>
    <w:rsid w:val="00C865D8"/>
    <w:rsid w:val="00C9078F"/>
    <w:rsid w:val="00C90CE9"/>
    <w:rsid w:val="00C911DE"/>
    <w:rsid w:val="00C921D5"/>
    <w:rsid w:val="00C95F13"/>
    <w:rsid w:val="00C96673"/>
    <w:rsid w:val="00CA2ED9"/>
    <w:rsid w:val="00CA3DD3"/>
    <w:rsid w:val="00CA4F4C"/>
    <w:rsid w:val="00CA5E58"/>
    <w:rsid w:val="00CA5EC1"/>
    <w:rsid w:val="00CA6D10"/>
    <w:rsid w:val="00CA75F9"/>
    <w:rsid w:val="00CA7E4A"/>
    <w:rsid w:val="00CB3991"/>
    <w:rsid w:val="00CB7A6D"/>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32449"/>
    <w:rsid w:val="00D32E6F"/>
    <w:rsid w:val="00D34693"/>
    <w:rsid w:val="00D35E9C"/>
    <w:rsid w:val="00D367BE"/>
    <w:rsid w:val="00D37494"/>
    <w:rsid w:val="00D428B2"/>
    <w:rsid w:val="00D44EA4"/>
    <w:rsid w:val="00D46905"/>
    <w:rsid w:val="00D5329C"/>
    <w:rsid w:val="00D53F05"/>
    <w:rsid w:val="00D54636"/>
    <w:rsid w:val="00D54889"/>
    <w:rsid w:val="00D5656D"/>
    <w:rsid w:val="00D56685"/>
    <w:rsid w:val="00D5700E"/>
    <w:rsid w:val="00D57072"/>
    <w:rsid w:val="00D57A8D"/>
    <w:rsid w:val="00D60368"/>
    <w:rsid w:val="00D61A59"/>
    <w:rsid w:val="00D61A84"/>
    <w:rsid w:val="00D6260A"/>
    <w:rsid w:val="00D62616"/>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A70"/>
    <w:rsid w:val="00D80E2D"/>
    <w:rsid w:val="00D82C3F"/>
    <w:rsid w:val="00D82E20"/>
    <w:rsid w:val="00D844B6"/>
    <w:rsid w:val="00D84B09"/>
    <w:rsid w:val="00D906FA"/>
    <w:rsid w:val="00D95AE1"/>
    <w:rsid w:val="00D96AAE"/>
    <w:rsid w:val="00DA05A6"/>
    <w:rsid w:val="00DA0E70"/>
    <w:rsid w:val="00DA1E7A"/>
    <w:rsid w:val="00DA21DB"/>
    <w:rsid w:val="00DA43C3"/>
    <w:rsid w:val="00DA5A00"/>
    <w:rsid w:val="00DA68B9"/>
    <w:rsid w:val="00DA6917"/>
    <w:rsid w:val="00DB5AFF"/>
    <w:rsid w:val="00DB5FF7"/>
    <w:rsid w:val="00DC0181"/>
    <w:rsid w:val="00DC0B20"/>
    <w:rsid w:val="00DC0CB0"/>
    <w:rsid w:val="00DC23FE"/>
    <w:rsid w:val="00DC4E35"/>
    <w:rsid w:val="00DC6BC8"/>
    <w:rsid w:val="00DC70E3"/>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7654"/>
    <w:rsid w:val="00E014FE"/>
    <w:rsid w:val="00E02C09"/>
    <w:rsid w:val="00E04063"/>
    <w:rsid w:val="00E06A75"/>
    <w:rsid w:val="00E07396"/>
    <w:rsid w:val="00E129A3"/>
    <w:rsid w:val="00E12C72"/>
    <w:rsid w:val="00E13349"/>
    <w:rsid w:val="00E1520C"/>
    <w:rsid w:val="00E23E06"/>
    <w:rsid w:val="00E25492"/>
    <w:rsid w:val="00E27533"/>
    <w:rsid w:val="00E31685"/>
    <w:rsid w:val="00E325CC"/>
    <w:rsid w:val="00E332DB"/>
    <w:rsid w:val="00E34126"/>
    <w:rsid w:val="00E343E9"/>
    <w:rsid w:val="00E37AA1"/>
    <w:rsid w:val="00E402C6"/>
    <w:rsid w:val="00E426C9"/>
    <w:rsid w:val="00E4596A"/>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86E79"/>
    <w:rsid w:val="00E93579"/>
    <w:rsid w:val="00E95C59"/>
    <w:rsid w:val="00EA01EE"/>
    <w:rsid w:val="00EA0886"/>
    <w:rsid w:val="00EA2502"/>
    <w:rsid w:val="00EA2AAB"/>
    <w:rsid w:val="00EA52D3"/>
    <w:rsid w:val="00EA6E72"/>
    <w:rsid w:val="00EA75CB"/>
    <w:rsid w:val="00EB2068"/>
    <w:rsid w:val="00EB2AB5"/>
    <w:rsid w:val="00EB5002"/>
    <w:rsid w:val="00EC1776"/>
    <w:rsid w:val="00EC3F2F"/>
    <w:rsid w:val="00EC4B6A"/>
    <w:rsid w:val="00EC5573"/>
    <w:rsid w:val="00EC693F"/>
    <w:rsid w:val="00ED0209"/>
    <w:rsid w:val="00ED154D"/>
    <w:rsid w:val="00ED3314"/>
    <w:rsid w:val="00ED4829"/>
    <w:rsid w:val="00ED5AF1"/>
    <w:rsid w:val="00ED60C2"/>
    <w:rsid w:val="00ED78F3"/>
    <w:rsid w:val="00ED7AA0"/>
    <w:rsid w:val="00EE03F5"/>
    <w:rsid w:val="00EE18AA"/>
    <w:rsid w:val="00EE2D96"/>
    <w:rsid w:val="00EE44C4"/>
    <w:rsid w:val="00EE4687"/>
    <w:rsid w:val="00EE5FEE"/>
    <w:rsid w:val="00EE6120"/>
    <w:rsid w:val="00EE7F60"/>
    <w:rsid w:val="00EF1E69"/>
    <w:rsid w:val="00EF2AED"/>
    <w:rsid w:val="00EF2FDC"/>
    <w:rsid w:val="00EF4D17"/>
    <w:rsid w:val="00EF536F"/>
    <w:rsid w:val="00EF5D86"/>
    <w:rsid w:val="00EF6B28"/>
    <w:rsid w:val="00F0032B"/>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D8"/>
    <w:rsid w:val="00F421A5"/>
    <w:rsid w:val="00F44637"/>
    <w:rsid w:val="00F45389"/>
    <w:rsid w:val="00F46398"/>
    <w:rsid w:val="00F4708B"/>
    <w:rsid w:val="00F50BA7"/>
    <w:rsid w:val="00F50F19"/>
    <w:rsid w:val="00F53B53"/>
    <w:rsid w:val="00F53C2C"/>
    <w:rsid w:val="00F53CE0"/>
    <w:rsid w:val="00F5403D"/>
    <w:rsid w:val="00F55703"/>
    <w:rsid w:val="00F56598"/>
    <w:rsid w:val="00F56ECE"/>
    <w:rsid w:val="00F6028A"/>
    <w:rsid w:val="00F64B11"/>
    <w:rsid w:val="00F66892"/>
    <w:rsid w:val="00F66A72"/>
    <w:rsid w:val="00F71330"/>
    <w:rsid w:val="00F75846"/>
    <w:rsid w:val="00F7667E"/>
    <w:rsid w:val="00F81983"/>
    <w:rsid w:val="00F83F9F"/>
    <w:rsid w:val="00F84A02"/>
    <w:rsid w:val="00F8521C"/>
    <w:rsid w:val="00F85465"/>
    <w:rsid w:val="00F86466"/>
    <w:rsid w:val="00F8666D"/>
    <w:rsid w:val="00F877DA"/>
    <w:rsid w:val="00F91340"/>
    <w:rsid w:val="00F92B04"/>
    <w:rsid w:val="00F92D09"/>
    <w:rsid w:val="00F9346E"/>
    <w:rsid w:val="00FA0C70"/>
    <w:rsid w:val="00FA1E70"/>
    <w:rsid w:val="00FA47E2"/>
    <w:rsid w:val="00FA6C7F"/>
    <w:rsid w:val="00FA6D86"/>
    <w:rsid w:val="00FA6EC1"/>
    <w:rsid w:val="00FB2F77"/>
    <w:rsid w:val="00FB43AB"/>
    <w:rsid w:val="00FB4B56"/>
    <w:rsid w:val="00FB55E9"/>
    <w:rsid w:val="00FC2003"/>
    <w:rsid w:val="00FC26E5"/>
    <w:rsid w:val="00FC4B13"/>
    <w:rsid w:val="00FC52F9"/>
    <w:rsid w:val="00FC7D8B"/>
    <w:rsid w:val="00FD0788"/>
    <w:rsid w:val="00FD0840"/>
    <w:rsid w:val="00FD0950"/>
    <w:rsid w:val="00FD1AEE"/>
    <w:rsid w:val="00FD23C6"/>
    <w:rsid w:val="00FD3A3C"/>
    <w:rsid w:val="00FD4EB1"/>
    <w:rsid w:val="00FD55D4"/>
    <w:rsid w:val="00FD7EE2"/>
    <w:rsid w:val="00FE6B22"/>
    <w:rsid w:val="00FE6D76"/>
    <w:rsid w:val="00FE7A66"/>
    <w:rsid w:val="00FF0836"/>
    <w:rsid w:val="00FF15F9"/>
    <w:rsid w:val="00FF2554"/>
    <w:rsid w:val="00FF42B9"/>
    <w:rsid w:val="00FF4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2E3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2E3A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188107975">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9812843">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121221475">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53427195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85603148">
      <w:bodyDiv w:val="1"/>
      <w:marLeft w:val="0"/>
      <w:marRight w:val="0"/>
      <w:marTop w:val="0"/>
      <w:marBottom w:val="0"/>
      <w:divBdr>
        <w:top w:val="none" w:sz="0" w:space="0" w:color="auto"/>
        <w:left w:val="none" w:sz="0" w:space="0" w:color="auto"/>
        <w:bottom w:val="none" w:sz="0" w:space="0" w:color="auto"/>
        <w:right w:val="none" w:sz="0" w:space="0" w:color="auto"/>
      </w:divBdr>
    </w:div>
    <w:div w:id="2021201678">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96E0B152-F0C7-4ACB-9F05-D3C7A0E3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11190</Words>
  <Characters>61550</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2020-03-06T16:39:00Z</cp:lastPrinted>
  <dcterms:created xsi:type="dcterms:W3CDTF">2020-04-23T06:12:00Z</dcterms:created>
  <dcterms:modified xsi:type="dcterms:W3CDTF">2020-04-23T06:12:00Z</dcterms:modified>
</cp:coreProperties>
</file>