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EFA" w:rsidRDefault="00A72AB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bookmarkStart w:id="0" w:name="_Hlk19818751"/>
      <w:r w:rsidR="00356B40">
        <w:rPr>
          <w:rFonts w:ascii="Palatino Linotype" w:eastAsia="Times New Roman" w:hAnsi="Palatino Linotype" w:cs="Arial"/>
          <w:color w:val="000000"/>
          <w:sz w:val="24"/>
          <w:szCs w:val="24"/>
          <w:lang w:eastAsia="es-MX"/>
        </w:rPr>
        <w:t>diecinueve de septiembre</w:t>
      </w:r>
      <w:r w:rsidR="00A902C6">
        <w:rPr>
          <w:rFonts w:ascii="Palatino Linotype" w:eastAsia="Times New Roman" w:hAnsi="Palatino Linotype" w:cs="Arial"/>
          <w:color w:val="000000"/>
          <w:sz w:val="24"/>
          <w:szCs w:val="24"/>
          <w:lang w:eastAsia="es-MX"/>
        </w:rPr>
        <w:t xml:space="preserve"> </w:t>
      </w:r>
      <w:bookmarkEnd w:id="0"/>
      <w:r w:rsidR="00A902C6">
        <w:rPr>
          <w:rFonts w:ascii="Palatino Linotype" w:eastAsia="Times New Roman" w:hAnsi="Palatino Linotype" w:cs="Arial"/>
          <w:color w:val="000000"/>
          <w:sz w:val="24"/>
          <w:szCs w:val="24"/>
          <w:lang w:eastAsia="es-MX"/>
        </w:rPr>
        <w:t>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FC145E">
        <w:rPr>
          <w:rFonts w:ascii="Palatino Linotype" w:hAnsi="Palatino Linotype" w:cs="Arial"/>
          <w:b/>
          <w:bCs/>
          <w:sz w:val="24"/>
          <w:lang w:eastAsia="es-MX"/>
        </w:rPr>
        <w:t>0</w:t>
      </w:r>
      <w:r w:rsidR="005D58CA">
        <w:rPr>
          <w:rFonts w:ascii="Palatino Linotype" w:hAnsi="Palatino Linotype" w:cs="Arial"/>
          <w:b/>
          <w:bCs/>
          <w:sz w:val="24"/>
          <w:lang w:eastAsia="es-MX"/>
        </w:rPr>
        <w:t>5</w:t>
      </w:r>
      <w:r w:rsidR="00634C86">
        <w:rPr>
          <w:rFonts w:ascii="Palatino Linotype" w:hAnsi="Palatino Linotype" w:cs="Arial"/>
          <w:b/>
          <w:bCs/>
          <w:sz w:val="24"/>
          <w:lang w:eastAsia="es-MX"/>
        </w:rPr>
        <w:t>85</w:t>
      </w:r>
      <w:r w:rsidR="005D58CA">
        <w:rPr>
          <w:rFonts w:ascii="Palatino Linotype" w:hAnsi="Palatino Linotype" w:cs="Arial"/>
          <w:b/>
          <w:bCs/>
          <w:sz w:val="24"/>
          <w:lang w:eastAsia="es-MX"/>
        </w:rPr>
        <w:t>5</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 xml:space="preserve">interpuesto por </w:t>
      </w:r>
      <w:r w:rsidR="00634C86">
        <w:rPr>
          <w:rFonts w:ascii="Palatino Linotype" w:hAnsi="Palatino Linotype" w:cs="Arial"/>
          <w:b/>
          <w:sz w:val="24"/>
        </w:rPr>
        <w:t>el</w:t>
      </w:r>
      <w:r w:rsidR="00B77962">
        <w:rPr>
          <w:rFonts w:ascii="Palatino Linotype" w:hAnsi="Palatino Linotype" w:cs="Arial"/>
          <w:b/>
          <w:sz w:val="24"/>
        </w:rPr>
        <w:t xml:space="preserve"> C. </w:t>
      </w:r>
      <w:r w:rsidR="009E6259">
        <w:rPr>
          <w:rFonts w:ascii="Palatino Linotype" w:hAnsi="Palatino Linotype" w:cs="Arial"/>
          <w:b/>
          <w:sz w:val="24"/>
        </w:rPr>
        <w:t>xxxxxxxxxxxxxxxxxxxxxxx</w:t>
      </w:r>
      <w:r w:rsidR="00B77962">
        <w:rPr>
          <w:rFonts w:ascii="Palatino Linotype" w:hAnsi="Palatino Linotype" w:cs="Arial"/>
          <w:b/>
          <w:sz w:val="24"/>
        </w:rPr>
        <w:t xml:space="preserve">, </w:t>
      </w:r>
      <w:r w:rsidR="00B77962">
        <w:rPr>
          <w:rFonts w:ascii="Palatino Linotype" w:hAnsi="Palatino Linotype" w:cs="Arial"/>
          <w:bCs/>
          <w:sz w:val="24"/>
        </w:rPr>
        <w:t xml:space="preserve">en lo sucesivo </w:t>
      </w:r>
      <w:r w:rsidR="00B77962" w:rsidRPr="00B77962">
        <w:rPr>
          <w:rFonts w:ascii="Palatino Linotype" w:hAnsi="Palatino Linotype" w:cs="Arial"/>
          <w:b/>
          <w:sz w:val="24"/>
        </w:rPr>
        <w:t>la</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falta de</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634C86" w:rsidRPr="00634C86">
        <w:rPr>
          <w:rFonts w:ascii="Palatino Linotype" w:hAnsi="Palatino Linotype" w:cs="Arial"/>
          <w:b/>
          <w:sz w:val="24"/>
          <w:szCs w:val="24"/>
        </w:rPr>
        <w:t>Ayuntamiento de Almoloya del Río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634C86">
        <w:rPr>
          <w:rFonts w:ascii="Palatino Linotype" w:hAnsi="Palatino Linotype" w:cs="Arial"/>
          <w:sz w:val="24"/>
        </w:rPr>
        <w:t>cuatro de junio</w:t>
      </w:r>
      <w:r w:rsidR="00AF385F">
        <w:rPr>
          <w:rFonts w:ascii="Palatino Linotype" w:hAnsi="Palatino Linotype" w:cs="Arial"/>
          <w:sz w:val="24"/>
        </w:rPr>
        <w:t xml:space="preserve"> de dos mil diecinueve</w:t>
      </w:r>
      <w:r>
        <w:rPr>
          <w:rFonts w:ascii="Palatino Linotype" w:hAnsi="Palatino Linotype" w:cs="Arial"/>
          <w:sz w:val="24"/>
        </w:rPr>
        <w:t xml:space="preserve">, </w:t>
      </w:r>
      <w:r w:rsidR="0037311B">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634C86" w:rsidRPr="00634C86">
        <w:rPr>
          <w:rFonts w:ascii="Palatino Linotype" w:hAnsi="Palatino Linotype" w:cs="Arial"/>
          <w:b/>
          <w:sz w:val="24"/>
        </w:rPr>
        <w:t>00071/ALMORI/IP/2019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634C86" w:rsidRPr="00634C86">
        <w:rPr>
          <w:rFonts w:ascii="Palatino Linotype" w:hAnsi="Palatino Linotype"/>
          <w:i/>
          <w:color w:val="000000"/>
        </w:rPr>
        <w:t xml:space="preserve">Buenas tardes. Solicito la siguiente información: } 1.- ¿Cuanto fue el finiquito del Ex tesorero municipal Agustin Peñaflor Castro en el periodo 2016-2018? 2.-.¿Solicito muestre la primera quincena del presidente municipal, tesorero, primer </w:t>
      </w:r>
      <w:r w:rsidR="00634C86" w:rsidRPr="00634C86">
        <w:rPr>
          <w:rFonts w:ascii="Palatino Linotype" w:hAnsi="Palatino Linotype"/>
          <w:i/>
          <w:color w:val="000000"/>
        </w:rPr>
        <w:lastRenderedPageBreak/>
        <w:t>regidor, segundo regidor, tercer regidor, cuarto regidor, quinto regidor, sexto regidor, séptimo regidor octavo regidor, noveno regidor, secretario del ayuntamiento, sindico y secretario particular? 3.- Muestre los nombramientos aprobados por cabildo de los directores del ayuntamiento de Almoloya del Río de la administración 2019 - 2021 4.- Muestre la constancia del comité aprobada por cabildo del sistema patrimonial del Ayuntamiento de Almoloya del Río 2019 - 2021 5.- Muestre constancia del comité de transparencia aprobado por cabildo de la administración 2019 - 2021 6.- Muestre la constancia del comité aprobada por cabildo de bienes e inmuebles de la administración 2019 - 2021 Gracias</w:t>
      </w:r>
      <w:r w:rsidR="00B77962" w:rsidRPr="00B77962">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307041" w:rsidRDefault="00E15E85" w:rsidP="002B7CD8">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BA65E0">
        <w:rPr>
          <w:rFonts w:ascii="Palatino Linotype" w:hAnsi="Palatino Linotype" w:cs="Arial"/>
          <w:sz w:val="24"/>
        </w:rPr>
        <w:t>fue omiso en dar respuesta a la solicitud de información dentro del plazo establecido en la Ley de la materia.</w:t>
      </w:r>
    </w:p>
    <w:p w:rsidR="00E15E85" w:rsidRPr="00441A94" w:rsidRDefault="00E15E85" w:rsidP="00F77F57">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9629A5">
        <w:rPr>
          <w:rFonts w:ascii="Palatino Linotype" w:hAnsi="Palatino Linotype" w:cs="Arial"/>
          <w:sz w:val="24"/>
          <w:szCs w:val="24"/>
        </w:rPr>
        <w:t xml:space="preserve">falta de </w:t>
      </w:r>
      <w:r w:rsidRPr="00441A94">
        <w:rPr>
          <w:rFonts w:ascii="Palatino Linotype" w:hAnsi="Palatino Linotype" w:cs="Arial"/>
          <w:sz w:val="24"/>
          <w:szCs w:val="24"/>
        </w:rPr>
        <w:t>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37311B">
        <w:rPr>
          <w:rFonts w:ascii="Palatino Linotype" w:hAnsi="Palatino Linotype" w:cs="Arial"/>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B77962">
        <w:rPr>
          <w:rFonts w:ascii="Palatino Linotype" w:hAnsi="Palatino Linotype" w:cs="Arial"/>
          <w:sz w:val="24"/>
          <w:szCs w:val="24"/>
        </w:rPr>
        <w:t>dieciocho</w:t>
      </w:r>
      <w:r w:rsidR="005D58CA">
        <w:rPr>
          <w:rFonts w:ascii="Palatino Linotype" w:hAnsi="Palatino Linotype" w:cs="Arial"/>
          <w:sz w:val="24"/>
          <w:szCs w:val="24"/>
        </w:rPr>
        <w:t xml:space="preserve"> de junio</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BA65E0">
        <w:rPr>
          <w:rFonts w:ascii="Palatino Linotype" w:hAnsi="Palatino Linotype" w:cs="Arial"/>
          <w:b/>
          <w:bCs/>
          <w:sz w:val="24"/>
          <w:szCs w:val="24"/>
          <w:lang w:eastAsia="es-MX"/>
        </w:rPr>
        <w:t>0</w:t>
      </w:r>
      <w:r w:rsidR="005D58CA">
        <w:rPr>
          <w:rFonts w:ascii="Palatino Linotype" w:hAnsi="Palatino Linotype" w:cs="Arial"/>
          <w:b/>
          <w:bCs/>
          <w:sz w:val="24"/>
          <w:szCs w:val="24"/>
          <w:lang w:eastAsia="es-MX"/>
        </w:rPr>
        <w:t>5</w:t>
      </w:r>
      <w:r w:rsidR="00634C86">
        <w:rPr>
          <w:rFonts w:ascii="Palatino Linotype" w:hAnsi="Palatino Linotype" w:cs="Arial"/>
          <w:b/>
          <w:bCs/>
          <w:sz w:val="24"/>
          <w:szCs w:val="24"/>
          <w:lang w:eastAsia="es-MX"/>
        </w:rPr>
        <w:t>85</w:t>
      </w:r>
      <w:r w:rsidR="009A6D1C">
        <w:rPr>
          <w:rFonts w:ascii="Palatino Linotype" w:hAnsi="Palatino Linotype" w:cs="Arial"/>
          <w:b/>
          <w:bCs/>
          <w:sz w:val="24"/>
          <w:szCs w:val="24"/>
          <w:lang w:eastAsia="es-MX"/>
        </w:rPr>
        <w:t>5</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634C86" w:rsidRPr="00634C86">
        <w:rPr>
          <w:rFonts w:ascii="Palatino Linotype" w:hAnsi="Palatino Linotype"/>
          <w:i/>
          <w:color w:val="000000"/>
        </w:rPr>
        <w:t>De acuerdo a la ley de transparencia, no me proporcionaron la información que solicite, con el número de folio: 00071/ALMORI/IP/2019</w:t>
      </w:r>
      <w:r w:rsidR="005820BF" w:rsidRPr="005820BF">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634C86" w:rsidRPr="00634C86">
        <w:rPr>
          <w:rFonts w:ascii="Palatino Linotype" w:hAnsi="Palatino Linotype" w:cs="Arial"/>
          <w:i/>
        </w:rPr>
        <w:t xml:space="preserve">Solicite información pública, por lo que no es información clasificada ni reservada, de acuerdo a la ley de transparencia. Y no tuve respuesta alguna por parte del titular </w:t>
      </w:r>
      <w:r w:rsidR="00634C86" w:rsidRPr="00634C86">
        <w:rPr>
          <w:rFonts w:ascii="Palatino Linotype" w:hAnsi="Palatino Linotype" w:cs="Arial"/>
          <w:i/>
        </w:rPr>
        <w:lastRenderedPageBreak/>
        <w:t>o titulares del ayuntamiento del Almoloya del Río administración 2019 -2021 de acuerdo al número de folio: 00071/ALMORI/IP/2019.</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9C78F4" w:rsidP="00B77962">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olor w:val="000000"/>
        </w:rPr>
        <w:t xml:space="preserve">  </w:t>
      </w:r>
      <w:r w:rsidR="00E15E85">
        <w:rPr>
          <w:rFonts w:ascii="Palatino Linotype" w:hAnsi="Palatino Linotype" w:cs="Arial"/>
          <w:b/>
          <w:sz w:val="28"/>
        </w:rPr>
        <w:t>CUARTO</w:t>
      </w:r>
      <w:r w:rsidR="00E15E85" w:rsidRPr="008551ED">
        <w:rPr>
          <w:rFonts w:ascii="Palatino Linotype" w:hAnsi="Palatino Linotype" w:cs="Arial"/>
          <w:b/>
          <w:sz w:val="24"/>
          <w:szCs w:val="24"/>
        </w:rPr>
        <w:t xml:space="preserve">. </w:t>
      </w:r>
      <w:r w:rsidR="00E15E85" w:rsidRPr="0087163A">
        <w:rPr>
          <w:rFonts w:ascii="Palatino Linotype" w:hAnsi="Palatino Linotype" w:cs="Arial"/>
          <w:b/>
          <w:sz w:val="28"/>
          <w:szCs w:val="28"/>
        </w:rPr>
        <w:t>Del turno del recurso de revisión.</w:t>
      </w:r>
    </w:p>
    <w:p w:rsidR="00074A99"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634C86">
        <w:rPr>
          <w:rFonts w:ascii="Palatino Linotype" w:hAnsi="Palatino Linotype" w:cs="Arial"/>
          <w:sz w:val="24"/>
          <w:szCs w:val="24"/>
        </w:rPr>
        <w:t>dos de julio</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E15E85"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9A6D1C">
        <w:rPr>
          <w:rFonts w:ascii="Palatino Linotype" w:hAnsi="Palatino Linotype" w:cs="Arial"/>
          <w:sz w:val="24"/>
          <w:szCs w:val="24"/>
        </w:rPr>
        <w:t>fue omiso en presentar su informe justificado, 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A6D1C">
        <w:rPr>
          <w:rFonts w:ascii="Palatino Linotype" w:hAnsi="Palatino Linotype" w:cs="Arial"/>
          <w:sz w:val="24"/>
          <w:szCs w:val="24"/>
        </w:rPr>
        <w:t xml:space="preserve">el recurrente </w:t>
      </w:r>
      <w:r w:rsidR="00634C86">
        <w:rPr>
          <w:rFonts w:ascii="Palatino Linotype" w:hAnsi="Palatino Linotype" w:cs="Arial"/>
          <w:sz w:val="24"/>
          <w:szCs w:val="24"/>
        </w:rPr>
        <w:t>presento sus alegatos constantes en el acuse de su recurso de revisión en fecha tres de julio de los corrientes; asimismo,</w:t>
      </w:r>
      <w:r w:rsidR="009A6D1C">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w:t>
      </w:r>
      <w:r w:rsidR="00113310">
        <w:rPr>
          <w:rFonts w:ascii="Palatino Linotype" w:hAnsi="Palatino Linotype" w:cs="Arial"/>
          <w:sz w:val="24"/>
          <w:szCs w:val="24"/>
        </w:rPr>
        <w:t>,</w:t>
      </w:r>
      <w:r w:rsidR="00755099">
        <w:rPr>
          <w:rFonts w:ascii="Palatino Linotype" w:hAnsi="Palatino Linotype" w:cs="Arial"/>
          <w:sz w:val="24"/>
          <w:szCs w:val="24"/>
        </w:rPr>
        <w:t xml:space="preserve"> en fecha </w:t>
      </w:r>
      <w:r w:rsidR="00634C86">
        <w:rPr>
          <w:rFonts w:ascii="Palatino Linotype" w:hAnsi="Palatino Linotype" w:cs="Arial"/>
          <w:sz w:val="24"/>
          <w:szCs w:val="24"/>
        </w:rPr>
        <w:t>doce de julio</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F84AE2" w:rsidRDefault="00F84AE2" w:rsidP="00F84AE2">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634C86">
        <w:rPr>
          <w:rFonts w:ascii="Palatino Linotype" w:hAnsi="Palatino Linotype" w:cs="Arial"/>
          <w:sz w:val="24"/>
          <w:szCs w:val="24"/>
        </w:rPr>
        <w:t>veintiocho</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A902C6">
        <w:rPr>
          <w:rFonts w:ascii="Palatino Linotype" w:hAnsi="Palatino Linotype" w:cs="Arial"/>
          <w:sz w:val="24"/>
        </w:rPr>
        <w:t xml:space="preserve">vigésimo segundo, vigésimo tercero y vigésimo cuarto </w:t>
      </w:r>
      <w:r w:rsidR="00A902C6" w:rsidRPr="00025A37">
        <w:rPr>
          <w:rFonts w:ascii="Palatino Linotype" w:hAnsi="Palatino Linotype" w:cs="Arial"/>
          <w:sz w:val="24"/>
        </w:rPr>
        <w:t xml:space="preserve">fracción </w:t>
      </w:r>
      <w:r w:rsidRPr="00025A37">
        <w:rPr>
          <w:rFonts w:ascii="Palatino Linotype" w:hAnsi="Palatino Linotype" w:cs="Arial"/>
          <w:sz w:val="24"/>
        </w:rPr>
        <w:t xml:space="preserve">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lastRenderedPageBreak/>
        <w:t>TERCERO</w:t>
      </w:r>
      <w:r w:rsidRPr="00D24A52">
        <w:rPr>
          <w:rFonts w:ascii="Palatino Linotype" w:hAnsi="Palatino Linotype" w:cs="Arial"/>
          <w:b/>
        </w:rPr>
        <w:t xml:space="preserve">. </w:t>
      </w:r>
      <w:r w:rsidR="00BC59B2">
        <w:rPr>
          <w:rFonts w:ascii="Palatino Linotype" w:hAnsi="Palatino Linotype" w:cs="Arial"/>
          <w:b/>
          <w:sz w:val="28"/>
          <w:szCs w:val="28"/>
        </w:rPr>
        <w:t>De</w:t>
      </w:r>
      <w:r>
        <w:rPr>
          <w:rFonts w:ascii="Palatino Linotype" w:hAnsi="Palatino Linotype" w:cs="Arial"/>
          <w:b/>
          <w:sz w:val="28"/>
          <w:szCs w:val="28"/>
        </w:rPr>
        <w:t xml:space="preserve"> las </w:t>
      </w:r>
      <w:r w:rsidR="006F001B">
        <w:rPr>
          <w:rFonts w:ascii="Palatino Linotype" w:hAnsi="Palatino Linotype" w:cs="Arial"/>
          <w:b/>
          <w:sz w:val="28"/>
          <w:szCs w:val="28"/>
        </w:rPr>
        <w:t>causales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B0008F" w:rsidRPr="008C3CD8" w:rsidRDefault="00B0008F" w:rsidP="00B0008F">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B0008F" w:rsidRDefault="00B0008F" w:rsidP="00B0008F">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w:t>
      </w:r>
      <w:r>
        <w:rPr>
          <w:rFonts w:ascii="Palatino Linotype" w:hAnsi="Palatino Linotype"/>
          <w:sz w:val="24"/>
          <w:szCs w:val="24"/>
        </w:rPr>
        <w:lastRenderedPageBreak/>
        <w:t xml:space="preserve">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Pr>
          <w:rStyle w:val="Refdenotaalpie"/>
          <w:rFonts w:ascii="Palatino Linotype" w:hAnsi="Palatino Linotype"/>
          <w:sz w:val="24"/>
          <w:szCs w:val="24"/>
        </w:rPr>
        <w:footnoteReference w:id="2"/>
      </w:r>
    </w:p>
    <w:p w:rsidR="00B0008F" w:rsidRPr="00505FED" w:rsidRDefault="00B0008F" w:rsidP="00B0008F">
      <w:pPr>
        <w:spacing w:before="100" w:beforeAutospacing="1" w:after="100" w:afterAutospacing="1" w:line="360" w:lineRule="auto"/>
        <w:jc w:val="both"/>
        <w:rPr>
          <w:rFonts w:ascii="Palatino Linotype" w:hAnsi="Palatino Linotype" w:cs="Arial"/>
          <w:sz w:val="24"/>
        </w:rPr>
      </w:pPr>
      <w:r w:rsidRPr="00505FED">
        <w:rPr>
          <w:rFonts w:ascii="Palatino Linotype" w:hAnsi="Palatino Linotype" w:cs="Arial"/>
          <w:sz w:val="24"/>
        </w:rPr>
        <w:t xml:space="preserve">Sin necesidad de determinar una debida oportunidad respecto del momento de presentación del medio de impugnación, pues al no existir una determinación por parte del </w:t>
      </w:r>
      <w:r w:rsidRPr="00505FED">
        <w:rPr>
          <w:rFonts w:ascii="Palatino Linotype" w:hAnsi="Palatino Linotype" w:cs="Arial"/>
          <w:b/>
          <w:sz w:val="24"/>
        </w:rPr>
        <w:t>Sujeto Obligado</w:t>
      </w:r>
      <w:r w:rsidRPr="00505FED">
        <w:rPr>
          <w:rFonts w:ascii="Palatino Linotype" w:hAnsi="Palatino Linotype" w:cs="Arial"/>
          <w:sz w:val="24"/>
        </w:rPr>
        <w:t xml:space="preserve"> en respuesta a la solicitud de acceso a la información pública del particular, no existe una fecha de notificación del acto reclamado a partir de la cual se pueda computar el plazo dispuesto en el artículo 178 de la Ley de la Materia, para la presentación del recurso de revisión.</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Así, del citado numeral 178 se ha determinado </w:t>
      </w:r>
      <w:r w:rsidR="00A65C79">
        <w:rPr>
          <w:rFonts w:ascii="Palatino Linotype" w:hAnsi="Palatino Linotype"/>
          <w:sz w:val="24"/>
          <w:szCs w:val="24"/>
        </w:rPr>
        <w:t>que,</w:t>
      </w:r>
      <w:r>
        <w:rPr>
          <w:rFonts w:ascii="Palatino Linotype" w:hAnsi="Palatino Linotype"/>
          <w:sz w:val="24"/>
          <w:szCs w:val="24"/>
        </w:rPr>
        <w:t xml:space="preserve"> ante la falta de respuesta por parte de los sujetos obligados a una solicitud de información, dentro de los términos </w:t>
      </w:r>
      <w:r>
        <w:rPr>
          <w:rFonts w:ascii="Palatino Linotype" w:hAnsi="Palatino Linotype"/>
          <w:sz w:val="24"/>
          <w:szCs w:val="24"/>
        </w:rPr>
        <w:lastRenderedPageBreak/>
        <w:t>previstos para tal efecto, la presentación del recurso de revisión podrá ser presentado en cualquier momento y que a la letra reza: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0008F" w:rsidRPr="00A147CA" w:rsidRDefault="00B0008F" w:rsidP="00B0008F">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rsidR="00B0008F" w:rsidRPr="00B92BC3" w:rsidRDefault="00B0008F" w:rsidP="00B0008F">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A65C79" w:rsidRDefault="00B0008F" w:rsidP="00A65C79">
      <w:pPr>
        <w:spacing w:before="240" w:line="360" w:lineRule="auto"/>
        <w:ind w:left="708" w:right="51" w:firstLine="1"/>
        <w:jc w:val="both"/>
        <w:rPr>
          <w:rFonts w:ascii="Palatino Linotype" w:hAnsi="Palatino Linotype" w:cs="Arial"/>
          <w:i/>
          <w:iCs/>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w:t>
      </w:r>
      <w:r w:rsidRPr="00A147CA">
        <w:rPr>
          <w:rFonts w:ascii="Palatino Linotype" w:hAnsi="Palatino Linotype" w:cs="Arial"/>
          <w:i/>
          <w:iCs/>
        </w:rPr>
        <w:lastRenderedPageBreak/>
        <w:t>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0008F" w:rsidRDefault="00B0008F" w:rsidP="00A65C79">
      <w:pPr>
        <w:spacing w:before="240" w:line="360" w:lineRule="auto"/>
        <w:ind w:right="51" w:firstLine="1"/>
        <w:jc w:val="both"/>
        <w:rPr>
          <w:rFonts w:ascii="Palatino Linotype" w:hAnsi="Palatino Linotype"/>
          <w:sz w:val="24"/>
          <w:szCs w:val="24"/>
        </w:rPr>
      </w:pPr>
      <w:r>
        <w:rPr>
          <w:rFonts w:ascii="Palatino Linotype" w:hAnsi="Palatino Linotype"/>
          <w:sz w:val="24"/>
          <w:szCs w:val="24"/>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rsidR="00B0008F" w:rsidRDefault="00B0008F" w:rsidP="00B0008F">
      <w:pPr>
        <w:spacing w:before="240" w:after="240" w:line="360" w:lineRule="auto"/>
        <w:jc w:val="both"/>
        <w:rPr>
          <w:rFonts w:ascii="Palatino Linotype" w:hAnsi="Palatino Linotype" w:cs="Arial"/>
          <w:sz w:val="24"/>
          <w:szCs w:val="24"/>
        </w:rPr>
      </w:pPr>
      <w:r>
        <w:rPr>
          <w:rFonts w:ascii="Palatino Linotype" w:hAnsi="Palatino Linotype"/>
          <w:sz w:val="24"/>
          <w:szCs w:val="24"/>
        </w:rPr>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B0008F" w:rsidRPr="009D787B" w:rsidRDefault="00B0008F" w:rsidP="00B0008F">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rsidR="00B0008F" w:rsidRDefault="00B0008F" w:rsidP="00B0008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 xml:space="preserve">es la autoridad competente para conocer de dicha </w:t>
      </w:r>
      <w:r w:rsidRPr="0024761B">
        <w:rPr>
          <w:rFonts w:ascii="Palatino Linotype" w:hAnsi="Palatino Linotype"/>
          <w:sz w:val="24"/>
        </w:rPr>
        <w:lastRenderedPageBreak/>
        <w:t>solicitud, es decir, si se trata de información que deba generar, administrar o poseer por virtud del ámbito de sus atribuciones.</w:t>
      </w:r>
    </w:p>
    <w:p w:rsidR="00653B08" w:rsidRDefault="00B04652" w:rsidP="00B04652">
      <w:pPr>
        <w:tabs>
          <w:tab w:val="left" w:pos="709"/>
        </w:tabs>
        <w:spacing w:before="240" w:line="360" w:lineRule="auto"/>
        <w:ind w:right="51"/>
        <w:jc w:val="both"/>
        <w:rPr>
          <w:rFonts w:ascii="Palatino Linotype" w:hAnsi="Palatino Linotype" w:cs="Arial"/>
          <w:i/>
          <w:sz w:val="24"/>
          <w:szCs w:val="24"/>
        </w:rPr>
      </w:pPr>
      <w:r>
        <w:rPr>
          <w:rFonts w:ascii="Palatino Linotype" w:hAnsi="Palatino Linotype" w:cs="Arial"/>
          <w:sz w:val="24"/>
          <w:szCs w:val="24"/>
        </w:rPr>
        <w:t xml:space="preserve">En primer término, es menester establecer la materia de revisión en el presente asunto, </w:t>
      </w:r>
      <w:r w:rsidR="00A65C79">
        <w:rPr>
          <w:rFonts w:ascii="Palatino Linotype" w:hAnsi="Palatino Linotype" w:cs="Arial"/>
          <w:sz w:val="24"/>
          <w:szCs w:val="24"/>
        </w:rPr>
        <w:t>ya que,</w:t>
      </w:r>
      <w:r>
        <w:rPr>
          <w:rFonts w:ascii="Palatino Linotype" w:hAnsi="Palatino Linotype" w:cs="Arial"/>
          <w:sz w:val="24"/>
          <w:szCs w:val="24"/>
        </w:rPr>
        <w:t xml:space="preserve"> del análisis al medio de impugnación, se aprecia que la recurrente señala como razones o motivos de inconformidad</w:t>
      </w:r>
      <w:r w:rsidR="000B3927">
        <w:rPr>
          <w:rFonts w:ascii="Palatino Linotype" w:hAnsi="Palatino Linotype" w:cs="Arial"/>
          <w:sz w:val="24"/>
          <w:szCs w:val="24"/>
        </w:rPr>
        <w:t xml:space="preserve"> medularmente</w:t>
      </w:r>
      <w:r>
        <w:rPr>
          <w:rFonts w:ascii="Palatino Linotype" w:hAnsi="Palatino Linotype" w:cs="Arial"/>
          <w:sz w:val="24"/>
          <w:szCs w:val="24"/>
        </w:rPr>
        <w:t>,</w:t>
      </w:r>
      <w:r w:rsidR="000B3927">
        <w:rPr>
          <w:rFonts w:ascii="Palatino Linotype" w:hAnsi="Palatino Linotype" w:cs="Arial"/>
          <w:sz w:val="24"/>
          <w:szCs w:val="24"/>
        </w:rPr>
        <w:t xml:space="preserve"> </w:t>
      </w:r>
      <w:r w:rsidR="001E772A" w:rsidRPr="001E772A">
        <w:rPr>
          <w:rFonts w:ascii="Palatino Linotype" w:hAnsi="Palatino Linotype" w:cs="Arial"/>
          <w:sz w:val="24"/>
          <w:szCs w:val="24"/>
        </w:rPr>
        <w:t>“</w:t>
      </w:r>
      <w:r w:rsidR="00634C86" w:rsidRPr="00634C86">
        <w:rPr>
          <w:rFonts w:ascii="Palatino Linotype" w:hAnsi="Palatino Linotype" w:cs="Arial"/>
          <w:sz w:val="24"/>
          <w:szCs w:val="24"/>
        </w:rPr>
        <w:t>Solicite información pública, por lo que no es información clasificada ni reservada, de acuerdo a la ley de transparencia. Y no tuve respuesta alguna por parte del titular o titulares del ayuntamiento del Almoloya del Río administración 2019 -2021 de acuerdo al número de folio: 00071/ALMORI/IP/2019.</w:t>
      </w:r>
      <w:r w:rsidR="001E772A" w:rsidRPr="001E772A">
        <w:rPr>
          <w:rFonts w:ascii="Palatino Linotype" w:hAnsi="Palatino Linotype" w:cs="Arial"/>
          <w:sz w:val="24"/>
          <w:szCs w:val="24"/>
        </w:rPr>
        <w:t>” [Sic]</w:t>
      </w:r>
      <w:r w:rsidR="00BA65E0">
        <w:rPr>
          <w:rFonts w:ascii="Palatino Linotype" w:hAnsi="Palatino Linotype" w:cs="Arial"/>
          <w:i/>
          <w:sz w:val="24"/>
          <w:szCs w:val="24"/>
        </w:rPr>
        <w:t>.</w:t>
      </w:r>
    </w:p>
    <w:p w:rsidR="001F295E" w:rsidRDefault="00BA65E0" w:rsidP="001F295E">
      <w:pPr>
        <w:spacing w:before="240" w:after="240" w:line="360" w:lineRule="auto"/>
        <w:jc w:val="both"/>
        <w:rPr>
          <w:rFonts w:ascii="Palatino Linotype" w:hAnsi="Palatino Linotype" w:cs="Arial"/>
          <w:sz w:val="24"/>
          <w:szCs w:val="24"/>
        </w:rPr>
      </w:pPr>
      <w:r w:rsidRPr="00BC5E09">
        <w:rPr>
          <w:rFonts w:ascii="Palatino Linotype" w:hAnsi="Palatino Linotype" w:cs="Arial"/>
          <w:sz w:val="24"/>
          <w:szCs w:val="24"/>
        </w:rPr>
        <w:t>Por tanto, el hoy recurrente</w:t>
      </w:r>
      <w:r w:rsidR="001F295E">
        <w:rPr>
          <w:rFonts w:ascii="Palatino Linotype" w:hAnsi="Palatino Linotype" w:cs="Arial"/>
          <w:sz w:val="24"/>
          <w:szCs w:val="24"/>
        </w:rPr>
        <w:t xml:space="preserve"> tuvo a bien solicitar información en el tenor siguiente:</w:t>
      </w:r>
    </w:p>
    <w:p w:rsidR="00634C86" w:rsidRPr="00634C86" w:rsidRDefault="00634C86" w:rsidP="00634C86">
      <w:pPr>
        <w:pStyle w:val="Prrafodelista"/>
        <w:numPr>
          <w:ilvl w:val="0"/>
          <w:numId w:val="37"/>
        </w:numPr>
        <w:spacing w:before="240" w:after="240" w:line="360" w:lineRule="auto"/>
        <w:jc w:val="both"/>
        <w:rPr>
          <w:rFonts w:ascii="Palatino Linotype" w:hAnsi="Palatino Linotype" w:cs="Arial"/>
          <w:i/>
          <w:iCs/>
        </w:rPr>
      </w:pPr>
      <w:r w:rsidRPr="00634C86">
        <w:rPr>
          <w:rFonts w:ascii="Palatino Linotype" w:hAnsi="Palatino Linotype" w:cs="Arial"/>
          <w:i/>
          <w:iCs/>
        </w:rPr>
        <w:t xml:space="preserve">¿Cuánto fue el finiquito del Ex tesorero municipal Agustín Peñaflor Castro en el periodo 2016-2018? </w:t>
      </w:r>
    </w:p>
    <w:p w:rsidR="00634C86" w:rsidRPr="00634C86" w:rsidRDefault="00634C86" w:rsidP="00634C86">
      <w:pPr>
        <w:pStyle w:val="Prrafodelista"/>
        <w:numPr>
          <w:ilvl w:val="0"/>
          <w:numId w:val="37"/>
        </w:numPr>
        <w:spacing w:before="240" w:after="240" w:line="360" w:lineRule="auto"/>
        <w:jc w:val="both"/>
        <w:rPr>
          <w:rFonts w:ascii="Palatino Linotype" w:hAnsi="Palatino Linotype" w:cs="Arial"/>
          <w:i/>
          <w:iCs/>
        </w:rPr>
      </w:pPr>
      <w:r w:rsidRPr="00634C86">
        <w:rPr>
          <w:rFonts w:ascii="Palatino Linotype" w:hAnsi="Palatino Linotype" w:cs="Arial"/>
          <w:i/>
          <w:iCs/>
        </w:rPr>
        <w:t xml:space="preserve">¿Solicito muestre la primera quincena del presidente municipal, tesorero, primer regidor, segundo regidor, tercer regidor, cuarto regidor, quinto regidor, sexto regidor, séptimo regidor octavo regidor, noveno regidor, secretario del ayuntamiento, sindico y secretario particular? </w:t>
      </w:r>
    </w:p>
    <w:p w:rsidR="00634C86" w:rsidRPr="00634C86" w:rsidRDefault="00634C86" w:rsidP="00634C86">
      <w:pPr>
        <w:pStyle w:val="Prrafodelista"/>
        <w:numPr>
          <w:ilvl w:val="0"/>
          <w:numId w:val="37"/>
        </w:numPr>
        <w:spacing w:before="240" w:after="240" w:line="360" w:lineRule="auto"/>
        <w:jc w:val="both"/>
        <w:rPr>
          <w:rFonts w:ascii="Palatino Linotype" w:hAnsi="Palatino Linotype" w:cs="Arial"/>
          <w:i/>
          <w:iCs/>
        </w:rPr>
      </w:pPr>
      <w:r w:rsidRPr="00634C86">
        <w:rPr>
          <w:rFonts w:ascii="Palatino Linotype" w:hAnsi="Palatino Linotype" w:cs="Arial"/>
          <w:i/>
          <w:iCs/>
        </w:rPr>
        <w:t xml:space="preserve">Muestre los nombramientos aprobados por cabildo de los directores del ayuntamiento de Almoloya del Río de la administración 2019 - 2021 </w:t>
      </w:r>
    </w:p>
    <w:p w:rsidR="00634C86" w:rsidRPr="00634C86" w:rsidRDefault="00634C86" w:rsidP="00634C86">
      <w:pPr>
        <w:pStyle w:val="Prrafodelista"/>
        <w:numPr>
          <w:ilvl w:val="0"/>
          <w:numId w:val="37"/>
        </w:numPr>
        <w:spacing w:before="240" w:after="240" w:line="360" w:lineRule="auto"/>
        <w:jc w:val="both"/>
        <w:rPr>
          <w:rFonts w:ascii="Palatino Linotype" w:hAnsi="Palatino Linotype" w:cs="Arial"/>
          <w:i/>
          <w:iCs/>
        </w:rPr>
      </w:pPr>
      <w:r w:rsidRPr="00634C86">
        <w:rPr>
          <w:rFonts w:ascii="Palatino Linotype" w:hAnsi="Palatino Linotype" w:cs="Arial"/>
          <w:i/>
          <w:iCs/>
        </w:rPr>
        <w:t xml:space="preserve">Muestre la constancia del comité aprobada por cabildo del sistema patrimonial del Ayuntamiento de Almoloya del Río 2019 - 2021 </w:t>
      </w:r>
    </w:p>
    <w:p w:rsidR="00634C86" w:rsidRPr="00634C86" w:rsidRDefault="00634C86" w:rsidP="00634C86">
      <w:pPr>
        <w:pStyle w:val="Prrafodelista"/>
        <w:numPr>
          <w:ilvl w:val="0"/>
          <w:numId w:val="37"/>
        </w:numPr>
        <w:spacing w:before="240" w:after="240" w:line="360" w:lineRule="auto"/>
        <w:jc w:val="both"/>
        <w:rPr>
          <w:rFonts w:ascii="Palatino Linotype" w:hAnsi="Palatino Linotype" w:cs="Arial"/>
          <w:i/>
          <w:iCs/>
        </w:rPr>
      </w:pPr>
      <w:r w:rsidRPr="00634C86">
        <w:rPr>
          <w:rFonts w:ascii="Palatino Linotype" w:hAnsi="Palatino Linotype" w:cs="Arial"/>
          <w:i/>
          <w:iCs/>
        </w:rPr>
        <w:lastRenderedPageBreak/>
        <w:t xml:space="preserve">Muestre constancia del comité de transparencia aprobado por cabildo de la administración 2019 - 2021 </w:t>
      </w:r>
    </w:p>
    <w:p w:rsidR="00634C86" w:rsidRPr="00634C86" w:rsidRDefault="00634C86" w:rsidP="00634C86">
      <w:pPr>
        <w:pStyle w:val="Prrafodelista"/>
        <w:numPr>
          <w:ilvl w:val="0"/>
          <w:numId w:val="37"/>
        </w:numPr>
        <w:spacing w:before="240" w:after="240" w:line="360" w:lineRule="auto"/>
        <w:jc w:val="both"/>
        <w:rPr>
          <w:rFonts w:ascii="Palatino Linotype" w:hAnsi="Palatino Linotype" w:cs="Arial"/>
          <w:i/>
          <w:iCs/>
        </w:rPr>
      </w:pPr>
      <w:r w:rsidRPr="00634C86">
        <w:rPr>
          <w:rFonts w:ascii="Palatino Linotype" w:hAnsi="Palatino Linotype" w:cs="Arial"/>
          <w:i/>
          <w:iCs/>
        </w:rPr>
        <w:t xml:space="preserve">Muestre la constancia del comité aprobada por cabildo de bienes e inmuebles de la administración 2019 - 2021 </w:t>
      </w:r>
    </w:p>
    <w:p w:rsidR="00EE28A5" w:rsidRPr="005D58CA" w:rsidRDefault="00EE28A5" w:rsidP="00634C86">
      <w:pPr>
        <w:spacing w:before="240" w:line="360" w:lineRule="auto"/>
        <w:jc w:val="both"/>
        <w:rPr>
          <w:rFonts w:ascii="Palatino Linotype" w:hAnsi="Palatino Linotype" w:cs="Arial"/>
          <w:color w:val="000000" w:themeColor="text1"/>
          <w:sz w:val="24"/>
          <w:szCs w:val="24"/>
        </w:rPr>
      </w:pPr>
      <w:r w:rsidRPr="005D58CA">
        <w:rPr>
          <w:rFonts w:ascii="Palatino Linotype" w:hAnsi="Palatino Linotype" w:cs="Arial"/>
          <w:bCs/>
          <w:sz w:val="24"/>
          <w:szCs w:val="24"/>
        </w:rPr>
        <w:t>Así pues, ante la negativa de la información, es oportuno resaltar que el ciudadano tiene la oportunidad de inconformarse</w:t>
      </w:r>
      <w:r w:rsidR="00634C86">
        <w:rPr>
          <w:rFonts w:ascii="Palatino Linotype" w:hAnsi="Palatino Linotype" w:cs="Arial"/>
          <w:bCs/>
          <w:sz w:val="24"/>
          <w:szCs w:val="24"/>
        </w:rPr>
        <w:t xml:space="preserve"> </w:t>
      </w:r>
      <w:r w:rsidRPr="005D58CA">
        <w:rPr>
          <w:rFonts w:ascii="Palatino Linotype" w:hAnsi="Palatino Linotype" w:cs="Arial"/>
          <w:sz w:val="24"/>
          <w:szCs w:val="24"/>
        </w:rPr>
        <w:t xml:space="preserve">en los casos en que estime violentado su derecho; en consecuencia, </w:t>
      </w:r>
      <w:r w:rsidRPr="005D58CA">
        <w:rPr>
          <w:rFonts w:ascii="Palatino Linotype" w:hAnsi="Palatino Linotype" w:cs="Arial"/>
          <w:color w:val="000000" w:themeColor="text1"/>
          <w:sz w:val="24"/>
          <w:szCs w:val="24"/>
        </w:rPr>
        <w:t>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EE28A5" w:rsidRPr="00A27566" w:rsidRDefault="00EE28A5" w:rsidP="00EE28A5">
      <w:pPr>
        <w:spacing w:after="0" w:line="360" w:lineRule="auto"/>
        <w:jc w:val="both"/>
        <w:rPr>
          <w:rFonts w:ascii="Palatino Linotype" w:hAnsi="Palatino Linotype" w:cs="Arial"/>
          <w:color w:val="000000" w:themeColor="text1"/>
          <w:sz w:val="6"/>
          <w:szCs w:val="24"/>
        </w:rPr>
      </w:pPr>
    </w:p>
    <w:p w:rsidR="00EE28A5" w:rsidRPr="00A27566" w:rsidRDefault="00EE28A5" w:rsidP="00EE28A5">
      <w:pPr>
        <w:spacing w:before="120" w:after="120" w:line="360" w:lineRule="auto"/>
        <w:ind w:left="851" w:right="851"/>
        <w:jc w:val="both"/>
        <w:rPr>
          <w:rFonts w:ascii="Palatino Linotype" w:hAnsi="Palatino Linotype" w:cs="Arial"/>
          <w:bCs/>
          <w:i/>
          <w:color w:val="000000" w:themeColor="text1"/>
        </w:rPr>
      </w:pPr>
      <w:r w:rsidRPr="00A27566">
        <w:rPr>
          <w:rFonts w:ascii="Palatino Linotype" w:hAnsi="Palatino Linotype" w:cs="Arial"/>
          <w:bCs/>
          <w:i/>
          <w:color w:val="000000" w:themeColor="text1"/>
        </w:rPr>
        <w:t>“</w:t>
      </w:r>
      <w:r w:rsidRPr="00A27566">
        <w:rPr>
          <w:rFonts w:ascii="Palatino Linotype" w:hAnsi="Palatino Linotype" w:cs="Arial"/>
          <w:b/>
          <w:bCs/>
          <w:i/>
          <w:color w:val="000000" w:themeColor="text1"/>
        </w:rPr>
        <w:t xml:space="preserve">Artículo 4. </w:t>
      </w:r>
      <w:r w:rsidRPr="007B167F">
        <w:rPr>
          <w:rFonts w:ascii="Palatino Linotype" w:hAnsi="Palatino Linotype" w:cs="Arial"/>
          <w:b/>
          <w:bCs/>
          <w:i/>
          <w:color w:val="000000" w:themeColor="text1"/>
          <w:u w:val="single"/>
        </w:rPr>
        <w:t>El derecho humano de acceso a la información pública es la prerrogativa de las personas para buscar, difundir, investigar, recabar, recibir y solicitar información pública</w:t>
      </w:r>
      <w:r w:rsidRPr="00A27566">
        <w:rPr>
          <w:rFonts w:ascii="Palatino Linotype" w:hAnsi="Palatino Linotype" w:cs="Arial"/>
          <w:bCs/>
          <w:i/>
          <w:color w:val="000000" w:themeColor="text1"/>
        </w:rPr>
        <w:t>, sin necesidad de acreditar personalidad ni interés jurídico.</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Solo podrá ser clasificada excepcionalmente como reservada </w:t>
      </w:r>
      <w:r w:rsidRPr="00A27566">
        <w:rPr>
          <w:rFonts w:ascii="Palatino Linotype" w:hAnsi="Palatino Linotype" w:cs="Arial"/>
          <w:i/>
          <w:color w:val="000000" w:themeColor="text1"/>
        </w:rPr>
        <w:lastRenderedPageBreak/>
        <w:t>temporalmente por razones de interés público, en los términos de las causas legítimas y estrictamente necesarias previstas por esta Ley.</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bCs/>
          <w:i/>
          <w:color w:val="000000" w:themeColor="text1"/>
        </w:rPr>
        <w:t xml:space="preserve">Artículo 12. </w:t>
      </w:r>
      <w:r w:rsidRPr="00A27566">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7B167F">
        <w:rPr>
          <w:rFonts w:ascii="Palatino Linotype" w:hAnsi="Palatino Linotype" w:cs="Arial"/>
          <w:b/>
          <w:i/>
          <w:color w:val="000000" w:themeColor="text1"/>
          <w:u w:val="single"/>
        </w:rPr>
        <w:t>Los sujetos obligados sólo proporcionarán la información pública que se les requiera y que obre en sus archivos y en el estado en que ésta se encuentre</w:t>
      </w:r>
      <w:r w:rsidRPr="00A27566">
        <w:rPr>
          <w:rFonts w:ascii="Palatino Linotype" w:hAnsi="Palatino Linotype" w:cs="Arial"/>
          <w:i/>
          <w:color w:val="000000" w:themeColor="text1"/>
          <w:u w:val="single"/>
        </w:rPr>
        <w:t>.</w:t>
      </w:r>
      <w:r w:rsidRPr="00A27566">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b/>
          <w:bCs/>
          <w:i/>
          <w:color w:val="000000" w:themeColor="text1"/>
        </w:rPr>
      </w:pPr>
      <w:r w:rsidRPr="00A27566">
        <w:rPr>
          <w:rFonts w:ascii="Palatino Linotype" w:hAnsi="Palatino Linotype" w:cs="Arial"/>
          <w:b/>
          <w:bCs/>
          <w:i/>
          <w:color w:val="000000" w:themeColor="text1"/>
        </w:rPr>
        <w:t xml:space="preserve">Artículo 24. </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bCs/>
          <w:i/>
          <w:color w:val="000000" w:themeColor="text1"/>
        </w:rPr>
        <w:t>(</w:t>
      </w:r>
      <w:r w:rsidRPr="00A27566">
        <w:rPr>
          <w:rFonts w:ascii="Palatino Linotype" w:hAnsi="Palatino Linotype" w:cs="Arial"/>
          <w:bCs/>
          <w:i/>
          <w:color w:val="000000" w:themeColor="text1"/>
        </w:rPr>
        <w:t>…</w:t>
      </w:r>
      <w:r>
        <w:rPr>
          <w:rFonts w:ascii="Palatino Linotype" w:hAnsi="Palatino Linotype" w:cs="Arial"/>
          <w:bCs/>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u w:val="single"/>
        </w:rPr>
      </w:pPr>
      <w:r w:rsidRPr="00A27566">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Pr>
          <w:rFonts w:ascii="Palatino Linotype" w:hAnsi="Palatino Linotype" w:cs="Arial"/>
          <w:i/>
          <w:color w:val="000000" w:themeColor="text1"/>
        </w:rPr>
        <w:t>(</w:t>
      </w:r>
      <w:r w:rsidRPr="00A27566">
        <w:rPr>
          <w:rFonts w:ascii="Palatino Linotype" w:hAnsi="Palatino Linotype" w:cs="Arial"/>
          <w:i/>
          <w:color w:val="000000" w:themeColor="text1"/>
        </w:rPr>
        <w:t>…</w:t>
      </w:r>
      <w:r>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b/>
          <w:i/>
          <w:color w:val="000000" w:themeColor="text1"/>
        </w:rPr>
        <w:t>Artículo 160.</w:t>
      </w:r>
      <w:r w:rsidRPr="00A27566">
        <w:rPr>
          <w:rFonts w:ascii="Palatino Linotype" w:hAnsi="Palatino Linotype" w:cs="Arial"/>
          <w:i/>
          <w:color w:val="000000" w:themeColor="text1"/>
        </w:rPr>
        <w:t xml:space="preserve"> </w:t>
      </w:r>
      <w:r w:rsidRPr="00A27566">
        <w:rPr>
          <w:rFonts w:ascii="Palatino Linotype" w:hAnsi="Palatino Linotype" w:cs="Arial"/>
          <w:i/>
          <w:color w:val="000000" w:themeColor="text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27566">
        <w:rPr>
          <w:rFonts w:ascii="Palatino Linotype" w:hAnsi="Palatino Linotype" w:cs="Arial"/>
          <w:i/>
          <w:color w:val="000000" w:themeColor="text1"/>
        </w:rPr>
        <w:t>.</w:t>
      </w:r>
    </w:p>
    <w:p w:rsidR="00EE28A5" w:rsidRPr="00A27566" w:rsidRDefault="00EE28A5" w:rsidP="00EE28A5">
      <w:pPr>
        <w:spacing w:before="120" w:after="120" w:line="360" w:lineRule="auto"/>
        <w:ind w:left="851" w:right="851"/>
        <w:jc w:val="both"/>
        <w:rPr>
          <w:rFonts w:ascii="Palatino Linotype" w:hAnsi="Palatino Linotype" w:cs="Arial"/>
          <w:i/>
          <w:color w:val="000000" w:themeColor="text1"/>
        </w:rPr>
      </w:pPr>
      <w:r w:rsidRPr="00A27566">
        <w:rPr>
          <w:rFonts w:ascii="Palatino Linotype" w:hAnsi="Palatino Linotype" w:cs="Arial"/>
          <w:i/>
          <w:color w:val="000000" w:themeColor="text1"/>
        </w:rPr>
        <w:lastRenderedPageBreak/>
        <w:t>En caso que la información solicitada consista en bases de datos se deberá privilegiar la entrega de la misma en formatos abiertos.”</w:t>
      </w:r>
    </w:p>
    <w:p w:rsidR="00EE28A5" w:rsidRPr="00A27566" w:rsidRDefault="00EE28A5" w:rsidP="00EE28A5">
      <w:pPr>
        <w:spacing w:after="0" w:line="360" w:lineRule="auto"/>
        <w:ind w:left="851" w:right="851"/>
        <w:jc w:val="right"/>
        <w:rPr>
          <w:rFonts w:ascii="Palatino Linotype" w:hAnsi="Palatino Linotype" w:cs="Arial"/>
          <w:i/>
          <w:color w:val="000000" w:themeColor="text1"/>
        </w:rPr>
      </w:pPr>
      <w:r w:rsidRPr="00A27566">
        <w:rPr>
          <w:rFonts w:ascii="Palatino Linotype" w:hAnsi="Palatino Linotype" w:cs="Arial"/>
          <w:i/>
          <w:color w:val="000000" w:themeColor="text1"/>
        </w:rPr>
        <w:t>(Sic)</w:t>
      </w:r>
      <w:r>
        <w:rPr>
          <w:rFonts w:ascii="Palatino Linotype" w:hAnsi="Palatino Linotype" w:cs="Arial"/>
          <w:i/>
          <w:color w:val="000000" w:themeColor="text1"/>
        </w:rPr>
        <w:t>.</w:t>
      </w:r>
    </w:p>
    <w:p w:rsidR="00EE28A5" w:rsidRPr="005C729F" w:rsidRDefault="00EE28A5" w:rsidP="00EE28A5">
      <w:pPr>
        <w:spacing w:after="0" w:line="360" w:lineRule="auto"/>
        <w:ind w:left="851" w:right="851"/>
        <w:jc w:val="both"/>
        <w:rPr>
          <w:rFonts w:ascii="Palatino Linotype" w:hAnsi="Palatino Linotype" w:cs="Arial"/>
          <w:i/>
          <w:color w:val="000000" w:themeColor="text1"/>
        </w:rPr>
      </w:pPr>
    </w:p>
    <w:p w:rsidR="00EE28A5" w:rsidRDefault="00EE28A5" w:rsidP="00EE28A5">
      <w:pPr>
        <w:spacing w:after="0" w:line="360" w:lineRule="auto"/>
        <w:jc w:val="both"/>
        <w:rPr>
          <w:rFonts w:ascii="Palatino Linotype" w:hAnsi="Palatino Linotype" w:cs="Arial"/>
          <w:color w:val="000000" w:themeColor="text1"/>
          <w:sz w:val="24"/>
          <w:szCs w:val="24"/>
        </w:rPr>
      </w:pPr>
      <w:r w:rsidRPr="005C729F">
        <w:rPr>
          <w:rFonts w:ascii="Palatino Linotype" w:hAnsi="Palatino Linotype" w:cs="Arial"/>
          <w:color w:val="000000" w:themeColor="text1"/>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C729F">
        <w:rPr>
          <w:rFonts w:ascii="Palatino Linotype" w:hAnsi="Palatino Linotype" w:cs="Arial"/>
          <w:bCs/>
          <w:color w:val="000000" w:themeColor="text1"/>
          <w:sz w:val="24"/>
          <w:szCs w:val="24"/>
        </w:rPr>
        <w:t>de la Ley local en la materia, que se reproduce de la siguiente forma</w:t>
      </w:r>
      <w:r w:rsidRPr="005C729F">
        <w:rPr>
          <w:rFonts w:ascii="Palatino Linotype" w:hAnsi="Palatino Linotype" w:cs="Arial"/>
          <w:color w:val="000000" w:themeColor="text1"/>
          <w:sz w:val="24"/>
          <w:szCs w:val="24"/>
        </w:rPr>
        <w:t>:</w:t>
      </w:r>
    </w:p>
    <w:p w:rsidR="00EE28A5" w:rsidRDefault="00EE28A5" w:rsidP="00EE28A5">
      <w:pPr>
        <w:spacing w:before="240" w:line="360" w:lineRule="auto"/>
        <w:ind w:left="851" w:right="851"/>
        <w:jc w:val="both"/>
        <w:rPr>
          <w:rFonts w:ascii="Palatino Linotype" w:hAnsi="Palatino Linotype" w:cs="Arial"/>
          <w:i/>
          <w:color w:val="000000" w:themeColor="text1"/>
          <w:szCs w:val="24"/>
        </w:rPr>
      </w:pPr>
      <w:r w:rsidRPr="00A27566">
        <w:rPr>
          <w:rFonts w:ascii="Palatino Linotype" w:hAnsi="Palatino Linotype" w:cs="Arial"/>
          <w:b/>
          <w:i/>
          <w:color w:val="000000" w:themeColor="text1"/>
          <w:szCs w:val="24"/>
        </w:rPr>
        <w:t>Artículo 166.</w:t>
      </w:r>
      <w:r w:rsidRPr="00A27566">
        <w:rPr>
          <w:rFonts w:ascii="Palatino Linotype" w:hAnsi="Palatino Linotype" w:cs="Arial"/>
          <w:i/>
          <w:color w:val="000000" w:themeColor="text1"/>
          <w:szCs w:val="24"/>
        </w:rPr>
        <w:t xml:space="preserve"> </w:t>
      </w:r>
      <w:r w:rsidRPr="00A27566">
        <w:rPr>
          <w:rFonts w:ascii="Palatino Linotype" w:hAnsi="Palatino Linotype" w:cs="Arial"/>
          <w:i/>
          <w:color w:val="000000" w:themeColor="text1"/>
          <w:szCs w:val="24"/>
          <w:u w:val="single"/>
        </w:rPr>
        <w:t>La obligación de acceso a la información pública se tendrá por cumplida cuando el solicitante tenga a su disposición la información requerida, o cuando realice la consulta de la misma en el lugar en el que ésta se localice.</w:t>
      </w:r>
    </w:p>
    <w:p w:rsidR="00EE28A5" w:rsidRPr="00027645" w:rsidRDefault="00EE28A5" w:rsidP="00EE28A5">
      <w:pPr>
        <w:spacing w:before="240" w:line="360" w:lineRule="auto"/>
        <w:jc w:val="both"/>
        <w:rPr>
          <w:rFonts w:ascii="Palatino Linotype" w:hAnsi="Palatino Linotype"/>
          <w:sz w:val="24"/>
          <w:szCs w:val="24"/>
        </w:rPr>
      </w:pPr>
      <w:r w:rsidRPr="00027645">
        <w:rPr>
          <w:rFonts w:ascii="Palatino Linotype" w:hAnsi="Palatino Linotype"/>
          <w:sz w:val="24"/>
          <w:szCs w:val="24"/>
        </w:rPr>
        <w:t xml:space="preserve">De lo anterior, conforme a las acciones del </w:t>
      </w:r>
      <w:r w:rsidRPr="00027645">
        <w:rPr>
          <w:rFonts w:ascii="Palatino Linotype" w:hAnsi="Palatino Linotype"/>
          <w:b/>
          <w:sz w:val="24"/>
          <w:szCs w:val="24"/>
        </w:rPr>
        <w:t>Sujeto Obligado</w:t>
      </w:r>
      <w:r w:rsidRPr="00027645">
        <w:rPr>
          <w:rFonts w:ascii="Palatino Linotype" w:hAnsi="Palatino Linotype"/>
          <w:sz w:val="24"/>
          <w:szCs w:val="24"/>
        </w:rPr>
        <w:t xml:space="preserve">, se establece que éste vulnera el derecho de acceso a la información pública del </w:t>
      </w:r>
      <w:r w:rsidRPr="00027645">
        <w:rPr>
          <w:rFonts w:ascii="Palatino Linotype" w:hAnsi="Palatino Linotype"/>
          <w:b/>
          <w:sz w:val="24"/>
          <w:szCs w:val="24"/>
        </w:rPr>
        <w:t>Recurrente</w:t>
      </w:r>
      <w:r w:rsidRPr="00027645">
        <w:rPr>
          <w:rFonts w:ascii="Palatino Linotype" w:hAnsi="Palatino Linotype"/>
          <w:sz w:val="24"/>
          <w:szCs w:val="24"/>
        </w:rPr>
        <w:t xml:space="preserve">, toda vez que no entrega </w:t>
      </w:r>
      <w:r>
        <w:rPr>
          <w:rFonts w:ascii="Palatino Linotype" w:hAnsi="Palatino Linotype"/>
          <w:sz w:val="24"/>
          <w:szCs w:val="24"/>
        </w:rPr>
        <w:t>las documentales requeridas en la</w:t>
      </w:r>
      <w:r w:rsidRPr="00027645">
        <w:rPr>
          <w:rFonts w:ascii="Palatino Linotype" w:hAnsi="Palatino Linotype"/>
          <w:sz w:val="24"/>
          <w:szCs w:val="24"/>
        </w:rPr>
        <w:t xml:space="preserve"> solicitud de información presentada, de conformidad a lo establecido en los artículos 24 fracción XI, y 166 de la ley local en la materia, y que señalan:</w:t>
      </w:r>
    </w:p>
    <w:p w:rsidR="00EE28A5" w:rsidRPr="00630612" w:rsidRDefault="00EE28A5" w:rsidP="00EE28A5">
      <w:pPr>
        <w:spacing w:before="240" w:after="120" w:line="360" w:lineRule="auto"/>
        <w:ind w:left="851" w:right="851"/>
        <w:jc w:val="both"/>
        <w:rPr>
          <w:rFonts w:ascii="Palatino Linotype" w:hAnsi="Palatino Linotype" w:cs="Arial"/>
          <w:i/>
          <w:color w:val="000000" w:themeColor="text1"/>
          <w:szCs w:val="24"/>
        </w:rPr>
      </w:pPr>
      <w:r w:rsidRPr="00630612">
        <w:rPr>
          <w:rFonts w:ascii="Palatino Linotype" w:hAnsi="Palatino Linotype"/>
          <w:szCs w:val="24"/>
        </w:rPr>
        <w:t>A</w:t>
      </w:r>
      <w:r w:rsidRPr="00630612">
        <w:rPr>
          <w:rFonts w:ascii="Palatino Linotype" w:hAnsi="Palatino Linotype" w:cs="Arial"/>
          <w:b/>
          <w:bCs/>
          <w:i/>
          <w:color w:val="000000" w:themeColor="text1"/>
          <w:szCs w:val="24"/>
        </w:rPr>
        <w:t xml:space="preserve">rtículo 24. </w:t>
      </w:r>
      <w:r w:rsidRPr="00630612">
        <w:rPr>
          <w:rFonts w:ascii="Palatino Linotype" w:hAnsi="Palatino Linotype" w:cs="Arial"/>
          <w:i/>
          <w:color w:val="000000" w:themeColor="text1"/>
          <w:szCs w:val="24"/>
          <w:u w:val="single"/>
        </w:rPr>
        <w:t>Para el cumplimiento de los objetivos de esta Ley, los sujetos obligados deberán cumplir con las siguientes obligaciones, según corresponda, de acuerdo a su naturaleza:</w:t>
      </w:r>
    </w:p>
    <w:p w:rsidR="00EE28A5" w:rsidRPr="00630612" w:rsidRDefault="00EE28A5" w:rsidP="00EE28A5">
      <w:pPr>
        <w:spacing w:before="120" w:after="120" w:line="360" w:lineRule="auto"/>
        <w:ind w:left="851" w:right="851"/>
        <w:jc w:val="both"/>
        <w:rPr>
          <w:rFonts w:ascii="Palatino Linotype" w:hAnsi="Palatino Linotype" w:cs="Arial"/>
          <w:i/>
          <w:color w:val="000000" w:themeColor="text1"/>
          <w:szCs w:val="24"/>
        </w:rPr>
      </w:pPr>
      <w:r>
        <w:rPr>
          <w:rFonts w:ascii="Palatino Linotype" w:hAnsi="Palatino Linotype" w:cs="Arial"/>
          <w:bCs/>
          <w:i/>
          <w:color w:val="000000" w:themeColor="text1"/>
          <w:szCs w:val="24"/>
        </w:rPr>
        <w:t>(</w:t>
      </w:r>
      <w:r w:rsidRPr="00630612">
        <w:rPr>
          <w:rFonts w:ascii="Palatino Linotype" w:hAnsi="Palatino Linotype" w:cs="Arial"/>
          <w:bCs/>
          <w:i/>
          <w:color w:val="000000" w:themeColor="text1"/>
          <w:szCs w:val="24"/>
        </w:rPr>
        <w:t>..</w:t>
      </w:r>
      <w:r w:rsidRPr="00630612">
        <w:rPr>
          <w:rFonts w:ascii="Palatino Linotype" w:hAnsi="Palatino Linotype" w:cs="Arial"/>
          <w:i/>
          <w:color w:val="000000" w:themeColor="text1"/>
          <w:szCs w:val="24"/>
        </w:rPr>
        <w:t>.</w:t>
      </w:r>
      <w:r>
        <w:rPr>
          <w:rFonts w:ascii="Palatino Linotype" w:hAnsi="Palatino Linotype" w:cs="Arial"/>
          <w:i/>
          <w:color w:val="000000" w:themeColor="text1"/>
          <w:szCs w:val="24"/>
        </w:rPr>
        <w:t>)</w:t>
      </w:r>
    </w:p>
    <w:p w:rsidR="00EE28A5" w:rsidRPr="005B64BB" w:rsidRDefault="00EE28A5" w:rsidP="00EE28A5">
      <w:pPr>
        <w:spacing w:before="120" w:after="120" w:line="360" w:lineRule="auto"/>
        <w:ind w:left="851" w:right="851"/>
        <w:jc w:val="both"/>
        <w:rPr>
          <w:rFonts w:ascii="Palatino Linotype" w:hAnsi="Palatino Linotype" w:cs="Arial"/>
          <w:bCs/>
          <w:i/>
          <w:color w:val="000000" w:themeColor="text1"/>
          <w:szCs w:val="24"/>
          <w:u w:val="single"/>
        </w:rPr>
      </w:pPr>
      <w:r w:rsidRPr="00630612">
        <w:rPr>
          <w:rFonts w:ascii="Palatino Linotype" w:hAnsi="Palatino Linotype" w:cs="Arial"/>
          <w:b/>
          <w:bCs/>
          <w:i/>
          <w:color w:val="000000" w:themeColor="text1"/>
          <w:szCs w:val="24"/>
        </w:rPr>
        <w:t>XI.</w:t>
      </w:r>
      <w:r w:rsidRPr="00630612">
        <w:rPr>
          <w:rFonts w:ascii="Palatino Linotype" w:hAnsi="Palatino Linotype" w:cs="Arial"/>
          <w:bCs/>
          <w:i/>
          <w:color w:val="000000" w:themeColor="text1"/>
          <w:szCs w:val="24"/>
        </w:rPr>
        <w:t xml:space="preserve"> </w:t>
      </w:r>
      <w:r w:rsidRPr="00630612">
        <w:rPr>
          <w:rFonts w:ascii="Palatino Linotype" w:hAnsi="Palatino Linotype" w:cs="Arial"/>
          <w:bCs/>
          <w:i/>
          <w:color w:val="000000" w:themeColor="text1"/>
          <w:szCs w:val="24"/>
          <w:u w:val="single"/>
        </w:rPr>
        <w:t>Dar acceso a la información pública que le sea requerida, en los términos de la Ley General, esta Ley y demás disposiciones jurídicas aplicables;</w:t>
      </w:r>
    </w:p>
    <w:p w:rsidR="00EE28A5" w:rsidRDefault="00EE28A5" w:rsidP="00470C7E">
      <w:pPr>
        <w:pStyle w:val="Prrafodelista"/>
        <w:spacing w:line="360" w:lineRule="auto"/>
        <w:ind w:left="0"/>
        <w:jc w:val="both"/>
        <w:rPr>
          <w:rFonts w:ascii="Palatino Linotype" w:hAnsi="Palatino Linotype" w:cs="Arial"/>
          <w:bCs/>
        </w:rPr>
      </w:pPr>
    </w:p>
    <w:p w:rsidR="00EE28A5" w:rsidRDefault="00EE28A5"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Por lo anterior, este órgano garante considera fundadas las razones o motivos de inconformidad del hoy recurrente</w:t>
      </w:r>
      <w:r w:rsidR="000B3927">
        <w:rPr>
          <w:rFonts w:ascii="Palatino Linotype" w:hAnsi="Palatino Linotype" w:cs="Arial"/>
          <w:bCs/>
        </w:rPr>
        <w:t>.</w:t>
      </w:r>
    </w:p>
    <w:p w:rsidR="00332BB8" w:rsidRDefault="00B55F7F"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 xml:space="preserve">Ahora bien, respecto al punto numero 1 de la solicitud de información, </w:t>
      </w:r>
      <w:r w:rsidR="00F57929">
        <w:rPr>
          <w:rFonts w:ascii="Palatino Linotype" w:hAnsi="Palatino Linotype" w:cs="Arial"/>
          <w:bCs/>
        </w:rPr>
        <w:t>resulta pertinente establecer la definición de finiquito de conformidad con el diccionario de la Lengua Española</w:t>
      </w:r>
      <w:r w:rsidR="00332BB8">
        <w:rPr>
          <w:rFonts w:ascii="Palatino Linotype" w:hAnsi="Palatino Linotype" w:cs="Arial"/>
          <w:bCs/>
        </w:rPr>
        <w:t>.</w:t>
      </w:r>
    </w:p>
    <w:p w:rsidR="00634C86" w:rsidRPr="00332BB8" w:rsidRDefault="00332BB8" w:rsidP="00332BB8">
      <w:pPr>
        <w:pStyle w:val="Prrafodelista"/>
        <w:numPr>
          <w:ilvl w:val="0"/>
          <w:numId w:val="39"/>
        </w:numPr>
        <w:spacing w:before="240" w:after="240" w:line="360" w:lineRule="auto"/>
        <w:jc w:val="both"/>
        <w:rPr>
          <w:rFonts w:ascii="Palatino Linotype" w:hAnsi="Palatino Linotype" w:cs="Arial"/>
          <w:bCs/>
        </w:rPr>
      </w:pPr>
      <w:r>
        <w:rPr>
          <w:rFonts w:ascii="Palatino Linotype" w:hAnsi="Palatino Linotype" w:cs="Arial"/>
          <w:bCs/>
          <w:i/>
          <w:iCs/>
        </w:rPr>
        <w:t>Terminar, saldar una cuenta.</w:t>
      </w:r>
    </w:p>
    <w:p w:rsidR="00332BB8" w:rsidRPr="00332BB8" w:rsidRDefault="00332BB8" w:rsidP="00332BB8">
      <w:pPr>
        <w:pStyle w:val="Prrafodelista"/>
        <w:numPr>
          <w:ilvl w:val="0"/>
          <w:numId w:val="39"/>
        </w:numPr>
        <w:spacing w:before="240" w:after="240" w:line="360" w:lineRule="auto"/>
        <w:jc w:val="both"/>
        <w:rPr>
          <w:rFonts w:ascii="Palatino Linotype" w:hAnsi="Palatino Linotype" w:cs="Arial"/>
          <w:bCs/>
        </w:rPr>
      </w:pPr>
      <w:r>
        <w:rPr>
          <w:rFonts w:ascii="Palatino Linotype" w:hAnsi="Palatino Linotype" w:cs="Arial"/>
          <w:bCs/>
          <w:i/>
          <w:iCs/>
        </w:rPr>
        <w:t>Acabar, concluir, rematar.</w:t>
      </w:r>
    </w:p>
    <w:p w:rsidR="00332BB8" w:rsidRDefault="00332BB8" w:rsidP="00332BB8">
      <w:pPr>
        <w:spacing w:before="240" w:after="240" w:line="360" w:lineRule="auto"/>
        <w:jc w:val="both"/>
        <w:rPr>
          <w:rFonts w:ascii="Palatino Linotype" w:hAnsi="Palatino Linotype" w:cs="Arial"/>
          <w:bCs/>
          <w:sz w:val="24"/>
          <w:szCs w:val="24"/>
        </w:rPr>
      </w:pPr>
      <w:r>
        <w:rPr>
          <w:rFonts w:ascii="Palatino Linotype" w:hAnsi="Palatino Linotype" w:cs="Arial"/>
          <w:bCs/>
          <w:sz w:val="24"/>
          <w:szCs w:val="24"/>
        </w:rPr>
        <w:t>Amen de lo anterior, se puede determinar que un finiquito en afinidad con lo peticionado en la solicitud del ahora recurrente, se entendería como: el documento en el que se hace constar la cantidad de dinero que ha de recibir un trabajador, resultado de la suma de todas las prestaciones a que tiene derecho por la terminación de la relación laboral.</w:t>
      </w:r>
    </w:p>
    <w:p w:rsidR="00332BB8" w:rsidRDefault="00332BB8" w:rsidP="00332BB8">
      <w:pPr>
        <w:spacing w:before="240" w:after="240" w:line="360" w:lineRule="auto"/>
        <w:rPr>
          <w:rFonts w:ascii="Palatino Linotype" w:hAnsi="Palatino Linotype" w:cs="Arial"/>
          <w:bCs/>
          <w:sz w:val="24"/>
          <w:szCs w:val="24"/>
        </w:rPr>
      </w:pPr>
      <w:r>
        <w:rPr>
          <w:rFonts w:ascii="Palatino Linotype" w:hAnsi="Palatino Linotype" w:cs="Arial"/>
          <w:bCs/>
          <w:sz w:val="24"/>
          <w:szCs w:val="24"/>
        </w:rPr>
        <w:t>Por cuerda separada, es dable precisar que la conclusión de una relación laboral se puede dar de dos maneras, una por la terminación y otra por la recisión.</w:t>
      </w:r>
    </w:p>
    <w:p w:rsidR="00332BB8" w:rsidRDefault="00332BB8" w:rsidP="00332BB8">
      <w:pPr>
        <w:spacing w:before="240" w:after="240" w:line="360" w:lineRule="auto"/>
        <w:rPr>
          <w:rFonts w:ascii="Palatino Linotype" w:hAnsi="Palatino Linotype" w:cs="Arial"/>
          <w:bCs/>
          <w:sz w:val="24"/>
          <w:szCs w:val="24"/>
        </w:rPr>
      </w:pPr>
      <w:r>
        <w:rPr>
          <w:rFonts w:ascii="Palatino Linotype" w:hAnsi="Palatino Linotype" w:cs="Arial"/>
          <w:bCs/>
          <w:sz w:val="24"/>
          <w:szCs w:val="24"/>
        </w:rPr>
        <w:t xml:space="preserve">Así, la terminación se puede dar por diversas causales, como son: renuncia, mutuo consentimiento, vencimiento del término o conclusión de la obra determinantes de la contratación, muerte del servidor público y la incapacidad permanente del servidor público que le impida el desempeño de sus labores; lo anterior de conformidad con </w:t>
      </w:r>
      <w:r>
        <w:rPr>
          <w:rFonts w:ascii="Palatino Linotype" w:hAnsi="Palatino Linotype" w:cs="Arial"/>
          <w:bCs/>
          <w:sz w:val="24"/>
          <w:szCs w:val="24"/>
        </w:rPr>
        <w:lastRenderedPageBreak/>
        <w:t>lo establecido en el numeral 89</w:t>
      </w:r>
      <w:r>
        <w:rPr>
          <w:rStyle w:val="Refdenotaalpie"/>
          <w:rFonts w:ascii="Palatino Linotype" w:hAnsi="Palatino Linotype" w:cs="Arial"/>
          <w:bCs/>
          <w:sz w:val="24"/>
          <w:szCs w:val="24"/>
        </w:rPr>
        <w:footnoteReference w:id="3"/>
      </w:r>
      <w:r>
        <w:rPr>
          <w:rFonts w:ascii="Palatino Linotype" w:hAnsi="Palatino Linotype" w:cs="Arial"/>
          <w:bCs/>
          <w:sz w:val="24"/>
          <w:szCs w:val="24"/>
        </w:rPr>
        <w:t xml:space="preserve"> de la Ley del Trabajo de los Servidores Públicos del Estado y Municipios. </w:t>
      </w:r>
    </w:p>
    <w:p w:rsidR="00332BB8" w:rsidRDefault="00332BB8" w:rsidP="00332BB8">
      <w:pPr>
        <w:spacing w:before="240" w:after="240" w:line="360" w:lineRule="auto"/>
        <w:rPr>
          <w:rFonts w:ascii="Palatino Linotype" w:hAnsi="Palatino Linotype" w:cs="Arial"/>
          <w:bCs/>
          <w:sz w:val="24"/>
          <w:szCs w:val="24"/>
        </w:rPr>
      </w:pPr>
      <w:r>
        <w:rPr>
          <w:rFonts w:ascii="Palatino Linotype" w:hAnsi="Palatino Linotype" w:cs="Arial"/>
          <w:bCs/>
          <w:sz w:val="24"/>
          <w:szCs w:val="24"/>
        </w:rPr>
        <w:t>La recisión, se presenta cuando por causa justificada el patrón decide terminar la relación laboral; tal y como lo señalan los arábigos 92 y 03 de la Ley referida en el párrafo que antecede y que a la letra reza:</w:t>
      </w:r>
    </w:p>
    <w:p w:rsidR="00611E53" w:rsidRDefault="00332BB8" w:rsidP="00611E53">
      <w:pPr>
        <w:spacing w:before="240" w:after="240" w:line="360" w:lineRule="auto"/>
        <w:jc w:val="both"/>
        <w:rPr>
          <w:rFonts w:ascii="Palatino Linotype" w:hAnsi="Palatino Linotype"/>
          <w:i/>
          <w:iCs/>
        </w:rPr>
      </w:pPr>
      <w:r w:rsidRPr="00611E53">
        <w:rPr>
          <w:rFonts w:ascii="Palatino Linotype" w:hAnsi="Palatino Linotype"/>
          <w:i/>
          <w:iCs/>
        </w:rPr>
        <w:t xml:space="preserve">ARTÍCULO 92. El servidor público o la institución pública podrán rescindir en cualquier tiempo, por causa justificada, la relación laboral. </w:t>
      </w:r>
    </w:p>
    <w:p w:rsidR="00611E53" w:rsidRDefault="00332BB8" w:rsidP="00611E53">
      <w:pPr>
        <w:spacing w:before="240" w:after="240" w:line="360" w:lineRule="auto"/>
        <w:jc w:val="both"/>
        <w:rPr>
          <w:rFonts w:ascii="Palatino Linotype" w:hAnsi="Palatino Linotype"/>
          <w:i/>
          <w:iCs/>
        </w:rPr>
      </w:pPr>
      <w:r w:rsidRPr="00611E53">
        <w:rPr>
          <w:rFonts w:ascii="Palatino Linotype" w:hAnsi="Palatino Linotype"/>
          <w:i/>
          <w:iCs/>
        </w:rPr>
        <w:t xml:space="preserve">ARTÍCULO 93. Son causas de rescisión de la relación laboral, sin responsabilidad para las instituciones públicas: </w:t>
      </w:r>
    </w:p>
    <w:p w:rsidR="00611E53" w:rsidRP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Engañar el servidor público con documentación o referencias falsas que le atribuyan capacidad, aptitudes o grados académicos de los que carezca. Esta causa dejará de tener efecto después de treinta días naturales de conocido el hecho;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 Tener asignada más de una plaza en la misma o en diferentes instituciones públicas o dependencias, con las excepciones que esta ley señala, o bien cobrar un sueldo sin desempeñar funciones;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Incurrir durante sus labores en faltas de probidad u honradez, o bien en actos de violencia, amenazas, injurias o malos tratos en contra de sus superiores, compañeros </w:t>
      </w:r>
      <w:r w:rsidRPr="00611E53">
        <w:rPr>
          <w:rFonts w:ascii="Palatino Linotype" w:hAnsi="Palatino Linotype"/>
          <w:i/>
          <w:iCs/>
        </w:rPr>
        <w:lastRenderedPageBreak/>
        <w:t xml:space="preserve">o familiares de unos u otros, ya sea dentro o fuera de las horas de servicio, salvo que obre en defensa propia;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Incurrir en cuatro o más faltas de asistencia a sus labores sin causa justificada, dentro de un lapso de treinta días;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Abandonar las labores sin autorización previa o razón plenamente justificada, en contravención a lo establecido en las condiciones generales de trabajo;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Causar daños intencionalmente a edificios, obras, equipo, maquinaria, instrumentos, materias primas y demás objetos relacionados con el trabajo, o por sustraerlos en beneficio propio;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Cometer actos inmorales durante el trabajo;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Revelar los asuntos confidenciales o reservados así calificados por la institución pública o dependencia donde labore, de los cuales tuviese conocimiento con motivo de su trabajo;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Comprometer por su imprudencia, descuido o negligencia, la seguridad del taller, oficina o dependencia donde preste sus servicios o de las personas que ahí se encuentren;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Desobedecer sin justificación, las órdenes que reciba de sus superiores, en relación al trabajo que desempeñe;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lastRenderedPageBreak/>
        <w:t xml:space="preserve">Concurrir al trabajo en estado de embriaguez, o bien bajo la influencia de algún narcótico o droga enervante, salvo que en éste último caso, exista prescripción médica, la que deberá presentar al superior jerárquico antes de iniciar las labores;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Portar armas de cualquier clase durante las horas de trabajo, salvo que la naturaleza de éste lo exija;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Suspender las labores en el caso previsto en el artículo 176 de esta ley o suspenderlas sin la debida autorización;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Incumplir reiteradamente disposiciones establecidas en las condiciones generales de trabajo de la institución pública o dependencia respectiva que constituyan faltas graves;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Ser condenado a prisión como resultado de una sentencia ejecutoriada, que le impida el cumplimiento de la relación de trabajo.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Portar y hacer uso de credenciales de identificación no autorizadas por la autoridad competente;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Sustraer tarjetas o listas de puntualidad y asistencia del lugar destinado para ello, ya sea la del propio servidor público o la de otro, utilizar o registrar asistencia con gafete</w:t>
      </w:r>
      <w:r w:rsidR="00611E53">
        <w:rPr>
          <w:rFonts w:ascii="Palatino Linotype" w:hAnsi="Palatino Linotype"/>
          <w:i/>
          <w:iCs/>
        </w:rPr>
        <w:t xml:space="preserve"> </w:t>
      </w:r>
      <w:r w:rsidRPr="00611E53">
        <w:rPr>
          <w:rFonts w:ascii="Palatino Linotype" w:hAnsi="Palatino Linotype"/>
          <w:i/>
          <w:iCs/>
        </w:rPr>
        <w:t xml:space="preserve">credencial o tarjeta distinto al suyo o alterar en cualquier forma los registros de control de puntualidad y asistencia; siempre y cuando no sea resultado de un error involuntario;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 xml:space="preserve">Las análogas a las establecidas en las fracciones anteriores, de igual manera graves y de consecuencias semejantes en lo que al trabajo se refiere; e </w:t>
      </w:r>
    </w:p>
    <w:p w:rsid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lastRenderedPageBreak/>
        <w:t>Incurrir en actos de violencia laboral, entendiéndose por éstos los relativos a discriminación, acoso u hostigamiento sexual.</w:t>
      </w:r>
    </w:p>
    <w:p w:rsidR="00611E53" w:rsidRDefault="00332BB8" w:rsidP="00611E53">
      <w:pPr>
        <w:spacing w:before="240" w:after="240" w:line="360" w:lineRule="auto"/>
        <w:ind w:left="360"/>
        <w:jc w:val="both"/>
        <w:rPr>
          <w:rFonts w:ascii="Palatino Linotype" w:hAnsi="Palatino Linotype"/>
          <w:i/>
          <w:iCs/>
        </w:rPr>
      </w:pPr>
      <w:r w:rsidRPr="00611E53">
        <w:rPr>
          <w:rFonts w:ascii="Palatino Linotype" w:hAnsi="Palatino Linotype"/>
          <w:i/>
          <w:iCs/>
        </w:rPr>
        <w:t xml:space="preserve"> Para los efectos de la presente fracción se entiende por: </w:t>
      </w:r>
    </w:p>
    <w:p w:rsidR="00611E53" w:rsidRDefault="00332BB8" w:rsidP="00611E53">
      <w:pPr>
        <w:spacing w:before="240" w:after="240" w:line="360" w:lineRule="auto"/>
        <w:ind w:left="360"/>
        <w:jc w:val="both"/>
        <w:rPr>
          <w:rFonts w:ascii="Palatino Linotype" w:hAnsi="Palatino Linotype"/>
          <w:i/>
          <w:iCs/>
        </w:rPr>
      </w:pPr>
      <w:r w:rsidRPr="00611E53">
        <w:rPr>
          <w:rFonts w:ascii="Palatino Linotype" w:hAnsi="Palatino Linotype"/>
          <w:i/>
          <w:iCs/>
        </w:rPr>
        <w:t xml:space="preserve">A. Acoso sexual, es una forma de violencia en la que, si bien no existe la subordinación, hay un ejercicio abusivo de poder que conlleva a un estado de indefensión y de riesgo para la víctima, independientemente de que se realice en uno o varios eventos; y </w:t>
      </w:r>
    </w:p>
    <w:p w:rsidR="00611E53" w:rsidRPr="00611E53" w:rsidRDefault="00332BB8" w:rsidP="00611E53">
      <w:pPr>
        <w:spacing w:before="240" w:after="240" w:line="360" w:lineRule="auto"/>
        <w:ind w:left="360"/>
        <w:jc w:val="both"/>
        <w:rPr>
          <w:rFonts w:ascii="Palatino Linotype" w:hAnsi="Palatino Linotype"/>
          <w:i/>
          <w:iCs/>
        </w:rPr>
      </w:pPr>
      <w:r w:rsidRPr="00611E53">
        <w:rPr>
          <w:rFonts w:ascii="Palatino Linotype" w:hAnsi="Palatino Linotype"/>
          <w:i/>
          <w:iCs/>
        </w:rPr>
        <w:t xml:space="preserve">B. Hostigamiento sexual, es el ejercicio del poder, en una relación de subordinación real de la víctima frente a la persona agresora en los ámbitos laboral y/o escolar. Se expresa en conductas verbales o no verbales, físicas o ambas, relacionadas con la sexualidad de connotación lasciva. </w:t>
      </w:r>
    </w:p>
    <w:p w:rsidR="00332BB8" w:rsidRPr="00611E53" w:rsidRDefault="00332BB8" w:rsidP="00611E53">
      <w:pPr>
        <w:pStyle w:val="Prrafodelista"/>
        <w:numPr>
          <w:ilvl w:val="0"/>
          <w:numId w:val="40"/>
        </w:numPr>
        <w:spacing w:before="240" w:after="240" w:line="360" w:lineRule="auto"/>
        <w:jc w:val="both"/>
        <w:rPr>
          <w:rFonts w:ascii="Palatino Linotype" w:hAnsi="Palatino Linotype"/>
          <w:i/>
          <w:iCs/>
        </w:rPr>
      </w:pPr>
      <w:r w:rsidRPr="00611E53">
        <w:rPr>
          <w:rFonts w:ascii="Palatino Linotype" w:hAnsi="Palatino Linotype"/>
          <w:i/>
          <w:iCs/>
        </w:rPr>
        <w:t>La falta de requisitos que exijan las leyes y reglamentos, necesarios para la prestación del servicio cuando sea imputable al trabajador, desde la fecha en que el patrón tenga conocimiento del hecho, hasta por un periodo de dos meses.</w:t>
      </w:r>
    </w:p>
    <w:p w:rsidR="00B55F7F" w:rsidRDefault="00724D3F"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Así</w:t>
      </w:r>
      <w:r w:rsidR="00611E53">
        <w:rPr>
          <w:rFonts w:ascii="Palatino Linotype" w:hAnsi="Palatino Linotype" w:cs="Arial"/>
          <w:bCs/>
        </w:rPr>
        <w:t xml:space="preserve">, del ordenamiento citado, establece que en cualquier tiempo se podrá terminar </w:t>
      </w:r>
      <w:r>
        <w:rPr>
          <w:rFonts w:ascii="Palatino Linotype" w:hAnsi="Palatino Linotype" w:cs="Arial"/>
          <w:bCs/>
        </w:rPr>
        <w:t>por causa justificada la relación laboral, a lo cual, la institución publica deberá de dar aviso por escrito al servidor publico de manera personal de la fecha y causa de la conclusión laboral.</w:t>
      </w:r>
    </w:p>
    <w:p w:rsidR="00724D3F" w:rsidRDefault="00724D3F"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Así las cosas, ante las causas de la terminación de la relación laboral, el servidor público y con base en la definición de finiquito, se tiene que el servidor publico que actualice algunas de las razones expuestas en los artículos 89 y 93 de la Ley del Trabajo de los Servidores Públicos del Estado y Municipios, tendrá derecho a un finiquito, a través del cual se cuantifique la cantidad de dinero que resulte de la suma de todas las prestaciones a que tiene derecho el trabajador por la culminación de la relación laboral.</w:t>
      </w:r>
    </w:p>
    <w:p w:rsidR="00724D3F" w:rsidRDefault="00724D3F"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lastRenderedPageBreak/>
        <w:t>Derivado de lo anterior y atento a que no existió pronunciamiento por parte del sujeto obligado, deberá de hacer entrega del finiquito otorgado al ex tesorero municipal de la administración 2016-2018.</w:t>
      </w:r>
    </w:p>
    <w:p w:rsidR="00B55F7F" w:rsidRPr="00A00D5E" w:rsidRDefault="00B55F7F" w:rsidP="00B55F7F">
      <w:pPr>
        <w:spacing w:before="240" w:line="360" w:lineRule="auto"/>
        <w:jc w:val="both"/>
        <w:rPr>
          <w:rFonts w:ascii="Palatino Linotype" w:eastAsia="Times New Roman" w:hAnsi="Palatino Linotype" w:cs="Arial"/>
          <w:sz w:val="24"/>
          <w:szCs w:val="24"/>
          <w:lang w:eastAsia="es-ES"/>
        </w:rPr>
      </w:pPr>
      <w:r>
        <w:rPr>
          <w:rFonts w:ascii="Palatino Linotype" w:hAnsi="Palatino Linotype" w:cs="Arial"/>
          <w:bCs/>
        </w:rPr>
        <w:t xml:space="preserve">Por lo que corresponde al punto 2 de la solicitud, </w:t>
      </w:r>
      <w:r w:rsidRPr="00A00D5E">
        <w:rPr>
          <w:rFonts w:ascii="Palatino Linotype" w:eastAsia="Times New Roman" w:hAnsi="Palatino Linotype" w:cs="Arial"/>
          <w:sz w:val="24"/>
          <w:szCs w:val="24"/>
          <w:lang w:eastAsia="es-ES"/>
        </w:rPr>
        <w:t xml:space="preserve">es necesario dejar establecido que es la Tesorería Municipal la instancia competente para dar trámite a las solicitudes de información materia de este recurso; pues esa unidad administrativa es la responsable de generar, recopilar, administrar, manejar, procesar, archivar y conservar la información pública de acuerdo con sus atribuciones legales, esto con fundamento en los artículos 93, 94 y 95 de la Ley Orgánica Municipal del Estado de México, que a la letra establecen lo siguiente: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93.- </w:t>
      </w:r>
      <w:r w:rsidRPr="00A00D5E">
        <w:rPr>
          <w:rFonts w:ascii="Palatino Linotype" w:eastAsia="Times New Roman" w:hAnsi="Palatino Linotype" w:cs="Arial"/>
          <w:b/>
          <w:i/>
          <w:u w:val="single"/>
          <w:lang w:eastAsia="es-ES"/>
        </w:rPr>
        <w:t xml:space="preserve">La tesorería municipal es </w:t>
      </w:r>
      <w:r w:rsidRPr="00A00D5E">
        <w:rPr>
          <w:rFonts w:ascii="Palatino Linotype" w:eastAsia="Times New Roman" w:hAnsi="Palatino Linotype" w:cs="Arial"/>
          <w:i/>
          <w:lang w:eastAsia="es-ES"/>
        </w:rPr>
        <w:t xml:space="preserve">el órgano encargado de la recaudación de los ingresos municipales y </w:t>
      </w:r>
      <w:r w:rsidRPr="00A00D5E">
        <w:rPr>
          <w:rFonts w:ascii="Palatino Linotype" w:eastAsia="Times New Roman" w:hAnsi="Palatino Linotype" w:cs="Arial"/>
          <w:b/>
          <w:i/>
          <w:u w:val="single"/>
          <w:lang w:eastAsia="es-ES"/>
        </w:rPr>
        <w:t>responsable de realizar las erogaciones que haga el ayuntamiento</w:t>
      </w:r>
      <w:r w:rsidRPr="00A00D5E">
        <w:rPr>
          <w:rFonts w:ascii="Palatino Linotype" w:eastAsia="Times New Roman" w:hAnsi="Palatino Linotype" w:cs="Arial"/>
          <w:i/>
          <w:lang w:eastAsia="es-ES"/>
        </w:rPr>
        <w:t xml:space="preserve">.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94.- </w:t>
      </w:r>
      <w:r w:rsidRPr="00A00D5E">
        <w:rPr>
          <w:rFonts w:ascii="Palatino Linotype" w:eastAsia="Times New Roman" w:hAnsi="Palatino Linotype" w:cs="Arial"/>
          <w:b/>
          <w:i/>
          <w:u w:val="single"/>
          <w:lang w:eastAsia="es-ES"/>
        </w:rPr>
        <w:t>El tesorero municipal, al tomar posesión de su cargo, recibirá la hacienda pública de acuerdo con las previsiones a que se refiere el artículo 19 de esta Ley</w:t>
      </w:r>
      <w:r w:rsidRPr="00A00D5E">
        <w:rPr>
          <w:rFonts w:ascii="Palatino Linotype" w:eastAsia="Times New Roman" w:hAnsi="Palatino Linotype" w:cs="Arial"/>
          <w:i/>
          <w:lang w:eastAsia="es-ES"/>
        </w:rPr>
        <w:t xml:space="preserve"> y remitirá un ejemplar de dicha documentación al ayuntamiento, al Órgano Superior de Fiscalización del Estado de México y al archivo de la tesorería.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b/>
          <w:bCs/>
          <w:i/>
          <w:lang w:eastAsia="es-ES"/>
        </w:rPr>
        <w:t xml:space="preserve">Artículo 95.- </w:t>
      </w:r>
      <w:r w:rsidRPr="00A00D5E">
        <w:rPr>
          <w:rFonts w:ascii="Palatino Linotype" w:eastAsia="Times New Roman" w:hAnsi="Palatino Linotype" w:cs="Arial"/>
          <w:b/>
          <w:i/>
          <w:u w:val="single"/>
          <w:lang w:eastAsia="es-ES"/>
        </w:rPr>
        <w:t>Son atribuciones del tesorero municipal</w:t>
      </w:r>
      <w:r w:rsidRPr="00A00D5E">
        <w:rPr>
          <w:rFonts w:ascii="Palatino Linotype" w:eastAsia="Times New Roman" w:hAnsi="Palatino Linotype" w:cs="Arial"/>
          <w:i/>
          <w:lang w:eastAsia="es-ES"/>
        </w:rPr>
        <w:t>:</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 </w:t>
      </w:r>
      <w:r w:rsidRPr="00A00D5E">
        <w:rPr>
          <w:rFonts w:ascii="Palatino Linotype" w:eastAsia="Times New Roman" w:hAnsi="Palatino Linotype" w:cs="Arial"/>
          <w:b/>
          <w:i/>
          <w:u w:val="single"/>
          <w:lang w:eastAsia="es-ES"/>
        </w:rPr>
        <w:t>Administrar la hacienda pública municipal, de conformidad con las disposiciones legales aplicables</w:t>
      </w:r>
      <w:r w:rsidRPr="00A00D5E">
        <w:rPr>
          <w:rFonts w:ascii="Palatino Linotype" w:eastAsia="Times New Roman" w:hAnsi="Palatino Linotype" w:cs="Arial"/>
          <w:i/>
          <w:lang w:eastAsia="es-ES"/>
        </w:rPr>
        <w:t xml:space="preserve">;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 Determinar, liquidar, recaudar, fiscalizar y administrar las contribuciones en los términos de los ordenamientos jurídicos aplicables y, en su caso, aplicar el </w:t>
      </w:r>
      <w:r w:rsidRPr="00A00D5E">
        <w:rPr>
          <w:rFonts w:ascii="Palatino Linotype" w:eastAsia="Times New Roman" w:hAnsi="Palatino Linotype" w:cs="Arial"/>
          <w:i/>
          <w:lang w:eastAsia="es-ES"/>
        </w:rPr>
        <w:lastRenderedPageBreak/>
        <w:t xml:space="preserve">procedimiento administrativo de ejecución en términos de las disposiciones aplicables;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III. Imponer las sanciones administrativas que procedan por infracciones a las disposiciones fiscales;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IV. </w:t>
      </w:r>
      <w:r w:rsidRPr="00A00D5E">
        <w:rPr>
          <w:rFonts w:ascii="Palatino Linotype" w:eastAsia="Times New Roman" w:hAnsi="Palatino Linotype" w:cs="Arial"/>
          <w:b/>
          <w:i/>
          <w:u w:val="single"/>
          <w:lang w:eastAsia="es-ES"/>
        </w:rPr>
        <w:t>Llevar los registros contables, financieros y administrativos de los</w:t>
      </w:r>
      <w:r w:rsidRPr="00A00D5E">
        <w:rPr>
          <w:rFonts w:ascii="Palatino Linotype" w:eastAsia="Times New Roman" w:hAnsi="Palatino Linotype" w:cs="Arial"/>
          <w:i/>
          <w:lang w:eastAsia="es-ES"/>
        </w:rPr>
        <w:t xml:space="preserve"> ingresos, </w:t>
      </w:r>
      <w:r w:rsidRPr="00A00D5E">
        <w:rPr>
          <w:rFonts w:ascii="Palatino Linotype" w:eastAsia="Times New Roman" w:hAnsi="Palatino Linotype" w:cs="Arial"/>
          <w:b/>
          <w:i/>
          <w:u w:val="single"/>
          <w:lang w:eastAsia="es-ES"/>
        </w:rPr>
        <w:t>egresos</w:t>
      </w:r>
      <w:r w:rsidRPr="00A00D5E">
        <w:rPr>
          <w:rFonts w:ascii="Palatino Linotype" w:eastAsia="Times New Roman" w:hAnsi="Palatino Linotype" w:cs="Arial"/>
          <w:i/>
          <w:lang w:eastAsia="es-ES"/>
        </w:rPr>
        <w:t xml:space="preserve">, e inventarios;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 Presentar anualmente al ayuntamiento un informe de la situación contable financiera de la Tesorería Municipal;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 Diseñar y aprobar las formas oficiales de manifestaciones, avisos y declaraciones y demás documentos requeridos;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VIII. Participar en la formulación de Convenios Fiscales y ejercer las atribuciones que le correspondan en el ámbito de su competencia;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IX. Proponer al ayuntamiento la cancelación de cuentas incobrables;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 Custodiar y ejercer las garantías que se otorguen en favor de la hacienda municipal;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 Proponer la política de ingresos de la tesorería municipal;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XII. Intervenir en la elaboración del programa financiero municipal;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XIII. Elaborar y mantener actualizado el Padrón de Contribuyentes;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XIV. Ministrar a su inmediato antecesor todos los datos oficiales que le solicitare, para contestar los pliegos de observaciones y alcances que formule y deduzca el Órgano Superior de Fiscalización del Estado de México;</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 Solicitar a las instancias competentes, la práctica de revisiones circunstanciadas, de conformidad con las normas que rigen en materia de control y evaluación gubernamental en el ámbito municipal;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 Glosar oportunamente las cuentas del ayuntamiento;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XVIII. Expedir copias certificadas de los documentos a su cuidado, por acuerdo expreso del Ayuntamiento y cuando se trate de documentación presentada ante el Órgano Superior de Fiscalización del Estado de México;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lastRenderedPageBreak/>
        <w:t xml:space="preserve">XX. Dar cumplimiento a las leyes, convenios de coordinación fiscal y demás que en materia hacendaria celebre el Ayuntamiento con el Estado; </w:t>
      </w:r>
    </w:p>
    <w:p w:rsidR="00B55F7F" w:rsidRPr="00A00D5E" w:rsidRDefault="00B55F7F" w:rsidP="00B55F7F">
      <w:pPr>
        <w:spacing w:before="240" w:line="360" w:lineRule="auto"/>
        <w:ind w:left="851" w:right="851"/>
        <w:jc w:val="both"/>
        <w:rPr>
          <w:rFonts w:ascii="Palatino Linotype" w:eastAsia="Times New Roman" w:hAnsi="Palatino Linotype" w:cs="Arial"/>
          <w:i/>
          <w:lang w:eastAsia="es-ES"/>
        </w:rPr>
      </w:pPr>
      <w:r w:rsidRPr="00A00D5E">
        <w:rPr>
          <w:rFonts w:ascii="Palatino Linotype" w:eastAsia="Times New Roman" w:hAnsi="Palatino Linotype" w:cs="Arial"/>
          <w:i/>
          <w:lang w:eastAsia="es-ES"/>
        </w:rPr>
        <w:t xml:space="preserve">XXI. Entregar oportunamente a él o los Síndicos, según sea el caso, el informe mensual que corresponda, a fin de que se revise, y de ser necesario, para que se formulen las observaciones respectivas. </w:t>
      </w:r>
    </w:p>
    <w:p w:rsidR="00B55F7F" w:rsidRPr="00A00D5E" w:rsidRDefault="00B55F7F" w:rsidP="00B55F7F">
      <w:pPr>
        <w:spacing w:before="240" w:line="360" w:lineRule="auto"/>
        <w:ind w:left="851" w:right="851"/>
        <w:jc w:val="both"/>
        <w:rPr>
          <w:rFonts w:ascii="Palatino Linotype" w:eastAsia="Times New Roman" w:hAnsi="Palatino Linotype" w:cs="Arial"/>
          <w:b/>
          <w:i/>
          <w:sz w:val="24"/>
          <w:szCs w:val="24"/>
          <w:u w:val="single"/>
          <w:lang w:eastAsia="es-ES"/>
        </w:rPr>
      </w:pPr>
      <w:r w:rsidRPr="00A00D5E">
        <w:rPr>
          <w:rFonts w:ascii="Palatino Linotype" w:eastAsia="Times New Roman" w:hAnsi="Palatino Linotype" w:cs="Arial"/>
          <w:i/>
          <w:lang w:eastAsia="es-ES"/>
        </w:rPr>
        <w:t xml:space="preserve">XXII. </w:t>
      </w:r>
      <w:r w:rsidRPr="00A00D5E">
        <w:rPr>
          <w:rFonts w:ascii="Palatino Linotype" w:eastAsia="Times New Roman" w:hAnsi="Palatino Linotype" w:cs="Arial"/>
          <w:b/>
          <w:i/>
          <w:u w:val="single"/>
          <w:lang w:eastAsia="es-ES"/>
        </w:rPr>
        <w:t>Las que les señalen las demás disposiciones legales y el ayuntamiento.</w:t>
      </w:r>
    </w:p>
    <w:p w:rsidR="00B55F7F" w:rsidRPr="00A00D5E" w:rsidRDefault="00B55F7F" w:rsidP="00B55F7F">
      <w:pPr>
        <w:spacing w:before="240" w:line="360" w:lineRule="auto"/>
        <w:jc w:val="both"/>
        <w:rPr>
          <w:rFonts w:ascii="Palatino Linotype" w:eastAsia="Times New Roman" w:hAnsi="Palatino Linotype" w:cs="Arial"/>
          <w:sz w:val="24"/>
          <w:szCs w:val="24"/>
          <w:lang w:eastAsia="es-ES"/>
        </w:rPr>
      </w:pPr>
      <w:r w:rsidRPr="00A00D5E">
        <w:rPr>
          <w:rFonts w:ascii="Palatino Linotype" w:eastAsia="Times New Roman" w:hAnsi="Palatino Linotype" w:cs="Arial"/>
          <w:sz w:val="24"/>
          <w:szCs w:val="24"/>
          <w:lang w:eastAsia="es-ES"/>
        </w:rPr>
        <w:t>Es así que, al no encontrarse una disposición específica en el artículo 95 de la Ley en cita que faculte al Tesorero Municipal a elaborar los recibos de nómina, se debe remitir a otros ordenamientos.</w:t>
      </w:r>
    </w:p>
    <w:p w:rsidR="00B55F7F" w:rsidRDefault="00B55F7F" w:rsidP="00B55F7F">
      <w:pPr>
        <w:spacing w:before="240" w:line="360" w:lineRule="auto"/>
        <w:jc w:val="both"/>
        <w:rPr>
          <w:rFonts w:ascii="Palatino Linotype" w:hAnsi="Palatino Linotype" w:cs="Arial"/>
          <w:sz w:val="24"/>
          <w:szCs w:val="24"/>
          <w:lang w:eastAsia="es-MX"/>
        </w:rPr>
      </w:pPr>
      <w:r>
        <w:rPr>
          <w:rFonts w:ascii="Palatino Linotype" w:hAnsi="Palatino Linotype" w:cs="Arial"/>
          <w:sz w:val="24"/>
          <w:szCs w:val="24"/>
        </w:rPr>
        <w:t>Como ya se apuntó, si bien es cierto nuestra legislación no establece la definición de “nómina”,</w:t>
      </w:r>
      <w:r>
        <w:rPr>
          <w:rFonts w:ascii="Palatino Linotype" w:hAnsi="Palatino Linotype" w:cs="Arial"/>
          <w:b/>
          <w:sz w:val="24"/>
          <w:szCs w:val="24"/>
        </w:rPr>
        <w:t xml:space="preserve"> </w:t>
      </w:r>
      <w:r>
        <w:rPr>
          <w:rFonts w:ascii="Palatino Linotype" w:hAnsi="Palatino Linotype" w:cs="Arial"/>
          <w:sz w:val="24"/>
          <w:szCs w:val="24"/>
          <w:lang w:eastAsia="es-MX"/>
        </w:rPr>
        <w:t xml:space="preserve">este término es </w:t>
      </w:r>
      <w:r>
        <w:rPr>
          <w:rFonts w:ascii="Palatino Linotype" w:hAnsi="Palatino Linotype" w:cs="Arial"/>
          <w:sz w:val="24"/>
          <w:szCs w:val="24"/>
        </w:rPr>
        <w:t>mencionado</w:t>
      </w:r>
      <w:r>
        <w:rPr>
          <w:rFonts w:ascii="Palatino Linotype" w:hAnsi="Palatino Linotype" w:cs="Arial"/>
          <w:sz w:val="24"/>
          <w:szCs w:val="24"/>
          <w:lang w:eastAsia="es-MX"/>
        </w:rPr>
        <w:t xml:space="preserve"> en diferentes ordenamientos legales; resultando de nuestro interés el artículo 804 fracción II de la Ley Federal de Trabajo, el cual </w:t>
      </w:r>
      <w:r w:rsidRPr="00A00D5E">
        <w:rPr>
          <w:rFonts w:ascii="Palatino Linotype" w:hAnsi="Palatino Linotype" w:cs="Arial"/>
          <w:sz w:val="24"/>
          <w:szCs w:val="24"/>
          <w:lang w:eastAsia="es-MX"/>
        </w:rPr>
        <w:t>señala lo siguiente</w:t>
      </w:r>
      <w:r>
        <w:rPr>
          <w:rFonts w:ascii="Palatino Linotype" w:hAnsi="Palatino Linotype" w:cs="Arial"/>
          <w:sz w:val="24"/>
          <w:szCs w:val="24"/>
          <w:lang w:eastAsia="es-MX"/>
        </w:rPr>
        <w:t>:</w:t>
      </w:r>
    </w:p>
    <w:p w:rsidR="00B55F7F" w:rsidRDefault="00B55F7F" w:rsidP="00B55F7F">
      <w:pPr>
        <w:spacing w:before="240" w:line="360" w:lineRule="auto"/>
        <w:ind w:left="851" w:right="851"/>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i/>
          <w:szCs w:val="20"/>
          <w:lang w:eastAsia="es-MX"/>
        </w:rPr>
        <w:t>Artículo 804.-</w:t>
      </w:r>
      <w:r>
        <w:rPr>
          <w:rFonts w:ascii="Palatino Linotype" w:hAnsi="Palatino Linotype" w:cs="Arial"/>
          <w:i/>
          <w:szCs w:val="20"/>
          <w:lang w:eastAsia="es-MX"/>
        </w:rPr>
        <w:t xml:space="preserve"> </w:t>
      </w:r>
      <w:r>
        <w:rPr>
          <w:rFonts w:ascii="Palatino Linotype" w:hAnsi="Palatino Linotype" w:cs="Arial"/>
          <w:b/>
          <w:i/>
          <w:szCs w:val="20"/>
          <w:u w:val="single"/>
          <w:lang w:eastAsia="es-MX"/>
        </w:rPr>
        <w:t>El patrón tiene obligación de conservar y exhibir en juicio los documentos que a continuación se precisan</w:t>
      </w:r>
      <w:r>
        <w:rPr>
          <w:rFonts w:ascii="Palatino Linotype" w:hAnsi="Palatino Linotype" w:cs="Arial"/>
          <w:i/>
          <w:szCs w:val="20"/>
          <w:lang w:eastAsia="es-MX"/>
        </w:rPr>
        <w:t xml:space="preserve">: </w:t>
      </w:r>
    </w:p>
    <w:p w:rsidR="00B55F7F" w:rsidRDefault="00B55F7F" w:rsidP="00B55F7F">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55F7F" w:rsidRDefault="00B55F7F" w:rsidP="00B55F7F">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 xml:space="preserve">II. </w:t>
      </w:r>
      <w:r>
        <w:rPr>
          <w:rFonts w:ascii="Palatino Linotype" w:hAnsi="Palatino Linotype" w:cs="Arial"/>
          <w:b/>
          <w:i/>
          <w:szCs w:val="20"/>
          <w:u w:val="single"/>
          <w:lang w:eastAsia="es-MX"/>
        </w:rPr>
        <w:t>Listas de raya o nómina de personal</w:t>
      </w:r>
      <w:r>
        <w:rPr>
          <w:rFonts w:ascii="Palatino Linotype" w:hAnsi="Palatino Linotype" w:cs="Arial"/>
          <w:i/>
          <w:szCs w:val="20"/>
          <w:lang w:eastAsia="es-MX"/>
        </w:rPr>
        <w:t xml:space="preserve">, cuando se lleven en el centro de trabajo; o recibos de pagos de salarios; </w:t>
      </w:r>
    </w:p>
    <w:p w:rsidR="00B55F7F" w:rsidRDefault="00B55F7F" w:rsidP="00B55F7F">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p>
    <w:p w:rsidR="00B55F7F" w:rsidRDefault="00B55F7F" w:rsidP="00B55F7F">
      <w:pPr>
        <w:spacing w:before="240" w:line="360" w:lineRule="auto"/>
        <w:ind w:left="851" w:right="851"/>
        <w:jc w:val="both"/>
        <w:rPr>
          <w:rFonts w:ascii="Palatino Linotype" w:hAnsi="Palatino Linotype" w:cs="Arial"/>
          <w:b/>
          <w:i/>
          <w:szCs w:val="20"/>
          <w:lang w:eastAsia="es-MX"/>
        </w:rPr>
      </w:pPr>
      <w:r>
        <w:rPr>
          <w:rFonts w:ascii="Palatino Linotype" w:hAnsi="Palatino Linotype" w:cs="Arial"/>
          <w:b/>
          <w:i/>
          <w:szCs w:val="20"/>
          <w:u w:val="single"/>
          <w:lang w:eastAsia="es-MX"/>
        </w:rPr>
        <w:t>Los documentos</w:t>
      </w:r>
      <w:r>
        <w:rPr>
          <w:rFonts w:ascii="Palatino Linotype" w:hAnsi="Palatino Linotype" w:cs="Arial"/>
          <w:i/>
          <w:szCs w:val="20"/>
          <w:lang w:eastAsia="es-MX"/>
        </w:rPr>
        <w:t xml:space="preserve"> señalados en la fracción I </w:t>
      </w:r>
      <w:r>
        <w:rPr>
          <w:rFonts w:ascii="Palatino Linotype" w:hAnsi="Palatino Linotype" w:cs="Arial"/>
          <w:b/>
          <w:i/>
          <w:szCs w:val="20"/>
          <w:u w:val="single"/>
          <w:lang w:eastAsia="es-MX"/>
        </w:rPr>
        <w:t>deberán conservarse</w:t>
      </w:r>
      <w:r>
        <w:rPr>
          <w:rFonts w:ascii="Palatino Linotype" w:hAnsi="Palatino Linotype" w:cs="Arial"/>
          <w:i/>
          <w:szCs w:val="20"/>
          <w:lang w:eastAsia="es-MX"/>
        </w:rPr>
        <w:t xml:space="preserve"> mientras dure la relación laboral y hasta un año después; los </w:t>
      </w:r>
      <w:r>
        <w:rPr>
          <w:rFonts w:ascii="Palatino Linotype" w:hAnsi="Palatino Linotype" w:cs="Arial"/>
          <w:b/>
          <w:i/>
          <w:szCs w:val="20"/>
          <w:u w:val="single"/>
          <w:lang w:eastAsia="es-MX"/>
        </w:rPr>
        <w:t>señalados en las fracciones II</w:t>
      </w:r>
      <w:r>
        <w:rPr>
          <w:rFonts w:ascii="Palatino Linotype" w:hAnsi="Palatino Linotype" w:cs="Arial"/>
          <w:i/>
          <w:szCs w:val="20"/>
          <w:lang w:eastAsia="es-MX"/>
        </w:rPr>
        <w:t xml:space="preserve">, III y </w:t>
      </w:r>
      <w:r>
        <w:rPr>
          <w:rFonts w:ascii="Palatino Linotype" w:hAnsi="Palatino Linotype" w:cs="Arial"/>
          <w:i/>
          <w:szCs w:val="20"/>
          <w:lang w:eastAsia="es-MX"/>
        </w:rPr>
        <w:lastRenderedPageBreak/>
        <w:t xml:space="preserve">IV, </w:t>
      </w:r>
      <w:r>
        <w:rPr>
          <w:rFonts w:ascii="Palatino Linotype" w:hAnsi="Palatino Linotype" w:cs="Arial"/>
          <w:b/>
          <w:i/>
          <w:szCs w:val="20"/>
          <w:u w:val="single"/>
          <w:lang w:eastAsia="es-MX"/>
        </w:rPr>
        <w:t>durante el último año y un año después de que se extinga la relación laboral</w:t>
      </w:r>
      <w:r>
        <w:rPr>
          <w:rFonts w:ascii="Palatino Linotype" w:hAnsi="Palatino Linotype" w:cs="Arial"/>
          <w:i/>
          <w:szCs w:val="20"/>
          <w:lang w:eastAsia="es-MX"/>
        </w:rPr>
        <w:t xml:space="preserve">; y los mencionados en la fracción V, conforme lo señalen las Leyes que los rijan.” </w:t>
      </w:r>
      <w:r>
        <w:rPr>
          <w:rFonts w:ascii="Palatino Linotype" w:hAnsi="Palatino Linotype" w:cs="Arial"/>
          <w:b/>
          <w:i/>
          <w:szCs w:val="20"/>
          <w:lang w:eastAsia="es-MX"/>
        </w:rPr>
        <w:t>[Sic]</w:t>
      </w:r>
    </w:p>
    <w:p w:rsidR="00B55F7F" w:rsidRPr="00347D2A" w:rsidRDefault="00B55F7F" w:rsidP="00B55F7F">
      <w:pPr>
        <w:spacing w:before="240" w:after="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B55F7F" w:rsidRPr="00347D2A" w:rsidRDefault="00B55F7F" w:rsidP="00B55F7F">
      <w:pPr>
        <w:spacing w:before="240" w:line="360" w:lineRule="auto"/>
        <w:jc w:val="both"/>
        <w:rPr>
          <w:rFonts w:ascii="Palatino Linotype" w:eastAsia="Times New Roman" w:hAnsi="Palatino Linotype" w:cs="Times New Roman"/>
          <w:sz w:val="24"/>
          <w:szCs w:val="24"/>
          <w:lang w:eastAsia="es-ES"/>
        </w:rPr>
      </w:pPr>
      <w:r w:rsidRPr="00347D2A">
        <w:rPr>
          <w:rFonts w:ascii="Palatino Linotype" w:eastAsia="Times New Roman" w:hAnsi="Palatino Linotype" w:cs="Times New Roman"/>
          <w:sz w:val="24"/>
          <w:szCs w:val="24"/>
          <w:lang w:eastAsia="es-ES"/>
        </w:rPr>
        <w:t xml:space="preserve">De igual forma, la Constitución </w:t>
      </w:r>
      <w:r w:rsidRPr="00347D2A">
        <w:rPr>
          <w:rFonts w:ascii="Palatino Linotype" w:eastAsia="Times New Roman" w:hAnsi="Palatino Linotype" w:cs="Arial"/>
          <w:sz w:val="24"/>
          <w:szCs w:val="24"/>
          <w:lang w:eastAsia="es-ES"/>
        </w:rPr>
        <w:t>Política</w:t>
      </w:r>
      <w:r w:rsidRPr="00347D2A">
        <w:rPr>
          <w:rFonts w:ascii="Palatino Linotype" w:eastAsia="Times New Roman" w:hAnsi="Palatino Linotype" w:cs="Times New Roman"/>
          <w:sz w:val="24"/>
          <w:szCs w:val="24"/>
          <w:lang w:eastAsia="es-ES"/>
        </w:rPr>
        <w:t xml:space="preserve"> del Estado Libre y Soberano de México dispone en lo relativo a las remuneraciones de los servidores públicos, lo siguiente:</w:t>
      </w:r>
    </w:p>
    <w:p w:rsidR="00B55F7F" w:rsidRPr="00347D2A" w:rsidRDefault="00B55F7F" w:rsidP="00B55F7F">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Arial"/>
          <w:b/>
          <w:bCs/>
          <w:i/>
          <w:lang w:eastAsia="es-ES"/>
        </w:rPr>
        <w:t xml:space="preserve">Artículo 147.- </w:t>
      </w:r>
      <w:r w:rsidRPr="00347D2A">
        <w:rPr>
          <w:rFonts w:ascii="Palatino Linotype" w:eastAsia="Times New Roman" w:hAnsi="Palatino Linotype" w:cs="Arial"/>
          <w:bCs/>
          <w:i/>
          <w:lang w:eastAsia="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347D2A">
        <w:rPr>
          <w:rFonts w:ascii="Palatino Linotype" w:eastAsia="Times New Roman" w:hAnsi="Palatino Linotype" w:cs="Arial"/>
          <w:b/>
          <w:bCs/>
          <w:i/>
          <w:lang w:eastAsia="es-ES"/>
        </w:rPr>
        <w:t>los miembros de los ayuntamientos</w:t>
      </w:r>
      <w:r w:rsidRPr="00347D2A">
        <w:rPr>
          <w:rFonts w:ascii="Palatino Linotype" w:eastAsia="Times New Roman" w:hAnsi="Palatino Linotype" w:cs="Arial"/>
          <w:bCs/>
          <w:i/>
          <w:lang w:eastAsia="es-ES"/>
        </w:rPr>
        <w:t xml:space="preserve"> y demás servidores públicos municipales </w:t>
      </w:r>
      <w:r w:rsidRPr="00347D2A">
        <w:rPr>
          <w:rFonts w:ascii="Palatino Linotype" w:eastAsia="Times New Roman" w:hAnsi="Palatino Linotype" w:cs="Arial"/>
          <w:b/>
          <w:bCs/>
          <w:i/>
          <w:lang w:eastAsia="es-ES"/>
        </w:rPr>
        <w:t>recibirán una retribución adecuada</w:t>
      </w:r>
      <w:r w:rsidRPr="00347D2A">
        <w:rPr>
          <w:rFonts w:ascii="Palatino Linotype" w:eastAsia="Times New Roman" w:hAnsi="Palatino Linotype" w:cs="Arial"/>
          <w:bCs/>
          <w:i/>
          <w:lang w:eastAsia="es-ES"/>
        </w:rPr>
        <w:t xml:space="preserve"> e </w:t>
      </w:r>
      <w:r w:rsidRPr="00347D2A">
        <w:rPr>
          <w:rFonts w:ascii="Palatino Linotype" w:eastAsia="Times New Roman" w:hAnsi="Palatino Linotype" w:cs="Arial"/>
          <w:b/>
          <w:bCs/>
          <w:i/>
          <w:lang w:eastAsia="es-ES"/>
        </w:rPr>
        <w:t>irrenunciable por el desempeño de su empleo, cargo o comisión</w:t>
      </w:r>
      <w:r w:rsidRPr="00347D2A">
        <w:rPr>
          <w:rFonts w:ascii="Palatino Linotype" w:eastAsia="Times New Roman" w:hAnsi="Palatino Linotype" w:cs="Arial"/>
          <w:bCs/>
          <w:i/>
          <w:lang w:eastAsia="es-ES"/>
        </w:rPr>
        <w:t xml:space="preserve">, que </w:t>
      </w:r>
      <w:r w:rsidRPr="00347D2A">
        <w:rPr>
          <w:rFonts w:ascii="Palatino Linotype" w:eastAsia="Times New Roman" w:hAnsi="Palatino Linotype" w:cs="Arial"/>
          <w:b/>
          <w:bCs/>
          <w:i/>
          <w:lang w:eastAsia="es-ES"/>
        </w:rPr>
        <w:t>será determinada en el presupuesto de egresos que corresponda.</w:t>
      </w:r>
    </w:p>
    <w:p w:rsidR="00B55F7F" w:rsidRPr="009235AB" w:rsidRDefault="00B55F7F" w:rsidP="00B55F7F">
      <w:pPr>
        <w:pStyle w:val="Prrafodelista"/>
        <w:spacing w:line="360" w:lineRule="auto"/>
        <w:ind w:left="0"/>
        <w:jc w:val="both"/>
        <w:rPr>
          <w:rFonts w:ascii="Palatino Linotype" w:hAnsi="Palatino Linotype" w:cs="Arial"/>
        </w:rPr>
      </w:pPr>
      <w:r>
        <w:rPr>
          <w:rFonts w:ascii="Palatino Linotype" w:hAnsi="Palatino Linotype" w:cs="Arial"/>
          <w:bCs/>
        </w:rPr>
        <w:t>En ese contexto</w:t>
      </w:r>
      <w:r w:rsidRPr="009235AB">
        <w:rPr>
          <w:rFonts w:ascii="Palatino Linotype" w:hAnsi="Palatino Linotype" w:cs="Arial"/>
          <w:bCs/>
        </w:rPr>
        <w:t xml:space="preserve">, el </w:t>
      </w:r>
      <w:r w:rsidRPr="009235AB">
        <w:rPr>
          <w:rFonts w:ascii="Palatino Linotype" w:hAnsi="Palatino Linotype" w:cs="Arial"/>
        </w:rPr>
        <w:t xml:space="preserve">artículo 3, fracción XXXII del </w:t>
      </w:r>
      <w:r w:rsidRPr="009235AB">
        <w:rPr>
          <w:rFonts w:ascii="Palatino Linotype" w:hAnsi="Palatino Linotype" w:cs="Arial"/>
          <w:b/>
        </w:rPr>
        <w:t xml:space="preserve">Código Financiero del Estado de México y Municipios </w:t>
      </w:r>
      <w:r w:rsidRPr="009235AB">
        <w:rPr>
          <w:rFonts w:ascii="Palatino Linotype" w:hAnsi="Palatino Linotype" w:cs="Arial"/>
        </w:rPr>
        <w:t>establece lo siguiente:</w:t>
      </w:r>
    </w:p>
    <w:p w:rsidR="00B55F7F" w:rsidRPr="009235AB" w:rsidRDefault="00B55F7F" w:rsidP="00B55F7F">
      <w:pPr>
        <w:pStyle w:val="Prrafodelista"/>
        <w:spacing w:line="360" w:lineRule="auto"/>
        <w:ind w:left="567" w:right="567"/>
        <w:jc w:val="both"/>
        <w:rPr>
          <w:rFonts w:ascii="Palatino Linotype" w:hAnsi="Palatino Linotype" w:cs="Arial"/>
        </w:rPr>
      </w:pPr>
    </w:p>
    <w:p w:rsidR="00B55F7F" w:rsidRPr="009235AB" w:rsidRDefault="00B55F7F" w:rsidP="00B55F7F">
      <w:pPr>
        <w:pStyle w:val="Prrafodelista"/>
        <w:ind w:left="851" w:right="992"/>
        <w:jc w:val="both"/>
        <w:rPr>
          <w:rFonts w:ascii="Palatino Linotype" w:hAnsi="Palatino Linotype" w:cs="Arial"/>
          <w:bCs/>
          <w:i/>
        </w:rPr>
      </w:pPr>
      <w:r w:rsidRPr="009235AB">
        <w:rPr>
          <w:rFonts w:ascii="Palatino Linotype" w:hAnsi="Palatino Linotype" w:cs="Arial"/>
          <w:b/>
          <w:bCs/>
          <w:i/>
        </w:rPr>
        <w:t>Artículo 3.-</w:t>
      </w:r>
      <w:r w:rsidRPr="009235AB">
        <w:rPr>
          <w:rFonts w:ascii="Palatino Linotype" w:hAnsi="Palatino Linotype" w:cs="Arial"/>
          <w:bCs/>
          <w:i/>
        </w:rPr>
        <w:t xml:space="preserve"> Para efectos de este Código, Ley de Ingresos del Estado y del Presupuesto de Egresos se entenderá por:</w:t>
      </w:r>
    </w:p>
    <w:p w:rsidR="00B55F7F" w:rsidRPr="009235AB" w:rsidRDefault="00B55F7F" w:rsidP="00B55F7F">
      <w:pPr>
        <w:pStyle w:val="Prrafodelista"/>
        <w:ind w:left="851" w:right="992"/>
        <w:jc w:val="both"/>
        <w:rPr>
          <w:rFonts w:ascii="Palatino Linotype" w:hAnsi="Palatino Linotype" w:cs="Arial"/>
          <w:bCs/>
          <w:i/>
        </w:rPr>
      </w:pPr>
      <w:r w:rsidRPr="009235AB">
        <w:rPr>
          <w:rFonts w:ascii="Palatino Linotype" w:hAnsi="Palatino Linotype" w:cs="Arial"/>
          <w:bCs/>
          <w:i/>
        </w:rPr>
        <w:t>(…)</w:t>
      </w:r>
    </w:p>
    <w:p w:rsidR="00B55F7F" w:rsidRPr="009235AB" w:rsidRDefault="00B55F7F" w:rsidP="00B55F7F">
      <w:pPr>
        <w:pStyle w:val="Prrafodelista"/>
        <w:ind w:left="851" w:right="992"/>
        <w:jc w:val="both"/>
        <w:rPr>
          <w:rFonts w:ascii="Palatino Linotype" w:hAnsi="Palatino Linotype"/>
          <w:b/>
          <w:i/>
        </w:rPr>
      </w:pPr>
      <w:r w:rsidRPr="009235AB">
        <w:rPr>
          <w:rFonts w:ascii="Palatino Linotype" w:hAnsi="Palatino Linotype"/>
          <w:b/>
          <w:i/>
        </w:rPr>
        <w:t xml:space="preserve">XXXII. Remuneración: A los pagos hechos por concepto de sueldo, compensaciones, gratificaciones, habitación, primas, comisiones, prestaciones en especie y cualquier otra percepción o prestación que se entregue al servidor público por su trabajo. Esta definición no será </w:t>
      </w:r>
      <w:r w:rsidRPr="009235AB">
        <w:rPr>
          <w:rFonts w:ascii="Palatino Linotype" w:hAnsi="Palatino Linotype"/>
          <w:b/>
          <w:i/>
        </w:rPr>
        <w:lastRenderedPageBreak/>
        <w:t>aplicable para los efectos del Impuesto sobre Erogaciones por Remuneraciones al Trabajo Personal;</w:t>
      </w:r>
    </w:p>
    <w:p w:rsidR="00B55F7F" w:rsidRPr="009235AB" w:rsidRDefault="00B55F7F" w:rsidP="00B55F7F">
      <w:pPr>
        <w:pStyle w:val="Prrafodelista"/>
        <w:ind w:left="851" w:right="992"/>
        <w:jc w:val="both"/>
        <w:rPr>
          <w:rFonts w:ascii="Palatino Linotype" w:hAnsi="Palatino Linotype"/>
          <w:b/>
          <w:i/>
        </w:rPr>
      </w:pPr>
      <w:r w:rsidRPr="009235AB">
        <w:rPr>
          <w:rFonts w:ascii="Palatino Linotype" w:hAnsi="Palatino Linotype"/>
          <w:b/>
          <w:i/>
        </w:rPr>
        <w:t>(…)</w:t>
      </w:r>
    </w:p>
    <w:p w:rsidR="00B55F7F" w:rsidRPr="009235AB" w:rsidRDefault="00B55F7F" w:rsidP="00B55F7F">
      <w:pPr>
        <w:pStyle w:val="Prrafodelista"/>
        <w:spacing w:line="360" w:lineRule="auto"/>
        <w:ind w:left="0"/>
        <w:jc w:val="both"/>
        <w:rPr>
          <w:rFonts w:ascii="Palatino Linotype" w:hAnsi="Palatino Linotype" w:cs="Arial"/>
        </w:rPr>
      </w:pPr>
    </w:p>
    <w:p w:rsidR="00B55F7F" w:rsidRPr="009235AB" w:rsidRDefault="00B55F7F" w:rsidP="00B55F7F">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B55F7F" w:rsidRDefault="00B55F7F" w:rsidP="00B55F7F">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Así mismo, la </w:t>
      </w:r>
      <w:r w:rsidRPr="009235AB">
        <w:rPr>
          <w:rFonts w:ascii="Palatino Linotype" w:hAnsi="Palatino Linotype" w:cs="Arial"/>
          <w:b/>
        </w:rPr>
        <w:t>Ley del Trabajo de los Servidores Públicos del Estado y Municipios</w:t>
      </w:r>
      <w:r w:rsidRPr="009235AB">
        <w:rPr>
          <w:rFonts w:ascii="Palatino Linotype" w:hAnsi="Palatino Linotype" w:cs="Arial"/>
        </w:rPr>
        <w:t>, en su artículo 220-K fracciones II y IV y último párrafo, establecen lo siguiente:</w:t>
      </w:r>
    </w:p>
    <w:p w:rsidR="00B55F7F" w:rsidRPr="009235AB" w:rsidRDefault="00B55F7F" w:rsidP="00B55F7F">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ARTÍCULO 220 K.-</w:t>
      </w:r>
      <w:r w:rsidRPr="009235AB">
        <w:rPr>
          <w:rFonts w:ascii="Palatino Linotype" w:eastAsia="Times New Roman" w:hAnsi="Palatino Linotype"/>
          <w:bCs/>
          <w:i/>
          <w:sz w:val="24"/>
          <w:szCs w:val="24"/>
        </w:rPr>
        <w:t xml:space="preserve"> La institución o dependencia pública tiene la obligación de conservar y exhibir en el proceso los documentos que a continuación se precisan:</w:t>
      </w:r>
    </w:p>
    <w:p w:rsidR="00B55F7F" w:rsidRPr="009235AB" w:rsidRDefault="00B55F7F" w:rsidP="00B55F7F">
      <w:pPr>
        <w:spacing w:before="240" w:line="360" w:lineRule="auto"/>
        <w:ind w:left="851" w:right="992"/>
        <w:jc w:val="both"/>
        <w:rPr>
          <w:rFonts w:ascii="Palatino Linotype" w:eastAsia="Times New Roman" w:hAnsi="Palatino Linotype"/>
          <w:bCs/>
          <w:i/>
          <w:sz w:val="24"/>
          <w:szCs w:val="24"/>
        </w:rPr>
      </w:pPr>
      <w:r w:rsidRPr="009235AB">
        <w:rPr>
          <w:rFonts w:ascii="Palatino Linotype" w:eastAsia="Times New Roman" w:hAnsi="Palatino Linotype"/>
          <w:b/>
          <w:bCs/>
          <w:i/>
          <w:sz w:val="24"/>
          <w:szCs w:val="24"/>
        </w:rPr>
        <w:t>II.</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Recibos de pagos de salarios</w:t>
      </w:r>
      <w:r w:rsidRPr="009235AB">
        <w:rPr>
          <w:rFonts w:ascii="Palatino Linotype" w:eastAsia="Times New Roman" w:hAnsi="Palatino Linotype"/>
          <w:bCs/>
          <w:i/>
          <w:sz w:val="24"/>
          <w:szCs w:val="24"/>
        </w:rPr>
        <w:t xml:space="preserve"> o las constancias documentales del pago de salario cuando sea por depósito o mediante información electrónica;</w:t>
      </w:r>
    </w:p>
    <w:p w:rsidR="00B55F7F" w:rsidRPr="009235AB" w:rsidRDefault="00B55F7F" w:rsidP="00B55F7F">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w:t>
      </w:r>
    </w:p>
    <w:p w:rsidR="00B55F7F" w:rsidRPr="009235AB" w:rsidRDefault="00B55F7F" w:rsidP="00B55F7F">
      <w:pPr>
        <w:spacing w:before="240" w:line="360" w:lineRule="auto"/>
        <w:ind w:left="851" w:right="992"/>
        <w:jc w:val="both"/>
        <w:rPr>
          <w:rFonts w:ascii="Palatino Linotype" w:eastAsia="Times New Roman" w:hAnsi="Palatino Linotype"/>
          <w:b/>
          <w:bCs/>
          <w:i/>
          <w:sz w:val="24"/>
          <w:szCs w:val="24"/>
        </w:rPr>
      </w:pPr>
      <w:r w:rsidRPr="009235AB">
        <w:rPr>
          <w:rFonts w:ascii="Palatino Linotype" w:eastAsia="Times New Roman" w:hAnsi="Palatino Linotype"/>
          <w:b/>
          <w:bCs/>
          <w:i/>
          <w:sz w:val="24"/>
          <w:szCs w:val="24"/>
        </w:rPr>
        <w:t>IV.</w:t>
      </w:r>
      <w:r w:rsidRPr="009235AB">
        <w:rPr>
          <w:rFonts w:ascii="Palatino Linotype" w:eastAsia="Times New Roman" w:hAnsi="Palatino Linotype"/>
          <w:bCs/>
          <w:i/>
          <w:sz w:val="24"/>
          <w:szCs w:val="24"/>
        </w:rPr>
        <w:t xml:space="preserve"> </w:t>
      </w:r>
      <w:r w:rsidRPr="009235AB">
        <w:rPr>
          <w:rFonts w:ascii="Palatino Linotype" w:eastAsia="Times New Roman" w:hAnsi="Palatino Linotype"/>
          <w:b/>
          <w:bCs/>
          <w:i/>
          <w:sz w:val="24"/>
          <w:szCs w:val="24"/>
        </w:rPr>
        <w:t xml:space="preserve">Recibos o las constancias de depósito o del medio de información magnética o electrónica que sean utilizadas para el pago de salarios, </w:t>
      </w:r>
      <w:r w:rsidRPr="009235AB">
        <w:rPr>
          <w:rFonts w:ascii="Palatino Linotype" w:eastAsia="Times New Roman" w:hAnsi="Palatino Linotype"/>
          <w:b/>
          <w:bCs/>
          <w:i/>
          <w:sz w:val="24"/>
          <w:szCs w:val="24"/>
        </w:rPr>
        <w:lastRenderedPageBreak/>
        <w:t>prima vacacional, aguinaldo y demás prestaciones establecidas en la presente ley; y</w:t>
      </w:r>
    </w:p>
    <w:p w:rsidR="00B55F7F" w:rsidRPr="009235AB" w:rsidRDefault="00B55F7F" w:rsidP="00B55F7F">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señalados en la fracción I de este artículo, deberán conservarse mientras dure la relación laboral y hasta un año después;</w:t>
      </w:r>
      <w:r w:rsidRPr="009235AB">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rsidR="00B55F7F" w:rsidRPr="009235AB" w:rsidRDefault="00B55F7F" w:rsidP="00B55F7F">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
          <w:bCs/>
          <w:i/>
        </w:rPr>
        <w:t>Los documentos y constancias aquí señalados, la institución o dependencia</w:t>
      </w:r>
      <w:r w:rsidRPr="009235AB">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9235AB">
        <w:rPr>
          <w:rFonts w:ascii="Palatino Linotype" w:hAnsi="Palatino Linotype"/>
          <w:bCs/>
          <w:i/>
        </w:rPr>
        <w:t>, harán prueba plena.</w:t>
      </w:r>
    </w:p>
    <w:p w:rsidR="00B55F7F" w:rsidRPr="009235AB" w:rsidRDefault="00B55F7F" w:rsidP="00B55F7F">
      <w:pPr>
        <w:pStyle w:val="Prrafodelista"/>
        <w:spacing w:before="240" w:after="240" w:line="360" w:lineRule="auto"/>
        <w:ind w:left="851" w:right="992"/>
        <w:jc w:val="both"/>
        <w:rPr>
          <w:rFonts w:ascii="Palatino Linotype" w:hAnsi="Palatino Linotype"/>
          <w:bCs/>
          <w:i/>
        </w:rPr>
      </w:pPr>
      <w:r w:rsidRPr="009235AB">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rsidR="00B55F7F" w:rsidRDefault="00B55F7F" w:rsidP="00B55F7F">
      <w:pPr>
        <w:pStyle w:val="Prrafodelista"/>
        <w:spacing w:before="240" w:after="240" w:line="360" w:lineRule="auto"/>
        <w:ind w:left="0"/>
        <w:jc w:val="both"/>
        <w:rPr>
          <w:rFonts w:ascii="Palatino Linotype" w:hAnsi="Palatino Linotype" w:cs="Arial"/>
        </w:rPr>
      </w:pPr>
      <w:r w:rsidRPr="009235AB">
        <w:rPr>
          <w:rFonts w:ascii="Palatino Linotype" w:hAnsi="Palatino Linotype" w:cs="Arial"/>
        </w:rPr>
        <w:t xml:space="preserve">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w:t>
      </w:r>
      <w:r w:rsidRPr="009235AB">
        <w:rPr>
          <w:rFonts w:ascii="Palatino Linotype" w:hAnsi="Palatino Linotype" w:cs="Arial"/>
        </w:rPr>
        <w:lastRenderedPageBreak/>
        <w:t>laboral a través de los sistemas de digitalización o de información magnética o electrónica.</w:t>
      </w:r>
    </w:p>
    <w:p w:rsidR="00B55F7F" w:rsidRPr="00347D2A" w:rsidRDefault="00B55F7F" w:rsidP="00B55F7F">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B55F7F" w:rsidRPr="00347D2A" w:rsidRDefault="00B55F7F" w:rsidP="00B55F7F">
      <w:pPr>
        <w:spacing w:before="240" w:line="360" w:lineRule="auto"/>
        <w:jc w:val="both"/>
        <w:rPr>
          <w:rFonts w:ascii="Palatino Linotype" w:eastAsia="Times New Roman" w:hAnsi="Palatino Linotype" w:cs="Arial"/>
          <w:sz w:val="24"/>
          <w:szCs w:val="24"/>
          <w:lang w:eastAsia="es-ES"/>
        </w:rPr>
      </w:pPr>
      <w:r w:rsidRPr="00347D2A">
        <w:rPr>
          <w:rFonts w:ascii="Palatino Linotype" w:eastAsia="Times New Roman" w:hAnsi="Palatino Linotype" w:cs="Arial"/>
          <w:sz w:val="24"/>
          <w:szCs w:val="24"/>
          <w:lang w:eastAsia="es-ES"/>
        </w:rPr>
        <w:t>Ahora bien, el artículo 350 del Código Financiero del Estado de México dispone lo que se transcribe a continuación:</w:t>
      </w:r>
    </w:p>
    <w:p w:rsidR="00B55F7F" w:rsidRPr="00347D2A" w:rsidRDefault="00B55F7F" w:rsidP="00B55F7F">
      <w:pPr>
        <w:spacing w:before="240" w:line="360" w:lineRule="auto"/>
        <w:ind w:left="567" w:right="567"/>
        <w:jc w:val="both"/>
        <w:rPr>
          <w:rFonts w:ascii="Palatino Linotype" w:eastAsia="Times New Roman" w:hAnsi="Palatino Linotype" w:cs="Arial"/>
          <w:bCs/>
          <w:i/>
          <w:lang w:eastAsia="es-ES"/>
        </w:rPr>
      </w:pPr>
      <w:r w:rsidRPr="00347D2A">
        <w:rPr>
          <w:rFonts w:ascii="Palatino Linotype" w:eastAsia="Times New Roman" w:hAnsi="Palatino Linotype" w:cs="Times New Roman"/>
          <w:b/>
          <w:i/>
          <w:lang w:eastAsia="es-ES"/>
        </w:rPr>
        <w:t>Artículo 350.-</w:t>
      </w:r>
      <w:r w:rsidRPr="00347D2A">
        <w:rPr>
          <w:rFonts w:ascii="Palatino Linotype" w:eastAsia="Times New Roman" w:hAnsi="Palatino Linotype" w:cs="Times New Roman"/>
          <w:i/>
          <w:lang w:eastAsia="es-ES"/>
        </w:rPr>
        <w:t xml:space="preserve"> Mensualmente dentro de los primeros veinte días hábiles, la Secretaría y las Tesorerías, enviarán para su análisis y evaluación al Órgano Superior de </w:t>
      </w:r>
      <w:r w:rsidRPr="00347D2A">
        <w:rPr>
          <w:rFonts w:ascii="Palatino Linotype" w:eastAsia="Times New Roman" w:hAnsi="Palatino Linotype" w:cs="Arial"/>
          <w:bCs/>
          <w:i/>
          <w:lang w:eastAsia="es-ES"/>
        </w:rPr>
        <w:t xml:space="preserve">Fiscalización del Estado de México, la siguiente información: </w:t>
      </w:r>
    </w:p>
    <w:p w:rsidR="00B55F7F" w:rsidRPr="00347D2A" w:rsidRDefault="00B55F7F" w:rsidP="00B55F7F">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patrimonial. </w:t>
      </w:r>
    </w:p>
    <w:p w:rsidR="00B55F7F" w:rsidRPr="00347D2A" w:rsidRDefault="00B55F7F" w:rsidP="00B55F7F">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presupuestal. </w:t>
      </w:r>
    </w:p>
    <w:p w:rsidR="00B55F7F" w:rsidRPr="00347D2A" w:rsidRDefault="00B55F7F" w:rsidP="00B55F7F">
      <w:pPr>
        <w:numPr>
          <w:ilvl w:val="0"/>
          <w:numId w:val="22"/>
        </w:numPr>
        <w:spacing w:before="240" w:line="360" w:lineRule="auto"/>
        <w:ind w:right="567"/>
        <w:jc w:val="both"/>
        <w:rPr>
          <w:rFonts w:ascii="Palatino Linotype" w:eastAsia="Times New Roman" w:hAnsi="Palatino Linotype" w:cs="Arial"/>
          <w:bCs/>
          <w:i/>
          <w:lang w:eastAsia="es-ES"/>
        </w:rPr>
      </w:pPr>
      <w:r w:rsidRPr="00347D2A">
        <w:rPr>
          <w:rFonts w:ascii="Palatino Linotype" w:eastAsia="Times New Roman" w:hAnsi="Palatino Linotype" w:cs="Arial"/>
          <w:bCs/>
          <w:i/>
          <w:lang w:eastAsia="es-ES"/>
        </w:rPr>
        <w:t xml:space="preserve">Información de la obra pública. </w:t>
      </w:r>
    </w:p>
    <w:p w:rsidR="00B55F7F" w:rsidRPr="00347D2A" w:rsidRDefault="00B55F7F" w:rsidP="00B55F7F">
      <w:pPr>
        <w:numPr>
          <w:ilvl w:val="0"/>
          <w:numId w:val="22"/>
        </w:numPr>
        <w:spacing w:before="240" w:line="360" w:lineRule="auto"/>
        <w:ind w:right="567"/>
        <w:jc w:val="both"/>
        <w:rPr>
          <w:rFonts w:ascii="Palatino Linotype" w:eastAsia="Times New Roman" w:hAnsi="Palatino Linotype" w:cs="Arial"/>
          <w:i/>
          <w:lang w:eastAsia="es-ES"/>
        </w:rPr>
      </w:pPr>
      <w:r w:rsidRPr="00347D2A">
        <w:rPr>
          <w:rFonts w:ascii="Palatino Linotype" w:eastAsia="Times New Roman" w:hAnsi="Palatino Linotype" w:cs="Arial"/>
          <w:b/>
          <w:bCs/>
          <w:i/>
          <w:u w:val="single"/>
          <w:lang w:eastAsia="es-ES"/>
        </w:rPr>
        <w:t>Información de nómina</w:t>
      </w:r>
      <w:r w:rsidRPr="00347D2A">
        <w:rPr>
          <w:rFonts w:ascii="Palatino Linotype" w:eastAsia="Times New Roman" w:hAnsi="Palatino Linotype" w:cs="Arial"/>
          <w:bCs/>
          <w:i/>
          <w:lang w:eastAsia="es-ES"/>
        </w:rPr>
        <w:t>.</w:t>
      </w:r>
    </w:p>
    <w:p w:rsidR="00B55F7F" w:rsidRPr="007E1AE4" w:rsidRDefault="00B55F7F" w:rsidP="00B55F7F">
      <w:pPr>
        <w:spacing w:before="240" w:line="360" w:lineRule="auto"/>
        <w:jc w:val="both"/>
        <w:rPr>
          <w:rFonts w:ascii="Palatino Linotype" w:eastAsia="MS Mincho" w:hAnsi="Palatino Linotype" w:cs="Tahoma"/>
          <w:sz w:val="24"/>
          <w:szCs w:val="24"/>
          <w:lang w:val="es-ES_tradnl"/>
        </w:rPr>
      </w:pPr>
      <w:r w:rsidRPr="007E1AE4">
        <w:rPr>
          <w:rFonts w:ascii="Palatino Linotype" w:eastAsia="Times New Roman" w:hAnsi="Palatino Linotype" w:cs="Times New Roman"/>
          <w:sz w:val="24"/>
          <w:szCs w:val="24"/>
        </w:rPr>
        <w:t xml:space="preserve">De igual forma, </w:t>
      </w:r>
      <w:r w:rsidRPr="007E1AE4">
        <w:rPr>
          <w:rFonts w:ascii="Palatino Linotype" w:eastAsia="MS Mincho" w:hAnsi="Palatino Linotype" w:cs="Arial"/>
          <w:sz w:val="24"/>
          <w:szCs w:val="24"/>
          <w:lang w:val="es-ES_tradnl"/>
        </w:rPr>
        <w:t xml:space="preserve">las </w:t>
      </w:r>
      <w:r w:rsidRPr="007E1AE4">
        <w:rPr>
          <w:rFonts w:ascii="Palatino Linotype" w:eastAsia="Times New Roman" w:hAnsi="Palatino Linotype" w:cs="Arial"/>
          <w:sz w:val="24"/>
          <w:szCs w:val="24"/>
        </w:rPr>
        <w:t>disposiciones</w:t>
      </w:r>
      <w:r w:rsidRPr="007E1AE4">
        <w:rPr>
          <w:rFonts w:ascii="Palatino Linotype" w:eastAsia="MS Mincho" w:hAnsi="Palatino Linotype" w:cs="Arial"/>
          <w:sz w:val="24"/>
          <w:szCs w:val="24"/>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7E1AE4">
        <w:rPr>
          <w:rFonts w:ascii="Palatino Linotype" w:eastAsia="MS Mincho" w:hAnsi="Palatino Linotype" w:cs="Tahoma"/>
          <w:sz w:val="24"/>
          <w:szCs w:val="24"/>
          <w:lang w:val="es-ES_tradnl"/>
        </w:rPr>
        <w:t xml:space="preserve">erramienta para elaborar y presentar los Informes Mensuales por </w:t>
      </w:r>
      <w:r w:rsidRPr="007E1AE4">
        <w:rPr>
          <w:rFonts w:ascii="Palatino Linotype" w:eastAsia="MS Mincho" w:hAnsi="Palatino Linotype" w:cs="Tahoma"/>
          <w:sz w:val="24"/>
          <w:szCs w:val="24"/>
          <w:lang w:val="es-ES_tradnl"/>
        </w:rPr>
        <w:lastRenderedPageBreak/>
        <w:t>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B55F7F" w:rsidRDefault="00B55F7F" w:rsidP="00B55F7F">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el cual, se integra por documentos tales como</w:t>
      </w:r>
      <w:r>
        <w:rPr>
          <w:rFonts w:ascii="Palatino Linotype" w:eastAsia="MS Mincho" w:hAnsi="Palatino Linotype" w:cs="Tahoma"/>
          <w:sz w:val="24"/>
          <w:szCs w:val="24"/>
          <w:lang w:val="es-ES_tradnl"/>
        </w:rPr>
        <w:t xml:space="preserve"> los</w:t>
      </w:r>
      <w:r w:rsidRPr="002549B2">
        <w:rPr>
          <w:rFonts w:ascii="Palatino Linotype" w:eastAsia="MS Mincho" w:hAnsi="Palatino Linotype" w:cs="Tahoma"/>
          <w:sz w:val="24"/>
          <w:szCs w:val="24"/>
          <w:lang w:val="es-ES_tradnl"/>
        </w:rPr>
        <w:t xml:space="preserve"> </w:t>
      </w:r>
      <w:r>
        <w:rPr>
          <w:rFonts w:ascii="Palatino Linotype" w:eastAsia="MS Mincho" w:hAnsi="Palatino Linotype" w:cs="Tahoma"/>
          <w:b/>
          <w:sz w:val="24"/>
          <w:szCs w:val="24"/>
          <w:lang w:val="es-ES_tradnl"/>
        </w:rPr>
        <w:t xml:space="preserve">Comprobantes Fiscales Digitales por Internet (CFDI),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bookmarkStart w:id="1" w:name="_GoBack"/>
    <w:bookmarkEnd w:id="1"/>
    <w:p w:rsidR="00B55F7F" w:rsidRDefault="00356B40" w:rsidP="00B55F7F">
      <w:pPr>
        <w:widowControl w:val="0"/>
        <w:autoSpaceDE w:val="0"/>
        <w:autoSpaceDN w:val="0"/>
        <w:adjustRightInd w:val="0"/>
        <w:spacing w:after="0" w:line="360" w:lineRule="auto"/>
        <w:jc w:val="both"/>
        <w:rPr>
          <w:noProof/>
          <w:lang w:eastAsia="es-MX"/>
        </w:rPr>
      </w:pPr>
      <w:r>
        <w:rPr>
          <w:noProof/>
          <w:lang w:eastAsia="es-MX"/>
        </w:rPr>
        <mc:AlternateContent>
          <mc:Choice Requires="wps">
            <w:drawing>
              <wp:anchor distT="0" distB="0" distL="114300" distR="114300" simplePos="0" relativeHeight="251685888" behindDoc="0" locked="0" layoutInCell="1" allowOverlap="1">
                <wp:simplePos x="0" y="0"/>
                <wp:positionH relativeFrom="column">
                  <wp:posOffset>86513</wp:posOffset>
                </wp:positionH>
                <wp:positionV relativeFrom="paragraph">
                  <wp:posOffset>214083</wp:posOffset>
                </wp:positionV>
                <wp:extent cx="5707118" cy="2017986"/>
                <wp:effectExtent l="0" t="0" r="27305" b="20955"/>
                <wp:wrapNone/>
                <wp:docPr id="6" name="Conector recto 6"/>
                <wp:cNvGraphicFramePr/>
                <a:graphic xmlns:a="http://schemas.openxmlformats.org/drawingml/2006/main">
                  <a:graphicData uri="http://schemas.microsoft.com/office/word/2010/wordprocessingShape">
                    <wps:wsp>
                      <wps:cNvCnPr/>
                      <wps:spPr>
                        <a:xfrm>
                          <a:off x="0" y="0"/>
                          <a:ext cx="5707118" cy="20179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8E7CFF" id="Conector recto 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8pt,16.85pt" to="456.2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" strokecolor="#5b9bd5 [3204]" strokeweight=".5pt">
                <v:stroke joinstyle="miter"/>
              </v:line>
            </w:pict>
          </mc:Fallback>
        </mc:AlternateContent>
      </w:r>
    </w:p>
    <w:p w:rsidR="00B55F7F" w:rsidRPr="002549B2" w:rsidRDefault="00356B40" w:rsidP="00B55F7F">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7936" behindDoc="0" locked="0" layoutInCell="1" allowOverlap="1" wp14:anchorId="79D89D22" wp14:editId="06111F9C">
                <wp:simplePos x="0" y="0"/>
                <wp:positionH relativeFrom="page">
                  <wp:posOffset>1008993</wp:posOffset>
                </wp:positionH>
                <wp:positionV relativeFrom="paragraph">
                  <wp:posOffset>3106157</wp:posOffset>
                </wp:positionV>
                <wp:extent cx="5644055" cy="4162097"/>
                <wp:effectExtent l="0" t="0" r="33020" b="29210"/>
                <wp:wrapNone/>
                <wp:docPr id="7" name="Conector recto 7"/>
                <wp:cNvGraphicFramePr/>
                <a:graphic xmlns:a="http://schemas.openxmlformats.org/drawingml/2006/main">
                  <a:graphicData uri="http://schemas.microsoft.com/office/word/2010/wordprocessingShape">
                    <wps:wsp>
                      <wps:cNvCnPr/>
                      <wps:spPr>
                        <a:xfrm>
                          <a:off x="0" y="0"/>
                          <a:ext cx="5644055" cy="41620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0BDF1" id="Conector recto 7"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9.45pt,244.6pt" to="523.85pt,5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" strokecolor="#5b9bd5 [3204]" strokeweight=".5pt">
                <v:stroke joinstyle="miter"/>
                <w10:wrap anchorx="page"/>
              </v:line>
            </w:pict>
          </mc:Fallback>
        </mc:AlternateContent>
      </w:r>
      <w:r w:rsidR="00B55F7F">
        <w:rPr>
          <w:noProof/>
          <w:lang w:eastAsia="es-MX"/>
        </w:rPr>
        <mc:AlternateContent>
          <mc:Choice Requires="wps">
            <w:drawing>
              <wp:anchor distT="0" distB="0" distL="114300" distR="114300" simplePos="0" relativeHeight="251683840" behindDoc="0" locked="0" layoutInCell="1" allowOverlap="1" wp14:anchorId="610F4B5B" wp14:editId="22CAC5B7">
                <wp:simplePos x="0" y="0"/>
                <wp:positionH relativeFrom="column">
                  <wp:posOffset>691515</wp:posOffset>
                </wp:positionH>
                <wp:positionV relativeFrom="paragraph">
                  <wp:posOffset>1605915</wp:posOffset>
                </wp:positionV>
                <wp:extent cx="4257675" cy="238125"/>
                <wp:effectExtent l="19050" t="19050" r="28575" b="28575"/>
                <wp:wrapNone/>
                <wp:docPr id="13" name="Rectángulo 13"/>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EB0EE" id="Rectángulo 13" o:spid="_x0000_s1026" style="position:absolute;margin-left:54.45pt;margin-top:126.45pt;width:335.2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" filled="f" strokecolor="red" strokeweight="2.25pt"/>
            </w:pict>
          </mc:Fallback>
        </mc:AlternateContent>
      </w:r>
      <w:r w:rsidR="00B55F7F">
        <w:rPr>
          <w:noProof/>
          <w:lang w:eastAsia="es-MX"/>
        </w:rPr>
        <mc:AlternateContent>
          <mc:Choice Requires="wps">
            <w:drawing>
              <wp:anchor distT="0" distB="0" distL="114300" distR="114300" simplePos="0" relativeHeight="251681792" behindDoc="0" locked="0" layoutInCell="1" allowOverlap="1" wp14:anchorId="580FC749" wp14:editId="705D1222">
                <wp:simplePos x="0" y="0"/>
                <wp:positionH relativeFrom="column">
                  <wp:posOffset>681990</wp:posOffset>
                </wp:positionH>
                <wp:positionV relativeFrom="paragraph">
                  <wp:posOffset>2132330</wp:posOffset>
                </wp:positionV>
                <wp:extent cx="4257675" cy="2381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4257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A1CDD" id="Rectángulo 11" o:spid="_x0000_s1026" style="position:absolute;margin-left:53.7pt;margin-top:167.9pt;width:335.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" filled="f" strokecolor="red" strokeweight="2.25pt"/>
            </w:pict>
          </mc:Fallback>
        </mc:AlternateContent>
      </w:r>
      <w:r w:rsidR="00B55F7F">
        <w:rPr>
          <w:noProof/>
          <w:lang w:eastAsia="es-MX"/>
        </w:rPr>
        <mc:AlternateContent>
          <mc:Choice Requires="wps">
            <w:drawing>
              <wp:anchor distT="0" distB="0" distL="114300" distR="114300" simplePos="0" relativeHeight="251680768" behindDoc="0" locked="0" layoutInCell="1" allowOverlap="1" wp14:anchorId="3D8DA1A8" wp14:editId="7D7F74E2">
                <wp:simplePos x="0" y="0"/>
                <wp:positionH relativeFrom="column">
                  <wp:posOffset>691515</wp:posOffset>
                </wp:positionH>
                <wp:positionV relativeFrom="paragraph">
                  <wp:posOffset>-1270</wp:posOffset>
                </wp:positionV>
                <wp:extent cx="4191000" cy="18097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41910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D7B10A" id="Rectángulo 14" o:spid="_x0000_s1026" style="position:absolute;margin-left:54.45pt;margin-top:-.1pt;width:330pt;height:14.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" filled="f" strokecolor="red" strokeweight="2.25pt"/>
            </w:pict>
          </mc:Fallback>
        </mc:AlternateContent>
      </w:r>
      <w:r w:rsidR="00B55F7F">
        <w:rPr>
          <w:noProof/>
          <w:lang w:eastAsia="es-MX"/>
        </w:rPr>
        <w:drawing>
          <wp:inline distT="0" distB="0" distL="0" distR="0" wp14:anchorId="1DB3ED8D" wp14:editId="1AACFFFC">
            <wp:extent cx="4191000" cy="27090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624" t="43451" r="34657" b="21244"/>
                    <a:stretch/>
                  </pic:blipFill>
                  <pic:spPr bwMode="auto">
                    <a:xfrm>
                      <a:off x="0" y="0"/>
                      <a:ext cx="4219018" cy="2727210"/>
                    </a:xfrm>
                    <a:prstGeom prst="rect">
                      <a:avLst/>
                    </a:prstGeom>
                    <a:ln>
                      <a:noFill/>
                    </a:ln>
                    <a:extLst>
                      <a:ext uri="{53640926-AAD7-44D8-BBD7-CCE9431645EC}">
                        <a14:shadowObscured xmlns:a14="http://schemas.microsoft.com/office/drawing/2010/main"/>
                      </a:ext>
                    </a:extLst>
                  </pic:spPr>
                </pic:pic>
              </a:graphicData>
            </a:graphic>
          </wp:inline>
        </w:drawing>
      </w:r>
      <w:r w:rsidR="00B55F7F">
        <w:rPr>
          <w:rFonts w:ascii="Palatino Linotype" w:hAnsi="Palatino Linotype"/>
          <w:sz w:val="24"/>
          <w:szCs w:val="24"/>
        </w:rPr>
        <w:t>:</w:t>
      </w:r>
    </w:p>
    <w:p w:rsidR="00B55F7F" w:rsidRPr="002549B2" w:rsidRDefault="00B55F7F" w:rsidP="00B55F7F">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4864" behindDoc="0" locked="0" layoutInCell="1" allowOverlap="1" wp14:anchorId="79E51E24" wp14:editId="65C242BD">
                <wp:simplePos x="0" y="0"/>
                <wp:positionH relativeFrom="column">
                  <wp:posOffset>186690</wp:posOffset>
                </wp:positionH>
                <wp:positionV relativeFrom="paragraph">
                  <wp:posOffset>1597660</wp:posOffset>
                </wp:positionV>
                <wp:extent cx="5133975" cy="742950"/>
                <wp:effectExtent l="19050" t="19050" r="28575" b="19050"/>
                <wp:wrapNone/>
                <wp:docPr id="5" name="Rectángulo 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DA7998" id="Rectángulo 5" o:spid="_x0000_s1026" style="position:absolute;margin-left:14.7pt;margin-top:125.8pt;width:404.25pt;height:5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" filled="f" strokecolor="red" strokeweight="2.25pt"/>
            </w:pict>
          </mc:Fallback>
        </mc:AlternateContent>
      </w:r>
      <w:r>
        <w:rPr>
          <w:noProof/>
          <w:lang w:eastAsia="es-MX"/>
        </w:rPr>
        <mc:AlternateContent>
          <mc:Choice Requires="wps">
            <w:drawing>
              <wp:anchor distT="0" distB="0" distL="114300" distR="114300" simplePos="0" relativeHeight="251682816" behindDoc="0" locked="0" layoutInCell="1" allowOverlap="1" wp14:anchorId="688729A5" wp14:editId="245588BE">
                <wp:simplePos x="0" y="0"/>
                <wp:positionH relativeFrom="column">
                  <wp:posOffset>186690</wp:posOffset>
                </wp:positionH>
                <wp:positionV relativeFrom="paragraph">
                  <wp:posOffset>3159760</wp:posOffset>
                </wp:positionV>
                <wp:extent cx="5133975" cy="74295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5133975" cy="742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E9B9F9" id="Rectángulo 15" o:spid="_x0000_s1026" style="position:absolute;margin-left:14.7pt;margin-top:248.8pt;width:404.25pt;height:5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" filled="f" strokecolor="red" strokeweight="2.25pt"/>
            </w:pict>
          </mc:Fallback>
        </mc:AlternateContent>
      </w:r>
      <w:r>
        <w:rPr>
          <w:noProof/>
          <w:lang w:eastAsia="es-MX"/>
        </w:rPr>
        <w:drawing>
          <wp:inline distT="0" distB="0" distL="0" distR="0" wp14:anchorId="006BA6C9" wp14:editId="3CEA249E">
            <wp:extent cx="5238750" cy="4684385"/>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rsidR="00B55F7F" w:rsidRPr="00EC3545" w:rsidRDefault="00B55F7F" w:rsidP="00B55F7F">
      <w:pPr>
        <w:widowControl w:val="0"/>
        <w:autoSpaceDE w:val="0"/>
        <w:autoSpaceDN w:val="0"/>
        <w:adjustRightInd w:val="0"/>
        <w:spacing w:after="0" w:line="360" w:lineRule="auto"/>
        <w:jc w:val="both"/>
        <w:rPr>
          <w:rFonts w:ascii="Palatino Linotype" w:hAnsi="Palatino Linotype" w:cs="Arial"/>
          <w:sz w:val="24"/>
          <w:szCs w:val="24"/>
        </w:rPr>
      </w:pP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 xml:space="preserve"> </w:t>
      </w:r>
      <w:r w:rsidRPr="00EC3545">
        <w:rPr>
          <w:rFonts w:ascii="Palatino Linotype" w:hAnsi="Palatino Linotype"/>
          <w:noProof/>
          <w:sz w:val="24"/>
          <w:szCs w:val="24"/>
          <w:lang w:eastAsia="es-MX"/>
        </w:rPr>
        <w:t>l</w:t>
      </w:r>
      <w:r>
        <w:rPr>
          <w:rFonts w:ascii="Palatino Linotype" w:hAnsi="Palatino Linotype"/>
          <w:noProof/>
          <w:sz w:val="24"/>
          <w:szCs w:val="24"/>
          <w:lang w:eastAsia="es-MX"/>
        </w:rPr>
        <w:t>a</w:t>
      </w:r>
      <w:r w:rsidRPr="00EC3545">
        <w:rPr>
          <w:rFonts w:ascii="Palatino Linotype" w:hAnsi="Palatino Linotype"/>
          <w:noProof/>
          <w:sz w:val="24"/>
          <w:szCs w:val="24"/>
          <w:lang w:eastAsia="es-MX"/>
        </w:rPr>
        <w:t xml:space="preserve"> Recurrente, como </w:t>
      </w:r>
      <w:r>
        <w:rPr>
          <w:rFonts w:ascii="Palatino Linotype" w:hAnsi="Palatino Linotype"/>
          <w:noProof/>
          <w:sz w:val="24"/>
          <w:szCs w:val="24"/>
          <w:lang w:eastAsia="es-MX"/>
        </w:rPr>
        <w:t>los son la Nómina General del 01 al 15 del mes y del 16 al 30/31 del mes, o bien los Comprobantes Fiscales Digitales por Internet por concepto de nómina del  01 al 15 del mes y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 xml:space="preserve">diente a un periodo determinado. Dichos documentos deben </w:t>
      </w:r>
      <w:r>
        <w:rPr>
          <w:rFonts w:ascii="Palatino Linotype" w:hAnsi="Palatino Linotype"/>
          <w:noProof/>
          <w:sz w:val="24"/>
          <w:szCs w:val="24"/>
          <w:lang w:eastAsia="es-MX"/>
        </w:rPr>
        <w:lastRenderedPageBreak/>
        <w:t>presentarse como se observa a continuación:</w:t>
      </w: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7D8B92B2" wp14:editId="6E879F09">
            <wp:extent cx="5612130" cy="4345114"/>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79" t="10863" r="22607" b="16717"/>
                    <a:stretch/>
                  </pic:blipFill>
                  <pic:spPr bwMode="auto">
                    <a:xfrm>
                      <a:off x="0" y="0"/>
                      <a:ext cx="5612130" cy="4345114"/>
                    </a:xfrm>
                    <a:prstGeom prst="rect">
                      <a:avLst/>
                    </a:prstGeom>
                    <a:ln>
                      <a:noFill/>
                    </a:ln>
                    <a:extLst>
                      <a:ext uri="{53640926-AAD7-44D8-BBD7-CCE9431645EC}">
                        <a14:shadowObscured xmlns:a14="http://schemas.microsoft.com/office/drawing/2010/main"/>
                      </a:ext>
                    </a:extLst>
                  </pic:spPr>
                </pic:pic>
              </a:graphicData>
            </a:graphic>
          </wp:inline>
        </w:drawing>
      </w: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De la misma forma, se reproduce a continuación el instructivo de llenado del formato anterior, con la finalidad de verificar que, entre los rubros contemplados en el mismo, se encuentran los que son del interés de la particular:</w:t>
      </w: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r w:rsidR="00274A1E">
        <w:rPr>
          <w:rFonts w:ascii="Palatino Linotype" w:hAnsi="Palatino Linotype"/>
          <w:noProof/>
          <w:sz w:val="24"/>
          <w:szCs w:val="24"/>
          <w:lang w:eastAsia="es-MX"/>
        </w:rPr>
        <w:t>------</w:t>
      </w: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w:t>
      </w:r>
      <w:r w:rsidR="00274A1E">
        <w:rPr>
          <w:rFonts w:ascii="Palatino Linotype" w:hAnsi="Palatino Linotype"/>
          <w:noProof/>
          <w:sz w:val="24"/>
          <w:szCs w:val="24"/>
          <w:lang w:eastAsia="es-MX"/>
        </w:rPr>
        <w:t>------</w:t>
      </w: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63ED1D85" wp14:editId="1A925DE5">
            <wp:extent cx="5431207" cy="70485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568" t="7846" r="30244" b="4043"/>
                    <a:stretch/>
                  </pic:blipFill>
                  <pic:spPr bwMode="auto">
                    <a:xfrm>
                      <a:off x="0" y="0"/>
                      <a:ext cx="5461471" cy="7087776"/>
                    </a:xfrm>
                    <a:prstGeom prst="rect">
                      <a:avLst/>
                    </a:prstGeom>
                    <a:ln>
                      <a:noFill/>
                    </a:ln>
                    <a:extLst>
                      <a:ext uri="{53640926-AAD7-44D8-BBD7-CCE9431645EC}">
                        <a14:shadowObscured xmlns:a14="http://schemas.microsoft.com/office/drawing/2010/main"/>
                      </a:ext>
                    </a:extLst>
                  </pic:spPr>
                </pic:pic>
              </a:graphicData>
            </a:graphic>
          </wp:inline>
        </w:drawing>
      </w: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7C28E737" wp14:editId="483B1EB1">
            <wp:extent cx="5400675" cy="3562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8" t="8147" r="30780" b="47897"/>
                    <a:stretch/>
                  </pic:blipFill>
                  <pic:spPr bwMode="auto">
                    <a:xfrm>
                      <a:off x="0" y="0"/>
                      <a:ext cx="5432153" cy="3583113"/>
                    </a:xfrm>
                    <a:prstGeom prst="rect">
                      <a:avLst/>
                    </a:prstGeom>
                    <a:ln>
                      <a:noFill/>
                    </a:ln>
                    <a:extLst>
                      <a:ext uri="{53640926-AAD7-44D8-BBD7-CCE9431645EC}">
                        <a14:shadowObscured xmlns:a14="http://schemas.microsoft.com/office/drawing/2010/main"/>
                      </a:ext>
                    </a:extLst>
                  </pic:spPr>
                </pic:pic>
              </a:graphicData>
            </a:graphic>
          </wp:inline>
        </w:drawing>
      </w: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p>
    <w:p w:rsidR="00B55F7F" w:rsidRDefault="00B55F7F" w:rsidP="00B55F7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en la nómina general se encuentra toda la información que los sujetos obligados están constreñidos a hacer pública, como son la remuneración bruta y neta de todas las percepciones, incluyendo sueldos, prestaciones, gratificaciones ,primas , comisiones, dietas, bonos, estímulos, ingresos y sistemas de compensación, señalando de dicha remuneración. </w:t>
      </w:r>
    </w:p>
    <w:p w:rsidR="00B55F7F" w:rsidRDefault="00B55F7F" w:rsidP="00B55F7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p>
    <w:p w:rsidR="00B55F7F" w:rsidRDefault="00B55F7F" w:rsidP="00B55F7F">
      <w:pPr>
        <w:widowControl w:val="0"/>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misma, forma los Comprobantes Fiscales Digitales por Internet por concepto de nómina del 01 al 15 y del 16 al 30/31 del mes (CFDI), estos deberán enviarse conforme al siguiente formato:</w:t>
      </w: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p>
    <w:p w:rsidR="00B55F7F" w:rsidRDefault="00B55F7F" w:rsidP="00B55F7F">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lastRenderedPageBreak/>
        <w:drawing>
          <wp:inline distT="0" distB="0" distL="0" distR="0" wp14:anchorId="1F1553EE" wp14:editId="10418CF5">
            <wp:extent cx="5638431" cy="367665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0561" r="18365" b="22539"/>
                    <a:stretch/>
                  </pic:blipFill>
                  <pic:spPr bwMode="auto">
                    <a:xfrm>
                      <a:off x="0" y="0"/>
                      <a:ext cx="5654862" cy="3687364"/>
                    </a:xfrm>
                    <a:prstGeom prst="rect">
                      <a:avLst/>
                    </a:prstGeom>
                    <a:ln>
                      <a:noFill/>
                    </a:ln>
                    <a:extLst>
                      <a:ext uri="{53640926-AAD7-44D8-BBD7-CCE9431645EC}">
                        <a14:shadowObscured xmlns:a14="http://schemas.microsoft.com/office/drawing/2010/main"/>
                      </a:ext>
                    </a:extLst>
                  </pic:spPr>
                </pic:pic>
              </a:graphicData>
            </a:graphic>
          </wp:inline>
        </w:drawing>
      </w:r>
    </w:p>
    <w:p w:rsidR="00B55F7F" w:rsidRDefault="00B55F7F" w:rsidP="00614B71">
      <w:pPr>
        <w:widowControl w:val="0"/>
        <w:autoSpaceDE w:val="0"/>
        <w:autoSpaceDN w:val="0"/>
        <w:adjustRightInd w:val="0"/>
        <w:spacing w:before="24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Asimismo, es de resaltarse que los CFDI contienen la información que integra la nómina general que genera el Sujeto Obligado, pero se hacen entrega a cada uno de los servidores públicos que integran a la administración pública municipal. Por lo que es importante hacer referencia del instructivo de llenado que el OSFEM emitió respecto de la nómina general, rubros que también pueden observarse en cada uno de los certificados fiscales digitales por internet. </w:t>
      </w:r>
    </w:p>
    <w:p w:rsidR="00614B71" w:rsidRDefault="00614B71" w:rsidP="00614B71">
      <w:pPr>
        <w:widowControl w:val="0"/>
        <w:autoSpaceDE w:val="0"/>
        <w:autoSpaceDN w:val="0"/>
        <w:adjustRightInd w:val="0"/>
        <w:spacing w:before="240" w:line="360" w:lineRule="auto"/>
        <w:jc w:val="both"/>
        <w:rPr>
          <w:rFonts w:ascii="Palatino Linotype" w:hAnsi="Palatino Linotype"/>
          <w:noProof/>
          <w:sz w:val="24"/>
          <w:szCs w:val="24"/>
          <w:lang w:eastAsia="es-MX"/>
        </w:rPr>
      </w:pPr>
      <w:r>
        <w:rPr>
          <w:rFonts w:ascii="Palatino Linotype" w:hAnsi="Palatino Linotype"/>
          <w:noProof/>
          <w:sz w:val="24"/>
          <w:szCs w:val="24"/>
          <w:lang w:eastAsia="es-MX"/>
        </w:rPr>
        <w:t xml:space="preserve">Por lo tanto, no se pasa de optica que el hoy recurrente unicamente aludio </w:t>
      </w:r>
      <w:r>
        <w:rPr>
          <w:rFonts w:ascii="Palatino Linotype" w:hAnsi="Palatino Linotype"/>
          <w:i/>
          <w:iCs/>
          <w:noProof/>
          <w:sz w:val="24"/>
          <w:szCs w:val="24"/>
          <w:lang w:eastAsia="es-MX"/>
        </w:rPr>
        <w:t xml:space="preserve">“muestre la primer quincena”, </w:t>
      </w:r>
      <w:r>
        <w:rPr>
          <w:rFonts w:ascii="Palatino Linotype" w:hAnsi="Palatino Linotype"/>
          <w:noProof/>
          <w:sz w:val="24"/>
          <w:szCs w:val="24"/>
          <w:lang w:eastAsia="es-MX"/>
        </w:rPr>
        <w:t xml:space="preserve">sin mencionar a que mes se referia por lo que en virtud de no violentar su derecho de acceso, el sujeto obligado debera de hacer entrega de la informacion solicitada correspondiente a la primera quincena mayo del </w:t>
      </w:r>
      <w:r w:rsidRPr="00614B71">
        <w:rPr>
          <w:rFonts w:ascii="Palatino Linotype" w:hAnsi="Palatino Linotype"/>
          <w:noProof/>
          <w:sz w:val="24"/>
          <w:szCs w:val="24"/>
          <w:lang w:eastAsia="es-MX"/>
        </w:rPr>
        <w:t xml:space="preserve">presidente municipal, tesorero, primer regidor, segundo regidor, tercer regidor, cuarto regidor, </w:t>
      </w:r>
      <w:r w:rsidRPr="00614B71">
        <w:rPr>
          <w:rFonts w:ascii="Palatino Linotype" w:hAnsi="Palatino Linotype"/>
          <w:noProof/>
          <w:sz w:val="24"/>
          <w:szCs w:val="24"/>
          <w:lang w:eastAsia="es-MX"/>
        </w:rPr>
        <w:lastRenderedPageBreak/>
        <w:t>quinto regidor, sexto regidor, séptimo regidor octavo regidor, noveno regidor, secretario del ayuntamiento, sindico y secretario particular</w:t>
      </w:r>
      <w:r>
        <w:rPr>
          <w:rFonts w:ascii="Palatino Linotype" w:hAnsi="Palatino Linotype"/>
          <w:noProof/>
          <w:sz w:val="24"/>
          <w:szCs w:val="24"/>
          <w:lang w:eastAsia="es-MX"/>
        </w:rPr>
        <w:t>.</w:t>
      </w:r>
    </w:p>
    <w:p w:rsidR="00274A1E" w:rsidRDefault="00CD5354" w:rsidP="00274A1E">
      <w:pPr>
        <w:pStyle w:val="Sinespaciado"/>
        <w:spacing w:before="240" w:after="240" w:line="360" w:lineRule="auto"/>
        <w:jc w:val="both"/>
        <w:rPr>
          <w:rFonts w:ascii="Palatino Linotype" w:eastAsia="Calibri" w:hAnsi="Palatino Linotype" w:cs="Arial"/>
        </w:rPr>
      </w:pPr>
      <w:r>
        <w:rPr>
          <w:rFonts w:ascii="Palatino Linotype" w:hAnsi="Palatino Linotype" w:cs="Arial"/>
          <w:bCs/>
        </w:rPr>
        <w:t xml:space="preserve">Ahora bien, lo que respecta al punto 3, </w:t>
      </w:r>
      <w:r w:rsidR="00274A1E" w:rsidRPr="004B2378">
        <w:rPr>
          <w:rFonts w:ascii="Palatino Linotype" w:hAnsi="Palatino Linotype"/>
          <w:lang w:eastAsia="es-MX"/>
        </w:rPr>
        <w:t>es necesario señalar el contenido de</w:t>
      </w:r>
      <w:r w:rsidR="00274A1E">
        <w:rPr>
          <w:rFonts w:ascii="Palatino Linotype" w:hAnsi="Palatino Linotype"/>
          <w:lang w:eastAsia="es-MX"/>
        </w:rPr>
        <w:t xml:space="preserve"> los artículos </w:t>
      </w:r>
      <w:r w:rsidR="00274A1E" w:rsidRPr="005242B7">
        <w:rPr>
          <w:rFonts w:ascii="Palatino Linotype" w:eastAsia="Calibri" w:hAnsi="Palatino Linotype" w:cs="Arial"/>
        </w:rPr>
        <w:t>5, 45, 48, 49 y 98 de Ley del Trabajo de los Servidores Públicos del Estado y Municipios:</w:t>
      </w:r>
    </w:p>
    <w:p w:rsidR="00274A1E" w:rsidRPr="005242B7" w:rsidRDefault="00274A1E" w:rsidP="00274A1E">
      <w:pPr>
        <w:spacing w:before="240" w:after="240" w:line="360" w:lineRule="auto"/>
        <w:ind w:left="851" w:right="851"/>
        <w:jc w:val="both"/>
        <w:rPr>
          <w:rFonts w:ascii="Palatino Linotype" w:eastAsia="Calibri" w:hAnsi="Palatino Linotype" w:cs="Times New Roman"/>
          <w:b/>
          <w:i/>
          <w:lang w:eastAsia="es-MX"/>
        </w:rPr>
      </w:pPr>
      <w:r w:rsidRPr="005242B7">
        <w:rPr>
          <w:rFonts w:ascii="Palatino Linotype" w:eastAsia="Calibri" w:hAnsi="Palatino Linotype" w:cs="Times New Roman"/>
          <w:b/>
          <w:i/>
        </w:rPr>
        <w:t>LEY DEL TRABAJO DE LOS SERVIDORES PUBLICOS DEL ESTADO Y MUNICIPIOS</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b/>
          <w:i/>
          <w:u w:val="single"/>
        </w:rPr>
        <w:t>ARTÍCULO 5.- La relación de trabajo entre las instituciones públicas y sus servidores públicos se entiende establecida mediante nombramiento, formato único de movimiento de personal, contrato</w:t>
      </w:r>
      <w:r w:rsidRPr="005242B7">
        <w:rPr>
          <w:rFonts w:ascii="Palatino Linotype" w:eastAsia="Calibri" w:hAnsi="Palatino Linotype" w:cs="Times New Roman"/>
          <w:i/>
        </w:rPr>
        <w:t xml:space="preserve"> </w:t>
      </w:r>
      <w:r w:rsidRPr="005242B7">
        <w:rPr>
          <w:rFonts w:ascii="Palatino Linotype" w:eastAsia="Calibri" w:hAnsi="Palatino Linotype" w:cs="Times New Roman"/>
          <w:b/>
          <w:bCs/>
          <w:i/>
          <w:u w:val="single"/>
        </w:rPr>
        <w:t>o por cualquier otro acto que tenga como consecuencia la prestación personal subordinada del servicio y la percepción de un sueldo</w:t>
      </w:r>
      <w:r w:rsidRPr="005242B7">
        <w:rPr>
          <w:rFonts w:ascii="Palatino Linotype" w:eastAsia="Calibri" w:hAnsi="Palatino Linotype" w:cs="Times New Roman"/>
          <w:i/>
        </w:rPr>
        <w:t>. Para los efectos de esta ley, las instituciones públicas estarán representadas por sus titulares.</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b/>
          <w:i/>
          <w:u w:val="single"/>
        </w:rPr>
        <w:t xml:space="preserve">ARTÍCULO 45.-Los servidores públicos prestarán sus servicios mediante nombramiento, contrato o formato único de Movimientos de Personal </w:t>
      </w:r>
      <w:r w:rsidRPr="005242B7">
        <w:rPr>
          <w:rFonts w:ascii="Palatino Linotype" w:eastAsia="Calibri" w:hAnsi="Palatino Linotype" w:cs="Times New Roman"/>
          <w:i/>
        </w:rPr>
        <w:t>expedidos por quien estuviere facultado legalmente para extenderlo</w:t>
      </w:r>
    </w:p>
    <w:p w:rsidR="00274A1E" w:rsidRPr="005242B7" w:rsidRDefault="00274A1E" w:rsidP="00274A1E">
      <w:pPr>
        <w:spacing w:before="240" w:after="240" w:line="360" w:lineRule="auto"/>
        <w:ind w:left="851" w:right="851"/>
        <w:jc w:val="both"/>
        <w:rPr>
          <w:rFonts w:ascii="Palatino Linotype" w:eastAsia="Calibri" w:hAnsi="Palatino Linotype" w:cs="Times New Roman"/>
          <w:b/>
          <w:i/>
          <w:u w:val="single"/>
        </w:rPr>
      </w:pPr>
      <w:r w:rsidRPr="005242B7">
        <w:rPr>
          <w:rFonts w:ascii="Palatino Linotype" w:eastAsia="Calibri" w:hAnsi="Palatino Linotype" w:cs="Times New Roman"/>
          <w:b/>
          <w:i/>
          <w:u w:val="single"/>
        </w:rPr>
        <w:t xml:space="preserve">ARTÍCULO 48. Para iniciar la prestación de los servicios se requiere: </w:t>
      </w:r>
    </w:p>
    <w:p w:rsidR="00274A1E" w:rsidRPr="005242B7" w:rsidRDefault="00274A1E" w:rsidP="00274A1E">
      <w:pPr>
        <w:spacing w:before="240" w:after="240" w:line="360" w:lineRule="auto"/>
        <w:ind w:left="851" w:right="851"/>
        <w:jc w:val="both"/>
        <w:rPr>
          <w:rFonts w:ascii="Palatino Linotype" w:eastAsia="Calibri" w:hAnsi="Palatino Linotype" w:cs="Times New Roman"/>
          <w:b/>
          <w:i/>
          <w:u w:val="single"/>
        </w:rPr>
      </w:pPr>
      <w:r w:rsidRPr="005242B7">
        <w:rPr>
          <w:rFonts w:ascii="Palatino Linotype" w:eastAsia="Calibri" w:hAnsi="Palatino Linotype" w:cs="Times New Roman"/>
          <w:b/>
          <w:i/>
          <w:u w:val="single"/>
        </w:rPr>
        <w:t>I. Tener conferido el nombramiento, contrato respectivo o formato único de Movimientos de Personal;</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w:t>
      </w:r>
    </w:p>
    <w:p w:rsidR="00274A1E" w:rsidRPr="005242B7" w:rsidRDefault="00274A1E" w:rsidP="00274A1E">
      <w:pPr>
        <w:spacing w:before="240" w:after="240" w:line="360" w:lineRule="auto"/>
        <w:ind w:left="851" w:right="851"/>
        <w:jc w:val="both"/>
        <w:rPr>
          <w:rFonts w:ascii="Palatino Linotype" w:eastAsia="Calibri" w:hAnsi="Palatino Linotype" w:cs="Times New Roman"/>
          <w:b/>
          <w:i/>
          <w:u w:val="single"/>
        </w:rPr>
      </w:pPr>
      <w:r w:rsidRPr="005242B7">
        <w:rPr>
          <w:rFonts w:ascii="Palatino Linotype" w:eastAsia="Calibri" w:hAnsi="Palatino Linotype" w:cs="Times New Roman"/>
          <w:b/>
          <w:i/>
          <w:u w:val="single"/>
        </w:rPr>
        <w:t xml:space="preserve">ARTÍCULO 49.- Los nombramientos, contratos o formato único de Movimientos de Personal de los servidores públicos deberán contener: </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lastRenderedPageBreak/>
        <w:t xml:space="preserve">I. Nombre completo del servidor público; </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 xml:space="preserve">II. Cargo para el que es designado, fecha de inicio de sus servicios y lugar de adscripción; </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III. Carácter del nombramiento, ya sea de servidores públicos generales o de confianza, así como la temporalidad del mismo;</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 xml:space="preserve">IV. Remuneración correspondiente al puesto; </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 xml:space="preserve">V. Jornadade trabajo; </w:t>
      </w:r>
    </w:p>
    <w:p w:rsidR="00274A1E" w:rsidRPr="005242B7" w:rsidRDefault="00274A1E" w:rsidP="00274A1E">
      <w:pPr>
        <w:tabs>
          <w:tab w:val="left" w:pos="2685"/>
        </w:tabs>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 xml:space="preserve">VI. Derogada; </w:t>
      </w:r>
      <w:r w:rsidRPr="005242B7">
        <w:rPr>
          <w:rFonts w:ascii="Palatino Linotype" w:eastAsia="Calibri" w:hAnsi="Palatino Linotype" w:cs="Times New Roman"/>
          <w:i/>
        </w:rPr>
        <w:tab/>
      </w:r>
    </w:p>
    <w:p w:rsidR="00274A1E" w:rsidRPr="005242B7" w:rsidRDefault="00274A1E" w:rsidP="00274A1E">
      <w:pPr>
        <w:spacing w:before="240" w:after="240" w:line="360" w:lineRule="auto"/>
        <w:ind w:left="851" w:right="851"/>
        <w:jc w:val="both"/>
        <w:rPr>
          <w:rFonts w:ascii="Palatino Linotype" w:eastAsia="Calibri" w:hAnsi="Palatino Linotype" w:cs="Times New Roman"/>
          <w:i/>
          <w:lang w:eastAsia="es-MX"/>
        </w:rPr>
      </w:pPr>
      <w:r w:rsidRPr="005242B7">
        <w:rPr>
          <w:rFonts w:ascii="Palatino Linotype" w:eastAsia="Calibri" w:hAnsi="Palatino Linotype" w:cs="Times New Roman"/>
          <w:i/>
        </w:rPr>
        <w:t>VII. Firma del servidor público autorizado para emitir el nombramiento, contrato o formato único de Movimientos de Personal, así como el fundamento legal de esa atribución.</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b/>
          <w:i/>
          <w:u w:val="single"/>
        </w:rPr>
        <w:t>ARTÍCULO 98. Son obligaciones de las instituciones públicas</w:t>
      </w:r>
      <w:r w:rsidRPr="005242B7">
        <w:rPr>
          <w:rFonts w:ascii="Palatino Linotype" w:eastAsia="Calibri" w:hAnsi="Palatino Linotype" w:cs="Times New Roman"/>
          <w:i/>
        </w:rPr>
        <w:t>:</w:t>
      </w:r>
    </w:p>
    <w:p w:rsidR="00274A1E" w:rsidRPr="005242B7" w:rsidRDefault="00274A1E" w:rsidP="00274A1E">
      <w:pPr>
        <w:spacing w:before="240" w:after="240" w:line="360" w:lineRule="auto"/>
        <w:ind w:left="851" w:right="851"/>
        <w:jc w:val="both"/>
        <w:rPr>
          <w:rFonts w:ascii="Palatino Linotype" w:eastAsia="Calibri" w:hAnsi="Palatino Linotype" w:cs="Times New Roman"/>
          <w:i/>
        </w:rPr>
      </w:pPr>
      <w:r w:rsidRPr="005242B7">
        <w:rPr>
          <w:rFonts w:ascii="Palatino Linotype" w:eastAsia="Calibri" w:hAnsi="Palatino Linotype" w:cs="Times New Roman"/>
          <w:i/>
        </w:rPr>
        <w:t>…</w:t>
      </w:r>
    </w:p>
    <w:p w:rsidR="00274A1E" w:rsidRPr="005242B7" w:rsidRDefault="00274A1E" w:rsidP="00274A1E">
      <w:pPr>
        <w:spacing w:before="240" w:after="240" w:line="360" w:lineRule="auto"/>
        <w:ind w:left="851" w:right="851"/>
        <w:jc w:val="both"/>
        <w:rPr>
          <w:rFonts w:ascii="Palatino Linotype" w:eastAsia="Calibri" w:hAnsi="Palatino Linotype" w:cs="Times New Roman"/>
          <w:b/>
          <w:i/>
          <w:u w:val="single"/>
          <w:lang w:eastAsia="es-MX"/>
        </w:rPr>
      </w:pPr>
      <w:r w:rsidRPr="005242B7">
        <w:rPr>
          <w:rFonts w:ascii="Palatino Linotype" w:eastAsia="Calibri" w:hAnsi="Palatino Linotype" w:cs="Times New Roman"/>
          <w:b/>
          <w:i/>
          <w:u w:val="single"/>
        </w:rPr>
        <w:t>XVII. Integrar los expedientes de los servidores públicos y proporcionar las constancias que éstos soliciten para el trámite de los asuntos de su interés en los términos que señalen los ordenamientos respectivos.</w:t>
      </w:r>
    </w:p>
    <w:p w:rsidR="00274A1E" w:rsidRPr="005242B7" w:rsidRDefault="00274A1E" w:rsidP="00274A1E">
      <w:pPr>
        <w:spacing w:before="240" w:after="240" w:line="360" w:lineRule="auto"/>
        <w:jc w:val="both"/>
        <w:rPr>
          <w:rFonts w:ascii="Palatino Linotype" w:eastAsia="Calibri" w:hAnsi="Palatino Linotype" w:cs="Times New Roman"/>
          <w:sz w:val="24"/>
          <w:szCs w:val="24"/>
        </w:rPr>
      </w:pPr>
      <w:r w:rsidRPr="005242B7">
        <w:rPr>
          <w:rFonts w:ascii="Palatino Linotype" w:eastAsia="Calibri" w:hAnsi="Palatino Linotype" w:cs="Times New Roman"/>
          <w:sz w:val="24"/>
          <w:szCs w:val="24"/>
          <w:lang w:eastAsia="es-MX"/>
        </w:rPr>
        <w:t xml:space="preserve">De la fundamentación en cita, podemos advertir que la </w:t>
      </w:r>
      <w:r w:rsidRPr="005242B7">
        <w:rPr>
          <w:rFonts w:ascii="Palatino Linotype" w:eastAsia="Calibri" w:hAnsi="Palatino Linotype" w:cs="Times New Roman"/>
          <w:sz w:val="24"/>
          <w:szCs w:val="24"/>
        </w:rPr>
        <w:t xml:space="preserve">Ley del Trabajo de los Servidores Públicos del Estado y Municipios, es la que regula las relaciones laborales entre las entidades gubernamentales y los servidores públicos, en ella se establece que toda relación de trabajo deberá estar sustentada por un nombramiento, contrato o un </w:t>
      </w:r>
      <w:r w:rsidRPr="005242B7">
        <w:rPr>
          <w:rFonts w:ascii="Palatino Linotype" w:eastAsia="Calibri" w:hAnsi="Palatino Linotype" w:cs="Times New Roman"/>
          <w:sz w:val="24"/>
          <w:szCs w:val="24"/>
        </w:rPr>
        <w:lastRenderedPageBreak/>
        <w:t>formato único de movimiento de personal, así también se establecen los requisitos que deben contener los nombramientos, contratos y formato único de movimientos de personal, entre los cuales se encuentra el nombre completo del servidor público, cargo para el que es designado, fecha de inicio de sus servicios, lugar de adscripción, si es general o de confianza, remuneración correspondiente, jornada de trabajo y la firma del servidor público.</w:t>
      </w:r>
    </w:p>
    <w:p w:rsidR="00274A1E" w:rsidRPr="005242B7" w:rsidRDefault="00274A1E" w:rsidP="00274A1E">
      <w:pPr>
        <w:spacing w:before="240" w:after="240" w:line="360" w:lineRule="auto"/>
        <w:jc w:val="both"/>
        <w:rPr>
          <w:rFonts w:ascii="Palatino Linotype" w:eastAsia="Calibri" w:hAnsi="Palatino Linotype" w:cs="Times New Roman"/>
          <w:sz w:val="24"/>
          <w:szCs w:val="24"/>
        </w:rPr>
      </w:pPr>
      <w:r w:rsidRPr="005242B7">
        <w:rPr>
          <w:rFonts w:ascii="Palatino Linotype" w:eastAsia="Calibri" w:hAnsi="Palatino Linotype" w:cs="Times New Roman"/>
          <w:sz w:val="24"/>
          <w:szCs w:val="24"/>
        </w:rPr>
        <w:t xml:space="preserve">Ahora bien, la documentación requerida para poder ingresar al servicio público, refiere a alguno de los tres, en razón de que la documentación solicitada corresponde </w:t>
      </w:r>
      <w:r w:rsidRPr="00BE535E">
        <w:rPr>
          <w:rFonts w:ascii="Palatino Linotype" w:eastAsia="Calibri" w:hAnsi="Palatino Linotype" w:cs="Times New Roman"/>
          <w:sz w:val="24"/>
          <w:szCs w:val="24"/>
        </w:rPr>
        <w:t xml:space="preserve">los nombramientos de los </w:t>
      </w:r>
      <w:r w:rsidR="008C50B8">
        <w:rPr>
          <w:rFonts w:ascii="Palatino Linotype" w:eastAsia="Calibri" w:hAnsi="Palatino Linotype" w:cs="Times New Roman"/>
          <w:sz w:val="24"/>
          <w:szCs w:val="24"/>
        </w:rPr>
        <w:t>D</w:t>
      </w:r>
      <w:r w:rsidR="008C50B8" w:rsidRPr="00BE535E">
        <w:rPr>
          <w:rFonts w:ascii="Palatino Linotype" w:eastAsia="Calibri" w:hAnsi="Palatino Linotype" w:cs="Times New Roman"/>
          <w:sz w:val="24"/>
          <w:szCs w:val="24"/>
        </w:rPr>
        <w:t>irectores</w:t>
      </w:r>
      <w:r w:rsidRPr="00BE535E">
        <w:rPr>
          <w:rFonts w:ascii="Palatino Linotype" w:eastAsia="Calibri" w:hAnsi="Palatino Linotype" w:cs="Times New Roman"/>
          <w:sz w:val="24"/>
          <w:szCs w:val="24"/>
        </w:rPr>
        <w:t xml:space="preserve"> </w:t>
      </w:r>
      <w:r w:rsidR="008C50B8">
        <w:rPr>
          <w:rFonts w:ascii="Palatino Linotype" w:eastAsia="Calibri" w:hAnsi="Palatino Linotype" w:cs="Times New Roman"/>
          <w:sz w:val="24"/>
          <w:szCs w:val="24"/>
        </w:rPr>
        <w:t>del Ayuntamiento de Almoloya del Rio</w:t>
      </w:r>
      <w:r w:rsidRPr="005242B7">
        <w:rPr>
          <w:rFonts w:ascii="Palatino Linotype" w:eastAsia="Calibri" w:hAnsi="Palatino Linotype" w:cs="Times New Roman"/>
          <w:sz w:val="24"/>
          <w:szCs w:val="24"/>
        </w:rPr>
        <w:t xml:space="preserve">, </w:t>
      </w:r>
      <w:r>
        <w:rPr>
          <w:rFonts w:ascii="Palatino Linotype" w:eastAsia="Calibri" w:hAnsi="Palatino Linotype" w:cs="Times New Roman"/>
          <w:sz w:val="24"/>
          <w:szCs w:val="24"/>
        </w:rPr>
        <w:t>e</w:t>
      </w:r>
      <w:r w:rsidR="008C50B8">
        <w:rPr>
          <w:rFonts w:ascii="Palatino Linotype" w:eastAsia="Calibri" w:hAnsi="Palatino Linotype" w:cs="Times New Roman"/>
          <w:sz w:val="24"/>
          <w:szCs w:val="24"/>
        </w:rPr>
        <w:t>s</w:t>
      </w:r>
      <w:r>
        <w:rPr>
          <w:rFonts w:ascii="Palatino Linotype" w:eastAsia="Calibri" w:hAnsi="Palatino Linotype" w:cs="Times New Roman"/>
          <w:sz w:val="24"/>
          <w:szCs w:val="24"/>
        </w:rPr>
        <w:t xml:space="preserve"> oportuno señalar que </w:t>
      </w:r>
      <w:r w:rsidRPr="005242B7">
        <w:rPr>
          <w:rFonts w:ascii="Palatino Linotype" w:eastAsia="Calibri" w:hAnsi="Palatino Linotype" w:cs="Times New Roman"/>
          <w:sz w:val="24"/>
          <w:szCs w:val="24"/>
        </w:rPr>
        <w:t>por el FUMP es utilizado en el sector central y el nombramiento es utilizado mayormente para los mandos medios y superiores.</w:t>
      </w:r>
    </w:p>
    <w:p w:rsidR="00CD5354" w:rsidRDefault="008C50B8"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Por último, respect</w:t>
      </w:r>
      <w:r w:rsidR="00CD5354">
        <w:rPr>
          <w:rFonts w:ascii="Palatino Linotype" w:hAnsi="Palatino Linotype" w:cs="Arial"/>
          <w:bCs/>
        </w:rPr>
        <w:t xml:space="preserve">o </w:t>
      </w:r>
      <w:r>
        <w:rPr>
          <w:rFonts w:ascii="Palatino Linotype" w:hAnsi="Palatino Linotype" w:cs="Arial"/>
          <w:bCs/>
        </w:rPr>
        <w:t xml:space="preserve">a los </w:t>
      </w:r>
      <w:r w:rsidR="00CD5354">
        <w:rPr>
          <w:rFonts w:ascii="Palatino Linotype" w:hAnsi="Palatino Linotype" w:cs="Arial"/>
          <w:bCs/>
        </w:rPr>
        <w:t>punto</w:t>
      </w:r>
      <w:r>
        <w:rPr>
          <w:rFonts w:ascii="Palatino Linotype" w:hAnsi="Palatino Linotype" w:cs="Arial"/>
          <w:bCs/>
        </w:rPr>
        <w:t>s</w:t>
      </w:r>
      <w:r w:rsidR="00CD5354">
        <w:rPr>
          <w:rFonts w:ascii="Palatino Linotype" w:hAnsi="Palatino Linotype" w:cs="Arial"/>
          <w:bCs/>
        </w:rPr>
        <w:t xml:space="preserve"> 4, 5 y 6 de la solicitud de información, </w:t>
      </w:r>
      <w:r>
        <w:rPr>
          <w:rFonts w:ascii="Palatino Linotype" w:hAnsi="Palatino Linotype" w:cs="Arial"/>
          <w:bCs/>
        </w:rPr>
        <w:t>la Ley Orgánica Municipal del Estado de México y Municipios, establece de lo siguiente:</w:t>
      </w:r>
    </w:p>
    <w:p w:rsidR="00295647" w:rsidRPr="00CA7C3E" w:rsidRDefault="00295647" w:rsidP="00CA7C3E">
      <w:pPr>
        <w:pStyle w:val="Prrafodelista"/>
        <w:spacing w:before="240" w:after="240" w:line="360" w:lineRule="auto"/>
        <w:jc w:val="both"/>
        <w:rPr>
          <w:rFonts w:ascii="Palatino Linotype" w:hAnsi="Palatino Linotype"/>
          <w:i/>
          <w:iCs/>
          <w:sz w:val="22"/>
          <w:szCs w:val="22"/>
        </w:rPr>
      </w:pPr>
      <w:r w:rsidRPr="00CA7C3E">
        <w:rPr>
          <w:rFonts w:ascii="Palatino Linotype" w:hAnsi="Palatino Linotype"/>
          <w:i/>
          <w:iCs/>
          <w:sz w:val="22"/>
          <w:szCs w:val="22"/>
        </w:rPr>
        <w:t xml:space="preserve">Artículo 31.- Son atribuciones de los ayuntamientos: </w:t>
      </w:r>
    </w:p>
    <w:p w:rsidR="00295647" w:rsidRPr="00CA7C3E" w:rsidRDefault="00295647" w:rsidP="00CA7C3E">
      <w:pPr>
        <w:pStyle w:val="Prrafodelista"/>
        <w:spacing w:before="240" w:after="240" w:line="360" w:lineRule="auto"/>
        <w:jc w:val="both"/>
        <w:rPr>
          <w:rFonts w:ascii="Palatino Linotype" w:hAnsi="Palatino Linotype"/>
          <w:i/>
          <w:iCs/>
          <w:sz w:val="22"/>
          <w:szCs w:val="22"/>
        </w:rPr>
      </w:pPr>
      <w:r w:rsidRPr="00CA7C3E">
        <w:rPr>
          <w:rFonts w:ascii="Palatino Linotype" w:hAnsi="Palatino Linotype"/>
          <w:i/>
          <w:iCs/>
          <w:sz w:val="22"/>
          <w:szCs w:val="22"/>
        </w:rPr>
        <w:t>…</w:t>
      </w:r>
    </w:p>
    <w:p w:rsidR="00295647" w:rsidRPr="00CA7C3E" w:rsidRDefault="00295647" w:rsidP="00CA7C3E">
      <w:pPr>
        <w:pStyle w:val="Prrafodelista"/>
        <w:spacing w:before="240" w:after="240" w:line="360" w:lineRule="auto"/>
        <w:jc w:val="both"/>
        <w:rPr>
          <w:rFonts w:ascii="Palatino Linotype" w:hAnsi="Palatino Linotype"/>
          <w:i/>
          <w:iCs/>
          <w:sz w:val="22"/>
          <w:szCs w:val="22"/>
        </w:rPr>
      </w:pPr>
      <w:r w:rsidRPr="00CA7C3E">
        <w:rPr>
          <w:rFonts w:ascii="Palatino Linotype" w:hAnsi="Palatino Linotype"/>
          <w:i/>
          <w:iCs/>
          <w:sz w:val="22"/>
          <w:szCs w:val="22"/>
        </w:rPr>
        <w:t>XV. Aprobar en sesión de cabildo los movimientos registrados en el libro especial de bienes muebles e inmuebles;</w:t>
      </w:r>
    </w:p>
    <w:p w:rsidR="00295647" w:rsidRPr="00CA7C3E" w:rsidRDefault="00295647" w:rsidP="00CA7C3E">
      <w:pPr>
        <w:pStyle w:val="Prrafodelista"/>
        <w:spacing w:before="240" w:after="240" w:line="360" w:lineRule="auto"/>
        <w:jc w:val="both"/>
        <w:rPr>
          <w:rFonts w:ascii="Palatino Linotype" w:hAnsi="Palatino Linotype"/>
          <w:i/>
          <w:iCs/>
          <w:sz w:val="22"/>
          <w:szCs w:val="22"/>
        </w:rPr>
      </w:pPr>
      <w:r w:rsidRPr="00CA7C3E">
        <w:rPr>
          <w:rFonts w:ascii="Palatino Linotype" w:hAnsi="Palatino Linotype"/>
          <w:i/>
          <w:iCs/>
          <w:sz w:val="22"/>
          <w:szCs w:val="22"/>
        </w:rPr>
        <w:t>…</w:t>
      </w:r>
    </w:p>
    <w:p w:rsidR="00CA7C3E" w:rsidRPr="00CA7C3E" w:rsidRDefault="00295647" w:rsidP="00CA7C3E">
      <w:pPr>
        <w:pStyle w:val="Prrafodelista"/>
        <w:spacing w:before="240" w:after="240" w:line="360" w:lineRule="auto"/>
        <w:jc w:val="both"/>
        <w:rPr>
          <w:rFonts w:ascii="Palatino Linotype" w:hAnsi="Palatino Linotype"/>
          <w:i/>
          <w:iCs/>
          <w:sz w:val="22"/>
          <w:szCs w:val="22"/>
        </w:rPr>
      </w:pPr>
      <w:r w:rsidRPr="00CA7C3E">
        <w:rPr>
          <w:rFonts w:ascii="Palatino Linotype" w:hAnsi="Palatino Linotype"/>
          <w:i/>
          <w:iCs/>
          <w:sz w:val="22"/>
          <w:szCs w:val="22"/>
        </w:rPr>
        <w:t xml:space="preserve">XVII. Nombrar y remover al secretario, tesorero, titulares de las unidades administrativas y de los organismos auxiliares, a propuesta del presidente municipal; para la designación de estos </w:t>
      </w:r>
      <w:r w:rsidRPr="00CA7C3E">
        <w:rPr>
          <w:rFonts w:ascii="Palatino Linotype" w:hAnsi="Palatino Linotype"/>
          <w:i/>
          <w:iCs/>
          <w:sz w:val="22"/>
          <w:szCs w:val="22"/>
        </w:rPr>
        <w:lastRenderedPageBreak/>
        <w:t xml:space="preserve">servidores públicos se preferirá en igualdad de circunstancias a los ciudadanos del Estado vecinos del municipio; </w:t>
      </w:r>
    </w:p>
    <w:p w:rsidR="00CA7C3E" w:rsidRPr="00CA7C3E" w:rsidRDefault="00CA7C3E" w:rsidP="00CA7C3E">
      <w:pPr>
        <w:pStyle w:val="Prrafodelista"/>
        <w:spacing w:before="240" w:after="240" w:line="360" w:lineRule="auto"/>
        <w:jc w:val="both"/>
        <w:rPr>
          <w:rFonts w:ascii="Palatino Linotype" w:hAnsi="Palatino Linotype"/>
          <w:i/>
          <w:iCs/>
          <w:sz w:val="22"/>
          <w:szCs w:val="22"/>
        </w:rPr>
      </w:pPr>
      <w:r w:rsidRPr="00CA7C3E">
        <w:rPr>
          <w:rFonts w:ascii="Palatino Linotype" w:hAnsi="Palatino Linotype"/>
          <w:i/>
          <w:iCs/>
          <w:sz w:val="22"/>
          <w:szCs w:val="22"/>
        </w:rPr>
        <w:t>…</w:t>
      </w:r>
    </w:p>
    <w:p w:rsidR="00295647" w:rsidRPr="00CA7C3E" w:rsidRDefault="00295647" w:rsidP="00CA7C3E">
      <w:pPr>
        <w:pStyle w:val="Prrafodelista"/>
        <w:spacing w:before="240" w:after="240" w:line="360" w:lineRule="auto"/>
        <w:jc w:val="both"/>
        <w:rPr>
          <w:rFonts w:ascii="Palatino Linotype" w:hAnsi="Palatino Linotype" w:cs="Arial"/>
          <w:bCs/>
          <w:i/>
          <w:iCs/>
          <w:sz w:val="22"/>
          <w:szCs w:val="22"/>
        </w:rPr>
      </w:pPr>
      <w:r w:rsidRPr="00CA7C3E">
        <w:rPr>
          <w:rFonts w:ascii="Palatino Linotype" w:hAnsi="Palatino Linotype"/>
          <w:i/>
          <w:iCs/>
          <w:sz w:val="22"/>
          <w:szCs w:val="22"/>
        </w:rPr>
        <w:t>XXI. Formular, aprobar y ejecutar los planes de desarrollo municipal y los Programas correspondientes;</w:t>
      </w:r>
    </w:p>
    <w:p w:rsidR="00634C86" w:rsidRDefault="00DB37FF"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Por su parte la Ley de Transparencia y Acceso a la Información Publica del Estado de México y Municipios establece:</w:t>
      </w:r>
    </w:p>
    <w:p w:rsidR="00DB37FF" w:rsidRPr="00DB37FF" w:rsidRDefault="00DB37FF" w:rsidP="00DB37FF">
      <w:pPr>
        <w:pStyle w:val="Prrafodelista"/>
        <w:spacing w:before="240" w:after="240" w:line="360" w:lineRule="auto"/>
        <w:jc w:val="both"/>
        <w:rPr>
          <w:rFonts w:ascii="Palatino Linotype" w:hAnsi="Palatino Linotype"/>
          <w:i/>
          <w:iCs/>
          <w:sz w:val="22"/>
          <w:szCs w:val="22"/>
        </w:rPr>
      </w:pPr>
      <w:r w:rsidRPr="00DB37FF">
        <w:rPr>
          <w:rFonts w:ascii="Palatino Linotype" w:hAnsi="Palatino Linotype"/>
          <w:i/>
          <w:iCs/>
          <w:sz w:val="22"/>
          <w:szCs w:val="22"/>
        </w:rPr>
        <w:t xml:space="preserve">Artículo 45. Cada sujeto obligado establecerá un Comité de Transparencia, colegiado e integrado por lo menos por tres miembros, debiendo de ser siempre un número impar. </w:t>
      </w:r>
    </w:p>
    <w:p w:rsidR="00DB37FF" w:rsidRPr="00DB37FF" w:rsidRDefault="00DB37FF" w:rsidP="00DB37FF">
      <w:pPr>
        <w:pStyle w:val="Prrafodelista"/>
        <w:spacing w:before="240" w:after="240" w:line="360" w:lineRule="auto"/>
        <w:jc w:val="both"/>
        <w:rPr>
          <w:rFonts w:ascii="Palatino Linotype" w:hAnsi="Palatino Linotype"/>
          <w:i/>
          <w:iCs/>
          <w:sz w:val="22"/>
          <w:szCs w:val="22"/>
        </w:rPr>
      </w:pPr>
      <w:r w:rsidRPr="00DB37FF">
        <w:rPr>
          <w:rFonts w:ascii="Palatino Linotype" w:hAnsi="Palatino Linotype"/>
          <w:i/>
          <w:iCs/>
          <w:sz w:val="22"/>
          <w:szCs w:val="22"/>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w:t>
      </w:r>
    </w:p>
    <w:p w:rsidR="00DB37FF" w:rsidRPr="00DB37FF" w:rsidRDefault="00DB37FF" w:rsidP="00DB37FF">
      <w:pPr>
        <w:pStyle w:val="Prrafodelista"/>
        <w:spacing w:before="240" w:after="240" w:line="360" w:lineRule="auto"/>
        <w:jc w:val="both"/>
        <w:rPr>
          <w:rFonts w:ascii="Palatino Linotype" w:hAnsi="Palatino Linotype"/>
          <w:i/>
          <w:iCs/>
          <w:sz w:val="22"/>
          <w:szCs w:val="22"/>
        </w:rPr>
      </w:pPr>
      <w:r w:rsidRPr="00DB37FF">
        <w:rPr>
          <w:rFonts w:ascii="Palatino Linotype" w:hAnsi="Palatino Linotype"/>
          <w:i/>
          <w:iCs/>
          <w:sz w:val="22"/>
          <w:szCs w:val="22"/>
        </w:rPr>
        <w:t xml:space="preserve">Artículo 46. Los sujetos obligados integrarán sus Comités de Transparencia de la siguiente forma: </w:t>
      </w:r>
    </w:p>
    <w:p w:rsidR="00DB37FF" w:rsidRPr="00DB37FF" w:rsidRDefault="00DB37FF" w:rsidP="00DB37FF">
      <w:pPr>
        <w:pStyle w:val="Prrafodelista"/>
        <w:numPr>
          <w:ilvl w:val="0"/>
          <w:numId w:val="41"/>
        </w:numPr>
        <w:spacing w:before="240" w:after="240" w:line="360" w:lineRule="auto"/>
        <w:ind w:left="1788"/>
        <w:jc w:val="both"/>
        <w:rPr>
          <w:rFonts w:ascii="Palatino Linotype" w:hAnsi="Palatino Linotype"/>
          <w:i/>
          <w:iCs/>
          <w:sz w:val="22"/>
          <w:szCs w:val="22"/>
        </w:rPr>
      </w:pPr>
      <w:r w:rsidRPr="00DB37FF">
        <w:rPr>
          <w:rFonts w:ascii="Palatino Linotype" w:hAnsi="Palatino Linotype"/>
          <w:i/>
          <w:iCs/>
          <w:sz w:val="22"/>
          <w:szCs w:val="22"/>
        </w:rPr>
        <w:t xml:space="preserve">El titular de la unidad de transparencia; </w:t>
      </w:r>
    </w:p>
    <w:p w:rsidR="00DB37FF" w:rsidRPr="00DB37FF" w:rsidRDefault="00DB37FF" w:rsidP="00DB37FF">
      <w:pPr>
        <w:pStyle w:val="Prrafodelista"/>
        <w:numPr>
          <w:ilvl w:val="0"/>
          <w:numId w:val="41"/>
        </w:numPr>
        <w:spacing w:before="240" w:after="240" w:line="360" w:lineRule="auto"/>
        <w:ind w:left="1788"/>
        <w:jc w:val="both"/>
        <w:rPr>
          <w:rFonts w:ascii="Palatino Linotype" w:hAnsi="Palatino Linotype" w:cs="Arial"/>
          <w:i/>
          <w:iCs/>
          <w:sz w:val="22"/>
          <w:szCs w:val="22"/>
        </w:rPr>
      </w:pPr>
      <w:r w:rsidRPr="00DB37FF">
        <w:rPr>
          <w:rFonts w:ascii="Palatino Linotype" w:hAnsi="Palatino Linotype"/>
          <w:i/>
          <w:iCs/>
          <w:sz w:val="22"/>
          <w:szCs w:val="22"/>
        </w:rPr>
        <w:t xml:space="preserve">El responsable del área coordinadora de archivos o equivalente; y </w:t>
      </w:r>
    </w:p>
    <w:p w:rsidR="00DB37FF" w:rsidRPr="00D94D1E" w:rsidRDefault="00DB37FF" w:rsidP="00D94D1E">
      <w:pPr>
        <w:pStyle w:val="Prrafodelista"/>
        <w:numPr>
          <w:ilvl w:val="0"/>
          <w:numId w:val="41"/>
        </w:numPr>
        <w:spacing w:before="240" w:after="240" w:line="360" w:lineRule="auto"/>
        <w:ind w:left="1788"/>
        <w:jc w:val="both"/>
        <w:rPr>
          <w:rFonts w:ascii="Palatino Linotype" w:hAnsi="Palatino Linotype" w:cs="Arial"/>
          <w:i/>
          <w:iCs/>
          <w:sz w:val="22"/>
          <w:szCs w:val="22"/>
        </w:rPr>
      </w:pPr>
      <w:r w:rsidRPr="00DB37FF">
        <w:rPr>
          <w:rFonts w:ascii="Palatino Linotype" w:hAnsi="Palatino Linotype"/>
          <w:i/>
          <w:iCs/>
          <w:sz w:val="22"/>
          <w:szCs w:val="22"/>
        </w:rPr>
        <w:lastRenderedPageBreak/>
        <w:t>El titular del órgano de control interno o equivalente. También estará integrado por el servidor público encargado de la protección de los datos personales cuando sesione para cuestiones relacionadas con esta materia. Todos los Comités de Transparencia deberán registrarse ante el Instituto.</w:t>
      </w:r>
    </w:p>
    <w:p w:rsidR="00634C86" w:rsidRDefault="00D94D1E"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 xml:space="preserve">Bajo esas premisas, se advierte que el sujeto obligado puede contar con la información generada, asimismo, y derivado de que no existo ningún pronunciamiento el sujeto obligado deberá de turnar </w:t>
      </w:r>
      <w:r w:rsidR="00F35DF3">
        <w:rPr>
          <w:rFonts w:ascii="Palatino Linotype" w:hAnsi="Palatino Linotype" w:cs="Arial"/>
          <w:bCs/>
        </w:rPr>
        <w:t>a todas las áreas competentes que pudieran contar con la información, en virtud de garantizar el derecho de acceso del recurrente.</w:t>
      </w:r>
    </w:p>
    <w:p w:rsidR="00F35DF3" w:rsidRDefault="00F35DF3"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t>Por último, es menester que no se señalo temporalidad por parte del particular, sin embargo, dentro del contexto de su solicitud de información se señaló “…la primer quincena…”, por lo que a los ojos de este resolutor se entiende que se solicita la primer quincena desde el momento en que dichos servidores publico iniciaron su cargo y que a manera de ejemplo se muestra a continuación.</w:t>
      </w:r>
    </w:p>
    <w:p w:rsidR="00F35DF3" w:rsidRDefault="00F35DF3" w:rsidP="00C60C4D">
      <w:pPr>
        <w:pStyle w:val="Prrafodelista"/>
        <w:spacing w:before="240" w:after="240" w:line="360" w:lineRule="auto"/>
        <w:ind w:left="0"/>
        <w:jc w:val="both"/>
        <w:rPr>
          <w:rFonts w:ascii="Palatino Linotype" w:hAnsi="Palatino Linotype" w:cs="Arial"/>
          <w:bCs/>
        </w:rPr>
      </w:pPr>
      <w:r>
        <w:rPr>
          <w:noProof/>
          <w:lang w:val="es-MX" w:eastAsia="es-MX"/>
        </w:rPr>
        <w:drawing>
          <wp:inline distT="0" distB="0" distL="0" distR="0" wp14:anchorId="6FC0ECE8" wp14:editId="101BA0BD">
            <wp:extent cx="5632704" cy="3063240"/>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095" t="42667" r="41199" b="18044"/>
                    <a:stretch/>
                  </pic:blipFill>
                  <pic:spPr bwMode="auto">
                    <a:xfrm>
                      <a:off x="0" y="0"/>
                      <a:ext cx="5657087" cy="3076500"/>
                    </a:xfrm>
                    <a:prstGeom prst="rect">
                      <a:avLst/>
                    </a:prstGeom>
                    <a:ln>
                      <a:noFill/>
                    </a:ln>
                    <a:extLst>
                      <a:ext uri="{53640926-AAD7-44D8-BBD7-CCE9431645EC}">
                        <a14:shadowObscured xmlns:a14="http://schemas.microsoft.com/office/drawing/2010/main"/>
                      </a:ext>
                    </a:extLst>
                  </pic:spPr>
                </pic:pic>
              </a:graphicData>
            </a:graphic>
          </wp:inline>
        </w:drawing>
      </w:r>
    </w:p>
    <w:p w:rsidR="00F35DF3" w:rsidRDefault="00F35DF3" w:rsidP="00C60C4D">
      <w:pPr>
        <w:pStyle w:val="Prrafodelista"/>
        <w:spacing w:before="240" w:after="240" w:line="360" w:lineRule="auto"/>
        <w:ind w:left="0"/>
        <w:jc w:val="both"/>
        <w:rPr>
          <w:rFonts w:ascii="Palatino Linotype" w:hAnsi="Palatino Linotype" w:cs="Arial"/>
          <w:bCs/>
        </w:rPr>
      </w:pPr>
      <w:r>
        <w:rPr>
          <w:rFonts w:ascii="Palatino Linotype" w:hAnsi="Palatino Linotype" w:cs="Arial"/>
          <w:bCs/>
        </w:rPr>
        <w:lastRenderedPageBreak/>
        <w:t>Así, de la captura de pantalla se puede apreciar que la Tesorera entro en funciones el uno de enero de dos mil diecinueve, por lo tanto, el sujeto obligado deberá de remitir el documento en donde conste la remuneración bruta y neta de los servidores públicos enunciados en la solicitud de información correspondiente a la primer quincena de enero de dos mil diecinueve.</w:t>
      </w:r>
    </w:p>
    <w:p w:rsidR="0033629B" w:rsidRDefault="0033629B" w:rsidP="0033629B">
      <w:pPr>
        <w:pStyle w:val="Prrafodelista"/>
        <w:numPr>
          <w:ilvl w:val="0"/>
          <w:numId w:val="35"/>
        </w:numPr>
        <w:spacing w:before="240" w:after="240" w:line="360" w:lineRule="auto"/>
        <w:jc w:val="both"/>
        <w:rPr>
          <w:rFonts w:ascii="Palatino Linotype" w:hAnsi="Palatino Linotype" w:cs="Arial"/>
          <w:b/>
        </w:rPr>
      </w:pPr>
      <w:r>
        <w:rPr>
          <w:rFonts w:ascii="Palatino Linotype" w:hAnsi="Palatino Linotype" w:cs="Arial"/>
          <w:b/>
        </w:rPr>
        <w:t xml:space="preserve">De la Versión Pública </w:t>
      </w:r>
    </w:p>
    <w:p w:rsidR="0033629B" w:rsidRDefault="0033629B" w:rsidP="0033629B">
      <w:pPr>
        <w:tabs>
          <w:tab w:val="left" w:pos="709"/>
        </w:tabs>
        <w:spacing w:before="240" w:line="360" w:lineRule="auto"/>
        <w:ind w:right="51"/>
        <w:jc w:val="both"/>
        <w:rPr>
          <w:rFonts w:ascii="Palatino Linotype" w:eastAsia="Calibri" w:hAnsi="Palatino Linotype" w:cs="Arial"/>
          <w:sz w:val="24"/>
        </w:rPr>
      </w:pPr>
      <w:r>
        <w:rPr>
          <w:rFonts w:ascii="Palatino Linotype" w:eastAsia="Calibri" w:hAnsi="Palatino Linotype" w:cs="Arial"/>
          <w:sz w:val="24"/>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33629B" w:rsidRDefault="0033629B" w:rsidP="0033629B">
      <w:pPr>
        <w:tabs>
          <w:tab w:val="left" w:pos="709"/>
        </w:tabs>
        <w:spacing w:before="240" w:line="360" w:lineRule="auto"/>
        <w:ind w:right="51"/>
        <w:jc w:val="both"/>
        <w:rPr>
          <w:rFonts w:ascii="Palatino Linotype" w:eastAsia="Calibri" w:hAnsi="Palatino Linotype" w:cs="Arial"/>
          <w:sz w:val="24"/>
        </w:rPr>
      </w:pPr>
      <w:r>
        <w:rPr>
          <w:rFonts w:ascii="Palatino Linotype" w:eastAsia="Calibri" w:hAnsi="Palatino Linotype" w:cs="Arial"/>
          <w:sz w:val="24"/>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33629B" w:rsidRDefault="0033629B" w:rsidP="0033629B">
      <w:pPr>
        <w:tabs>
          <w:tab w:val="left" w:pos="709"/>
        </w:tabs>
        <w:spacing w:before="240" w:line="360" w:lineRule="auto"/>
        <w:ind w:right="51"/>
        <w:jc w:val="both"/>
        <w:rPr>
          <w:rFonts w:ascii="Palatino Linotype" w:eastAsia="Calibri" w:hAnsi="Palatino Linotype" w:cs="Arial"/>
          <w:sz w:val="24"/>
        </w:rPr>
      </w:pPr>
      <w:r>
        <w:rPr>
          <w:rFonts w:ascii="Palatino Linotype" w:eastAsia="Calibri" w:hAnsi="Palatino Linotype" w:cs="Arial"/>
          <w:sz w:val="24"/>
        </w:rPr>
        <w:lastRenderedPageBreak/>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rsidR="0033629B" w:rsidRDefault="0033629B" w:rsidP="0033629B">
      <w:pPr>
        <w:tabs>
          <w:tab w:val="left" w:pos="709"/>
        </w:tabs>
        <w:spacing w:before="240" w:line="360" w:lineRule="auto"/>
        <w:ind w:right="51"/>
        <w:jc w:val="both"/>
        <w:rPr>
          <w:rFonts w:ascii="Palatino Linotype" w:eastAsia="Calibri" w:hAnsi="Palatino Linotype" w:cs="Arial"/>
          <w:sz w:val="24"/>
        </w:rPr>
      </w:pPr>
      <w:r>
        <w:rPr>
          <w:rFonts w:ascii="Palatino Linotype" w:eastAsia="Calibri" w:hAnsi="Palatino Linotype" w:cs="Arial"/>
          <w:sz w:val="24"/>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33629B" w:rsidRDefault="0033629B" w:rsidP="0033629B">
      <w:pPr>
        <w:spacing w:before="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Pr>
          <w:rFonts w:ascii="Palatino Linotype" w:eastAsia="Times New Roman" w:hAnsi="Palatino Linotype" w:cs="Times New Roman"/>
          <w:sz w:val="24"/>
          <w:szCs w:val="24"/>
          <w:lang w:val="es-ES_tradnl" w:eastAsia="es-ES"/>
        </w:rPr>
        <w:t>el Sujeto Obligado</w:t>
      </w:r>
      <w:r>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33629B" w:rsidRDefault="0033629B" w:rsidP="0033629B">
      <w:pPr>
        <w:spacing w:before="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33629B" w:rsidRDefault="0033629B" w:rsidP="0033629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Al respecto, el máximo tribunal del país ha establecido jurisprudencia respecto a qué debe entenderse por fundamentación y motivación, en los siguientes términos:</w:t>
      </w:r>
    </w:p>
    <w:p w:rsidR="0033629B" w:rsidRDefault="0033629B" w:rsidP="0033629B">
      <w:pPr>
        <w:spacing w:after="0" w:line="360" w:lineRule="auto"/>
        <w:jc w:val="both"/>
        <w:rPr>
          <w:rFonts w:ascii="Palatino Linotype" w:eastAsia="Times New Roman" w:hAnsi="Palatino Linotype" w:cs="Times New Roman"/>
          <w:sz w:val="24"/>
          <w:szCs w:val="24"/>
          <w:lang w:eastAsia="es-ES"/>
        </w:rPr>
      </w:pPr>
    </w:p>
    <w:p w:rsidR="0033629B" w:rsidRDefault="0033629B" w:rsidP="0033629B">
      <w:pPr>
        <w:spacing w:after="0" w:line="240" w:lineRule="auto"/>
        <w:ind w:left="567" w:right="616"/>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 xml:space="preserve">FUNDAMENTACIÓN Y MOTIVACIÓN. </w:t>
      </w:r>
      <w:r>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33629B" w:rsidRDefault="0033629B" w:rsidP="0033629B">
      <w:pPr>
        <w:spacing w:after="0" w:line="360" w:lineRule="auto"/>
        <w:jc w:val="both"/>
        <w:rPr>
          <w:rFonts w:ascii="Palatino Linotype" w:eastAsia="Times New Roman" w:hAnsi="Palatino Linotype" w:cs="Times New Roman"/>
          <w:sz w:val="24"/>
          <w:szCs w:val="24"/>
          <w:lang w:eastAsia="es-ES"/>
        </w:rPr>
      </w:pPr>
    </w:p>
    <w:p w:rsidR="0033629B" w:rsidRDefault="0033629B" w:rsidP="0033629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33629B" w:rsidRDefault="0033629B" w:rsidP="0033629B">
      <w:pPr>
        <w:spacing w:after="0" w:line="360" w:lineRule="auto"/>
        <w:jc w:val="both"/>
        <w:rPr>
          <w:rFonts w:ascii="Palatino Linotype" w:eastAsia="Times New Roman" w:hAnsi="Palatino Linotype" w:cs="Times New Roman"/>
          <w:sz w:val="24"/>
          <w:szCs w:val="24"/>
          <w:lang w:eastAsia="es-ES"/>
        </w:rPr>
      </w:pPr>
    </w:p>
    <w:p w:rsidR="0033629B" w:rsidRDefault="0033629B" w:rsidP="0033629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33629B" w:rsidRDefault="0033629B" w:rsidP="0033629B">
      <w:pPr>
        <w:spacing w:after="0" w:line="360" w:lineRule="auto"/>
        <w:jc w:val="both"/>
        <w:rPr>
          <w:rFonts w:ascii="Palatino Linotype" w:eastAsia="Times New Roman" w:hAnsi="Palatino Linotype" w:cs="Times New Roman"/>
          <w:sz w:val="24"/>
          <w:szCs w:val="24"/>
          <w:lang w:eastAsia="es-ES"/>
        </w:rPr>
      </w:pPr>
    </w:p>
    <w:p w:rsidR="0033629B" w:rsidRDefault="0033629B" w:rsidP="0033629B">
      <w:pPr>
        <w:spacing w:after="0" w:line="240" w:lineRule="auto"/>
        <w:ind w:left="567" w:right="616"/>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w:t>
      </w:r>
      <w:r>
        <w:rPr>
          <w:rFonts w:ascii="Palatino Linotype" w:eastAsia="Times New Roman" w:hAnsi="Palatino Linotype" w:cs="Times New Roman"/>
          <w:i/>
          <w:lang w:eastAsia="es-ES"/>
        </w:rPr>
        <w:lastRenderedPageBreak/>
        <w:t>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33629B" w:rsidRDefault="0033629B" w:rsidP="0033629B">
      <w:pPr>
        <w:spacing w:after="0" w:line="360" w:lineRule="auto"/>
        <w:jc w:val="both"/>
        <w:rPr>
          <w:rFonts w:ascii="Palatino Linotype" w:eastAsia="Times New Roman" w:hAnsi="Palatino Linotype" w:cs="Times New Roman"/>
          <w:sz w:val="24"/>
          <w:szCs w:val="24"/>
          <w:lang w:eastAsia="es-ES"/>
        </w:rPr>
      </w:pPr>
    </w:p>
    <w:p w:rsidR="0033629B" w:rsidRDefault="0033629B" w:rsidP="0033629B">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33629B" w:rsidRDefault="0033629B" w:rsidP="0033629B">
      <w:pPr>
        <w:spacing w:after="0" w:line="360" w:lineRule="auto"/>
        <w:jc w:val="both"/>
        <w:rPr>
          <w:rFonts w:ascii="Palatino Linotype" w:eastAsia="Times New Roman" w:hAnsi="Palatino Linotype" w:cs="Times New Roman"/>
          <w:sz w:val="24"/>
          <w:szCs w:val="24"/>
          <w:lang w:eastAsia="es-ES"/>
        </w:rPr>
      </w:pPr>
    </w:p>
    <w:p w:rsidR="0033629B" w:rsidRDefault="0033629B" w:rsidP="0033629B">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3629B" w:rsidRDefault="0033629B" w:rsidP="0033629B">
      <w:pPr>
        <w:spacing w:after="0" w:line="360" w:lineRule="auto"/>
        <w:jc w:val="both"/>
        <w:rPr>
          <w:rFonts w:ascii="Palatino Linotype" w:eastAsia="Times New Roman" w:hAnsi="Palatino Linotype" w:cs="Times New Roman"/>
          <w:sz w:val="24"/>
          <w:szCs w:val="24"/>
          <w:lang w:eastAsia="es-ES"/>
        </w:rPr>
      </w:pPr>
    </w:p>
    <w:p w:rsidR="0033629B" w:rsidRDefault="0033629B" w:rsidP="0033629B">
      <w:pPr>
        <w:spacing w:after="0" w:line="360" w:lineRule="auto"/>
        <w:jc w:val="both"/>
        <w:rPr>
          <w:rFonts w:ascii="Palatino Linotype" w:eastAsia="Times New Roman" w:hAnsi="Palatino Linotype" w:cs="Arial"/>
          <w:bCs/>
          <w:sz w:val="24"/>
          <w:szCs w:val="24"/>
          <w:lang w:eastAsia="es-ES"/>
        </w:rPr>
      </w:pPr>
      <w:r>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w:t>
      </w:r>
      <w:r>
        <w:rPr>
          <w:rFonts w:ascii="Palatino Linotype" w:eastAsia="Times New Roman" w:hAnsi="Palatino Linotype" w:cs="Arial"/>
          <w:bCs/>
          <w:sz w:val="24"/>
          <w:szCs w:val="24"/>
          <w:lang w:eastAsia="es-ES"/>
        </w:rPr>
        <w:lastRenderedPageBreak/>
        <w:t xml:space="preserve">fracción I, </w:t>
      </w:r>
      <w:r>
        <w:rPr>
          <w:rFonts w:ascii="Palatino Linotype" w:eastAsia="Times New Roman" w:hAnsi="Palatino Linotype" w:cs="Arial"/>
          <w:sz w:val="24"/>
          <w:szCs w:val="24"/>
          <w:lang w:eastAsia="es-ES"/>
        </w:rPr>
        <w:t xml:space="preserve">de la Ley de Transparencia y Acceso a la Información Pública del Estado de México y Municipios, </w:t>
      </w:r>
      <w:r>
        <w:rPr>
          <w:rFonts w:ascii="Palatino Linotype" w:eastAsia="Times New Roman" w:hAnsi="Palatino Linotype" w:cs="Arial"/>
          <w:bCs/>
          <w:sz w:val="24"/>
          <w:szCs w:val="24"/>
          <w:lang w:eastAsia="es-ES"/>
        </w:rPr>
        <w:t>a efecto de salvaguardar el derecho de acceso a la información pública consignado a favor del Recurrente.</w:t>
      </w:r>
    </w:p>
    <w:p w:rsidR="00BA65E0" w:rsidRPr="00A27459" w:rsidRDefault="00BA65E0" w:rsidP="00A27459">
      <w:pPr>
        <w:pStyle w:val="Prrafodelista"/>
        <w:numPr>
          <w:ilvl w:val="0"/>
          <w:numId w:val="19"/>
        </w:numPr>
        <w:spacing w:before="240" w:after="240" w:line="360" w:lineRule="auto"/>
        <w:jc w:val="both"/>
        <w:rPr>
          <w:rFonts w:ascii="Palatino Linotype" w:hAnsi="Palatino Linotype"/>
          <w:b/>
          <w:i/>
        </w:rPr>
      </w:pPr>
      <w:r w:rsidRPr="00A27459">
        <w:rPr>
          <w:rFonts w:ascii="Palatino Linotype" w:hAnsi="Palatino Linotype"/>
          <w:b/>
          <w:i/>
        </w:rPr>
        <w:t xml:space="preserve">Vista a los Órganos de Control Interno </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BA65E0" w:rsidRPr="00881696" w:rsidRDefault="00BA65E0" w:rsidP="00BA65E0">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BA65E0" w:rsidRPr="006010FE" w:rsidRDefault="00BA65E0" w:rsidP="00BA65E0">
      <w:pPr>
        <w:spacing w:after="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contextualSpacing/>
        <w:jc w:val="both"/>
        <w:rPr>
          <w:sz w:val="8"/>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w:t>
      </w:r>
      <w:r w:rsidRPr="006010FE">
        <w:rPr>
          <w:rFonts w:ascii="Palatino Linotype" w:eastAsia="MS Mincho" w:hAnsi="Palatino Linotype"/>
          <w:sz w:val="24"/>
        </w:rPr>
        <w:lastRenderedPageBreak/>
        <w:t xml:space="preserve">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BA65E0" w:rsidRPr="006010FE" w:rsidRDefault="00BA65E0" w:rsidP="00BA65E0">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w:t>
      </w:r>
    </w:p>
    <w:p w:rsidR="00BA65E0" w:rsidRPr="00C77DFD" w:rsidRDefault="00BA65E0" w:rsidP="00BA65E0">
      <w:pPr>
        <w:spacing w:before="240" w:line="360" w:lineRule="auto"/>
        <w:ind w:left="567"/>
        <w:jc w:val="both"/>
        <w:rPr>
          <w:rFonts w:ascii="Palatino Linotype" w:hAnsi="Palatino Linotype"/>
          <w:i/>
        </w:rPr>
      </w:pPr>
      <w:r w:rsidRPr="00C77DFD">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A65E0" w:rsidRPr="00C77DFD" w:rsidRDefault="00BA65E0" w:rsidP="00BA65E0">
      <w:pPr>
        <w:spacing w:before="240" w:line="360" w:lineRule="auto"/>
        <w:jc w:val="both"/>
        <w:rPr>
          <w:rFonts w:ascii="Palatino Linotype" w:hAnsi="Palatino Linotype"/>
          <w:sz w:val="24"/>
        </w:rPr>
      </w:pPr>
      <w:r w:rsidRPr="00C77DFD">
        <w:rPr>
          <w:rFonts w:ascii="Palatino Linotype" w:hAnsi="Palatino Linotype"/>
          <w:sz w:val="24"/>
        </w:rPr>
        <w:t xml:space="preserve">Por lo que es menester en este asunto, dar vista al Órgano de Control Interno de este Instituto para que en ejercicio de sus atribuciones atienda las directivas marcadas en la propia Ley de la materia, con fundamento en el artículo 190, de la ley de la materia, </w:t>
      </w:r>
      <w:r w:rsidRPr="00C77DFD">
        <w:rPr>
          <w:rFonts w:ascii="Palatino Linotype" w:hAnsi="Palatino Linotype"/>
          <w:sz w:val="24"/>
        </w:rPr>
        <w:lastRenderedPageBreak/>
        <w:t>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27459" w:rsidRPr="006010FE" w:rsidRDefault="00A27459" w:rsidP="00A27459">
      <w:pPr>
        <w:autoSpaceDE w:val="0"/>
        <w:autoSpaceDN w:val="0"/>
        <w:adjustRightInd w:val="0"/>
        <w:spacing w:before="240" w:after="240" w:line="360" w:lineRule="auto"/>
        <w:jc w:val="both"/>
        <w:rPr>
          <w:rFonts w:ascii="Palatino Linotype" w:hAnsi="Palatino Linotype" w:cs="Arial"/>
          <w:sz w:val="24"/>
          <w:szCs w:val="24"/>
        </w:rPr>
      </w:pPr>
      <w:r w:rsidRPr="006010F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6010FE">
        <w:rPr>
          <w:rFonts w:ascii="Palatino Linotype" w:hAnsi="Palatino Linotype" w:cs="Arial"/>
          <w:b/>
          <w:sz w:val="24"/>
          <w:szCs w:val="24"/>
        </w:rPr>
        <w:t>ORDENA</w:t>
      </w:r>
      <w:r w:rsidRPr="006010FE">
        <w:rPr>
          <w:rFonts w:ascii="Palatino Linotype" w:hAnsi="Palatino Linotype" w:cs="Arial"/>
          <w:sz w:val="24"/>
          <w:szCs w:val="24"/>
        </w:rPr>
        <w:t xml:space="preserve"> al </w:t>
      </w:r>
      <w:r w:rsidRPr="006010FE">
        <w:rPr>
          <w:rFonts w:ascii="Palatino Linotype" w:hAnsi="Palatino Linotype" w:cs="Arial"/>
          <w:b/>
          <w:sz w:val="24"/>
          <w:szCs w:val="24"/>
        </w:rPr>
        <w:t>Sujeto Obligado</w:t>
      </w:r>
      <w:r w:rsidRPr="006010FE">
        <w:rPr>
          <w:rFonts w:ascii="Palatino Linotype" w:hAnsi="Palatino Linotype" w:cs="Arial"/>
          <w:sz w:val="24"/>
          <w:szCs w:val="24"/>
        </w:rPr>
        <w:t xml:space="preserve">, atienda la solicitud de información </w:t>
      </w:r>
      <w:r w:rsidR="00634C86" w:rsidRPr="00634C86">
        <w:rPr>
          <w:rFonts w:ascii="Palatino Linotype" w:hAnsi="Palatino Linotype" w:cs="Arial"/>
          <w:b/>
          <w:sz w:val="24"/>
        </w:rPr>
        <w:t>00071/ALMORI/IP/2019</w:t>
      </w:r>
      <w:r>
        <w:rPr>
          <w:rFonts w:ascii="Palatino Linotype" w:hAnsi="Palatino Linotype" w:cs="Arial"/>
          <w:sz w:val="24"/>
        </w:rPr>
        <w:t>,</w:t>
      </w:r>
      <w:r w:rsidRPr="006010FE">
        <w:rPr>
          <w:rFonts w:ascii="Palatino Linotype" w:hAnsi="Palatino Linotype" w:cs="Arial"/>
          <w:sz w:val="24"/>
          <w:szCs w:val="24"/>
        </w:rPr>
        <w:t xml:space="preserve"> que ha sido materia del presente fallo.</w:t>
      </w:r>
    </w:p>
    <w:p w:rsidR="00A27459" w:rsidRDefault="00A27459" w:rsidP="00A27459">
      <w:pPr>
        <w:spacing w:before="240" w:line="360" w:lineRule="auto"/>
        <w:jc w:val="both"/>
        <w:rPr>
          <w:rFonts w:ascii="Palatino Linotype" w:hAnsi="Palatino Linotype" w:cs="Arial"/>
          <w:sz w:val="24"/>
        </w:rPr>
      </w:pPr>
      <w:r>
        <w:rPr>
          <w:rFonts w:ascii="Palatino Linotype" w:hAnsi="Palatino Linotype" w:cs="Arial"/>
          <w:sz w:val="24"/>
        </w:rPr>
        <w:t>Por lo antes expuesto y fundado es de resolverse y;</w:t>
      </w:r>
    </w:p>
    <w:p w:rsidR="00356B40" w:rsidRDefault="00356B40" w:rsidP="00A27459">
      <w:pPr>
        <w:spacing w:before="240" w:line="360" w:lineRule="auto"/>
        <w:jc w:val="both"/>
        <w:rPr>
          <w:rFonts w:ascii="Palatino Linotype" w:hAnsi="Palatino Linotype" w:cs="Arial"/>
          <w:sz w:val="24"/>
        </w:rPr>
      </w:pPr>
    </w:p>
    <w:p w:rsidR="00A27459" w:rsidRDefault="00A27459" w:rsidP="00A27459">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A27459" w:rsidRDefault="00A27459" w:rsidP="00A27459">
      <w:pPr>
        <w:tabs>
          <w:tab w:val="left" w:pos="8647"/>
        </w:tabs>
        <w:spacing w:after="0" w:line="360" w:lineRule="auto"/>
        <w:ind w:right="51"/>
        <w:jc w:val="both"/>
        <w:rPr>
          <w:rFonts w:ascii="Palatino Linotype" w:hAnsi="Palatino Linotype" w:cs="Arial"/>
          <w:sz w:val="24"/>
          <w:szCs w:val="24"/>
        </w:rPr>
      </w:pPr>
      <w:r w:rsidRPr="00523CF0">
        <w:rPr>
          <w:rFonts w:ascii="Palatino Linotype" w:hAnsi="Palatino Linotype" w:cs="Arial"/>
          <w:b/>
          <w:sz w:val="28"/>
          <w:szCs w:val="28"/>
          <w:lang w:val="es-ES_tradnl"/>
        </w:rPr>
        <w:t>PRIMERO.</w:t>
      </w:r>
      <w:r>
        <w:rPr>
          <w:rFonts w:ascii="Palatino Linotype" w:hAnsi="Palatino Linotype" w:cs="Arial"/>
          <w:sz w:val="24"/>
          <w:szCs w:val="24"/>
          <w:lang w:val="es-ES_tradnl"/>
        </w:rPr>
        <w:t xml:space="preserve"> </w:t>
      </w:r>
      <w:r>
        <w:rPr>
          <w:rFonts w:ascii="Palatino Linotype" w:hAnsi="Palatino Linotype" w:cs="Arial"/>
          <w:sz w:val="24"/>
          <w:szCs w:val="24"/>
        </w:rPr>
        <w:t xml:space="preserve">Resultan fundadas las razones o motivos de inconformidad hechos valer por </w:t>
      </w:r>
      <w:r>
        <w:rPr>
          <w:rFonts w:ascii="Palatino Linotype" w:hAnsi="Palatino Linotype" w:cs="Arial"/>
          <w:b/>
          <w:sz w:val="24"/>
          <w:szCs w:val="24"/>
        </w:rPr>
        <w:t>el r</w:t>
      </w:r>
      <w:r w:rsidRPr="005B1B6B">
        <w:rPr>
          <w:rFonts w:ascii="Palatino Linotype" w:hAnsi="Palatino Linotype" w:cs="Arial"/>
          <w:b/>
          <w:sz w:val="24"/>
          <w:szCs w:val="24"/>
        </w:rPr>
        <w:t>ecurrente</w:t>
      </w:r>
      <w:r>
        <w:rPr>
          <w:rFonts w:ascii="Palatino Linotype" w:hAnsi="Palatino Linotype" w:cs="Arial"/>
          <w:b/>
          <w:sz w:val="24"/>
          <w:szCs w:val="24"/>
        </w:rPr>
        <w:t>,</w:t>
      </w:r>
      <w:r>
        <w:rPr>
          <w:rFonts w:ascii="Palatino Linotype" w:hAnsi="Palatino Linotype" w:cs="Arial"/>
          <w:sz w:val="24"/>
          <w:szCs w:val="24"/>
        </w:rPr>
        <w:t xml:space="preserve"> en términos del considerando </w:t>
      </w:r>
      <w:r>
        <w:rPr>
          <w:rFonts w:ascii="Palatino Linotype" w:hAnsi="Palatino Linotype" w:cs="Arial"/>
          <w:b/>
          <w:sz w:val="24"/>
          <w:szCs w:val="24"/>
        </w:rPr>
        <w:t>CUARTO</w:t>
      </w:r>
      <w:r>
        <w:rPr>
          <w:rFonts w:ascii="Palatino Linotype" w:hAnsi="Palatino Linotype" w:cs="Arial"/>
          <w:sz w:val="24"/>
          <w:szCs w:val="24"/>
        </w:rPr>
        <w:t>, de la presente resolución.</w:t>
      </w:r>
    </w:p>
    <w:p w:rsidR="00356B40" w:rsidRDefault="00356B40" w:rsidP="00A27459">
      <w:pPr>
        <w:tabs>
          <w:tab w:val="left" w:pos="8647"/>
        </w:tabs>
        <w:spacing w:after="0" w:line="360" w:lineRule="auto"/>
        <w:ind w:right="51"/>
        <w:jc w:val="both"/>
        <w:rPr>
          <w:rFonts w:ascii="Palatino Linotype" w:hAnsi="Palatino Linotype" w:cs="Arial"/>
          <w:sz w:val="24"/>
          <w:szCs w:val="24"/>
        </w:rPr>
      </w:pPr>
    </w:p>
    <w:p w:rsidR="00A27459" w:rsidRDefault="00A27459" w:rsidP="00A27459">
      <w:pPr>
        <w:spacing w:before="240" w:line="360" w:lineRule="auto"/>
        <w:jc w:val="both"/>
        <w:rPr>
          <w:rFonts w:ascii="Palatino Linotype" w:hAnsi="Palatino Linotype" w:cs="Arial"/>
          <w:sz w:val="24"/>
          <w:lang w:eastAsia="es-MX"/>
        </w:rPr>
      </w:pPr>
      <w:r>
        <w:rPr>
          <w:rFonts w:ascii="Palatino Linotype" w:hAnsi="Palatino Linotype" w:cs="Arial"/>
          <w:b/>
          <w:sz w:val="28"/>
          <w:szCs w:val="28"/>
          <w:lang w:val="es-ES_tradnl"/>
        </w:rPr>
        <w:t xml:space="preserve">SEGUNDO. </w:t>
      </w:r>
      <w:r>
        <w:rPr>
          <w:rFonts w:ascii="Palatino Linotype" w:hAnsi="Palatino Linotype" w:cs="Arial"/>
          <w:sz w:val="24"/>
          <w:szCs w:val="24"/>
        </w:rPr>
        <w:t xml:space="preserve">Se </w:t>
      </w:r>
      <w:r>
        <w:rPr>
          <w:rFonts w:ascii="Palatino Linotype" w:hAnsi="Palatino Linotype" w:cs="Arial"/>
          <w:b/>
          <w:sz w:val="24"/>
          <w:szCs w:val="24"/>
        </w:rPr>
        <w:t>ORDENA</w:t>
      </w:r>
      <w:r>
        <w:rPr>
          <w:rFonts w:ascii="Palatino Linotype" w:hAnsi="Palatino Linotype" w:cs="Arial"/>
          <w:sz w:val="24"/>
          <w:szCs w:val="24"/>
        </w:rPr>
        <w:t xml:space="preserve"> al </w:t>
      </w:r>
      <w:r>
        <w:rPr>
          <w:rFonts w:ascii="Palatino Linotype" w:hAnsi="Palatino Linotype" w:cs="Arial"/>
          <w:b/>
          <w:sz w:val="24"/>
          <w:szCs w:val="24"/>
        </w:rPr>
        <w:t>sujeto obligado</w:t>
      </w:r>
      <w:r w:rsidRPr="009020F7">
        <w:rPr>
          <w:rFonts w:ascii="Palatino Linotype" w:hAnsi="Palatino Linotype" w:cs="Arial"/>
          <w:sz w:val="24"/>
          <w:szCs w:val="24"/>
        </w:rPr>
        <w:t xml:space="preserve">, </w:t>
      </w:r>
      <w:r>
        <w:rPr>
          <w:rFonts w:ascii="Palatino Linotype" w:hAnsi="Palatino Linotype" w:cs="Arial"/>
          <w:sz w:val="24"/>
          <w:szCs w:val="24"/>
        </w:rPr>
        <w:t xml:space="preserve">atienda la solicitud de información número </w:t>
      </w:r>
      <w:r w:rsidR="00634C86" w:rsidRPr="00634C86">
        <w:rPr>
          <w:rFonts w:ascii="Palatino Linotype" w:hAnsi="Palatino Linotype" w:cs="Arial"/>
          <w:b/>
          <w:sz w:val="24"/>
        </w:rPr>
        <w:t>00071/ALMORI/IP/2019</w:t>
      </w:r>
      <w:r w:rsidR="006F001B">
        <w:rPr>
          <w:rFonts w:ascii="Palatino Linotype" w:hAnsi="Palatino Linotype" w:cs="Arial"/>
          <w:b/>
          <w:sz w:val="24"/>
        </w:rPr>
        <w:t xml:space="preserve">, </w:t>
      </w:r>
      <w:r w:rsidRPr="00226C6A">
        <w:rPr>
          <w:rFonts w:ascii="Palatino Linotype" w:hAnsi="Palatino Linotype" w:cs="Arial"/>
          <w:sz w:val="24"/>
          <w:szCs w:val="24"/>
        </w:rPr>
        <w:t xml:space="preserve">en términos del considerando </w:t>
      </w:r>
      <w:r>
        <w:rPr>
          <w:rFonts w:ascii="Palatino Linotype" w:hAnsi="Palatino Linotype" w:cs="Arial"/>
          <w:b/>
          <w:sz w:val="24"/>
          <w:szCs w:val="24"/>
        </w:rPr>
        <w:t>cuarto</w:t>
      </w:r>
      <w:r w:rsidRPr="00226C6A">
        <w:rPr>
          <w:rFonts w:ascii="Palatino Linotype" w:hAnsi="Palatino Linotype" w:cs="Arial"/>
          <w:sz w:val="24"/>
          <w:szCs w:val="24"/>
        </w:rPr>
        <w:t xml:space="preserve"> de la presente </w:t>
      </w:r>
      <w:r w:rsidRPr="00226C6A">
        <w:rPr>
          <w:rFonts w:ascii="Palatino Linotype" w:hAnsi="Palatino Linotype" w:cs="Arial"/>
          <w:sz w:val="24"/>
          <w:szCs w:val="24"/>
        </w:rPr>
        <w:lastRenderedPageBreak/>
        <w:t>resolución</w:t>
      </w:r>
      <w:r>
        <w:rPr>
          <w:rFonts w:ascii="Palatino Linotype" w:hAnsi="Palatino Linotype" w:cs="Arial"/>
          <w:sz w:val="24"/>
          <w:lang w:eastAsia="es-MX"/>
        </w:rPr>
        <w:t xml:space="preserve"> y haga entrega al recurrente, a través del SAIMEX, </w:t>
      </w:r>
      <w:r w:rsidR="00AE0A3A">
        <w:rPr>
          <w:rFonts w:ascii="Palatino Linotype" w:hAnsi="Palatino Linotype" w:cs="Arial"/>
          <w:sz w:val="24"/>
          <w:lang w:eastAsia="es-MX"/>
        </w:rPr>
        <w:t xml:space="preserve">en versión publica </w:t>
      </w:r>
      <w:r>
        <w:rPr>
          <w:rFonts w:ascii="Palatino Linotype" w:hAnsi="Palatino Linotype" w:cs="Arial"/>
          <w:sz w:val="24"/>
          <w:lang w:eastAsia="es-MX"/>
        </w:rPr>
        <w:t>de lo siguiente:</w:t>
      </w:r>
    </w:p>
    <w:p w:rsidR="00356B40" w:rsidRDefault="00356B40" w:rsidP="00A27459">
      <w:pPr>
        <w:spacing w:before="240" w:line="360" w:lineRule="auto"/>
        <w:jc w:val="both"/>
        <w:rPr>
          <w:rFonts w:ascii="Palatino Linotype" w:hAnsi="Palatino Linotype" w:cs="Arial"/>
          <w:sz w:val="24"/>
          <w:lang w:eastAsia="es-MX"/>
        </w:rPr>
      </w:pPr>
    </w:p>
    <w:p w:rsidR="00634C86" w:rsidRPr="00634C86" w:rsidRDefault="0010282B" w:rsidP="00634C86">
      <w:pPr>
        <w:pStyle w:val="Prrafodelista"/>
        <w:numPr>
          <w:ilvl w:val="0"/>
          <w:numId w:val="38"/>
        </w:numPr>
        <w:spacing w:before="240" w:after="240" w:line="360" w:lineRule="auto"/>
        <w:jc w:val="both"/>
        <w:rPr>
          <w:rFonts w:ascii="Palatino Linotype" w:hAnsi="Palatino Linotype" w:cs="Arial"/>
          <w:i/>
          <w:iCs/>
        </w:rPr>
      </w:pPr>
      <w:r>
        <w:rPr>
          <w:rFonts w:ascii="Palatino Linotype" w:hAnsi="Palatino Linotype" w:cs="Arial"/>
          <w:i/>
          <w:iCs/>
        </w:rPr>
        <w:t>F</w:t>
      </w:r>
      <w:r w:rsidR="00634C86" w:rsidRPr="00634C86">
        <w:rPr>
          <w:rFonts w:ascii="Palatino Linotype" w:hAnsi="Palatino Linotype" w:cs="Arial"/>
          <w:i/>
          <w:iCs/>
        </w:rPr>
        <w:t xml:space="preserve">iniquito del Ex tesorero municipal </w:t>
      </w:r>
      <w:r>
        <w:rPr>
          <w:rFonts w:ascii="Palatino Linotype" w:hAnsi="Palatino Linotype" w:cs="Arial"/>
          <w:i/>
          <w:iCs/>
        </w:rPr>
        <w:t>referido en la solicitud de información</w:t>
      </w:r>
      <w:r w:rsidR="00634C86" w:rsidRPr="00634C86">
        <w:rPr>
          <w:rFonts w:ascii="Palatino Linotype" w:hAnsi="Palatino Linotype" w:cs="Arial"/>
          <w:i/>
          <w:iCs/>
        </w:rPr>
        <w:t xml:space="preserve"> en el periodo 2016-2018? </w:t>
      </w:r>
    </w:p>
    <w:p w:rsidR="00634C86" w:rsidRPr="00634C86" w:rsidRDefault="0010282B" w:rsidP="00634C86">
      <w:pPr>
        <w:pStyle w:val="Prrafodelista"/>
        <w:numPr>
          <w:ilvl w:val="0"/>
          <w:numId w:val="38"/>
        </w:numPr>
        <w:spacing w:before="240" w:after="240" w:line="360" w:lineRule="auto"/>
        <w:jc w:val="both"/>
        <w:rPr>
          <w:rFonts w:ascii="Palatino Linotype" w:hAnsi="Palatino Linotype" w:cs="Arial"/>
          <w:i/>
          <w:iCs/>
        </w:rPr>
      </w:pPr>
      <w:r>
        <w:rPr>
          <w:rFonts w:ascii="Palatino Linotype" w:hAnsi="Palatino Linotype" w:cs="Arial"/>
          <w:i/>
          <w:iCs/>
        </w:rPr>
        <w:t xml:space="preserve">Documento en donde conste la remuneración </w:t>
      </w:r>
      <w:r w:rsidR="009F6373">
        <w:rPr>
          <w:rFonts w:ascii="Palatino Linotype" w:hAnsi="Palatino Linotype" w:cs="Arial"/>
          <w:i/>
          <w:iCs/>
        </w:rPr>
        <w:t xml:space="preserve">bruta y neta </w:t>
      </w:r>
      <w:r>
        <w:rPr>
          <w:rFonts w:ascii="Palatino Linotype" w:hAnsi="Palatino Linotype" w:cs="Arial"/>
          <w:i/>
          <w:iCs/>
        </w:rPr>
        <w:t xml:space="preserve">correspondiente a la </w:t>
      </w:r>
      <w:r w:rsidR="009F6373">
        <w:rPr>
          <w:rFonts w:ascii="Palatino Linotype" w:hAnsi="Palatino Linotype" w:cs="Arial"/>
          <w:i/>
          <w:iCs/>
        </w:rPr>
        <w:t>primera quincena</w:t>
      </w:r>
      <w:r w:rsidR="00634C86" w:rsidRPr="00634C86">
        <w:rPr>
          <w:rFonts w:ascii="Palatino Linotype" w:hAnsi="Palatino Linotype" w:cs="Arial"/>
          <w:i/>
          <w:iCs/>
        </w:rPr>
        <w:t xml:space="preserve"> </w:t>
      </w:r>
      <w:r>
        <w:rPr>
          <w:rFonts w:ascii="Palatino Linotype" w:hAnsi="Palatino Linotype" w:cs="Arial"/>
          <w:i/>
          <w:iCs/>
        </w:rPr>
        <w:t xml:space="preserve">de </w:t>
      </w:r>
      <w:r w:rsidR="00976322">
        <w:rPr>
          <w:rFonts w:ascii="Palatino Linotype" w:hAnsi="Palatino Linotype" w:cs="Arial"/>
          <w:i/>
          <w:iCs/>
        </w:rPr>
        <w:t>enero</w:t>
      </w:r>
      <w:r>
        <w:rPr>
          <w:rFonts w:ascii="Palatino Linotype" w:hAnsi="Palatino Linotype" w:cs="Arial"/>
          <w:i/>
          <w:iCs/>
        </w:rPr>
        <w:t xml:space="preserve"> de 2019 </w:t>
      </w:r>
      <w:r w:rsidR="00634C86" w:rsidRPr="00634C86">
        <w:rPr>
          <w:rFonts w:ascii="Palatino Linotype" w:hAnsi="Palatino Linotype" w:cs="Arial"/>
          <w:i/>
          <w:iCs/>
        </w:rPr>
        <w:t>del presidente municipal, tesorero, primer regidor, segundo regidor, tercer regidor, cuarto regidor, quinto regidor, sexto regidor, séptimo regidor octavo regidor, noveno regidor, secretario del ayuntamiento, sindico y secretario particular</w:t>
      </w:r>
      <w:r>
        <w:rPr>
          <w:rFonts w:ascii="Palatino Linotype" w:hAnsi="Palatino Linotype" w:cs="Arial"/>
          <w:i/>
          <w:iCs/>
        </w:rPr>
        <w:t>.</w:t>
      </w:r>
    </w:p>
    <w:p w:rsidR="00634C86" w:rsidRPr="00634C86" w:rsidRDefault="0010282B" w:rsidP="00634C86">
      <w:pPr>
        <w:pStyle w:val="Prrafodelista"/>
        <w:numPr>
          <w:ilvl w:val="0"/>
          <w:numId w:val="38"/>
        </w:numPr>
        <w:spacing w:before="240" w:after="240" w:line="360" w:lineRule="auto"/>
        <w:jc w:val="both"/>
        <w:rPr>
          <w:rFonts w:ascii="Palatino Linotype" w:hAnsi="Palatino Linotype" w:cs="Arial"/>
          <w:i/>
          <w:iCs/>
        </w:rPr>
      </w:pPr>
      <w:r>
        <w:rPr>
          <w:rFonts w:ascii="Palatino Linotype" w:hAnsi="Palatino Linotype" w:cs="Arial"/>
          <w:i/>
          <w:iCs/>
        </w:rPr>
        <w:t xml:space="preserve">Acta o documento en donde consten los </w:t>
      </w:r>
      <w:r w:rsidR="00634C86" w:rsidRPr="00634C86">
        <w:rPr>
          <w:rFonts w:ascii="Palatino Linotype" w:hAnsi="Palatino Linotype" w:cs="Arial"/>
          <w:i/>
          <w:iCs/>
        </w:rPr>
        <w:t xml:space="preserve">nombramientos aprobados por cabildo de los directores del ayuntamiento de Almoloya del Río de la administración 2019 </w:t>
      </w:r>
      <w:r>
        <w:rPr>
          <w:rFonts w:ascii="Palatino Linotype" w:hAnsi="Palatino Linotype" w:cs="Arial"/>
          <w:i/>
          <w:iCs/>
        </w:rPr>
        <w:t>–</w:t>
      </w:r>
      <w:r w:rsidR="00634C86" w:rsidRPr="00634C86">
        <w:rPr>
          <w:rFonts w:ascii="Palatino Linotype" w:hAnsi="Palatino Linotype" w:cs="Arial"/>
          <w:i/>
          <w:iCs/>
        </w:rPr>
        <w:t xml:space="preserve"> 2021</w:t>
      </w:r>
      <w:r>
        <w:rPr>
          <w:rFonts w:ascii="Palatino Linotype" w:hAnsi="Palatino Linotype" w:cs="Arial"/>
          <w:i/>
          <w:iCs/>
        </w:rPr>
        <w:t>.</w:t>
      </w:r>
    </w:p>
    <w:p w:rsidR="00634C86" w:rsidRPr="00634C86" w:rsidRDefault="0010282B" w:rsidP="00634C86">
      <w:pPr>
        <w:pStyle w:val="Prrafodelista"/>
        <w:numPr>
          <w:ilvl w:val="0"/>
          <w:numId w:val="38"/>
        </w:numPr>
        <w:spacing w:before="240" w:after="240" w:line="360" w:lineRule="auto"/>
        <w:jc w:val="both"/>
        <w:rPr>
          <w:rFonts w:ascii="Palatino Linotype" w:hAnsi="Palatino Linotype" w:cs="Arial"/>
          <w:i/>
          <w:iCs/>
        </w:rPr>
      </w:pPr>
      <w:r>
        <w:rPr>
          <w:rFonts w:ascii="Palatino Linotype" w:hAnsi="Palatino Linotype" w:cs="Arial"/>
          <w:i/>
          <w:iCs/>
        </w:rPr>
        <w:t>Acta o documento en donde conste</w:t>
      </w:r>
      <w:r w:rsidR="00634C86" w:rsidRPr="00634C86">
        <w:rPr>
          <w:rFonts w:ascii="Palatino Linotype" w:hAnsi="Palatino Linotype" w:cs="Arial"/>
          <w:i/>
          <w:iCs/>
        </w:rPr>
        <w:t xml:space="preserve"> constancia del comité aprobada por cabildo del sistema patrimonial del Ayuntamiento de Almoloya del Río 2019 </w:t>
      </w:r>
      <w:r>
        <w:rPr>
          <w:rFonts w:ascii="Palatino Linotype" w:hAnsi="Palatino Linotype" w:cs="Arial"/>
          <w:i/>
          <w:iCs/>
        </w:rPr>
        <w:t>–</w:t>
      </w:r>
      <w:r w:rsidR="00634C86" w:rsidRPr="00634C86">
        <w:rPr>
          <w:rFonts w:ascii="Palatino Linotype" w:hAnsi="Palatino Linotype" w:cs="Arial"/>
          <w:i/>
          <w:iCs/>
        </w:rPr>
        <w:t xml:space="preserve"> 2021</w:t>
      </w:r>
      <w:r>
        <w:rPr>
          <w:rFonts w:ascii="Palatino Linotype" w:hAnsi="Palatino Linotype" w:cs="Arial"/>
          <w:i/>
          <w:iCs/>
        </w:rPr>
        <w:t>.</w:t>
      </w:r>
    </w:p>
    <w:p w:rsidR="00634C86" w:rsidRPr="00634C86" w:rsidRDefault="0010282B" w:rsidP="00634C86">
      <w:pPr>
        <w:pStyle w:val="Prrafodelista"/>
        <w:numPr>
          <w:ilvl w:val="0"/>
          <w:numId w:val="38"/>
        </w:numPr>
        <w:spacing w:before="240" w:after="240" w:line="360" w:lineRule="auto"/>
        <w:jc w:val="both"/>
        <w:rPr>
          <w:rFonts w:ascii="Palatino Linotype" w:hAnsi="Palatino Linotype" w:cs="Arial"/>
          <w:i/>
          <w:iCs/>
        </w:rPr>
      </w:pPr>
      <w:r>
        <w:rPr>
          <w:rFonts w:ascii="Palatino Linotype" w:hAnsi="Palatino Linotype" w:cs="Arial"/>
          <w:i/>
          <w:iCs/>
        </w:rPr>
        <w:t>Acta o documento en donde conste</w:t>
      </w:r>
      <w:r w:rsidRPr="00634C86">
        <w:rPr>
          <w:rFonts w:ascii="Palatino Linotype" w:hAnsi="Palatino Linotype" w:cs="Arial"/>
          <w:i/>
          <w:iCs/>
        </w:rPr>
        <w:t xml:space="preserve"> </w:t>
      </w:r>
      <w:r w:rsidR="00634C86" w:rsidRPr="00634C86">
        <w:rPr>
          <w:rFonts w:ascii="Palatino Linotype" w:hAnsi="Palatino Linotype" w:cs="Arial"/>
          <w:i/>
          <w:iCs/>
        </w:rPr>
        <w:t xml:space="preserve">constancia del comité de transparencia aprobado por cabildo de la administración 2019 </w:t>
      </w:r>
      <w:r>
        <w:rPr>
          <w:rFonts w:ascii="Palatino Linotype" w:hAnsi="Palatino Linotype" w:cs="Arial"/>
          <w:i/>
          <w:iCs/>
        </w:rPr>
        <w:t>–</w:t>
      </w:r>
      <w:r w:rsidR="00634C86" w:rsidRPr="00634C86">
        <w:rPr>
          <w:rFonts w:ascii="Palatino Linotype" w:hAnsi="Palatino Linotype" w:cs="Arial"/>
          <w:i/>
          <w:iCs/>
        </w:rPr>
        <w:t xml:space="preserve"> 2021</w:t>
      </w:r>
      <w:r>
        <w:rPr>
          <w:rFonts w:ascii="Palatino Linotype" w:hAnsi="Palatino Linotype" w:cs="Arial"/>
          <w:i/>
          <w:iCs/>
        </w:rPr>
        <w:t>.</w:t>
      </w:r>
      <w:r w:rsidR="00634C86" w:rsidRPr="00634C86">
        <w:rPr>
          <w:rFonts w:ascii="Palatino Linotype" w:hAnsi="Palatino Linotype" w:cs="Arial"/>
          <w:i/>
          <w:iCs/>
        </w:rPr>
        <w:t xml:space="preserve"> </w:t>
      </w:r>
    </w:p>
    <w:p w:rsidR="00634C86" w:rsidRPr="00634C86" w:rsidRDefault="0010282B" w:rsidP="00634C86">
      <w:pPr>
        <w:pStyle w:val="Prrafodelista"/>
        <w:numPr>
          <w:ilvl w:val="0"/>
          <w:numId w:val="38"/>
        </w:numPr>
        <w:spacing w:before="240" w:after="240" w:line="360" w:lineRule="auto"/>
        <w:jc w:val="both"/>
        <w:rPr>
          <w:rFonts w:ascii="Palatino Linotype" w:hAnsi="Palatino Linotype" w:cs="Arial"/>
          <w:i/>
          <w:iCs/>
        </w:rPr>
      </w:pPr>
      <w:r>
        <w:rPr>
          <w:rFonts w:ascii="Palatino Linotype" w:hAnsi="Palatino Linotype" w:cs="Arial"/>
          <w:i/>
          <w:iCs/>
        </w:rPr>
        <w:t>Acta o documento en donde conste</w:t>
      </w:r>
      <w:r w:rsidRPr="00634C86">
        <w:rPr>
          <w:rFonts w:ascii="Palatino Linotype" w:hAnsi="Palatino Linotype" w:cs="Arial"/>
          <w:i/>
          <w:iCs/>
        </w:rPr>
        <w:t xml:space="preserve"> </w:t>
      </w:r>
      <w:r w:rsidR="00634C86" w:rsidRPr="00634C86">
        <w:rPr>
          <w:rFonts w:ascii="Palatino Linotype" w:hAnsi="Palatino Linotype" w:cs="Arial"/>
          <w:i/>
          <w:iCs/>
        </w:rPr>
        <w:t>la constancia del comité aprobada por cabildo de bienes</w:t>
      </w:r>
      <w:r>
        <w:rPr>
          <w:rFonts w:ascii="Palatino Linotype" w:hAnsi="Palatino Linotype" w:cs="Arial"/>
          <w:i/>
          <w:iCs/>
        </w:rPr>
        <w:t xml:space="preserve"> muebles</w:t>
      </w:r>
      <w:r w:rsidR="00634C86" w:rsidRPr="00634C86">
        <w:rPr>
          <w:rFonts w:ascii="Palatino Linotype" w:hAnsi="Palatino Linotype" w:cs="Arial"/>
          <w:i/>
          <w:iCs/>
        </w:rPr>
        <w:t xml:space="preserve"> e inmuebles de la administración 2019 </w:t>
      </w:r>
      <w:r>
        <w:rPr>
          <w:rFonts w:ascii="Palatino Linotype" w:hAnsi="Palatino Linotype" w:cs="Arial"/>
          <w:i/>
          <w:iCs/>
        </w:rPr>
        <w:t>–</w:t>
      </w:r>
      <w:r w:rsidR="00634C86" w:rsidRPr="00634C86">
        <w:rPr>
          <w:rFonts w:ascii="Palatino Linotype" w:hAnsi="Palatino Linotype" w:cs="Arial"/>
          <w:i/>
          <w:iCs/>
        </w:rPr>
        <w:t xml:space="preserve"> 2021</w:t>
      </w:r>
      <w:r>
        <w:rPr>
          <w:rFonts w:ascii="Palatino Linotype" w:hAnsi="Palatino Linotype" w:cs="Arial"/>
          <w:i/>
          <w:iCs/>
        </w:rPr>
        <w:t>.</w:t>
      </w:r>
    </w:p>
    <w:p w:rsidR="0010282B" w:rsidRDefault="0010282B" w:rsidP="0010282B">
      <w:pPr>
        <w:spacing w:before="240" w:line="360" w:lineRule="auto"/>
        <w:ind w:left="360"/>
        <w:jc w:val="both"/>
        <w:rPr>
          <w:rFonts w:ascii="Palatino Linotype" w:hAnsi="Palatino Linotype" w:cs="Arial"/>
          <w:i/>
          <w:iCs/>
          <w:sz w:val="24"/>
          <w:szCs w:val="24"/>
        </w:rPr>
      </w:pPr>
      <w:r w:rsidRPr="003B1CEF">
        <w:rPr>
          <w:rFonts w:ascii="Palatino Linotype" w:hAnsi="Palatino Linotype" w:cs="Arial"/>
          <w:i/>
          <w:iCs/>
          <w:sz w:val="24"/>
          <w:szCs w:val="24"/>
        </w:rPr>
        <w:t xml:space="preserve">Como sustento de la versión pública, se deberá entregar el Acuerdo del Comité de Transparencia correspondiente, en términos del artículo 49 fracción VIII y 132 fracción II </w:t>
      </w:r>
      <w:r w:rsidRPr="003B1CEF">
        <w:rPr>
          <w:rFonts w:ascii="Palatino Linotype" w:hAnsi="Palatino Linotype" w:cs="Arial"/>
          <w:i/>
          <w:iCs/>
          <w:sz w:val="24"/>
          <w:szCs w:val="24"/>
        </w:rPr>
        <w:lastRenderedPageBreak/>
        <w:t>de la Ley de Transparencia y Acceso a la Información Pública del Estado de México y Municipios, en el que funde y motive las razones sobre los datos que se supriman o eliminen dentro del soporte documental respectivo y se ponga a disposición de la Recurrente.</w:t>
      </w:r>
    </w:p>
    <w:p w:rsidR="00356B40" w:rsidRPr="003B1CEF" w:rsidRDefault="00356B40" w:rsidP="0010282B">
      <w:pPr>
        <w:spacing w:before="240" w:line="360" w:lineRule="auto"/>
        <w:ind w:left="360"/>
        <w:jc w:val="both"/>
        <w:rPr>
          <w:rFonts w:ascii="Palatino Linotype" w:hAnsi="Palatino Linotype" w:cs="Arial"/>
          <w:i/>
          <w:iCs/>
          <w:sz w:val="24"/>
          <w:szCs w:val="24"/>
        </w:rPr>
      </w:pPr>
    </w:p>
    <w:p w:rsidR="00A27459" w:rsidRDefault="00A27459" w:rsidP="00A27459">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C545B7">
        <w:rPr>
          <w:rFonts w:ascii="Palatino Linotype" w:hAnsi="Palatino Linotype" w:cs="Arial"/>
          <w:sz w:val="28"/>
          <w:szCs w:val="24"/>
        </w:rPr>
        <w:t>.</w:t>
      </w:r>
      <w:r w:rsidRPr="00D05C83">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1620B5">
        <w:rPr>
          <w:rFonts w:ascii="Palatino Linotype" w:hAnsi="Palatino Linotype" w:cs="Arial"/>
          <w:sz w:val="24"/>
          <w:szCs w:val="24"/>
        </w:rPr>
        <w:t xml:space="preserve">la presente resolución </w:t>
      </w:r>
      <w:r w:rsidRPr="00226C6A">
        <w:rPr>
          <w:rFonts w:ascii="Palatino Linotype" w:hAnsi="Palatino Linotype" w:cs="Arial"/>
          <w:sz w:val="24"/>
          <w:szCs w:val="24"/>
        </w:rPr>
        <w:t>al Titular de la Unidad de Transparencia del</w:t>
      </w:r>
      <w:r>
        <w:rPr>
          <w:rFonts w:ascii="Palatino Linotype" w:hAnsi="Palatino Linotype" w:cs="Arial"/>
          <w:b/>
          <w:sz w:val="24"/>
          <w:szCs w:val="24"/>
        </w:rPr>
        <w:t xml:space="preserve"> sujeto o</w:t>
      </w:r>
      <w:r w:rsidRPr="00226C6A">
        <w:rPr>
          <w:rFonts w:ascii="Palatino Linotype" w:hAnsi="Palatino Linotype" w:cs="Arial"/>
          <w:b/>
          <w:sz w:val="24"/>
          <w:szCs w:val="24"/>
        </w:rPr>
        <w:t>bligado</w:t>
      </w:r>
      <w:r w:rsidRPr="00226C6A">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356B40" w:rsidRDefault="00356B40" w:rsidP="00A27459">
      <w:pPr>
        <w:tabs>
          <w:tab w:val="left" w:pos="8647"/>
        </w:tabs>
        <w:spacing w:after="0" w:line="360" w:lineRule="auto"/>
        <w:ind w:right="51"/>
        <w:jc w:val="both"/>
        <w:rPr>
          <w:rFonts w:ascii="Palatino Linotype" w:hAnsi="Palatino Linotype" w:cs="Arial"/>
          <w:sz w:val="24"/>
          <w:szCs w:val="24"/>
        </w:rPr>
      </w:pPr>
    </w:p>
    <w:p w:rsidR="00A27459" w:rsidRDefault="00A27459" w:rsidP="00A2745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w:t>
      </w:r>
      <w:r w:rsidR="00D24D81" w:rsidRPr="00D24D81">
        <w:rPr>
          <w:rFonts w:ascii="Palatino Linotype" w:hAnsi="Palatino Linotype" w:cs="Arial"/>
          <w:b/>
          <w:bCs/>
          <w:sz w:val="24"/>
          <w:szCs w:val="24"/>
        </w:rPr>
        <w:t>NOTIFÍQUESE</w:t>
      </w:r>
      <w:r w:rsidR="00D24D81" w:rsidRPr="00D24D81">
        <w:rPr>
          <w:rFonts w:ascii="Palatino Linotype" w:hAnsi="Palatino Linotype" w:cs="Arial"/>
        </w:rPr>
        <w:t xml:space="preserve"> </w:t>
      </w:r>
      <w:r w:rsidR="00D24D81">
        <w:rPr>
          <w:rFonts w:ascii="Palatino Linotype" w:hAnsi="Palatino Linotype" w:cs="Arial"/>
          <w:sz w:val="24"/>
          <w:szCs w:val="24"/>
        </w:rPr>
        <w:t>la resolución al recurrente, asimismo se le hace del conocimiento</w:t>
      </w:r>
      <w:r>
        <w:rPr>
          <w:rFonts w:ascii="Palatino Linotype" w:hAnsi="Palatino Linotype" w:cs="Arial"/>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356B40" w:rsidRDefault="00356B40" w:rsidP="00A27459">
      <w:pPr>
        <w:autoSpaceDE w:val="0"/>
        <w:autoSpaceDN w:val="0"/>
        <w:adjustRightInd w:val="0"/>
        <w:spacing w:before="240" w:line="360" w:lineRule="auto"/>
        <w:jc w:val="both"/>
        <w:rPr>
          <w:rFonts w:ascii="Palatino Linotype" w:hAnsi="Palatino Linotype" w:cs="Arial"/>
          <w:sz w:val="24"/>
          <w:szCs w:val="24"/>
        </w:rPr>
      </w:pPr>
    </w:p>
    <w:p w:rsidR="00A27459" w:rsidRDefault="00A27459" w:rsidP="00A27459">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QUINTO</w:t>
      </w:r>
      <w:r w:rsidRPr="00E2247F">
        <w:rPr>
          <w:rFonts w:ascii="Palatino Linotype" w:hAnsi="Palatino Linotype" w:cs="Arial"/>
          <w:b/>
          <w:sz w:val="28"/>
          <w:szCs w:val="24"/>
        </w:rPr>
        <w:t>.</w:t>
      </w:r>
      <w:r>
        <w:rPr>
          <w:rFonts w:ascii="Palatino Linotype" w:hAnsi="Palatino Linotype" w:cs="Arial"/>
          <w:b/>
          <w:sz w:val="28"/>
          <w:szCs w:val="24"/>
        </w:rPr>
        <w:t xml:space="preserve"> </w:t>
      </w:r>
      <w:r w:rsidRPr="00E93981">
        <w:rPr>
          <w:rFonts w:ascii="Palatino Linotype" w:eastAsia="MS Mincho" w:hAnsi="Palatino Linotype" w:cs="Times New Roman"/>
          <w:sz w:val="24"/>
          <w:szCs w:val="24"/>
          <w:lang w:val="es-ES_tradnl" w:eastAsia="es-ES"/>
        </w:rPr>
        <w:t xml:space="preserve">Gírese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w:t>
      </w:r>
      <w:r w:rsidRPr="0023221A">
        <w:rPr>
          <w:rFonts w:ascii="Palatino Linotype" w:eastAsia="MS Mincho" w:hAnsi="Palatino Linotype" w:cs="Times New Roman"/>
          <w:sz w:val="24"/>
          <w:szCs w:val="24"/>
          <w:lang w:val="es-ES_tradnl" w:eastAsia="es-ES"/>
        </w:rPr>
        <w:lastRenderedPageBreak/>
        <w:t xml:space="preserve">Acceso a la Información Pública del Estado de México y Municipios, determine lo conducente, en términos del Considerando </w:t>
      </w:r>
      <w:r>
        <w:rPr>
          <w:rFonts w:ascii="Palatino Linotype" w:eastAsia="MS Mincho" w:hAnsi="Palatino Linotype" w:cs="Times New Roman"/>
          <w:b/>
          <w:sz w:val="24"/>
          <w:szCs w:val="24"/>
          <w:lang w:val="es-ES_tradnl" w:eastAsia="es-ES"/>
        </w:rPr>
        <w:t>cuarto</w:t>
      </w:r>
      <w:r>
        <w:rPr>
          <w:rFonts w:ascii="Palatino Linotype" w:eastAsia="MS Mincho" w:hAnsi="Palatino Linotype" w:cs="Times New Roman"/>
          <w:sz w:val="24"/>
          <w:szCs w:val="24"/>
          <w:lang w:val="es-ES_tradnl" w:eastAsia="es-ES"/>
        </w:rPr>
        <w:t>.</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356B40" w:rsidRDefault="00356B40" w:rsidP="00356B40">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24637B">
        <w:rPr>
          <w:rFonts w:ascii="Palatino Linotype" w:hAnsi="Palatino Linotype" w:cs="Arial"/>
          <w:sz w:val="24"/>
          <w:szCs w:val="24"/>
        </w:rPr>
        <w:t>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TRIGÉSIMA CUARTA SESIÓN ORDINARIA CELEBRADA EL DIECINUEVE DE SEPTIEMBRE 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p>
    <w:p w:rsidR="00A902C6" w:rsidRDefault="00A902C6" w:rsidP="00A902C6">
      <w:pPr>
        <w:spacing w:after="0" w:line="360" w:lineRule="auto"/>
        <w:jc w:val="both"/>
        <w:rPr>
          <w:rFonts w:ascii="Palatino Linotype" w:hAnsi="Palatino Linotype"/>
        </w:rPr>
      </w:pPr>
    </w:p>
    <w:p w:rsidR="00356B40" w:rsidRDefault="00356B40" w:rsidP="00A902C6">
      <w:pPr>
        <w:spacing w:after="0" w:line="360" w:lineRule="auto"/>
        <w:jc w:val="both"/>
        <w:rPr>
          <w:rFonts w:ascii="Palatino Linotype" w:hAnsi="Palatino Linotype"/>
        </w:rPr>
      </w:pPr>
    </w:p>
    <w:p w:rsidR="00356B40" w:rsidRDefault="00356B40" w:rsidP="00A902C6">
      <w:pPr>
        <w:spacing w:after="0" w:line="360" w:lineRule="auto"/>
        <w:jc w:val="both"/>
        <w:rPr>
          <w:rFonts w:ascii="Palatino Linotype" w:hAnsi="Palatino Linotype"/>
        </w:rPr>
      </w:pPr>
    </w:p>
    <w:p w:rsidR="00356B40" w:rsidRDefault="00356B40" w:rsidP="00A902C6">
      <w:pPr>
        <w:spacing w:after="0" w:line="360" w:lineRule="auto"/>
        <w:jc w:val="both"/>
        <w:rPr>
          <w:rFonts w:ascii="Palatino Linotype" w:hAnsi="Palatino Linotype"/>
        </w:rPr>
      </w:pPr>
    </w:p>
    <w:p w:rsidR="00A902C6" w:rsidRDefault="00A902C6" w:rsidP="00A902C6">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7696" behindDoc="0" locked="0" layoutInCell="1" allowOverlap="1" wp14:anchorId="669A3454" wp14:editId="44D6607E">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CA7C3E" w:rsidRPr="00EF2FC0" w:rsidRDefault="00CA7C3E" w:rsidP="00A902C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A7C3E" w:rsidRDefault="00CA7C3E"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Default="00CA7C3E" w:rsidP="00A902C6">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9A3454"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7696;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CA7C3E" w:rsidRPr="00EF2FC0" w:rsidRDefault="00CA7C3E" w:rsidP="00A902C6">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CA7C3E" w:rsidRDefault="00CA7C3E"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Default="00CA7C3E" w:rsidP="00A902C6">
                      <w:pPr>
                        <w:spacing w:line="240" w:lineRule="auto"/>
                        <w:jc w:val="center"/>
                        <w:rPr>
                          <w:rFonts w:ascii="Palatino Linotype" w:hAnsi="Palatino Linotype"/>
                          <w:sz w:val="24"/>
                          <w:szCs w:val="24"/>
                        </w:rPr>
                      </w:pPr>
                    </w:p>
                  </w:txbxContent>
                </v:textbox>
                <w10:wrap type="square" anchorx="page"/>
              </v:shape>
            </w:pict>
          </mc:Fallback>
        </mc:AlternateContent>
      </w:r>
    </w:p>
    <w:p w:rsidR="00A902C6" w:rsidRPr="00D54B7D" w:rsidRDefault="00A902C6" w:rsidP="00A902C6">
      <w:pPr>
        <w:spacing w:before="240"/>
        <w:jc w:val="both"/>
        <w:rPr>
          <w:rFonts w:ascii="Palatino Linotype" w:hAnsi="Palatino Linotype"/>
        </w:rPr>
      </w:pPr>
    </w:p>
    <w:p w:rsidR="00A902C6" w:rsidRPr="00D54B7D" w:rsidRDefault="00A902C6" w:rsidP="00A902C6">
      <w:pPr>
        <w:spacing w:before="240"/>
        <w:jc w:val="center"/>
        <w:rPr>
          <w:rFonts w:ascii="Palatino Linotype" w:hAnsi="Palatino Linotype"/>
        </w:rPr>
      </w:pPr>
    </w:p>
    <w:p w:rsidR="00A902C6" w:rsidRDefault="00A902C6" w:rsidP="00A902C6">
      <w:pPr>
        <w:spacing w:before="240"/>
        <w:rPr>
          <w:rFonts w:ascii="Palatino Linotype" w:hAnsi="Palatino Linotype"/>
          <w:b/>
        </w:rPr>
      </w:pPr>
    </w:p>
    <w:p w:rsidR="00A902C6" w:rsidRDefault="00A902C6" w:rsidP="00A902C6">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6F40A3C7" wp14:editId="1DD7F99D">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7C3E" w:rsidRPr="00EF2FC0" w:rsidRDefault="00CA7C3E" w:rsidP="00A902C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A7C3E" w:rsidRDefault="00CA7C3E"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Pr="00797B31" w:rsidRDefault="00CA7C3E" w:rsidP="00A902C6">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0A3C7" id="Cuadro de texto 35" o:spid="_x0000_s1027" type="#_x0000_t202" style="position:absolute;margin-left:149.05pt;margin-top:.9pt;width:200.25pt;height:73.7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CA7C3E" w:rsidRPr="00EF2FC0" w:rsidRDefault="00CA7C3E" w:rsidP="00A902C6">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CA7C3E" w:rsidRDefault="00CA7C3E"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Pr="00797B31" w:rsidRDefault="00CA7C3E" w:rsidP="00A902C6">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018FBA4E" wp14:editId="01EAF3A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7C3E" w:rsidRPr="00EF2FC0" w:rsidRDefault="00CA7C3E" w:rsidP="00A902C6">
                            <w:pPr>
                              <w:jc w:val="center"/>
                              <w:rPr>
                                <w:rFonts w:ascii="Palatino Linotype" w:hAnsi="Palatino Linotype"/>
                                <w:b/>
                                <w:sz w:val="24"/>
                                <w:szCs w:val="24"/>
                              </w:rPr>
                            </w:pPr>
                            <w:r w:rsidRPr="00EF2FC0">
                              <w:rPr>
                                <w:rFonts w:ascii="Palatino Linotype" w:hAnsi="Palatino Linotype"/>
                                <w:b/>
                                <w:sz w:val="24"/>
                                <w:szCs w:val="24"/>
                              </w:rPr>
                              <w:t>Eva Abaid Yapur</w:t>
                            </w:r>
                          </w:p>
                          <w:p w:rsidR="00CA7C3E" w:rsidRPr="00EF2FC0" w:rsidRDefault="00CA7C3E" w:rsidP="00A902C6">
                            <w:pPr>
                              <w:jc w:val="center"/>
                              <w:rPr>
                                <w:rFonts w:ascii="Palatino Linotype" w:hAnsi="Palatino Linotype"/>
                                <w:sz w:val="24"/>
                                <w:szCs w:val="24"/>
                              </w:rPr>
                            </w:pPr>
                            <w:r w:rsidRPr="00EF2FC0">
                              <w:rPr>
                                <w:rFonts w:ascii="Palatino Linotype" w:hAnsi="Palatino Linotype"/>
                                <w:sz w:val="24"/>
                                <w:szCs w:val="24"/>
                              </w:rPr>
                              <w:t>Comisionada</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Default="00CA7C3E" w:rsidP="00A902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FBA4E" id="Cuadro de texto 22" o:spid="_x0000_s1028" type="#_x0000_t202" style="position:absolute;margin-left:0;margin-top:1.65pt;width:153pt;height:78.3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CA7C3E" w:rsidRPr="00EF2FC0" w:rsidRDefault="00CA7C3E" w:rsidP="00A902C6">
                      <w:pPr>
                        <w:jc w:val="center"/>
                        <w:rPr>
                          <w:rFonts w:ascii="Palatino Linotype" w:hAnsi="Palatino Linotype"/>
                          <w:b/>
                          <w:sz w:val="24"/>
                          <w:szCs w:val="24"/>
                        </w:rPr>
                      </w:pPr>
                      <w:r w:rsidRPr="00EF2FC0">
                        <w:rPr>
                          <w:rFonts w:ascii="Palatino Linotype" w:hAnsi="Palatino Linotype"/>
                          <w:b/>
                          <w:sz w:val="24"/>
                          <w:szCs w:val="24"/>
                        </w:rPr>
                        <w:t>Eva Abaid Yapur</w:t>
                      </w:r>
                    </w:p>
                    <w:p w:rsidR="00CA7C3E" w:rsidRPr="00EF2FC0" w:rsidRDefault="00CA7C3E" w:rsidP="00A902C6">
                      <w:pPr>
                        <w:jc w:val="center"/>
                        <w:rPr>
                          <w:rFonts w:ascii="Palatino Linotype" w:hAnsi="Palatino Linotype"/>
                          <w:sz w:val="24"/>
                          <w:szCs w:val="24"/>
                        </w:rPr>
                      </w:pPr>
                      <w:r w:rsidRPr="00EF2FC0">
                        <w:rPr>
                          <w:rFonts w:ascii="Palatino Linotype" w:hAnsi="Palatino Linotype"/>
                          <w:sz w:val="24"/>
                          <w:szCs w:val="24"/>
                        </w:rPr>
                        <w:t>Comisionada</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Default="00CA7C3E" w:rsidP="00A902C6">
                      <w:pPr>
                        <w:jc w:val="center"/>
                      </w:pPr>
                    </w:p>
                  </w:txbxContent>
                </v:textbox>
                <w10:wrap anchorx="margin"/>
              </v:shape>
            </w:pict>
          </mc:Fallback>
        </mc:AlternateContent>
      </w:r>
    </w:p>
    <w:p w:rsidR="00A902C6" w:rsidRPr="00D54B7D" w:rsidRDefault="00A902C6" w:rsidP="00A902C6">
      <w:pPr>
        <w:spacing w:before="240"/>
        <w:rPr>
          <w:rFonts w:ascii="Palatino Linotype" w:hAnsi="Palatino Linotype"/>
          <w:b/>
        </w:rPr>
      </w:pPr>
    </w:p>
    <w:p w:rsidR="00A902C6" w:rsidRPr="00D54B7D" w:rsidRDefault="00A902C6" w:rsidP="00A902C6">
      <w:pPr>
        <w:spacing w:before="240"/>
        <w:rPr>
          <w:rFonts w:ascii="Palatino Linotype" w:hAnsi="Palatino Linotype"/>
          <w:b/>
        </w:rPr>
      </w:pPr>
    </w:p>
    <w:p w:rsidR="00A902C6" w:rsidRDefault="00A902C6" w:rsidP="00A902C6">
      <w:pPr>
        <w:spacing w:before="240"/>
        <w:rPr>
          <w:rFonts w:ascii="Palatino Linotype" w:hAnsi="Palatino Linotype"/>
          <w:b/>
        </w:rPr>
      </w:pPr>
    </w:p>
    <w:p w:rsidR="00A902C6" w:rsidRPr="00B93570" w:rsidRDefault="00A902C6" w:rsidP="00A902C6">
      <w:pPr>
        <w:spacing w:before="240"/>
        <w:rPr>
          <w:rFonts w:ascii="Palatino Linotype" w:hAnsi="Palatino Linotype"/>
          <w:b/>
          <w:sz w:val="18"/>
          <w:szCs w:val="18"/>
        </w:rPr>
      </w:pPr>
    </w:p>
    <w:p w:rsidR="00A902C6" w:rsidRPr="00B93570" w:rsidRDefault="00A902C6" w:rsidP="00A902C6">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8720" behindDoc="0" locked="0" layoutInCell="1" allowOverlap="1" wp14:anchorId="2D91A1FD" wp14:editId="470029DB">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7C3E" w:rsidRPr="00EF2FC0" w:rsidRDefault="00CA7C3E" w:rsidP="00A902C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CA7C3E" w:rsidRPr="00EF2FC0" w:rsidRDefault="00CA7C3E"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Default="00CA7C3E" w:rsidP="00A90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1A1FD" id="Cuadro de texto 4" o:spid="_x0000_s1029" type="#_x0000_t202" style="position:absolute;margin-left:358.05pt;margin-top:19.05pt;width:168pt;height:74.3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CA7C3E" w:rsidRPr="00EF2FC0" w:rsidRDefault="00CA7C3E" w:rsidP="00A902C6">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CA7C3E" w:rsidRPr="00EF2FC0" w:rsidRDefault="00CA7C3E"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Default="00CA7C3E" w:rsidP="00A902C6"/>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6C5297ED" wp14:editId="379B4DB1">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7C3E" w:rsidRPr="00EF2FC0" w:rsidRDefault="00CA7C3E" w:rsidP="00A902C6">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A7C3E" w:rsidRPr="00EF2FC0" w:rsidRDefault="00CA7C3E"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Default="00CA7C3E" w:rsidP="00A90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297ED" id="_x0000_s1030" type="#_x0000_t202" style="position:absolute;margin-left:85.5pt;margin-top:18.25pt;width:168pt;height:74.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CA7C3E" w:rsidRPr="00EF2FC0" w:rsidRDefault="00CA7C3E" w:rsidP="00A902C6">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CA7C3E" w:rsidRPr="00EF2FC0" w:rsidRDefault="00CA7C3E" w:rsidP="00A902C6">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(Rúbrica).</w:t>
                      </w:r>
                    </w:p>
                    <w:p w:rsidR="00CA7C3E" w:rsidRDefault="00CA7C3E" w:rsidP="00A902C6"/>
                  </w:txbxContent>
                </v:textbox>
                <w10:wrap anchorx="page"/>
              </v:shape>
            </w:pict>
          </mc:Fallback>
        </mc:AlternateContent>
      </w:r>
    </w:p>
    <w:p w:rsidR="00A902C6" w:rsidRDefault="00A902C6" w:rsidP="00A902C6">
      <w:pPr>
        <w:spacing w:before="240"/>
        <w:rPr>
          <w:rFonts w:ascii="Palatino Linotype" w:hAnsi="Palatino Linotype"/>
          <w:b/>
        </w:rPr>
      </w:pPr>
    </w:p>
    <w:p w:rsidR="00A902C6" w:rsidRDefault="00A902C6" w:rsidP="00A902C6">
      <w:pPr>
        <w:spacing w:before="240"/>
        <w:rPr>
          <w:rFonts w:ascii="Palatino Linotype" w:hAnsi="Palatino Linotype"/>
          <w:b/>
        </w:rPr>
      </w:pPr>
    </w:p>
    <w:p w:rsidR="00A902C6" w:rsidRDefault="00A902C6" w:rsidP="00A902C6">
      <w:pPr>
        <w:spacing w:before="240"/>
        <w:rPr>
          <w:rFonts w:ascii="Palatino Linotype" w:hAnsi="Palatino Linotype" w:cs="Arial"/>
          <w:szCs w:val="20"/>
        </w:rPr>
      </w:pPr>
    </w:p>
    <w:p w:rsidR="00A902C6" w:rsidRDefault="00A902C6" w:rsidP="00A902C6">
      <w:pPr>
        <w:spacing w:before="240"/>
        <w:rPr>
          <w:rFonts w:ascii="Palatino Linotype" w:hAnsi="Palatino Linotype" w:cs="Arial"/>
          <w:szCs w:val="20"/>
        </w:rPr>
      </w:pPr>
    </w:p>
    <w:p w:rsidR="00A902C6" w:rsidRDefault="00A902C6" w:rsidP="00A902C6">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5C005D09" wp14:editId="14FE0507">
                <wp:simplePos x="0" y="0"/>
                <wp:positionH relativeFrom="page">
                  <wp:posOffset>2410691</wp:posOffset>
                </wp:positionH>
                <wp:positionV relativeFrom="paragraph">
                  <wp:posOffset>340187</wp:posOffset>
                </wp:positionV>
                <wp:extent cx="3152775" cy="855023"/>
                <wp:effectExtent l="0" t="0" r="28575" b="21590"/>
                <wp:wrapNone/>
                <wp:docPr id="24" name="Cuadro de texto 24"/>
                <wp:cNvGraphicFramePr/>
                <a:graphic xmlns:a="http://schemas.openxmlformats.org/drawingml/2006/main">
                  <a:graphicData uri="http://schemas.microsoft.com/office/word/2010/wordprocessingShape">
                    <wps:wsp>
                      <wps:cNvSpPr txBox="1"/>
                      <wps:spPr>
                        <a:xfrm>
                          <a:off x="0" y="0"/>
                          <a:ext cx="3152775" cy="85502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A7C3E" w:rsidRPr="007F6133" w:rsidRDefault="00CA7C3E" w:rsidP="00A902C6">
                            <w:pPr>
                              <w:jc w:val="center"/>
                              <w:rPr>
                                <w:rFonts w:ascii="Palatino Linotype" w:hAnsi="Palatino Linotype"/>
                                <w:b/>
                                <w:sz w:val="24"/>
                                <w:szCs w:val="24"/>
                              </w:rPr>
                            </w:pPr>
                            <w:r w:rsidRPr="00B86F1F">
                              <w:rPr>
                                <w:rFonts w:ascii="Palatino Linotype" w:hAnsi="Palatino Linotype"/>
                                <w:b/>
                                <w:sz w:val="24"/>
                                <w:szCs w:val="24"/>
                              </w:rPr>
                              <w:t>Alexis Tapia Ramírez</w:t>
                            </w:r>
                          </w:p>
                          <w:p w:rsidR="00CA7C3E" w:rsidRDefault="00CA7C3E" w:rsidP="00A902C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CA7C3E" w:rsidRDefault="00CA7C3E" w:rsidP="00A902C6">
                            <w:pPr>
                              <w:jc w:val="center"/>
                              <w:rPr>
                                <w:rFonts w:ascii="Palatino Linotype" w:hAnsi="Palatino Linotype"/>
                                <w:sz w:val="24"/>
                                <w:szCs w:val="24"/>
                              </w:rPr>
                            </w:pPr>
                          </w:p>
                          <w:p w:rsidR="00CA7C3E" w:rsidRPr="00EF2FC0" w:rsidRDefault="00CA7C3E" w:rsidP="00A902C6">
                            <w:pPr>
                              <w:jc w:val="center"/>
                              <w:rPr>
                                <w:rFonts w:ascii="Palatino Linotype" w:hAnsi="Palatino Linotype"/>
                                <w:sz w:val="24"/>
                                <w:szCs w:val="24"/>
                              </w:rPr>
                            </w:pPr>
                          </w:p>
                          <w:p w:rsidR="00CA7C3E" w:rsidRDefault="00CA7C3E" w:rsidP="00A902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05D09" id="Cuadro de texto 24" o:spid="_x0000_s1031" type="#_x0000_t202" style="position:absolute;margin-left:189.8pt;margin-top:26.8pt;width:248.25pt;height:67.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" fillcolor="white [3201]" strokecolor="white [3212]" strokeweight=".5pt">
                <v:textbox>
                  <w:txbxContent>
                    <w:p w:rsidR="00CA7C3E" w:rsidRPr="007F6133" w:rsidRDefault="00CA7C3E" w:rsidP="00A902C6">
                      <w:pPr>
                        <w:jc w:val="center"/>
                        <w:rPr>
                          <w:rFonts w:ascii="Palatino Linotype" w:hAnsi="Palatino Linotype"/>
                          <w:b/>
                          <w:sz w:val="24"/>
                          <w:szCs w:val="24"/>
                        </w:rPr>
                      </w:pPr>
                      <w:r w:rsidRPr="00B86F1F">
                        <w:rPr>
                          <w:rFonts w:ascii="Palatino Linotype" w:hAnsi="Palatino Linotype"/>
                          <w:b/>
                          <w:sz w:val="24"/>
                          <w:szCs w:val="24"/>
                        </w:rPr>
                        <w:t>Alexis Tapia Ramírez</w:t>
                      </w:r>
                    </w:p>
                    <w:p w:rsidR="00CA7C3E" w:rsidRDefault="00CA7C3E" w:rsidP="00A902C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CA7C3E" w:rsidRDefault="00CA7C3E" w:rsidP="00A902C6">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CA7C3E" w:rsidRDefault="00CA7C3E" w:rsidP="00A902C6">
                      <w:pPr>
                        <w:jc w:val="center"/>
                        <w:rPr>
                          <w:rFonts w:ascii="Palatino Linotype" w:hAnsi="Palatino Linotype"/>
                          <w:sz w:val="24"/>
                          <w:szCs w:val="24"/>
                        </w:rPr>
                      </w:pPr>
                    </w:p>
                    <w:p w:rsidR="00CA7C3E" w:rsidRPr="00EF2FC0" w:rsidRDefault="00CA7C3E" w:rsidP="00A902C6">
                      <w:pPr>
                        <w:jc w:val="center"/>
                        <w:rPr>
                          <w:rFonts w:ascii="Palatino Linotype" w:hAnsi="Palatino Linotype"/>
                          <w:sz w:val="24"/>
                          <w:szCs w:val="24"/>
                        </w:rPr>
                      </w:pPr>
                    </w:p>
                    <w:p w:rsidR="00CA7C3E" w:rsidRDefault="00CA7C3E" w:rsidP="00A902C6"/>
                  </w:txbxContent>
                </v:textbox>
                <w10:wrap anchorx="page"/>
              </v:shape>
            </w:pict>
          </mc:Fallback>
        </mc:AlternateContent>
      </w:r>
    </w:p>
    <w:p w:rsidR="00A902C6" w:rsidRDefault="00A902C6" w:rsidP="00A902C6">
      <w:pPr>
        <w:spacing w:before="240"/>
        <w:rPr>
          <w:rFonts w:ascii="Palatino Linotype" w:hAnsi="Palatino Linotype" w:cs="Arial"/>
          <w:sz w:val="18"/>
          <w:szCs w:val="18"/>
        </w:rPr>
      </w:pPr>
    </w:p>
    <w:p w:rsidR="00A902C6" w:rsidRDefault="00A902C6" w:rsidP="00A902C6">
      <w:pPr>
        <w:spacing w:before="240"/>
        <w:jc w:val="both"/>
        <w:rPr>
          <w:rFonts w:ascii="Palatino Linotype" w:hAnsi="Palatino Linotype" w:cs="Arial"/>
          <w:sz w:val="18"/>
          <w:szCs w:val="18"/>
        </w:rPr>
      </w:pPr>
    </w:p>
    <w:p w:rsidR="00A902C6" w:rsidRDefault="00A902C6" w:rsidP="00A902C6">
      <w:pPr>
        <w:spacing w:before="240" w:line="240" w:lineRule="auto"/>
        <w:jc w:val="both"/>
        <w:rPr>
          <w:rFonts w:ascii="Palatino Linotype" w:hAnsi="Palatino Linotype" w:cs="Arial"/>
          <w:sz w:val="14"/>
          <w:szCs w:val="14"/>
        </w:rPr>
      </w:pPr>
    </w:p>
    <w:p w:rsidR="00A902C6" w:rsidRPr="002052F6" w:rsidRDefault="00A902C6" w:rsidP="00A902C6">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356B40" w:rsidRPr="00356B40">
        <w:rPr>
          <w:rFonts w:ascii="Palatino Linotype" w:hAnsi="Palatino Linotype" w:cs="Arial"/>
          <w:sz w:val="16"/>
          <w:szCs w:val="16"/>
        </w:rPr>
        <w:t xml:space="preserve">diecinueve de septiembre </w:t>
      </w:r>
      <w:r>
        <w:rPr>
          <w:rFonts w:ascii="Palatino Linotype" w:hAnsi="Palatino Linotype" w:cs="Arial"/>
          <w:sz w:val="16"/>
          <w:szCs w:val="16"/>
        </w:rPr>
        <w:t>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w:t>
      </w:r>
      <w:r w:rsidR="00356B40">
        <w:rPr>
          <w:rFonts w:ascii="Palatino Linotype" w:hAnsi="Palatino Linotype" w:cs="Arial"/>
          <w:bCs/>
          <w:sz w:val="16"/>
          <w:szCs w:val="16"/>
          <w:lang w:eastAsia="es-MX"/>
        </w:rPr>
        <w:t>5855</w:t>
      </w:r>
      <w:r>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DD13E2" w:rsidRDefault="00A902C6" w:rsidP="00A902C6">
      <w:pPr>
        <w:spacing w:after="0"/>
      </w:pPr>
      <w:r w:rsidRPr="002052F6">
        <w:t>ZMS/OSAM/MAEM</w:t>
      </w:r>
    </w:p>
    <w:sectPr w:rsidR="00DD13E2" w:rsidSect="00E15E85">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E0B" w:rsidRDefault="001E7E0B" w:rsidP="00E15E85">
      <w:pPr>
        <w:spacing w:after="0" w:line="240" w:lineRule="auto"/>
      </w:pPr>
      <w:r>
        <w:separator/>
      </w:r>
    </w:p>
  </w:endnote>
  <w:endnote w:type="continuationSeparator" w:id="0">
    <w:p w:rsidR="001E7E0B" w:rsidRDefault="001E7E0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3E" w:rsidRPr="000B69FA" w:rsidRDefault="00CA7C3E"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B3E95">
      <w:rPr>
        <w:rFonts w:ascii="Palatino Linotype" w:hAnsi="Palatino Linotype"/>
        <w:bCs/>
        <w:noProof/>
        <w:sz w:val="20"/>
      </w:rPr>
      <w:t>49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B3E95">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3E" w:rsidRPr="000B69FA" w:rsidRDefault="00CA7C3E"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E625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E6259">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E0B" w:rsidRDefault="001E7E0B" w:rsidP="00E15E85">
      <w:pPr>
        <w:spacing w:after="0" w:line="240" w:lineRule="auto"/>
      </w:pPr>
      <w:r>
        <w:separator/>
      </w:r>
    </w:p>
  </w:footnote>
  <w:footnote w:type="continuationSeparator" w:id="0">
    <w:p w:rsidR="001E7E0B" w:rsidRDefault="001E7E0B" w:rsidP="00E15E85">
      <w:pPr>
        <w:spacing w:after="0" w:line="240" w:lineRule="auto"/>
      </w:pPr>
      <w:r>
        <w:continuationSeparator/>
      </w:r>
    </w:p>
  </w:footnote>
  <w:footnote w:id="1">
    <w:p w:rsidR="00CA7C3E" w:rsidRPr="00911081" w:rsidRDefault="00CA7C3E"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CA7C3E" w:rsidRPr="00911081" w:rsidRDefault="00CA7C3E"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CA7C3E" w:rsidRPr="00B92BC3" w:rsidRDefault="00CA7C3E" w:rsidP="00B0008F">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rsidR="00CA7C3E" w:rsidRDefault="00CA7C3E" w:rsidP="00B0008F">
      <w:pPr>
        <w:pStyle w:val="Textonotapie"/>
        <w:numPr>
          <w:ilvl w:val="0"/>
          <w:numId w:val="15"/>
        </w:numPr>
        <w:spacing w:line="276" w:lineRule="auto"/>
        <w:jc w:val="both"/>
      </w:pPr>
      <w:r w:rsidRPr="00B92BC3">
        <w:rPr>
          <w:rFonts w:ascii="Arial" w:hAnsi="Arial" w:cs="Arial"/>
          <w:sz w:val="18"/>
        </w:rPr>
        <w:t>La falta de respuesta a una solicitud de acceso a la información;</w:t>
      </w:r>
    </w:p>
  </w:footnote>
  <w:footnote w:id="3">
    <w:p w:rsidR="00CA7C3E" w:rsidRPr="00332BB8" w:rsidRDefault="00CA7C3E" w:rsidP="00332BB8">
      <w:pPr>
        <w:pStyle w:val="Textonotapie"/>
        <w:spacing w:line="276" w:lineRule="auto"/>
        <w:jc w:val="both"/>
        <w:rPr>
          <w:rFonts w:ascii="Palatino Linotype" w:hAnsi="Palatino Linotype"/>
        </w:rPr>
      </w:pPr>
      <w:r w:rsidRPr="00332BB8">
        <w:rPr>
          <w:rStyle w:val="Refdenotaalpie"/>
          <w:rFonts w:ascii="Palatino Linotype" w:hAnsi="Palatino Linotype"/>
        </w:rPr>
        <w:footnoteRef/>
      </w:r>
      <w:r w:rsidRPr="00332BB8">
        <w:rPr>
          <w:rFonts w:ascii="Palatino Linotype" w:hAnsi="Palatino Linotype"/>
        </w:rPr>
        <w:t xml:space="preserve"> ARTÍCULO 89. Son causas de terminación de la relación laboral sin responsabilidad para las instituciones públicas: I. La renuncia del servidor público; II. El mutuo consentimiento de las partes; III. El vencimiento del término o conclusión de la obra determinantes de la contratación; IV. El término o conclusión de la administración en la cual fue contratado el servidor público a que se refiere el artículo 8 de ésta Ley; V. La muerte del servidor público; y VI. La incapacidad permanente del servidor público que le impida el desempeño de sus labores.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C3E" w:rsidRDefault="00CA7C3E">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A7C3E" w:rsidTr="00E15E85">
      <w:trPr>
        <w:trHeight w:val="227"/>
      </w:trPr>
      <w:tc>
        <w:tcPr>
          <w:tcW w:w="5529" w:type="dxa"/>
          <w:hideMark/>
        </w:tcPr>
        <w:p w:rsidR="00CA7C3E" w:rsidRDefault="00CA7C3E"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CA7C3E" w:rsidRPr="00D56BC3" w:rsidRDefault="00CA7C3E"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05855</w:t>
          </w:r>
          <w:r w:rsidRPr="0037311B">
            <w:rPr>
              <w:rFonts w:ascii="Palatino Linotype" w:hAnsi="Palatino Linotype" w:cs="Arial"/>
              <w:bCs/>
              <w:sz w:val="24"/>
              <w:lang w:eastAsia="es-MX"/>
            </w:rPr>
            <w:t>/INFOEM/IP/RR/2019</w:t>
          </w:r>
        </w:p>
      </w:tc>
    </w:tr>
    <w:tr w:rsidR="00CA7C3E" w:rsidTr="00E15E85">
      <w:trPr>
        <w:trHeight w:val="242"/>
      </w:trPr>
      <w:tc>
        <w:tcPr>
          <w:tcW w:w="5529" w:type="dxa"/>
          <w:hideMark/>
        </w:tcPr>
        <w:p w:rsidR="00CA7C3E" w:rsidRDefault="00CA7C3E"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CA7C3E" w:rsidRPr="005D58CA" w:rsidRDefault="00CA7C3E" w:rsidP="00BA65E0">
          <w:pPr>
            <w:spacing w:after="120" w:line="256" w:lineRule="auto"/>
            <w:ind w:left="-486" w:right="214" w:firstLine="284"/>
            <w:jc w:val="right"/>
            <w:rPr>
              <w:rFonts w:ascii="Palatino Linotype" w:hAnsi="Palatino Linotype" w:cs="Arial"/>
              <w:sz w:val="24"/>
            </w:rPr>
          </w:pPr>
          <w:r w:rsidRPr="00634C86">
            <w:rPr>
              <w:rFonts w:ascii="Palatino Linotype" w:hAnsi="Palatino Linotype" w:cs="Arial"/>
              <w:sz w:val="24"/>
            </w:rPr>
            <w:t>Ayuntamiento de Almoloya del Río</w:t>
          </w:r>
        </w:p>
      </w:tc>
    </w:tr>
    <w:tr w:rsidR="00CA7C3E" w:rsidTr="00E15E85">
      <w:trPr>
        <w:trHeight w:val="342"/>
      </w:trPr>
      <w:tc>
        <w:tcPr>
          <w:tcW w:w="5529" w:type="dxa"/>
          <w:hideMark/>
        </w:tcPr>
        <w:p w:rsidR="00CA7C3E" w:rsidRDefault="00CA7C3E"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CA7C3E" w:rsidRPr="005D58CA" w:rsidRDefault="00CA7C3E" w:rsidP="00E15E85">
          <w:pPr>
            <w:spacing w:after="120" w:line="256" w:lineRule="auto"/>
            <w:ind w:left="-486" w:right="214" w:firstLine="567"/>
            <w:jc w:val="right"/>
            <w:rPr>
              <w:rFonts w:ascii="Palatino Linotype" w:hAnsi="Palatino Linotype" w:cs="Arial"/>
              <w:sz w:val="24"/>
            </w:rPr>
          </w:pPr>
          <w:r w:rsidRPr="005D58CA">
            <w:rPr>
              <w:rFonts w:ascii="Palatino Linotype" w:hAnsi="Palatino Linotype" w:cs="Arial"/>
              <w:sz w:val="24"/>
            </w:rPr>
            <w:t>Zulema Martínez Sánchez</w:t>
          </w:r>
        </w:p>
      </w:tc>
    </w:tr>
  </w:tbl>
  <w:p w:rsidR="00CA7C3E" w:rsidRDefault="00CA7C3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A7C3E" w:rsidTr="00E15E85">
      <w:trPr>
        <w:trHeight w:val="227"/>
      </w:trPr>
      <w:tc>
        <w:tcPr>
          <w:tcW w:w="5529" w:type="dxa"/>
          <w:hideMark/>
        </w:tcPr>
        <w:p w:rsidR="00CA7C3E" w:rsidRDefault="00CA7C3E"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CA7C3E" w:rsidRPr="00B4142F" w:rsidRDefault="00CA7C3E"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05855/</w:t>
          </w:r>
          <w:r w:rsidRPr="0037311B">
            <w:rPr>
              <w:rFonts w:ascii="Palatino Linotype" w:hAnsi="Palatino Linotype" w:cs="Arial"/>
              <w:bCs/>
              <w:sz w:val="24"/>
              <w:lang w:eastAsia="es-MX"/>
            </w:rPr>
            <w:t>INFOEM/IP/RR/2019</w:t>
          </w:r>
        </w:p>
      </w:tc>
    </w:tr>
    <w:tr w:rsidR="00CA7C3E" w:rsidTr="00E15E85">
      <w:trPr>
        <w:trHeight w:val="196"/>
      </w:trPr>
      <w:tc>
        <w:tcPr>
          <w:tcW w:w="5529" w:type="dxa"/>
          <w:hideMark/>
        </w:tcPr>
        <w:p w:rsidR="00CA7C3E" w:rsidRDefault="00CA7C3E"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CA7C3E" w:rsidRPr="005D58CA" w:rsidRDefault="009E6259" w:rsidP="00E15E85">
          <w:pPr>
            <w:spacing w:after="120" w:line="256" w:lineRule="auto"/>
            <w:ind w:left="-486" w:right="214" w:firstLine="567"/>
            <w:jc w:val="right"/>
            <w:rPr>
              <w:rFonts w:ascii="Palatino Linotype" w:hAnsi="Palatino Linotype" w:cs="Arial"/>
              <w:sz w:val="24"/>
              <w:szCs w:val="24"/>
            </w:rPr>
          </w:pPr>
          <w:r>
            <w:rPr>
              <w:rFonts w:ascii="Palatino Linotype" w:hAnsi="Palatino Linotype" w:cs="Arial"/>
              <w:sz w:val="24"/>
              <w:szCs w:val="24"/>
            </w:rPr>
            <w:t>xxxxxxxxxxxxxxxxxxxx</w:t>
          </w:r>
        </w:p>
      </w:tc>
    </w:tr>
    <w:tr w:rsidR="00CA7C3E" w:rsidTr="00E15E85">
      <w:trPr>
        <w:trHeight w:val="242"/>
      </w:trPr>
      <w:tc>
        <w:tcPr>
          <w:tcW w:w="5529" w:type="dxa"/>
          <w:hideMark/>
        </w:tcPr>
        <w:p w:rsidR="00CA7C3E" w:rsidRDefault="00CA7C3E"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CA7C3E" w:rsidRPr="005D58CA" w:rsidRDefault="00CA7C3E" w:rsidP="0015550A">
          <w:pPr>
            <w:spacing w:after="120" w:line="256" w:lineRule="auto"/>
            <w:ind w:left="-495" w:right="214" w:firstLine="567"/>
            <w:jc w:val="right"/>
            <w:rPr>
              <w:rFonts w:ascii="Palatino Linotype" w:hAnsi="Palatino Linotype" w:cs="Arial"/>
              <w:sz w:val="24"/>
              <w:szCs w:val="24"/>
            </w:rPr>
          </w:pPr>
          <w:r w:rsidRPr="00634C86">
            <w:rPr>
              <w:rFonts w:ascii="Palatino Linotype" w:hAnsi="Palatino Linotype" w:cs="Arial"/>
              <w:sz w:val="24"/>
              <w:szCs w:val="24"/>
            </w:rPr>
            <w:t>Ayuntamiento de Almoloya del Río</w:t>
          </w:r>
        </w:p>
      </w:tc>
    </w:tr>
    <w:tr w:rsidR="00CA7C3E" w:rsidTr="00E15E85">
      <w:trPr>
        <w:trHeight w:val="342"/>
      </w:trPr>
      <w:tc>
        <w:tcPr>
          <w:tcW w:w="5529" w:type="dxa"/>
          <w:hideMark/>
        </w:tcPr>
        <w:p w:rsidR="00CA7C3E" w:rsidRDefault="00CA7C3E"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CA7C3E" w:rsidRPr="005D58CA" w:rsidRDefault="00CA7C3E" w:rsidP="00E15E85">
          <w:pPr>
            <w:spacing w:after="120" w:line="256" w:lineRule="auto"/>
            <w:ind w:left="-486" w:right="214" w:firstLine="567"/>
            <w:jc w:val="right"/>
            <w:rPr>
              <w:rFonts w:ascii="Palatino Linotype" w:hAnsi="Palatino Linotype" w:cs="Arial"/>
              <w:sz w:val="24"/>
              <w:szCs w:val="24"/>
            </w:rPr>
          </w:pPr>
          <w:r w:rsidRPr="005D58CA">
            <w:rPr>
              <w:rFonts w:ascii="Palatino Linotype" w:hAnsi="Palatino Linotype" w:cs="Arial"/>
              <w:sz w:val="24"/>
              <w:szCs w:val="24"/>
            </w:rPr>
            <w:t>Zulema Martínez Sánchez</w:t>
          </w:r>
        </w:p>
      </w:tc>
    </w:tr>
  </w:tbl>
  <w:p w:rsidR="00CA7C3E" w:rsidRDefault="00CA7C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73715"/>
    <w:multiLevelType w:val="hybridMultilevel"/>
    <w:tmpl w:val="BA92F232"/>
    <w:lvl w:ilvl="0" w:tplc="E87A5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8A59A3"/>
    <w:multiLevelType w:val="hybridMultilevel"/>
    <w:tmpl w:val="5B38FA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E93836"/>
    <w:multiLevelType w:val="hybridMultilevel"/>
    <w:tmpl w:val="62BC5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C12B4C"/>
    <w:multiLevelType w:val="hybridMultilevel"/>
    <w:tmpl w:val="9B9C34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CC536B"/>
    <w:multiLevelType w:val="hybridMultilevel"/>
    <w:tmpl w:val="F1DE5D4C"/>
    <w:lvl w:ilvl="0" w:tplc="711A4F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396C63"/>
    <w:multiLevelType w:val="hybridMultilevel"/>
    <w:tmpl w:val="BA26BAF8"/>
    <w:lvl w:ilvl="0" w:tplc="080A0017">
      <w:start w:val="1"/>
      <w:numFmt w:val="lowerLetter"/>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start w:val="1"/>
      <w:numFmt w:val="decimal"/>
      <w:lvlText w:val="%4."/>
      <w:lvlJc w:val="left"/>
      <w:pPr>
        <w:ind w:left="5040" w:hanging="360"/>
      </w:pPr>
    </w:lvl>
    <w:lvl w:ilvl="4" w:tplc="080A0019">
      <w:start w:val="1"/>
      <w:numFmt w:val="lowerLetter"/>
      <w:lvlText w:val="%5."/>
      <w:lvlJc w:val="left"/>
      <w:pPr>
        <w:ind w:left="5760" w:hanging="360"/>
      </w:pPr>
    </w:lvl>
    <w:lvl w:ilvl="5" w:tplc="080A001B">
      <w:start w:val="1"/>
      <w:numFmt w:val="lowerRoman"/>
      <w:lvlText w:val="%6."/>
      <w:lvlJc w:val="right"/>
      <w:pPr>
        <w:ind w:left="6480" w:hanging="180"/>
      </w:pPr>
    </w:lvl>
    <w:lvl w:ilvl="6" w:tplc="080A000F">
      <w:start w:val="1"/>
      <w:numFmt w:val="decimal"/>
      <w:lvlText w:val="%7."/>
      <w:lvlJc w:val="left"/>
      <w:pPr>
        <w:ind w:left="7200" w:hanging="360"/>
      </w:pPr>
    </w:lvl>
    <w:lvl w:ilvl="7" w:tplc="080A0019">
      <w:start w:val="1"/>
      <w:numFmt w:val="lowerLetter"/>
      <w:lvlText w:val="%8."/>
      <w:lvlJc w:val="left"/>
      <w:pPr>
        <w:ind w:left="7920" w:hanging="360"/>
      </w:pPr>
    </w:lvl>
    <w:lvl w:ilvl="8" w:tplc="080A001B">
      <w:start w:val="1"/>
      <w:numFmt w:val="lowerRoman"/>
      <w:lvlText w:val="%9."/>
      <w:lvlJc w:val="right"/>
      <w:pPr>
        <w:ind w:left="8640" w:hanging="180"/>
      </w:pPr>
    </w:lvl>
  </w:abstractNum>
  <w:abstractNum w:abstractNumId="9">
    <w:nsid w:val="1A9F6FA8"/>
    <w:multiLevelType w:val="hybridMultilevel"/>
    <w:tmpl w:val="ACB66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32361B"/>
    <w:multiLevelType w:val="multilevel"/>
    <w:tmpl w:val="BE58B1F0"/>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08F559D"/>
    <w:multiLevelType w:val="hybridMultilevel"/>
    <w:tmpl w:val="5A7A97E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49FC7BFB"/>
    <w:multiLevelType w:val="hybridMultilevel"/>
    <w:tmpl w:val="23C834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nsid w:val="52EF5638"/>
    <w:multiLevelType w:val="hybridMultilevel"/>
    <w:tmpl w:val="CD12E2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6">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483C23"/>
    <w:multiLevelType w:val="hybridMultilevel"/>
    <w:tmpl w:val="89B0A7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B157DB9"/>
    <w:multiLevelType w:val="hybridMultilevel"/>
    <w:tmpl w:val="18640776"/>
    <w:numStyleLink w:val="Estiloimportado2"/>
  </w:abstractNum>
  <w:abstractNum w:abstractNumId="3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6370BE"/>
    <w:multiLevelType w:val="hybridMultilevel"/>
    <w:tmpl w:val="DC0E836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nsid w:val="6A5C110B"/>
    <w:multiLevelType w:val="hybridMultilevel"/>
    <w:tmpl w:val="41220C2C"/>
    <w:lvl w:ilvl="0" w:tplc="7F0082D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5">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770136A0"/>
    <w:multiLevelType w:val="hybridMultilevel"/>
    <w:tmpl w:val="D1985412"/>
    <w:lvl w:ilvl="0" w:tplc="080A000F">
      <w:start w:val="1"/>
      <w:numFmt w:val="decimal"/>
      <w:lvlText w:val="%1."/>
      <w:lvlJc w:val="left"/>
      <w:pPr>
        <w:ind w:left="2629" w:hanging="360"/>
      </w:pPr>
      <w:rPr>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lvl>
    <w:lvl w:ilvl="3" w:tplc="E882483A">
      <w:start w:val="1"/>
      <w:numFmt w:val="lowerLetter"/>
      <w:lvlText w:val="%4)"/>
      <w:lvlJc w:val="left"/>
      <w:pPr>
        <w:ind w:left="2895" w:hanging="375"/>
      </w:pPr>
      <w:rPr>
        <w:rFonts w:eastAsia="Times New Roman" w:cs="Times New Roman"/>
        <w:color w:val="auto"/>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79F6255F"/>
    <w:multiLevelType w:val="hybridMultilevel"/>
    <w:tmpl w:val="62BC5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10"/>
  </w:num>
  <w:num w:numId="3">
    <w:abstractNumId w:val="26"/>
  </w:num>
  <w:num w:numId="4">
    <w:abstractNumId w:val="18"/>
  </w:num>
  <w:num w:numId="5">
    <w:abstractNumId w:val="29"/>
  </w:num>
  <w:num w:numId="6">
    <w:abstractNumId w:val="12"/>
  </w:num>
  <w:num w:numId="7">
    <w:abstractNumId w:val="36"/>
  </w:num>
  <w:num w:numId="8">
    <w:abstractNumId w:val="21"/>
  </w:num>
  <w:num w:numId="9">
    <w:abstractNumId w:val="14"/>
  </w:num>
  <w:num w:numId="10">
    <w:abstractNumId w:val="35"/>
  </w:num>
  <w:num w:numId="11">
    <w:abstractNumId w:val="17"/>
  </w:num>
  <w:num w:numId="12">
    <w:abstractNumId w:val="20"/>
  </w:num>
  <w:num w:numId="13">
    <w:abstractNumId w:val="4"/>
  </w:num>
  <w:num w:numId="14">
    <w:abstractNumId w:val="15"/>
  </w:num>
  <w:num w:numId="15">
    <w:abstractNumId w:val="23"/>
  </w:num>
  <w:num w:numId="16">
    <w:abstractNumId w:val="30"/>
  </w:num>
  <w:num w:numId="17">
    <w:abstractNumId w:val="31"/>
  </w:num>
  <w:num w:numId="18">
    <w:abstractNumId w:val="2"/>
  </w:num>
  <w:num w:numId="19">
    <w:abstractNumId w:val="5"/>
  </w:num>
  <w:num w:numId="20">
    <w:abstractNumId w:val="39"/>
  </w:num>
  <w:num w:numId="21">
    <w:abstractNumId w:val="16"/>
  </w:num>
  <w:num w:numId="22">
    <w:abstractNumId w:val="19"/>
  </w:num>
  <w:num w:numId="23">
    <w:abstractNumId w:val="11"/>
  </w:num>
  <w:num w:numId="24">
    <w:abstractNumId w:val="9"/>
  </w:num>
  <w:num w:numId="25">
    <w:abstractNumId w:val="6"/>
  </w:num>
  <w:num w:numId="26">
    <w:abstractNumId w:val="33"/>
  </w:num>
  <w:num w:numId="27">
    <w:abstractNumId w:val="40"/>
  </w:num>
  <w:num w:numId="28">
    <w:abstractNumId w:val="25"/>
  </w:num>
  <w:num w:numId="29">
    <w:abstractNumId w:val="28"/>
  </w:num>
  <w:num w:numId="30">
    <w:abstractNumId w:val="27"/>
  </w:num>
  <w:num w:numId="31">
    <w:abstractNumId w:val="22"/>
  </w:num>
  <w:num w:numId="32">
    <w:abstractNumId w:val="24"/>
  </w:num>
  <w:num w:numId="33">
    <w:abstractNumId w:val="1"/>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8"/>
  </w:num>
  <w:num w:numId="39">
    <w:abstractNumId w:val="32"/>
  </w:num>
  <w:num w:numId="40">
    <w:abstractNumId w:val="7"/>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26904"/>
    <w:rsid w:val="0003050E"/>
    <w:rsid w:val="00035F8F"/>
    <w:rsid w:val="00041425"/>
    <w:rsid w:val="00046E4C"/>
    <w:rsid w:val="0004795A"/>
    <w:rsid w:val="00052A02"/>
    <w:rsid w:val="00052B19"/>
    <w:rsid w:val="00052D39"/>
    <w:rsid w:val="00053ED1"/>
    <w:rsid w:val="00061BA0"/>
    <w:rsid w:val="00062CBD"/>
    <w:rsid w:val="00064D49"/>
    <w:rsid w:val="00073973"/>
    <w:rsid w:val="00074A99"/>
    <w:rsid w:val="00075A5D"/>
    <w:rsid w:val="00076643"/>
    <w:rsid w:val="00082DF3"/>
    <w:rsid w:val="00085232"/>
    <w:rsid w:val="00091D98"/>
    <w:rsid w:val="0009633E"/>
    <w:rsid w:val="000A4530"/>
    <w:rsid w:val="000B3927"/>
    <w:rsid w:val="000C22EC"/>
    <w:rsid w:val="000C59EE"/>
    <w:rsid w:val="000F019E"/>
    <w:rsid w:val="0010282B"/>
    <w:rsid w:val="00113310"/>
    <w:rsid w:val="0011750A"/>
    <w:rsid w:val="0012266D"/>
    <w:rsid w:val="0013064F"/>
    <w:rsid w:val="00130D58"/>
    <w:rsid w:val="00142F61"/>
    <w:rsid w:val="00146F6C"/>
    <w:rsid w:val="00152B26"/>
    <w:rsid w:val="0015550A"/>
    <w:rsid w:val="00171BD5"/>
    <w:rsid w:val="00183623"/>
    <w:rsid w:val="001B066D"/>
    <w:rsid w:val="001B3E5E"/>
    <w:rsid w:val="001C28D0"/>
    <w:rsid w:val="001C3E01"/>
    <w:rsid w:val="001C3F41"/>
    <w:rsid w:val="001C7069"/>
    <w:rsid w:val="001E772A"/>
    <w:rsid w:val="001E7E0B"/>
    <w:rsid w:val="001F295E"/>
    <w:rsid w:val="001F5D0E"/>
    <w:rsid w:val="002052F6"/>
    <w:rsid w:val="00217E99"/>
    <w:rsid w:val="0022069E"/>
    <w:rsid w:val="00223C2F"/>
    <w:rsid w:val="00224181"/>
    <w:rsid w:val="00233D51"/>
    <w:rsid w:val="00240133"/>
    <w:rsid w:val="00253101"/>
    <w:rsid w:val="002606F0"/>
    <w:rsid w:val="0026534C"/>
    <w:rsid w:val="002677ED"/>
    <w:rsid w:val="00274A1E"/>
    <w:rsid w:val="00287512"/>
    <w:rsid w:val="002902D7"/>
    <w:rsid w:val="00290D37"/>
    <w:rsid w:val="00294D34"/>
    <w:rsid w:val="00295647"/>
    <w:rsid w:val="002A1820"/>
    <w:rsid w:val="002A30B2"/>
    <w:rsid w:val="002A6F17"/>
    <w:rsid w:val="002B067A"/>
    <w:rsid w:val="002B144D"/>
    <w:rsid w:val="002B18B0"/>
    <w:rsid w:val="002B7CD8"/>
    <w:rsid w:val="002C1EC5"/>
    <w:rsid w:val="002C6485"/>
    <w:rsid w:val="002E3702"/>
    <w:rsid w:val="003011A8"/>
    <w:rsid w:val="003034F4"/>
    <w:rsid w:val="00307041"/>
    <w:rsid w:val="00317B8A"/>
    <w:rsid w:val="00330A95"/>
    <w:rsid w:val="00332BB8"/>
    <w:rsid w:val="003341B0"/>
    <w:rsid w:val="00334E11"/>
    <w:rsid w:val="0033629B"/>
    <w:rsid w:val="00342A59"/>
    <w:rsid w:val="003452FA"/>
    <w:rsid w:val="0034696E"/>
    <w:rsid w:val="003470B1"/>
    <w:rsid w:val="003474F2"/>
    <w:rsid w:val="00356B40"/>
    <w:rsid w:val="0035772D"/>
    <w:rsid w:val="00357BFC"/>
    <w:rsid w:val="0037311B"/>
    <w:rsid w:val="00384AC7"/>
    <w:rsid w:val="00385299"/>
    <w:rsid w:val="0039084D"/>
    <w:rsid w:val="003B1CEF"/>
    <w:rsid w:val="003B465B"/>
    <w:rsid w:val="003B5C59"/>
    <w:rsid w:val="003C5897"/>
    <w:rsid w:val="003E3297"/>
    <w:rsid w:val="0040048F"/>
    <w:rsid w:val="004254FE"/>
    <w:rsid w:val="00437C82"/>
    <w:rsid w:val="00470C7E"/>
    <w:rsid w:val="00492244"/>
    <w:rsid w:val="004A2BFB"/>
    <w:rsid w:val="004B3E95"/>
    <w:rsid w:val="004C3693"/>
    <w:rsid w:val="004E6DB3"/>
    <w:rsid w:val="004F05B2"/>
    <w:rsid w:val="00523067"/>
    <w:rsid w:val="00527856"/>
    <w:rsid w:val="00527C6A"/>
    <w:rsid w:val="005329E8"/>
    <w:rsid w:val="005733EB"/>
    <w:rsid w:val="0057576D"/>
    <w:rsid w:val="00576C26"/>
    <w:rsid w:val="005820BF"/>
    <w:rsid w:val="00587783"/>
    <w:rsid w:val="005C7580"/>
    <w:rsid w:val="005D58CA"/>
    <w:rsid w:val="00611799"/>
    <w:rsid w:val="00611E53"/>
    <w:rsid w:val="00614B71"/>
    <w:rsid w:val="00614FDD"/>
    <w:rsid w:val="00616784"/>
    <w:rsid w:val="00631B59"/>
    <w:rsid w:val="00634C86"/>
    <w:rsid w:val="00653B08"/>
    <w:rsid w:val="00654B56"/>
    <w:rsid w:val="006634EA"/>
    <w:rsid w:val="00673CFD"/>
    <w:rsid w:val="006A08BA"/>
    <w:rsid w:val="006B2E10"/>
    <w:rsid w:val="006C1A4F"/>
    <w:rsid w:val="006F001B"/>
    <w:rsid w:val="006F2EA8"/>
    <w:rsid w:val="00707CD8"/>
    <w:rsid w:val="00713A19"/>
    <w:rsid w:val="0071620F"/>
    <w:rsid w:val="00724D3F"/>
    <w:rsid w:val="00740AC8"/>
    <w:rsid w:val="00755099"/>
    <w:rsid w:val="007654BC"/>
    <w:rsid w:val="0079194D"/>
    <w:rsid w:val="007A0267"/>
    <w:rsid w:val="007A1183"/>
    <w:rsid w:val="007A27B9"/>
    <w:rsid w:val="007A3D09"/>
    <w:rsid w:val="007B2103"/>
    <w:rsid w:val="007C1445"/>
    <w:rsid w:val="007C56AB"/>
    <w:rsid w:val="007C64C1"/>
    <w:rsid w:val="007D276C"/>
    <w:rsid w:val="007D48FA"/>
    <w:rsid w:val="007D62B3"/>
    <w:rsid w:val="007E1AE4"/>
    <w:rsid w:val="007E2959"/>
    <w:rsid w:val="00807D14"/>
    <w:rsid w:val="00845C1C"/>
    <w:rsid w:val="00853814"/>
    <w:rsid w:val="00856325"/>
    <w:rsid w:val="00872278"/>
    <w:rsid w:val="00875499"/>
    <w:rsid w:val="0087560D"/>
    <w:rsid w:val="00881D0D"/>
    <w:rsid w:val="00891F82"/>
    <w:rsid w:val="00893900"/>
    <w:rsid w:val="008A12F6"/>
    <w:rsid w:val="008A5E77"/>
    <w:rsid w:val="008B34EC"/>
    <w:rsid w:val="008C50B8"/>
    <w:rsid w:val="008D6D31"/>
    <w:rsid w:val="008D7F90"/>
    <w:rsid w:val="008E0E21"/>
    <w:rsid w:val="008E5141"/>
    <w:rsid w:val="008E7408"/>
    <w:rsid w:val="008F7A52"/>
    <w:rsid w:val="009306B4"/>
    <w:rsid w:val="00943223"/>
    <w:rsid w:val="0094613F"/>
    <w:rsid w:val="009472E2"/>
    <w:rsid w:val="00950056"/>
    <w:rsid w:val="009629A5"/>
    <w:rsid w:val="00976322"/>
    <w:rsid w:val="00980401"/>
    <w:rsid w:val="009838CD"/>
    <w:rsid w:val="00991CC2"/>
    <w:rsid w:val="00994336"/>
    <w:rsid w:val="00997030"/>
    <w:rsid w:val="009A45B6"/>
    <w:rsid w:val="009A4C2C"/>
    <w:rsid w:val="009A6D1C"/>
    <w:rsid w:val="009B76BF"/>
    <w:rsid w:val="009C75A5"/>
    <w:rsid w:val="009C78F4"/>
    <w:rsid w:val="009E3B36"/>
    <w:rsid w:val="009E6259"/>
    <w:rsid w:val="009F6373"/>
    <w:rsid w:val="009F7948"/>
    <w:rsid w:val="00A27459"/>
    <w:rsid w:val="00A41FAF"/>
    <w:rsid w:val="00A459D0"/>
    <w:rsid w:val="00A45C8D"/>
    <w:rsid w:val="00A65C79"/>
    <w:rsid w:val="00A70873"/>
    <w:rsid w:val="00A72AB5"/>
    <w:rsid w:val="00A902C6"/>
    <w:rsid w:val="00A92C85"/>
    <w:rsid w:val="00A948EF"/>
    <w:rsid w:val="00A94BCE"/>
    <w:rsid w:val="00A96696"/>
    <w:rsid w:val="00AA2CB1"/>
    <w:rsid w:val="00AB2EF4"/>
    <w:rsid w:val="00AC17D7"/>
    <w:rsid w:val="00AC1D50"/>
    <w:rsid w:val="00AE0A3A"/>
    <w:rsid w:val="00AF15FD"/>
    <w:rsid w:val="00AF385F"/>
    <w:rsid w:val="00B0008F"/>
    <w:rsid w:val="00B04652"/>
    <w:rsid w:val="00B052B4"/>
    <w:rsid w:val="00B10B28"/>
    <w:rsid w:val="00B131CC"/>
    <w:rsid w:val="00B17A1D"/>
    <w:rsid w:val="00B258A2"/>
    <w:rsid w:val="00B34A6D"/>
    <w:rsid w:val="00B355AB"/>
    <w:rsid w:val="00B44BB1"/>
    <w:rsid w:val="00B50BD7"/>
    <w:rsid w:val="00B51395"/>
    <w:rsid w:val="00B54578"/>
    <w:rsid w:val="00B55F7F"/>
    <w:rsid w:val="00B56617"/>
    <w:rsid w:val="00B67466"/>
    <w:rsid w:val="00B73CC5"/>
    <w:rsid w:val="00B73EEE"/>
    <w:rsid w:val="00B74369"/>
    <w:rsid w:val="00B77962"/>
    <w:rsid w:val="00B83B8D"/>
    <w:rsid w:val="00BA2458"/>
    <w:rsid w:val="00BA65E0"/>
    <w:rsid w:val="00BA68FA"/>
    <w:rsid w:val="00BB1BD5"/>
    <w:rsid w:val="00BC1280"/>
    <w:rsid w:val="00BC1C0A"/>
    <w:rsid w:val="00BC4EF7"/>
    <w:rsid w:val="00BC59B2"/>
    <w:rsid w:val="00BC5E09"/>
    <w:rsid w:val="00BF5825"/>
    <w:rsid w:val="00C16071"/>
    <w:rsid w:val="00C203E8"/>
    <w:rsid w:val="00C23151"/>
    <w:rsid w:val="00C25BA8"/>
    <w:rsid w:val="00C3114B"/>
    <w:rsid w:val="00C4657C"/>
    <w:rsid w:val="00C52325"/>
    <w:rsid w:val="00C56C4E"/>
    <w:rsid w:val="00C60C4D"/>
    <w:rsid w:val="00C61C1C"/>
    <w:rsid w:val="00C6478B"/>
    <w:rsid w:val="00C64C22"/>
    <w:rsid w:val="00C66E70"/>
    <w:rsid w:val="00C80064"/>
    <w:rsid w:val="00C80AEF"/>
    <w:rsid w:val="00CA6DA1"/>
    <w:rsid w:val="00CA7C3E"/>
    <w:rsid w:val="00CD5354"/>
    <w:rsid w:val="00D120B9"/>
    <w:rsid w:val="00D24D6B"/>
    <w:rsid w:val="00D24D81"/>
    <w:rsid w:val="00D5302E"/>
    <w:rsid w:val="00D56BC3"/>
    <w:rsid w:val="00D67629"/>
    <w:rsid w:val="00D70FE3"/>
    <w:rsid w:val="00D83D2D"/>
    <w:rsid w:val="00D8485C"/>
    <w:rsid w:val="00D87D47"/>
    <w:rsid w:val="00D9010D"/>
    <w:rsid w:val="00D94D1E"/>
    <w:rsid w:val="00D95936"/>
    <w:rsid w:val="00DB2787"/>
    <w:rsid w:val="00DB37FF"/>
    <w:rsid w:val="00DB584E"/>
    <w:rsid w:val="00DC3B85"/>
    <w:rsid w:val="00DD13E2"/>
    <w:rsid w:val="00DE5E3A"/>
    <w:rsid w:val="00DF6F40"/>
    <w:rsid w:val="00E10DEE"/>
    <w:rsid w:val="00E11EFA"/>
    <w:rsid w:val="00E158AD"/>
    <w:rsid w:val="00E15E85"/>
    <w:rsid w:val="00E16AC8"/>
    <w:rsid w:val="00E221C1"/>
    <w:rsid w:val="00E30AF5"/>
    <w:rsid w:val="00E34874"/>
    <w:rsid w:val="00E372DA"/>
    <w:rsid w:val="00E44464"/>
    <w:rsid w:val="00E61A8B"/>
    <w:rsid w:val="00E85DB7"/>
    <w:rsid w:val="00E872CE"/>
    <w:rsid w:val="00E87E34"/>
    <w:rsid w:val="00E92E34"/>
    <w:rsid w:val="00EA0D06"/>
    <w:rsid w:val="00EA4B96"/>
    <w:rsid w:val="00EB0246"/>
    <w:rsid w:val="00EC601F"/>
    <w:rsid w:val="00ED3DC4"/>
    <w:rsid w:val="00ED466F"/>
    <w:rsid w:val="00ED735A"/>
    <w:rsid w:val="00EE28A5"/>
    <w:rsid w:val="00EE5CB5"/>
    <w:rsid w:val="00EF1A8D"/>
    <w:rsid w:val="00EF2AE9"/>
    <w:rsid w:val="00EF2F87"/>
    <w:rsid w:val="00F21A2E"/>
    <w:rsid w:val="00F35DF3"/>
    <w:rsid w:val="00F433DC"/>
    <w:rsid w:val="00F57929"/>
    <w:rsid w:val="00F77F57"/>
    <w:rsid w:val="00F812A0"/>
    <w:rsid w:val="00F84AE2"/>
    <w:rsid w:val="00F9756D"/>
    <w:rsid w:val="00FA1D2B"/>
    <w:rsid w:val="00FB1B42"/>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paragraph" w:styleId="NormalWeb">
    <w:name w:val="Normal (Web)"/>
    <w:basedOn w:val="Normal"/>
    <w:uiPriority w:val="99"/>
    <w:unhideWhenUsed/>
    <w:rsid w:val="00893900"/>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234709438">
      <w:bodyDiv w:val="1"/>
      <w:marLeft w:val="0"/>
      <w:marRight w:val="0"/>
      <w:marTop w:val="0"/>
      <w:marBottom w:val="0"/>
      <w:divBdr>
        <w:top w:val="none" w:sz="0" w:space="0" w:color="auto"/>
        <w:left w:val="none" w:sz="0" w:space="0" w:color="auto"/>
        <w:bottom w:val="none" w:sz="0" w:space="0" w:color="auto"/>
        <w:right w:val="none" w:sz="0" w:space="0" w:color="auto"/>
      </w:divBdr>
      <w:divsChild>
        <w:div w:id="1584290739">
          <w:marLeft w:val="0"/>
          <w:marRight w:val="0"/>
          <w:marTop w:val="0"/>
          <w:marBottom w:val="0"/>
          <w:divBdr>
            <w:top w:val="none" w:sz="0" w:space="0" w:color="auto"/>
            <w:left w:val="none" w:sz="0" w:space="0" w:color="auto"/>
            <w:bottom w:val="none" w:sz="0" w:space="0" w:color="auto"/>
            <w:right w:val="none" w:sz="0" w:space="0" w:color="auto"/>
          </w:divBdr>
          <w:divsChild>
            <w:div w:id="575483446">
              <w:marLeft w:val="0"/>
              <w:marRight w:val="0"/>
              <w:marTop w:val="0"/>
              <w:marBottom w:val="0"/>
              <w:divBdr>
                <w:top w:val="none" w:sz="0" w:space="0" w:color="auto"/>
                <w:left w:val="none" w:sz="0" w:space="0" w:color="auto"/>
                <w:bottom w:val="none" w:sz="0" w:space="0" w:color="auto"/>
                <w:right w:val="none" w:sz="0" w:space="0" w:color="auto"/>
              </w:divBdr>
              <w:divsChild>
                <w:div w:id="20629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6327874">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55813669">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61995181">
      <w:bodyDiv w:val="1"/>
      <w:marLeft w:val="0"/>
      <w:marRight w:val="0"/>
      <w:marTop w:val="0"/>
      <w:marBottom w:val="0"/>
      <w:divBdr>
        <w:top w:val="none" w:sz="0" w:space="0" w:color="auto"/>
        <w:left w:val="none" w:sz="0" w:space="0" w:color="auto"/>
        <w:bottom w:val="none" w:sz="0" w:space="0" w:color="auto"/>
        <w:right w:val="none" w:sz="0" w:space="0" w:color="auto"/>
      </w:divBdr>
    </w:div>
    <w:div w:id="500509067">
      <w:bodyDiv w:val="1"/>
      <w:marLeft w:val="0"/>
      <w:marRight w:val="0"/>
      <w:marTop w:val="0"/>
      <w:marBottom w:val="0"/>
      <w:divBdr>
        <w:top w:val="none" w:sz="0" w:space="0" w:color="auto"/>
        <w:left w:val="none" w:sz="0" w:space="0" w:color="auto"/>
        <w:bottom w:val="none" w:sz="0" w:space="0" w:color="auto"/>
        <w:right w:val="none" w:sz="0" w:space="0" w:color="auto"/>
      </w:divBdr>
    </w:div>
    <w:div w:id="503786927">
      <w:bodyDiv w:val="1"/>
      <w:marLeft w:val="0"/>
      <w:marRight w:val="0"/>
      <w:marTop w:val="0"/>
      <w:marBottom w:val="0"/>
      <w:divBdr>
        <w:top w:val="none" w:sz="0" w:space="0" w:color="auto"/>
        <w:left w:val="none" w:sz="0" w:space="0" w:color="auto"/>
        <w:bottom w:val="none" w:sz="0" w:space="0" w:color="auto"/>
        <w:right w:val="none" w:sz="0" w:space="0" w:color="auto"/>
      </w:divBdr>
    </w:div>
    <w:div w:id="530151630">
      <w:bodyDiv w:val="1"/>
      <w:marLeft w:val="0"/>
      <w:marRight w:val="0"/>
      <w:marTop w:val="0"/>
      <w:marBottom w:val="0"/>
      <w:divBdr>
        <w:top w:val="none" w:sz="0" w:space="0" w:color="auto"/>
        <w:left w:val="none" w:sz="0" w:space="0" w:color="auto"/>
        <w:bottom w:val="none" w:sz="0" w:space="0" w:color="auto"/>
        <w:right w:val="none" w:sz="0" w:space="0" w:color="auto"/>
      </w:divBdr>
      <w:divsChild>
        <w:div w:id="933323160">
          <w:marLeft w:val="0"/>
          <w:marRight w:val="0"/>
          <w:marTop w:val="0"/>
          <w:marBottom w:val="0"/>
          <w:divBdr>
            <w:top w:val="none" w:sz="0" w:space="0" w:color="auto"/>
            <w:left w:val="none" w:sz="0" w:space="0" w:color="auto"/>
            <w:bottom w:val="none" w:sz="0" w:space="0" w:color="auto"/>
            <w:right w:val="none" w:sz="0" w:space="0" w:color="auto"/>
          </w:divBdr>
          <w:divsChild>
            <w:div w:id="1032417306">
              <w:marLeft w:val="0"/>
              <w:marRight w:val="0"/>
              <w:marTop w:val="0"/>
              <w:marBottom w:val="0"/>
              <w:divBdr>
                <w:top w:val="none" w:sz="0" w:space="0" w:color="auto"/>
                <w:left w:val="none" w:sz="0" w:space="0" w:color="auto"/>
                <w:bottom w:val="none" w:sz="0" w:space="0" w:color="auto"/>
                <w:right w:val="none" w:sz="0" w:space="0" w:color="auto"/>
              </w:divBdr>
              <w:divsChild>
                <w:div w:id="83009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72396091">
      <w:bodyDiv w:val="1"/>
      <w:marLeft w:val="0"/>
      <w:marRight w:val="0"/>
      <w:marTop w:val="0"/>
      <w:marBottom w:val="0"/>
      <w:divBdr>
        <w:top w:val="none" w:sz="0" w:space="0" w:color="auto"/>
        <w:left w:val="none" w:sz="0" w:space="0" w:color="auto"/>
        <w:bottom w:val="none" w:sz="0" w:space="0" w:color="auto"/>
        <w:right w:val="none" w:sz="0" w:space="0" w:color="auto"/>
      </w:divBdr>
    </w:div>
    <w:div w:id="664405323">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58327151">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67584214">
      <w:bodyDiv w:val="1"/>
      <w:marLeft w:val="0"/>
      <w:marRight w:val="0"/>
      <w:marTop w:val="0"/>
      <w:marBottom w:val="0"/>
      <w:divBdr>
        <w:top w:val="none" w:sz="0" w:space="0" w:color="auto"/>
        <w:left w:val="none" w:sz="0" w:space="0" w:color="auto"/>
        <w:bottom w:val="none" w:sz="0" w:space="0" w:color="auto"/>
        <w:right w:val="none" w:sz="0" w:space="0" w:color="auto"/>
      </w:divBdr>
    </w:div>
    <w:div w:id="999044792">
      <w:bodyDiv w:val="1"/>
      <w:marLeft w:val="0"/>
      <w:marRight w:val="0"/>
      <w:marTop w:val="0"/>
      <w:marBottom w:val="0"/>
      <w:divBdr>
        <w:top w:val="none" w:sz="0" w:space="0" w:color="auto"/>
        <w:left w:val="none" w:sz="0" w:space="0" w:color="auto"/>
        <w:bottom w:val="none" w:sz="0" w:space="0" w:color="auto"/>
        <w:right w:val="none" w:sz="0" w:space="0" w:color="auto"/>
      </w:divBdr>
    </w:div>
    <w:div w:id="1041517647">
      <w:bodyDiv w:val="1"/>
      <w:marLeft w:val="0"/>
      <w:marRight w:val="0"/>
      <w:marTop w:val="0"/>
      <w:marBottom w:val="0"/>
      <w:divBdr>
        <w:top w:val="none" w:sz="0" w:space="0" w:color="auto"/>
        <w:left w:val="none" w:sz="0" w:space="0" w:color="auto"/>
        <w:bottom w:val="none" w:sz="0" w:space="0" w:color="auto"/>
        <w:right w:val="none" w:sz="0" w:space="0" w:color="auto"/>
      </w:divBdr>
      <w:divsChild>
        <w:div w:id="846215377">
          <w:marLeft w:val="0"/>
          <w:marRight w:val="0"/>
          <w:marTop w:val="0"/>
          <w:marBottom w:val="0"/>
          <w:divBdr>
            <w:top w:val="none" w:sz="0" w:space="0" w:color="auto"/>
            <w:left w:val="none" w:sz="0" w:space="0" w:color="auto"/>
            <w:bottom w:val="none" w:sz="0" w:space="0" w:color="auto"/>
            <w:right w:val="none" w:sz="0" w:space="0" w:color="auto"/>
          </w:divBdr>
          <w:divsChild>
            <w:div w:id="1599026031">
              <w:marLeft w:val="0"/>
              <w:marRight w:val="0"/>
              <w:marTop w:val="0"/>
              <w:marBottom w:val="0"/>
              <w:divBdr>
                <w:top w:val="none" w:sz="0" w:space="0" w:color="auto"/>
                <w:left w:val="none" w:sz="0" w:space="0" w:color="auto"/>
                <w:bottom w:val="none" w:sz="0" w:space="0" w:color="auto"/>
                <w:right w:val="none" w:sz="0" w:space="0" w:color="auto"/>
              </w:divBdr>
              <w:divsChild>
                <w:div w:id="13066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21013">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626885583">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712268277">
      <w:bodyDiv w:val="1"/>
      <w:marLeft w:val="0"/>
      <w:marRight w:val="0"/>
      <w:marTop w:val="0"/>
      <w:marBottom w:val="0"/>
      <w:divBdr>
        <w:top w:val="none" w:sz="0" w:space="0" w:color="auto"/>
        <w:left w:val="none" w:sz="0" w:space="0" w:color="auto"/>
        <w:bottom w:val="none" w:sz="0" w:space="0" w:color="auto"/>
        <w:right w:val="none" w:sz="0" w:space="0" w:color="auto"/>
      </w:divBdr>
    </w:div>
    <w:div w:id="177080742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95839390">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374B5-9285-42E3-8666-F16A8A505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9918</Words>
  <Characters>54549</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2019-09-20T02:10:00Z</cp:lastPrinted>
  <dcterms:created xsi:type="dcterms:W3CDTF">2019-10-08T16:05:00Z</dcterms:created>
  <dcterms:modified xsi:type="dcterms:W3CDTF">2019-10-08T16:05:00Z</dcterms:modified>
</cp:coreProperties>
</file>