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DD5C6" w14:textId="44EEF1D1" w:rsidR="00544FAB" w:rsidRPr="00040391" w:rsidRDefault="004C0749" w:rsidP="001E2B06">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924630">
        <w:rPr>
          <w:rFonts w:ascii="Palatino Linotype" w:hAnsi="Palatino Linotype" w:cs="Arial"/>
          <w:b/>
        </w:rPr>
        <w:t>QUINTA</w:t>
      </w:r>
      <w:r w:rsidR="00B16800">
        <w:rPr>
          <w:rFonts w:ascii="Palatino Linotype" w:hAnsi="Palatino Linotype" w:cs="Arial"/>
          <w:b/>
        </w:rPr>
        <w:t xml:space="preserve"> </w:t>
      </w:r>
      <w:r>
        <w:rPr>
          <w:rFonts w:ascii="Palatino Linotype" w:hAnsi="Palatino Linotype" w:cs="Arial"/>
          <w:b/>
        </w:rPr>
        <w:t>SESIÓN</w:t>
      </w:r>
      <w:r w:rsidRPr="0007653D">
        <w:rPr>
          <w:rFonts w:ascii="Palatino Linotype" w:hAnsi="Palatino Linotype" w:cs="Arial"/>
          <w:b/>
        </w:rPr>
        <w:t xml:space="preserve"> ORDINARIA DE</w:t>
      </w:r>
      <w:r>
        <w:rPr>
          <w:rFonts w:ascii="Palatino Linotype" w:hAnsi="Palatino Linotype" w:cs="Arial"/>
          <w:b/>
        </w:rPr>
        <w:t>L</w:t>
      </w:r>
      <w:r w:rsidRPr="0007653D">
        <w:rPr>
          <w:rFonts w:ascii="Palatino Linotype" w:hAnsi="Palatino Linotype" w:cs="Arial"/>
          <w:b/>
        </w:rPr>
        <w:t xml:space="preserve"> </w:t>
      </w:r>
      <w:r w:rsidR="00924630">
        <w:rPr>
          <w:rFonts w:ascii="Palatino Linotype" w:hAnsi="Palatino Linotype" w:cs="Arial"/>
          <w:b/>
        </w:rPr>
        <w:t>DOCE DE FEBRERO DE DOS MIL VEINTE</w:t>
      </w:r>
      <w:r w:rsidRPr="0007653D">
        <w:rPr>
          <w:rFonts w:ascii="Palatino Linotype" w:hAnsi="Palatino Linotype" w:cs="Arial"/>
          <w:b/>
        </w:rPr>
        <w:t>, EN EL RECURSO DE REVISIÓN 0</w:t>
      </w:r>
      <w:r w:rsidR="00924630">
        <w:rPr>
          <w:rFonts w:ascii="Palatino Linotype" w:hAnsi="Palatino Linotype" w:cs="Arial"/>
          <w:b/>
        </w:rPr>
        <w:t>9069</w:t>
      </w:r>
      <w:r w:rsidRPr="0007653D">
        <w:rPr>
          <w:rFonts w:ascii="Palatino Linotype" w:hAnsi="Palatino Linotype" w:cs="Arial"/>
          <w:b/>
        </w:rPr>
        <w:t>/INFOEM/IP/RR/201</w:t>
      </w:r>
      <w:r w:rsidR="001E2B06">
        <w:rPr>
          <w:rFonts w:ascii="Palatino Linotype" w:hAnsi="Palatino Linotype" w:cs="Arial"/>
          <w:b/>
        </w:rPr>
        <w:t>9</w:t>
      </w:r>
      <w:r w:rsidRPr="00E42755">
        <w:rPr>
          <w:rFonts w:ascii="Palatino Linotype" w:eastAsia="Calibri" w:hAnsi="Palatino Linotype" w:cs="Arial"/>
          <w:b/>
          <w:color w:val="000000"/>
        </w:rPr>
        <w:t>.</w:t>
      </w:r>
    </w:p>
    <w:p w14:paraId="0F92F505" w14:textId="189112E9" w:rsidR="004C0749" w:rsidRPr="00E42755" w:rsidRDefault="004C0749" w:rsidP="001E2B06">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sidR="00924630">
        <w:rPr>
          <w:rFonts w:ascii="Palatino Linotype" w:eastAsia="Calibri" w:hAnsi="Palatino Linotype" w:cs="Arial"/>
          <w:b/>
          <w:color w:val="000000"/>
        </w:rPr>
        <w:t>9069</w:t>
      </w:r>
      <w:r w:rsidR="002B752D">
        <w:rPr>
          <w:rFonts w:ascii="Palatino Linotype" w:eastAsia="Calibri" w:hAnsi="Palatino Linotype" w:cs="Arial"/>
          <w:b/>
          <w:color w:val="000000"/>
        </w:rPr>
        <w:t>/</w:t>
      </w:r>
      <w:r w:rsidRPr="00E42755">
        <w:rPr>
          <w:rFonts w:ascii="Palatino Linotype" w:eastAsia="Calibri" w:hAnsi="Palatino Linotype" w:cs="Arial"/>
          <w:b/>
          <w:color w:val="000000"/>
        </w:rPr>
        <w:t>INFOEM/IP/RR/201</w:t>
      </w:r>
      <w:r w:rsidR="001E2B06">
        <w:rPr>
          <w:rFonts w:ascii="Palatino Linotype" w:eastAsia="Calibri" w:hAnsi="Palatino Linotype" w:cs="Arial"/>
          <w:b/>
          <w:color w:val="000000"/>
        </w:rPr>
        <w:t>9</w:t>
      </w:r>
      <w:r w:rsidRPr="00E42755">
        <w:rPr>
          <w:rFonts w:ascii="Palatino Linotype" w:hAnsi="Palatino Linotype" w:cs="Arial"/>
        </w:rPr>
        <w:t xml:space="preserve">, pronunciada por el Pleno de este Instituto ante el proyecto presentado por </w:t>
      </w:r>
      <w:r w:rsidR="001E2B06">
        <w:rPr>
          <w:rFonts w:ascii="Palatino Linotype" w:hAnsi="Palatino Linotype" w:cs="Arial"/>
        </w:rPr>
        <w:t>el</w:t>
      </w:r>
      <w:r w:rsidRPr="00E42755">
        <w:rPr>
          <w:rFonts w:ascii="Palatino Linotype" w:hAnsi="Palatino Linotype" w:cs="Arial"/>
        </w:rPr>
        <w:t xml:space="preserve"> Comisionad</w:t>
      </w:r>
      <w:r w:rsidR="001E2B06">
        <w:rPr>
          <w:rFonts w:ascii="Palatino Linotype" w:hAnsi="Palatino Linotype" w:cs="Arial"/>
        </w:rPr>
        <w:t>o</w:t>
      </w:r>
      <w:r w:rsidR="00D76FBE">
        <w:rPr>
          <w:rFonts w:ascii="Palatino Linotype" w:hAnsi="Palatino Linotype" w:cs="Arial"/>
        </w:rPr>
        <w:t xml:space="preserve"> </w:t>
      </w:r>
      <w:r w:rsidR="00823A4C">
        <w:rPr>
          <w:rFonts w:ascii="Palatino Linotype" w:hAnsi="Palatino Linotype" w:cs="Arial"/>
          <w:b/>
        </w:rPr>
        <w:t>JAVIER MA</w:t>
      </w:r>
      <w:r w:rsidR="00924630">
        <w:rPr>
          <w:rFonts w:ascii="Palatino Linotype" w:hAnsi="Palatino Linotype" w:cs="Arial"/>
          <w:b/>
        </w:rPr>
        <w:t>RTÍNEZ CRUZ</w:t>
      </w:r>
      <w:r w:rsidRPr="0007653D">
        <w:rPr>
          <w:rFonts w:ascii="Palatino Linotype" w:hAnsi="Palatino Linotype" w:cs="Arial"/>
        </w:rPr>
        <w:t xml:space="preserve">, </w:t>
      </w:r>
      <w:r w:rsidR="00246C33">
        <w:rPr>
          <w:rFonts w:ascii="Palatino Linotype" w:hAnsi="Palatino Linotype" w:cs="Arial"/>
        </w:rPr>
        <w:t>que es del tenor siguiente.</w:t>
      </w:r>
    </w:p>
    <w:p w14:paraId="75A30CA2" w14:textId="2D7F2C75" w:rsidR="004C0749" w:rsidRDefault="004C0749" w:rsidP="001E2B06">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estudio realizado en la resolución del </w:t>
      </w:r>
      <w:r w:rsidRPr="00D93A88">
        <w:rPr>
          <w:rFonts w:ascii="Palatino Linotype" w:hAnsi="Palatino Linotype"/>
        </w:rPr>
        <w:t>recurso de revis</w:t>
      </w:r>
      <w:r>
        <w:rPr>
          <w:rFonts w:ascii="Palatino Linotype" w:hAnsi="Palatino Linotype"/>
        </w:rPr>
        <w:t xml:space="preserve">ión; empero, </w:t>
      </w:r>
      <w:r w:rsidR="001D3B24">
        <w:rPr>
          <w:rFonts w:ascii="Palatino Linotype" w:hAnsi="Palatino Linotype"/>
        </w:rPr>
        <w:t>estimo</w:t>
      </w:r>
      <w:r w:rsidRPr="00D93A88">
        <w:rPr>
          <w:rFonts w:ascii="Palatino Linotype" w:hAnsi="Palatino Linotype"/>
        </w:rPr>
        <w:t xml:space="preserve"> necesario precisar algunas consideraciones de hecho y de derecho</w:t>
      </w:r>
      <w:r>
        <w:rPr>
          <w:rFonts w:ascii="Palatino Linotype" w:hAnsi="Palatino Linotype"/>
        </w:rPr>
        <w:t xml:space="preserve">, tocante </w:t>
      </w:r>
      <w:r w:rsidR="00D06DEE">
        <w:rPr>
          <w:rFonts w:ascii="Palatino Linotype" w:hAnsi="Palatino Linotype"/>
        </w:rPr>
        <w:t>al estudio de la presente resolución</w:t>
      </w:r>
      <w:r w:rsidRPr="00D93A88">
        <w:rPr>
          <w:rFonts w:ascii="Palatino Linotype" w:hAnsi="Palatino Linotype"/>
        </w:rPr>
        <w:t>.</w:t>
      </w:r>
    </w:p>
    <w:p w14:paraId="1D4749DD" w14:textId="4B746401" w:rsidR="00B75AE2" w:rsidRDefault="004C0749" w:rsidP="00201DC4">
      <w:pPr>
        <w:spacing w:before="100" w:beforeAutospacing="1" w:after="100" w:afterAutospacing="1" w:line="360" w:lineRule="auto"/>
        <w:jc w:val="both"/>
        <w:rPr>
          <w:rFonts w:ascii="Palatino Linotype" w:hAnsi="Palatino Linotype"/>
        </w:rPr>
      </w:pPr>
      <w:r w:rsidRPr="0000235C">
        <w:rPr>
          <w:rFonts w:ascii="Palatino Linotype" w:hAnsi="Palatino Linotype"/>
        </w:rPr>
        <w:t xml:space="preserve">Al respecto, tal y como quedó debidamente asentado en la resolución materia del presente voto, </w:t>
      </w:r>
      <w:r w:rsidR="00EE7D90">
        <w:rPr>
          <w:rFonts w:ascii="Palatino Linotype" w:hAnsi="Palatino Linotype"/>
        </w:rPr>
        <w:t>el</w:t>
      </w:r>
      <w:r w:rsidRPr="0000235C">
        <w:rPr>
          <w:rFonts w:ascii="Palatino Linotype" w:hAnsi="Palatino Linotype"/>
        </w:rPr>
        <w:t xml:space="preserve"> particular requirió del </w:t>
      </w:r>
      <w:r w:rsidR="00924630" w:rsidRPr="00263FBF">
        <w:rPr>
          <w:rFonts w:ascii="Palatino Linotype" w:hAnsi="Palatino Linotype"/>
          <w:b/>
          <w:lang w:val="es-MX"/>
        </w:rPr>
        <w:t>Ayuntamiento de Tecámac</w:t>
      </w:r>
      <w:r w:rsidR="00D80B0A">
        <w:rPr>
          <w:rFonts w:ascii="Palatino Linotype" w:hAnsi="Palatino Linotype"/>
        </w:rPr>
        <w:t>,</w:t>
      </w:r>
      <w:r w:rsidR="004272A9">
        <w:rPr>
          <w:rFonts w:ascii="Palatino Linotype" w:hAnsi="Palatino Linotype"/>
        </w:rPr>
        <w:t xml:space="preserve"> en lo subsecuente </w:t>
      </w:r>
      <w:r w:rsidR="00D80B0A">
        <w:rPr>
          <w:rFonts w:ascii="Palatino Linotype" w:hAnsi="Palatino Linotype"/>
        </w:rPr>
        <w:t xml:space="preserve"> </w:t>
      </w:r>
      <w:r w:rsidR="00D06DEE" w:rsidRPr="00D06DEE">
        <w:rPr>
          <w:rFonts w:ascii="Palatino Linotype" w:hAnsi="Palatino Linotype"/>
          <w:b/>
        </w:rPr>
        <w:t xml:space="preserve">EL </w:t>
      </w:r>
      <w:r w:rsidRPr="00130433">
        <w:rPr>
          <w:rFonts w:ascii="Palatino Linotype" w:hAnsi="Palatino Linotype"/>
          <w:b/>
        </w:rPr>
        <w:t>SUJETO OBLIGADO</w:t>
      </w:r>
      <w:r w:rsidRPr="0000235C">
        <w:rPr>
          <w:rFonts w:ascii="Palatino Linotype" w:hAnsi="Palatino Linotype"/>
        </w:rPr>
        <w:t xml:space="preserve"> vía SAIMEX,</w:t>
      </w:r>
      <w:r w:rsidR="00201DC4">
        <w:rPr>
          <w:rFonts w:ascii="Palatino Linotype" w:hAnsi="Palatino Linotype"/>
        </w:rPr>
        <w:t xml:space="preserve"> </w:t>
      </w:r>
      <w:r w:rsidR="00924630">
        <w:rPr>
          <w:rFonts w:ascii="Palatino Linotype" w:hAnsi="Palatino Linotype"/>
        </w:rPr>
        <w:t>lo siguiente:</w:t>
      </w:r>
    </w:p>
    <w:p w14:paraId="4B2D48AA" w14:textId="77777777" w:rsidR="00924630" w:rsidRPr="00924630" w:rsidRDefault="00924630" w:rsidP="00924630">
      <w:pPr>
        <w:pStyle w:val="Prrafodelista"/>
        <w:numPr>
          <w:ilvl w:val="0"/>
          <w:numId w:val="16"/>
        </w:numPr>
        <w:tabs>
          <w:tab w:val="left" w:pos="4962"/>
        </w:tabs>
        <w:ind w:right="757"/>
        <w:jc w:val="both"/>
        <w:rPr>
          <w:rFonts w:ascii="Palatino Linotype" w:eastAsia="Calibri" w:hAnsi="Palatino Linotype" w:cs="Tahoma"/>
          <w:i/>
          <w:iCs/>
          <w:sz w:val="22"/>
          <w:szCs w:val="22"/>
          <w:lang w:eastAsia="es-ES_tradnl"/>
        </w:rPr>
      </w:pPr>
      <w:r w:rsidRPr="00924630">
        <w:rPr>
          <w:rFonts w:ascii="Palatino Linotype" w:eastAsia="Calibri" w:hAnsi="Palatino Linotype" w:cs="Tahoma"/>
          <w:i/>
          <w:iCs/>
          <w:sz w:val="22"/>
          <w:szCs w:val="22"/>
          <w:lang w:eastAsia="es-ES_tradnl"/>
        </w:rPr>
        <w:t>El documento donde conste la creación e integración de la Unidad de Igualdad de Género y Erradicación de la Violencia;</w:t>
      </w:r>
    </w:p>
    <w:p w14:paraId="2349747B" w14:textId="77777777" w:rsidR="00924630" w:rsidRPr="00924630" w:rsidRDefault="00924630" w:rsidP="00924630">
      <w:pPr>
        <w:pStyle w:val="Prrafodelista"/>
        <w:numPr>
          <w:ilvl w:val="0"/>
          <w:numId w:val="16"/>
        </w:numPr>
        <w:tabs>
          <w:tab w:val="left" w:pos="4962"/>
        </w:tabs>
        <w:ind w:right="757"/>
        <w:jc w:val="both"/>
        <w:rPr>
          <w:rFonts w:ascii="Palatino Linotype" w:eastAsia="Calibri" w:hAnsi="Palatino Linotype" w:cs="Tahoma"/>
          <w:i/>
          <w:iCs/>
          <w:sz w:val="22"/>
          <w:szCs w:val="22"/>
          <w:lang w:eastAsia="es-ES_tradnl"/>
        </w:rPr>
      </w:pPr>
      <w:r w:rsidRPr="00924630">
        <w:rPr>
          <w:rFonts w:ascii="Palatino Linotype" w:eastAsia="Calibri" w:hAnsi="Palatino Linotype" w:cs="Tahoma"/>
          <w:i/>
          <w:iCs/>
          <w:sz w:val="22"/>
          <w:szCs w:val="22"/>
          <w:lang w:eastAsia="es-ES_tradnl"/>
        </w:rPr>
        <w:lastRenderedPageBreak/>
        <w:t>El o los protocolos para la prevención y atención a víctimas de acoso y hostigamiento sexual; y,</w:t>
      </w:r>
    </w:p>
    <w:p w14:paraId="13E82231" w14:textId="54065A8A" w:rsidR="00924630" w:rsidRPr="00924630" w:rsidRDefault="00924630" w:rsidP="00924630">
      <w:pPr>
        <w:pStyle w:val="Prrafodelista"/>
        <w:numPr>
          <w:ilvl w:val="0"/>
          <w:numId w:val="16"/>
        </w:numPr>
        <w:spacing w:before="100" w:beforeAutospacing="1" w:after="100" w:afterAutospacing="1"/>
        <w:ind w:right="757"/>
        <w:jc w:val="both"/>
        <w:rPr>
          <w:rFonts w:ascii="Palatino Linotype" w:hAnsi="Palatino Linotype" w:cs="Arial"/>
          <w:i/>
          <w:sz w:val="22"/>
          <w:szCs w:val="22"/>
        </w:rPr>
      </w:pPr>
      <w:r w:rsidRPr="00924630">
        <w:rPr>
          <w:rFonts w:ascii="Palatino Linotype" w:eastAsia="Calibri" w:hAnsi="Palatino Linotype" w:cs="Tahoma"/>
          <w:i/>
          <w:iCs/>
          <w:sz w:val="22"/>
          <w:szCs w:val="22"/>
          <w:lang w:eastAsia="es-ES_tradnl"/>
        </w:rPr>
        <w:t>Los acuerdos y el medio de difusión donde fueron publicados los protocolos o documentos análogos para la prevención y atención a víctimas de acoso y hostigamiento sexual.</w:t>
      </w:r>
    </w:p>
    <w:p w14:paraId="6D01E49C" w14:textId="62A39D02" w:rsidR="00486744" w:rsidRPr="00201DC4" w:rsidRDefault="00201DC4" w:rsidP="00B75AE2">
      <w:pPr>
        <w:spacing w:line="360" w:lineRule="auto"/>
        <w:jc w:val="both"/>
        <w:rPr>
          <w:rFonts w:ascii="Palatino Linotype" w:hAnsi="Palatino Linotype"/>
        </w:rPr>
      </w:pPr>
      <w:r>
        <w:rPr>
          <w:rFonts w:ascii="Palatino Linotype" w:hAnsi="Palatino Linotype"/>
        </w:rPr>
        <w:t xml:space="preserve">Es así, que mediante su respuesta </w:t>
      </w:r>
      <w:r w:rsidRPr="00201DC4">
        <w:rPr>
          <w:rFonts w:ascii="Palatino Linotype" w:hAnsi="Palatino Linotype"/>
          <w:b/>
        </w:rPr>
        <w:t>EL SUJETO OBLIGADO</w:t>
      </w:r>
      <w:r>
        <w:rPr>
          <w:rFonts w:ascii="Palatino Linotype" w:hAnsi="Palatino Linotype"/>
          <w:b/>
        </w:rPr>
        <w:t xml:space="preserve"> </w:t>
      </w:r>
      <w:r>
        <w:rPr>
          <w:rFonts w:ascii="Palatino Linotype" w:hAnsi="Palatino Linotype"/>
        </w:rPr>
        <w:t xml:space="preserve">manifestó que </w:t>
      </w:r>
      <w:r w:rsidR="00924630" w:rsidRPr="00263FBF">
        <w:rPr>
          <w:rFonts w:ascii="Palatino Linotype" w:hAnsi="Palatino Linotype"/>
        </w:rPr>
        <w:t xml:space="preserve">de  conformidad con lo  </w:t>
      </w:r>
      <w:r w:rsidR="00823A4C">
        <w:rPr>
          <w:rFonts w:ascii="Palatino Linotype" w:hAnsi="Palatino Linotype"/>
        </w:rPr>
        <w:t xml:space="preserve">establecido en los artículos </w:t>
      </w:r>
      <w:r w:rsidR="00924630" w:rsidRPr="00263FBF">
        <w:rPr>
          <w:rFonts w:ascii="Palatino Linotype" w:hAnsi="Palatino Linotype"/>
        </w:rPr>
        <w:t xml:space="preserve">18 y 19 de la Ley de Transparencia y Acceso a la Información Pública del Estado de </w:t>
      </w:r>
      <w:r w:rsidR="00823A4C">
        <w:rPr>
          <w:rFonts w:ascii="Palatino Linotype" w:hAnsi="Palatino Linotype"/>
        </w:rPr>
        <w:t xml:space="preserve">México </w:t>
      </w:r>
      <w:r w:rsidR="00924630" w:rsidRPr="00263FBF">
        <w:rPr>
          <w:rFonts w:ascii="Palatino Linotype" w:hAnsi="Palatino Linotype"/>
        </w:rPr>
        <w:t xml:space="preserve">y Municipios, </w:t>
      </w:r>
      <w:r w:rsidR="00823A4C">
        <w:rPr>
          <w:rFonts w:ascii="Palatino Linotype" w:hAnsi="Palatino Linotype"/>
        </w:rPr>
        <w:t xml:space="preserve">la </w:t>
      </w:r>
      <w:r w:rsidR="00924630" w:rsidRPr="00263FBF">
        <w:rPr>
          <w:rFonts w:ascii="Palatino Linotype" w:hAnsi="Palatino Linotype"/>
        </w:rPr>
        <w:t>Secretaría del Ayuntamiento l</w:t>
      </w:r>
      <w:r w:rsidR="00823A4C">
        <w:rPr>
          <w:rFonts w:ascii="Palatino Linotype" w:hAnsi="Palatino Linotype"/>
        </w:rPr>
        <w:t xml:space="preserve">e informa que derivado del </w:t>
      </w:r>
      <w:r w:rsidR="00924630" w:rsidRPr="00263FBF">
        <w:rPr>
          <w:rFonts w:ascii="Palatino Linotype" w:hAnsi="Palatino Linotype"/>
        </w:rPr>
        <w:t xml:space="preserve">Decreto 309 de fecha </w:t>
      </w:r>
      <w:r w:rsidR="00823A4C">
        <w:rPr>
          <w:rFonts w:ascii="Palatino Linotype" w:hAnsi="Palatino Linotype"/>
        </w:rPr>
        <w:t xml:space="preserve">10 </w:t>
      </w:r>
      <w:r w:rsidR="00924630" w:rsidRPr="00263FBF">
        <w:rPr>
          <w:rFonts w:ascii="Palatino Linotype" w:hAnsi="Palatino Linotype"/>
        </w:rPr>
        <w:t>d</w:t>
      </w:r>
      <w:r w:rsidR="00823A4C">
        <w:rPr>
          <w:rFonts w:ascii="Palatino Linotype" w:hAnsi="Palatino Linotype"/>
        </w:rPr>
        <w:t xml:space="preserve">e </w:t>
      </w:r>
      <w:r w:rsidR="00924630" w:rsidRPr="00263FBF">
        <w:rPr>
          <w:rFonts w:ascii="Palatino Linotype" w:hAnsi="Palatino Linotype"/>
        </w:rPr>
        <w:t xml:space="preserve">Mayo </w:t>
      </w:r>
      <w:r w:rsidR="00823A4C">
        <w:rPr>
          <w:rFonts w:ascii="Palatino Linotype" w:hAnsi="Palatino Linotype"/>
        </w:rPr>
        <w:t>de</w:t>
      </w:r>
      <w:r w:rsidR="00924630" w:rsidRPr="00263FBF">
        <w:rPr>
          <w:rFonts w:ascii="Palatino Linotype" w:hAnsi="Palatino Linotype"/>
        </w:rPr>
        <w:t xml:space="preserve"> 2018, </w:t>
      </w:r>
      <w:r w:rsidR="00823A4C">
        <w:rPr>
          <w:rFonts w:ascii="Palatino Linotype" w:hAnsi="Palatino Linotype"/>
        </w:rPr>
        <w:t xml:space="preserve">en </w:t>
      </w:r>
      <w:r w:rsidR="00924630" w:rsidRPr="00263FBF">
        <w:rPr>
          <w:rFonts w:ascii="Palatino Linotype" w:hAnsi="Palatino Linotype"/>
        </w:rPr>
        <w:t>do</w:t>
      </w:r>
      <w:r w:rsidR="00823A4C">
        <w:rPr>
          <w:rFonts w:ascii="Palatino Linotype" w:hAnsi="Palatino Linotype"/>
        </w:rPr>
        <w:t>nde se adiciono el Capitulo Noveno Bis, denominado de las Unidades</w:t>
      </w:r>
      <w:r w:rsidR="00924630" w:rsidRPr="00924630">
        <w:rPr>
          <w:rFonts w:ascii="Palatino Linotype" w:hAnsi="Palatino Linotype"/>
        </w:rPr>
        <w:t xml:space="preserve"> de</w:t>
      </w:r>
      <w:r w:rsidR="00823A4C">
        <w:rPr>
          <w:rFonts w:ascii="Palatino Linotype" w:hAnsi="Palatino Linotype"/>
        </w:rPr>
        <w:t xml:space="preserve"> Igualdad</w:t>
      </w:r>
      <w:r w:rsidR="00924630" w:rsidRPr="00924630">
        <w:rPr>
          <w:rFonts w:ascii="Palatino Linotype" w:hAnsi="Palatino Linotype"/>
        </w:rPr>
        <w:t xml:space="preserve"> de </w:t>
      </w:r>
      <w:r w:rsidR="00823A4C">
        <w:rPr>
          <w:rFonts w:ascii="Palatino Linotype" w:hAnsi="Palatino Linotype"/>
        </w:rPr>
        <w:t>Género y Erradicación de la</w:t>
      </w:r>
      <w:r w:rsidR="00924630" w:rsidRPr="00924630">
        <w:rPr>
          <w:rFonts w:ascii="Palatino Linotype" w:hAnsi="Palatino Linotype"/>
        </w:rPr>
        <w:t xml:space="preserve"> Violencia</w:t>
      </w:r>
      <w:r w:rsidR="00823A4C">
        <w:rPr>
          <w:rFonts w:ascii="Palatino Linotype" w:hAnsi="Palatino Linotype"/>
        </w:rPr>
        <w:t xml:space="preserve"> de la Ley de Igualdad de Trato y Oportunidades entre Mujeres y Hombres del Estado de México en su artículo 34 Bis, no hace mención alguna de que</w:t>
      </w:r>
      <w:r w:rsidR="00924630" w:rsidRPr="00263FBF">
        <w:rPr>
          <w:rFonts w:ascii="Palatino Linotype" w:hAnsi="Palatino Linotype"/>
        </w:rPr>
        <w:t xml:space="preserve"> las Unidades </w:t>
      </w:r>
      <w:r w:rsidR="00823A4C">
        <w:rPr>
          <w:rFonts w:ascii="Palatino Linotype" w:hAnsi="Palatino Linotype"/>
        </w:rPr>
        <w:t xml:space="preserve">de Igualdad de Género </w:t>
      </w:r>
      <w:r w:rsidR="00924630" w:rsidRPr="00263FBF">
        <w:rPr>
          <w:rFonts w:ascii="Palatino Linotype" w:hAnsi="Palatino Linotype"/>
        </w:rPr>
        <w:t>y</w:t>
      </w:r>
      <w:r w:rsidR="00823A4C">
        <w:rPr>
          <w:rFonts w:ascii="Palatino Linotype" w:hAnsi="Palatino Linotype"/>
        </w:rPr>
        <w:t xml:space="preserve"> Erradicación de </w:t>
      </w:r>
      <w:r w:rsidR="00924630" w:rsidRPr="00263FBF">
        <w:rPr>
          <w:rFonts w:ascii="Palatino Linotype" w:hAnsi="Palatino Linotype"/>
        </w:rPr>
        <w:t>la Violencia, deban d</w:t>
      </w:r>
      <w:r w:rsidR="00823A4C">
        <w:rPr>
          <w:rFonts w:ascii="Palatino Linotype" w:hAnsi="Palatino Linotype"/>
        </w:rPr>
        <w:t xml:space="preserve">e aprobarse mediante </w:t>
      </w:r>
      <w:r w:rsidR="00924630" w:rsidRPr="00263FBF">
        <w:rPr>
          <w:rFonts w:ascii="Palatino Linotype" w:hAnsi="Palatino Linotype"/>
        </w:rPr>
        <w:t>Sesión de Cabildo.</w:t>
      </w:r>
    </w:p>
    <w:p w14:paraId="4825B00C" w14:textId="77777777" w:rsidR="00201DC4" w:rsidRDefault="00201DC4" w:rsidP="00B75AE2">
      <w:pPr>
        <w:spacing w:line="360" w:lineRule="auto"/>
        <w:jc w:val="both"/>
        <w:rPr>
          <w:rFonts w:ascii="Palatino Linotype" w:hAnsi="Palatino Linotype"/>
        </w:rPr>
      </w:pPr>
    </w:p>
    <w:p w14:paraId="7CAC32D9" w14:textId="04CAE031" w:rsidR="00486744" w:rsidRDefault="00486744" w:rsidP="00B75AE2">
      <w:pPr>
        <w:spacing w:line="360" w:lineRule="auto"/>
        <w:jc w:val="both"/>
        <w:rPr>
          <w:rFonts w:ascii="Palatino Linotype" w:hAnsi="Palatino Linotype"/>
        </w:rPr>
      </w:pPr>
      <w:r>
        <w:rPr>
          <w:rFonts w:ascii="Palatino Linotype" w:hAnsi="Palatino Linotype"/>
        </w:rPr>
        <w:t xml:space="preserve">Inconforme con la respuesta otorgada, el particular procedió a interponer el recurso de revisión de mérito señalando principalmente como razones y motivos de inconformidad </w:t>
      </w:r>
      <w:r w:rsidR="001D3B24">
        <w:rPr>
          <w:rFonts w:ascii="Palatino Linotype" w:hAnsi="Palatino Linotype"/>
          <w:color w:val="000000"/>
        </w:rPr>
        <w:t xml:space="preserve">que </w:t>
      </w:r>
      <w:r w:rsidR="00057484">
        <w:rPr>
          <w:rFonts w:ascii="Palatino Linotype" w:hAnsi="Palatino Linotype"/>
          <w:color w:val="000000"/>
        </w:rPr>
        <w:t xml:space="preserve">había requerido </w:t>
      </w:r>
      <w:r w:rsidR="00057484" w:rsidRPr="00263FBF">
        <w:rPr>
          <w:rFonts w:ascii="Palatino Linotype" w:hAnsi="Palatino Linotype"/>
          <w:color w:val="000000"/>
        </w:rPr>
        <w:t>se le informara si el municipio contaban con algún protocolo de atención a víctimas de acoso y hostigamiento sexual en la administración pública municipal</w:t>
      </w:r>
      <w:r w:rsidR="00057484">
        <w:rPr>
          <w:rFonts w:ascii="Palatino Linotype" w:hAnsi="Palatino Linotype"/>
          <w:color w:val="000000"/>
        </w:rPr>
        <w:t>.</w:t>
      </w:r>
    </w:p>
    <w:p w14:paraId="1A8A06D4" w14:textId="47A1AA28" w:rsidR="00B75AE2" w:rsidRDefault="004C0749" w:rsidP="00B75AE2">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Así, del estudio </w:t>
      </w:r>
      <w:r w:rsidR="00DC7173">
        <w:rPr>
          <w:rFonts w:ascii="Palatino Linotype" w:hAnsi="Palatino Linotype" w:cs="Arial"/>
        </w:rPr>
        <w:t>realizado al</w:t>
      </w:r>
      <w:r>
        <w:rPr>
          <w:rFonts w:ascii="Palatino Linotype" w:hAnsi="Palatino Linotype"/>
        </w:rPr>
        <w:t xml:space="preserve"> </w:t>
      </w:r>
      <w:r w:rsidRPr="00A01905">
        <w:rPr>
          <w:rFonts w:ascii="Palatino Linotype" w:hAnsi="Palatino Linotype"/>
        </w:rPr>
        <w:t>expediente electrónico del SAIMEX</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80189D">
        <w:rPr>
          <w:rFonts w:ascii="Palatino Linotype" w:hAnsi="Palatino Linotype" w:cs="Arial"/>
          <w:b/>
        </w:rPr>
        <w:t>REVOCAR</w:t>
      </w:r>
      <w:r>
        <w:rPr>
          <w:rFonts w:ascii="Palatino Linotype" w:hAnsi="Palatino Linotype" w:cs="Arial"/>
        </w:rPr>
        <w:t xml:space="preserve"> </w:t>
      </w:r>
      <w:r w:rsidR="00A8294E">
        <w:rPr>
          <w:rFonts w:ascii="Palatino Linotype" w:hAnsi="Palatino Linotype" w:cs="Arial"/>
        </w:rPr>
        <w:t xml:space="preserve">la respuesta, ordenándole al </w:t>
      </w:r>
      <w:r w:rsidR="00A8294E" w:rsidRPr="00A8294E">
        <w:rPr>
          <w:rFonts w:ascii="Palatino Linotype" w:hAnsi="Palatino Linotype" w:cs="Arial"/>
          <w:b/>
        </w:rPr>
        <w:t>SUJETO OBLIGADO</w:t>
      </w:r>
      <w:r w:rsidR="00A8294E">
        <w:rPr>
          <w:rFonts w:ascii="Palatino Linotype" w:hAnsi="Palatino Linotype" w:cs="Arial"/>
          <w:b/>
        </w:rPr>
        <w:t xml:space="preserve">, </w:t>
      </w:r>
      <w:r w:rsidR="00057484" w:rsidRPr="00263FBF">
        <w:rPr>
          <w:rFonts w:ascii="Palatino Linotype" w:hAnsi="Palatino Linotype"/>
          <w:lang w:val="es-MX"/>
        </w:rPr>
        <w:t>que</w:t>
      </w:r>
      <w:r w:rsidR="00057484" w:rsidRPr="00263FBF">
        <w:rPr>
          <w:rFonts w:ascii="Palatino Linotype" w:hAnsi="Palatino Linotype"/>
          <w:b/>
          <w:lang w:val="es-MX"/>
        </w:rPr>
        <w:t xml:space="preserve"> </w:t>
      </w:r>
      <w:r w:rsidR="00057484">
        <w:rPr>
          <w:rFonts w:ascii="Palatino Linotype" w:hAnsi="Palatino Linotype"/>
          <w:lang w:val="es-MX"/>
        </w:rPr>
        <w:t>en términos del Considerando</w:t>
      </w:r>
      <w:r w:rsidR="00057484" w:rsidRPr="00263FBF">
        <w:rPr>
          <w:rFonts w:ascii="Palatino Linotype" w:hAnsi="Palatino Linotype"/>
          <w:lang w:val="es-MX"/>
        </w:rPr>
        <w:t xml:space="preserve"> </w:t>
      </w:r>
      <w:r w:rsidR="00057484">
        <w:rPr>
          <w:rFonts w:ascii="Palatino Linotype" w:hAnsi="Palatino Linotype"/>
          <w:b/>
          <w:lang w:val="es-MX"/>
        </w:rPr>
        <w:t>Cuarto</w:t>
      </w:r>
      <w:r w:rsidR="00057484" w:rsidRPr="00263FBF">
        <w:rPr>
          <w:rFonts w:ascii="Palatino Linotype" w:hAnsi="Palatino Linotype"/>
          <w:lang w:val="es-MX"/>
        </w:rPr>
        <w:t xml:space="preserve"> de esta resolución haga entrega, vía </w:t>
      </w:r>
      <w:r w:rsidR="00057484" w:rsidRPr="00263FBF">
        <w:rPr>
          <w:rFonts w:ascii="Palatino Linotype" w:hAnsi="Palatino Linotype"/>
          <w:lang w:val="es-MX"/>
        </w:rPr>
        <w:lastRenderedPageBreak/>
        <w:t xml:space="preserve">SAIMEX, </w:t>
      </w:r>
      <w:r w:rsidR="00057484">
        <w:rPr>
          <w:rFonts w:ascii="Palatino Linotype" w:hAnsi="Palatino Linotype"/>
          <w:lang w:val="es-MX"/>
        </w:rPr>
        <w:t xml:space="preserve">de ser procedente </w:t>
      </w:r>
      <w:r w:rsidR="00057484" w:rsidRPr="00263FBF">
        <w:rPr>
          <w:rFonts w:ascii="Palatino Linotype" w:hAnsi="Palatino Linotype"/>
          <w:lang w:val="es-MX"/>
        </w:rPr>
        <w:t xml:space="preserve">en </w:t>
      </w:r>
      <w:r w:rsidR="00057484" w:rsidRPr="00263FBF">
        <w:rPr>
          <w:rFonts w:ascii="Palatino Linotype" w:hAnsi="Palatino Linotype" w:cs="Arial"/>
          <w:lang w:val="es-MX"/>
        </w:rPr>
        <w:t xml:space="preserve">versión pública, previa búsqueda exhaustiva y razonable, el </w:t>
      </w:r>
      <w:r w:rsidR="00057484" w:rsidRPr="00B4652D">
        <w:rPr>
          <w:rFonts w:ascii="Palatino Linotype" w:hAnsi="Palatino Linotype" w:cs="Arial"/>
          <w:lang w:val="es-MX"/>
        </w:rPr>
        <w:t>documento en donde conste lo siguiente</w:t>
      </w:r>
      <w:r w:rsidR="00A8294E">
        <w:rPr>
          <w:rFonts w:ascii="Palatino Linotype" w:hAnsi="Palatino Linotype" w:cs="Arial"/>
        </w:rPr>
        <w:t>:</w:t>
      </w:r>
    </w:p>
    <w:p w14:paraId="1BA203C4" w14:textId="77777777" w:rsidR="00057484" w:rsidRPr="00057484" w:rsidRDefault="00057484" w:rsidP="00057484">
      <w:pPr>
        <w:numPr>
          <w:ilvl w:val="0"/>
          <w:numId w:val="17"/>
        </w:numPr>
        <w:tabs>
          <w:tab w:val="left" w:pos="4962"/>
        </w:tabs>
        <w:ind w:right="757"/>
        <w:jc w:val="both"/>
        <w:rPr>
          <w:rFonts w:ascii="Palatino Linotype" w:eastAsia="Calibri" w:hAnsi="Palatino Linotype" w:cs="Tahoma"/>
          <w:i/>
          <w:iCs/>
          <w:sz w:val="22"/>
          <w:szCs w:val="22"/>
          <w:lang w:eastAsia="es-ES_tradnl"/>
        </w:rPr>
      </w:pPr>
      <w:r w:rsidRPr="00057484">
        <w:rPr>
          <w:rFonts w:ascii="Palatino Linotype" w:eastAsia="Calibri" w:hAnsi="Palatino Linotype" w:cs="Tahoma"/>
          <w:i/>
          <w:iCs/>
          <w:sz w:val="22"/>
          <w:szCs w:val="22"/>
          <w:lang w:eastAsia="es-ES_tradnl"/>
        </w:rPr>
        <w:t>La creación e integración de la Unidad de Igualdad de Género y Erradicación de la Violencia;</w:t>
      </w:r>
    </w:p>
    <w:p w14:paraId="3177257C" w14:textId="77777777" w:rsidR="00057484" w:rsidRPr="00057484" w:rsidRDefault="00057484" w:rsidP="00057484">
      <w:pPr>
        <w:tabs>
          <w:tab w:val="left" w:pos="4962"/>
        </w:tabs>
        <w:ind w:left="720" w:right="757"/>
        <w:jc w:val="both"/>
        <w:rPr>
          <w:rFonts w:ascii="Palatino Linotype" w:eastAsia="Calibri" w:hAnsi="Palatino Linotype" w:cs="Tahoma"/>
          <w:i/>
          <w:iCs/>
          <w:sz w:val="14"/>
          <w:szCs w:val="22"/>
          <w:lang w:eastAsia="es-ES_tradnl"/>
        </w:rPr>
      </w:pPr>
    </w:p>
    <w:p w14:paraId="42E5D120" w14:textId="77777777" w:rsidR="00057484" w:rsidRPr="00057484" w:rsidRDefault="00057484" w:rsidP="00057484">
      <w:pPr>
        <w:numPr>
          <w:ilvl w:val="0"/>
          <w:numId w:val="17"/>
        </w:numPr>
        <w:tabs>
          <w:tab w:val="left" w:pos="4962"/>
        </w:tabs>
        <w:ind w:right="757"/>
        <w:jc w:val="both"/>
        <w:rPr>
          <w:rFonts w:ascii="Palatino Linotype" w:eastAsia="Calibri" w:hAnsi="Palatino Linotype" w:cs="Tahoma"/>
          <w:i/>
          <w:iCs/>
          <w:sz w:val="22"/>
          <w:szCs w:val="22"/>
          <w:lang w:eastAsia="es-ES_tradnl"/>
        </w:rPr>
      </w:pPr>
      <w:r w:rsidRPr="00057484">
        <w:rPr>
          <w:rFonts w:ascii="Palatino Linotype" w:eastAsia="Calibri" w:hAnsi="Palatino Linotype" w:cs="Tahoma"/>
          <w:i/>
          <w:iCs/>
          <w:sz w:val="22"/>
          <w:szCs w:val="22"/>
          <w:lang w:eastAsia="es-ES_tradnl"/>
        </w:rPr>
        <w:t>El o los protocolos para la prevención y atención a víctimas de acoso y hostigamiento sexual; y,</w:t>
      </w:r>
    </w:p>
    <w:p w14:paraId="0594929E" w14:textId="77777777" w:rsidR="00057484" w:rsidRPr="00057484" w:rsidRDefault="00057484" w:rsidP="00057484">
      <w:pPr>
        <w:tabs>
          <w:tab w:val="left" w:pos="4962"/>
        </w:tabs>
        <w:ind w:left="720" w:right="757"/>
        <w:jc w:val="both"/>
        <w:rPr>
          <w:rFonts w:ascii="Palatino Linotype" w:eastAsia="Calibri" w:hAnsi="Palatino Linotype" w:cs="Tahoma"/>
          <w:i/>
          <w:iCs/>
          <w:sz w:val="14"/>
          <w:szCs w:val="22"/>
          <w:lang w:eastAsia="es-ES_tradnl"/>
        </w:rPr>
      </w:pPr>
    </w:p>
    <w:p w14:paraId="2FC970A5" w14:textId="77777777" w:rsidR="00057484" w:rsidRPr="00057484" w:rsidRDefault="00057484" w:rsidP="00057484">
      <w:pPr>
        <w:numPr>
          <w:ilvl w:val="0"/>
          <w:numId w:val="17"/>
        </w:numPr>
        <w:tabs>
          <w:tab w:val="left" w:pos="4962"/>
        </w:tabs>
        <w:ind w:right="757"/>
        <w:jc w:val="both"/>
        <w:rPr>
          <w:rFonts w:ascii="Palatino Linotype" w:eastAsia="Calibri" w:hAnsi="Palatino Linotype" w:cs="Tahoma"/>
          <w:i/>
          <w:iCs/>
          <w:sz w:val="22"/>
          <w:szCs w:val="22"/>
          <w:lang w:eastAsia="es-ES_tradnl"/>
        </w:rPr>
      </w:pPr>
      <w:r w:rsidRPr="00057484">
        <w:rPr>
          <w:rFonts w:ascii="Palatino Linotype" w:eastAsia="Calibri" w:hAnsi="Palatino Linotype" w:cs="Tahoma"/>
          <w:i/>
          <w:iCs/>
          <w:sz w:val="22"/>
          <w:szCs w:val="22"/>
          <w:lang w:eastAsia="es-ES_tradnl"/>
        </w:rPr>
        <w:t>Los acuerdos y el medio de difusión donde fueron publicados los protocolos o documentos análogos para la prevención y atención a víctimas de acoso y hostigamiento sexual.</w:t>
      </w:r>
    </w:p>
    <w:p w14:paraId="5DF33B16" w14:textId="77777777" w:rsidR="00057484" w:rsidRPr="00057484" w:rsidRDefault="00057484" w:rsidP="00057484">
      <w:pPr>
        <w:tabs>
          <w:tab w:val="left" w:pos="4962"/>
        </w:tabs>
        <w:spacing w:line="360" w:lineRule="auto"/>
        <w:ind w:right="757"/>
        <w:jc w:val="both"/>
        <w:rPr>
          <w:rFonts w:ascii="Palatino Linotype" w:eastAsia="Calibri" w:hAnsi="Palatino Linotype" w:cs="Tahoma"/>
          <w:i/>
          <w:iCs/>
          <w:sz w:val="22"/>
          <w:szCs w:val="22"/>
          <w:lang w:eastAsia="es-ES_tradnl"/>
        </w:rPr>
      </w:pPr>
    </w:p>
    <w:p w14:paraId="572EB054" w14:textId="77777777" w:rsidR="00057484" w:rsidRPr="00057484" w:rsidRDefault="00057484" w:rsidP="00057484">
      <w:pPr>
        <w:ind w:left="851" w:right="757"/>
        <w:jc w:val="both"/>
        <w:rPr>
          <w:rFonts w:ascii="Palatino Linotype" w:hAnsi="Palatino Linotype"/>
          <w:i/>
          <w:iCs/>
          <w:sz w:val="22"/>
          <w:szCs w:val="22"/>
          <w:lang w:eastAsia="es-MX"/>
        </w:rPr>
      </w:pPr>
      <w:r w:rsidRPr="00057484">
        <w:rPr>
          <w:rFonts w:ascii="Palatino Linotype" w:hAnsi="Palatino Linotype"/>
          <w:i/>
          <w:iCs/>
          <w:sz w:val="22"/>
          <w:szCs w:val="22"/>
          <w:lang w:eastAsia="es-MX"/>
        </w:rPr>
        <w:t>De ser el caso,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w:t>
      </w:r>
    </w:p>
    <w:p w14:paraId="352F7197" w14:textId="77777777" w:rsidR="00057484" w:rsidRPr="00057484" w:rsidRDefault="00057484" w:rsidP="00057484">
      <w:pPr>
        <w:tabs>
          <w:tab w:val="left" w:pos="4962"/>
        </w:tabs>
        <w:spacing w:line="360" w:lineRule="auto"/>
        <w:ind w:right="757"/>
        <w:jc w:val="both"/>
        <w:rPr>
          <w:rFonts w:ascii="Palatino Linotype" w:eastAsia="Calibri" w:hAnsi="Palatino Linotype" w:cs="Tahoma"/>
          <w:bCs/>
          <w:i/>
          <w:sz w:val="22"/>
          <w:szCs w:val="22"/>
          <w:lang w:eastAsia="en-US"/>
        </w:rPr>
      </w:pPr>
    </w:p>
    <w:p w14:paraId="782576FB" w14:textId="77777777" w:rsidR="00057484" w:rsidRPr="00057484" w:rsidRDefault="00057484" w:rsidP="00057484">
      <w:pPr>
        <w:ind w:left="851" w:right="757"/>
        <w:jc w:val="both"/>
        <w:rPr>
          <w:rFonts w:ascii="Palatino Linotype" w:hAnsi="Palatino Linotype" w:cs="Tahoma"/>
          <w:i/>
          <w:sz w:val="22"/>
          <w:szCs w:val="22"/>
        </w:rPr>
      </w:pPr>
      <w:r w:rsidRPr="00057484">
        <w:rPr>
          <w:rFonts w:ascii="Palatino Linotype" w:hAnsi="Palatino Linotype" w:cs="Tahoma"/>
          <w:i/>
          <w:sz w:val="22"/>
          <w:szCs w:val="22"/>
        </w:rPr>
        <w:t>En caso de no contar con la información que se ordena entregar en el inciso 1) el Comité de Transparencia deberá emitir el Acuerdo de Inexistencia.</w:t>
      </w:r>
    </w:p>
    <w:p w14:paraId="5052862D" w14:textId="77777777" w:rsidR="00057484" w:rsidRPr="00057484" w:rsidRDefault="00057484" w:rsidP="00057484">
      <w:pPr>
        <w:ind w:left="851" w:right="757"/>
        <w:jc w:val="both"/>
        <w:rPr>
          <w:rFonts w:ascii="Palatino Linotype" w:hAnsi="Palatino Linotype" w:cs="Tahoma"/>
          <w:i/>
          <w:sz w:val="22"/>
          <w:szCs w:val="22"/>
        </w:rPr>
      </w:pPr>
    </w:p>
    <w:p w14:paraId="11A00A9A" w14:textId="08F24418" w:rsidR="00A8294E" w:rsidRDefault="00057484" w:rsidP="00057484">
      <w:pPr>
        <w:tabs>
          <w:tab w:val="left" w:pos="8080"/>
        </w:tabs>
        <w:spacing w:before="240" w:after="120"/>
        <w:ind w:left="709" w:right="757"/>
        <w:jc w:val="both"/>
        <w:rPr>
          <w:rFonts w:ascii="Palatino Linotype" w:hAnsi="Palatino Linotype" w:cs="Arial"/>
          <w:i/>
          <w:sz w:val="22"/>
          <w:szCs w:val="22"/>
        </w:rPr>
      </w:pPr>
      <w:r w:rsidRPr="00057484">
        <w:rPr>
          <w:rFonts w:ascii="Palatino Linotype" w:hAnsi="Palatino Linotype" w:cs="Tahoma"/>
          <w:i/>
          <w:sz w:val="22"/>
          <w:szCs w:val="22"/>
        </w:rPr>
        <w:t>En caso de no contar con la información que se ordena entregar en los incisos 2) y/o 3) deberá argumentarlo al recurrente para tener por atendidos los requerimientos.</w:t>
      </w:r>
    </w:p>
    <w:p w14:paraId="760D170D" w14:textId="77777777" w:rsidR="0080189D" w:rsidRPr="00A8294E" w:rsidRDefault="0080189D" w:rsidP="0080189D">
      <w:pPr>
        <w:tabs>
          <w:tab w:val="left" w:pos="8080"/>
        </w:tabs>
        <w:spacing w:before="240" w:after="120"/>
        <w:ind w:left="709" w:right="757"/>
        <w:jc w:val="both"/>
        <w:rPr>
          <w:rFonts w:ascii="Palatino Linotype" w:hAnsi="Palatino Linotype" w:cs="Arial"/>
          <w:i/>
          <w:sz w:val="22"/>
          <w:szCs w:val="22"/>
        </w:rPr>
      </w:pPr>
    </w:p>
    <w:p w14:paraId="2AC30610" w14:textId="2562505C" w:rsidR="004C0749" w:rsidRPr="003303A4" w:rsidRDefault="004C0749" w:rsidP="001E2B06">
      <w:pPr>
        <w:spacing w:before="100" w:beforeAutospacing="1" w:after="100" w:afterAutospacing="1" w:line="360" w:lineRule="auto"/>
        <w:jc w:val="both"/>
        <w:rPr>
          <w:rFonts w:ascii="Palatino Linotype" w:hAnsi="Palatino Linotype" w:cs="Arial"/>
          <w:lang w:val="es-MX"/>
        </w:rPr>
      </w:pPr>
      <w:r w:rsidRPr="001D3F57">
        <w:rPr>
          <w:rFonts w:ascii="Palatino Linotype" w:hAnsi="Palatino Linotype" w:cs="Arial"/>
          <w:lang w:val="es-MX"/>
        </w:rPr>
        <w:t xml:space="preserve">En ese sentido, la que suscribe reitera, que si bien coincide en términos generales </w:t>
      </w:r>
      <w:r>
        <w:rPr>
          <w:rFonts w:ascii="Palatino Linotype" w:hAnsi="Palatino Linotype" w:cs="Arial"/>
          <w:lang w:val="es-MX"/>
        </w:rPr>
        <w:t>con</w:t>
      </w:r>
      <w:r w:rsidRPr="001D3F57">
        <w:rPr>
          <w:rFonts w:ascii="Palatino Linotype" w:hAnsi="Palatino Linotype" w:cs="Arial"/>
          <w:lang w:val="es-MX"/>
        </w:rPr>
        <w:t xml:space="preserve"> el estudio de la resolución en comento, </w:t>
      </w:r>
      <w:r w:rsidR="0087259C">
        <w:rPr>
          <w:rFonts w:ascii="Palatino Linotype" w:hAnsi="Palatino Linotype" w:cs="Arial"/>
          <w:lang w:val="es-MX"/>
        </w:rPr>
        <w:t xml:space="preserve">considero </w:t>
      </w:r>
      <w:r w:rsidR="0080189D">
        <w:rPr>
          <w:rFonts w:ascii="Palatino Linotype" w:hAnsi="Palatino Linotype" w:cs="Arial"/>
          <w:lang w:val="es-MX"/>
        </w:rPr>
        <w:t xml:space="preserve">que se debió </w:t>
      </w:r>
      <w:r w:rsidR="001D3B24">
        <w:rPr>
          <w:rFonts w:ascii="Palatino Linotype" w:hAnsi="Palatino Linotype" w:cs="Arial"/>
          <w:lang w:val="es-MX"/>
        </w:rPr>
        <w:t xml:space="preserve">adicionar </w:t>
      </w:r>
      <w:r w:rsidR="0080189D">
        <w:rPr>
          <w:rFonts w:ascii="Palatino Linotype" w:hAnsi="Palatino Linotype" w:cs="Arial"/>
          <w:lang w:val="es-MX"/>
        </w:rPr>
        <w:t xml:space="preserve">tanto en estudio como dentro de los resolutivos, que para el caso de no contar con </w:t>
      </w:r>
      <w:r w:rsidR="00057484" w:rsidRPr="00057484">
        <w:rPr>
          <w:rFonts w:ascii="Palatino Linotype" w:hAnsi="Palatino Linotype" w:cs="Arial"/>
          <w:lang w:val="es-MX"/>
        </w:rPr>
        <w:t>los protocolos para la prevención y atención a víctimas de acoso y hostigamiento sexual</w:t>
      </w:r>
      <w:r w:rsidR="00057484">
        <w:rPr>
          <w:rFonts w:ascii="Palatino Linotype" w:hAnsi="Palatino Linotype" w:cs="Arial"/>
          <w:lang w:val="es-MX"/>
        </w:rPr>
        <w:t xml:space="preserve"> así como, l</w:t>
      </w:r>
      <w:r w:rsidR="00057484" w:rsidRPr="00057484">
        <w:rPr>
          <w:rFonts w:ascii="Palatino Linotype" w:hAnsi="Palatino Linotype" w:cs="Arial"/>
          <w:lang w:val="es-MX"/>
        </w:rPr>
        <w:t xml:space="preserve">os acuerdos y el medio de difusión donde fueron publicados los protocolos o documentos </w:t>
      </w:r>
      <w:r w:rsidR="00057484" w:rsidRPr="00057484">
        <w:rPr>
          <w:rFonts w:ascii="Palatino Linotype" w:hAnsi="Palatino Linotype" w:cs="Arial"/>
          <w:lang w:val="es-MX"/>
        </w:rPr>
        <w:lastRenderedPageBreak/>
        <w:t xml:space="preserve">análogos para la prevención y atención a víctimas </w:t>
      </w:r>
      <w:r w:rsidR="00057484">
        <w:rPr>
          <w:rFonts w:ascii="Palatino Linotype" w:hAnsi="Palatino Linotype" w:cs="Arial"/>
          <w:lang w:val="es-MX"/>
        </w:rPr>
        <w:t>de acoso y hostigamiento sexual</w:t>
      </w:r>
      <w:r w:rsidR="00B5304D">
        <w:rPr>
          <w:rFonts w:ascii="Palatino Linotype" w:hAnsi="Palatino Linotype" w:cs="Arial"/>
          <w:lang w:val="es-MX"/>
        </w:rPr>
        <w:t>, se debería emitir el Acuerdo de Inexistencia correspondiente</w:t>
      </w:r>
      <w:r w:rsidR="00B5304D" w:rsidRPr="00B5304D">
        <w:rPr>
          <w:rFonts w:ascii="Palatino Linotype" w:hAnsi="Palatino Linotype" w:cs="Arial"/>
          <w:lang w:val="es-MX"/>
        </w:rPr>
        <w:t>.</w:t>
      </w:r>
    </w:p>
    <w:p w14:paraId="6654B0D1" w14:textId="75F124C6" w:rsidR="00100C82" w:rsidRDefault="0007754C" w:rsidP="006F5374">
      <w:pPr>
        <w:spacing w:before="240" w:after="240" w:line="360" w:lineRule="auto"/>
        <w:jc w:val="both"/>
        <w:rPr>
          <w:rFonts w:ascii="Palatino Linotype" w:hAnsi="Palatino Linotype"/>
        </w:rPr>
      </w:pPr>
      <w:r>
        <w:rPr>
          <w:rFonts w:ascii="Palatino Linotype" w:hAnsi="Palatino Linotype" w:cs="Arial"/>
          <w:lang w:val="es-MX"/>
        </w:rPr>
        <w:t xml:space="preserve">Lo anterior obedece a </w:t>
      </w:r>
      <w:r w:rsidR="00E61EAA" w:rsidRPr="003422BB">
        <w:rPr>
          <w:rFonts w:ascii="Palatino Linotype" w:hAnsi="Palatino Linotype"/>
        </w:rPr>
        <w:t>que</w:t>
      </w:r>
      <w:r>
        <w:rPr>
          <w:rFonts w:ascii="Palatino Linotype" w:hAnsi="Palatino Linotype"/>
        </w:rPr>
        <w:t>,</w:t>
      </w:r>
      <w:r w:rsidR="00E61EAA" w:rsidRPr="003422BB">
        <w:rPr>
          <w:rFonts w:ascii="Palatino Linotype" w:hAnsi="Palatino Linotype"/>
        </w:rPr>
        <w:t xml:space="preserve"> </w:t>
      </w:r>
      <w:r w:rsidR="00AF4583">
        <w:rPr>
          <w:rFonts w:ascii="Palatino Linotype" w:hAnsi="Palatino Linotype"/>
        </w:rPr>
        <w:t xml:space="preserve">se advierte dentro de las constancias que obran dentro del SAIMEX, que </w:t>
      </w:r>
      <w:r w:rsidR="008371C0">
        <w:rPr>
          <w:rFonts w:ascii="Palatino Linotype" w:hAnsi="Palatino Linotype"/>
        </w:rPr>
        <w:t>se hace alusión al decreto</w:t>
      </w:r>
      <w:r w:rsidR="008371C0" w:rsidRPr="00263FBF">
        <w:rPr>
          <w:rFonts w:ascii="Palatino Linotype" w:hAnsi="Palatino Linotype"/>
          <w:color w:val="000000"/>
        </w:rPr>
        <w:t xml:space="preserve"> 309 de fecha 10 de mayo de 2018</w:t>
      </w:r>
      <w:r w:rsidR="00AF4583">
        <w:rPr>
          <w:rFonts w:ascii="Palatino Linotype" w:hAnsi="Palatino Linotype"/>
          <w:b/>
        </w:rPr>
        <w:t xml:space="preserve">, </w:t>
      </w:r>
      <w:r w:rsidR="008371C0">
        <w:rPr>
          <w:rFonts w:ascii="Palatino Linotype" w:hAnsi="Palatino Linotype"/>
        </w:rPr>
        <w:t>mismo mediante el cual se adicionan las Unidades de Igualdad de Género y Erradicación de la Violencia, es así que dicho decreto establece la forma en la que deberán actuar dichas unidades dentro de los organismos del Estado.</w:t>
      </w:r>
    </w:p>
    <w:p w14:paraId="7F73A7EF" w14:textId="52DDA03C" w:rsidR="00273EBB" w:rsidRPr="00273EBB" w:rsidRDefault="00273EBB" w:rsidP="006F5374">
      <w:pPr>
        <w:spacing w:before="240" w:after="240" w:line="360" w:lineRule="auto"/>
        <w:jc w:val="both"/>
        <w:rPr>
          <w:rFonts w:ascii="Palatino Linotype" w:hAnsi="Palatino Linotype"/>
        </w:rPr>
      </w:pPr>
      <w:r>
        <w:rPr>
          <w:rFonts w:ascii="Palatino Linotype" w:hAnsi="Palatino Linotype"/>
        </w:rPr>
        <w:t xml:space="preserve">Asimismo, </w:t>
      </w:r>
      <w:r w:rsidRPr="00273EBB">
        <w:rPr>
          <w:rFonts w:ascii="Palatino Linotype" w:hAnsi="Palatino Linotype"/>
          <w:b/>
        </w:rPr>
        <w:t>EL SUJETO OBLIGADO</w:t>
      </w:r>
      <w:r>
        <w:rPr>
          <w:rFonts w:ascii="Palatino Linotype" w:hAnsi="Palatino Linotype"/>
          <w:b/>
        </w:rPr>
        <w:t xml:space="preserve">, </w:t>
      </w:r>
      <w:r>
        <w:rPr>
          <w:rFonts w:ascii="Palatino Linotype" w:hAnsi="Palatino Linotype"/>
        </w:rPr>
        <w:t>se enc</w:t>
      </w:r>
      <w:r w:rsidR="008371C0">
        <w:rPr>
          <w:rFonts w:ascii="Palatino Linotype" w:hAnsi="Palatino Linotype"/>
        </w:rPr>
        <w:t xml:space="preserve">uentra constreñido generar la información </w:t>
      </w:r>
      <w:r w:rsidR="008761CA">
        <w:rPr>
          <w:rFonts w:ascii="Palatino Linotype" w:hAnsi="Palatino Linotype"/>
        </w:rPr>
        <w:t>ordenada</w:t>
      </w:r>
      <w:r w:rsidR="008371C0">
        <w:rPr>
          <w:rFonts w:ascii="Palatino Linotype" w:hAnsi="Palatino Linotype"/>
        </w:rPr>
        <w:t xml:space="preserve"> en el punto número 2, ya que el multicitado decreto, en su artículo 34 ter en donde se establecen las atribuciones de las Unidades de Igualdad de Género y Erradicación de la Violencia nos dice lo siguiente:</w:t>
      </w:r>
    </w:p>
    <w:p w14:paraId="3D7B90F9" w14:textId="771F9549" w:rsidR="00273EBB" w:rsidRDefault="00273EBB" w:rsidP="008371C0">
      <w:pPr>
        <w:tabs>
          <w:tab w:val="left" w:pos="2595"/>
        </w:tabs>
        <w:ind w:left="1134" w:right="757"/>
        <w:rPr>
          <w:rFonts w:ascii="Palatino Linotype" w:hAnsi="Palatino Linotype" w:cs="Tahoma"/>
          <w:b/>
          <w:bCs/>
          <w:i/>
          <w:sz w:val="22"/>
          <w:szCs w:val="22"/>
          <w:u w:val="single"/>
        </w:rPr>
      </w:pPr>
    </w:p>
    <w:p w14:paraId="11AEF7BA" w14:textId="25B200ED" w:rsidR="008371C0" w:rsidRDefault="008761CA" w:rsidP="008761CA">
      <w:pPr>
        <w:tabs>
          <w:tab w:val="left" w:pos="2595"/>
        </w:tabs>
        <w:ind w:left="1134" w:right="757"/>
        <w:jc w:val="both"/>
        <w:rPr>
          <w:rFonts w:ascii="Palatino Linotype" w:hAnsi="Palatino Linotype"/>
          <w:i/>
          <w:sz w:val="22"/>
          <w:szCs w:val="22"/>
        </w:rPr>
      </w:pPr>
      <w:r w:rsidRPr="008761CA">
        <w:rPr>
          <w:rFonts w:ascii="Palatino Linotype" w:hAnsi="Palatino Linotype"/>
          <w:i/>
          <w:sz w:val="22"/>
          <w:szCs w:val="22"/>
        </w:rPr>
        <w:t>“</w:t>
      </w:r>
      <w:r w:rsidR="008371C0" w:rsidRPr="008761CA">
        <w:rPr>
          <w:rFonts w:ascii="Palatino Linotype" w:hAnsi="Palatino Linotype"/>
          <w:i/>
          <w:sz w:val="22"/>
          <w:szCs w:val="22"/>
        </w:rPr>
        <w:t>Artículo 34 Ter.- Son atribuciones de las Unidades de Igualdad de Género y Erradicación de la Violencia, las siguientes:</w:t>
      </w:r>
    </w:p>
    <w:p w14:paraId="16ECE9E8" w14:textId="77777777" w:rsidR="008761CA" w:rsidRPr="008761CA" w:rsidRDefault="008761CA" w:rsidP="008761CA">
      <w:pPr>
        <w:tabs>
          <w:tab w:val="left" w:pos="2595"/>
        </w:tabs>
        <w:ind w:left="1134" w:right="757"/>
        <w:jc w:val="both"/>
        <w:rPr>
          <w:rFonts w:ascii="Palatino Linotype" w:hAnsi="Palatino Linotype"/>
          <w:i/>
          <w:sz w:val="22"/>
          <w:szCs w:val="22"/>
        </w:rPr>
      </w:pPr>
    </w:p>
    <w:p w14:paraId="54F48411" w14:textId="77777777" w:rsidR="008371C0" w:rsidRPr="008761CA" w:rsidRDefault="008371C0" w:rsidP="008761CA">
      <w:pPr>
        <w:tabs>
          <w:tab w:val="left" w:pos="2595"/>
        </w:tabs>
        <w:ind w:left="1134" w:right="757"/>
        <w:jc w:val="both"/>
        <w:rPr>
          <w:rFonts w:ascii="Palatino Linotype" w:hAnsi="Palatino Linotype"/>
          <w:i/>
          <w:sz w:val="22"/>
          <w:szCs w:val="22"/>
        </w:rPr>
      </w:pPr>
      <w:r w:rsidRPr="008761CA">
        <w:rPr>
          <w:rFonts w:ascii="Palatino Linotype" w:hAnsi="Palatino Linotype"/>
          <w:i/>
          <w:sz w:val="22"/>
          <w:szCs w:val="22"/>
        </w:rPr>
        <w:t xml:space="preserve"> I. Promover y vigilar que sus planes, programas y acciones sean realizados con perspectiva de género; </w:t>
      </w:r>
    </w:p>
    <w:p w14:paraId="3D6D2AD9" w14:textId="77777777" w:rsidR="008761CA" w:rsidRPr="008761CA" w:rsidRDefault="008761CA" w:rsidP="008761CA">
      <w:pPr>
        <w:tabs>
          <w:tab w:val="left" w:pos="2595"/>
        </w:tabs>
        <w:ind w:left="1134" w:right="757"/>
        <w:jc w:val="both"/>
        <w:rPr>
          <w:rFonts w:ascii="Palatino Linotype" w:hAnsi="Palatino Linotype"/>
          <w:i/>
          <w:sz w:val="22"/>
          <w:szCs w:val="22"/>
        </w:rPr>
      </w:pPr>
    </w:p>
    <w:p w14:paraId="6FFF5713" w14:textId="77777777" w:rsidR="008371C0" w:rsidRPr="008761CA" w:rsidRDefault="008371C0" w:rsidP="008761CA">
      <w:pPr>
        <w:tabs>
          <w:tab w:val="left" w:pos="2595"/>
        </w:tabs>
        <w:ind w:left="1134" w:right="757"/>
        <w:jc w:val="both"/>
        <w:rPr>
          <w:rFonts w:ascii="Palatino Linotype" w:hAnsi="Palatino Linotype"/>
          <w:i/>
          <w:sz w:val="22"/>
          <w:szCs w:val="22"/>
        </w:rPr>
      </w:pPr>
      <w:r w:rsidRPr="008761CA">
        <w:rPr>
          <w:rFonts w:ascii="Palatino Linotype" w:hAnsi="Palatino Linotype"/>
          <w:i/>
          <w:sz w:val="22"/>
          <w:szCs w:val="22"/>
        </w:rPr>
        <w:t xml:space="preserve">ll. Generar acciones con perspectiva de género que garanticen el acceso de las mujeres a una vida libre de violencia, promuevan la igualdad, el empoderamiento de las mujeres, el respeto a los derechos humanos y la eliminación de la discriminación; </w:t>
      </w:r>
    </w:p>
    <w:p w14:paraId="2011AC23" w14:textId="77777777" w:rsidR="008761CA" w:rsidRPr="008761CA" w:rsidRDefault="008761CA" w:rsidP="008761CA">
      <w:pPr>
        <w:tabs>
          <w:tab w:val="left" w:pos="2595"/>
        </w:tabs>
        <w:ind w:left="1134" w:right="757"/>
        <w:jc w:val="both"/>
        <w:rPr>
          <w:rFonts w:ascii="Palatino Linotype" w:hAnsi="Palatino Linotype"/>
          <w:i/>
          <w:sz w:val="22"/>
          <w:szCs w:val="22"/>
        </w:rPr>
      </w:pPr>
    </w:p>
    <w:p w14:paraId="251E08CD" w14:textId="77777777" w:rsidR="008371C0" w:rsidRPr="008761CA" w:rsidRDefault="008371C0" w:rsidP="008761CA">
      <w:pPr>
        <w:tabs>
          <w:tab w:val="left" w:pos="2595"/>
        </w:tabs>
        <w:ind w:left="1134" w:right="757"/>
        <w:jc w:val="both"/>
        <w:rPr>
          <w:rFonts w:ascii="Palatino Linotype" w:hAnsi="Palatino Linotype"/>
          <w:i/>
          <w:sz w:val="22"/>
          <w:szCs w:val="22"/>
        </w:rPr>
      </w:pPr>
      <w:r w:rsidRPr="008761CA">
        <w:rPr>
          <w:rFonts w:ascii="Palatino Linotype" w:hAnsi="Palatino Linotype"/>
          <w:i/>
          <w:sz w:val="22"/>
          <w:szCs w:val="22"/>
        </w:rPr>
        <w:t xml:space="preserve">III. Dar cumplimiento a los instrumentos internacionales, nacionales y estatales en materia de derechos humanos garantizando en todo momento la igualdad de trato y oportunidades entre mujeres y hombres; así como prevenir, atender, sancionar y erradicar la violencia contra las mujeres en el ámbito de su competencia; </w:t>
      </w:r>
    </w:p>
    <w:p w14:paraId="356676AA" w14:textId="77777777" w:rsidR="008371C0" w:rsidRPr="008761CA" w:rsidRDefault="008371C0" w:rsidP="008761CA">
      <w:pPr>
        <w:tabs>
          <w:tab w:val="left" w:pos="2595"/>
        </w:tabs>
        <w:ind w:left="1134" w:right="757"/>
        <w:jc w:val="both"/>
        <w:rPr>
          <w:rFonts w:ascii="Palatino Linotype" w:hAnsi="Palatino Linotype"/>
          <w:i/>
          <w:sz w:val="22"/>
          <w:szCs w:val="22"/>
        </w:rPr>
      </w:pPr>
      <w:r w:rsidRPr="008761CA">
        <w:rPr>
          <w:rFonts w:ascii="Palatino Linotype" w:hAnsi="Palatino Linotype"/>
          <w:i/>
          <w:sz w:val="22"/>
          <w:szCs w:val="22"/>
        </w:rPr>
        <w:lastRenderedPageBreak/>
        <w:t xml:space="preserve">IV. Coadyuvar en la elaboración de sus presupuestos con perspectiva de género, con la finalidad de incorporar acciones relacionadas con la materia; </w:t>
      </w:r>
    </w:p>
    <w:p w14:paraId="43B37A9C" w14:textId="77777777" w:rsidR="008371C0" w:rsidRPr="008761CA" w:rsidRDefault="008371C0" w:rsidP="008761CA">
      <w:pPr>
        <w:tabs>
          <w:tab w:val="left" w:pos="2595"/>
        </w:tabs>
        <w:ind w:left="1134" w:right="757"/>
        <w:jc w:val="both"/>
        <w:rPr>
          <w:rFonts w:ascii="Palatino Linotype" w:hAnsi="Palatino Linotype"/>
          <w:i/>
          <w:sz w:val="22"/>
          <w:szCs w:val="22"/>
        </w:rPr>
      </w:pPr>
    </w:p>
    <w:p w14:paraId="57738923" w14:textId="77777777" w:rsidR="008371C0" w:rsidRPr="008761CA" w:rsidRDefault="008371C0" w:rsidP="008761CA">
      <w:pPr>
        <w:tabs>
          <w:tab w:val="left" w:pos="2595"/>
        </w:tabs>
        <w:ind w:left="1134" w:right="757"/>
        <w:jc w:val="both"/>
        <w:rPr>
          <w:rFonts w:ascii="Palatino Linotype" w:hAnsi="Palatino Linotype"/>
          <w:i/>
          <w:sz w:val="22"/>
          <w:szCs w:val="22"/>
        </w:rPr>
      </w:pPr>
      <w:r w:rsidRPr="008761CA">
        <w:rPr>
          <w:rFonts w:ascii="Palatino Linotype" w:hAnsi="Palatino Linotype"/>
          <w:i/>
          <w:sz w:val="22"/>
          <w:szCs w:val="22"/>
        </w:rPr>
        <w:t xml:space="preserve">V. Informar periódicamente, en el marco del Sistema Estatal, los resultados de la ejecución de sus planes y programas, con el propósito de integrar y rendir el informe anual correspondiente; </w:t>
      </w:r>
    </w:p>
    <w:p w14:paraId="6105845E" w14:textId="77777777" w:rsidR="008761CA" w:rsidRPr="008761CA" w:rsidRDefault="008761CA" w:rsidP="008761CA">
      <w:pPr>
        <w:tabs>
          <w:tab w:val="left" w:pos="2595"/>
        </w:tabs>
        <w:ind w:left="1134" w:right="757"/>
        <w:jc w:val="both"/>
        <w:rPr>
          <w:rFonts w:ascii="Palatino Linotype" w:hAnsi="Palatino Linotype"/>
          <w:i/>
          <w:sz w:val="22"/>
          <w:szCs w:val="22"/>
        </w:rPr>
      </w:pPr>
    </w:p>
    <w:p w14:paraId="5570168D" w14:textId="4150C098" w:rsidR="008761CA" w:rsidRPr="008761CA" w:rsidRDefault="008371C0" w:rsidP="008761CA">
      <w:pPr>
        <w:tabs>
          <w:tab w:val="left" w:pos="2595"/>
        </w:tabs>
        <w:ind w:left="1134" w:right="757"/>
        <w:jc w:val="both"/>
        <w:rPr>
          <w:rFonts w:ascii="Palatino Linotype" w:hAnsi="Palatino Linotype"/>
          <w:b/>
          <w:i/>
          <w:sz w:val="22"/>
          <w:szCs w:val="22"/>
        </w:rPr>
      </w:pPr>
      <w:r w:rsidRPr="008761CA">
        <w:rPr>
          <w:rFonts w:ascii="Palatino Linotype" w:hAnsi="Palatino Linotype"/>
          <w:b/>
          <w:i/>
          <w:sz w:val="22"/>
          <w:szCs w:val="22"/>
        </w:rPr>
        <w:t xml:space="preserve">VI. Ser el primer punto de contacto para los casos de acoso y hostigamiento </w:t>
      </w:r>
      <w:r w:rsidR="008761CA" w:rsidRPr="008761CA">
        <w:rPr>
          <w:rFonts w:ascii="Palatino Linotype" w:hAnsi="Palatino Linotype"/>
          <w:b/>
          <w:i/>
          <w:sz w:val="22"/>
          <w:szCs w:val="22"/>
        </w:rPr>
        <w:t xml:space="preserve">sexual; </w:t>
      </w:r>
    </w:p>
    <w:p w14:paraId="0F816C1C" w14:textId="77777777" w:rsidR="008761CA" w:rsidRDefault="008761CA" w:rsidP="008761CA">
      <w:pPr>
        <w:tabs>
          <w:tab w:val="left" w:pos="2595"/>
        </w:tabs>
        <w:ind w:left="1134" w:right="757"/>
        <w:jc w:val="both"/>
        <w:rPr>
          <w:rFonts w:ascii="Palatino Linotype" w:hAnsi="Palatino Linotype"/>
          <w:i/>
          <w:sz w:val="22"/>
          <w:szCs w:val="22"/>
        </w:rPr>
      </w:pPr>
    </w:p>
    <w:p w14:paraId="56B02A4B" w14:textId="481E0174" w:rsidR="00273EBB" w:rsidRPr="008761CA" w:rsidRDefault="008371C0" w:rsidP="008761CA">
      <w:pPr>
        <w:tabs>
          <w:tab w:val="left" w:pos="2595"/>
        </w:tabs>
        <w:ind w:left="1134" w:right="757"/>
        <w:jc w:val="both"/>
        <w:rPr>
          <w:rFonts w:ascii="Palatino Linotype" w:hAnsi="Palatino Linotype" w:cs="Tahoma"/>
          <w:bCs/>
          <w:i/>
          <w:sz w:val="22"/>
          <w:szCs w:val="22"/>
        </w:rPr>
      </w:pPr>
      <w:r w:rsidRPr="008761CA">
        <w:rPr>
          <w:rFonts w:ascii="Palatino Linotype" w:hAnsi="Palatino Linotype"/>
          <w:i/>
          <w:sz w:val="22"/>
          <w:szCs w:val="22"/>
        </w:rPr>
        <w:t xml:space="preserve"> VII. Las demás que se establezcan en otras disposiciones jurídicas.</w:t>
      </w:r>
      <w:r w:rsidR="008761CA" w:rsidRPr="008761CA">
        <w:rPr>
          <w:rFonts w:ascii="Palatino Linotype" w:hAnsi="Palatino Linotype"/>
          <w:i/>
          <w:sz w:val="22"/>
          <w:szCs w:val="22"/>
        </w:rPr>
        <w:t>”</w:t>
      </w:r>
    </w:p>
    <w:p w14:paraId="057BAD1B" w14:textId="77777777" w:rsidR="009A3125" w:rsidRDefault="009A3125" w:rsidP="00100C82">
      <w:pPr>
        <w:spacing w:line="360" w:lineRule="auto"/>
        <w:jc w:val="both"/>
        <w:rPr>
          <w:rFonts w:ascii="Palatino Linotype" w:hAnsi="Palatino Linotype" w:cs="Arial"/>
          <w:lang w:val="es-MX"/>
        </w:rPr>
      </w:pPr>
    </w:p>
    <w:p w14:paraId="1B591276" w14:textId="19D924DD" w:rsidR="008761CA" w:rsidRDefault="007D2FE6" w:rsidP="00100C82">
      <w:pPr>
        <w:spacing w:line="360" w:lineRule="auto"/>
        <w:jc w:val="both"/>
        <w:rPr>
          <w:rFonts w:ascii="Palatino Linotype" w:hAnsi="Palatino Linotype" w:cs="Arial"/>
          <w:lang w:val="es-MX"/>
        </w:rPr>
      </w:pPr>
      <w:r>
        <w:rPr>
          <w:rFonts w:ascii="Palatino Linotype" w:hAnsi="Palatino Linotype" w:cs="Arial"/>
          <w:lang w:val="es-MX"/>
        </w:rPr>
        <w:t>Asimismo, la que suscribe,</w:t>
      </w:r>
      <w:r w:rsidRPr="0019760D">
        <w:rPr>
          <w:rFonts w:ascii="Palatino Linotype" w:hAnsi="Palatino Linotype" w:cs="Arial"/>
        </w:rPr>
        <w:t xml:space="preserve"> no omite mencionar que, del análisis realizado al Decreto número 309, publicado en el periódico oficial del Gobierno del Estado de México </w:t>
      </w:r>
      <w:r w:rsidRPr="0019760D">
        <w:rPr>
          <w:rFonts w:ascii="Palatino Linotype" w:hAnsi="Palatino Linotype" w:cs="Arial"/>
          <w:i/>
        </w:rPr>
        <w:t>“Gaceta del Gobierno”,</w:t>
      </w:r>
      <w:r w:rsidRPr="0019760D">
        <w:rPr>
          <w:rFonts w:ascii="Palatino Linotype" w:hAnsi="Palatino Linotype" w:cs="Arial"/>
        </w:rPr>
        <w:t xml:space="preserve"> de fecha 15 de mayo de 2018, mediante el cual se reformaron la fracción II del artículo 53, se adicionó la fracción XXVI Bis al artículo 40 y la fracción X Bis al artículo 54 de la Ley de Acceso de las Mujeres a una Vida Libre de Violencia del Estado de México; así como, se adicionó el Capítulo Noveno Bis denominado de las unidades de Igualdad de Género y Erradicación de la Violencia y los artículos 34 Bis y 34 Ter de la Ley de Igualdad de Trato y Oportunidades entre Mujeres y Hombres del Estado de México; se advirtió que los Artículos SEGUNDO y TERCERO Transitorios establecen que dicho decreto entró en vigor al día siguiente de su publicación en el Periódico Oficial y que los municipios debían crear las Unidades de Igualdad de Género y Erradicación de la Violencia con base a la suficiencia presupuestal correspondiente.</w:t>
      </w:r>
    </w:p>
    <w:p w14:paraId="12663DE0" w14:textId="77777777" w:rsidR="008761CA" w:rsidRDefault="008761CA" w:rsidP="00100C82">
      <w:pPr>
        <w:spacing w:line="360" w:lineRule="auto"/>
        <w:jc w:val="both"/>
        <w:rPr>
          <w:rFonts w:ascii="Palatino Linotype" w:hAnsi="Palatino Linotype" w:cs="Arial"/>
          <w:lang w:val="es-MX"/>
        </w:rPr>
      </w:pPr>
    </w:p>
    <w:p w14:paraId="6D852045" w14:textId="7D781B38" w:rsidR="00100C82" w:rsidRPr="001D3B24" w:rsidRDefault="00100C82" w:rsidP="00100C82">
      <w:pPr>
        <w:spacing w:line="360" w:lineRule="auto"/>
        <w:jc w:val="both"/>
        <w:rPr>
          <w:rFonts w:ascii="Palatino Linotype" w:hAnsi="Palatino Linotype"/>
          <w:color w:val="222222"/>
          <w:lang w:val="es-MX" w:eastAsia="es-MX"/>
        </w:rPr>
      </w:pPr>
      <w:r w:rsidRPr="003E7669">
        <w:rPr>
          <w:rFonts w:ascii="Palatino Linotype" w:hAnsi="Palatino Linotype" w:cs="Arial"/>
          <w:lang w:val="es-MX"/>
        </w:rPr>
        <w:lastRenderedPageBreak/>
        <w:t xml:space="preserve">Derivado de lo anterior, es claro que </w:t>
      </w:r>
      <w:r w:rsidRPr="003E7669">
        <w:rPr>
          <w:rFonts w:ascii="Palatino Linotype" w:hAnsi="Palatino Linotype" w:cs="Arial"/>
          <w:b/>
          <w:lang w:val="es-MX"/>
        </w:rPr>
        <w:t>EL SUJETO OBLIGADO</w:t>
      </w:r>
      <w:r w:rsidRPr="003E7669">
        <w:rPr>
          <w:rFonts w:ascii="Palatino Linotype" w:hAnsi="Palatino Linotype" w:cs="Arial"/>
          <w:lang w:val="es-MX"/>
        </w:rPr>
        <w:t xml:space="preserve"> está constreñido a contar con la información; por lo que debieron precisarse los argumentos descritos con anterioridad en el estudio y resolutivos de la resolución</w:t>
      </w:r>
      <w:r>
        <w:rPr>
          <w:rFonts w:ascii="Palatino Linotype" w:hAnsi="Palatino Linotype" w:cs="Arial"/>
          <w:lang w:val="es-MX"/>
        </w:rPr>
        <w:t xml:space="preserve">, así como haber ordenado el Acuerdo de Inexistencia emitido por el Comité de Transparencia del </w:t>
      </w:r>
      <w:r w:rsidRPr="00100C82">
        <w:rPr>
          <w:rFonts w:ascii="Palatino Linotype" w:hAnsi="Palatino Linotype" w:cs="Arial"/>
          <w:b/>
          <w:lang w:val="es-MX"/>
        </w:rPr>
        <w:t>SUJETO OBLIGADO</w:t>
      </w:r>
      <w:r w:rsidR="003E7D46">
        <w:rPr>
          <w:rFonts w:ascii="Palatino Linotype" w:hAnsi="Palatino Linotype" w:cs="Arial"/>
        </w:rPr>
        <w:t>.</w:t>
      </w:r>
    </w:p>
    <w:p w14:paraId="2733EA02" w14:textId="77777777" w:rsidR="00100C82" w:rsidRPr="003E7669" w:rsidRDefault="00100C82" w:rsidP="00100C82">
      <w:pPr>
        <w:spacing w:line="360" w:lineRule="auto"/>
        <w:jc w:val="both"/>
        <w:rPr>
          <w:rFonts w:ascii="Palatino Linotype" w:hAnsi="Palatino Linotype" w:cs="Arial"/>
        </w:rPr>
      </w:pPr>
    </w:p>
    <w:p w14:paraId="0DA51AC8" w14:textId="2B28286E" w:rsidR="00100C82" w:rsidRPr="003E7669" w:rsidRDefault="00100C82" w:rsidP="00100C82">
      <w:pPr>
        <w:spacing w:line="360" w:lineRule="auto"/>
        <w:jc w:val="both"/>
        <w:rPr>
          <w:color w:val="222222"/>
          <w:lang w:val="es-MX" w:eastAsia="es-MX"/>
        </w:rPr>
      </w:pPr>
      <w:r w:rsidRPr="003E7669">
        <w:rPr>
          <w:rFonts w:ascii="Palatino Linotype" w:hAnsi="Palatino Linotype"/>
          <w:color w:val="222222"/>
          <w:lang w:val="es-MX" w:eastAsia="es-MX"/>
        </w:rPr>
        <w:t>Así, dicho Acuerdo de Inexistencia, debe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le dio la adecuada atención a su solicitud, atendiendo a lo dispuesto en los numerales 19, 169 y 170 de la Ley de la materia.</w:t>
      </w:r>
    </w:p>
    <w:p w14:paraId="4B041346" w14:textId="77777777" w:rsidR="00100C82" w:rsidRPr="003E7669" w:rsidRDefault="00100C82" w:rsidP="00100C82">
      <w:pPr>
        <w:spacing w:line="360" w:lineRule="atLeast"/>
        <w:ind w:left="709" w:right="757"/>
        <w:jc w:val="both"/>
        <w:rPr>
          <w:color w:val="222222"/>
          <w:lang w:val="es-MX" w:eastAsia="es-MX"/>
        </w:rPr>
      </w:pPr>
      <w:r w:rsidRPr="003E7669">
        <w:rPr>
          <w:rFonts w:ascii="Palatino Linotype" w:hAnsi="Palatino Linotype"/>
          <w:i/>
          <w:iCs/>
          <w:color w:val="222222"/>
          <w:sz w:val="22"/>
          <w:szCs w:val="22"/>
          <w:lang w:val="es-MX" w:eastAsia="es-MX"/>
        </w:rPr>
        <w:t> </w:t>
      </w:r>
    </w:p>
    <w:p w14:paraId="4645BFA0" w14:textId="2AE0886E" w:rsidR="0014762E" w:rsidRDefault="00100C82" w:rsidP="003E7D46">
      <w:pPr>
        <w:spacing w:line="360" w:lineRule="auto"/>
        <w:jc w:val="both"/>
        <w:rPr>
          <w:rFonts w:ascii="Palatino Linotype" w:hAnsi="Palatino Linotype"/>
          <w:color w:val="222222"/>
          <w:lang w:val="es-MX" w:eastAsia="es-MX"/>
        </w:rPr>
      </w:pPr>
      <w:r w:rsidRPr="003E7669">
        <w:rPr>
          <w:rFonts w:ascii="Palatino Linotype" w:hAnsi="Palatino Linotype"/>
          <w:color w:val="222222"/>
          <w:lang w:val="es-MX" w:eastAsia="es-MX"/>
        </w:rPr>
        <w:t>Así, se establece que </w:t>
      </w:r>
      <w:r w:rsidRPr="003E7669">
        <w:rPr>
          <w:rFonts w:ascii="Palatino Linotype" w:hAnsi="Palatino Linotype"/>
          <w:b/>
          <w:bCs/>
          <w:color w:val="222222"/>
          <w:lang w:val="es-MX" w:eastAsia="es-MX"/>
        </w:rPr>
        <w:t>EL SUJETO OBLIGADO</w:t>
      </w:r>
      <w:r w:rsidRPr="003E7669">
        <w:rPr>
          <w:rFonts w:ascii="Palatino Linotype" w:hAnsi="Palatino Linotype"/>
          <w:color w:val="222222"/>
          <w:lang w:val="es-MX" w:eastAsia="es-MX"/>
        </w:rPr>
        <w:t xml:space="preserve"> debió generar la información, derivado de sus facultades y </w:t>
      </w:r>
      <w:r w:rsidR="0014762E">
        <w:rPr>
          <w:rFonts w:ascii="Palatino Linotype" w:hAnsi="Palatino Linotype"/>
          <w:color w:val="222222"/>
          <w:lang w:val="es-MX" w:eastAsia="es-MX"/>
        </w:rPr>
        <w:t>al no t</w:t>
      </w:r>
      <w:r w:rsidRPr="003E7669">
        <w:rPr>
          <w:rFonts w:ascii="Palatino Linotype" w:hAnsi="Palatino Linotype"/>
          <w:color w:val="222222"/>
          <w:lang w:val="es-MX" w:eastAsia="es-MX"/>
        </w:rPr>
        <w:t>ene</w:t>
      </w:r>
      <w:r w:rsidR="0014762E">
        <w:rPr>
          <w:rFonts w:ascii="Palatino Linotype" w:hAnsi="Palatino Linotype"/>
          <w:color w:val="222222"/>
          <w:lang w:val="es-MX" w:eastAsia="es-MX"/>
        </w:rPr>
        <w:t>r</w:t>
      </w:r>
      <w:r w:rsidRPr="003E7669">
        <w:rPr>
          <w:rFonts w:ascii="Palatino Linotype" w:hAnsi="Palatino Linotype"/>
          <w:color w:val="222222"/>
          <w:lang w:val="es-MX" w:eastAsia="es-MX"/>
        </w:rPr>
        <w:t xml:space="preserve"> registro de ello el Comité de Información debe</w:t>
      </w:r>
      <w:r w:rsidR="0014762E">
        <w:rPr>
          <w:rFonts w:ascii="Palatino Linotype" w:hAnsi="Palatino Linotype"/>
          <w:color w:val="222222"/>
          <w:lang w:val="es-MX" w:eastAsia="es-MX"/>
        </w:rPr>
        <w:t>rá</w:t>
      </w:r>
      <w:r w:rsidRPr="003E7669">
        <w:rPr>
          <w:rFonts w:ascii="Palatino Linotype" w:hAnsi="Palatino Linotype"/>
          <w:color w:val="222222"/>
          <w:lang w:val="es-MX" w:eastAsia="es-MX"/>
        </w:rPr>
        <w:t xml:space="preserve"> emitir un Acuerdo de Inexistencia de la información, en el que detalle las razones del por qué no obra en sus archivos.</w:t>
      </w:r>
    </w:p>
    <w:p w14:paraId="02DEA0E2" w14:textId="77777777" w:rsidR="003E7D46" w:rsidRPr="003E7D46" w:rsidRDefault="003E7D46" w:rsidP="003E7D46">
      <w:pPr>
        <w:spacing w:line="360" w:lineRule="auto"/>
        <w:jc w:val="both"/>
        <w:rPr>
          <w:rFonts w:ascii="Palatino Linotype" w:hAnsi="Palatino Linotype"/>
          <w:color w:val="222222"/>
          <w:lang w:val="es-MX" w:eastAsia="es-MX"/>
        </w:rPr>
      </w:pPr>
    </w:p>
    <w:p w14:paraId="7CD54379" w14:textId="77777777" w:rsidR="0014762E" w:rsidRDefault="0014762E" w:rsidP="0014762E">
      <w:pPr>
        <w:spacing w:line="360" w:lineRule="auto"/>
        <w:jc w:val="both"/>
        <w:rPr>
          <w:rFonts w:ascii="Palatino Linotype" w:hAnsi="Palatino Linotype" w:cs="Arial"/>
          <w:lang w:val="es-MX"/>
        </w:rPr>
      </w:pPr>
      <w:r w:rsidRPr="00057956">
        <w:rPr>
          <w:rFonts w:ascii="Palatino Linotype" w:hAnsi="Palatino Linotype" w:cs="Arial"/>
          <w:lang w:val="es-MX"/>
        </w:rPr>
        <w:t xml:space="preserve">En ese sentido, la que suscribe reitera, que si bien coincide en términos generales con el estudio de la resolución en comento, considero que debió evaluarse la entrega de </w:t>
      </w:r>
      <w:r>
        <w:rPr>
          <w:rFonts w:ascii="Palatino Linotype" w:hAnsi="Palatino Linotype" w:cs="Arial"/>
          <w:lang w:val="es-MX"/>
        </w:rPr>
        <w:t xml:space="preserve">la </w:t>
      </w:r>
      <w:r w:rsidRPr="00057956">
        <w:rPr>
          <w:rFonts w:ascii="Palatino Linotype" w:hAnsi="Palatino Linotype" w:cs="Arial"/>
          <w:lang w:val="es-MX"/>
        </w:rPr>
        <w:t xml:space="preserve">información que </w:t>
      </w:r>
      <w:r>
        <w:rPr>
          <w:rFonts w:ascii="Palatino Linotype" w:hAnsi="Palatino Linotype" w:cs="Arial"/>
          <w:lang w:val="es-MX"/>
        </w:rPr>
        <w:t>diera mayor certeza jurídica al</w:t>
      </w:r>
      <w:r>
        <w:rPr>
          <w:rFonts w:ascii="Palatino Linotype" w:hAnsi="Palatino Linotype" w:cs="Arial"/>
          <w:b/>
          <w:lang w:val="es-MX"/>
        </w:rPr>
        <w:t xml:space="preserve"> R</w:t>
      </w:r>
      <w:r w:rsidRPr="00057956">
        <w:rPr>
          <w:rFonts w:ascii="Palatino Linotype" w:hAnsi="Palatino Linotype" w:cs="Arial"/>
          <w:b/>
          <w:lang w:val="es-MX"/>
        </w:rPr>
        <w:t>ECURRENTE</w:t>
      </w:r>
      <w:r>
        <w:rPr>
          <w:rFonts w:ascii="Palatino Linotype" w:hAnsi="Palatino Linotype" w:cs="Arial"/>
          <w:lang w:val="es-MX"/>
        </w:rPr>
        <w:t xml:space="preserve">, atendiendo al </w:t>
      </w:r>
      <w:r>
        <w:rPr>
          <w:rFonts w:ascii="Palatino Linotype" w:hAnsi="Palatino Linotype" w:cs="Arial"/>
          <w:lang w:val="es-MX"/>
        </w:rPr>
        <w:lastRenderedPageBreak/>
        <w:t>principio de máxima publicidad que se consagra en el artículo 4, así como el numeral 9 de la Ley de la materia.</w:t>
      </w:r>
    </w:p>
    <w:p w14:paraId="1C8A7DCF" w14:textId="77777777" w:rsidR="0014762E" w:rsidRPr="00122905" w:rsidRDefault="0014762E" w:rsidP="0014762E">
      <w:pPr>
        <w:ind w:left="709" w:right="757"/>
        <w:jc w:val="both"/>
        <w:rPr>
          <w:rFonts w:ascii="Palatino Linotype" w:hAnsi="Palatino Linotype" w:cs="Arial"/>
          <w:i/>
          <w:sz w:val="22"/>
          <w:lang w:val="es-MX"/>
        </w:rPr>
      </w:pPr>
      <w:r>
        <w:rPr>
          <w:rFonts w:ascii="Palatino Linotype" w:hAnsi="Palatino Linotype" w:cs="Arial"/>
          <w:b/>
          <w:i/>
          <w:sz w:val="22"/>
          <w:lang w:val="es-MX"/>
        </w:rPr>
        <w:t>“</w:t>
      </w:r>
      <w:r w:rsidRPr="00122905">
        <w:rPr>
          <w:rFonts w:ascii="Palatino Linotype" w:hAnsi="Palatino Linotype" w:cs="Arial"/>
          <w:b/>
          <w:i/>
          <w:sz w:val="22"/>
          <w:lang w:val="es-MX"/>
        </w:rPr>
        <w:t>Artículo 4.</w:t>
      </w:r>
      <w:r w:rsidRPr="00122905">
        <w:rPr>
          <w:rFonts w:ascii="Palatino Linotype" w:hAnsi="Palatino Linotype" w:cs="Arial"/>
          <w:i/>
          <w:sz w:val="22"/>
          <w:lang w:val="es-MX"/>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80923A0" w14:textId="77777777" w:rsidR="0014762E" w:rsidRPr="00122905" w:rsidRDefault="0014762E" w:rsidP="0014762E">
      <w:pPr>
        <w:ind w:left="709" w:right="757"/>
        <w:jc w:val="both"/>
        <w:rPr>
          <w:rFonts w:ascii="Palatino Linotype" w:hAnsi="Palatino Linotype" w:cs="Arial"/>
          <w:i/>
          <w:sz w:val="22"/>
          <w:lang w:val="es-MX"/>
        </w:rPr>
      </w:pPr>
    </w:p>
    <w:p w14:paraId="61A87828" w14:textId="77777777" w:rsidR="0014762E" w:rsidRDefault="0014762E" w:rsidP="0014762E">
      <w:pPr>
        <w:ind w:left="709" w:right="757"/>
        <w:jc w:val="both"/>
        <w:rPr>
          <w:rFonts w:ascii="Palatino Linotype" w:hAnsi="Palatino Linotype" w:cs="Arial"/>
          <w:i/>
          <w:sz w:val="22"/>
          <w:lang w:val="es-MX"/>
        </w:rPr>
      </w:pPr>
      <w:r w:rsidRPr="00122905">
        <w:rPr>
          <w:rFonts w:ascii="Palatino Linotype" w:hAnsi="Palatino Linotype" w:cs="Arial"/>
          <w:i/>
          <w:sz w:val="22"/>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w:t>
      </w:r>
      <w:r w:rsidRPr="00122905">
        <w:rPr>
          <w:rFonts w:ascii="Palatino Linotype" w:hAnsi="Palatino Linotype" w:cs="Arial"/>
          <w:b/>
          <w:i/>
          <w:sz w:val="22"/>
          <w:lang w:val="es-MX"/>
        </w:rPr>
        <w:t>privilegiando el principio de máxima publicidad de la información</w:t>
      </w:r>
      <w:r w:rsidRPr="00122905">
        <w:rPr>
          <w:rFonts w:ascii="Palatino Linotype" w:hAnsi="Palatino Linotype" w:cs="Arial"/>
          <w:i/>
          <w:sz w:val="22"/>
          <w:lang w:val="es-MX"/>
        </w:rPr>
        <w:t>. Solo podrá ser clasificada excepcionalmente como reservada temporalmente por razones de interés público, en los términos de las causas legítimas y estrictamente necesarias previstas por esta Ley</w:t>
      </w:r>
      <w:r>
        <w:rPr>
          <w:rFonts w:ascii="Palatino Linotype" w:hAnsi="Palatino Linotype" w:cs="Arial"/>
          <w:i/>
          <w:sz w:val="22"/>
          <w:lang w:val="es-MX"/>
        </w:rPr>
        <w:t xml:space="preserve">…” </w:t>
      </w:r>
    </w:p>
    <w:p w14:paraId="171677DE" w14:textId="77777777" w:rsidR="0014762E" w:rsidRPr="00FB66FE" w:rsidRDefault="0014762E" w:rsidP="0014762E">
      <w:pPr>
        <w:spacing w:before="100" w:beforeAutospacing="1" w:after="100" w:afterAutospacing="1"/>
        <w:ind w:left="709" w:right="757"/>
        <w:jc w:val="both"/>
        <w:rPr>
          <w:rFonts w:ascii="Palatino Linotype" w:hAnsi="Palatino Linotype"/>
          <w:i/>
          <w:color w:val="000000"/>
          <w:sz w:val="22"/>
        </w:rPr>
      </w:pPr>
      <w:r w:rsidRPr="00FB66FE">
        <w:rPr>
          <w:rFonts w:ascii="Palatino Linotype" w:hAnsi="Palatino Linotype"/>
          <w:b/>
          <w:i/>
          <w:color w:val="000000"/>
          <w:sz w:val="22"/>
        </w:rPr>
        <w:t>Artículo 9.</w:t>
      </w:r>
      <w:r w:rsidRPr="00FB66FE">
        <w:rPr>
          <w:rFonts w:ascii="Palatino Linotype" w:hAnsi="Palatino Linotype"/>
          <w:i/>
          <w:color w:val="000000"/>
          <w:sz w:val="22"/>
        </w:rPr>
        <w:t xml:space="preserve"> El Instituto deberá regir su funcionamiento de acuerdo a los siguientes principios:</w:t>
      </w:r>
    </w:p>
    <w:p w14:paraId="54013140" w14:textId="77777777" w:rsidR="0014762E" w:rsidRPr="00827FC6" w:rsidRDefault="0014762E" w:rsidP="0014762E">
      <w:pPr>
        <w:spacing w:before="100" w:beforeAutospacing="1" w:after="100" w:afterAutospacing="1"/>
        <w:ind w:left="709" w:right="757"/>
        <w:jc w:val="both"/>
        <w:rPr>
          <w:rFonts w:ascii="Palatino Linotype" w:hAnsi="Palatino Linotype"/>
          <w:i/>
          <w:color w:val="000000"/>
          <w:sz w:val="22"/>
        </w:rPr>
      </w:pPr>
      <w:r w:rsidRPr="00FB66FE">
        <w:rPr>
          <w:rFonts w:ascii="Palatino Linotype" w:hAnsi="Palatino Linotype"/>
          <w:b/>
          <w:i/>
          <w:color w:val="000000"/>
          <w:sz w:val="22"/>
        </w:rPr>
        <w:t>I.</w:t>
      </w:r>
      <w:r w:rsidRPr="00FB66FE">
        <w:rPr>
          <w:rFonts w:ascii="Palatino Linotype" w:hAnsi="Palatino Linotype"/>
          <w:b/>
          <w:i/>
          <w:color w:val="000000"/>
          <w:sz w:val="22"/>
        </w:rPr>
        <w:tab/>
        <w:t>Certeza:</w:t>
      </w:r>
      <w:r w:rsidRPr="00FB66FE">
        <w:rPr>
          <w:rFonts w:ascii="Palatino Linotype" w:hAnsi="Palatino Linotype"/>
          <w:i/>
          <w:color w:val="000000"/>
          <w:sz w:val="22"/>
        </w:rPr>
        <w:t xml:space="preserve"> Principio que </w:t>
      </w:r>
      <w:r w:rsidRPr="00424B23">
        <w:rPr>
          <w:rFonts w:ascii="Palatino Linotype" w:hAnsi="Palatino Linotype"/>
          <w:b/>
          <w:i/>
          <w:color w:val="000000"/>
          <w:sz w:val="22"/>
        </w:rPr>
        <w:t>otorga seguridad y certidumbre jurídica a los particulares</w:t>
      </w:r>
      <w:r w:rsidRPr="00FB66FE">
        <w:rPr>
          <w:rFonts w:ascii="Palatino Linotype" w:hAnsi="Palatino Linotype"/>
          <w:i/>
          <w:color w:val="000000"/>
          <w:sz w:val="22"/>
        </w:rPr>
        <w:t>, en virtud de que permite conocer si las acciones del Instituto son apegadas a derecho y garantiza que los procedimientos sean completamente verificables, fidedignos y confiables;</w:t>
      </w:r>
    </w:p>
    <w:p w14:paraId="0DD713F2" w14:textId="04FF1C4D" w:rsidR="0014762E" w:rsidRPr="00536637" w:rsidRDefault="0014762E" w:rsidP="0014762E">
      <w:pPr>
        <w:spacing w:line="360" w:lineRule="auto"/>
        <w:jc w:val="both"/>
        <w:rPr>
          <w:rFonts w:ascii="Palatino Linotype" w:hAnsi="Palatino Linotype"/>
          <w:color w:val="222222"/>
          <w:lang w:val="es-MX" w:eastAsia="es-MX"/>
        </w:rPr>
      </w:pPr>
      <w:r>
        <w:rPr>
          <w:rFonts w:ascii="Palatino Linotype" w:hAnsi="Palatino Linotype" w:cs="Arial"/>
        </w:rPr>
        <w:t xml:space="preserve">De lo anterior, la que suscribe considera que se debieron ordenar </w:t>
      </w:r>
      <w:r w:rsidR="007D2FE6" w:rsidRPr="007D2FE6">
        <w:rPr>
          <w:rFonts w:ascii="Palatino Linotype" w:hAnsi="Palatino Linotype" w:cs="Arial"/>
        </w:rPr>
        <w:t>los protocolos para la prevención y atención a víctimas de acoso y hostigamiento sexual</w:t>
      </w:r>
      <w:r w:rsidR="003E7D46">
        <w:rPr>
          <w:rFonts w:ascii="Palatino Linotype" w:hAnsi="Palatino Linotype" w:cs="Arial"/>
          <w:bCs/>
        </w:rPr>
        <w:t xml:space="preserve"> y de no poseerlos, remitir el Acuerdo de Inexistencia correspondiente</w:t>
      </w:r>
      <w:r>
        <w:rPr>
          <w:rFonts w:ascii="Palatino Linotype" w:hAnsi="Palatino Linotype" w:cs="Arial"/>
        </w:rPr>
        <w:t>.</w:t>
      </w:r>
    </w:p>
    <w:p w14:paraId="28C1D0AF" w14:textId="4708B004" w:rsidR="00271D08" w:rsidRDefault="00414C32" w:rsidP="001E2B06">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Como consecuencia de los argumentos anteriormente expuestos, </w:t>
      </w:r>
      <w:r w:rsidR="00B05E89">
        <w:rPr>
          <w:rFonts w:ascii="Palatino Linotype" w:hAnsi="Palatino Linotype" w:cs="Arial"/>
        </w:rPr>
        <w:t xml:space="preserve">la que suscribe emite </w:t>
      </w:r>
      <w:r w:rsidR="00B05E89" w:rsidRPr="00B05E89">
        <w:rPr>
          <w:rFonts w:ascii="Palatino Linotype" w:hAnsi="Palatino Linotype" w:cs="Arial"/>
          <w:b/>
        </w:rPr>
        <w:t>VOTO PARTICULAR</w:t>
      </w:r>
      <w:r w:rsidR="00B05E89">
        <w:rPr>
          <w:rFonts w:ascii="Palatino Linotype" w:hAnsi="Palatino Linotype" w:cs="Arial"/>
        </w:rPr>
        <w:t xml:space="preserve">, pues se insiste que existe fuente obligacional para que </w:t>
      </w:r>
      <w:r w:rsidR="00FC4F07" w:rsidRPr="00FC4F07">
        <w:rPr>
          <w:rFonts w:ascii="Palatino Linotype" w:hAnsi="Palatino Linotype" w:cs="Arial"/>
          <w:b/>
        </w:rPr>
        <w:t>EL SUJETO OBLIGADO</w:t>
      </w:r>
      <w:r w:rsidR="00FC4F07">
        <w:rPr>
          <w:rFonts w:ascii="Palatino Linotype" w:hAnsi="Palatino Linotype" w:cs="Arial"/>
        </w:rPr>
        <w:t xml:space="preserve"> </w:t>
      </w:r>
      <w:r w:rsidR="00B05E89">
        <w:rPr>
          <w:rFonts w:ascii="Palatino Linotype" w:hAnsi="Palatino Linotype" w:cs="Arial"/>
        </w:rPr>
        <w:t xml:space="preserve">cuente </w:t>
      </w:r>
      <w:r w:rsidR="003E7D46">
        <w:rPr>
          <w:rFonts w:ascii="Palatino Linotype" w:hAnsi="Palatino Linotype" w:cs="Arial"/>
        </w:rPr>
        <w:t>los documentos requeridos</w:t>
      </w:r>
      <w:r w:rsidR="002771FC">
        <w:rPr>
          <w:rFonts w:ascii="Palatino Linotype" w:hAnsi="Palatino Linotype" w:cs="Arial"/>
        </w:rPr>
        <w:t xml:space="preserve"> por el particular</w:t>
      </w:r>
      <w:r w:rsidR="00271D08">
        <w:rPr>
          <w:rFonts w:ascii="Palatino Linotype" w:hAnsi="Palatino Linotype" w:cs="Arial"/>
        </w:rPr>
        <w:t>;</w:t>
      </w:r>
      <w:r w:rsidR="009A3125">
        <w:rPr>
          <w:rFonts w:ascii="Palatino Linotype" w:hAnsi="Palatino Linotype" w:cs="Arial"/>
        </w:rPr>
        <w:t xml:space="preserve"> es</w:t>
      </w:r>
      <w:r w:rsidR="00271D08">
        <w:rPr>
          <w:rFonts w:ascii="Palatino Linotype" w:hAnsi="Palatino Linotype" w:cs="Arial"/>
        </w:rPr>
        <w:t xml:space="preserve"> por ello, </w:t>
      </w:r>
      <w:r w:rsidR="003E7D46">
        <w:rPr>
          <w:rFonts w:ascii="Palatino Linotype" w:hAnsi="Palatino Linotype" w:cs="Arial"/>
        </w:rPr>
        <w:t xml:space="preserve">que </w:t>
      </w:r>
      <w:r w:rsidR="009064CA">
        <w:rPr>
          <w:rFonts w:ascii="Palatino Linotype" w:hAnsi="Palatino Linotype" w:cs="Arial"/>
        </w:rPr>
        <w:t xml:space="preserve">se debió </w:t>
      </w:r>
      <w:r w:rsidR="002771FC">
        <w:rPr>
          <w:rFonts w:ascii="Palatino Linotype" w:hAnsi="Palatino Linotype" w:cs="Arial"/>
        </w:rPr>
        <w:t>precisar que</w:t>
      </w:r>
      <w:r w:rsidR="00205B46">
        <w:rPr>
          <w:rFonts w:ascii="Palatino Linotype" w:hAnsi="Palatino Linotype" w:cs="Arial"/>
        </w:rPr>
        <w:t>, lo procedente sería prever emitir e</w:t>
      </w:r>
      <w:r w:rsidR="00271D08">
        <w:rPr>
          <w:rFonts w:ascii="Palatino Linotype" w:hAnsi="Palatino Linotype" w:cs="Arial"/>
        </w:rPr>
        <w:t>l Acuerdo de Inexistencia</w:t>
      </w:r>
      <w:r w:rsidR="00536637">
        <w:rPr>
          <w:rFonts w:ascii="Palatino Linotype" w:hAnsi="Palatino Linotype" w:cs="Arial"/>
        </w:rPr>
        <w:t xml:space="preserve"> correspondiente</w:t>
      </w:r>
      <w:r w:rsidR="00271D08">
        <w:rPr>
          <w:rFonts w:ascii="Palatino Linotype" w:hAnsi="Palatino Linotype" w:cs="Arial"/>
        </w:rPr>
        <w:t xml:space="preserve"> y hacerlo del conocimiento de</w:t>
      </w:r>
      <w:r w:rsidR="0007754C">
        <w:rPr>
          <w:rFonts w:ascii="Palatino Linotype" w:hAnsi="Palatino Linotype" w:cs="Arial"/>
        </w:rPr>
        <w:t>l</w:t>
      </w:r>
      <w:r w:rsidR="00271D08">
        <w:rPr>
          <w:rFonts w:ascii="Palatino Linotype" w:hAnsi="Palatino Linotype" w:cs="Arial"/>
        </w:rPr>
        <w:t xml:space="preserve"> </w:t>
      </w:r>
      <w:r w:rsidR="00271D08" w:rsidRPr="00271D08">
        <w:rPr>
          <w:rFonts w:ascii="Palatino Linotype" w:hAnsi="Palatino Linotype" w:cs="Arial"/>
          <w:b/>
        </w:rPr>
        <w:t>RECURRENTE</w:t>
      </w:r>
      <w:r>
        <w:rPr>
          <w:rFonts w:ascii="Palatino Linotype" w:hAnsi="Palatino Linotype" w:cs="Arial"/>
          <w:b/>
        </w:rPr>
        <w:t>,</w:t>
      </w:r>
      <w:r w:rsidR="002771FC">
        <w:rPr>
          <w:rFonts w:ascii="Palatino Linotype" w:hAnsi="Palatino Linotype" w:cs="Arial"/>
          <w:b/>
        </w:rPr>
        <w:t xml:space="preserve"> </w:t>
      </w:r>
      <w:r w:rsidR="00544FAB">
        <w:rPr>
          <w:rFonts w:ascii="Palatino Linotype" w:hAnsi="Palatino Linotype" w:cs="Arial"/>
        </w:rPr>
        <w:t xml:space="preserve">en atención a los </w:t>
      </w:r>
      <w:r w:rsidR="00544FAB">
        <w:rPr>
          <w:rFonts w:ascii="Palatino Linotype" w:hAnsi="Palatino Linotype" w:cs="Arial"/>
        </w:rPr>
        <w:lastRenderedPageBreak/>
        <w:t>principios de certeza, exhaustividad y congruencia,</w:t>
      </w:r>
      <w:r w:rsidRPr="00414C32">
        <w:rPr>
          <w:rFonts w:ascii="Palatino Linotype" w:hAnsi="Palatino Linotype" w:cs="Arial"/>
        </w:rPr>
        <w:t xml:space="preserve"> en términos de lo establecido en la fracción I del artículo 9 de la Ley de la materia.</w:t>
      </w:r>
    </w:p>
    <w:p w14:paraId="1C02CD9B" w14:textId="77777777" w:rsidR="0007754C" w:rsidRDefault="0007754C" w:rsidP="001E2B06">
      <w:pPr>
        <w:spacing w:before="100" w:beforeAutospacing="1" w:after="100" w:afterAutospacing="1" w:line="360" w:lineRule="auto"/>
        <w:jc w:val="both"/>
        <w:rPr>
          <w:rFonts w:ascii="Palatino Linotype" w:hAnsi="Palatino Linotype" w:cs="Arial"/>
        </w:rPr>
      </w:pPr>
    </w:p>
    <w:p w14:paraId="1EF2BF29" w14:textId="77777777" w:rsidR="00B90028" w:rsidRDefault="00B90028" w:rsidP="001E2B06">
      <w:pPr>
        <w:spacing w:before="100" w:beforeAutospacing="1" w:after="100" w:afterAutospacing="1" w:line="360" w:lineRule="auto"/>
        <w:jc w:val="both"/>
        <w:rPr>
          <w:rFonts w:ascii="Palatino Linotype" w:hAnsi="Palatino Linotype" w:cs="Arial"/>
        </w:rPr>
      </w:pPr>
    </w:p>
    <w:p w14:paraId="619C48C8" w14:textId="77777777" w:rsidR="00B90028" w:rsidRDefault="00B90028" w:rsidP="001E2B06">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4C0749" w:rsidRPr="001950C9" w14:paraId="3FEB39FF" w14:textId="77777777" w:rsidTr="004C0749">
        <w:trPr>
          <w:jc w:val="center"/>
        </w:trPr>
        <w:tc>
          <w:tcPr>
            <w:tcW w:w="4393" w:type="dxa"/>
          </w:tcPr>
          <w:p w14:paraId="277BE0D3" w14:textId="77777777" w:rsidR="00823A4C" w:rsidRDefault="00823A4C" w:rsidP="004C0749">
            <w:pPr>
              <w:spacing w:line="360" w:lineRule="auto"/>
              <w:jc w:val="center"/>
              <w:rPr>
                <w:rFonts w:ascii="Palatino Linotype" w:hAnsi="Palatino Linotype"/>
                <w:b/>
              </w:rPr>
            </w:pPr>
          </w:p>
          <w:p w14:paraId="79768354" w14:textId="77777777" w:rsidR="00823A4C" w:rsidRDefault="00823A4C" w:rsidP="004C0749">
            <w:pPr>
              <w:spacing w:line="360" w:lineRule="auto"/>
              <w:jc w:val="center"/>
              <w:rPr>
                <w:rFonts w:ascii="Palatino Linotype" w:hAnsi="Palatino Linotype"/>
                <w:b/>
              </w:rPr>
            </w:pPr>
          </w:p>
          <w:p w14:paraId="710F7FA3" w14:textId="77777777" w:rsidR="004C0749" w:rsidRPr="001950C9" w:rsidRDefault="004C0749" w:rsidP="00246C33">
            <w:pPr>
              <w:jc w:val="center"/>
              <w:rPr>
                <w:rFonts w:ascii="Palatino Linotype" w:hAnsi="Palatino Linotype"/>
                <w:b/>
              </w:rPr>
            </w:pPr>
            <w:r w:rsidRPr="001950C9">
              <w:rPr>
                <w:rFonts w:ascii="Palatino Linotype" w:hAnsi="Palatino Linotype"/>
                <w:b/>
              </w:rPr>
              <w:t xml:space="preserve">EVA ABAID YAPUR </w:t>
            </w:r>
          </w:p>
          <w:p w14:paraId="31407ACE" w14:textId="77777777" w:rsidR="00246C33" w:rsidRDefault="004C0749" w:rsidP="00823A4C">
            <w:pPr>
              <w:jc w:val="center"/>
              <w:rPr>
                <w:rFonts w:ascii="Palatino Linotype" w:hAnsi="Palatino Linotype"/>
                <w:b/>
              </w:rPr>
            </w:pPr>
            <w:r w:rsidRPr="001950C9">
              <w:rPr>
                <w:rFonts w:ascii="Palatino Linotype" w:hAnsi="Palatino Linotype"/>
                <w:b/>
              </w:rPr>
              <w:t>COMISIONADA</w:t>
            </w:r>
          </w:p>
          <w:p w14:paraId="11B3F6BF" w14:textId="77777777" w:rsidR="006E5D26" w:rsidRDefault="006E5D26" w:rsidP="006E5D26">
            <w:pPr>
              <w:jc w:val="center"/>
              <w:rPr>
                <w:rFonts w:ascii="Palatino Linotype" w:hAnsi="Palatino Linotype"/>
                <w:b/>
              </w:rPr>
            </w:pPr>
            <w:r>
              <w:rPr>
                <w:rFonts w:ascii="Palatino Linotype" w:hAnsi="Palatino Linotype" w:cs="Arial"/>
                <w:b/>
              </w:rPr>
              <w:t>(RÚBRICA)</w:t>
            </w:r>
          </w:p>
          <w:p w14:paraId="46BF9CB2" w14:textId="215315CF" w:rsidR="006E5D26" w:rsidRPr="001950C9" w:rsidRDefault="006E5D26" w:rsidP="00823A4C">
            <w:pPr>
              <w:jc w:val="center"/>
              <w:rPr>
                <w:rFonts w:ascii="Palatino Linotype" w:hAnsi="Palatino Linotype"/>
                <w:b/>
              </w:rPr>
            </w:pPr>
          </w:p>
        </w:tc>
      </w:tr>
    </w:tbl>
    <w:p w14:paraId="641119F8" w14:textId="77777777" w:rsidR="0007754C" w:rsidRDefault="0007754C" w:rsidP="004C0749">
      <w:pPr>
        <w:jc w:val="both"/>
        <w:rPr>
          <w:rFonts w:ascii="Palatino Linotype" w:eastAsia="Calibri" w:hAnsi="Palatino Linotype" w:cs="Arial"/>
          <w:color w:val="000000" w:themeColor="text1"/>
          <w:sz w:val="20"/>
          <w:szCs w:val="20"/>
        </w:rPr>
      </w:pPr>
    </w:p>
    <w:p w14:paraId="63EB4DF9" w14:textId="77777777" w:rsidR="0007754C" w:rsidRDefault="0007754C" w:rsidP="004C0749">
      <w:pPr>
        <w:jc w:val="both"/>
        <w:rPr>
          <w:rFonts w:ascii="Palatino Linotype" w:eastAsia="Calibri" w:hAnsi="Palatino Linotype" w:cs="Arial"/>
          <w:color w:val="000000" w:themeColor="text1"/>
          <w:sz w:val="20"/>
          <w:szCs w:val="20"/>
        </w:rPr>
      </w:pPr>
    </w:p>
    <w:p w14:paraId="551B440A" w14:textId="77777777" w:rsidR="0007754C" w:rsidRDefault="0007754C" w:rsidP="004C0749">
      <w:pPr>
        <w:jc w:val="both"/>
        <w:rPr>
          <w:rFonts w:ascii="Palatino Linotype" w:eastAsia="Calibri" w:hAnsi="Palatino Linotype" w:cs="Arial"/>
          <w:color w:val="000000" w:themeColor="text1"/>
          <w:sz w:val="20"/>
          <w:szCs w:val="20"/>
        </w:rPr>
      </w:pPr>
    </w:p>
    <w:p w14:paraId="01B0714C" w14:textId="77777777" w:rsidR="00FA55D8" w:rsidRDefault="00FA55D8" w:rsidP="004C0749">
      <w:pPr>
        <w:jc w:val="both"/>
        <w:rPr>
          <w:rFonts w:ascii="Palatino Linotype" w:eastAsia="Calibri" w:hAnsi="Palatino Linotype" w:cs="Arial"/>
          <w:color w:val="000000" w:themeColor="text1"/>
          <w:sz w:val="20"/>
          <w:szCs w:val="20"/>
        </w:rPr>
      </w:pPr>
    </w:p>
    <w:p w14:paraId="68F72B47" w14:textId="77777777" w:rsidR="00FA55D8" w:rsidRDefault="00FA55D8" w:rsidP="004C0749">
      <w:pPr>
        <w:jc w:val="both"/>
        <w:rPr>
          <w:rFonts w:ascii="Palatino Linotype" w:eastAsia="Calibri" w:hAnsi="Palatino Linotype" w:cs="Arial"/>
          <w:color w:val="000000" w:themeColor="text1"/>
          <w:sz w:val="20"/>
          <w:szCs w:val="20"/>
        </w:rPr>
      </w:pPr>
    </w:p>
    <w:p w14:paraId="5B1F4190" w14:textId="77777777" w:rsidR="00823A4C" w:rsidRDefault="00823A4C" w:rsidP="004C0749">
      <w:pPr>
        <w:jc w:val="both"/>
        <w:rPr>
          <w:rFonts w:ascii="Palatino Linotype" w:eastAsia="Calibri" w:hAnsi="Palatino Linotype" w:cs="Arial"/>
          <w:color w:val="000000" w:themeColor="text1"/>
          <w:sz w:val="20"/>
          <w:szCs w:val="20"/>
        </w:rPr>
      </w:pPr>
    </w:p>
    <w:p w14:paraId="59231BB6" w14:textId="77777777" w:rsidR="00823A4C" w:rsidRDefault="00823A4C" w:rsidP="004C0749">
      <w:pPr>
        <w:jc w:val="both"/>
        <w:rPr>
          <w:rFonts w:ascii="Palatino Linotype" w:eastAsia="Calibri" w:hAnsi="Palatino Linotype" w:cs="Arial"/>
          <w:color w:val="000000" w:themeColor="text1"/>
          <w:sz w:val="20"/>
          <w:szCs w:val="20"/>
        </w:rPr>
      </w:pPr>
    </w:p>
    <w:p w14:paraId="32EAEC43" w14:textId="77777777" w:rsidR="00823A4C" w:rsidRDefault="00823A4C" w:rsidP="004C0749">
      <w:pPr>
        <w:jc w:val="both"/>
        <w:rPr>
          <w:rFonts w:ascii="Palatino Linotype" w:eastAsia="Calibri" w:hAnsi="Palatino Linotype" w:cs="Arial"/>
          <w:color w:val="000000" w:themeColor="text1"/>
          <w:sz w:val="20"/>
          <w:szCs w:val="20"/>
        </w:rPr>
      </w:pPr>
    </w:p>
    <w:p w14:paraId="46E0F082" w14:textId="77777777" w:rsidR="00823A4C" w:rsidRDefault="00823A4C" w:rsidP="004C0749">
      <w:pPr>
        <w:jc w:val="both"/>
        <w:rPr>
          <w:rFonts w:ascii="Palatino Linotype" w:eastAsia="Calibri" w:hAnsi="Palatino Linotype" w:cs="Arial"/>
          <w:color w:val="000000" w:themeColor="text1"/>
          <w:sz w:val="20"/>
          <w:szCs w:val="20"/>
        </w:rPr>
      </w:pPr>
      <w:bookmarkStart w:id="0" w:name="_GoBack"/>
      <w:bookmarkEnd w:id="0"/>
    </w:p>
    <w:p w14:paraId="3E779434" w14:textId="77777777" w:rsidR="00823A4C" w:rsidRDefault="00823A4C" w:rsidP="004C0749">
      <w:pPr>
        <w:jc w:val="both"/>
        <w:rPr>
          <w:rFonts w:ascii="Palatino Linotype" w:eastAsia="Calibri" w:hAnsi="Palatino Linotype" w:cs="Arial"/>
          <w:color w:val="000000" w:themeColor="text1"/>
          <w:sz w:val="20"/>
          <w:szCs w:val="20"/>
        </w:rPr>
      </w:pPr>
    </w:p>
    <w:p w14:paraId="0C7D54BA" w14:textId="77777777" w:rsidR="00823A4C" w:rsidRDefault="00823A4C" w:rsidP="004C0749">
      <w:pPr>
        <w:jc w:val="both"/>
        <w:rPr>
          <w:rFonts w:ascii="Palatino Linotype" w:eastAsia="Calibri" w:hAnsi="Palatino Linotype" w:cs="Arial"/>
          <w:color w:val="000000" w:themeColor="text1"/>
          <w:sz w:val="20"/>
          <w:szCs w:val="20"/>
        </w:rPr>
      </w:pPr>
    </w:p>
    <w:p w14:paraId="3F282223" w14:textId="77777777" w:rsidR="00823A4C" w:rsidRDefault="00823A4C" w:rsidP="004C0749">
      <w:pPr>
        <w:jc w:val="both"/>
        <w:rPr>
          <w:rFonts w:ascii="Palatino Linotype" w:eastAsia="Calibri" w:hAnsi="Palatino Linotype" w:cs="Arial"/>
          <w:color w:val="000000" w:themeColor="text1"/>
          <w:sz w:val="20"/>
          <w:szCs w:val="20"/>
        </w:rPr>
      </w:pPr>
    </w:p>
    <w:p w14:paraId="01B265E5" w14:textId="77777777" w:rsidR="00823A4C" w:rsidRDefault="00823A4C" w:rsidP="004C0749">
      <w:pPr>
        <w:jc w:val="both"/>
        <w:rPr>
          <w:rFonts w:ascii="Palatino Linotype" w:eastAsia="Calibri" w:hAnsi="Palatino Linotype" w:cs="Arial"/>
          <w:color w:val="000000" w:themeColor="text1"/>
          <w:sz w:val="20"/>
          <w:szCs w:val="20"/>
        </w:rPr>
      </w:pPr>
    </w:p>
    <w:p w14:paraId="33FBB91D" w14:textId="77777777" w:rsidR="00823A4C" w:rsidRDefault="00823A4C" w:rsidP="004C0749">
      <w:pPr>
        <w:jc w:val="both"/>
        <w:rPr>
          <w:rFonts w:ascii="Palatino Linotype" w:eastAsia="Calibri" w:hAnsi="Palatino Linotype" w:cs="Arial"/>
          <w:color w:val="000000" w:themeColor="text1"/>
          <w:sz w:val="20"/>
          <w:szCs w:val="20"/>
        </w:rPr>
      </w:pPr>
    </w:p>
    <w:p w14:paraId="5AF96CD8" w14:textId="77777777" w:rsidR="00823A4C" w:rsidRDefault="00823A4C" w:rsidP="004C0749">
      <w:pPr>
        <w:jc w:val="both"/>
        <w:rPr>
          <w:rFonts w:ascii="Palatino Linotype" w:eastAsia="Calibri" w:hAnsi="Palatino Linotype" w:cs="Arial"/>
          <w:color w:val="000000" w:themeColor="text1"/>
          <w:sz w:val="20"/>
          <w:szCs w:val="20"/>
        </w:rPr>
      </w:pPr>
    </w:p>
    <w:p w14:paraId="06C0B0B1" w14:textId="1ACE797E" w:rsidR="004C0749" w:rsidRPr="001950C9" w:rsidRDefault="004C0749" w:rsidP="004C0749">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Esta hoja corresponde al voto particular emi</w:t>
      </w:r>
      <w:r w:rsidR="0007754C">
        <w:rPr>
          <w:rFonts w:ascii="Palatino Linotype" w:eastAsia="Calibri" w:hAnsi="Palatino Linotype" w:cs="Arial"/>
          <w:color w:val="000000" w:themeColor="text1"/>
          <w:sz w:val="20"/>
          <w:szCs w:val="20"/>
        </w:rPr>
        <w:t>tido en</w:t>
      </w:r>
      <w:r w:rsidR="00D80B0A">
        <w:rPr>
          <w:rFonts w:ascii="Palatino Linotype" w:eastAsia="Calibri" w:hAnsi="Palatino Linotype" w:cs="Arial"/>
          <w:color w:val="000000" w:themeColor="text1"/>
          <w:sz w:val="20"/>
          <w:szCs w:val="20"/>
        </w:rPr>
        <w:t xml:space="preserve"> la resolución</w:t>
      </w:r>
      <w:r w:rsidR="0007754C">
        <w:rPr>
          <w:rFonts w:ascii="Palatino Linotype" w:eastAsia="Calibri" w:hAnsi="Palatino Linotype" w:cs="Arial"/>
          <w:color w:val="000000" w:themeColor="text1"/>
          <w:sz w:val="20"/>
          <w:szCs w:val="20"/>
        </w:rPr>
        <w:t xml:space="preserve"> </w:t>
      </w:r>
      <w:r w:rsidR="00D80B0A">
        <w:rPr>
          <w:rFonts w:ascii="Palatino Linotype" w:eastAsia="Calibri" w:hAnsi="Palatino Linotype" w:cs="Arial"/>
          <w:color w:val="000000" w:themeColor="text1"/>
          <w:sz w:val="20"/>
          <w:szCs w:val="20"/>
        </w:rPr>
        <w:t>d</w:t>
      </w:r>
      <w:r w:rsidR="0007754C">
        <w:rPr>
          <w:rFonts w:ascii="Palatino Linotype" w:eastAsia="Calibri" w:hAnsi="Palatino Linotype" w:cs="Arial"/>
          <w:color w:val="000000" w:themeColor="text1"/>
          <w:sz w:val="20"/>
          <w:szCs w:val="20"/>
        </w:rPr>
        <w:t xml:space="preserve">el recurso de revisión </w:t>
      </w:r>
      <w:r w:rsidR="007D2FE6">
        <w:rPr>
          <w:rFonts w:ascii="Palatino Linotype" w:eastAsia="Calibri" w:hAnsi="Palatino Linotype" w:cs="Arial"/>
          <w:color w:val="000000" w:themeColor="text1"/>
          <w:sz w:val="20"/>
          <w:szCs w:val="20"/>
        </w:rPr>
        <w:t>09069</w:t>
      </w:r>
      <w:r w:rsidR="0007754C">
        <w:rPr>
          <w:rFonts w:ascii="Palatino Linotype" w:eastAsia="Calibri" w:hAnsi="Palatino Linotype" w:cs="Arial"/>
          <w:color w:val="000000" w:themeColor="text1"/>
          <w:sz w:val="20"/>
          <w:szCs w:val="20"/>
        </w:rPr>
        <w:t>/INFOEM/IP/RR/2019</w:t>
      </w:r>
      <w:r w:rsidRPr="001950C9">
        <w:rPr>
          <w:rFonts w:ascii="Palatino Linotype" w:eastAsia="Calibri" w:hAnsi="Palatino Linotype" w:cs="Arial"/>
          <w:color w:val="000000" w:themeColor="text1"/>
          <w:sz w:val="20"/>
          <w:szCs w:val="20"/>
        </w:rPr>
        <w:t>, aprobad</w:t>
      </w:r>
      <w:r w:rsidR="00823A4C">
        <w:rPr>
          <w:rFonts w:ascii="Palatino Linotype" w:eastAsia="Calibri" w:hAnsi="Palatino Linotype" w:cs="Arial"/>
          <w:color w:val="000000" w:themeColor="text1"/>
          <w:sz w:val="20"/>
          <w:szCs w:val="20"/>
        </w:rPr>
        <w:t>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w:t>
      </w:r>
      <w:r w:rsidR="007D2FE6">
        <w:rPr>
          <w:rFonts w:ascii="Palatino Linotype" w:eastAsia="Calibri" w:hAnsi="Palatino Linotype" w:cs="Arial"/>
          <w:color w:val="000000" w:themeColor="text1"/>
          <w:sz w:val="20"/>
          <w:szCs w:val="20"/>
        </w:rPr>
        <w:t>doce de febrero de dos mil veinte</w:t>
      </w:r>
      <w:r w:rsidRPr="001950C9">
        <w:rPr>
          <w:rFonts w:ascii="Palatino Linotype" w:eastAsia="Calibri" w:hAnsi="Palatino Linotype" w:cs="Arial"/>
          <w:color w:val="000000" w:themeColor="text1"/>
          <w:sz w:val="20"/>
          <w:szCs w:val="20"/>
        </w:rPr>
        <w:t>.</w:t>
      </w:r>
    </w:p>
    <w:p w14:paraId="2807F377" w14:textId="77777777" w:rsidR="00823A4C" w:rsidRPr="00823A4C" w:rsidRDefault="00823A4C" w:rsidP="00544FAB">
      <w:pPr>
        <w:jc w:val="both"/>
        <w:rPr>
          <w:rFonts w:ascii="Palatino Linotype" w:eastAsia="Calibri" w:hAnsi="Palatino Linotype" w:cs="Arial"/>
          <w:color w:val="000000" w:themeColor="text1"/>
          <w:sz w:val="8"/>
          <w:szCs w:val="8"/>
        </w:rPr>
      </w:pPr>
    </w:p>
    <w:p w14:paraId="2390E1F1" w14:textId="6E303025" w:rsidR="009D63A9" w:rsidRPr="004C0749" w:rsidRDefault="00536637" w:rsidP="00544FAB">
      <w:pPr>
        <w:jc w:val="both"/>
        <w:rPr>
          <w:rFonts w:eastAsia="Calibri"/>
        </w:rPr>
      </w:pPr>
      <w:r>
        <w:rPr>
          <w:rFonts w:ascii="Palatino Linotype" w:eastAsia="Calibri" w:hAnsi="Palatino Linotype" w:cs="Arial"/>
          <w:color w:val="000000" w:themeColor="text1"/>
          <w:sz w:val="20"/>
          <w:szCs w:val="20"/>
        </w:rPr>
        <w:t>YSM</w:t>
      </w:r>
      <w:r w:rsidR="0007754C">
        <w:rPr>
          <w:rFonts w:ascii="Palatino Linotype" w:eastAsia="Calibri" w:hAnsi="Palatino Linotype" w:cs="Arial"/>
          <w:color w:val="000000" w:themeColor="text1"/>
          <w:sz w:val="20"/>
          <w:szCs w:val="20"/>
        </w:rPr>
        <w:t>/EJCA</w:t>
      </w:r>
    </w:p>
    <w:sectPr w:rsidR="009D63A9" w:rsidRPr="004C0749" w:rsidSect="00ED34E1">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2FADD" w14:textId="77777777" w:rsidR="00117A2C" w:rsidRDefault="00117A2C" w:rsidP="00C80F8C">
      <w:r>
        <w:separator/>
      </w:r>
    </w:p>
  </w:endnote>
  <w:endnote w:type="continuationSeparator" w:id="0">
    <w:p w14:paraId="520631FE" w14:textId="77777777" w:rsidR="00117A2C" w:rsidRDefault="00117A2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E5D26">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E5D26">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D66B7" w14:textId="77777777" w:rsidR="00117A2C" w:rsidRDefault="00117A2C" w:rsidP="00C80F8C">
      <w:r>
        <w:separator/>
      </w:r>
    </w:p>
  </w:footnote>
  <w:footnote w:type="continuationSeparator" w:id="0">
    <w:p w14:paraId="5ACF421E" w14:textId="77777777" w:rsidR="00117A2C" w:rsidRDefault="00117A2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6E5D26">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5702F397"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70CEB9E1" w:rsidR="0034309A" w:rsidRPr="00823A4C" w:rsidRDefault="0034309A" w:rsidP="0034309A">
    <w:pPr>
      <w:pStyle w:val="Encabezado"/>
      <w:tabs>
        <w:tab w:val="clear" w:pos="4252"/>
        <w:tab w:val="clear" w:pos="8504"/>
        <w:tab w:val="left" w:pos="2326"/>
      </w:tabs>
      <w:jc w:val="right"/>
      <w:rPr>
        <w:rFonts w:ascii="Palatino Linotype" w:hAnsi="Palatino Linotype"/>
        <w:sz w:val="22"/>
      </w:rPr>
    </w:pPr>
  </w:p>
  <w:p w14:paraId="71104997" w14:textId="31FAF334" w:rsidR="00634485" w:rsidRDefault="00634485" w:rsidP="0034309A">
    <w:pPr>
      <w:pStyle w:val="Encabezado"/>
      <w:tabs>
        <w:tab w:val="clear" w:pos="4252"/>
        <w:tab w:val="clear" w:pos="8504"/>
        <w:tab w:val="left" w:pos="2326"/>
      </w:tabs>
      <w:jc w:val="right"/>
      <w:rPr>
        <w:rFonts w:ascii="Palatino Linotype" w:hAnsi="Palatino Linotype" w:cs="Arial"/>
        <w:sz w:val="20"/>
        <w:szCs w:val="20"/>
      </w:rPr>
    </w:pPr>
  </w:p>
  <w:p w14:paraId="5605195D" w14:textId="45BDE4D9" w:rsidR="00EB7480" w:rsidRDefault="00823A4C" w:rsidP="00823A4C">
    <w:pPr>
      <w:pStyle w:val="Encabezado"/>
      <w:tabs>
        <w:tab w:val="clear" w:pos="4252"/>
        <w:tab w:val="clear" w:pos="8504"/>
        <w:tab w:val="left" w:pos="2326"/>
      </w:tabs>
      <w:ind w:right="-93"/>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333995A2" w14:textId="2747C4FE" w:rsidR="0030072F" w:rsidRDefault="006E5D26" w:rsidP="00823A4C">
    <w:pPr>
      <w:pStyle w:val="Encabezado"/>
      <w:tabs>
        <w:tab w:val="clear" w:pos="4252"/>
        <w:tab w:val="clear" w:pos="8504"/>
        <w:tab w:val="left" w:pos="2326"/>
      </w:tabs>
      <w:spacing w:after="240"/>
      <w:ind w:right="-93"/>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90.8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  VOTO PARTICULAR"/>
          <w10:wrap anchorx="margin" anchory="margin"/>
        </v:shape>
      </w:pict>
    </w:r>
    <w:r w:rsidR="00823A4C" w:rsidRPr="00706042">
      <w:rPr>
        <w:rFonts w:ascii="Palatino Linotype" w:hAnsi="Palatino Linotype" w:cs="Arial"/>
        <w:sz w:val="20"/>
        <w:szCs w:val="20"/>
      </w:rPr>
      <w:t xml:space="preserve">RECURSO DE REVISIÓN </w:t>
    </w:r>
    <w:r w:rsidR="00823A4C">
      <w:rPr>
        <w:rFonts w:ascii="Palatino Linotype" w:hAnsi="Palatino Linotype" w:cs="Arial"/>
        <w:sz w:val="20"/>
        <w:szCs w:val="20"/>
      </w:rPr>
      <w:t>09069/INFOEM/IP</w:t>
    </w:r>
    <w:r w:rsidR="00823A4C" w:rsidRPr="00706042">
      <w:rPr>
        <w:rFonts w:ascii="Palatino Linotype" w:hAnsi="Palatino Linotype" w:cs="Arial"/>
        <w:sz w:val="20"/>
        <w:szCs w:val="20"/>
      </w:rPr>
      <w:t>/RR/201</w:t>
    </w:r>
    <w:r w:rsidR="00823A4C">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6E5D26">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C60F5"/>
    <w:multiLevelType w:val="hybridMultilevel"/>
    <w:tmpl w:val="AEAC8FB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F32205E"/>
    <w:multiLevelType w:val="hybridMultilevel"/>
    <w:tmpl w:val="F5545A9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105E1C84"/>
    <w:multiLevelType w:val="hybridMultilevel"/>
    <w:tmpl w:val="259881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C93D66"/>
    <w:multiLevelType w:val="hybridMultilevel"/>
    <w:tmpl w:val="6CFEE804"/>
    <w:lvl w:ilvl="0" w:tplc="B6601A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652D05"/>
    <w:multiLevelType w:val="hybridMultilevel"/>
    <w:tmpl w:val="4D728D9C"/>
    <w:lvl w:ilvl="0" w:tplc="82847B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34317490"/>
    <w:multiLevelType w:val="hybridMultilevel"/>
    <w:tmpl w:val="9EE42234"/>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8A971C9"/>
    <w:multiLevelType w:val="hybridMultilevel"/>
    <w:tmpl w:val="2C4CC9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nsid w:val="4B4B347A"/>
    <w:multiLevelType w:val="hybridMultilevel"/>
    <w:tmpl w:val="DA742BEE"/>
    <w:lvl w:ilvl="0" w:tplc="93A0D3E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nsid w:val="52E2611B"/>
    <w:multiLevelType w:val="hybridMultilevel"/>
    <w:tmpl w:val="354E7B1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603808C6"/>
    <w:multiLevelType w:val="hybridMultilevel"/>
    <w:tmpl w:val="9292913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68CD42D9"/>
    <w:multiLevelType w:val="hybridMultilevel"/>
    <w:tmpl w:val="6C14C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D1F6166"/>
    <w:multiLevelType w:val="hybridMultilevel"/>
    <w:tmpl w:val="83921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D847E31"/>
    <w:multiLevelType w:val="hybridMultilevel"/>
    <w:tmpl w:val="9216F8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
  </w:num>
  <w:num w:numId="5">
    <w:abstractNumId w:val="11"/>
  </w:num>
  <w:num w:numId="6">
    <w:abstractNumId w:val="7"/>
  </w:num>
  <w:num w:numId="7">
    <w:abstractNumId w:val="15"/>
  </w:num>
  <w:num w:numId="8">
    <w:abstractNumId w:val="13"/>
  </w:num>
  <w:num w:numId="9">
    <w:abstractNumId w:val="14"/>
  </w:num>
  <w:num w:numId="10">
    <w:abstractNumId w:val="4"/>
  </w:num>
  <w:num w:numId="11">
    <w:abstractNumId w:val="12"/>
  </w:num>
  <w:num w:numId="12">
    <w:abstractNumId w:val="0"/>
  </w:num>
  <w:num w:numId="13">
    <w:abstractNumId w:val="8"/>
  </w:num>
  <w:num w:numId="14">
    <w:abstractNumId w:val="9"/>
  </w:num>
  <w:num w:numId="15">
    <w:abstractNumId w:val="6"/>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40391"/>
    <w:rsid w:val="000412FB"/>
    <w:rsid w:val="00055107"/>
    <w:rsid w:val="00057484"/>
    <w:rsid w:val="0006079D"/>
    <w:rsid w:val="0007653D"/>
    <w:rsid w:val="0007754C"/>
    <w:rsid w:val="00082101"/>
    <w:rsid w:val="0008542A"/>
    <w:rsid w:val="0008745A"/>
    <w:rsid w:val="00092678"/>
    <w:rsid w:val="00095B30"/>
    <w:rsid w:val="000B3FFD"/>
    <w:rsid w:val="000C4453"/>
    <w:rsid w:val="000D03A9"/>
    <w:rsid w:val="000D136C"/>
    <w:rsid w:val="000D66DE"/>
    <w:rsid w:val="000E2B1A"/>
    <w:rsid w:val="000E4C17"/>
    <w:rsid w:val="000F05FA"/>
    <w:rsid w:val="00100C82"/>
    <w:rsid w:val="00102EEC"/>
    <w:rsid w:val="0010583C"/>
    <w:rsid w:val="00117749"/>
    <w:rsid w:val="00117A2C"/>
    <w:rsid w:val="00123644"/>
    <w:rsid w:val="00130433"/>
    <w:rsid w:val="001317F7"/>
    <w:rsid w:val="0013735C"/>
    <w:rsid w:val="00140058"/>
    <w:rsid w:val="0014762E"/>
    <w:rsid w:val="00175DEE"/>
    <w:rsid w:val="00187FFD"/>
    <w:rsid w:val="001950C9"/>
    <w:rsid w:val="001B4311"/>
    <w:rsid w:val="001D3B24"/>
    <w:rsid w:val="001E2B06"/>
    <w:rsid w:val="001E757E"/>
    <w:rsid w:val="001E763C"/>
    <w:rsid w:val="00201DC4"/>
    <w:rsid w:val="00205B46"/>
    <w:rsid w:val="00225D92"/>
    <w:rsid w:val="002314AA"/>
    <w:rsid w:val="0023504D"/>
    <w:rsid w:val="00237A37"/>
    <w:rsid w:val="0024119C"/>
    <w:rsid w:val="00246C33"/>
    <w:rsid w:val="0025202C"/>
    <w:rsid w:val="002562CC"/>
    <w:rsid w:val="00256523"/>
    <w:rsid w:val="00271D08"/>
    <w:rsid w:val="00273EBB"/>
    <w:rsid w:val="002771FC"/>
    <w:rsid w:val="002940F8"/>
    <w:rsid w:val="002B2006"/>
    <w:rsid w:val="002B3707"/>
    <w:rsid w:val="002B752D"/>
    <w:rsid w:val="002B7856"/>
    <w:rsid w:val="002C299A"/>
    <w:rsid w:val="002D3BBD"/>
    <w:rsid w:val="002D4526"/>
    <w:rsid w:val="002D69E1"/>
    <w:rsid w:val="002D7F7A"/>
    <w:rsid w:val="002E20F5"/>
    <w:rsid w:val="0030072F"/>
    <w:rsid w:val="003056D9"/>
    <w:rsid w:val="003102FA"/>
    <w:rsid w:val="003303A4"/>
    <w:rsid w:val="0034309A"/>
    <w:rsid w:val="003628B7"/>
    <w:rsid w:val="0037321B"/>
    <w:rsid w:val="003A6F70"/>
    <w:rsid w:val="003C23BE"/>
    <w:rsid w:val="003C28FC"/>
    <w:rsid w:val="003C2D10"/>
    <w:rsid w:val="003C7226"/>
    <w:rsid w:val="003D1C14"/>
    <w:rsid w:val="003D297D"/>
    <w:rsid w:val="003E7D46"/>
    <w:rsid w:val="003F4C9C"/>
    <w:rsid w:val="00410D1F"/>
    <w:rsid w:val="00411BCB"/>
    <w:rsid w:val="00414C32"/>
    <w:rsid w:val="00414E48"/>
    <w:rsid w:val="00414E7B"/>
    <w:rsid w:val="004179B7"/>
    <w:rsid w:val="004272A9"/>
    <w:rsid w:val="004315BB"/>
    <w:rsid w:val="0044271B"/>
    <w:rsid w:val="00443646"/>
    <w:rsid w:val="0044475B"/>
    <w:rsid w:val="00455CB3"/>
    <w:rsid w:val="004661D2"/>
    <w:rsid w:val="004776FF"/>
    <w:rsid w:val="00486744"/>
    <w:rsid w:val="00497120"/>
    <w:rsid w:val="004B0D7C"/>
    <w:rsid w:val="004B1EC9"/>
    <w:rsid w:val="004B7325"/>
    <w:rsid w:val="004C0749"/>
    <w:rsid w:val="004C40EA"/>
    <w:rsid w:val="004C64D9"/>
    <w:rsid w:val="004D0A26"/>
    <w:rsid w:val="004E308E"/>
    <w:rsid w:val="00500FFD"/>
    <w:rsid w:val="00516914"/>
    <w:rsid w:val="005236B6"/>
    <w:rsid w:val="005318AB"/>
    <w:rsid w:val="00536637"/>
    <w:rsid w:val="00544FAB"/>
    <w:rsid w:val="00562649"/>
    <w:rsid w:val="00575235"/>
    <w:rsid w:val="0058067E"/>
    <w:rsid w:val="00584781"/>
    <w:rsid w:val="0058639E"/>
    <w:rsid w:val="005870DF"/>
    <w:rsid w:val="005B773B"/>
    <w:rsid w:val="005C5B04"/>
    <w:rsid w:val="005C66D4"/>
    <w:rsid w:val="005D14C4"/>
    <w:rsid w:val="005D1946"/>
    <w:rsid w:val="00612544"/>
    <w:rsid w:val="006177E6"/>
    <w:rsid w:val="00634485"/>
    <w:rsid w:val="006521C1"/>
    <w:rsid w:val="00672211"/>
    <w:rsid w:val="006824EF"/>
    <w:rsid w:val="00684492"/>
    <w:rsid w:val="006869DD"/>
    <w:rsid w:val="006870E1"/>
    <w:rsid w:val="0069256D"/>
    <w:rsid w:val="00694EB3"/>
    <w:rsid w:val="006967D4"/>
    <w:rsid w:val="006A496D"/>
    <w:rsid w:val="006C0991"/>
    <w:rsid w:val="006D16A2"/>
    <w:rsid w:val="006E5D26"/>
    <w:rsid w:val="006E6389"/>
    <w:rsid w:val="006F2060"/>
    <w:rsid w:val="006F30F8"/>
    <w:rsid w:val="006F5374"/>
    <w:rsid w:val="00711B32"/>
    <w:rsid w:val="00712BC2"/>
    <w:rsid w:val="0071346B"/>
    <w:rsid w:val="00721966"/>
    <w:rsid w:val="00724599"/>
    <w:rsid w:val="00736C06"/>
    <w:rsid w:val="007416E3"/>
    <w:rsid w:val="00742010"/>
    <w:rsid w:val="00743C39"/>
    <w:rsid w:val="00746D04"/>
    <w:rsid w:val="00772360"/>
    <w:rsid w:val="007A4AB6"/>
    <w:rsid w:val="007B1FD4"/>
    <w:rsid w:val="007B6E55"/>
    <w:rsid w:val="007C0FDA"/>
    <w:rsid w:val="007C3C0E"/>
    <w:rsid w:val="007D0FEE"/>
    <w:rsid w:val="007D2FE6"/>
    <w:rsid w:val="007E3C3D"/>
    <w:rsid w:val="0080189D"/>
    <w:rsid w:val="008217CD"/>
    <w:rsid w:val="00823A4C"/>
    <w:rsid w:val="008371C0"/>
    <w:rsid w:val="00846A21"/>
    <w:rsid w:val="0087259C"/>
    <w:rsid w:val="008761CA"/>
    <w:rsid w:val="00881852"/>
    <w:rsid w:val="00892AFC"/>
    <w:rsid w:val="00896990"/>
    <w:rsid w:val="008C0700"/>
    <w:rsid w:val="008C0C70"/>
    <w:rsid w:val="008C17F2"/>
    <w:rsid w:val="008D1526"/>
    <w:rsid w:val="008D584A"/>
    <w:rsid w:val="009064CA"/>
    <w:rsid w:val="00924630"/>
    <w:rsid w:val="00926A92"/>
    <w:rsid w:val="0093343E"/>
    <w:rsid w:val="00953EC8"/>
    <w:rsid w:val="00966E59"/>
    <w:rsid w:val="00975AA3"/>
    <w:rsid w:val="00975EB9"/>
    <w:rsid w:val="009773AF"/>
    <w:rsid w:val="00986740"/>
    <w:rsid w:val="00986DDD"/>
    <w:rsid w:val="009A271C"/>
    <w:rsid w:val="009A3125"/>
    <w:rsid w:val="009A67F5"/>
    <w:rsid w:val="009B65F4"/>
    <w:rsid w:val="009C46BF"/>
    <w:rsid w:val="009D63A9"/>
    <w:rsid w:val="009E15B4"/>
    <w:rsid w:val="00A00304"/>
    <w:rsid w:val="00A032F1"/>
    <w:rsid w:val="00A04C79"/>
    <w:rsid w:val="00A1082A"/>
    <w:rsid w:val="00A14B1D"/>
    <w:rsid w:val="00A40057"/>
    <w:rsid w:val="00A4593D"/>
    <w:rsid w:val="00A53958"/>
    <w:rsid w:val="00A60D1E"/>
    <w:rsid w:val="00A81140"/>
    <w:rsid w:val="00A824CA"/>
    <w:rsid w:val="00A8294E"/>
    <w:rsid w:val="00AB21DA"/>
    <w:rsid w:val="00AB609C"/>
    <w:rsid w:val="00AC248E"/>
    <w:rsid w:val="00AC3F99"/>
    <w:rsid w:val="00AE2B18"/>
    <w:rsid w:val="00AF0B38"/>
    <w:rsid w:val="00AF3F82"/>
    <w:rsid w:val="00AF4583"/>
    <w:rsid w:val="00B05E89"/>
    <w:rsid w:val="00B113F7"/>
    <w:rsid w:val="00B151A8"/>
    <w:rsid w:val="00B16800"/>
    <w:rsid w:val="00B27BE5"/>
    <w:rsid w:val="00B337A5"/>
    <w:rsid w:val="00B35A45"/>
    <w:rsid w:val="00B4641E"/>
    <w:rsid w:val="00B46E78"/>
    <w:rsid w:val="00B5072E"/>
    <w:rsid w:val="00B520D9"/>
    <w:rsid w:val="00B5304D"/>
    <w:rsid w:val="00B53290"/>
    <w:rsid w:val="00B57FE6"/>
    <w:rsid w:val="00B64C77"/>
    <w:rsid w:val="00B650A8"/>
    <w:rsid w:val="00B75AE2"/>
    <w:rsid w:val="00B80485"/>
    <w:rsid w:val="00B90028"/>
    <w:rsid w:val="00B95BF7"/>
    <w:rsid w:val="00BD7483"/>
    <w:rsid w:val="00C1644D"/>
    <w:rsid w:val="00C30621"/>
    <w:rsid w:val="00C307F0"/>
    <w:rsid w:val="00C3241C"/>
    <w:rsid w:val="00C4493E"/>
    <w:rsid w:val="00C766EF"/>
    <w:rsid w:val="00C80F8C"/>
    <w:rsid w:val="00CA047D"/>
    <w:rsid w:val="00CC5EAB"/>
    <w:rsid w:val="00CF30E8"/>
    <w:rsid w:val="00D01B99"/>
    <w:rsid w:val="00D06DEE"/>
    <w:rsid w:val="00D11C6F"/>
    <w:rsid w:val="00D22D87"/>
    <w:rsid w:val="00D557C2"/>
    <w:rsid w:val="00D64F32"/>
    <w:rsid w:val="00D74C3B"/>
    <w:rsid w:val="00D76FBE"/>
    <w:rsid w:val="00D80B0A"/>
    <w:rsid w:val="00DA5209"/>
    <w:rsid w:val="00DC6D7D"/>
    <w:rsid w:val="00DC7173"/>
    <w:rsid w:val="00DD6A6C"/>
    <w:rsid w:val="00E10A96"/>
    <w:rsid w:val="00E146AA"/>
    <w:rsid w:val="00E267C3"/>
    <w:rsid w:val="00E27F2A"/>
    <w:rsid w:val="00E35143"/>
    <w:rsid w:val="00E42755"/>
    <w:rsid w:val="00E43B8E"/>
    <w:rsid w:val="00E45B76"/>
    <w:rsid w:val="00E46383"/>
    <w:rsid w:val="00E50E30"/>
    <w:rsid w:val="00E61EAA"/>
    <w:rsid w:val="00E76ECF"/>
    <w:rsid w:val="00E8209A"/>
    <w:rsid w:val="00EA27CB"/>
    <w:rsid w:val="00EA69DF"/>
    <w:rsid w:val="00EA7804"/>
    <w:rsid w:val="00EA7874"/>
    <w:rsid w:val="00EB7480"/>
    <w:rsid w:val="00EB7DE6"/>
    <w:rsid w:val="00EB7F1A"/>
    <w:rsid w:val="00EC0002"/>
    <w:rsid w:val="00ED34E1"/>
    <w:rsid w:val="00ED5EE9"/>
    <w:rsid w:val="00EE66B7"/>
    <w:rsid w:val="00EE7D90"/>
    <w:rsid w:val="00F164B7"/>
    <w:rsid w:val="00F36CDE"/>
    <w:rsid w:val="00F44E84"/>
    <w:rsid w:val="00F548A9"/>
    <w:rsid w:val="00F54D8B"/>
    <w:rsid w:val="00F9624E"/>
    <w:rsid w:val="00FA55D8"/>
    <w:rsid w:val="00FA6221"/>
    <w:rsid w:val="00FB48D6"/>
    <w:rsid w:val="00FC4F07"/>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EFE4BFD2-B48E-467C-848E-18A9E8E8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character" w:styleId="Hipervnculo">
    <w:name w:val="Hyperlink"/>
    <w:basedOn w:val="Fuentedeprrafopredeter"/>
    <w:uiPriority w:val="99"/>
    <w:unhideWhenUsed/>
    <w:rsid w:val="004C07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A0828-BF3F-43D5-8B51-0B4A13CF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1766</Words>
  <Characters>9719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6</cp:revision>
  <cp:lastPrinted>2020-02-17T23:02:00Z</cp:lastPrinted>
  <dcterms:created xsi:type="dcterms:W3CDTF">2020-02-17T23:12:00Z</dcterms:created>
  <dcterms:modified xsi:type="dcterms:W3CDTF">2020-04-29T01:24:00Z</dcterms:modified>
</cp:coreProperties>
</file>