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B6EA4" w:rsidRPr="00C37FD9" w:rsidRDefault="00EB6EA4" w:rsidP="00EB6EA4">
      <w:pPr>
        <w:spacing w:before="100" w:beforeAutospacing="1" w:after="100" w:afterAutospacing="1" w:line="360" w:lineRule="auto"/>
        <w:jc w:val="both"/>
        <w:rPr>
          <w:rFonts w:ascii="Palatino Linotype" w:hAnsi="Palatino Linotype"/>
        </w:rPr>
      </w:pPr>
      <w:r w:rsidRPr="00C37FD9">
        <w:rPr>
          <w:rFonts w:ascii="Palatino Linotype" w:hAnsi="Palatino Linotype"/>
        </w:rPr>
        <w:t xml:space="preserve">Resolución del Pleno del Instituto de Transparencia, Acceso a la Información Pública y Protección de Datos Personales del Estado de México y Municipios, con domicilio en Metepec, Estado de México, </w:t>
      </w:r>
      <w:r>
        <w:rPr>
          <w:rFonts w:ascii="Palatino Linotype" w:hAnsi="Palatino Linotype"/>
        </w:rPr>
        <w:t xml:space="preserve">de fecha diecinueve de septiembre </w:t>
      </w:r>
      <w:r w:rsidRPr="006954BC">
        <w:rPr>
          <w:rFonts w:ascii="Palatino Linotype" w:hAnsi="Palatino Linotype"/>
        </w:rPr>
        <w:t>de dos mil diecinueve.</w:t>
      </w:r>
    </w:p>
    <w:p w:rsidR="00EB6EA4" w:rsidRPr="00C37FD9" w:rsidRDefault="00EB6EA4" w:rsidP="00EB6EA4">
      <w:pPr>
        <w:spacing w:before="100" w:beforeAutospacing="1" w:after="100" w:afterAutospacing="1" w:line="360" w:lineRule="auto"/>
        <w:jc w:val="both"/>
        <w:rPr>
          <w:rFonts w:ascii="Palatino Linotype" w:hAnsi="Palatino Linotype"/>
        </w:rPr>
      </w:pPr>
      <w:r w:rsidRPr="00B82526">
        <w:rPr>
          <w:rFonts w:ascii="Palatino Linotype" w:hAnsi="Palatino Linotype"/>
          <w:b/>
        </w:rPr>
        <w:t>VISTO</w:t>
      </w:r>
      <w:r w:rsidRPr="00C37FD9">
        <w:rPr>
          <w:rFonts w:ascii="Palatino Linotype" w:hAnsi="Palatino Linotype"/>
        </w:rPr>
        <w:t xml:space="preserve"> el expediente formado con motivo del recurso de revisión </w:t>
      </w:r>
      <w:r>
        <w:rPr>
          <w:rFonts w:ascii="Palatino Linotype" w:hAnsi="Palatino Linotype"/>
          <w:b/>
        </w:rPr>
        <w:t>06522</w:t>
      </w:r>
      <w:r w:rsidRPr="00C37FD9">
        <w:rPr>
          <w:rFonts w:ascii="Palatino Linotype" w:hAnsi="Palatino Linotype"/>
          <w:b/>
        </w:rPr>
        <w:t>/INFOEM/IP/RR/201</w:t>
      </w:r>
      <w:r>
        <w:rPr>
          <w:rFonts w:ascii="Palatino Linotype" w:hAnsi="Palatino Linotype"/>
          <w:b/>
        </w:rPr>
        <w:t>9</w:t>
      </w:r>
      <w:r w:rsidRPr="00C37FD9">
        <w:rPr>
          <w:rFonts w:ascii="Palatino Linotype" w:hAnsi="Palatino Linotype"/>
        </w:rPr>
        <w:t xml:space="preserve">, promovido por </w:t>
      </w:r>
      <w:r>
        <w:rPr>
          <w:rFonts w:ascii="Palatino Linotype" w:hAnsi="Palatino Linotype"/>
        </w:rPr>
        <w:t>el</w:t>
      </w:r>
      <w:r w:rsidRPr="00C37FD9">
        <w:rPr>
          <w:rFonts w:ascii="Palatino Linotype" w:hAnsi="Palatino Linotype"/>
        </w:rPr>
        <w:t xml:space="preserve"> </w:t>
      </w:r>
      <w:r w:rsidRPr="00C37FD9">
        <w:rPr>
          <w:rFonts w:ascii="Palatino Linotype" w:hAnsi="Palatino Linotype"/>
          <w:b/>
        </w:rPr>
        <w:t>C.</w:t>
      </w:r>
      <w:r w:rsidRPr="00C37FD9">
        <w:rPr>
          <w:rFonts w:ascii="Palatino Linotype" w:hAnsi="Palatino Linotype"/>
        </w:rPr>
        <w:t xml:space="preserve"> </w:t>
      </w:r>
      <w:r w:rsidR="0060591E">
        <w:rPr>
          <w:rFonts w:ascii="Palatino Linotype" w:hAnsi="Palatino Linotype"/>
        </w:rPr>
        <w:t>XXXXX XXXXXX XXXXXXXX</w:t>
      </w:r>
      <w:r w:rsidRPr="00C37FD9">
        <w:rPr>
          <w:rFonts w:ascii="Palatino Linotype" w:hAnsi="Palatino Linotype"/>
        </w:rPr>
        <w:t xml:space="preserve">, en lo sucesivo </w:t>
      </w:r>
      <w:r>
        <w:rPr>
          <w:rFonts w:ascii="Palatino Linotype" w:hAnsi="Palatino Linotype"/>
          <w:b/>
        </w:rPr>
        <w:t>EL</w:t>
      </w:r>
      <w:r w:rsidRPr="00C37FD9">
        <w:rPr>
          <w:rFonts w:ascii="Palatino Linotype" w:hAnsi="Palatino Linotype"/>
          <w:b/>
        </w:rPr>
        <w:t xml:space="preserve"> RECURRENTE,</w:t>
      </w:r>
      <w:r w:rsidRPr="00C37FD9">
        <w:rPr>
          <w:rFonts w:ascii="Palatino Linotype" w:hAnsi="Palatino Linotype"/>
        </w:rPr>
        <w:t xml:space="preserve"> en contra de la respuesta emitida por el</w:t>
      </w:r>
      <w:r w:rsidRPr="00C37FD9">
        <w:rPr>
          <w:rFonts w:ascii="Palatino Linotype" w:hAnsi="Palatino Linotype"/>
          <w:b/>
        </w:rPr>
        <w:t xml:space="preserve"> </w:t>
      </w:r>
      <w:r>
        <w:rPr>
          <w:rFonts w:ascii="Palatino Linotype" w:hAnsi="Palatino Linotype"/>
          <w:b/>
        </w:rPr>
        <w:t>Instituto de Seguridad Social del Estado de México y Municipios,</w:t>
      </w:r>
      <w:r w:rsidRPr="00C37FD9">
        <w:rPr>
          <w:rFonts w:ascii="Palatino Linotype" w:hAnsi="Palatino Linotype"/>
        </w:rPr>
        <w:t xml:space="preserve"> en lo sucesivo </w:t>
      </w:r>
      <w:r w:rsidRPr="00C37FD9">
        <w:rPr>
          <w:rFonts w:ascii="Palatino Linotype" w:hAnsi="Palatino Linotype"/>
          <w:b/>
        </w:rPr>
        <w:t>EL SUJETO OBLIGADO</w:t>
      </w:r>
      <w:r w:rsidRPr="00C37FD9">
        <w:rPr>
          <w:rFonts w:ascii="Palatino Linotype" w:hAnsi="Palatino Linotype"/>
        </w:rPr>
        <w:t xml:space="preserve">, se procede a dictar la presente resolución con base en lo </w:t>
      </w:r>
      <w:r>
        <w:rPr>
          <w:rFonts w:ascii="Palatino Linotype" w:hAnsi="Palatino Linotype"/>
        </w:rPr>
        <w:t>siguiente:</w:t>
      </w:r>
    </w:p>
    <w:p w:rsidR="00EB6EA4" w:rsidRPr="00C37FD9" w:rsidRDefault="00EB6EA4" w:rsidP="00EB6EA4">
      <w:pPr>
        <w:spacing w:before="100" w:beforeAutospacing="1" w:after="100" w:afterAutospacing="1" w:line="360" w:lineRule="auto"/>
        <w:jc w:val="center"/>
        <w:rPr>
          <w:rFonts w:ascii="Palatino Linotype" w:hAnsi="Palatino Linotype"/>
          <w:b/>
          <w:bCs/>
          <w:spacing w:val="60"/>
          <w:sz w:val="28"/>
        </w:rPr>
      </w:pPr>
      <w:r w:rsidRPr="00C37FD9">
        <w:rPr>
          <w:rFonts w:ascii="Palatino Linotype" w:hAnsi="Palatino Linotype"/>
          <w:b/>
          <w:bCs/>
          <w:spacing w:val="60"/>
          <w:sz w:val="28"/>
        </w:rPr>
        <w:t>RESULTANDO</w:t>
      </w:r>
    </w:p>
    <w:p w:rsidR="00EB6EA4" w:rsidRPr="00FD29D5" w:rsidRDefault="00EB6EA4" w:rsidP="00EB6EA4">
      <w:pPr>
        <w:pStyle w:val="Prrafodelista"/>
        <w:spacing w:before="100" w:beforeAutospacing="1" w:after="100" w:afterAutospacing="1" w:line="360" w:lineRule="auto"/>
        <w:ind w:left="0"/>
        <w:jc w:val="both"/>
        <w:rPr>
          <w:rFonts w:ascii="Palatino Linotype" w:hAnsi="Palatino Linotype" w:cs="Arial"/>
        </w:rPr>
      </w:pPr>
      <w:r w:rsidRPr="006954BC">
        <w:rPr>
          <w:rFonts w:ascii="Palatino Linotype" w:hAnsi="Palatino Linotype"/>
          <w:b/>
          <w:sz w:val="28"/>
          <w:szCs w:val="28"/>
        </w:rPr>
        <w:t>I.</w:t>
      </w:r>
      <w:r>
        <w:rPr>
          <w:rFonts w:ascii="Palatino Linotype" w:hAnsi="Palatino Linotype"/>
        </w:rPr>
        <w:t xml:space="preserve"> </w:t>
      </w:r>
      <w:r w:rsidRPr="00FD29D5">
        <w:rPr>
          <w:rFonts w:ascii="Palatino Linotype" w:hAnsi="Palatino Linotype"/>
        </w:rPr>
        <w:t>En fecha</w:t>
      </w:r>
      <w:r>
        <w:rPr>
          <w:rFonts w:ascii="Palatino Linotype" w:hAnsi="Palatino Linotype"/>
        </w:rPr>
        <w:t xml:space="preserve"> veinte de junio de dos mil diecinueve</w:t>
      </w:r>
      <w:r w:rsidRPr="00FD29D5">
        <w:rPr>
          <w:rFonts w:ascii="Palatino Linotype" w:hAnsi="Palatino Linotype"/>
        </w:rPr>
        <w:t xml:space="preserve">, </w:t>
      </w:r>
      <w:r>
        <w:rPr>
          <w:rFonts w:ascii="Palatino Linotype" w:hAnsi="Palatino Linotype"/>
          <w:b/>
        </w:rPr>
        <w:t>EL</w:t>
      </w:r>
      <w:r w:rsidRPr="00FD29D5">
        <w:rPr>
          <w:rFonts w:ascii="Palatino Linotype" w:hAnsi="Palatino Linotype"/>
          <w:b/>
        </w:rPr>
        <w:t xml:space="preserve"> RECURRENTE</w:t>
      </w:r>
      <w:r w:rsidRPr="00FD29D5">
        <w:rPr>
          <w:rFonts w:ascii="Palatino Linotype" w:hAnsi="Palatino Linotype"/>
        </w:rPr>
        <w:t xml:space="preserve"> presentó a través del Sistema de </w:t>
      </w:r>
      <w:r w:rsidRPr="00FD29D5">
        <w:rPr>
          <w:rFonts w:ascii="Palatino Linotype" w:hAnsi="Palatino Linotype" w:cs="Arial"/>
        </w:rPr>
        <w:t>Acceso</w:t>
      </w:r>
      <w:r w:rsidRPr="00FD29D5">
        <w:rPr>
          <w:rFonts w:ascii="Palatino Linotype" w:hAnsi="Palatino Linotype"/>
        </w:rPr>
        <w:t xml:space="preserve"> a la Información Mexiquense, en lo subsecuente </w:t>
      </w:r>
      <w:r w:rsidRPr="00FD29D5">
        <w:rPr>
          <w:rFonts w:ascii="Palatino Linotype" w:hAnsi="Palatino Linotype"/>
          <w:b/>
        </w:rPr>
        <w:t>EL SAIMEX</w:t>
      </w:r>
      <w:r w:rsidRPr="00FD29D5">
        <w:rPr>
          <w:rFonts w:ascii="Palatino Linotype" w:hAnsi="Palatino Linotype"/>
        </w:rPr>
        <w:t xml:space="preserve">, ante </w:t>
      </w:r>
      <w:r w:rsidRPr="00FD29D5">
        <w:rPr>
          <w:rFonts w:ascii="Palatino Linotype" w:hAnsi="Palatino Linotype"/>
          <w:b/>
        </w:rPr>
        <w:t>EL SUJETO OBLIGADO</w:t>
      </w:r>
      <w:r w:rsidRPr="00FD29D5">
        <w:rPr>
          <w:rFonts w:ascii="Palatino Linotype" w:hAnsi="Palatino Linotype"/>
        </w:rPr>
        <w:t xml:space="preserve">, la solicitud de acceso a información pública, a la que se le asignó el número </w:t>
      </w:r>
      <w:r>
        <w:rPr>
          <w:rFonts w:ascii="Palatino Linotype" w:hAnsi="Palatino Linotype"/>
          <w:b/>
          <w:bCs/>
        </w:rPr>
        <w:t>00445/ISSEMYM/IP</w:t>
      </w:r>
      <w:r w:rsidRPr="00FD29D5">
        <w:rPr>
          <w:rFonts w:ascii="Palatino Linotype" w:hAnsi="Palatino Linotype"/>
          <w:b/>
          <w:bCs/>
        </w:rPr>
        <w:t>/2019,</w:t>
      </w:r>
      <w:r w:rsidRPr="00FD29D5">
        <w:rPr>
          <w:rFonts w:ascii="Palatino Linotype" w:hAnsi="Palatino Linotype"/>
        </w:rPr>
        <w:t xml:space="preserve"> mediante la cual solicitó, lo </w:t>
      </w:r>
      <w:r>
        <w:rPr>
          <w:rFonts w:ascii="Palatino Linotype" w:hAnsi="Palatino Linotype"/>
        </w:rPr>
        <w:t>que a continuación se transcribe:</w:t>
      </w:r>
    </w:p>
    <w:p w:rsidR="00EB6EA4" w:rsidRPr="00EB6EA4" w:rsidRDefault="00EB6EA4" w:rsidP="00EB6EA4">
      <w:pPr>
        <w:pStyle w:val="Prrafodelista"/>
        <w:ind w:left="709" w:right="760"/>
        <w:jc w:val="both"/>
        <w:rPr>
          <w:rFonts w:ascii="Palatino Linotype" w:hAnsi="Palatino Linotype"/>
          <w:i/>
          <w:sz w:val="22"/>
        </w:rPr>
      </w:pPr>
      <w:r w:rsidRPr="00FD29D5">
        <w:rPr>
          <w:rFonts w:ascii="Palatino Linotype" w:hAnsi="Palatino Linotype"/>
          <w:i/>
          <w:sz w:val="22"/>
        </w:rPr>
        <w:t>“</w:t>
      </w:r>
      <w:r w:rsidRPr="00EB6EA4">
        <w:rPr>
          <w:rFonts w:ascii="Palatino Linotype" w:hAnsi="Palatino Linotype"/>
          <w:i/>
          <w:sz w:val="22"/>
        </w:rPr>
        <w:t xml:space="preserve">solicito mi aviso de movimiento de baja de la plataforma prisma </w:t>
      </w:r>
      <w:proofErr w:type="spellStart"/>
      <w:r w:rsidRPr="00EB6EA4">
        <w:rPr>
          <w:rFonts w:ascii="Palatino Linotype" w:hAnsi="Palatino Linotype"/>
          <w:i/>
          <w:sz w:val="22"/>
        </w:rPr>
        <w:t>issemym</w:t>
      </w:r>
      <w:proofErr w:type="spellEnd"/>
      <w:r w:rsidRPr="00EB6EA4">
        <w:rPr>
          <w:rFonts w:ascii="Palatino Linotype" w:hAnsi="Palatino Linotype"/>
          <w:i/>
          <w:sz w:val="22"/>
        </w:rPr>
        <w:t xml:space="preserve"> el cual </w:t>
      </w:r>
      <w:proofErr w:type="spellStart"/>
      <w:r w:rsidRPr="00EB6EA4">
        <w:rPr>
          <w:rFonts w:ascii="Palatino Linotype" w:hAnsi="Palatino Linotype"/>
          <w:i/>
          <w:sz w:val="22"/>
        </w:rPr>
        <w:t>esta</w:t>
      </w:r>
      <w:proofErr w:type="spellEnd"/>
      <w:r w:rsidRPr="00EB6EA4">
        <w:rPr>
          <w:rFonts w:ascii="Palatino Linotype" w:hAnsi="Palatino Linotype"/>
          <w:i/>
          <w:sz w:val="22"/>
        </w:rPr>
        <w:t xml:space="preserve"> en el mes de Enero 2019 en formato </w:t>
      </w:r>
      <w:proofErr w:type="spellStart"/>
      <w:r w:rsidRPr="00EB6EA4">
        <w:rPr>
          <w:rFonts w:ascii="Palatino Linotype" w:hAnsi="Palatino Linotype"/>
          <w:i/>
          <w:sz w:val="22"/>
        </w:rPr>
        <w:t>pdf</w:t>
      </w:r>
      <w:proofErr w:type="spellEnd"/>
      <w:r w:rsidRPr="00EB6EA4">
        <w:rPr>
          <w:rFonts w:ascii="Palatino Linotype" w:hAnsi="Palatino Linotype"/>
          <w:i/>
          <w:sz w:val="22"/>
        </w:rPr>
        <w:t xml:space="preserve"> abierto.”. (Sic)</w:t>
      </w:r>
    </w:p>
    <w:p w:rsidR="009C2C11" w:rsidRDefault="00EB6EA4" w:rsidP="00EB6EA4">
      <w:pPr>
        <w:spacing w:before="100" w:beforeAutospacing="1" w:after="100" w:afterAutospacing="1" w:line="360" w:lineRule="auto"/>
        <w:ind w:right="49"/>
        <w:jc w:val="both"/>
        <w:rPr>
          <w:rFonts w:ascii="Palatino Linotype" w:hAnsi="Palatino Linotype"/>
        </w:rPr>
      </w:pPr>
      <w:r w:rsidRPr="005067A7">
        <w:rPr>
          <w:rFonts w:ascii="Palatino Linotype" w:hAnsi="Palatino Linotype"/>
        </w:rPr>
        <w:t xml:space="preserve">Adjuntando el archivo electrónico denominado </w:t>
      </w:r>
      <w:hyperlink r:id="rId8" w:tgtFrame="_blank" w:history="1">
        <w:r w:rsidRPr="00EB6EA4">
          <w:rPr>
            <w:rFonts w:ascii="Palatino Linotype" w:hAnsi="Palatino Linotype"/>
            <w:b/>
          </w:rPr>
          <w:t>IMG_E2806.JPG</w:t>
        </w:r>
      </w:hyperlink>
      <w:r>
        <w:rPr>
          <w:rFonts w:ascii="Palatino Linotype" w:hAnsi="Palatino Linotype"/>
          <w:b/>
        </w:rPr>
        <w:t xml:space="preserve">, </w:t>
      </w:r>
      <w:r>
        <w:rPr>
          <w:rFonts w:ascii="Palatino Linotype" w:hAnsi="Palatino Linotype"/>
        </w:rPr>
        <w:t>el cual contiene</w:t>
      </w:r>
      <w:r w:rsidR="009C2C11">
        <w:rPr>
          <w:rFonts w:ascii="Palatino Linotype" w:hAnsi="Palatino Linotype"/>
        </w:rPr>
        <w:t xml:space="preserve"> el anverso de la credencial de elector del particular, expedida por el Instituto Federal Electoral y en la que se advierte fueron suprimidos datos personales como el domicilio y la firma del solicitante.</w:t>
      </w:r>
    </w:p>
    <w:p w:rsidR="00EB6EA4" w:rsidRPr="005067A7" w:rsidRDefault="00EB6EA4" w:rsidP="00EB6EA4">
      <w:pPr>
        <w:spacing w:before="100" w:beforeAutospacing="1" w:after="100" w:afterAutospacing="1" w:line="360" w:lineRule="auto"/>
        <w:ind w:right="49"/>
        <w:jc w:val="both"/>
        <w:rPr>
          <w:rFonts w:ascii="Palatino Linotype" w:hAnsi="Palatino Linotype"/>
        </w:rPr>
      </w:pPr>
      <w:r w:rsidRPr="00356655">
        <w:rPr>
          <w:rFonts w:ascii="Palatino Linotype" w:hAnsi="Palatino Linotype"/>
          <w:b/>
        </w:rPr>
        <w:t>Modalidad de entrega:</w:t>
      </w:r>
      <w:r>
        <w:rPr>
          <w:rFonts w:ascii="Palatino Linotype" w:hAnsi="Palatino Linotype"/>
        </w:rPr>
        <w:t xml:space="preserve"> Vía </w:t>
      </w:r>
      <w:r w:rsidRPr="00356655">
        <w:rPr>
          <w:rFonts w:ascii="Palatino Linotype" w:hAnsi="Palatino Linotype"/>
          <w:b/>
        </w:rPr>
        <w:t>SAIMEX</w:t>
      </w:r>
    </w:p>
    <w:p w:rsidR="00EB6EA4" w:rsidRDefault="00EB6EA4" w:rsidP="00EB6EA4">
      <w:pPr>
        <w:pStyle w:val="Prrafodelista"/>
        <w:spacing w:before="100" w:beforeAutospacing="1" w:after="100" w:afterAutospacing="1" w:line="360" w:lineRule="auto"/>
        <w:ind w:left="0"/>
        <w:jc w:val="both"/>
        <w:rPr>
          <w:rFonts w:ascii="Palatino Linotype" w:hAnsi="Palatino Linotype" w:cs="Arial"/>
        </w:rPr>
      </w:pPr>
      <w:r w:rsidRPr="006954BC">
        <w:rPr>
          <w:rFonts w:ascii="Palatino Linotype" w:hAnsi="Palatino Linotype" w:cs="Arial"/>
          <w:b/>
          <w:sz w:val="28"/>
          <w:szCs w:val="28"/>
        </w:rPr>
        <w:lastRenderedPageBreak/>
        <w:t>II.</w:t>
      </w:r>
      <w:r>
        <w:rPr>
          <w:rFonts w:ascii="Palatino Linotype" w:hAnsi="Palatino Linotype" w:cs="Arial"/>
        </w:rPr>
        <w:t xml:space="preserve"> </w:t>
      </w:r>
      <w:r w:rsidRPr="00DB3D8A">
        <w:rPr>
          <w:rFonts w:ascii="Palatino Linotype" w:hAnsi="Palatino Linotype" w:cs="Arial"/>
        </w:rPr>
        <w:t xml:space="preserve">De las constancias que obran en el expediente electrónico del </w:t>
      </w:r>
      <w:r w:rsidRPr="00AA45BA">
        <w:rPr>
          <w:rFonts w:ascii="Palatino Linotype" w:hAnsi="Palatino Linotype" w:cs="Arial"/>
          <w:b/>
        </w:rPr>
        <w:t>SAIMEX,</w:t>
      </w:r>
      <w:r>
        <w:rPr>
          <w:rFonts w:ascii="Palatino Linotype" w:hAnsi="Palatino Linotype" w:cs="Arial"/>
        </w:rPr>
        <w:t xml:space="preserve"> en fecha veintiuno de </w:t>
      </w:r>
      <w:r w:rsidR="009C2C11">
        <w:rPr>
          <w:rFonts w:ascii="Palatino Linotype" w:hAnsi="Palatino Linotype" w:cs="Arial"/>
        </w:rPr>
        <w:t xml:space="preserve">junio de </w:t>
      </w:r>
      <w:r>
        <w:rPr>
          <w:rFonts w:ascii="Palatino Linotype" w:hAnsi="Palatino Linotype" w:cs="Arial"/>
        </w:rPr>
        <w:t>dos mil diecinueve, la</w:t>
      </w:r>
      <w:r w:rsidRPr="00DB3D8A">
        <w:rPr>
          <w:rFonts w:ascii="Palatino Linotype" w:hAnsi="Palatino Linotype" w:cs="Arial"/>
        </w:rPr>
        <w:t xml:space="preserve"> Titular de la Unidad de Transparencia del </w:t>
      </w:r>
      <w:r w:rsidRPr="00AA45BA">
        <w:rPr>
          <w:rFonts w:ascii="Palatino Linotype" w:hAnsi="Palatino Linotype" w:cs="Arial"/>
          <w:b/>
        </w:rPr>
        <w:t>SUJETO OBLIGADO,</w:t>
      </w:r>
      <w:r w:rsidRPr="00DB3D8A">
        <w:rPr>
          <w:rFonts w:ascii="Palatino Linotype" w:hAnsi="Palatino Linotype" w:cs="Arial"/>
        </w:rPr>
        <w:t xml:space="preserve"> </w:t>
      </w:r>
      <w:r>
        <w:rPr>
          <w:rFonts w:ascii="Palatino Linotype" w:hAnsi="Palatino Linotype" w:cs="Arial"/>
        </w:rPr>
        <w:t xml:space="preserve">turnó la solicitud de información </w:t>
      </w:r>
      <w:r w:rsidRPr="00DB3D8A">
        <w:rPr>
          <w:rFonts w:ascii="Palatino Linotype" w:hAnsi="Palatino Linotype" w:cs="Arial"/>
        </w:rPr>
        <w:t>a</w:t>
      </w:r>
      <w:r>
        <w:rPr>
          <w:rFonts w:ascii="Palatino Linotype" w:hAnsi="Palatino Linotype" w:cs="Arial"/>
        </w:rPr>
        <w:t xml:space="preserve">l </w:t>
      </w:r>
      <w:r w:rsidRPr="00DB3D8A">
        <w:rPr>
          <w:rFonts w:ascii="Palatino Linotype" w:hAnsi="Palatino Linotype" w:cs="Arial"/>
        </w:rPr>
        <w:t>S</w:t>
      </w:r>
      <w:r>
        <w:rPr>
          <w:rFonts w:ascii="Palatino Linotype" w:hAnsi="Palatino Linotype" w:cs="Arial"/>
        </w:rPr>
        <w:t>ervidor Público</w:t>
      </w:r>
      <w:r w:rsidRPr="00DB3D8A">
        <w:rPr>
          <w:rFonts w:ascii="Palatino Linotype" w:hAnsi="Palatino Linotype" w:cs="Arial"/>
        </w:rPr>
        <w:t xml:space="preserve"> Habilitado que estimó pertinente, a fin de colmar </w:t>
      </w:r>
      <w:r>
        <w:rPr>
          <w:rFonts w:ascii="Palatino Linotype" w:hAnsi="Palatino Linotype" w:cs="Arial"/>
        </w:rPr>
        <w:t xml:space="preserve">el derecho de </w:t>
      </w:r>
      <w:r w:rsidRPr="00DB3D8A">
        <w:rPr>
          <w:rFonts w:ascii="Palatino Linotype" w:hAnsi="Palatino Linotype" w:cs="Arial"/>
        </w:rPr>
        <w:t>acceso a la información</w:t>
      </w:r>
      <w:r>
        <w:rPr>
          <w:rFonts w:ascii="Palatino Linotype" w:hAnsi="Palatino Linotype" w:cs="Arial"/>
        </w:rPr>
        <w:t xml:space="preserve"> del particular</w:t>
      </w:r>
      <w:r w:rsidRPr="00DB3D8A">
        <w:rPr>
          <w:rFonts w:ascii="Palatino Linotype" w:hAnsi="Palatino Linotype" w:cs="Arial"/>
        </w:rPr>
        <w:t>; tal y como, se aprecia en la imagen siguiente:</w:t>
      </w:r>
    </w:p>
    <w:p w:rsidR="00EB6EA4" w:rsidRPr="00DB3D8A" w:rsidRDefault="009C2C11" w:rsidP="00EB6EA4">
      <w:pPr>
        <w:pStyle w:val="Prrafodelista"/>
        <w:spacing w:before="100" w:beforeAutospacing="1" w:after="100" w:afterAutospacing="1" w:line="360" w:lineRule="auto"/>
        <w:ind w:left="0"/>
        <w:jc w:val="center"/>
        <w:rPr>
          <w:rFonts w:ascii="Palatino Linotype" w:hAnsi="Palatino Linotype" w:cs="Arial"/>
        </w:rPr>
      </w:pPr>
      <w:r>
        <w:rPr>
          <w:noProof/>
          <w:lang w:eastAsia="es-MX"/>
        </w:rPr>
        <w:drawing>
          <wp:inline distT="0" distB="0" distL="0" distR="0" wp14:anchorId="3E51A5A8" wp14:editId="03C14832">
            <wp:extent cx="5099469" cy="421269"/>
            <wp:effectExtent l="0" t="0" r="635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691" t="37730" r="8247" b="49338"/>
                    <a:stretch/>
                  </pic:blipFill>
                  <pic:spPr bwMode="auto">
                    <a:xfrm>
                      <a:off x="0" y="0"/>
                      <a:ext cx="5100411" cy="421347"/>
                    </a:xfrm>
                    <a:prstGeom prst="rect">
                      <a:avLst/>
                    </a:prstGeom>
                    <a:ln>
                      <a:noFill/>
                    </a:ln>
                    <a:extLst>
                      <a:ext uri="{53640926-AAD7-44D8-BBD7-CCE9431645EC}">
                        <a14:shadowObscured xmlns:a14="http://schemas.microsoft.com/office/drawing/2010/main"/>
                      </a:ext>
                    </a:extLst>
                  </pic:spPr>
                </pic:pic>
              </a:graphicData>
            </a:graphic>
          </wp:inline>
        </w:drawing>
      </w:r>
    </w:p>
    <w:p w:rsidR="00EB6EA4" w:rsidRPr="00975208" w:rsidRDefault="00EB6EA4" w:rsidP="00EB6EA4">
      <w:pPr>
        <w:pStyle w:val="Prrafodelista"/>
        <w:spacing w:before="100" w:beforeAutospacing="1" w:after="100" w:afterAutospacing="1" w:line="360" w:lineRule="auto"/>
        <w:ind w:left="0"/>
        <w:jc w:val="both"/>
        <w:rPr>
          <w:rFonts w:ascii="Palatino Linotype" w:hAnsi="Palatino Linotype" w:cs="Arial"/>
        </w:rPr>
      </w:pPr>
      <w:r w:rsidRPr="006954BC">
        <w:rPr>
          <w:rFonts w:ascii="Palatino Linotype" w:hAnsi="Palatino Linotype" w:cs="Arial"/>
          <w:b/>
          <w:sz w:val="28"/>
          <w:szCs w:val="28"/>
        </w:rPr>
        <w:t>III.</w:t>
      </w:r>
      <w:r>
        <w:rPr>
          <w:rFonts w:ascii="Palatino Linotype" w:hAnsi="Palatino Linotype" w:cs="Arial"/>
        </w:rPr>
        <w:t xml:space="preserve"> </w:t>
      </w:r>
      <w:r w:rsidRPr="00975208">
        <w:rPr>
          <w:rFonts w:ascii="Palatino Linotype" w:hAnsi="Palatino Linotype" w:cs="Arial"/>
        </w:rPr>
        <w:t xml:space="preserve">De las constancias que obran en el expediente electrónico, se puede verificar </w:t>
      </w:r>
      <w:r w:rsidRPr="00975208">
        <w:rPr>
          <w:rFonts w:ascii="Palatino Linotype" w:hAnsi="Palatino Linotype"/>
        </w:rPr>
        <w:t>que</w:t>
      </w:r>
      <w:r w:rsidRPr="00975208">
        <w:rPr>
          <w:rFonts w:ascii="Palatino Linotype" w:hAnsi="Palatino Linotype" w:cs="Arial"/>
        </w:rPr>
        <w:t xml:space="preserve"> en fecha </w:t>
      </w:r>
      <w:r w:rsidR="00505A97">
        <w:rPr>
          <w:rFonts w:ascii="Palatino Linotype" w:hAnsi="Palatino Linotype" w:cs="Arial"/>
        </w:rPr>
        <w:t>tres de julio de d</w:t>
      </w:r>
      <w:r w:rsidRPr="00975208">
        <w:rPr>
          <w:rFonts w:ascii="Palatino Linotype" w:hAnsi="Palatino Linotype" w:cs="Arial"/>
        </w:rPr>
        <w:t>os mil diecinueve</w:t>
      </w:r>
      <w:r w:rsidRPr="00975208">
        <w:rPr>
          <w:rFonts w:ascii="Palatino Linotype" w:hAnsi="Palatino Linotype"/>
        </w:rPr>
        <w:t>,</w:t>
      </w:r>
      <w:r w:rsidRPr="00975208">
        <w:rPr>
          <w:rFonts w:ascii="Palatino Linotype" w:hAnsi="Palatino Linotype" w:cs="Arial"/>
        </w:rPr>
        <w:t xml:space="preserve"> </w:t>
      </w:r>
      <w:r w:rsidRPr="00975208">
        <w:rPr>
          <w:rFonts w:ascii="Palatino Linotype" w:hAnsi="Palatino Linotype" w:cs="Arial"/>
          <w:b/>
        </w:rPr>
        <w:t>EL SUJETO OBLIGADO</w:t>
      </w:r>
      <w:r>
        <w:rPr>
          <w:rFonts w:ascii="Palatino Linotype" w:hAnsi="Palatino Linotype" w:cs="Arial"/>
        </w:rPr>
        <w:t xml:space="preserve"> dio respuesta </w:t>
      </w:r>
      <w:r w:rsidRPr="00975208">
        <w:rPr>
          <w:rFonts w:ascii="Palatino Linotype" w:hAnsi="Palatino Linotype" w:cs="Arial"/>
        </w:rPr>
        <w:t xml:space="preserve">a la solicitud de acceso a la información pública requerida por </w:t>
      </w:r>
      <w:r>
        <w:rPr>
          <w:rFonts w:ascii="Palatino Linotype" w:hAnsi="Palatino Linotype" w:cs="Arial"/>
          <w:b/>
        </w:rPr>
        <w:t xml:space="preserve">EL </w:t>
      </w:r>
      <w:r w:rsidRPr="00975208">
        <w:rPr>
          <w:rFonts w:ascii="Palatino Linotype" w:hAnsi="Palatino Linotype" w:cs="Arial"/>
          <w:b/>
        </w:rPr>
        <w:t>RECURRENTE</w:t>
      </w:r>
      <w:r w:rsidRPr="00975208">
        <w:rPr>
          <w:rFonts w:ascii="Palatino Linotype" w:hAnsi="Palatino Linotype" w:cs="Arial"/>
        </w:rPr>
        <w:t xml:space="preserve">, en </w:t>
      </w:r>
      <w:r>
        <w:rPr>
          <w:rFonts w:ascii="Palatino Linotype" w:hAnsi="Palatino Linotype" w:cs="Arial"/>
        </w:rPr>
        <w:t>los términos que enseguida se insertan</w:t>
      </w:r>
      <w:r w:rsidRPr="00975208">
        <w:rPr>
          <w:rFonts w:ascii="Palatino Linotype" w:hAnsi="Palatino Linotype" w:cs="Arial"/>
        </w:rPr>
        <w:t>:</w:t>
      </w:r>
    </w:p>
    <w:p w:rsidR="00505A97" w:rsidRDefault="00505A97" w:rsidP="00505A97">
      <w:pPr>
        <w:pStyle w:val="Prrafodelista"/>
        <w:spacing w:before="100" w:beforeAutospacing="1" w:after="100" w:afterAutospacing="1" w:line="360" w:lineRule="auto"/>
        <w:ind w:left="0"/>
        <w:jc w:val="center"/>
        <w:rPr>
          <w:rFonts w:ascii="Palatino Linotype" w:hAnsi="Palatino Linotype"/>
          <w:b/>
          <w:sz w:val="28"/>
          <w:szCs w:val="28"/>
        </w:rPr>
      </w:pPr>
      <w:r>
        <w:rPr>
          <w:noProof/>
          <w:lang w:eastAsia="es-MX"/>
        </w:rPr>
        <w:drawing>
          <wp:inline distT="0" distB="0" distL="0" distR="0" wp14:anchorId="4609CE0A" wp14:editId="19C760ED">
            <wp:extent cx="4824388" cy="3663538"/>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8969" t="8930" r="17986" b="5965"/>
                    <a:stretch/>
                  </pic:blipFill>
                  <pic:spPr bwMode="auto">
                    <a:xfrm>
                      <a:off x="0" y="0"/>
                      <a:ext cx="4831268" cy="3668762"/>
                    </a:xfrm>
                    <a:prstGeom prst="rect">
                      <a:avLst/>
                    </a:prstGeom>
                    <a:ln>
                      <a:noFill/>
                    </a:ln>
                    <a:extLst>
                      <a:ext uri="{53640926-AAD7-44D8-BBD7-CCE9431645EC}">
                        <a14:shadowObscured xmlns:a14="http://schemas.microsoft.com/office/drawing/2010/main"/>
                      </a:ext>
                    </a:extLst>
                  </pic:spPr>
                </pic:pic>
              </a:graphicData>
            </a:graphic>
          </wp:inline>
        </w:drawing>
      </w:r>
    </w:p>
    <w:p w:rsidR="00EF12E1" w:rsidRDefault="00EF12E1" w:rsidP="00505A97">
      <w:pPr>
        <w:pStyle w:val="Prrafodelista"/>
        <w:spacing w:before="100" w:beforeAutospacing="1" w:after="100" w:afterAutospacing="1" w:line="360" w:lineRule="auto"/>
        <w:ind w:left="0"/>
        <w:jc w:val="center"/>
        <w:rPr>
          <w:rFonts w:ascii="Palatino Linotype" w:hAnsi="Palatino Linotype"/>
          <w:b/>
          <w:sz w:val="28"/>
          <w:szCs w:val="28"/>
        </w:rPr>
      </w:pPr>
      <w:r>
        <w:rPr>
          <w:noProof/>
          <w:lang w:eastAsia="es-MX"/>
        </w:rPr>
        <w:lastRenderedPageBreak/>
        <w:drawing>
          <wp:inline distT="0" distB="0" distL="0" distR="0" wp14:anchorId="5C4C8700" wp14:editId="1797952B">
            <wp:extent cx="5262457" cy="437012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3172" t="16768" r="24239" b="5600"/>
                    <a:stretch/>
                  </pic:blipFill>
                  <pic:spPr bwMode="auto">
                    <a:xfrm>
                      <a:off x="0" y="0"/>
                      <a:ext cx="5281187" cy="4385674"/>
                    </a:xfrm>
                    <a:prstGeom prst="rect">
                      <a:avLst/>
                    </a:prstGeom>
                    <a:ln>
                      <a:noFill/>
                    </a:ln>
                    <a:extLst>
                      <a:ext uri="{53640926-AAD7-44D8-BBD7-CCE9431645EC}">
                        <a14:shadowObscured xmlns:a14="http://schemas.microsoft.com/office/drawing/2010/main"/>
                      </a:ext>
                    </a:extLst>
                  </pic:spPr>
                </pic:pic>
              </a:graphicData>
            </a:graphic>
          </wp:inline>
        </w:drawing>
      </w:r>
    </w:p>
    <w:p w:rsidR="00EB6EA4" w:rsidRPr="00C37FD9" w:rsidRDefault="00EB6EA4" w:rsidP="00EB6EA4">
      <w:pPr>
        <w:pStyle w:val="Prrafodelista"/>
        <w:spacing w:before="100" w:beforeAutospacing="1" w:after="100" w:afterAutospacing="1" w:line="360" w:lineRule="auto"/>
        <w:ind w:left="0"/>
        <w:jc w:val="both"/>
        <w:rPr>
          <w:rFonts w:ascii="Palatino Linotype" w:hAnsi="Palatino Linotype" w:cs="Arial"/>
        </w:rPr>
      </w:pPr>
      <w:r w:rsidRPr="006954BC">
        <w:rPr>
          <w:rFonts w:ascii="Palatino Linotype" w:hAnsi="Palatino Linotype"/>
          <w:b/>
          <w:sz w:val="28"/>
          <w:szCs w:val="28"/>
        </w:rPr>
        <w:t>IV.</w:t>
      </w:r>
      <w:r>
        <w:rPr>
          <w:rFonts w:ascii="Palatino Linotype" w:hAnsi="Palatino Linotype"/>
        </w:rPr>
        <w:t xml:space="preserve"> Inconforme con la respuesta del </w:t>
      </w:r>
      <w:r w:rsidRPr="00C37FD9">
        <w:rPr>
          <w:rFonts w:ascii="Palatino Linotype" w:hAnsi="Palatino Linotype"/>
          <w:b/>
        </w:rPr>
        <w:t>SUJETO OBLIGADO</w:t>
      </w:r>
      <w:r w:rsidRPr="00C37FD9">
        <w:rPr>
          <w:rFonts w:ascii="Palatino Linotype" w:hAnsi="Palatino Linotype"/>
        </w:rPr>
        <w:t xml:space="preserve">, el </w:t>
      </w:r>
      <w:r w:rsidR="00EF12E1">
        <w:rPr>
          <w:rFonts w:ascii="Palatino Linotype" w:hAnsi="Palatino Linotype"/>
        </w:rPr>
        <w:t xml:space="preserve">seis de agosto </w:t>
      </w:r>
      <w:r>
        <w:rPr>
          <w:rFonts w:ascii="Palatino Linotype" w:hAnsi="Palatino Linotype"/>
        </w:rPr>
        <w:t>de dos mil diecinueve</w:t>
      </w:r>
      <w:r w:rsidRPr="00C37FD9">
        <w:rPr>
          <w:rFonts w:ascii="Palatino Linotype" w:hAnsi="Palatino Linotype"/>
        </w:rPr>
        <w:t xml:space="preserve">, </w:t>
      </w:r>
      <w:r>
        <w:rPr>
          <w:rFonts w:ascii="Palatino Linotype" w:hAnsi="Palatino Linotype"/>
          <w:b/>
        </w:rPr>
        <w:t xml:space="preserve">EL </w:t>
      </w:r>
      <w:r w:rsidRPr="00C37FD9">
        <w:rPr>
          <w:rFonts w:ascii="Palatino Linotype" w:hAnsi="Palatino Linotype"/>
          <w:b/>
        </w:rPr>
        <w:t>RECURRENTE</w:t>
      </w:r>
      <w:r w:rsidRPr="00C37FD9">
        <w:rPr>
          <w:rFonts w:ascii="Palatino Linotype" w:hAnsi="Palatino Linotype"/>
        </w:rPr>
        <w:t xml:space="preserve"> interpuso el recurso de revisión objeto del presente estudio, el cual fue registrado en </w:t>
      </w:r>
      <w:r w:rsidRPr="00C37FD9">
        <w:rPr>
          <w:rFonts w:ascii="Palatino Linotype" w:hAnsi="Palatino Linotype"/>
          <w:b/>
        </w:rPr>
        <w:t>EL SAIMEX</w:t>
      </w:r>
      <w:r w:rsidRPr="00C37FD9">
        <w:rPr>
          <w:rFonts w:ascii="Palatino Linotype" w:hAnsi="Palatino Linotype"/>
        </w:rPr>
        <w:t xml:space="preserve"> y se le asignó el número de expediente </w:t>
      </w:r>
      <w:r w:rsidRPr="00C37FD9">
        <w:rPr>
          <w:rFonts w:ascii="Palatino Linotype" w:hAnsi="Palatino Linotype" w:cs="Arial"/>
          <w:b/>
          <w:bCs/>
        </w:rPr>
        <w:t>0</w:t>
      </w:r>
      <w:r w:rsidR="00EF12E1">
        <w:rPr>
          <w:rFonts w:ascii="Palatino Linotype" w:hAnsi="Palatino Linotype" w:cs="Arial"/>
          <w:b/>
          <w:bCs/>
        </w:rPr>
        <w:t>6522</w:t>
      </w:r>
      <w:r w:rsidRPr="00C37FD9">
        <w:rPr>
          <w:rFonts w:ascii="Palatino Linotype" w:hAnsi="Palatino Linotype" w:cs="Arial"/>
          <w:b/>
          <w:bCs/>
        </w:rPr>
        <w:t>/INFOEM/IP/RR/201</w:t>
      </w:r>
      <w:r>
        <w:rPr>
          <w:rFonts w:ascii="Palatino Linotype" w:hAnsi="Palatino Linotype" w:cs="Arial"/>
          <w:b/>
          <w:bCs/>
        </w:rPr>
        <w:t>9</w:t>
      </w:r>
      <w:r w:rsidRPr="00C37FD9">
        <w:rPr>
          <w:rFonts w:ascii="Palatino Linotype" w:hAnsi="Palatino Linotype" w:cs="Arial"/>
        </w:rPr>
        <w:t>, en el que señaló como acto impugnado lo siguiente:</w:t>
      </w:r>
    </w:p>
    <w:p w:rsidR="00EB6EA4" w:rsidRPr="00EF12E1" w:rsidRDefault="00EB6EA4" w:rsidP="00EF12E1">
      <w:pPr>
        <w:pStyle w:val="Prrafodelista"/>
        <w:ind w:left="709" w:right="760"/>
        <w:jc w:val="both"/>
        <w:rPr>
          <w:rFonts w:ascii="Palatino Linotype" w:hAnsi="Palatino Linotype" w:cs="Arial"/>
          <w:i/>
          <w:spacing w:val="-6"/>
          <w:sz w:val="22"/>
          <w:lang w:eastAsia="es-MX"/>
        </w:rPr>
      </w:pPr>
      <w:r w:rsidRPr="00FA0041">
        <w:rPr>
          <w:rFonts w:ascii="Palatino Linotype" w:hAnsi="Palatino Linotype" w:cs="Arial"/>
          <w:i/>
          <w:spacing w:val="-6"/>
          <w:sz w:val="22"/>
          <w:lang w:eastAsia="es-MX"/>
        </w:rPr>
        <w:t>“</w:t>
      </w:r>
      <w:r w:rsidR="00EF12E1" w:rsidRPr="00EF12E1">
        <w:rPr>
          <w:rFonts w:ascii="Palatino Linotype" w:hAnsi="Palatino Linotype" w:cs="Arial"/>
          <w:i/>
          <w:spacing w:val="-6"/>
          <w:sz w:val="22"/>
          <w:lang w:eastAsia="es-MX"/>
        </w:rPr>
        <w:t xml:space="preserve">Solicitan la acreditación en las oficinas del Sujeto Obligado de manera física, la solicitud se </w:t>
      </w:r>
      <w:proofErr w:type="spellStart"/>
      <w:r w:rsidR="00EF12E1" w:rsidRPr="00EF12E1">
        <w:rPr>
          <w:rFonts w:ascii="Palatino Linotype" w:hAnsi="Palatino Linotype" w:cs="Arial"/>
          <w:i/>
          <w:spacing w:val="-6"/>
          <w:sz w:val="22"/>
          <w:lang w:eastAsia="es-MX"/>
        </w:rPr>
        <w:t>realizo</w:t>
      </w:r>
      <w:proofErr w:type="spellEnd"/>
      <w:r w:rsidR="00EF12E1" w:rsidRPr="00EF12E1">
        <w:rPr>
          <w:rFonts w:ascii="Palatino Linotype" w:hAnsi="Palatino Linotype" w:cs="Arial"/>
          <w:i/>
          <w:spacing w:val="-6"/>
          <w:sz w:val="22"/>
          <w:lang w:eastAsia="es-MX"/>
        </w:rPr>
        <w:t xml:space="preserve"> </w:t>
      </w:r>
      <w:proofErr w:type="spellStart"/>
      <w:r w:rsidR="00EF12E1" w:rsidRPr="00EF12E1">
        <w:rPr>
          <w:rFonts w:ascii="Palatino Linotype" w:hAnsi="Palatino Linotype" w:cs="Arial"/>
          <w:i/>
          <w:spacing w:val="-6"/>
          <w:sz w:val="22"/>
          <w:lang w:eastAsia="es-MX"/>
        </w:rPr>
        <w:t>via</w:t>
      </w:r>
      <w:proofErr w:type="spellEnd"/>
      <w:r w:rsidR="00EF12E1" w:rsidRPr="00EF12E1">
        <w:rPr>
          <w:rFonts w:ascii="Palatino Linotype" w:hAnsi="Palatino Linotype" w:cs="Arial"/>
          <w:i/>
          <w:spacing w:val="-6"/>
          <w:sz w:val="22"/>
          <w:lang w:eastAsia="es-MX"/>
        </w:rPr>
        <w:t xml:space="preserve"> SAIMEX y la acreditación de la identidad fue de la misma manera cuando adjunte copia de mi IDENTIFICACIÓN OFICIAL</w:t>
      </w:r>
      <w:r w:rsidRPr="00EF12E1">
        <w:rPr>
          <w:rFonts w:ascii="Palatino Linotype" w:hAnsi="Palatino Linotype" w:cs="Arial"/>
          <w:i/>
          <w:spacing w:val="-6"/>
          <w:sz w:val="22"/>
          <w:lang w:eastAsia="es-MX"/>
        </w:rPr>
        <w:t>.” (Sic)</w:t>
      </w:r>
    </w:p>
    <w:p w:rsidR="00EB6EA4" w:rsidRPr="00C37FD9" w:rsidRDefault="00EB6EA4" w:rsidP="00EB6EA4">
      <w:pPr>
        <w:spacing w:before="100" w:beforeAutospacing="1" w:after="100" w:afterAutospacing="1" w:line="360" w:lineRule="auto"/>
        <w:ind w:right="709"/>
        <w:jc w:val="both"/>
        <w:rPr>
          <w:rFonts w:ascii="Palatino Linotype" w:hAnsi="Palatino Linotype" w:cs="Arial"/>
        </w:rPr>
      </w:pPr>
      <w:r w:rsidRPr="00C37FD9">
        <w:rPr>
          <w:rFonts w:ascii="Palatino Linotype" w:hAnsi="Palatino Linotype" w:cs="Arial"/>
          <w:spacing w:val="-6"/>
          <w:lang w:eastAsia="es-MX"/>
        </w:rPr>
        <w:t xml:space="preserve">Asimismo, manifestó como </w:t>
      </w:r>
      <w:r w:rsidRPr="00C37FD9">
        <w:rPr>
          <w:rFonts w:ascii="Palatino Linotype" w:hAnsi="Palatino Linotype" w:cs="Arial"/>
        </w:rPr>
        <w:t>razones o motivos de inconformidad:</w:t>
      </w:r>
    </w:p>
    <w:p w:rsidR="00EB6EA4" w:rsidRDefault="00EB6EA4" w:rsidP="00EF12E1">
      <w:pPr>
        <w:pStyle w:val="Prrafodelista"/>
        <w:ind w:left="709" w:right="760"/>
        <w:jc w:val="both"/>
        <w:rPr>
          <w:rFonts w:ascii="Palatino Linotype" w:hAnsi="Palatino Linotype" w:cs="Arial"/>
          <w:i/>
          <w:spacing w:val="-6"/>
          <w:sz w:val="22"/>
          <w:lang w:eastAsia="es-MX"/>
        </w:rPr>
      </w:pPr>
      <w:r w:rsidRPr="00C37FD9">
        <w:rPr>
          <w:rFonts w:ascii="Palatino Linotype" w:hAnsi="Palatino Linotype" w:cs="Arial"/>
          <w:i/>
          <w:spacing w:val="-6"/>
          <w:sz w:val="22"/>
          <w:lang w:eastAsia="es-MX"/>
        </w:rPr>
        <w:lastRenderedPageBreak/>
        <w:t>“</w:t>
      </w:r>
      <w:r w:rsidR="00EF12E1" w:rsidRPr="00EF12E1">
        <w:rPr>
          <w:rFonts w:ascii="Palatino Linotype" w:hAnsi="Palatino Linotype" w:cs="Arial"/>
          <w:i/>
          <w:spacing w:val="-6"/>
          <w:sz w:val="22"/>
          <w:lang w:eastAsia="es-MX"/>
        </w:rPr>
        <w:t xml:space="preserve">La acreditación de identidad fue realizada al momento de realizar la solicitud adjuntado el archivo IMG_E2806.JPG como se puede observar en la imagen que se adjunta en los anexos Solicito que sea entregada en la misma MODALIDAD </w:t>
      </w:r>
      <w:proofErr w:type="spellStart"/>
      <w:r w:rsidR="00EF12E1" w:rsidRPr="00EF12E1">
        <w:rPr>
          <w:rFonts w:ascii="Palatino Linotype" w:hAnsi="Palatino Linotype" w:cs="Arial"/>
          <w:i/>
          <w:spacing w:val="-6"/>
          <w:sz w:val="22"/>
          <w:lang w:eastAsia="es-MX"/>
        </w:rPr>
        <w:t>via</w:t>
      </w:r>
      <w:proofErr w:type="spellEnd"/>
      <w:r w:rsidR="00EF12E1" w:rsidRPr="00EF12E1">
        <w:rPr>
          <w:rFonts w:ascii="Palatino Linotype" w:hAnsi="Palatino Linotype" w:cs="Arial"/>
          <w:i/>
          <w:spacing w:val="-6"/>
          <w:sz w:val="22"/>
          <w:lang w:eastAsia="es-MX"/>
        </w:rPr>
        <w:t xml:space="preserve"> SAIMEX ya que la </w:t>
      </w:r>
      <w:proofErr w:type="spellStart"/>
      <w:r w:rsidR="00EF12E1" w:rsidRPr="00EF12E1">
        <w:rPr>
          <w:rFonts w:ascii="Palatino Linotype" w:hAnsi="Palatino Linotype" w:cs="Arial"/>
          <w:i/>
          <w:spacing w:val="-6"/>
          <w:sz w:val="22"/>
          <w:lang w:eastAsia="es-MX"/>
        </w:rPr>
        <w:t>acreditacion</w:t>
      </w:r>
      <w:proofErr w:type="spellEnd"/>
      <w:r w:rsidR="00EF12E1" w:rsidRPr="00EF12E1">
        <w:rPr>
          <w:rFonts w:ascii="Palatino Linotype" w:hAnsi="Palatino Linotype" w:cs="Arial"/>
          <w:i/>
          <w:spacing w:val="-6"/>
          <w:sz w:val="22"/>
          <w:lang w:eastAsia="es-MX"/>
        </w:rPr>
        <w:t xml:space="preserve"> de identidad fue demostrada al adjuntar copia de identificación, misma que vuelvo a adjuntar en anexos</w:t>
      </w:r>
      <w:r w:rsidRPr="00EF12E1">
        <w:rPr>
          <w:rFonts w:ascii="Palatino Linotype" w:hAnsi="Palatino Linotype" w:cs="Arial"/>
          <w:i/>
          <w:spacing w:val="-6"/>
          <w:sz w:val="22"/>
          <w:lang w:eastAsia="es-MX"/>
        </w:rPr>
        <w:t>.” (Sic)</w:t>
      </w:r>
    </w:p>
    <w:p w:rsidR="00EF12E1" w:rsidRPr="00EF12E1" w:rsidRDefault="00EF12E1" w:rsidP="00750AA0">
      <w:pPr>
        <w:spacing w:before="100" w:beforeAutospacing="1" w:after="100" w:afterAutospacing="1" w:line="360" w:lineRule="auto"/>
        <w:ind w:right="49"/>
        <w:jc w:val="both"/>
        <w:rPr>
          <w:rFonts w:ascii="Palatino Linotype" w:hAnsi="Palatino Linotype" w:cs="Arial"/>
        </w:rPr>
      </w:pPr>
      <w:r w:rsidRPr="00EF12E1">
        <w:rPr>
          <w:rFonts w:ascii="Palatino Linotype" w:hAnsi="Palatino Linotype" w:cs="Arial"/>
        </w:rPr>
        <w:t>Recurso de revisión al que adjuntó el acuse de la solicitud de información y nuevamente el anverso de su identificaci</w:t>
      </w:r>
      <w:r w:rsidR="00750AA0">
        <w:rPr>
          <w:rFonts w:ascii="Palatino Linotype" w:hAnsi="Palatino Linotype" w:cs="Arial"/>
        </w:rPr>
        <w:t>ón oficial; archivo que al ser de conocimiento de las partes se omite su inserción en el presente apartado.</w:t>
      </w:r>
    </w:p>
    <w:p w:rsidR="00EB6EA4" w:rsidRPr="00C37FD9" w:rsidRDefault="00EB6EA4" w:rsidP="00EB6EA4">
      <w:pPr>
        <w:pStyle w:val="Prrafodelista"/>
        <w:spacing w:before="100" w:beforeAutospacing="1" w:after="100" w:afterAutospacing="1" w:line="360" w:lineRule="auto"/>
        <w:ind w:left="0"/>
        <w:jc w:val="both"/>
        <w:rPr>
          <w:rFonts w:ascii="Palatino Linotype" w:hAnsi="Palatino Linotype" w:cs="Arial"/>
        </w:rPr>
      </w:pPr>
      <w:r w:rsidRPr="004B7BAB">
        <w:rPr>
          <w:rFonts w:ascii="Palatino Linotype" w:hAnsi="Palatino Linotype" w:cs="Arial"/>
          <w:b/>
          <w:sz w:val="28"/>
          <w:szCs w:val="28"/>
        </w:rPr>
        <w:t>V.</w:t>
      </w:r>
      <w:r>
        <w:rPr>
          <w:rFonts w:ascii="Palatino Linotype" w:hAnsi="Palatino Linotype" w:cs="Arial"/>
        </w:rPr>
        <w:t xml:space="preserve"> </w:t>
      </w:r>
      <w:r w:rsidRPr="00C37FD9">
        <w:rPr>
          <w:rFonts w:ascii="Palatino Linotype" w:hAnsi="Palatino Linotype" w:cs="Arial"/>
        </w:rPr>
        <w:t xml:space="preserve">El recurso de que se trata se envió electrónicamente al Instituto de </w:t>
      </w:r>
      <w:r w:rsidRPr="00C37FD9">
        <w:rPr>
          <w:rFonts w:ascii="Palatino Linotype" w:eastAsia="Arial Unicode MS" w:hAnsi="Palatino Linotype" w:cs="Arial"/>
        </w:rPr>
        <w:t>Transparencia</w:t>
      </w:r>
      <w:r w:rsidRPr="00C37FD9">
        <w:rPr>
          <w:rFonts w:ascii="Palatino Linotype" w:hAnsi="Palatino Linotype" w:cs="Arial"/>
        </w:rPr>
        <w:t>, Acceso a la Información Pública y Protección de Datos Personales del Estado de México y Municipios en fecha</w:t>
      </w:r>
      <w:r>
        <w:rPr>
          <w:rFonts w:ascii="Palatino Linotype" w:hAnsi="Palatino Linotype" w:cs="Arial"/>
        </w:rPr>
        <w:t xml:space="preserve"> </w:t>
      </w:r>
      <w:r w:rsidR="00EF12E1">
        <w:rPr>
          <w:rFonts w:ascii="Palatino Linotype" w:hAnsi="Palatino Linotype" w:cs="Arial"/>
        </w:rPr>
        <w:t xml:space="preserve">seis de agosto </w:t>
      </w:r>
      <w:r>
        <w:rPr>
          <w:rFonts w:ascii="Palatino Linotype" w:hAnsi="Palatino Linotype" w:cs="Arial"/>
        </w:rPr>
        <w:t>de dos mil diecinueve</w:t>
      </w:r>
      <w:r w:rsidRPr="00C37FD9">
        <w:rPr>
          <w:rFonts w:ascii="Palatino Linotype" w:hAnsi="Palatino Linotype" w:cs="Arial"/>
        </w:rPr>
        <w:t xml:space="preserve"> y con fundamento en el artículo 185, fracción I de la </w:t>
      </w:r>
      <w:r w:rsidRPr="00C37FD9">
        <w:rPr>
          <w:rFonts w:ascii="Palatino Linotype" w:hAnsi="Palatino Linotype"/>
        </w:rPr>
        <w:t>Ley de Transparencia y Acceso a la Información Pública del Estado de México y Municipios</w:t>
      </w:r>
      <w:r w:rsidRPr="00C37FD9">
        <w:rPr>
          <w:rFonts w:ascii="Palatino Linotype" w:hAnsi="Palatino Linotype" w:cs="Arial"/>
        </w:rPr>
        <w:t>, se turnó, a través del</w:t>
      </w:r>
      <w:r w:rsidRPr="00C37FD9">
        <w:rPr>
          <w:rFonts w:ascii="Palatino Linotype" w:eastAsia="Arial Unicode MS" w:hAnsi="Palatino Linotype" w:cs="Arial"/>
        </w:rPr>
        <w:t xml:space="preserve"> </w:t>
      </w:r>
      <w:r w:rsidRPr="00C37FD9">
        <w:rPr>
          <w:rFonts w:ascii="Palatino Linotype" w:eastAsia="Arial Unicode MS" w:hAnsi="Palatino Linotype" w:cs="Arial"/>
          <w:b/>
        </w:rPr>
        <w:t>SAIMEX</w:t>
      </w:r>
      <w:r w:rsidRPr="00C37FD9">
        <w:rPr>
          <w:rFonts w:ascii="Palatino Linotype" w:hAnsi="Palatino Linotype"/>
        </w:rPr>
        <w:t xml:space="preserve">, a la </w:t>
      </w:r>
      <w:r w:rsidRPr="00C37FD9">
        <w:rPr>
          <w:rFonts w:ascii="Palatino Linotype" w:hAnsi="Palatino Linotype" w:cs="Arial"/>
        </w:rPr>
        <w:t xml:space="preserve">Comisionada </w:t>
      </w:r>
      <w:r w:rsidRPr="00C37FD9">
        <w:rPr>
          <w:rFonts w:ascii="Palatino Linotype" w:hAnsi="Palatino Linotype" w:cs="Arial"/>
          <w:b/>
        </w:rPr>
        <w:t>EVA ABAID YAPUR</w:t>
      </w:r>
      <w:r w:rsidRPr="00C37FD9">
        <w:rPr>
          <w:rFonts w:ascii="Palatino Linotype" w:hAnsi="Palatino Linotype" w:cs="Arial"/>
        </w:rPr>
        <w:t xml:space="preserve">, a efecto de que decretara su admisión o </w:t>
      </w:r>
      <w:proofErr w:type="spellStart"/>
      <w:r w:rsidRPr="00C37FD9">
        <w:rPr>
          <w:rFonts w:ascii="Palatino Linotype" w:hAnsi="Palatino Linotype" w:cs="Arial"/>
        </w:rPr>
        <w:t>desechamiento</w:t>
      </w:r>
      <w:proofErr w:type="spellEnd"/>
      <w:r w:rsidRPr="00C37FD9">
        <w:rPr>
          <w:rFonts w:ascii="Palatino Linotype" w:hAnsi="Palatino Linotype" w:cs="Arial"/>
        </w:rPr>
        <w:t>.</w:t>
      </w:r>
    </w:p>
    <w:p w:rsidR="00EB6EA4" w:rsidRPr="00C37FD9" w:rsidRDefault="00EB6EA4" w:rsidP="00EB6EA4">
      <w:pPr>
        <w:pStyle w:val="Prrafodelista"/>
        <w:spacing w:before="100" w:beforeAutospacing="1" w:after="100" w:afterAutospacing="1" w:line="360" w:lineRule="auto"/>
        <w:ind w:left="0"/>
        <w:jc w:val="both"/>
        <w:rPr>
          <w:rFonts w:ascii="Palatino Linotype" w:hAnsi="Palatino Linotype" w:cs="Arial"/>
        </w:rPr>
      </w:pPr>
      <w:r w:rsidRPr="004B7BAB">
        <w:rPr>
          <w:rFonts w:ascii="Palatino Linotype" w:hAnsi="Palatino Linotype" w:cs="Arial"/>
          <w:b/>
          <w:sz w:val="28"/>
          <w:szCs w:val="28"/>
        </w:rPr>
        <w:t>VI.</w:t>
      </w:r>
      <w:r>
        <w:rPr>
          <w:rFonts w:ascii="Palatino Linotype" w:hAnsi="Palatino Linotype" w:cs="Arial"/>
        </w:rPr>
        <w:t xml:space="preserve"> </w:t>
      </w:r>
      <w:r w:rsidRPr="00C37FD9">
        <w:rPr>
          <w:rFonts w:ascii="Palatino Linotype" w:hAnsi="Palatino Linotype" w:cs="Arial"/>
        </w:rPr>
        <w:t xml:space="preserve">En fecha </w:t>
      </w:r>
      <w:r w:rsidR="00750AA0">
        <w:rPr>
          <w:rFonts w:ascii="Palatino Linotype" w:hAnsi="Palatino Linotype" w:cs="Arial"/>
        </w:rPr>
        <w:t xml:space="preserve">doce de agosto </w:t>
      </w:r>
      <w:r>
        <w:rPr>
          <w:rFonts w:ascii="Palatino Linotype" w:hAnsi="Palatino Linotype" w:cs="Arial"/>
        </w:rPr>
        <w:t>de dos mil diecinueve</w:t>
      </w:r>
      <w:r w:rsidRPr="00C37FD9">
        <w:rPr>
          <w:rFonts w:ascii="Palatino Linotype" w:hAnsi="Palatino Linotype" w:cs="Arial"/>
        </w:rPr>
        <w:t xml:space="preserve">, atento a lo dispuesto en el artículo 185, fracciones I, II y IV de la </w:t>
      </w:r>
      <w:r w:rsidRPr="00C37FD9">
        <w:rPr>
          <w:rFonts w:ascii="Palatino Linotype" w:hAnsi="Palatino Linotype"/>
        </w:rPr>
        <w:t>Ley de Transparencia y Acceso a la Información Pública del Estado de México y Municipios, se a</w:t>
      </w:r>
      <w:r w:rsidRPr="00C37FD9">
        <w:rPr>
          <w:rFonts w:ascii="Palatino Linotype" w:hAnsi="Palatino Linotype" w:cs="Arial"/>
        </w:rPr>
        <w:t xml:space="preserve">cordó la admisión a trámite del referido recurso de revisión, así como la integración del expediente respectivo, mismo que se puso a disposición de las partes, para que, de considerarlo conveniente, en el plazo máximo de siete días hábiles, </w:t>
      </w:r>
      <w:r>
        <w:rPr>
          <w:rFonts w:ascii="Palatino Linotype" w:hAnsi="Palatino Linotype" w:cs="Arial"/>
          <w:b/>
        </w:rPr>
        <w:t xml:space="preserve">EL </w:t>
      </w:r>
      <w:r w:rsidRPr="00C37FD9">
        <w:rPr>
          <w:rFonts w:ascii="Palatino Linotype" w:hAnsi="Palatino Linotype" w:cs="Arial"/>
          <w:b/>
        </w:rPr>
        <w:t>RECURRENTE</w:t>
      </w:r>
      <w:r w:rsidRPr="00C37FD9">
        <w:rPr>
          <w:rFonts w:ascii="Palatino Linotype" w:hAnsi="Palatino Linotype" w:cs="Arial"/>
        </w:rPr>
        <w:t xml:space="preserve"> realizara manifestaciones y alegatos, así como ofreciera las pruebas que a su derecho conviniera y, en el caso del</w:t>
      </w:r>
      <w:r w:rsidRPr="00C37FD9">
        <w:rPr>
          <w:rFonts w:ascii="Palatino Linotype" w:hAnsi="Palatino Linotype" w:cs="Arial"/>
          <w:b/>
        </w:rPr>
        <w:t xml:space="preserve"> SUJETO OBLIGADO</w:t>
      </w:r>
      <w:r w:rsidRPr="00C37FD9">
        <w:rPr>
          <w:rFonts w:ascii="Palatino Linotype" w:hAnsi="Palatino Linotype" w:cs="Arial"/>
        </w:rPr>
        <w:t xml:space="preserve"> exhibiera el Informe Justificado. </w:t>
      </w:r>
    </w:p>
    <w:p w:rsidR="00EB6EA4" w:rsidRDefault="00EB6EA4" w:rsidP="00EB6EA4">
      <w:pPr>
        <w:pStyle w:val="Prrafodelista"/>
        <w:spacing w:before="100" w:beforeAutospacing="1" w:after="100" w:afterAutospacing="1" w:line="360" w:lineRule="auto"/>
        <w:ind w:left="0"/>
        <w:jc w:val="both"/>
        <w:rPr>
          <w:rFonts w:ascii="Palatino Linotype" w:hAnsi="Palatino Linotype" w:cs="Arial"/>
        </w:rPr>
      </w:pPr>
      <w:r w:rsidRPr="004B7BAB">
        <w:rPr>
          <w:rFonts w:ascii="Palatino Linotype" w:hAnsi="Palatino Linotype" w:cs="Arial"/>
          <w:b/>
          <w:sz w:val="28"/>
          <w:szCs w:val="28"/>
        </w:rPr>
        <w:t>VII.</w:t>
      </w:r>
      <w:r>
        <w:rPr>
          <w:rFonts w:ascii="Palatino Linotype" w:hAnsi="Palatino Linotype" w:cs="Arial"/>
        </w:rPr>
        <w:t xml:space="preserve"> </w:t>
      </w:r>
      <w:r w:rsidRPr="00B1662F">
        <w:rPr>
          <w:rFonts w:ascii="Palatino Linotype" w:hAnsi="Palatino Linotype" w:cs="Arial"/>
        </w:rPr>
        <w:t xml:space="preserve">De las constancias que obran en el </w:t>
      </w:r>
      <w:r w:rsidRPr="00B1662F">
        <w:rPr>
          <w:rFonts w:ascii="Palatino Linotype" w:hAnsi="Palatino Linotype" w:cs="Arial"/>
          <w:b/>
        </w:rPr>
        <w:t>SAIMEX,</w:t>
      </w:r>
      <w:r w:rsidRPr="00B1662F">
        <w:rPr>
          <w:rFonts w:ascii="Palatino Linotype" w:hAnsi="Palatino Linotype" w:cs="Arial"/>
        </w:rPr>
        <w:t xml:space="preserve"> se advierte que</w:t>
      </w:r>
      <w:r w:rsidR="00750AA0" w:rsidRPr="00B1662F">
        <w:rPr>
          <w:rFonts w:ascii="Palatino Linotype" w:hAnsi="Palatino Linotype" w:cs="Arial"/>
        </w:rPr>
        <w:t xml:space="preserve"> </w:t>
      </w:r>
      <w:r w:rsidR="00750AA0">
        <w:rPr>
          <w:rFonts w:ascii="Palatino Linotype" w:hAnsi="Palatino Linotype" w:cs="Arial"/>
          <w:b/>
        </w:rPr>
        <w:t>EL</w:t>
      </w:r>
      <w:r w:rsidR="00750AA0" w:rsidRPr="00B1662F">
        <w:rPr>
          <w:rFonts w:ascii="Palatino Linotype" w:hAnsi="Palatino Linotype" w:cs="Arial"/>
          <w:b/>
        </w:rPr>
        <w:t xml:space="preserve"> RECURRENTE</w:t>
      </w:r>
      <w:r w:rsidR="00750AA0" w:rsidRPr="00B1662F">
        <w:rPr>
          <w:rFonts w:ascii="Palatino Linotype" w:hAnsi="Palatino Linotype" w:cs="Arial"/>
        </w:rPr>
        <w:t xml:space="preserve"> no presentó manifestaciones, alegatos ni ofreció los medios de prueba que a su derecho </w:t>
      </w:r>
      <w:r w:rsidR="00750AA0" w:rsidRPr="00B1662F">
        <w:rPr>
          <w:rFonts w:ascii="Palatino Linotype" w:hAnsi="Palatino Linotype" w:cs="Arial"/>
        </w:rPr>
        <w:lastRenderedPageBreak/>
        <w:t xml:space="preserve">convinieran, </w:t>
      </w:r>
      <w:r w:rsidR="00750AA0">
        <w:rPr>
          <w:rFonts w:ascii="Palatino Linotype" w:hAnsi="Palatino Linotype" w:cs="Arial"/>
        </w:rPr>
        <w:t xml:space="preserve">mientras que por su parte </w:t>
      </w:r>
      <w:r w:rsidRPr="00B1662F">
        <w:rPr>
          <w:rFonts w:ascii="Palatino Linotype" w:hAnsi="Palatino Linotype" w:cs="Arial"/>
          <w:b/>
        </w:rPr>
        <w:t xml:space="preserve">EL SUJETO OBLIGADO </w:t>
      </w:r>
      <w:r w:rsidR="00750AA0">
        <w:rPr>
          <w:rFonts w:ascii="Palatino Linotype" w:hAnsi="Palatino Linotype" w:cs="Arial"/>
        </w:rPr>
        <w:t xml:space="preserve">en fecha dieciséis de agosto de dos mil diecinueve </w:t>
      </w:r>
      <w:r>
        <w:rPr>
          <w:rFonts w:ascii="Palatino Linotype" w:hAnsi="Palatino Linotype" w:cs="Arial"/>
        </w:rPr>
        <w:t xml:space="preserve">rindió el </w:t>
      </w:r>
      <w:r w:rsidRPr="00B1662F">
        <w:rPr>
          <w:rFonts w:ascii="Palatino Linotype" w:hAnsi="Palatino Linotype" w:cs="Arial"/>
        </w:rPr>
        <w:t>Informe Justificado</w:t>
      </w:r>
      <w:r>
        <w:rPr>
          <w:rFonts w:ascii="Palatino Linotype" w:hAnsi="Palatino Linotype" w:cs="Arial"/>
        </w:rPr>
        <w:t xml:space="preserve"> correspondiente</w:t>
      </w:r>
      <w:r w:rsidR="00750AA0">
        <w:rPr>
          <w:rFonts w:ascii="Palatino Linotype" w:hAnsi="Palatino Linotype" w:cs="Arial"/>
        </w:rPr>
        <w:t xml:space="preserve"> mismo que, al no actualizar el supuesto previsto en la fracción III del artículo 185 de la Ley de la materia no fue puesto a la vista del </w:t>
      </w:r>
      <w:r w:rsidR="00750AA0">
        <w:rPr>
          <w:rFonts w:ascii="Palatino Linotype" w:hAnsi="Palatino Linotype" w:cs="Arial"/>
          <w:b/>
        </w:rPr>
        <w:t xml:space="preserve">RECURRENTE </w:t>
      </w:r>
      <w:r w:rsidR="00750AA0">
        <w:rPr>
          <w:rFonts w:ascii="Palatino Linotype" w:hAnsi="Palatino Linotype" w:cs="Arial"/>
        </w:rPr>
        <w:t>y que a fin de que sea de su conocimiento se inserta a continuación:</w:t>
      </w:r>
    </w:p>
    <w:p w:rsidR="00750AA0" w:rsidRDefault="0060591E" w:rsidP="00750AA0">
      <w:pPr>
        <w:pStyle w:val="Prrafodelista"/>
        <w:spacing w:before="100" w:beforeAutospacing="1" w:after="100" w:afterAutospacing="1" w:line="360" w:lineRule="auto"/>
        <w:ind w:left="0"/>
        <w:jc w:val="center"/>
        <w:rPr>
          <w:rFonts w:ascii="Palatino Linotype" w:hAnsi="Palatino Linotype" w:cs="Arial"/>
        </w:rPr>
      </w:pPr>
      <w:r w:rsidRPr="0060591E">
        <w:rPr>
          <w:noProof/>
          <w:lang w:eastAsia="es-MX"/>
        </w:rPr>
        <w:t xml:space="preserve"> </w:t>
      </w:r>
      <w:r>
        <w:rPr>
          <w:noProof/>
          <w:lang w:eastAsia="es-MX"/>
        </w:rPr>
        <w:drawing>
          <wp:inline distT="0" distB="0" distL="0" distR="0" wp14:anchorId="1BE02A95" wp14:editId="3B33C1D7">
            <wp:extent cx="4600464" cy="3043450"/>
            <wp:effectExtent l="0" t="0" r="0" b="508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8164" t="27023" r="25892" b="18947"/>
                    <a:stretch/>
                  </pic:blipFill>
                  <pic:spPr bwMode="auto">
                    <a:xfrm>
                      <a:off x="0" y="0"/>
                      <a:ext cx="4622230" cy="3057850"/>
                    </a:xfrm>
                    <a:prstGeom prst="rect">
                      <a:avLst/>
                    </a:prstGeom>
                    <a:ln>
                      <a:noFill/>
                    </a:ln>
                    <a:extLst>
                      <a:ext uri="{53640926-AAD7-44D8-BBD7-CCE9431645EC}">
                        <a14:shadowObscured xmlns:a14="http://schemas.microsoft.com/office/drawing/2010/main"/>
                      </a:ext>
                    </a:extLst>
                  </pic:spPr>
                </pic:pic>
              </a:graphicData>
            </a:graphic>
          </wp:inline>
        </w:drawing>
      </w:r>
    </w:p>
    <w:p w:rsidR="00750AA0" w:rsidRDefault="0060591E" w:rsidP="00750AA0">
      <w:pPr>
        <w:pStyle w:val="Prrafodelista"/>
        <w:spacing w:before="100" w:beforeAutospacing="1" w:after="100" w:afterAutospacing="1" w:line="360" w:lineRule="auto"/>
        <w:ind w:left="0"/>
        <w:jc w:val="center"/>
        <w:rPr>
          <w:rFonts w:ascii="Palatino Linotype" w:hAnsi="Palatino Linotype" w:cs="Arial"/>
        </w:rPr>
      </w:pPr>
      <w:r w:rsidRPr="0060591E">
        <w:rPr>
          <w:noProof/>
          <w:lang w:eastAsia="es-MX"/>
        </w:rPr>
        <w:t xml:space="preserve"> </w:t>
      </w:r>
      <w:r>
        <w:rPr>
          <w:noProof/>
          <w:lang w:eastAsia="es-MX"/>
        </w:rPr>
        <w:drawing>
          <wp:inline distT="0" distB="0" distL="0" distR="0" wp14:anchorId="360D8A88" wp14:editId="16D41C85">
            <wp:extent cx="4248808" cy="2483892"/>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1696" t="37493" r="30015" b="22718"/>
                    <a:stretch/>
                  </pic:blipFill>
                  <pic:spPr bwMode="auto">
                    <a:xfrm>
                      <a:off x="0" y="0"/>
                      <a:ext cx="4288480" cy="2507085"/>
                    </a:xfrm>
                    <a:prstGeom prst="rect">
                      <a:avLst/>
                    </a:prstGeom>
                    <a:ln>
                      <a:noFill/>
                    </a:ln>
                    <a:extLst>
                      <a:ext uri="{53640926-AAD7-44D8-BBD7-CCE9431645EC}">
                        <a14:shadowObscured xmlns:a14="http://schemas.microsoft.com/office/drawing/2010/main"/>
                      </a:ext>
                    </a:extLst>
                  </pic:spPr>
                </pic:pic>
              </a:graphicData>
            </a:graphic>
          </wp:inline>
        </w:drawing>
      </w:r>
    </w:p>
    <w:p w:rsidR="00750AA0" w:rsidRDefault="00750AA0" w:rsidP="00750AA0">
      <w:pPr>
        <w:pStyle w:val="Prrafodelista"/>
        <w:spacing w:before="100" w:beforeAutospacing="1" w:after="100" w:afterAutospacing="1" w:line="360" w:lineRule="auto"/>
        <w:ind w:left="0"/>
        <w:jc w:val="center"/>
        <w:rPr>
          <w:rFonts w:ascii="Palatino Linotype" w:hAnsi="Palatino Linotype" w:cs="Arial"/>
        </w:rPr>
      </w:pPr>
      <w:r>
        <w:rPr>
          <w:noProof/>
          <w:lang w:eastAsia="es-MX"/>
        </w:rPr>
        <w:lastRenderedPageBreak/>
        <w:drawing>
          <wp:inline distT="0" distB="0" distL="0" distR="0" wp14:anchorId="7DA552F0" wp14:editId="02086764">
            <wp:extent cx="4975841" cy="2939143"/>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1431" t="11484" r="23727" b="30932"/>
                    <a:stretch/>
                  </pic:blipFill>
                  <pic:spPr bwMode="auto">
                    <a:xfrm>
                      <a:off x="0" y="0"/>
                      <a:ext cx="4997386" cy="2951869"/>
                    </a:xfrm>
                    <a:prstGeom prst="rect">
                      <a:avLst/>
                    </a:prstGeom>
                    <a:ln>
                      <a:noFill/>
                    </a:ln>
                    <a:extLst>
                      <a:ext uri="{53640926-AAD7-44D8-BBD7-CCE9431645EC}">
                        <a14:shadowObscured xmlns:a14="http://schemas.microsoft.com/office/drawing/2010/main"/>
                      </a:ext>
                    </a:extLst>
                  </pic:spPr>
                </pic:pic>
              </a:graphicData>
            </a:graphic>
          </wp:inline>
        </w:drawing>
      </w:r>
    </w:p>
    <w:p w:rsidR="00EE4AEC" w:rsidRPr="00750AA0" w:rsidRDefault="00EE4AEC" w:rsidP="00750AA0">
      <w:pPr>
        <w:pStyle w:val="Prrafodelista"/>
        <w:spacing w:before="100" w:beforeAutospacing="1" w:after="100" w:afterAutospacing="1" w:line="360" w:lineRule="auto"/>
        <w:ind w:left="0"/>
        <w:jc w:val="center"/>
        <w:rPr>
          <w:rFonts w:ascii="Palatino Linotype" w:hAnsi="Palatino Linotype" w:cs="Arial"/>
        </w:rPr>
      </w:pPr>
      <w:r>
        <w:rPr>
          <w:noProof/>
          <w:lang w:eastAsia="es-MX"/>
        </w:rPr>
        <w:drawing>
          <wp:inline distT="0" distB="0" distL="0" distR="0" wp14:anchorId="30841C50" wp14:editId="5215102C">
            <wp:extent cx="5157116" cy="3817917"/>
            <wp:effectExtent l="0" t="0" r="571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8661" t="10207" r="20549" b="9791"/>
                    <a:stretch/>
                  </pic:blipFill>
                  <pic:spPr bwMode="auto">
                    <a:xfrm>
                      <a:off x="0" y="0"/>
                      <a:ext cx="5182394" cy="3836630"/>
                    </a:xfrm>
                    <a:prstGeom prst="rect">
                      <a:avLst/>
                    </a:prstGeom>
                    <a:ln>
                      <a:noFill/>
                    </a:ln>
                    <a:extLst>
                      <a:ext uri="{53640926-AAD7-44D8-BBD7-CCE9431645EC}">
                        <a14:shadowObscured xmlns:a14="http://schemas.microsoft.com/office/drawing/2010/main"/>
                      </a:ext>
                    </a:extLst>
                  </pic:spPr>
                </pic:pic>
              </a:graphicData>
            </a:graphic>
          </wp:inline>
        </w:drawing>
      </w:r>
    </w:p>
    <w:p w:rsidR="00EB6EA4" w:rsidRDefault="00EB6EA4" w:rsidP="00EB6EA4">
      <w:pPr>
        <w:pStyle w:val="Prrafodelista"/>
        <w:spacing w:before="100" w:beforeAutospacing="1" w:after="100" w:afterAutospacing="1" w:line="360" w:lineRule="auto"/>
        <w:ind w:left="0"/>
        <w:jc w:val="center"/>
        <w:rPr>
          <w:rFonts w:ascii="Palatino Linotype" w:hAnsi="Palatino Linotype" w:cs="Arial"/>
        </w:rPr>
      </w:pPr>
    </w:p>
    <w:p w:rsidR="00EE4AEC" w:rsidRDefault="00EE4AEC" w:rsidP="00EB6EA4">
      <w:pPr>
        <w:pStyle w:val="Prrafodelista"/>
        <w:spacing w:before="100" w:beforeAutospacing="1" w:after="100" w:afterAutospacing="1" w:line="360" w:lineRule="auto"/>
        <w:ind w:left="0"/>
        <w:jc w:val="center"/>
        <w:rPr>
          <w:rFonts w:ascii="Palatino Linotype" w:hAnsi="Palatino Linotype" w:cs="Arial"/>
        </w:rPr>
      </w:pPr>
      <w:r>
        <w:rPr>
          <w:noProof/>
          <w:lang w:eastAsia="es-MX"/>
        </w:rPr>
        <w:lastRenderedPageBreak/>
        <w:drawing>
          <wp:inline distT="0" distB="0" distL="0" distR="0" wp14:anchorId="221C5A3F" wp14:editId="2EE5885A">
            <wp:extent cx="5543886" cy="356853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8455" t="10389" r="19113" b="18175"/>
                    <a:stretch/>
                  </pic:blipFill>
                  <pic:spPr bwMode="auto">
                    <a:xfrm>
                      <a:off x="0" y="0"/>
                      <a:ext cx="5578241" cy="3590649"/>
                    </a:xfrm>
                    <a:prstGeom prst="rect">
                      <a:avLst/>
                    </a:prstGeom>
                    <a:ln>
                      <a:noFill/>
                    </a:ln>
                    <a:extLst>
                      <a:ext uri="{53640926-AAD7-44D8-BBD7-CCE9431645EC}">
                        <a14:shadowObscured xmlns:a14="http://schemas.microsoft.com/office/drawing/2010/main"/>
                      </a:ext>
                    </a:extLst>
                  </pic:spPr>
                </pic:pic>
              </a:graphicData>
            </a:graphic>
          </wp:inline>
        </w:drawing>
      </w:r>
    </w:p>
    <w:p w:rsidR="00EE4AEC" w:rsidRDefault="00EE4AEC" w:rsidP="00EB6EA4">
      <w:pPr>
        <w:pStyle w:val="Prrafodelista"/>
        <w:spacing w:before="100" w:beforeAutospacing="1" w:after="100" w:afterAutospacing="1" w:line="360" w:lineRule="auto"/>
        <w:ind w:left="0"/>
        <w:jc w:val="center"/>
        <w:rPr>
          <w:rFonts w:ascii="Palatino Linotype" w:hAnsi="Palatino Linotype" w:cs="Arial"/>
        </w:rPr>
      </w:pPr>
      <w:r>
        <w:rPr>
          <w:noProof/>
          <w:lang w:eastAsia="es-MX"/>
        </w:rPr>
        <w:drawing>
          <wp:inline distT="0" distB="0" distL="0" distR="0" wp14:anchorId="4990A16F" wp14:editId="2C154829">
            <wp:extent cx="5361922" cy="3004457"/>
            <wp:effectExtent l="0" t="0" r="0" b="571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8250" t="16950" r="19729" b="21273"/>
                    <a:stretch/>
                  </pic:blipFill>
                  <pic:spPr bwMode="auto">
                    <a:xfrm>
                      <a:off x="0" y="0"/>
                      <a:ext cx="5383624" cy="3016618"/>
                    </a:xfrm>
                    <a:prstGeom prst="rect">
                      <a:avLst/>
                    </a:prstGeom>
                    <a:ln>
                      <a:noFill/>
                    </a:ln>
                    <a:extLst>
                      <a:ext uri="{53640926-AAD7-44D8-BBD7-CCE9431645EC}">
                        <a14:shadowObscured xmlns:a14="http://schemas.microsoft.com/office/drawing/2010/main"/>
                      </a:ext>
                    </a:extLst>
                  </pic:spPr>
                </pic:pic>
              </a:graphicData>
            </a:graphic>
          </wp:inline>
        </w:drawing>
      </w:r>
    </w:p>
    <w:p w:rsidR="00EE4AEC" w:rsidRDefault="00EE4AEC" w:rsidP="00EB6EA4">
      <w:pPr>
        <w:pStyle w:val="Prrafodelista"/>
        <w:spacing w:before="100" w:beforeAutospacing="1" w:after="100" w:afterAutospacing="1" w:line="360" w:lineRule="auto"/>
        <w:ind w:left="0"/>
        <w:jc w:val="center"/>
        <w:rPr>
          <w:rFonts w:ascii="Palatino Linotype" w:hAnsi="Palatino Linotype" w:cs="Arial"/>
        </w:rPr>
      </w:pPr>
      <w:r>
        <w:rPr>
          <w:noProof/>
          <w:lang w:eastAsia="es-MX"/>
        </w:rPr>
        <w:lastRenderedPageBreak/>
        <w:drawing>
          <wp:inline distT="0" distB="0" distL="0" distR="0" wp14:anchorId="579CB042" wp14:editId="61492204">
            <wp:extent cx="5522147" cy="4286992"/>
            <wp:effectExtent l="0" t="0" r="254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7941" t="8747" r="19730" b="5236"/>
                    <a:stretch/>
                  </pic:blipFill>
                  <pic:spPr bwMode="auto">
                    <a:xfrm>
                      <a:off x="0" y="0"/>
                      <a:ext cx="5549918" cy="4308551"/>
                    </a:xfrm>
                    <a:prstGeom prst="rect">
                      <a:avLst/>
                    </a:prstGeom>
                    <a:ln>
                      <a:noFill/>
                    </a:ln>
                    <a:extLst>
                      <a:ext uri="{53640926-AAD7-44D8-BBD7-CCE9431645EC}">
                        <a14:shadowObscured xmlns:a14="http://schemas.microsoft.com/office/drawing/2010/main"/>
                      </a:ext>
                    </a:extLst>
                  </pic:spPr>
                </pic:pic>
              </a:graphicData>
            </a:graphic>
          </wp:inline>
        </w:drawing>
      </w:r>
    </w:p>
    <w:p w:rsidR="00EE4AEC" w:rsidRDefault="00EE4AEC" w:rsidP="00EB6EA4">
      <w:pPr>
        <w:pStyle w:val="Prrafodelista"/>
        <w:spacing w:before="100" w:beforeAutospacing="1" w:after="100" w:afterAutospacing="1" w:line="360" w:lineRule="auto"/>
        <w:ind w:left="0"/>
        <w:jc w:val="center"/>
        <w:rPr>
          <w:rFonts w:ascii="Palatino Linotype" w:hAnsi="Palatino Linotype" w:cs="Arial"/>
        </w:rPr>
      </w:pPr>
      <w:r>
        <w:rPr>
          <w:noProof/>
          <w:lang w:eastAsia="es-MX"/>
        </w:rPr>
        <w:drawing>
          <wp:inline distT="0" distB="0" distL="0" distR="0" wp14:anchorId="6CC8A8E6" wp14:editId="0603E38E">
            <wp:extent cx="5405120" cy="2559133"/>
            <wp:effectExtent l="0" t="0" r="508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7943" t="17133" r="20241" b="36034"/>
                    <a:stretch/>
                  </pic:blipFill>
                  <pic:spPr bwMode="auto">
                    <a:xfrm>
                      <a:off x="0" y="0"/>
                      <a:ext cx="5429254" cy="2570559"/>
                    </a:xfrm>
                    <a:prstGeom prst="rect">
                      <a:avLst/>
                    </a:prstGeom>
                    <a:ln>
                      <a:noFill/>
                    </a:ln>
                    <a:extLst>
                      <a:ext uri="{53640926-AAD7-44D8-BBD7-CCE9431645EC}">
                        <a14:shadowObscured xmlns:a14="http://schemas.microsoft.com/office/drawing/2010/main"/>
                      </a:ext>
                    </a:extLst>
                  </pic:spPr>
                </pic:pic>
              </a:graphicData>
            </a:graphic>
          </wp:inline>
        </w:drawing>
      </w:r>
    </w:p>
    <w:p w:rsidR="00EE4AEC" w:rsidRDefault="00EE4AEC" w:rsidP="00EB6EA4">
      <w:pPr>
        <w:pStyle w:val="Prrafodelista"/>
        <w:spacing w:before="100" w:beforeAutospacing="1" w:after="100" w:afterAutospacing="1" w:line="360" w:lineRule="auto"/>
        <w:ind w:left="0"/>
        <w:jc w:val="center"/>
        <w:rPr>
          <w:rFonts w:ascii="Palatino Linotype" w:hAnsi="Palatino Linotype" w:cs="Arial"/>
        </w:rPr>
      </w:pPr>
      <w:r>
        <w:rPr>
          <w:noProof/>
          <w:lang w:eastAsia="es-MX"/>
        </w:rPr>
        <w:lastRenderedPageBreak/>
        <w:drawing>
          <wp:inline distT="0" distB="0" distL="0" distR="0" wp14:anchorId="5D53CE14" wp14:editId="14D828DF">
            <wp:extent cx="5379661" cy="5510151"/>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0452" t="25517" r="31416" b="5054"/>
                    <a:stretch/>
                  </pic:blipFill>
                  <pic:spPr bwMode="auto">
                    <a:xfrm>
                      <a:off x="0" y="0"/>
                      <a:ext cx="5420254" cy="5551729"/>
                    </a:xfrm>
                    <a:prstGeom prst="rect">
                      <a:avLst/>
                    </a:prstGeom>
                    <a:ln>
                      <a:noFill/>
                    </a:ln>
                    <a:extLst>
                      <a:ext uri="{53640926-AAD7-44D8-BBD7-CCE9431645EC}">
                        <a14:shadowObscured xmlns:a14="http://schemas.microsoft.com/office/drawing/2010/main"/>
                      </a:ext>
                    </a:extLst>
                  </pic:spPr>
                </pic:pic>
              </a:graphicData>
            </a:graphic>
          </wp:inline>
        </w:drawing>
      </w:r>
    </w:p>
    <w:p w:rsidR="0060098F" w:rsidRDefault="00EB6EA4" w:rsidP="00EE4AEC">
      <w:pPr>
        <w:pStyle w:val="Prrafodelista"/>
        <w:spacing w:before="100" w:beforeAutospacing="1" w:after="100" w:afterAutospacing="1" w:line="360" w:lineRule="auto"/>
        <w:ind w:left="0"/>
        <w:jc w:val="both"/>
        <w:rPr>
          <w:rFonts w:ascii="Palatino Linotype" w:hAnsi="Palatino Linotype" w:cs="Arial"/>
        </w:rPr>
      </w:pPr>
      <w:r w:rsidRPr="0038739C">
        <w:rPr>
          <w:rFonts w:ascii="Palatino Linotype" w:hAnsi="Palatino Linotype" w:cs="Arial"/>
          <w:b/>
          <w:sz w:val="28"/>
          <w:szCs w:val="28"/>
        </w:rPr>
        <w:t>VIII.</w:t>
      </w:r>
      <w:r>
        <w:rPr>
          <w:rFonts w:ascii="Palatino Linotype" w:hAnsi="Palatino Linotype" w:cs="Arial"/>
        </w:rPr>
        <w:t xml:space="preserve"> </w:t>
      </w:r>
      <w:r w:rsidRPr="00C37FD9">
        <w:rPr>
          <w:rFonts w:ascii="Palatino Linotype" w:hAnsi="Palatino Linotype" w:cs="Arial"/>
        </w:rPr>
        <w:t xml:space="preserve">Transcurrido el plazo señalado en el párrafo anterior y, una vez analizado el estado procesal que guardaba el expediente, en fecha </w:t>
      </w:r>
      <w:r w:rsidR="00EE4AEC">
        <w:rPr>
          <w:rFonts w:ascii="Palatino Linotype" w:hAnsi="Palatino Linotype" w:cs="Arial"/>
        </w:rPr>
        <w:t xml:space="preserve">veintidós de agosto </w:t>
      </w:r>
      <w:r>
        <w:rPr>
          <w:rFonts w:ascii="Palatino Linotype" w:hAnsi="Palatino Linotype" w:cs="Arial"/>
        </w:rPr>
        <w:t>de dos mil diecinueve</w:t>
      </w:r>
      <w:r w:rsidRPr="00C37FD9">
        <w:rPr>
          <w:rFonts w:ascii="Palatino Linotype" w:hAnsi="Palatino Linotype" w:cs="Arial"/>
        </w:rPr>
        <w:t>, la Comisionada Ponente acordó el cierre de instrucción, así como la remisión del mismo a efecto de ser resuelto, de conformidad con lo establecido en el artículo 185 fracciones VI y VIII de la Ley de Transparencia y Acceso a la Información Pública del Es</w:t>
      </w:r>
      <w:r w:rsidR="005819EF">
        <w:rPr>
          <w:rFonts w:ascii="Palatino Linotype" w:hAnsi="Palatino Linotype" w:cs="Arial"/>
        </w:rPr>
        <w:t>tado de México y Municipios.</w:t>
      </w:r>
    </w:p>
    <w:p w:rsidR="0060098F" w:rsidRDefault="005819EF" w:rsidP="00EE4AEC">
      <w:pPr>
        <w:pStyle w:val="Prrafodelista"/>
        <w:spacing w:before="100" w:beforeAutospacing="1" w:after="100" w:afterAutospacing="1" w:line="360" w:lineRule="auto"/>
        <w:ind w:left="0"/>
        <w:jc w:val="both"/>
        <w:rPr>
          <w:rFonts w:ascii="Palatino Linotype" w:hAnsi="Palatino Linotype" w:cs="Arial"/>
        </w:rPr>
      </w:pPr>
      <w:r w:rsidRPr="005819EF">
        <w:rPr>
          <w:rFonts w:ascii="Palatino Linotype" w:hAnsi="Palatino Linotype" w:cs="Arial"/>
          <w:b/>
          <w:sz w:val="28"/>
          <w:szCs w:val="28"/>
        </w:rPr>
        <w:lastRenderedPageBreak/>
        <w:t xml:space="preserve">IX. </w:t>
      </w:r>
      <w:r w:rsidR="0060098F" w:rsidRPr="0060098F">
        <w:rPr>
          <w:rFonts w:ascii="Palatino Linotype" w:hAnsi="Palatino Linotype" w:cs="Arial"/>
        </w:rPr>
        <w:t xml:space="preserve">De las constancias que obran en el expediente electrónico del </w:t>
      </w:r>
      <w:r w:rsidR="0060098F" w:rsidRPr="0060098F">
        <w:rPr>
          <w:rFonts w:ascii="Palatino Linotype" w:hAnsi="Palatino Linotype" w:cs="Arial"/>
          <w:b/>
        </w:rPr>
        <w:t>SAIMEX</w:t>
      </w:r>
      <w:r w:rsidR="0060098F" w:rsidRPr="0060098F">
        <w:rPr>
          <w:rFonts w:ascii="Palatino Linotype" w:hAnsi="Palatino Linotype" w:cs="Arial"/>
        </w:rPr>
        <w:t xml:space="preserve">, se puede advertir que </w:t>
      </w:r>
      <w:r w:rsidR="0060098F" w:rsidRPr="0060098F">
        <w:rPr>
          <w:rFonts w:ascii="Palatino Linotype" w:hAnsi="Palatino Linotype" w:cs="Arial"/>
          <w:b/>
        </w:rPr>
        <w:t xml:space="preserve">EL RECURRENTE </w:t>
      </w:r>
      <w:r w:rsidR="0060098F" w:rsidRPr="0060098F">
        <w:rPr>
          <w:rFonts w:ascii="Palatino Linotype" w:hAnsi="Palatino Linotype" w:cs="Arial"/>
        </w:rPr>
        <w:t xml:space="preserve">en fecha veintiocho de agosto de dos mil diecinueve, </w:t>
      </w:r>
      <w:r w:rsidR="0060098F">
        <w:rPr>
          <w:rFonts w:ascii="Palatino Linotype" w:hAnsi="Palatino Linotype" w:cs="Arial"/>
        </w:rPr>
        <w:t>se desistió expresamente del recurso de revisión, manifestando lo siguiente:</w:t>
      </w:r>
    </w:p>
    <w:p w:rsidR="0060098F" w:rsidRPr="0060098F" w:rsidRDefault="00792570" w:rsidP="0060098F">
      <w:pPr>
        <w:pStyle w:val="Prrafodelista"/>
        <w:spacing w:before="100" w:beforeAutospacing="1" w:after="100" w:afterAutospacing="1" w:line="360" w:lineRule="auto"/>
        <w:ind w:left="0"/>
        <w:jc w:val="center"/>
        <w:rPr>
          <w:rFonts w:ascii="Palatino Linotype" w:hAnsi="Palatino Linotype" w:cs="Arial"/>
        </w:rPr>
      </w:pPr>
      <w:r>
        <w:rPr>
          <w:noProof/>
          <w:lang w:eastAsia="es-MX"/>
        </w:rPr>
        <w:drawing>
          <wp:inline distT="0" distB="0" distL="0" distR="0" wp14:anchorId="796A59C1" wp14:editId="3D1A7B6D">
            <wp:extent cx="4090603" cy="1967948"/>
            <wp:effectExtent l="0" t="0" r="571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1076" t="25261" r="19002" b="23494"/>
                    <a:stretch/>
                  </pic:blipFill>
                  <pic:spPr bwMode="auto">
                    <a:xfrm>
                      <a:off x="0" y="0"/>
                      <a:ext cx="4119228" cy="1981719"/>
                    </a:xfrm>
                    <a:prstGeom prst="rect">
                      <a:avLst/>
                    </a:prstGeom>
                    <a:ln>
                      <a:noFill/>
                    </a:ln>
                    <a:extLst>
                      <a:ext uri="{53640926-AAD7-44D8-BBD7-CCE9431645EC}">
                        <a14:shadowObscured xmlns:a14="http://schemas.microsoft.com/office/drawing/2010/main"/>
                      </a:ext>
                    </a:extLst>
                  </pic:spPr>
                </pic:pic>
              </a:graphicData>
            </a:graphic>
          </wp:inline>
        </w:drawing>
      </w:r>
    </w:p>
    <w:p w:rsidR="005819EF" w:rsidRDefault="0060098F" w:rsidP="00EE4AEC">
      <w:pPr>
        <w:pStyle w:val="Prrafodelista"/>
        <w:spacing w:before="100" w:beforeAutospacing="1" w:after="100" w:afterAutospacing="1" w:line="360" w:lineRule="auto"/>
        <w:ind w:left="0"/>
        <w:jc w:val="both"/>
        <w:rPr>
          <w:rFonts w:ascii="Palatino Linotype" w:hAnsi="Palatino Linotype" w:cs="Arial"/>
        </w:rPr>
      </w:pPr>
      <w:r>
        <w:rPr>
          <w:rFonts w:ascii="Palatino Linotype" w:hAnsi="Palatino Linotype" w:cs="Arial"/>
          <w:b/>
          <w:sz w:val="28"/>
          <w:szCs w:val="28"/>
        </w:rPr>
        <w:t xml:space="preserve">X. </w:t>
      </w:r>
      <w:r w:rsidR="005819EF">
        <w:rPr>
          <w:rFonts w:ascii="Palatino Linotype" w:hAnsi="Palatino Linotype" w:cs="Arial"/>
        </w:rPr>
        <w:t xml:space="preserve">En fecha cinco de septiembre de dos mil diecinueve, </w:t>
      </w:r>
      <w:r w:rsidR="005819EF">
        <w:rPr>
          <w:rFonts w:ascii="Palatino Linotype" w:hAnsi="Palatino Linotype" w:cs="Arial"/>
          <w:b/>
        </w:rPr>
        <w:t xml:space="preserve">EL SUJETO OBLIGADO </w:t>
      </w:r>
      <w:r w:rsidR="005819EF">
        <w:rPr>
          <w:rFonts w:ascii="Palatino Linotype" w:hAnsi="Palatino Linotype" w:cs="Arial"/>
        </w:rPr>
        <w:t>mediante oficialía de partes y vía correo electrónico institucional, remitió un alcance al Informe Justificado, mismo que se inserta a continuación:</w:t>
      </w:r>
    </w:p>
    <w:p w:rsidR="005819EF" w:rsidRDefault="00AF0EB7" w:rsidP="005819EF">
      <w:pPr>
        <w:pStyle w:val="Prrafodelista"/>
        <w:spacing w:before="100" w:beforeAutospacing="1" w:after="100" w:afterAutospacing="1" w:line="360" w:lineRule="auto"/>
        <w:ind w:left="0"/>
        <w:jc w:val="center"/>
        <w:rPr>
          <w:rFonts w:ascii="Palatino Linotype" w:hAnsi="Palatino Linotype" w:cs="Arial"/>
        </w:rPr>
      </w:pPr>
      <w:r>
        <w:rPr>
          <w:noProof/>
          <w:lang w:eastAsia="es-MX"/>
        </w:rPr>
        <w:drawing>
          <wp:inline distT="0" distB="0" distL="0" distR="0" wp14:anchorId="5C22E450" wp14:editId="3CE82449">
            <wp:extent cx="4862116" cy="2763297"/>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7091" t="11875" r="14989" b="19507"/>
                    <a:stretch/>
                  </pic:blipFill>
                  <pic:spPr bwMode="auto">
                    <a:xfrm>
                      <a:off x="0" y="0"/>
                      <a:ext cx="4872446" cy="2769168"/>
                    </a:xfrm>
                    <a:prstGeom prst="rect">
                      <a:avLst/>
                    </a:prstGeom>
                    <a:ln>
                      <a:noFill/>
                    </a:ln>
                    <a:extLst>
                      <a:ext uri="{53640926-AAD7-44D8-BBD7-CCE9431645EC}">
                        <a14:shadowObscured xmlns:a14="http://schemas.microsoft.com/office/drawing/2010/main"/>
                      </a:ext>
                    </a:extLst>
                  </pic:spPr>
                </pic:pic>
              </a:graphicData>
            </a:graphic>
          </wp:inline>
        </w:drawing>
      </w:r>
      <w:bookmarkStart w:id="0" w:name="_GoBack"/>
      <w:bookmarkEnd w:id="0"/>
    </w:p>
    <w:p w:rsidR="00AF0EB7" w:rsidRDefault="00AF0EB7" w:rsidP="005819EF">
      <w:pPr>
        <w:pStyle w:val="Prrafodelista"/>
        <w:spacing w:before="100" w:beforeAutospacing="1" w:after="100" w:afterAutospacing="1" w:line="360" w:lineRule="auto"/>
        <w:ind w:left="0"/>
        <w:jc w:val="center"/>
        <w:rPr>
          <w:rFonts w:ascii="Palatino Linotype" w:hAnsi="Palatino Linotype" w:cs="Arial"/>
        </w:rPr>
      </w:pPr>
      <w:r>
        <w:rPr>
          <w:noProof/>
          <w:lang w:eastAsia="es-MX"/>
        </w:rPr>
        <w:lastRenderedPageBreak/>
        <w:drawing>
          <wp:inline distT="0" distB="0" distL="0" distR="0" wp14:anchorId="50767273" wp14:editId="7B3839B5">
            <wp:extent cx="4043343" cy="2708031"/>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2296" t="14497" r="21235" b="18273"/>
                    <a:stretch/>
                  </pic:blipFill>
                  <pic:spPr bwMode="auto">
                    <a:xfrm>
                      <a:off x="0" y="0"/>
                      <a:ext cx="4056512" cy="2716851"/>
                    </a:xfrm>
                    <a:prstGeom prst="rect">
                      <a:avLst/>
                    </a:prstGeom>
                    <a:ln>
                      <a:noFill/>
                    </a:ln>
                    <a:extLst>
                      <a:ext uri="{53640926-AAD7-44D8-BBD7-CCE9431645EC}">
                        <a14:shadowObscured xmlns:a14="http://schemas.microsoft.com/office/drawing/2010/main"/>
                      </a:ext>
                    </a:extLst>
                  </pic:spPr>
                </pic:pic>
              </a:graphicData>
            </a:graphic>
          </wp:inline>
        </w:drawing>
      </w:r>
    </w:p>
    <w:p w:rsidR="00AF0EB7" w:rsidRDefault="00AF0EB7" w:rsidP="005819EF">
      <w:pPr>
        <w:pStyle w:val="Prrafodelista"/>
        <w:spacing w:before="100" w:beforeAutospacing="1" w:after="100" w:afterAutospacing="1" w:line="360" w:lineRule="auto"/>
        <w:ind w:left="0"/>
        <w:jc w:val="center"/>
        <w:rPr>
          <w:rFonts w:ascii="Palatino Linotype" w:hAnsi="Palatino Linotype" w:cs="Arial"/>
        </w:rPr>
      </w:pPr>
      <w:r>
        <w:rPr>
          <w:noProof/>
          <w:lang w:eastAsia="es-MX"/>
        </w:rPr>
        <w:drawing>
          <wp:inline distT="0" distB="0" distL="0" distR="0" wp14:anchorId="68FF7D07" wp14:editId="7ECC1591">
            <wp:extent cx="3785653" cy="2778369"/>
            <wp:effectExtent l="0" t="0" r="5715" b="317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5505" t="25445" r="24618" b="9485"/>
                    <a:stretch/>
                  </pic:blipFill>
                  <pic:spPr bwMode="auto">
                    <a:xfrm>
                      <a:off x="0" y="0"/>
                      <a:ext cx="3797154" cy="2786810"/>
                    </a:xfrm>
                    <a:prstGeom prst="rect">
                      <a:avLst/>
                    </a:prstGeom>
                    <a:ln>
                      <a:noFill/>
                    </a:ln>
                    <a:extLst>
                      <a:ext uri="{53640926-AAD7-44D8-BBD7-CCE9431645EC}">
                        <a14:shadowObscured xmlns:a14="http://schemas.microsoft.com/office/drawing/2010/main"/>
                      </a:ext>
                    </a:extLst>
                  </pic:spPr>
                </pic:pic>
              </a:graphicData>
            </a:graphic>
          </wp:inline>
        </w:drawing>
      </w:r>
    </w:p>
    <w:p w:rsidR="00AF0EB7" w:rsidRDefault="00AF0EB7" w:rsidP="005819EF">
      <w:pPr>
        <w:pStyle w:val="Prrafodelista"/>
        <w:spacing w:before="100" w:beforeAutospacing="1" w:after="100" w:afterAutospacing="1" w:line="360" w:lineRule="auto"/>
        <w:ind w:left="0"/>
        <w:jc w:val="center"/>
        <w:rPr>
          <w:rFonts w:ascii="Palatino Linotype" w:hAnsi="Palatino Linotype" w:cs="Arial"/>
        </w:rPr>
      </w:pPr>
      <w:r>
        <w:rPr>
          <w:noProof/>
          <w:lang w:eastAsia="es-MX"/>
        </w:rPr>
        <w:lastRenderedPageBreak/>
        <w:drawing>
          <wp:inline distT="0" distB="0" distL="0" distR="0" wp14:anchorId="79CBDCC4" wp14:editId="1C28C03C">
            <wp:extent cx="4086205" cy="256233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0211" t="12799" r="22102" b="22899"/>
                    <a:stretch/>
                  </pic:blipFill>
                  <pic:spPr bwMode="auto">
                    <a:xfrm>
                      <a:off x="0" y="0"/>
                      <a:ext cx="4097218" cy="2569236"/>
                    </a:xfrm>
                    <a:prstGeom prst="rect">
                      <a:avLst/>
                    </a:prstGeom>
                    <a:ln>
                      <a:noFill/>
                    </a:ln>
                    <a:extLst>
                      <a:ext uri="{53640926-AAD7-44D8-BBD7-CCE9431645EC}">
                        <a14:shadowObscured xmlns:a14="http://schemas.microsoft.com/office/drawing/2010/main"/>
                      </a:ext>
                    </a:extLst>
                  </pic:spPr>
                </pic:pic>
              </a:graphicData>
            </a:graphic>
          </wp:inline>
        </w:drawing>
      </w:r>
    </w:p>
    <w:p w:rsidR="00AF0EB7" w:rsidRDefault="0060591E" w:rsidP="005819EF">
      <w:pPr>
        <w:pStyle w:val="Prrafodelista"/>
        <w:spacing w:before="100" w:beforeAutospacing="1" w:after="100" w:afterAutospacing="1" w:line="360" w:lineRule="auto"/>
        <w:ind w:left="0"/>
        <w:jc w:val="center"/>
        <w:rPr>
          <w:rFonts w:ascii="Palatino Linotype" w:hAnsi="Palatino Linotype" w:cs="Arial"/>
        </w:rPr>
      </w:pPr>
      <w:r w:rsidRPr="0060591E">
        <w:rPr>
          <w:noProof/>
          <w:lang w:eastAsia="es-MX"/>
        </w:rPr>
        <w:t xml:space="preserve"> </w:t>
      </w:r>
      <w:r>
        <w:rPr>
          <w:noProof/>
          <w:lang w:eastAsia="es-MX"/>
        </w:rPr>
        <w:drawing>
          <wp:inline distT="0" distB="0" distL="0" distR="0" wp14:anchorId="584CC35B" wp14:editId="5F8444E3">
            <wp:extent cx="3804477" cy="2470245"/>
            <wp:effectExtent l="0" t="0" r="5715" b="635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3701" t="41265" r="32372" b="19576"/>
                    <a:stretch/>
                  </pic:blipFill>
                  <pic:spPr bwMode="auto">
                    <a:xfrm>
                      <a:off x="0" y="0"/>
                      <a:ext cx="3833144" cy="2488859"/>
                    </a:xfrm>
                    <a:prstGeom prst="rect">
                      <a:avLst/>
                    </a:prstGeom>
                    <a:ln>
                      <a:noFill/>
                    </a:ln>
                    <a:extLst>
                      <a:ext uri="{53640926-AAD7-44D8-BBD7-CCE9431645EC}">
                        <a14:shadowObscured xmlns:a14="http://schemas.microsoft.com/office/drawing/2010/main"/>
                      </a:ext>
                    </a:extLst>
                  </pic:spPr>
                </pic:pic>
              </a:graphicData>
            </a:graphic>
          </wp:inline>
        </w:drawing>
      </w:r>
    </w:p>
    <w:p w:rsidR="00E957A2" w:rsidRDefault="0060591E" w:rsidP="005819EF">
      <w:pPr>
        <w:pStyle w:val="Prrafodelista"/>
        <w:spacing w:before="100" w:beforeAutospacing="1" w:after="100" w:afterAutospacing="1" w:line="360" w:lineRule="auto"/>
        <w:ind w:left="0"/>
        <w:jc w:val="center"/>
        <w:rPr>
          <w:rFonts w:ascii="Palatino Linotype" w:hAnsi="Palatino Linotype" w:cs="Arial"/>
        </w:rPr>
      </w:pPr>
      <w:r w:rsidRPr="0060591E">
        <w:rPr>
          <w:noProof/>
          <w:lang w:eastAsia="es-MX"/>
        </w:rPr>
        <w:t xml:space="preserve"> </w:t>
      </w:r>
      <w:r>
        <w:rPr>
          <w:noProof/>
          <w:lang w:eastAsia="es-MX"/>
        </w:rPr>
        <w:drawing>
          <wp:inline distT="0" distB="0" distL="0" distR="0" wp14:anchorId="7ADBE64A" wp14:editId="42E20C92">
            <wp:extent cx="5065373" cy="1808329"/>
            <wp:effectExtent l="0" t="0" r="2540" b="190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8521" t="39386" r="26944" b="32351"/>
                    <a:stretch/>
                  </pic:blipFill>
                  <pic:spPr bwMode="auto">
                    <a:xfrm>
                      <a:off x="0" y="0"/>
                      <a:ext cx="5110542" cy="1824454"/>
                    </a:xfrm>
                    <a:prstGeom prst="rect">
                      <a:avLst/>
                    </a:prstGeom>
                    <a:ln>
                      <a:noFill/>
                    </a:ln>
                    <a:extLst>
                      <a:ext uri="{53640926-AAD7-44D8-BBD7-CCE9431645EC}">
                        <a14:shadowObscured xmlns:a14="http://schemas.microsoft.com/office/drawing/2010/main"/>
                      </a:ext>
                    </a:extLst>
                  </pic:spPr>
                </pic:pic>
              </a:graphicData>
            </a:graphic>
          </wp:inline>
        </w:drawing>
      </w:r>
    </w:p>
    <w:p w:rsidR="00EB6EA4" w:rsidRPr="00C37FD9" w:rsidRDefault="00EB6EA4" w:rsidP="00EB6EA4">
      <w:pPr>
        <w:spacing w:before="100" w:beforeAutospacing="1" w:after="100" w:afterAutospacing="1" w:line="360" w:lineRule="auto"/>
        <w:jc w:val="center"/>
        <w:rPr>
          <w:rFonts w:ascii="Palatino Linotype" w:hAnsi="Palatino Linotype"/>
          <w:b/>
          <w:bCs/>
          <w:spacing w:val="60"/>
          <w:sz w:val="28"/>
        </w:rPr>
      </w:pPr>
      <w:r w:rsidRPr="00C37FD9">
        <w:rPr>
          <w:rFonts w:ascii="Palatino Linotype" w:hAnsi="Palatino Linotype"/>
          <w:b/>
          <w:bCs/>
          <w:spacing w:val="60"/>
          <w:sz w:val="28"/>
        </w:rPr>
        <w:lastRenderedPageBreak/>
        <w:t>CONSIDERANDO</w:t>
      </w:r>
    </w:p>
    <w:p w:rsidR="00EB6EA4" w:rsidRPr="0038739C" w:rsidRDefault="00EB6EA4" w:rsidP="00EB6EA4">
      <w:pPr>
        <w:widowControl w:val="0"/>
        <w:autoSpaceDE w:val="0"/>
        <w:autoSpaceDN w:val="0"/>
        <w:adjustRightInd w:val="0"/>
        <w:spacing w:before="100" w:beforeAutospacing="1" w:after="100" w:afterAutospacing="1" w:line="360" w:lineRule="auto"/>
        <w:jc w:val="both"/>
        <w:rPr>
          <w:rFonts w:ascii="Palatino Linotype" w:hAnsi="Palatino Linotype" w:cs="Arial"/>
        </w:rPr>
      </w:pPr>
      <w:r w:rsidRPr="0038739C">
        <w:rPr>
          <w:rFonts w:ascii="Palatino Linotype" w:hAnsi="Palatino Linotype" w:cs="Arial"/>
          <w:b/>
          <w:sz w:val="28"/>
          <w:szCs w:val="28"/>
        </w:rPr>
        <w:t>PRIMERO</w:t>
      </w:r>
      <w:r>
        <w:rPr>
          <w:rFonts w:ascii="Palatino Linotype" w:hAnsi="Palatino Linotype" w:cs="Arial"/>
          <w:b/>
        </w:rPr>
        <w:t xml:space="preserve">. </w:t>
      </w:r>
      <w:r w:rsidRPr="0038739C">
        <w:rPr>
          <w:rFonts w:ascii="Palatino Linotype" w:hAnsi="Palatino Linotype" w:cs="Arial"/>
          <w:b/>
        </w:rPr>
        <w:t>Competencia.</w:t>
      </w:r>
      <w:r w:rsidRPr="0038739C">
        <w:rPr>
          <w:rFonts w:ascii="Palatino Linotype" w:hAnsi="Palatino Linotype" w:cs="Arial"/>
        </w:rPr>
        <w:t xml:space="preserve"> Este Instituto de Transparencia, Acceso a la Información Pública y Protección de Datos Personales del Estado de México y Municipios, es competente para conocer y resolver el presente recurso, conforme a lo dispuesto en el artículo 6, Apartado A, de la Constitución Política de los Estados Unidos Mexicanos; el artículo 5, párrafos vigésimo segundo, vigésimo tercero y vigésimo cuarto, fracciones IV y V, de la Constitución Política del Estado Libre y Soberano de México; los artículos 2, fracción II, 13, 29, 36, fracciones I y II, 176, 178, 179, 181, párrafo tercero y 185, de la Ley de Transparencia y Acceso a la Información Pública del Estado de México y Municipios, y los artículos 9, fracciones I y XXIV y 11, del Reglamento Interior del Instituto de Transparencia, Acceso a la Información Pública y Protección de Datos Personales del Estado de México y Municipios.</w:t>
      </w:r>
    </w:p>
    <w:p w:rsidR="00EB6EA4" w:rsidRDefault="00EB6EA4" w:rsidP="00EB6EA4">
      <w:pPr>
        <w:pStyle w:val="Prrafodelista"/>
        <w:widowControl w:val="0"/>
        <w:autoSpaceDE w:val="0"/>
        <w:autoSpaceDN w:val="0"/>
        <w:adjustRightInd w:val="0"/>
        <w:spacing w:before="100" w:beforeAutospacing="1" w:after="100" w:afterAutospacing="1" w:line="360" w:lineRule="auto"/>
        <w:ind w:left="0"/>
        <w:jc w:val="both"/>
        <w:rPr>
          <w:rFonts w:ascii="Palatino Linotype" w:hAnsi="Palatino Linotype" w:cs="Arial"/>
          <w:b/>
          <w:bCs/>
        </w:rPr>
      </w:pPr>
      <w:r w:rsidRPr="007B00AF">
        <w:rPr>
          <w:rFonts w:ascii="Palatino Linotype" w:hAnsi="Palatino Linotype" w:cs="Arial"/>
          <w:b/>
          <w:sz w:val="28"/>
          <w:szCs w:val="28"/>
        </w:rPr>
        <w:t>SEGUNDO.</w:t>
      </w:r>
      <w:r w:rsidRPr="007B00AF">
        <w:rPr>
          <w:rFonts w:ascii="Palatino Linotype" w:hAnsi="Palatino Linotype" w:cs="Arial"/>
          <w:b/>
        </w:rPr>
        <w:t xml:space="preserve"> </w:t>
      </w:r>
      <w:r>
        <w:rPr>
          <w:rFonts w:ascii="Palatino Linotype" w:hAnsi="Palatino Linotype" w:cs="Arial"/>
          <w:b/>
        </w:rPr>
        <w:t>L</w:t>
      </w:r>
      <w:r w:rsidRPr="00856FEC">
        <w:rPr>
          <w:rFonts w:ascii="Palatino Linotype" w:hAnsi="Palatino Linotype"/>
          <w:b/>
        </w:rPr>
        <w:t>egitimación</w:t>
      </w:r>
      <w:r w:rsidRPr="00856FEC">
        <w:rPr>
          <w:rFonts w:ascii="Palatino Linotype" w:hAnsi="Palatino Linotype"/>
          <w:b/>
          <w:sz w:val="28"/>
          <w:szCs w:val="28"/>
        </w:rPr>
        <w:t>.</w:t>
      </w:r>
      <w:r w:rsidRPr="00856FEC">
        <w:rPr>
          <w:rFonts w:ascii="Palatino Linotype" w:hAnsi="Palatino Linotype" w:cs="Arial"/>
        </w:rPr>
        <w:t xml:space="preserve"> </w:t>
      </w:r>
      <w:r w:rsidRPr="00856FEC">
        <w:rPr>
          <w:rFonts w:ascii="Palatino Linotype" w:hAnsi="Palatino Linotype" w:cs="Arial"/>
          <w:bCs/>
        </w:rPr>
        <w:t xml:space="preserve">El recurso de revisión fue interpuesto </w:t>
      </w:r>
      <w:r w:rsidRPr="00856FEC">
        <w:rPr>
          <w:rFonts w:ascii="Palatino Linotype" w:hAnsi="Palatino Linotype"/>
        </w:rPr>
        <w:t>por</w:t>
      </w:r>
      <w:r w:rsidRPr="00856FEC">
        <w:rPr>
          <w:rFonts w:ascii="Palatino Linotype" w:hAnsi="Palatino Linotype" w:cs="Arial"/>
          <w:bCs/>
        </w:rPr>
        <w:t xml:space="preserve"> </w:t>
      </w:r>
      <w:r w:rsidRPr="00856FEC">
        <w:rPr>
          <w:rFonts w:ascii="Palatino Linotype" w:hAnsi="Palatino Linotype" w:cs="Arial"/>
          <w:b/>
          <w:bCs/>
        </w:rPr>
        <w:t>EL RECURRENTE,</w:t>
      </w:r>
      <w:r w:rsidR="00E957A2">
        <w:rPr>
          <w:rFonts w:ascii="Palatino Linotype" w:hAnsi="Palatino Linotype" w:cs="Arial"/>
          <w:bCs/>
        </w:rPr>
        <w:t xml:space="preserve"> quien a su vez f</w:t>
      </w:r>
      <w:r w:rsidRPr="00856FEC">
        <w:rPr>
          <w:rFonts w:ascii="Palatino Linotype" w:hAnsi="Palatino Linotype" w:cs="Arial"/>
          <w:bCs/>
        </w:rPr>
        <w:t xml:space="preserve">ormuló </w:t>
      </w:r>
      <w:r w:rsidRPr="00856FEC">
        <w:rPr>
          <w:rFonts w:ascii="Palatino Linotype" w:hAnsi="Palatino Linotype"/>
        </w:rPr>
        <w:t xml:space="preserve">la solicitud de acceso a datos personales </w:t>
      </w:r>
      <w:r w:rsidR="00D561BA">
        <w:rPr>
          <w:rFonts w:ascii="Palatino Linotype" w:hAnsi="Palatino Linotype"/>
          <w:b/>
          <w:bCs/>
        </w:rPr>
        <w:t>00445</w:t>
      </w:r>
      <w:r>
        <w:rPr>
          <w:rFonts w:ascii="Palatino Linotype" w:hAnsi="Palatino Linotype"/>
          <w:b/>
          <w:bCs/>
        </w:rPr>
        <w:t>/</w:t>
      </w:r>
      <w:r w:rsidR="00D561BA">
        <w:rPr>
          <w:rFonts w:ascii="Palatino Linotype" w:hAnsi="Palatino Linotype"/>
          <w:b/>
          <w:bCs/>
        </w:rPr>
        <w:t>ISSEMYM</w:t>
      </w:r>
      <w:r>
        <w:rPr>
          <w:rFonts w:ascii="Palatino Linotype" w:hAnsi="Palatino Linotype"/>
          <w:b/>
          <w:bCs/>
        </w:rPr>
        <w:t>/IP</w:t>
      </w:r>
      <w:r w:rsidRPr="00856FEC">
        <w:rPr>
          <w:rFonts w:ascii="Palatino Linotype" w:hAnsi="Palatino Linotype"/>
          <w:b/>
          <w:bCs/>
        </w:rPr>
        <w:t>/201</w:t>
      </w:r>
      <w:r>
        <w:rPr>
          <w:rFonts w:ascii="Palatino Linotype" w:hAnsi="Palatino Linotype"/>
          <w:b/>
          <w:bCs/>
        </w:rPr>
        <w:t>9</w:t>
      </w:r>
      <w:r w:rsidRPr="00856FEC">
        <w:rPr>
          <w:rFonts w:ascii="Palatino Linotype" w:hAnsi="Palatino Linotype"/>
          <w:b/>
          <w:bCs/>
        </w:rPr>
        <w:t xml:space="preserve"> </w:t>
      </w:r>
      <w:r w:rsidRPr="00856FEC">
        <w:rPr>
          <w:rFonts w:ascii="Palatino Linotype" w:hAnsi="Palatino Linotype" w:cs="Arial"/>
          <w:bCs/>
        </w:rPr>
        <w:t xml:space="preserve">ante </w:t>
      </w:r>
      <w:r w:rsidRPr="00856FEC">
        <w:rPr>
          <w:rFonts w:ascii="Palatino Linotype" w:hAnsi="Palatino Linotype" w:cs="Arial"/>
          <w:b/>
          <w:bCs/>
        </w:rPr>
        <w:t>EL</w:t>
      </w:r>
      <w:r w:rsidRPr="00856FEC">
        <w:rPr>
          <w:rFonts w:ascii="Palatino Linotype" w:hAnsi="Palatino Linotype" w:cs="Arial"/>
          <w:bCs/>
        </w:rPr>
        <w:t xml:space="preserve"> </w:t>
      </w:r>
      <w:r w:rsidRPr="00856FEC">
        <w:rPr>
          <w:rFonts w:ascii="Palatino Linotype" w:hAnsi="Palatino Linotype" w:cs="Arial"/>
          <w:b/>
          <w:bCs/>
        </w:rPr>
        <w:t>SUJETO OBLIGADO.</w:t>
      </w:r>
    </w:p>
    <w:p w:rsidR="00EB6EA4" w:rsidRPr="00856FEC" w:rsidRDefault="00EB6EA4" w:rsidP="00EB6EA4">
      <w:pPr>
        <w:pStyle w:val="Prrafodelista"/>
        <w:widowControl w:val="0"/>
        <w:autoSpaceDE w:val="0"/>
        <w:autoSpaceDN w:val="0"/>
        <w:adjustRightInd w:val="0"/>
        <w:spacing w:before="100" w:beforeAutospacing="1" w:after="100" w:afterAutospacing="1" w:line="360" w:lineRule="auto"/>
        <w:ind w:left="0"/>
        <w:jc w:val="both"/>
        <w:rPr>
          <w:rFonts w:ascii="Palatino Linotype" w:hAnsi="Palatino Linotype" w:cs="Arial"/>
          <w:bCs/>
        </w:rPr>
      </w:pPr>
      <w:r w:rsidRPr="00856FEC">
        <w:rPr>
          <w:rFonts w:ascii="Palatino Linotype" w:hAnsi="Palatino Linotype" w:cs="Arial"/>
          <w:bCs/>
        </w:rPr>
        <w:t>Así, para la interposición del recurso de revisión en materia de derechos ARCO</w:t>
      </w:r>
      <w:r w:rsidR="00E957A2">
        <w:rPr>
          <w:rStyle w:val="Refdenotaalpie"/>
          <w:rFonts w:ascii="Palatino Linotype" w:hAnsi="Palatino Linotype" w:cs="Arial"/>
          <w:bCs/>
        </w:rPr>
        <w:footnoteReference w:id="1"/>
      </w:r>
      <w:r w:rsidRPr="00856FEC">
        <w:rPr>
          <w:rFonts w:ascii="Palatino Linotype" w:hAnsi="Palatino Linotype" w:cs="Arial"/>
          <w:bCs/>
        </w:rPr>
        <w:t xml:space="preserve">, </w:t>
      </w:r>
      <w:r w:rsidRPr="00856FEC">
        <w:rPr>
          <w:rFonts w:ascii="Palatino Linotype" w:hAnsi="Palatino Linotype" w:cs="Arial"/>
          <w:b/>
          <w:bCs/>
        </w:rPr>
        <w:t xml:space="preserve">EL RECURRENTE </w:t>
      </w:r>
      <w:r w:rsidRPr="00856FEC">
        <w:rPr>
          <w:rFonts w:ascii="Palatino Linotype" w:hAnsi="Palatino Linotype" w:cs="Arial"/>
          <w:bCs/>
        </w:rPr>
        <w:t xml:space="preserve">debió haber acreditado su identidad de conformidad con el artículo 120 de la </w:t>
      </w:r>
      <w:r w:rsidRPr="00856FEC">
        <w:rPr>
          <w:rFonts w:ascii="Palatino Linotype" w:hAnsi="Palatino Linotype"/>
        </w:rPr>
        <w:t>Ley de Protección de Datos Personales en Posesión de Sujetos Obligados del Estado de México y Municipios, mismo que para mayor referencia se inserta a continuación:</w:t>
      </w:r>
    </w:p>
    <w:p w:rsidR="00EB6EA4" w:rsidRPr="00856FEC" w:rsidRDefault="00EB6EA4" w:rsidP="00EB6EA4">
      <w:pPr>
        <w:pStyle w:val="Prrafodelista"/>
        <w:widowControl w:val="0"/>
        <w:autoSpaceDE w:val="0"/>
        <w:autoSpaceDN w:val="0"/>
        <w:adjustRightInd w:val="0"/>
        <w:ind w:left="851" w:right="902"/>
        <w:jc w:val="both"/>
        <w:rPr>
          <w:rFonts w:ascii="Palatino Linotype" w:hAnsi="Palatino Linotype"/>
          <w:b/>
          <w:i/>
          <w:sz w:val="22"/>
          <w:szCs w:val="22"/>
        </w:rPr>
      </w:pPr>
      <w:r w:rsidRPr="00856FEC">
        <w:rPr>
          <w:rFonts w:ascii="Palatino Linotype" w:hAnsi="Palatino Linotype"/>
          <w:b/>
          <w:i/>
          <w:sz w:val="22"/>
          <w:szCs w:val="22"/>
        </w:rPr>
        <w:t xml:space="preserve">“Medios para acreditar identidad </w:t>
      </w:r>
    </w:p>
    <w:p w:rsidR="00EB6EA4" w:rsidRPr="00856FEC" w:rsidRDefault="00EB6EA4" w:rsidP="00EB6EA4">
      <w:pPr>
        <w:pStyle w:val="Prrafodelista"/>
        <w:widowControl w:val="0"/>
        <w:autoSpaceDE w:val="0"/>
        <w:autoSpaceDN w:val="0"/>
        <w:adjustRightInd w:val="0"/>
        <w:ind w:left="851" w:right="902"/>
        <w:jc w:val="both"/>
        <w:rPr>
          <w:rFonts w:ascii="Palatino Linotype" w:hAnsi="Palatino Linotype"/>
          <w:i/>
          <w:sz w:val="22"/>
          <w:szCs w:val="22"/>
        </w:rPr>
      </w:pPr>
      <w:r w:rsidRPr="00856FEC">
        <w:rPr>
          <w:rFonts w:ascii="Palatino Linotype" w:hAnsi="Palatino Linotype"/>
          <w:b/>
          <w:i/>
          <w:sz w:val="22"/>
          <w:szCs w:val="22"/>
        </w:rPr>
        <w:lastRenderedPageBreak/>
        <w:t>Artículo 120.</w:t>
      </w:r>
      <w:r w:rsidRPr="00856FEC">
        <w:rPr>
          <w:rFonts w:ascii="Palatino Linotype" w:hAnsi="Palatino Linotype"/>
          <w:i/>
          <w:sz w:val="22"/>
          <w:szCs w:val="22"/>
        </w:rPr>
        <w:t xml:space="preserve"> </w:t>
      </w:r>
      <w:r w:rsidRPr="00856FEC">
        <w:rPr>
          <w:rFonts w:ascii="Palatino Linotype" w:hAnsi="Palatino Linotype"/>
          <w:b/>
          <w:i/>
          <w:sz w:val="22"/>
          <w:szCs w:val="22"/>
        </w:rPr>
        <w:t xml:space="preserve">El titular podrá acreditar su identidad a través de cualquiera de los medios siguientes: </w:t>
      </w:r>
    </w:p>
    <w:p w:rsidR="00EB6EA4" w:rsidRPr="00856FEC" w:rsidRDefault="00EB6EA4" w:rsidP="00EB6EA4">
      <w:pPr>
        <w:pStyle w:val="Prrafodelista"/>
        <w:widowControl w:val="0"/>
        <w:autoSpaceDE w:val="0"/>
        <w:autoSpaceDN w:val="0"/>
        <w:adjustRightInd w:val="0"/>
        <w:ind w:left="851" w:right="902"/>
        <w:jc w:val="both"/>
        <w:rPr>
          <w:rFonts w:ascii="Palatino Linotype" w:hAnsi="Palatino Linotype"/>
          <w:b/>
          <w:i/>
          <w:sz w:val="22"/>
          <w:szCs w:val="22"/>
        </w:rPr>
      </w:pPr>
      <w:r w:rsidRPr="00856FEC">
        <w:rPr>
          <w:rFonts w:ascii="Palatino Linotype" w:hAnsi="Palatino Linotype"/>
          <w:b/>
          <w:i/>
          <w:sz w:val="22"/>
          <w:szCs w:val="22"/>
        </w:rPr>
        <w:t xml:space="preserve">I. Identificación oficial. </w:t>
      </w:r>
    </w:p>
    <w:p w:rsidR="00EB6EA4" w:rsidRPr="00856FEC" w:rsidRDefault="00EB6EA4" w:rsidP="00EB6EA4">
      <w:pPr>
        <w:pStyle w:val="Prrafodelista"/>
        <w:widowControl w:val="0"/>
        <w:autoSpaceDE w:val="0"/>
        <w:autoSpaceDN w:val="0"/>
        <w:adjustRightInd w:val="0"/>
        <w:ind w:left="851" w:right="902"/>
        <w:jc w:val="both"/>
        <w:rPr>
          <w:rFonts w:ascii="Palatino Linotype" w:hAnsi="Palatino Linotype"/>
          <w:i/>
          <w:sz w:val="22"/>
          <w:szCs w:val="22"/>
        </w:rPr>
      </w:pPr>
      <w:r w:rsidRPr="00856FEC">
        <w:rPr>
          <w:rFonts w:ascii="Palatino Linotype" w:hAnsi="Palatino Linotype"/>
          <w:i/>
          <w:sz w:val="22"/>
          <w:szCs w:val="22"/>
        </w:rPr>
        <w:t xml:space="preserve">II. Firma electrónica avanzada o del instrumento electrónico que lo sustituya. </w:t>
      </w:r>
    </w:p>
    <w:p w:rsidR="00EB6EA4" w:rsidRPr="00856FEC" w:rsidRDefault="00EB6EA4" w:rsidP="00EB6EA4">
      <w:pPr>
        <w:pStyle w:val="Prrafodelista"/>
        <w:widowControl w:val="0"/>
        <w:autoSpaceDE w:val="0"/>
        <w:autoSpaceDN w:val="0"/>
        <w:adjustRightInd w:val="0"/>
        <w:ind w:left="851" w:right="902"/>
        <w:jc w:val="both"/>
        <w:rPr>
          <w:rFonts w:ascii="Palatino Linotype" w:hAnsi="Palatino Linotype"/>
          <w:i/>
          <w:sz w:val="22"/>
          <w:szCs w:val="22"/>
        </w:rPr>
      </w:pPr>
      <w:r w:rsidRPr="00856FEC">
        <w:rPr>
          <w:rFonts w:ascii="Palatino Linotype" w:hAnsi="Palatino Linotype"/>
          <w:i/>
          <w:sz w:val="22"/>
          <w:szCs w:val="22"/>
        </w:rPr>
        <w:t xml:space="preserve">III. Mecanismos de autenticación autorizados por el Instituto o el Instituto Nacional publicados por acuerdo general en el periódico oficial “Gaceta del Gobierno” o en el Diario Oficial de la Federación. </w:t>
      </w:r>
    </w:p>
    <w:p w:rsidR="00EB6EA4" w:rsidRPr="00856FEC" w:rsidRDefault="00EB6EA4" w:rsidP="00EB6EA4">
      <w:pPr>
        <w:pStyle w:val="Prrafodelista"/>
        <w:widowControl w:val="0"/>
        <w:autoSpaceDE w:val="0"/>
        <w:autoSpaceDN w:val="0"/>
        <w:adjustRightInd w:val="0"/>
        <w:ind w:left="851" w:right="902"/>
        <w:jc w:val="both"/>
        <w:rPr>
          <w:rFonts w:ascii="Palatino Linotype" w:hAnsi="Palatino Linotype"/>
          <w:i/>
          <w:sz w:val="22"/>
          <w:szCs w:val="22"/>
        </w:rPr>
      </w:pPr>
      <w:r w:rsidRPr="00856FEC">
        <w:rPr>
          <w:rFonts w:ascii="Palatino Linotype" w:hAnsi="Palatino Linotype"/>
          <w:i/>
          <w:sz w:val="22"/>
          <w:szCs w:val="22"/>
        </w:rPr>
        <w:t>La utilización de la firma electrónica avanzada o del instrumento electrónico que lo sustituya eximirá de la presentación de la copia del documento de identificación.”</w:t>
      </w:r>
    </w:p>
    <w:p w:rsidR="00EB6EA4" w:rsidRPr="00856FEC" w:rsidRDefault="00EB6EA4" w:rsidP="00EB6EA4">
      <w:pPr>
        <w:pStyle w:val="Prrafodelista"/>
        <w:widowControl w:val="0"/>
        <w:autoSpaceDE w:val="0"/>
        <w:autoSpaceDN w:val="0"/>
        <w:adjustRightInd w:val="0"/>
        <w:ind w:left="851" w:right="902"/>
        <w:jc w:val="both"/>
        <w:rPr>
          <w:rFonts w:ascii="Palatino Linotype" w:hAnsi="Palatino Linotype"/>
          <w:i/>
          <w:sz w:val="22"/>
          <w:szCs w:val="22"/>
        </w:rPr>
      </w:pPr>
      <w:r w:rsidRPr="00856FEC">
        <w:rPr>
          <w:rFonts w:ascii="Palatino Linotype" w:hAnsi="Palatino Linotype"/>
          <w:i/>
          <w:sz w:val="22"/>
          <w:szCs w:val="22"/>
        </w:rPr>
        <w:t>(Énfasis añadido)</w:t>
      </w:r>
    </w:p>
    <w:p w:rsidR="00EB6EA4" w:rsidRPr="003437E0" w:rsidRDefault="00EB6EA4" w:rsidP="00EB6EA4">
      <w:pPr>
        <w:pStyle w:val="Prrafodelista"/>
        <w:widowControl w:val="0"/>
        <w:autoSpaceDE w:val="0"/>
        <w:autoSpaceDN w:val="0"/>
        <w:adjustRightInd w:val="0"/>
        <w:spacing w:before="100" w:beforeAutospacing="1" w:after="100" w:afterAutospacing="1" w:line="360" w:lineRule="auto"/>
        <w:ind w:left="0"/>
        <w:jc w:val="both"/>
        <w:rPr>
          <w:rFonts w:ascii="Palatino Linotype" w:hAnsi="Palatino Linotype"/>
        </w:rPr>
      </w:pPr>
      <w:r w:rsidRPr="00856FEC">
        <w:rPr>
          <w:rFonts w:ascii="Palatino Linotype" w:hAnsi="Palatino Linotype"/>
        </w:rPr>
        <w:t xml:space="preserve">En el presente asunto, el particular </w:t>
      </w:r>
      <w:r>
        <w:rPr>
          <w:rFonts w:ascii="Palatino Linotype" w:hAnsi="Palatino Linotype"/>
        </w:rPr>
        <w:t xml:space="preserve">no </w:t>
      </w:r>
      <w:r w:rsidRPr="00856FEC">
        <w:rPr>
          <w:rFonts w:ascii="Palatino Linotype" w:hAnsi="Palatino Linotype"/>
        </w:rPr>
        <w:t>a</w:t>
      </w:r>
      <w:r w:rsidR="00D561BA">
        <w:rPr>
          <w:rFonts w:ascii="Palatino Linotype" w:hAnsi="Palatino Linotype"/>
        </w:rPr>
        <w:t xml:space="preserve">credito su identidad; pues, únicamente adjuntó el anverso de su identificación oficial suprimiendo domicilio y firma; </w:t>
      </w:r>
      <w:r w:rsidRPr="00856FEC">
        <w:rPr>
          <w:rFonts w:ascii="Palatino Linotype" w:hAnsi="Palatino Linotype"/>
        </w:rPr>
        <w:t xml:space="preserve">por lo que, </w:t>
      </w:r>
      <w:r>
        <w:rPr>
          <w:rFonts w:ascii="Palatino Linotype" w:hAnsi="Palatino Linotype"/>
        </w:rPr>
        <w:t xml:space="preserve">este Órgano Garante no tiene certeza jurídica de que el particular solicitante del acceso a datos personales sea el Titular de los mismos; sin embargo, de las constancias que obran en el expediente electrónico del </w:t>
      </w:r>
      <w:r w:rsidRPr="0036487F">
        <w:rPr>
          <w:rFonts w:ascii="Palatino Linotype" w:hAnsi="Palatino Linotype"/>
          <w:b/>
        </w:rPr>
        <w:t>SAIMEX</w:t>
      </w:r>
      <w:r>
        <w:rPr>
          <w:rFonts w:ascii="Palatino Linotype" w:hAnsi="Palatino Linotype"/>
        </w:rPr>
        <w:t xml:space="preserve"> se advierte que es </w:t>
      </w:r>
      <w:r>
        <w:rPr>
          <w:rFonts w:ascii="Palatino Linotype" w:hAnsi="Palatino Linotype" w:cs="Arial"/>
        </w:rPr>
        <w:t xml:space="preserve">la misma persona que formuló la solicitud de acceso a la información pública al </w:t>
      </w:r>
      <w:r>
        <w:rPr>
          <w:rFonts w:ascii="Palatino Linotype" w:hAnsi="Palatino Linotype" w:cs="Arial"/>
          <w:b/>
        </w:rPr>
        <w:t>SUJETO OBLIGADO.</w:t>
      </w:r>
    </w:p>
    <w:p w:rsidR="00EB6EA4" w:rsidRPr="001F2CDB" w:rsidRDefault="00EB6EA4" w:rsidP="00EB6EA4">
      <w:pPr>
        <w:pStyle w:val="Prrafodelista"/>
        <w:widowControl w:val="0"/>
        <w:autoSpaceDE w:val="0"/>
        <w:autoSpaceDN w:val="0"/>
        <w:adjustRightInd w:val="0"/>
        <w:spacing w:before="100" w:beforeAutospacing="1" w:after="100" w:afterAutospacing="1" w:line="360" w:lineRule="auto"/>
        <w:ind w:left="0" w:right="49"/>
        <w:jc w:val="both"/>
        <w:rPr>
          <w:rFonts w:ascii="Palatino Linotype" w:hAnsi="Palatino Linotype" w:cs="Arial"/>
        </w:rPr>
      </w:pPr>
      <w:r w:rsidRPr="0038739C">
        <w:rPr>
          <w:rFonts w:ascii="Palatino Linotype" w:hAnsi="Palatino Linotype" w:cs="Arial"/>
          <w:b/>
          <w:sz w:val="28"/>
          <w:szCs w:val="28"/>
        </w:rPr>
        <w:t>TERCERO</w:t>
      </w:r>
      <w:r>
        <w:rPr>
          <w:rFonts w:ascii="Palatino Linotype" w:hAnsi="Palatino Linotype" w:cs="Arial"/>
          <w:b/>
        </w:rPr>
        <w:t xml:space="preserve">. </w:t>
      </w:r>
      <w:r w:rsidRPr="00C37FD9">
        <w:rPr>
          <w:rFonts w:ascii="Palatino Linotype" w:hAnsi="Palatino Linotype" w:cs="Arial"/>
          <w:b/>
        </w:rPr>
        <w:t xml:space="preserve">Oportunidad. </w:t>
      </w:r>
      <w:r w:rsidRPr="001F2CDB">
        <w:rPr>
          <w:rFonts w:ascii="Palatino Linotype" w:hAnsi="Palatino Linotype" w:cs="Arial"/>
        </w:rPr>
        <w:t xml:space="preserve">El recurso de revisión fue interpuesto dentro del plazo de quince días hábiles contados a partir del día siguiente del que </w:t>
      </w:r>
      <w:r>
        <w:rPr>
          <w:rFonts w:ascii="Palatino Linotype" w:hAnsi="Palatino Linotype" w:cs="Arial"/>
          <w:b/>
        </w:rPr>
        <w:t>EL</w:t>
      </w:r>
      <w:r w:rsidRPr="001F2CDB">
        <w:rPr>
          <w:rFonts w:ascii="Palatino Linotype" w:hAnsi="Palatino Linotype" w:cs="Arial"/>
          <w:b/>
        </w:rPr>
        <w:t xml:space="preserve"> RECURRENTE </w:t>
      </w:r>
      <w:r w:rsidRPr="001F2CDB">
        <w:rPr>
          <w:rFonts w:ascii="Palatino Linotype" w:hAnsi="Palatino Linotype" w:cs="Arial"/>
        </w:rPr>
        <w:t>tuvo conocimiento de la respuesta impugnada, ta</w:t>
      </w:r>
      <w:r>
        <w:rPr>
          <w:rFonts w:ascii="Palatino Linotype" w:hAnsi="Palatino Linotype" w:cs="Arial"/>
        </w:rPr>
        <w:t>l y como lo prevé el artículo 12</w:t>
      </w:r>
      <w:r w:rsidRPr="001F2CDB">
        <w:rPr>
          <w:rFonts w:ascii="Palatino Linotype" w:hAnsi="Palatino Linotype" w:cs="Arial"/>
        </w:rPr>
        <w:t xml:space="preserve">8 de la Ley de </w:t>
      </w:r>
      <w:r>
        <w:rPr>
          <w:rFonts w:ascii="Palatino Linotype" w:hAnsi="Palatino Linotype" w:cs="Arial"/>
        </w:rPr>
        <w:t xml:space="preserve">Protección de Datos Personales en Posesión de los Sujetos Obligados </w:t>
      </w:r>
      <w:r w:rsidRPr="001F2CDB">
        <w:rPr>
          <w:rFonts w:ascii="Palatino Linotype" w:hAnsi="Palatino Linotype" w:cs="Arial"/>
        </w:rPr>
        <w:t>del Estado de México y Municipios</w:t>
      </w:r>
      <w:r>
        <w:rPr>
          <w:rFonts w:ascii="Palatino Linotype" w:hAnsi="Palatino Linotype" w:cs="Arial"/>
        </w:rPr>
        <w:t xml:space="preserve">, </w:t>
      </w:r>
      <w:r w:rsidRPr="001F2CDB">
        <w:rPr>
          <w:rFonts w:ascii="Palatino Linotype" w:hAnsi="Palatino Linotype" w:cs="Arial"/>
        </w:rPr>
        <w:t xml:space="preserve">que establece: </w:t>
      </w:r>
    </w:p>
    <w:p w:rsidR="00EB6EA4" w:rsidRDefault="00EB6EA4" w:rsidP="00EB6EA4">
      <w:pPr>
        <w:ind w:left="851" w:right="902"/>
        <w:jc w:val="both"/>
        <w:rPr>
          <w:rFonts w:ascii="Palatino Linotype" w:hAnsi="Palatino Linotype" w:cs="Arial"/>
          <w:i/>
          <w:sz w:val="22"/>
          <w:szCs w:val="22"/>
        </w:rPr>
      </w:pPr>
      <w:r>
        <w:rPr>
          <w:rFonts w:ascii="Palatino Linotype" w:hAnsi="Palatino Linotype" w:cs="Arial"/>
          <w:b/>
          <w:i/>
          <w:sz w:val="22"/>
          <w:szCs w:val="22"/>
        </w:rPr>
        <w:t>“Artículo 12</w:t>
      </w:r>
      <w:r w:rsidRPr="001F2CDB">
        <w:rPr>
          <w:rFonts w:ascii="Palatino Linotype" w:hAnsi="Palatino Linotype" w:cs="Arial"/>
          <w:b/>
          <w:i/>
          <w:sz w:val="22"/>
          <w:szCs w:val="22"/>
        </w:rPr>
        <w:t>8.</w:t>
      </w:r>
      <w:r w:rsidRPr="001F2CDB">
        <w:rPr>
          <w:rFonts w:ascii="Palatino Linotype" w:hAnsi="Palatino Linotype" w:cs="Arial"/>
          <w:i/>
          <w:sz w:val="22"/>
          <w:szCs w:val="22"/>
        </w:rPr>
        <w:t xml:space="preserve"> </w:t>
      </w:r>
      <w:r w:rsidRPr="00BE4BC5">
        <w:rPr>
          <w:rFonts w:ascii="Palatino Linotype" w:hAnsi="Palatino Linotype" w:cs="Arial"/>
          <w:i/>
          <w:sz w:val="22"/>
          <w:szCs w:val="22"/>
        </w:rPr>
        <w:t xml:space="preserve">El titular, por sí mismo o a través de su representante, podrán interponer un recurso de revisión ante el Instituto o la Unidad de Transparencia del responsable que haya conocido de la solicitud para el ejercicio de los derechos ARCO, dentro de un plazo que no podrá exceder de quince días contados a partir del siguiente a la fecha de la notificación de la respuesta. </w:t>
      </w:r>
    </w:p>
    <w:p w:rsidR="00EB6EA4" w:rsidRDefault="00EB6EA4" w:rsidP="00EB6EA4">
      <w:pPr>
        <w:ind w:left="851" w:right="902"/>
        <w:jc w:val="both"/>
        <w:rPr>
          <w:rFonts w:ascii="Palatino Linotype" w:hAnsi="Palatino Linotype" w:cs="Arial"/>
          <w:i/>
          <w:sz w:val="22"/>
          <w:szCs w:val="22"/>
        </w:rPr>
      </w:pPr>
    </w:p>
    <w:p w:rsidR="00EB6EA4" w:rsidRPr="001F2CDB" w:rsidRDefault="00EB6EA4" w:rsidP="00EB6EA4">
      <w:pPr>
        <w:ind w:left="851" w:right="902"/>
        <w:jc w:val="both"/>
        <w:rPr>
          <w:rFonts w:ascii="Palatino Linotype" w:hAnsi="Palatino Linotype" w:cs="Arial"/>
          <w:i/>
          <w:sz w:val="22"/>
          <w:szCs w:val="22"/>
        </w:rPr>
      </w:pPr>
      <w:r w:rsidRPr="00BE4BC5">
        <w:rPr>
          <w:rFonts w:ascii="Palatino Linotype" w:hAnsi="Palatino Linotype" w:cs="Arial"/>
          <w:i/>
          <w:sz w:val="22"/>
          <w:szCs w:val="22"/>
        </w:rPr>
        <w:t xml:space="preserve">Transcurrido el plazo previsto para dar respuesta a una solicitud para el ejercicio de los derechos ARCO sin que se haya emitido ésta, el titular o en su caso, su </w:t>
      </w:r>
      <w:r w:rsidRPr="00BE4BC5">
        <w:rPr>
          <w:rFonts w:ascii="Palatino Linotype" w:hAnsi="Palatino Linotype" w:cs="Arial"/>
          <w:i/>
          <w:sz w:val="22"/>
          <w:szCs w:val="22"/>
        </w:rPr>
        <w:lastRenderedPageBreak/>
        <w:t>representante podrán interponer el recurso de revisión dentro de los quince días siguientes al que haya vencido el plazo para dar respuesta</w:t>
      </w:r>
      <w:r w:rsidRPr="001F2CDB">
        <w:rPr>
          <w:rFonts w:ascii="Palatino Linotype" w:hAnsi="Palatino Linotype" w:cs="Arial"/>
          <w:i/>
          <w:sz w:val="22"/>
          <w:szCs w:val="22"/>
        </w:rPr>
        <w:t>.</w:t>
      </w:r>
      <w:r w:rsidRPr="001F2CDB">
        <w:rPr>
          <w:rFonts w:ascii="Palatino Linotype" w:hAnsi="Palatino Linotype" w:cs="Arial"/>
          <w:b/>
          <w:i/>
          <w:sz w:val="22"/>
          <w:szCs w:val="22"/>
        </w:rPr>
        <w:t xml:space="preserve">” </w:t>
      </w:r>
      <w:r w:rsidRPr="001F2CDB">
        <w:rPr>
          <w:rFonts w:ascii="Palatino Linotype" w:hAnsi="Palatino Linotype" w:cs="Arial"/>
          <w:i/>
          <w:sz w:val="22"/>
          <w:szCs w:val="22"/>
        </w:rPr>
        <w:t>(Sic)</w:t>
      </w:r>
    </w:p>
    <w:p w:rsidR="00EB6EA4" w:rsidRPr="00665034" w:rsidRDefault="00EB6EA4" w:rsidP="00EB6EA4">
      <w:pPr>
        <w:spacing w:before="100" w:beforeAutospacing="1" w:after="100" w:afterAutospacing="1" w:line="360" w:lineRule="auto"/>
        <w:jc w:val="both"/>
        <w:rPr>
          <w:rFonts w:ascii="Palatino Linotype" w:hAnsi="Palatino Linotype"/>
        </w:rPr>
      </w:pPr>
      <w:r w:rsidRPr="001F2CDB">
        <w:rPr>
          <w:rFonts w:ascii="Palatino Linotype" w:hAnsi="Palatino Linotype" w:cs="Arial"/>
        </w:rPr>
        <w:t xml:space="preserve">En efecto, atendiendo a que </w:t>
      </w:r>
      <w:r w:rsidRPr="001F2CDB">
        <w:rPr>
          <w:rFonts w:ascii="Palatino Linotype" w:hAnsi="Palatino Linotype" w:cs="Arial"/>
          <w:b/>
        </w:rPr>
        <w:t>EL SUJETO OBLIGADO</w:t>
      </w:r>
      <w:r w:rsidRPr="001F2CDB">
        <w:rPr>
          <w:rFonts w:ascii="Palatino Linotype" w:hAnsi="Palatino Linotype" w:cs="Arial"/>
        </w:rPr>
        <w:t xml:space="preserve"> notificó la respuesta a la solicitud de información pública el </w:t>
      </w:r>
      <w:r w:rsidR="00D561BA">
        <w:rPr>
          <w:rFonts w:ascii="Palatino Linotype" w:hAnsi="Palatino Linotype" w:cs="Arial"/>
          <w:b/>
        </w:rPr>
        <w:t>tres de julio d</w:t>
      </w:r>
      <w:r w:rsidRPr="00AC62AE">
        <w:rPr>
          <w:rFonts w:ascii="Palatino Linotype" w:hAnsi="Palatino Linotype" w:cs="Arial"/>
          <w:b/>
        </w:rPr>
        <w:t>e dos mil diecinueve</w:t>
      </w:r>
      <w:r w:rsidRPr="001F2CDB">
        <w:rPr>
          <w:rFonts w:ascii="Palatino Linotype" w:hAnsi="Palatino Linotype" w:cs="Arial"/>
          <w:b/>
        </w:rPr>
        <w:t xml:space="preserve">; </w:t>
      </w:r>
      <w:r w:rsidRPr="001F2CDB">
        <w:rPr>
          <w:rFonts w:ascii="Palatino Linotype" w:hAnsi="Palatino Linotype" w:cs="Arial"/>
        </w:rPr>
        <w:t>en consecuencia, el plazo de quince</w:t>
      </w:r>
      <w:r>
        <w:rPr>
          <w:rFonts w:ascii="Palatino Linotype" w:hAnsi="Palatino Linotype" w:cs="Arial"/>
        </w:rPr>
        <w:t xml:space="preserve"> días hábiles que el artículo 12</w:t>
      </w:r>
      <w:r w:rsidRPr="001F2CDB">
        <w:rPr>
          <w:rFonts w:ascii="Palatino Linotype" w:hAnsi="Palatino Linotype" w:cs="Arial"/>
        </w:rPr>
        <w:t xml:space="preserve">8 de </w:t>
      </w:r>
      <w:r>
        <w:rPr>
          <w:rFonts w:ascii="Palatino Linotype" w:hAnsi="Palatino Linotype" w:cs="Arial"/>
        </w:rPr>
        <w:t>la Ley de Datos otorga al</w:t>
      </w:r>
      <w:r w:rsidRPr="001F2CDB">
        <w:rPr>
          <w:rFonts w:ascii="Palatino Linotype" w:hAnsi="Palatino Linotype" w:cs="Arial"/>
        </w:rPr>
        <w:t xml:space="preserve"> hoy</w:t>
      </w:r>
      <w:r w:rsidRPr="001F2CDB">
        <w:rPr>
          <w:rFonts w:ascii="Palatino Linotype" w:hAnsi="Palatino Linotype" w:cs="Arial"/>
          <w:b/>
        </w:rPr>
        <w:t xml:space="preserve"> RECURRENTE</w:t>
      </w:r>
      <w:r w:rsidRPr="001F2CDB">
        <w:rPr>
          <w:rFonts w:ascii="Palatino Linotype" w:hAnsi="Palatino Linotype" w:cs="Arial"/>
        </w:rPr>
        <w:t xml:space="preserve"> para presentar el recurso de revisión, transcurrió del</w:t>
      </w:r>
      <w:r>
        <w:rPr>
          <w:rFonts w:ascii="Palatino Linotype" w:hAnsi="Palatino Linotype" w:cs="Arial"/>
        </w:rPr>
        <w:t xml:space="preserve"> </w:t>
      </w:r>
      <w:r w:rsidR="00D561BA">
        <w:rPr>
          <w:rFonts w:ascii="Palatino Linotype" w:hAnsi="Palatino Linotype" w:cs="Arial"/>
          <w:b/>
        </w:rPr>
        <w:t xml:space="preserve">cuatro de julio al </w:t>
      </w:r>
      <w:r w:rsidR="00665034">
        <w:rPr>
          <w:rFonts w:ascii="Palatino Linotype" w:hAnsi="Palatino Linotype" w:cs="Arial"/>
          <w:b/>
        </w:rPr>
        <w:t xml:space="preserve">siete de agosto de </w:t>
      </w:r>
      <w:r w:rsidRPr="00AC62AE">
        <w:rPr>
          <w:rFonts w:ascii="Palatino Linotype" w:hAnsi="Palatino Linotype" w:cs="Arial"/>
          <w:b/>
        </w:rPr>
        <w:t>dos mil diecinueve</w:t>
      </w:r>
      <w:r w:rsidRPr="00C37FD9">
        <w:rPr>
          <w:rFonts w:ascii="Palatino Linotype" w:hAnsi="Palatino Linotype" w:cs="Arial"/>
        </w:rPr>
        <w:t xml:space="preserve">, sin contemplar en el cómputo los días </w:t>
      </w:r>
      <w:r w:rsidR="00665034">
        <w:rPr>
          <w:rFonts w:ascii="Palatino Linotype" w:hAnsi="Palatino Linotype" w:cs="Arial"/>
        </w:rPr>
        <w:t xml:space="preserve">seis, siete, trece, catorce, veinte, veintiuno, veintisiete y veintiocho de julio, tres y cuatro de agosto de dos mil diecinueve; </w:t>
      </w:r>
      <w:r w:rsidRPr="001F2CDB">
        <w:rPr>
          <w:rFonts w:ascii="Palatino Linotype" w:hAnsi="Palatino Linotype" w:cs="Arial"/>
        </w:rPr>
        <w:t>por corresponder a sábados y domingos, considerados como días inhá</w:t>
      </w:r>
      <w:r>
        <w:rPr>
          <w:rFonts w:ascii="Palatino Linotype" w:hAnsi="Palatino Linotype" w:cs="Arial"/>
        </w:rPr>
        <w:t xml:space="preserve">biles; en términos </w:t>
      </w:r>
      <w:r w:rsidRPr="00F2730A">
        <w:rPr>
          <w:rFonts w:ascii="Palatino Linotype" w:hAnsi="Palatino Linotype" w:cs="Arial"/>
        </w:rPr>
        <w:t>de los artículos 4</w:t>
      </w:r>
      <w:r>
        <w:rPr>
          <w:rFonts w:ascii="Palatino Linotype" w:hAnsi="Palatino Linotype" w:cs="Arial"/>
        </w:rPr>
        <w:t>,</w:t>
      </w:r>
      <w:r w:rsidRPr="00F2730A">
        <w:rPr>
          <w:rFonts w:ascii="Palatino Linotype" w:hAnsi="Palatino Linotype" w:cs="Arial"/>
        </w:rPr>
        <w:t xml:space="preserve"> fracción XV de la Ley de Protección de Datos Personales en Posesión de Sujetos Obligados del Estado de México y Municipios y 3</w:t>
      </w:r>
      <w:r>
        <w:rPr>
          <w:rFonts w:ascii="Palatino Linotype" w:hAnsi="Palatino Linotype" w:cs="Arial"/>
        </w:rPr>
        <w:t>,</w:t>
      </w:r>
      <w:r w:rsidRPr="00F2730A">
        <w:rPr>
          <w:rFonts w:ascii="Palatino Linotype" w:hAnsi="Palatino Linotype" w:cs="Arial"/>
        </w:rPr>
        <w:t xml:space="preserve"> fracción X de la </w:t>
      </w:r>
      <w:r w:rsidRPr="00F2730A">
        <w:rPr>
          <w:rFonts w:ascii="Palatino Linotype" w:hAnsi="Palatino Linotype"/>
        </w:rPr>
        <w:t>Ley de Transparencia y Acceso a la Información Pública del Estado de México y Municipios, de aplicación supletoria</w:t>
      </w:r>
      <w:r>
        <w:rPr>
          <w:rFonts w:ascii="Palatino Linotype" w:hAnsi="Palatino Linotype"/>
        </w:rPr>
        <w:t>;</w:t>
      </w:r>
      <w:r>
        <w:rPr>
          <w:rFonts w:ascii="Palatino Linotype" w:hAnsi="Palatino Linotype" w:cs="Arial"/>
        </w:rPr>
        <w:t xml:space="preserve"> </w:t>
      </w:r>
      <w:r>
        <w:rPr>
          <w:rFonts w:ascii="Palatino Linotype" w:hAnsi="Palatino Linotype"/>
        </w:rPr>
        <w:t xml:space="preserve">asimismo, no se contempla dentro del plazo </w:t>
      </w:r>
      <w:r w:rsidR="00665034">
        <w:rPr>
          <w:rFonts w:ascii="Palatino Linotype" w:hAnsi="Palatino Linotype"/>
        </w:rPr>
        <w:t>los días del quince al diecinueve y del veintidós al veintiséis de julio de dos mil diecinueve;</w:t>
      </w:r>
      <w:r>
        <w:rPr>
          <w:rFonts w:ascii="Palatino Linotype" w:hAnsi="Palatino Linotype"/>
        </w:rPr>
        <w:t xml:space="preserve"> toda vez que, se considera inhábil por suspensión de labores, </w:t>
      </w:r>
      <w:r w:rsidRPr="001F2CDB">
        <w:rPr>
          <w:rFonts w:ascii="Palatino Linotype" w:hAnsi="Palatino Linotype"/>
        </w:rPr>
        <w:t>de conformidad con el Calendario Oficial de este Instituto, publicado en el Periódico Oficial del Estado Libre y Soberano de México</w:t>
      </w:r>
      <w:r>
        <w:rPr>
          <w:rFonts w:ascii="Palatino Linotype" w:hAnsi="Palatino Linotype"/>
        </w:rPr>
        <w:t xml:space="preserve"> “Gaceta del Gobierno”, el diecinueve de diciembre de dos mil dieciocho</w:t>
      </w:r>
      <w:r w:rsidRPr="001F2CDB">
        <w:rPr>
          <w:rFonts w:ascii="Palatino Linotype" w:hAnsi="Palatino Linotype"/>
        </w:rPr>
        <w:t>.</w:t>
      </w:r>
    </w:p>
    <w:p w:rsidR="00EB6EA4" w:rsidRDefault="00665034" w:rsidP="00EB6EA4">
      <w:pPr>
        <w:spacing w:before="100" w:beforeAutospacing="1" w:after="100" w:afterAutospacing="1" w:line="360" w:lineRule="auto"/>
        <w:jc w:val="both"/>
        <w:rPr>
          <w:rFonts w:ascii="Palatino Linotype" w:hAnsi="Palatino Linotype" w:cs="Arial"/>
        </w:rPr>
      </w:pPr>
      <w:r>
        <w:rPr>
          <w:rFonts w:ascii="Palatino Linotype" w:hAnsi="Palatino Linotype" w:cs="Arial"/>
        </w:rPr>
        <w:t xml:space="preserve">En ese tenor, si el </w:t>
      </w:r>
      <w:r w:rsidR="00EB6EA4" w:rsidRPr="005E7982">
        <w:rPr>
          <w:rFonts w:ascii="Palatino Linotype" w:hAnsi="Palatino Linotype" w:cs="Arial"/>
        </w:rPr>
        <w:t>recurso de revisión que nos ocupa</w:t>
      </w:r>
      <w:r>
        <w:rPr>
          <w:rFonts w:ascii="Palatino Linotype" w:hAnsi="Palatino Linotype" w:cs="Arial"/>
        </w:rPr>
        <w:t>, se interpuso</w:t>
      </w:r>
      <w:r w:rsidR="00EB6EA4" w:rsidRPr="005E7982">
        <w:rPr>
          <w:rFonts w:ascii="Palatino Linotype" w:hAnsi="Palatino Linotype" w:cs="Arial"/>
        </w:rPr>
        <w:t xml:space="preserve"> el día</w:t>
      </w:r>
      <w:r>
        <w:rPr>
          <w:rFonts w:ascii="Palatino Linotype" w:hAnsi="Palatino Linotype" w:cs="Arial"/>
          <w:b/>
        </w:rPr>
        <w:t xml:space="preserve"> seis de agosto d</w:t>
      </w:r>
      <w:r w:rsidR="00EB6EA4" w:rsidRPr="005E7982">
        <w:rPr>
          <w:rFonts w:ascii="Palatino Linotype" w:hAnsi="Palatino Linotype" w:cs="Arial"/>
          <w:b/>
        </w:rPr>
        <w:t xml:space="preserve">e dos mil diecinueve, </w:t>
      </w:r>
      <w:r>
        <w:rPr>
          <w:rFonts w:ascii="Palatino Linotype" w:hAnsi="Palatino Linotype" w:cs="Arial"/>
        </w:rPr>
        <w:t>éste</w:t>
      </w:r>
      <w:r w:rsidR="00EB6EA4">
        <w:rPr>
          <w:rFonts w:ascii="Palatino Linotype" w:hAnsi="Palatino Linotype" w:cs="Arial"/>
        </w:rPr>
        <w:t xml:space="preserve"> </w:t>
      </w:r>
      <w:r w:rsidR="00EB6EA4" w:rsidRPr="005E7982">
        <w:rPr>
          <w:rFonts w:ascii="Palatino Linotype" w:hAnsi="Palatino Linotype" w:cs="Arial"/>
        </w:rPr>
        <w:t>se encuentra dentro de los márgenes temporales previstos en el precepto legal señalado en el párrafo anterior y, por tanto, su interposición se considera oportuna.</w:t>
      </w:r>
    </w:p>
    <w:p w:rsidR="00EB6EA4" w:rsidRPr="00BE4BC5" w:rsidRDefault="00EB6EA4" w:rsidP="00EB6EA4">
      <w:pPr>
        <w:spacing w:before="100" w:beforeAutospacing="1" w:after="100" w:afterAutospacing="1" w:line="360" w:lineRule="auto"/>
        <w:jc w:val="both"/>
        <w:rPr>
          <w:rFonts w:ascii="Palatino Linotype" w:hAnsi="Palatino Linotype"/>
        </w:rPr>
      </w:pPr>
      <w:r w:rsidRPr="00465EE6">
        <w:rPr>
          <w:rFonts w:ascii="Palatino Linotype" w:hAnsi="Palatino Linotype" w:cs="Arial"/>
          <w:b/>
        </w:rPr>
        <w:t>CUARTO. Procedibilidad.</w:t>
      </w:r>
      <w:r w:rsidRPr="001C074F">
        <w:rPr>
          <w:rFonts w:ascii="Palatino Linotype" w:hAnsi="Palatino Linotype" w:cs="Arial"/>
        </w:rPr>
        <w:t xml:space="preserve"> </w:t>
      </w:r>
      <w:r w:rsidRPr="001F2CDB">
        <w:rPr>
          <w:rFonts w:ascii="Palatino Linotype" w:hAnsi="Palatino Linotype" w:cs="Arial"/>
        </w:rPr>
        <w:t>Del análisis efectuado se advierte que resulta p</w:t>
      </w:r>
      <w:r>
        <w:rPr>
          <w:rFonts w:ascii="Palatino Linotype" w:hAnsi="Palatino Linotype" w:cs="Arial"/>
        </w:rPr>
        <w:t>rocedente la interposición del recurso</w:t>
      </w:r>
      <w:r w:rsidRPr="001F2CDB">
        <w:rPr>
          <w:rFonts w:ascii="Palatino Linotype" w:hAnsi="Palatino Linotype" w:cs="Arial"/>
        </w:rPr>
        <w:t xml:space="preserve"> y se concluye la acreditación plena de todos y cada uno de los </w:t>
      </w:r>
      <w:r w:rsidRPr="001F2CDB">
        <w:rPr>
          <w:rFonts w:ascii="Palatino Linotype" w:hAnsi="Palatino Linotype" w:cs="Arial"/>
        </w:rPr>
        <w:lastRenderedPageBreak/>
        <w:t>elementos formales exig</w:t>
      </w:r>
      <w:r>
        <w:rPr>
          <w:rFonts w:ascii="Palatino Linotype" w:hAnsi="Palatino Linotype" w:cs="Arial"/>
        </w:rPr>
        <w:t>idos por el artículo 13</w:t>
      </w:r>
      <w:r w:rsidRPr="001F2CDB">
        <w:rPr>
          <w:rFonts w:ascii="Palatino Linotype" w:hAnsi="Palatino Linotype" w:cs="Arial"/>
        </w:rPr>
        <w:t xml:space="preserve">0 </w:t>
      </w:r>
      <w:r w:rsidRPr="001F2CDB">
        <w:rPr>
          <w:rFonts w:ascii="Palatino Linotype" w:hAnsi="Palatino Linotype" w:cs="Arial"/>
          <w:lang w:val="es-ES_tradnl"/>
        </w:rPr>
        <w:t xml:space="preserve">de la </w:t>
      </w:r>
      <w:r w:rsidRPr="001F2CDB">
        <w:rPr>
          <w:rFonts w:ascii="Palatino Linotype" w:hAnsi="Palatino Linotype"/>
        </w:rPr>
        <w:t>Ley de</w:t>
      </w:r>
      <w:r>
        <w:rPr>
          <w:rFonts w:ascii="Palatino Linotype" w:hAnsi="Palatino Linotype"/>
        </w:rPr>
        <w:t xml:space="preserve"> </w:t>
      </w:r>
      <w:r w:rsidRPr="00821016">
        <w:rPr>
          <w:rFonts w:ascii="Palatino Linotype" w:hAnsi="Palatino Linotype" w:cs="Arial"/>
        </w:rPr>
        <w:t>Protección de Datos Personales en Posesión de Sujetos Obligados del Estado de México y Municipios</w:t>
      </w:r>
      <w:r>
        <w:rPr>
          <w:rFonts w:ascii="Palatino Linotype" w:hAnsi="Palatino Linotype"/>
        </w:rPr>
        <w:t xml:space="preserve">, </w:t>
      </w:r>
      <w:r w:rsidRPr="001F2CDB">
        <w:rPr>
          <w:rFonts w:ascii="Palatino Linotype" w:hAnsi="Palatino Linotype"/>
        </w:rPr>
        <w:t>en atención a que fue</w:t>
      </w:r>
      <w:r>
        <w:rPr>
          <w:rFonts w:ascii="Palatino Linotype" w:hAnsi="Palatino Linotype"/>
        </w:rPr>
        <w:t xml:space="preserve"> presentado</w:t>
      </w:r>
      <w:r w:rsidRPr="001F2CDB">
        <w:rPr>
          <w:rFonts w:ascii="Palatino Linotype" w:hAnsi="Palatino Linotype"/>
        </w:rPr>
        <w:t xml:space="preserve"> mediante el formato visible en </w:t>
      </w:r>
      <w:r w:rsidRPr="001F2CDB">
        <w:rPr>
          <w:rFonts w:ascii="Palatino Linotype" w:hAnsi="Palatino Linotype"/>
          <w:b/>
        </w:rPr>
        <w:t>EL SAIMEX.</w:t>
      </w:r>
    </w:p>
    <w:p w:rsidR="00EB6EA4" w:rsidRPr="00920B4C" w:rsidRDefault="00EB6EA4" w:rsidP="00EB6EA4">
      <w:pPr>
        <w:spacing w:before="100" w:beforeAutospacing="1" w:after="100" w:afterAutospacing="1" w:line="360" w:lineRule="auto"/>
        <w:jc w:val="both"/>
        <w:rPr>
          <w:rFonts w:ascii="Palatino Linotype" w:hAnsi="Palatino Linotype" w:cs="Arial"/>
          <w:b/>
          <w:sz w:val="28"/>
          <w:szCs w:val="28"/>
        </w:rPr>
      </w:pPr>
      <w:r w:rsidRPr="00356655">
        <w:rPr>
          <w:rFonts w:ascii="Palatino Linotype" w:hAnsi="Palatino Linotype"/>
          <w:b/>
          <w:sz w:val="28"/>
          <w:szCs w:val="28"/>
        </w:rPr>
        <w:t xml:space="preserve">QUINTO. </w:t>
      </w:r>
      <w:r>
        <w:rPr>
          <w:rFonts w:ascii="Palatino Linotype" w:hAnsi="Palatino Linotype" w:cs="Arial"/>
          <w:b/>
        </w:rPr>
        <w:t>Cuestiones de previo y especial pronunciamiento.</w:t>
      </w:r>
      <w:r w:rsidRPr="00920B4C">
        <w:rPr>
          <w:rFonts w:ascii="Palatino Linotype" w:hAnsi="Palatino Linotype" w:cs="Segoe UI"/>
          <w:lang w:eastAsia="es-MX"/>
        </w:rPr>
        <w:t xml:space="preserve"> </w:t>
      </w:r>
      <w:r w:rsidRPr="00EB0EFF">
        <w:rPr>
          <w:rFonts w:ascii="Palatino Linotype" w:hAnsi="Palatino Linotype" w:cs="Segoe UI"/>
          <w:lang w:eastAsia="es-MX"/>
        </w:rPr>
        <w:t xml:space="preserve">De manera previa al análisis del estudio de fondo del presente asunto </w:t>
      </w:r>
      <w:r w:rsidR="00E957A2">
        <w:rPr>
          <w:rFonts w:ascii="Palatino Linotype" w:hAnsi="Palatino Linotype" w:cs="Segoe UI"/>
          <w:lang w:eastAsia="es-MX"/>
        </w:rPr>
        <w:t>es pertinente menciona</w:t>
      </w:r>
      <w:r w:rsidRPr="00847E03">
        <w:rPr>
          <w:rFonts w:ascii="Palatino Linotype" w:hAnsi="Palatino Linotype" w:cs="Segoe UI"/>
          <w:lang w:eastAsia="es-MX"/>
        </w:rPr>
        <w:t xml:space="preserve"> </w:t>
      </w:r>
      <w:r>
        <w:rPr>
          <w:rFonts w:ascii="Palatino Linotype" w:hAnsi="Palatino Linotype" w:cs="Segoe UI"/>
          <w:lang w:eastAsia="es-MX"/>
        </w:rPr>
        <w:t>que si bien el</w:t>
      </w:r>
      <w:r w:rsidRPr="00EB0EFF">
        <w:rPr>
          <w:rFonts w:ascii="Palatino Linotype" w:hAnsi="Palatino Linotype" w:cs="Segoe UI"/>
          <w:lang w:eastAsia="es-MX"/>
        </w:rPr>
        <w:t xml:space="preserve"> hoy </w:t>
      </w:r>
      <w:r w:rsidRPr="00847E03">
        <w:rPr>
          <w:rFonts w:ascii="Palatino Linotype" w:hAnsi="Palatino Linotype" w:cs="Segoe UI"/>
          <w:b/>
          <w:lang w:eastAsia="es-MX"/>
        </w:rPr>
        <w:t>RECURRENTE</w:t>
      </w:r>
      <w:r w:rsidRPr="00EB0EFF">
        <w:rPr>
          <w:rFonts w:ascii="Palatino Linotype" w:hAnsi="Palatino Linotype" w:cs="Segoe UI"/>
          <w:lang w:eastAsia="es-MX"/>
        </w:rPr>
        <w:t xml:space="preserve"> inició su solicitud vía acceso a la información públi</w:t>
      </w:r>
      <w:r>
        <w:rPr>
          <w:rFonts w:ascii="Palatino Linotype" w:hAnsi="Palatino Linotype" w:cs="Segoe UI"/>
          <w:lang w:eastAsia="es-MX"/>
        </w:rPr>
        <w:t xml:space="preserve">ca lo cierto es que derivado de la lectura de la misma se advierte que el particular requirió un acceso a datos personales; </w:t>
      </w:r>
      <w:r w:rsidRPr="00EB0EFF">
        <w:rPr>
          <w:rFonts w:ascii="Palatino Linotype" w:hAnsi="Palatino Linotype" w:cs="Segoe UI"/>
          <w:lang w:eastAsia="es-MX"/>
        </w:rPr>
        <w:t>por lo que</w:t>
      </w:r>
      <w:r>
        <w:rPr>
          <w:rFonts w:ascii="Palatino Linotype" w:hAnsi="Palatino Linotype" w:cs="Segoe UI"/>
          <w:lang w:eastAsia="es-MX"/>
        </w:rPr>
        <w:t>,</w:t>
      </w:r>
      <w:r w:rsidRPr="00EB0EFF">
        <w:rPr>
          <w:rFonts w:ascii="Palatino Linotype" w:hAnsi="Palatino Linotype" w:cs="Segoe UI"/>
          <w:lang w:eastAsia="es-MX"/>
        </w:rPr>
        <w:t xml:space="preserve"> en tal sentido es necesario que éste Órgano Garante se pronuncie </w:t>
      </w:r>
      <w:r>
        <w:rPr>
          <w:rFonts w:ascii="Palatino Linotype" w:hAnsi="Palatino Linotype" w:cs="Segoe UI"/>
          <w:lang w:eastAsia="es-MX"/>
        </w:rPr>
        <w:t xml:space="preserve">primeramente en </w:t>
      </w:r>
      <w:r w:rsidRPr="00EB0EFF">
        <w:rPr>
          <w:rFonts w:ascii="Palatino Linotype" w:hAnsi="Palatino Linotype" w:cs="Segoe UI"/>
          <w:lang w:eastAsia="es-MX"/>
        </w:rPr>
        <w:t>relación a la vía sobre la cual se regulará el presente asunto.</w:t>
      </w:r>
    </w:p>
    <w:p w:rsidR="00EB6EA4" w:rsidRPr="005819EF" w:rsidRDefault="00EB6EA4" w:rsidP="00EB6EA4">
      <w:pPr>
        <w:spacing w:after="240" w:line="360" w:lineRule="auto"/>
        <w:jc w:val="both"/>
        <w:textAlignment w:val="baseline"/>
        <w:rPr>
          <w:rFonts w:ascii="Palatino Linotype" w:hAnsi="Palatino Linotype" w:cs="Segoe UI"/>
          <w:lang w:eastAsia="es-MX"/>
        </w:rPr>
      </w:pPr>
      <w:r w:rsidRPr="00EB0EFF">
        <w:rPr>
          <w:rFonts w:ascii="Palatino Linotype" w:hAnsi="Palatino Linotype" w:cs="Segoe UI"/>
          <w:lang w:eastAsia="es-MX"/>
        </w:rPr>
        <w:t>Ello es así</w:t>
      </w:r>
      <w:r>
        <w:rPr>
          <w:rFonts w:ascii="Palatino Linotype" w:hAnsi="Palatino Linotype" w:cs="Segoe UI"/>
          <w:lang w:eastAsia="es-MX"/>
        </w:rPr>
        <w:t>,</w:t>
      </w:r>
      <w:r w:rsidRPr="00EB0EFF">
        <w:rPr>
          <w:rFonts w:ascii="Palatino Linotype" w:hAnsi="Palatino Linotype" w:cs="Segoe UI"/>
          <w:lang w:eastAsia="es-MX"/>
        </w:rPr>
        <w:t xml:space="preserve"> en atención a que </w:t>
      </w:r>
      <w:r>
        <w:rPr>
          <w:rFonts w:ascii="Palatino Linotype" w:hAnsi="Palatino Linotype" w:cs="Segoe UI"/>
          <w:lang w:eastAsia="es-MX"/>
        </w:rPr>
        <w:t>el particula</w:t>
      </w:r>
      <w:r w:rsidR="005819EF">
        <w:rPr>
          <w:rFonts w:ascii="Palatino Linotype" w:hAnsi="Palatino Linotype" w:cs="Segoe UI"/>
          <w:lang w:eastAsia="es-MX"/>
        </w:rPr>
        <w:t xml:space="preserve">r solicitó se le proporcionara su aviso de movimiento de baja de la plataforma del ISSEMYM, </w:t>
      </w:r>
      <w:r w:rsidR="00E957A2">
        <w:rPr>
          <w:rFonts w:ascii="Palatino Linotype" w:hAnsi="Palatino Linotype" w:cs="Segoe UI"/>
          <w:lang w:eastAsia="es-MX"/>
        </w:rPr>
        <w:t>correspondiente al</w:t>
      </w:r>
      <w:r w:rsidR="005819EF">
        <w:rPr>
          <w:rFonts w:ascii="Palatino Linotype" w:hAnsi="Palatino Linotype" w:cs="Segoe UI"/>
          <w:lang w:eastAsia="es-MX"/>
        </w:rPr>
        <w:t xml:space="preserve"> mes de enero de 2019</w:t>
      </w:r>
      <w:r>
        <w:rPr>
          <w:rFonts w:ascii="Palatino Linotype" w:hAnsi="Palatino Linotype" w:cs="Segoe UI"/>
          <w:lang w:eastAsia="es-MX"/>
        </w:rPr>
        <w:t xml:space="preserve">; por lo que, </w:t>
      </w:r>
      <w:r w:rsidRPr="00EB0EFF">
        <w:rPr>
          <w:rFonts w:ascii="Palatino Linotype" w:hAnsi="Palatino Linotype"/>
          <w:lang w:eastAsia="es-MX"/>
        </w:rPr>
        <w:t>resul</w:t>
      </w:r>
      <w:r>
        <w:rPr>
          <w:rFonts w:ascii="Palatino Linotype" w:hAnsi="Palatino Linotype"/>
          <w:lang w:eastAsia="es-MX"/>
        </w:rPr>
        <w:t xml:space="preserve">ta evidente que se trata de un acceso a datos personales; entonces </w:t>
      </w:r>
      <w:r w:rsidRPr="00EB0EFF">
        <w:rPr>
          <w:rFonts w:ascii="Palatino Linotype" w:hAnsi="Palatino Linotype"/>
        </w:rPr>
        <w:t>tenemos que</w:t>
      </w:r>
      <w:r>
        <w:rPr>
          <w:rFonts w:ascii="Palatino Linotype" w:hAnsi="Palatino Linotype"/>
        </w:rPr>
        <w:t>,</w:t>
      </w:r>
      <w:r w:rsidRPr="00EB0EFF">
        <w:rPr>
          <w:rFonts w:ascii="Palatino Linotype" w:hAnsi="Palatino Linotype"/>
        </w:rPr>
        <w:t xml:space="preserve"> el derecho ejercido por </w:t>
      </w:r>
      <w:r>
        <w:rPr>
          <w:rFonts w:ascii="Palatino Linotype" w:hAnsi="Palatino Linotype"/>
        </w:rPr>
        <w:t>el solicitante</w:t>
      </w:r>
      <w:r w:rsidRPr="00EB0EFF">
        <w:rPr>
          <w:rFonts w:ascii="Palatino Linotype" w:hAnsi="Palatino Linotype"/>
        </w:rPr>
        <w:t xml:space="preserve"> se encuentra regulado por los numerales 97 y 98</w:t>
      </w:r>
      <w:r w:rsidRPr="00EB0EFF">
        <w:rPr>
          <w:rFonts w:ascii="Palatino Linotype" w:hAnsi="Palatino Linotype"/>
          <w:lang w:eastAsia="es-MX"/>
        </w:rPr>
        <w:t xml:space="preserve"> de la </w:t>
      </w:r>
      <w:r w:rsidRPr="00EB0EFF">
        <w:rPr>
          <w:rFonts w:ascii="Palatino Linotype" w:hAnsi="Palatino Linotype"/>
        </w:rPr>
        <w:t>Ley de Protección de Datos Personales en Posesión de Sujetos Obligados del Estado de México y Municipios</w:t>
      </w:r>
      <w:r w:rsidRPr="00EB0EFF">
        <w:rPr>
          <w:rFonts w:ascii="Palatino Linotype" w:hAnsi="Palatino Linotype"/>
          <w:lang w:eastAsia="es-MX"/>
        </w:rPr>
        <w:t>, del tenor literal siguiente:</w:t>
      </w:r>
    </w:p>
    <w:p w:rsidR="00EB6EA4" w:rsidRPr="00847E03" w:rsidRDefault="00EB6EA4" w:rsidP="00EB6EA4">
      <w:pPr>
        <w:spacing w:before="100" w:beforeAutospacing="1" w:after="100" w:afterAutospacing="1"/>
        <w:ind w:left="851" w:right="851"/>
        <w:jc w:val="both"/>
        <w:rPr>
          <w:rFonts w:ascii="Palatino Linotype" w:hAnsi="Palatino Linotype"/>
          <w:i/>
          <w:sz w:val="22"/>
          <w:szCs w:val="22"/>
        </w:rPr>
      </w:pPr>
      <w:r>
        <w:rPr>
          <w:rFonts w:ascii="Palatino Linotype" w:hAnsi="Palatino Linotype"/>
          <w:b/>
          <w:i/>
          <w:sz w:val="22"/>
          <w:szCs w:val="22"/>
        </w:rPr>
        <w:t>“</w:t>
      </w:r>
      <w:r w:rsidRPr="00336AFF">
        <w:rPr>
          <w:rFonts w:ascii="Palatino Linotype" w:hAnsi="Palatino Linotype"/>
          <w:b/>
          <w:i/>
          <w:sz w:val="22"/>
          <w:szCs w:val="22"/>
        </w:rPr>
        <w:t>Artículo 97.</w:t>
      </w:r>
      <w:r w:rsidRPr="00847E03">
        <w:rPr>
          <w:rFonts w:ascii="Palatino Linotype" w:hAnsi="Palatino Linotype"/>
          <w:i/>
          <w:sz w:val="22"/>
          <w:szCs w:val="22"/>
        </w:rPr>
        <w:t xml:space="preserve"> </w:t>
      </w:r>
      <w:r w:rsidRPr="00847E03">
        <w:rPr>
          <w:rFonts w:ascii="Palatino Linotype" w:hAnsi="Palatino Linotype"/>
          <w:b/>
          <w:i/>
          <w:sz w:val="22"/>
          <w:szCs w:val="22"/>
        </w:rPr>
        <w:t>Los derechos de acceso</w:t>
      </w:r>
      <w:r w:rsidRPr="00847E03">
        <w:rPr>
          <w:rFonts w:ascii="Palatino Linotype" w:hAnsi="Palatino Linotype"/>
          <w:i/>
          <w:sz w:val="22"/>
          <w:szCs w:val="22"/>
        </w:rPr>
        <w:t xml:space="preserve">, rectificación, cancelación y oposición de datos personales son derechos independientes. </w:t>
      </w:r>
      <w:r w:rsidRPr="00336AFF">
        <w:rPr>
          <w:rFonts w:ascii="Palatino Linotype" w:hAnsi="Palatino Linotype"/>
          <w:b/>
          <w:i/>
          <w:sz w:val="22"/>
          <w:szCs w:val="22"/>
        </w:rPr>
        <w:t>El ejercicio de cualquiera de ellos no es requisito previo no impide el ejercicio de otro.</w:t>
      </w:r>
      <w:r w:rsidRPr="00847E03">
        <w:rPr>
          <w:rFonts w:ascii="Palatino Linotype" w:hAnsi="Palatino Linotype"/>
          <w:i/>
          <w:sz w:val="22"/>
          <w:szCs w:val="22"/>
        </w:rPr>
        <w:t xml:space="preserve"> </w:t>
      </w:r>
      <w:r w:rsidRPr="00336AFF">
        <w:rPr>
          <w:rFonts w:ascii="Palatino Linotype" w:hAnsi="Palatino Linotype"/>
          <w:b/>
          <w:i/>
          <w:sz w:val="22"/>
          <w:szCs w:val="22"/>
        </w:rPr>
        <w:t xml:space="preserve">La procedencia </w:t>
      </w:r>
      <w:r w:rsidRPr="00847E03">
        <w:rPr>
          <w:rFonts w:ascii="Palatino Linotype" w:hAnsi="Palatino Linotype"/>
          <w:i/>
          <w:sz w:val="22"/>
          <w:szCs w:val="22"/>
        </w:rPr>
        <w:t xml:space="preserve">de estos derechos, en su caso, </w:t>
      </w:r>
      <w:r w:rsidRPr="00336AFF">
        <w:rPr>
          <w:rFonts w:ascii="Palatino Linotype" w:hAnsi="Palatino Linotype"/>
          <w:b/>
          <w:i/>
          <w:sz w:val="22"/>
          <w:szCs w:val="22"/>
        </w:rPr>
        <w:t>se hará efectiva una vez que el titular</w:t>
      </w:r>
      <w:r w:rsidRPr="00847E03">
        <w:rPr>
          <w:rFonts w:ascii="Palatino Linotype" w:hAnsi="Palatino Linotype"/>
          <w:i/>
          <w:sz w:val="22"/>
          <w:szCs w:val="22"/>
        </w:rPr>
        <w:t xml:space="preserve"> o su representante legal </w:t>
      </w:r>
      <w:r w:rsidRPr="00336AFF">
        <w:rPr>
          <w:rFonts w:ascii="Palatino Linotype" w:hAnsi="Palatino Linotype"/>
          <w:b/>
          <w:i/>
          <w:sz w:val="22"/>
          <w:szCs w:val="22"/>
        </w:rPr>
        <w:t>acrediten su identidad</w:t>
      </w:r>
      <w:r w:rsidRPr="00847E03">
        <w:rPr>
          <w:rFonts w:ascii="Palatino Linotype" w:hAnsi="Palatino Linotype"/>
          <w:i/>
          <w:sz w:val="22"/>
          <w:szCs w:val="22"/>
        </w:rPr>
        <w:t xml:space="preserve"> o representación, respectivamente.</w:t>
      </w:r>
    </w:p>
    <w:p w:rsidR="00EB6EA4" w:rsidRPr="00847E03" w:rsidRDefault="00EB6EA4" w:rsidP="00EB6EA4">
      <w:pPr>
        <w:spacing w:before="100" w:beforeAutospacing="1" w:after="100" w:afterAutospacing="1"/>
        <w:ind w:left="851" w:right="851"/>
        <w:jc w:val="both"/>
        <w:rPr>
          <w:rFonts w:ascii="Palatino Linotype" w:hAnsi="Palatino Linotype"/>
          <w:i/>
          <w:sz w:val="22"/>
          <w:szCs w:val="22"/>
        </w:rPr>
      </w:pPr>
      <w:r w:rsidRPr="00847E03">
        <w:rPr>
          <w:rFonts w:ascii="Palatino Linotype" w:hAnsi="Palatino Linotype"/>
          <w:i/>
          <w:sz w:val="22"/>
          <w:szCs w:val="22"/>
        </w:rPr>
        <w:t>En ningún caso el acceso a los datos personales de un titular podrá afectar los derechos y libertades de otros.</w:t>
      </w:r>
    </w:p>
    <w:p w:rsidR="00EB6EA4" w:rsidRPr="00847E03" w:rsidRDefault="00EB6EA4" w:rsidP="00EB6EA4">
      <w:pPr>
        <w:spacing w:before="100" w:beforeAutospacing="1" w:after="100" w:afterAutospacing="1"/>
        <w:ind w:left="851" w:right="851"/>
        <w:jc w:val="both"/>
        <w:rPr>
          <w:rFonts w:ascii="Palatino Linotype" w:hAnsi="Palatino Linotype"/>
          <w:i/>
          <w:sz w:val="22"/>
          <w:szCs w:val="22"/>
        </w:rPr>
      </w:pPr>
      <w:r w:rsidRPr="00847E03">
        <w:rPr>
          <w:rFonts w:ascii="Palatino Linotype" w:hAnsi="Palatino Linotype"/>
          <w:i/>
          <w:sz w:val="22"/>
          <w:szCs w:val="22"/>
        </w:rPr>
        <w:t>El ejercicio de cualquiera de los derechos ARCO, forma parte de las garantías primarias del derecho a la protección de datos personales.</w:t>
      </w:r>
    </w:p>
    <w:p w:rsidR="00EB6EA4" w:rsidRPr="00EB0EFF" w:rsidRDefault="00EB6EA4" w:rsidP="00EB6EA4">
      <w:pPr>
        <w:spacing w:before="100" w:beforeAutospacing="1" w:after="100" w:afterAutospacing="1"/>
        <w:ind w:left="851" w:right="1041"/>
        <w:jc w:val="both"/>
        <w:rPr>
          <w:rFonts w:ascii="Palatino Linotype" w:hAnsi="Palatino Linotype"/>
          <w:i/>
          <w:sz w:val="22"/>
          <w:szCs w:val="22"/>
        </w:rPr>
      </w:pPr>
      <w:r w:rsidRPr="00EB0EFF">
        <w:rPr>
          <w:rFonts w:ascii="Palatino Linotype" w:hAnsi="Palatino Linotype"/>
          <w:b/>
          <w:i/>
          <w:sz w:val="22"/>
          <w:szCs w:val="22"/>
        </w:rPr>
        <w:lastRenderedPageBreak/>
        <w:t>Artículo 98. El titular tiene derecho a acceder, solicitar y ser informado sobre sus datos personales en posesión de los sujetos obligados, así como la información relacionada con las condiciones y generalidades de su tratamiento</w:t>
      </w:r>
      <w:r w:rsidRPr="00EB0EFF">
        <w:rPr>
          <w:rFonts w:ascii="Palatino Linotype" w:hAnsi="Palatino Linotype"/>
          <w:i/>
          <w:sz w:val="22"/>
          <w:szCs w:val="22"/>
        </w:rPr>
        <w:t xml:space="preserve">, tales como el origen de los datos, las condiciones del tratamiento del cual sean objeto, las cesiones realizadas o que se pretendan realizar, así como tener acceso al aviso de privacidad al que está sujeto el tratamiento y a cualquier otra generalidad del tratamiento, en los términos previstos en la Ley. </w:t>
      </w:r>
    </w:p>
    <w:p w:rsidR="00EB6EA4" w:rsidRDefault="00EB6EA4" w:rsidP="00EB6EA4">
      <w:pPr>
        <w:spacing w:before="100" w:beforeAutospacing="1" w:after="100" w:afterAutospacing="1"/>
        <w:ind w:left="851" w:right="1041"/>
        <w:jc w:val="both"/>
        <w:rPr>
          <w:rFonts w:ascii="Palatino Linotype" w:hAnsi="Palatino Linotype"/>
          <w:i/>
          <w:sz w:val="22"/>
          <w:szCs w:val="22"/>
        </w:rPr>
      </w:pPr>
      <w:r w:rsidRPr="0058380A">
        <w:rPr>
          <w:rFonts w:ascii="Palatino Linotype" w:hAnsi="Palatino Linotype"/>
          <w:b/>
          <w:i/>
          <w:sz w:val="22"/>
          <w:szCs w:val="22"/>
        </w:rPr>
        <w:t>El responsable debe responder al ejercicio del derecho de acceso, tenga o no datos de carácter personal del interesado en su sistema de datos</w:t>
      </w:r>
      <w:r w:rsidRPr="00EB0EFF">
        <w:rPr>
          <w:rFonts w:ascii="Palatino Linotype" w:hAnsi="Palatino Linotype"/>
          <w:i/>
          <w:sz w:val="22"/>
          <w:szCs w:val="22"/>
        </w:rPr>
        <w:t>.</w:t>
      </w:r>
      <w:r>
        <w:rPr>
          <w:rFonts w:ascii="Palatino Linotype" w:hAnsi="Palatino Linotype"/>
          <w:i/>
          <w:sz w:val="22"/>
          <w:szCs w:val="22"/>
        </w:rPr>
        <w:t>”</w:t>
      </w:r>
    </w:p>
    <w:p w:rsidR="00EB6EA4" w:rsidRPr="00847E03" w:rsidRDefault="00EB6EA4" w:rsidP="00EB6EA4">
      <w:pPr>
        <w:spacing w:before="100" w:beforeAutospacing="1" w:after="100" w:afterAutospacing="1"/>
        <w:ind w:left="851" w:right="1041"/>
        <w:jc w:val="both"/>
        <w:rPr>
          <w:rFonts w:ascii="Palatino Linotype" w:hAnsi="Palatino Linotype"/>
          <w:i/>
          <w:sz w:val="22"/>
          <w:szCs w:val="22"/>
        </w:rPr>
      </w:pPr>
      <w:r>
        <w:rPr>
          <w:rFonts w:ascii="Palatino Linotype" w:hAnsi="Palatino Linotype"/>
          <w:i/>
          <w:sz w:val="22"/>
          <w:szCs w:val="22"/>
        </w:rPr>
        <w:t>(Énfasis añadido)</w:t>
      </w:r>
    </w:p>
    <w:p w:rsidR="00EB6EA4" w:rsidRPr="00EB0EFF" w:rsidRDefault="00EB6EA4" w:rsidP="00EB6EA4">
      <w:pPr>
        <w:spacing w:before="100" w:beforeAutospacing="1" w:after="100" w:afterAutospacing="1" w:line="360" w:lineRule="auto"/>
        <w:jc w:val="both"/>
        <w:rPr>
          <w:rFonts w:ascii="Palatino Linotype" w:hAnsi="Palatino Linotype" w:cs="Segoe UI"/>
        </w:rPr>
      </w:pPr>
      <w:r w:rsidRPr="00EB0EFF">
        <w:rPr>
          <w:rFonts w:ascii="Palatino Linotype" w:hAnsi="Palatino Linotype" w:cs="Segoe UI"/>
        </w:rPr>
        <w:t>En consecuencia</w:t>
      </w:r>
      <w:r>
        <w:rPr>
          <w:rFonts w:ascii="Palatino Linotype" w:hAnsi="Palatino Linotype" w:cs="Segoe UI"/>
        </w:rPr>
        <w:t>,</w:t>
      </w:r>
      <w:r w:rsidRPr="00EB0EFF">
        <w:rPr>
          <w:rFonts w:ascii="Palatino Linotype" w:hAnsi="Palatino Linotype" w:cs="Segoe UI"/>
        </w:rPr>
        <w:t xml:space="preserve"> resulta que la solicitud de</w:t>
      </w:r>
      <w:r>
        <w:rPr>
          <w:rFonts w:ascii="Palatino Linotype" w:hAnsi="Palatino Linotype" w:cs="Segoe UI"/>
        </w:rPr>
        <w:t xml:space="preserve"> información </w:t>
      </w:r>
      <w:r w:rsidRPr="00EB0EFF">
        <w:rPr>
          <w:rFonts w:ascii="Palatino Linotype" w:hAnsi="Palatino Linotype" w:cs="Segoe UI"/>
        </w:rPr>
        <w:t xml:space="preserve">se deberá atender en términos del ejercicio del derecho de acceso a datos personales, </w:t>
      </w:r>
      <w:r w:rsidRPr="00EB0EFF">
        <w:rPr>
          <w:rFonts w:ascii="Palatino Linotype" w:hAnsi="Palatino Linotype"/>
          <w:lang w:eastAsia="es-MX"/>
        </w:rPr>
        <w:t xml:space="preserve">toda vez que este Instituto, </w:t>
      </w:r>
      <w:r w:rsidRPr="00847E03">
        <w:rPr>
          <w:rFonts w:ascii="Palatino Linotype" w:hAnsi="Palatino Linotype"/>
          <w:lang w:eastAsia="es-MX"/>
        </w:rPr>
        <w:t>al igual que otros Óranos Garantes como es el Ins</w:t>
      </w:r>
      <w:r w:rsidRPr="00EB0EFF">
        <w:rPr>
          <w:rFonts w:ascii="Palatino Linotype" w:hAnsi="Palatino Linotype"/>
          <w:lang w:eastAsia="es-MX"/>
        </w:rPr>
        <w:t xml:space="preserve">tituto Nacional de Acceso a la Información y Protección de Datos (INAI) se han pronunciado </w:t>
      </w:r>
      <w:r>
        <w:rPr>
          <w:rFonts w:ascii="Palatino Linotype" w:hAnsi="Palatino Linotype"/>
          <w:lang w:eastAsia="es-MX"/>
        </w:rPr>
        <w:t xml:space="preserve">en relación a </w:t>
      </w:r>
      <w:r w:rsidRPr="00EB0EFF">
        <w:rPr>
          <w:rFonts w:ascii="Palatino Linotype" w:hAnsi="Palatino Linotype"/>
          <w:lang w:eastAsia="es-MX"/>
        </w:rPr>
        <w:t>la procedencia de los recursos de revisión según la materia de la solicitud</w:t>
      </w:r>
      <w:r>
        <w:rPr>
          <w:rFonts w:ascii="Palatino Linotype" w:hAnsi="Palatino Linotype"/>
          <w:lang w:eastAsia="es-MX"/>
        </w:rPr>
        <w:t xml:space="preserve">, lo que encuentra </w:t>
      </w:r>
      <w:r w:rsidRPr="00847E03">
        <w:rPr>
          <w:rFonts w:ascii="Palatino Linotype" w:hAnsi="Palatino Linotype"/>
          <w:lang w:eastAsia="es-MX"/>
        </w:rPr>
        <w:t xml:space="preserve">apoyo en </w:t>
      </w:r>
      <w:r w:rsidRPr="00EB0EFF">
        <w:rPr>
          <w:rFonts w:ascii="Palatino Linotype" w:hAnsi="Palatino Linotype"/>
          <w:lang w:eastAsia="es-MX"/>
        </w:rPr>
        <w:t xml:space="preserve">el criterio </w:t>
      </w:r>
      <w:r w:rsidRPr="00EB0EFF">
        <w:rPr>
          <w:rFonts w:ascii="Palatino Linotype" w:hAnsi="Palatino Linotype"/>
          <w:b/>
          <w:lang w:eastAsia="es-MX"/>
        </w:rPr>
        <w:t>008/2009</w:t>
      </w:r>
      <w:r w:rsidRPr="00EB0EFF">
        <w:rPr>
          <w:rFonts w:ascii="Palatino Linotype" w:hAnsi="Palatino Linotype"/>
          <w:lang w:eastAsia="es-MX"/>
        </w:rPr>
        <w:t xml:space="preserve"> del I</w:t>
      </w:r>
      <w:r>
        <w:rPr>
          <w:rFonts w:ascii="Palatino Linotype" w:hAnsi="Palatino Linotype"/>
          <w:lang w:eastAsia="es-MX"/>
        </w:rPr>
        <w:t xml:space="preserve">nstituto Garante Nacional, </w:t>
      </w:r>
      <w:r w:rsidRPr="00847E03">
        <w:rPr>
          <w:rFonts w:ascii="Palatino Linotype" w:hAnsi="Palatino Linotype"/>
          <w:lang w:eastAsia="es-MX"/>
        </w:rPr>
        <w:t>que a la letra dispone:</w:t>
      </w:r>
    </w:p>
    <w:p w:rsidR="00EB6EA4" w:rsidRPr="006507E9" w:rsidRDefault="00EB6EA4" w:rsidP="00EB6EA4">
      <w:pPr>
        <w:tabs>
          <w:tab w:val="left" w:pos="7655"/>
        </w:tabs>
        <w:spacing w:before="100" w:beforeAutospacing="1" w:after="100" w:afterAutospacing="1"/>
        <w:ind w:left="851" w:right="900"/>
        <w:jc w:val="both"/>
        <w:rPr>
          <w:rFonts w:ascii="Palatino Linotype" w:hAnsi="Palatino Linotype"/>
          <w:b/>
          <w:i/>
          <w:sz w:val="22"/>
          <w:szCs w:val="22"/>
          <w:lang w:eastAsia="es-MX"/>
        </w:rPr>
      </w:pPr>
      <w:r w:rsidRPr="00336AFF">
        <w:rPr>
          <w:rFonts w:ascii="Palatino Linotype" w:hAnsi="Palatino Linotype"/>
          <w:i/>
          <w:sz w:val="22"/>
          <w:szCs w:val="22"/>
          <w:lang w:eastAsia="es-MX"/>
        </w:rPr>
        <w:t>“</w:t>
      </w:r>
      <w:r w:rsidRPr="00336AFF">
        <w:rPr>
          <w:rFonts w:ascii="Palatino Linotype" w:hAnsi="Palatino Linotype"/>
          <w:b/>
          <w:i/>
          <w:sz w:val="22"/>
          <w:szCs w:val="22"/>
          <w:lang w:eastAsia="es-MX"/>
        </w:rPr>
        <w:t xml:space="preserve">Las </w:t>
      </w:r>
      <w:r w:rsidRPr="00847E03">
        <w:rPr>
          <w:rFonts w:ascii="Palatino Linotype" w:hAnsi="Palatino Linotype"/>
          <w:b/>
          <w:i/>
          <w:sz w:val="22"/>
          <w:szCs w:val="22"/>
          <w:lang w:eastAsia="es-MX"/>
        </w:rPr>
        <w:t>dependencias y entidades deberán dar trámite a las solicitudes aun cuando la vía en la que fueron presentadas -acceso a datos personales o información pública- no corresponda con la naturaleza de la materia de la misma.</w:t>
      </w:r>
      <w:r w:rsidRPr="00847E03">
        <w:rPr>
          <w:rFonts w:ascii="Palatino Linotype" w:hAnsi="Palatino Linotype"/>
          <w:i/>
          <w:sz w:val="22"/>
          <w:szCs w:val="22"/>
          <w:lang w:eastAsia="es-MX"/>
        </w:rPr>
        <w:t xml:space="preserve"> </w:t>
      </w:r>
      <w:r w:rsidRPr="00847E03">
        <w:rPr>
          <w:rFonts w:ascii="Palatino Linotype" w:hAnsi="Palatino Linotype"/>
          <w:b/>
          <w:i/>
          <w:sz w:val="22"/>
          <w:szCs w:val="22"/>
          <w:lang w:eastAsia="es-MX"/>
        </w:rPr>
        <w:t xml:space="preserve">Todas aquellas solicitudes cuyo objetivo sea allegarse de información pública y que sean </w:t>
      </w:r>
      <w:r w:rsidRPr="006507E9">
        <w:rPr>
          <w:rFonts w:ascii="Palatino Linotype" w:hAnsi="Palatino Linotype"/>
          <w:b/>
          <w:i/>
          <w:sz w:val="22"/>
          <w:szCs w:val="22"/>
          <w:lang w:eastAsia="es-MX"/>
        </w:rPr>
        <w:t>ingresadas por la vía de acceso a datos personales, así como el caso contrario, deberán ser tramitadas por las dependencias y entidades de conformidad con la naturaleza de la información de que se trate, sin necesidad de que el particular requiera presentar una nueva solicitud.</w:t>
      </w:r>
    </w:p>
    <w:p w:rsidR="00EB6EA4" w:rsidRPr="003D4680" w:rsidRDefault="00EB6EA4" w:rsidP="003D4680">
      <w:pPr>
        <w:tabs>
          <w:tab w:val="left" w:pos="7655"/>
        </w:tabs>
        <w:spacing w:before="100" w:beforeAutospacing="1" w:after="100" w:afterAutospacing="1"/>
        <w:ind w:left="851" w:right="900"/>
        <w:jc w:val="both"/>
        <w:rPr>
          <w:rFonts w:ascii="Palatino Linotype" w:hAnsi="Palatino Linotype"/>
          <w:i/>
          <w:sz w:val="22"/>
          <w:szCs w:val="22"/>
          <w:lang w:eastAsia="es-MX"/>
        </w:rPr>
      </w:pPr>
      <w:r w:rsidRPr="00EB0EFF">
        <w:rPr>
          <w:rFonts w:ascii="Palatino Linotype" w:hAnsi="Palatino Linotype"/>
          <w:i/>
          <w:sz w:val="22"/>
          <w:szCs w:val="22"/>
          <w:lang w:eastAsia="es-MX"/>
        </w:rPr>
        <w:t xml:space="preserve">De conformidad con lo dispuesto en el artículo 1° de la Ley Federal de Transparencia y Acceso a la Información Pública Gubernamental, ésta tiene como finalidad proveer lo necesario para garantizar el acceso de toda persona a la información en posesión de los Poderes de la Unión, los órganos constitucionales autónomos o con autonomía legal, y cualquier otro órgano federal. Por su parte, el artículo 4 de la Ley en cita </w:t>
      </w:r>
      <w:r w:rsidRPr="00EB0EFF">
        <w:rPr>
          <w:rFonts w:ascii="Palatino Linotype" w:hAnsi="Palatino Linotype"/>
          <w:i/>
          <w:sz w:val="22"/>
          <w:szCs w:val="22"/>
          <w:lang w:eastAsia="es-MX"/>
        </w:rPr>
        <w:lastRenderedPageBreak/>
        <w:t xml:space="preserve">señala que entre sus objetivos se encuentra el de “proveer lo necesario para que toda persona pueda tener acceso a la información mediante procedimientos sencillos y expeditos”. De igual forma, el artículo 6 de la Ley Federal de Transparencia y Acceso a la Información Pública Gubernamental dispone que en la interpretación de la referida Ley y de su Reglamento “se deberá favorecer el principio de máxima publicidad y disponibilidad de la información en posesión de los sujetos obligados”. Considerando lo establecido en los artículos citados, este Instituto determina que, a efecto de cumplir con los objetivos de la ley de la materia y en aras de garantizar el acceso a través de procedimientos sencillos y expeditos, favoreciendo también el principio disponibilidad de la información en posesión de los sujetos obligados, éstos deben subsanar los errores en que incurran los particulares al elegir la vía por la que los particulares presentan sus solicitudes. </w:t>
      </w:r>
      <w:r w:rsidRPr="00EB0EFF">
        <w:rPr>
          <w:rFonts w:ascii="Palatino Linotype" w:hAnsi="Palatino Linotype"/>
          <w:b/>
          <w:i/>
          <w:sz w:val="22"/>
          <w:szCs w:val="22"/>
          <w:lang w:eastAsia="es-MX"/>
        </w:rPr>
        <w:t>Por consiguiente, en el caso que los particulares ingresen solicitudes de acceso a datos personales cuando, en realidad, la información solicitada corresponde a información pública, o viceversa, las dependencias y entidades deberán darles el trámite correspondiente de conformidad con la naturaleza de la información solicitada</w:t>
      </w:r>
      <w:r w:rsidRPr="00EB0EFF">
        <w:rPr>
          <w:rFonts w:ascii="Palatino Linotype" w:hAnsi="Palatino Linotype"/>
          <w:i/>
          <w:sz w:val="22"/>
          <w:szCs w:val="22"/>
          <w:lang w:eastAsia="es-MX"/>
        </w:rPr>
        <w:t>.”</w:t>
      </w:r>
      <w:r>
        <w:rPr>
          <w:rFonts w:ascii="Palatino Linotype" w:hAnsi="Palatino Linotype"/>
          <w:i/>
          <w:sz w:val="22"/>
          <w:szCs w:val="22"/>
          <w:lang w:eastAsia="es-MX"/>
        </w:rPr>
        <w:t>(Énfasis añadido)</w:t>
      </w:r>
    </w:p>
    <w:p w:rsidR="00EB6EA4" w:rsidRPr="006507E9" w:rsidRDefault="00EB6EA4" w:rsidP="00EB6EA4">
      <w:pPr>
        <w:spacing w:before="100" w:beforeAutospacing="1" w:after="100" w:afterAutospacing="1" w:line="360" w:lineRule="auto"/>
        <w:jc w:val="both"/>
        <w:rPr>
          <w:rFonts w:ascii="Palatino Linotype" w:hAnsi="Palatino Linotype"/>
        </w:rPr>
      </w:pPr>
      <w:r w:rsidRPr="00107443">
        <w:rPr>
          <w:rFonts w:ascii="Palatino Linotype" w:hAnsi="Palatino Linotype"/>
          <w:lang w:eastAsia="es-MX"/>
        </w:rPr>
        <w:t>Ahora bien, de conformidad con el artículo 1 de la Ley</w:t>
      </w:r>
      <w:r>
        <w:rPr>
          <w:rFonts w:ascii="Palatino Linotype" w:hAnsi="Palatino Linotype"/>
          <w:lang w:eastAsia="es-MX"/>
        </w:rPr>
        <w:t xml:space="preserve"> en cita, se establece que debe tenerse por </w:t>
      </w:r>
      <w:r w:rsidRPr="00107443">
        <w:rPr>
          <w:rFonts w:ascii="Palatino Linotype" w:hAnsi="Palatino Linotype"/>
          <w:lang w:eastAsia="es-MX"/>
        </w:rPr>
        <w:t xml:space="preserve">objeto garantizar la protección de los datos personales que se encuentren en posesión de los sujetos obligados, de tal forma, </w:t>
      </w:r>
      <w:r>
        <w:rPr>
          <w:rFonts w:ascii="Palatino Linotype" w:hAnsi="Palatino Linotype"/>
          <w:lang w:eastAsia="es-MX"/>
        </w:rPr>
        <w:t xml:space="preserve">que en el </w:t>
      </w:r>
      <w:r w:rsidRPr="00107443">
        <w:rPr>
          <w:rFonts w:ascii="Palatino Linotype" w:hAnsi="Palatino Linotype"/>
          <w:lang w:eastAsia="es-MX"/>
        </w:rPr>
        <w:t xml:space="preserve">presente asunto resulta aplicable la </w:t>
      </w:r>
      <w:r w:rsidRPr="00107443">
        <w:rPr>
          <w:rFonts w:ascii="Palatino Linotype" w:hAnsi="Palatino Linotype"/>
        </w:rPr>
        <w:t>Ley de Protección de Datos Personales en Posesión de Sujetos Obligados de</w:t>
      </w:r>
      <w:r>
        <w:rPr>
          <w:rFonts w:ascii="Palatino Linotype" w:hAnsi="Palatino Linotype"/>
        </w:rPr>
        <w:t>l Estado de México y Municipios, en lo sucesivo Ley de Datos; por lo cual,</w:t>
      </w:r>
      <w:r w:rsidRPr="00107443">
        <w:rPr>
          <w:rFonts w:ascii="Palatino Linotype" w:hAnsi="Palatino Linotype" w:cs="Segoe UI"/>
        </w:rPr>
        <w:t xml:space="preserve"> bajo el entendido de la naturaleza de la información solicitada en el presente asunto, </w:t>
      </w:r>
      <w:r w:rsidRPr="00107443">
        <w:rPr>
          <w:rFonts w:ascii="Palatino Linotype" w:hAnsi="Palatino Linotype"/>
        </w:rPr>
        <w:t xml:space="preserve">es pertinente dar </w:t>
      </w:r>
      <w:r>
        <w:rPr>
          <w:rFonts w:ascii="Palatino Linotype" w:hAnsi="Palatino Linotype"/>
        </w:rPr>
        <w:t xml:space="preserve">trámite al </w:t>
      </w:r>
      <w:r w:rsidRPr="00107443">
        <w:rPr>
          <w:rFonts w:ascii="Palatino Linotype" w:hAnsi="Palatino Linotype"/>
        </w:rPr>
        <w:t xml:space="preserve">recurso de revisión, </w:t>
      </w:r>
      <w:r w:rsidRPr="00107443">
        <w:rPr>
          <w:rFonts w:ascii="Palatino Linotype" w:hAnsi="Palatino Linotype" w:cs="Segoe UI"/>
        </w:rPr>
        <w:t xml:space="preserve">dentro de este marco. </w:t>
      </w:r>
    </w:p>
    <w:p w:rsidR="00EB6EA4" w:rsidRPr="00107443" w:rsidRDefault="00EB6EA4" w:rsidP="00EB6EA4">
      <w:pPr>
        <w:spacing w:before="100" w:beforeAutospacing="1" w:after="100" w:afterAutospacing="1" w:line="360" w:lineRule="auto"/>
        <w:jc w:val="both"/>
        <w:rPr>
          <w:rFonts w:ascii="Palatino Linotype" w:hAnsi="Palatino Linotype" w:cs="Segoe UI"/>
        </w:rPr>
      </w:pPr>
      <w:r>
        <w:rPr>
          <w:rFonts w:ascii="Palatino Linotype" w:hAnsi="Palatino Linotype" w:cs="Segoe UI"/>
        </w:rPr>
        <w:t xml:space="preserve">Por lo que, </w:t>
      </w:r>
      <w:r w:rsidRPr="00107443">
        <w:rPr>
          <w:rFonts w:ascii="Palatino Linotype" w:hAnsi="Palatino Linotype" w:cs="Segoe UI"/>
        </w:rPr>
        <w:t xml:space="preserve">resulta procedente </w:t>
      </w:r>
      <w:r>
        <w:rPr>
          <w:rFonts w:ascii="Palatino Linotype" w:hAnsi="Palatino Linotype" w:cs="Segoe UI"/>
        </w:rPr>
        <w:t xml:space="preserve">su </w:t>
      </w:r>
      <w:r w:rsidRPr="00107443">
        <w:rPr>
          <w:rFonts w:ascii="Palatino Linotype" w:hAnsi="Palatino Linotype" w:cs="Segoe UI"/>
        </w:rPr>
        <w:t xml:space="preserve">interposición, de </w:t>
      </w:r>
      <w:r>
        <w:rPr>
          <w:rFonts w:ascii="Palatino Linotype" w:hAnsi="Palatino Linotype" w:cs="Segoe UI"/>
        </w:rPr>
        <w:t>conformidad con l</w:t>
      </w:r>
      <w:r w:rsidRPr="00107443">
        <w:rPr>
          <w:rFonts w:ascii="Palatino Linotype" w:hAnsi="Palatino Linotype" w:cs="Segoe UI"/>
        </w:rPr>
        <w:t>o dispuesto en el artículo</w:t>
      </w:r>
      <w:r w:rsidRPr="00107443">
        <w:rPr>
          <w:rFonts w:ascii="Palatino Linotype" w:eastAsia="Calibri" w:hAnsi="Palatino Linotype" w:cs="Segoe UI"/>
        </w:rPr>
        <w:t> 129</w:t>
      </w:r>
      <w:r>
        <w:rPr>
          <w:rFonts w:ascii="Palatino Linotype" w:eastAsia="Calibri" w:hAnsi="Palatino Linotype" w:cs="Segoe UI"/>
        </w:rPr>
        <w:t>, fracción VI</w:t>
      </w:r>
      <w:r w:rsidR="005819EF">
        <w:rPr>
          <w:rFonts w:ascii="Palatino Linotype" w:eastAsia="Calibri" w:hAnsi="Palatino Linotype" w:cs="Segoe UI"/>
        </w:rPr>
        <w:t>II</w:t>
      </w:r>
      <w:r w:rsidRPr="00107443">
        <w:rPr>
          <w:rFonts w:ascii="Palatino Linotype" w:eastAsia="Calibri" w:hAnsi="Palatino Linotype" w:cs="Segoe UI"/>
        </w:rPr>
        <w:t xml:space="preserve"> </w:t>
      </w:r>
      <w:r w:rsidRPr="00107443">
        <w:rPr>
          <w:rFonts w:ascii="Palatino Linotype" w:hAnsi="Palatino Linotype" w:cs="Segoe UI"/>
        </w:rPr>
        <w:t>de</w:t>
      </w:r>
      <w:r>
        <w:rPr>
          <w:rFonts w:ascii="Palatino Linotype" w:hAnsi="Palatino Linotype" w:cs="Segoe UI"/>
        </w:rPr>
        <w:t xml:space="preserve"> la</w:t>
      </w:r>
      <w:r w:rsidRPr="00107443">
        <w:rPr>
          <w:rFonts w:ascii="Palatino Linotype" w:hAnsi="Palatino Linotype" w:cs="Segoe UI"/>
        </w:rPr>
        <w:t xml:space="preserve"> </w:t>
      </w:r>
      <w:r w:rsidRPr="00107443">
        <w:rPr>
          <w:rFonts w:ascii="Palatino Linotype" w:hAnsi="Palatino Linotype"/>
        </w:rPr>
        <w:t xml:space="preserve">Ley de </w:t>
      </w:r>
      <w:r>
        <w:rPr>
          <w:rFonts w:ascii="Palatino Linotype" w:hAnsi="Palatino Linotype"/>
        </w:rPr>
        <w:t xml:space="preserve">Datos, </w:t>
      </w:r>
      <w:r w:rsidRPr="00107443">
        <w:rPr>
          <w:rFonts w:ascii="Palatino Linotype" w:hAnsi="Palatino Linotype" w:cs="Segoe UI"/>
        </w:rPr>
        <w:t>que a la letra dice:</w:t>
      </w:r>
    </w:p>
    <w:p w:rsidR="00EB6EA4" w:rsidRPr="00107443" w:rsidRDefault="00EB6EA4" w:rsidP="00EB6EA4">
      <w:pPr>
        <w:autoSpaceDE w:val="0"/>
        <w:autoSpaceDN w:val="0"/>
        <w:adjustRightInd w:val="0"/>
        <w:spacing w:before="240" w:after="240"/>
        <w:ind w:left="1134" w:right="2175"/>
        <w:jc w:val="both"/>
        <w:rPr>
          <w:rFonts w:ascii="Palatino Linotype" w:hAnsi="Palatino Linotype" w:cs="Bookman Old Style"/>
          <w:i/>
          <w:sz w:val="22"/>
          <w:szCs w:val="20"/>
        </w:rPr>
      </w:pPr>
      <w:r w:rsidRPr="006507E9">
        <w:rPr>
          <w:rFonts w:ascii="Palatino Linotype" w:hAnsi="Palatino Linotype" w:cs="Segoe UI"/>
          <w:b/>
          <w:bCs/>
          <w:i/>
          <w:iCs/>
          <w:sz w:val="22"/>
          <w:szCs w:val="22"/>
        </w:rPr>
        <w:t>“</w:t>
      </w:r>
      <w:r w:rsidRPr="006507E9">
        <w:rPr>
          <w:rFonts w:ascii="Palatino Linotype" w:hAnsi="Palatino Linotype" w:cs="Segoe UI"/>
          <w:b/>
          <w:bCs/>
          <w:i/>
          <w:sz w:val="22"/>
          <w:szCs w:val="22"/>
        </w:rPr>
        <w:t>Artículo 129.</w:t>
      </w:r>
      <w:r w:rsidRPr="00107443">
        <w:rPr>
          <w:rFonts w:ascii="Palatino Linotype" w:hAnsi="Palatino Linotype" w:cs="Segoe UI"/>
          <w:bCs/>
          <w:i/>
          <w:sz w:val="22"/>
          <w:szCs w:val="22"/>
        </w:rPr>
        <w:t xml:space="preserve"> El recurso de revisión procederá en los supuestos siguientes</w:t>
      </w:r>
      <w:r w:rsidRPr="00107443">
        <w:rPr>
          <w:rFonts w:ascii="Palatino Linotype" w:hAnsi="Palatino Linotype" w:cs="Bookman Old Style"/>
          <w:i/>
          <w:sz w:val="22"/>
          <w:szCs w:val="20"/>
        </w:rPr>
        <w:t>:</w:t>
      </w:r>
    </w:p>
    <w:p w:rsidR="00EB6EA4" w:rsidRPr="00107443" w:rsidRDefault="00EB6EA4" w:rsidP="00EB6EA4">
      <w:pPr>
        <w:autoSpaceDE w:val="0"/>
        <w:autoSpaceDN w:val="0"/>
        <w:adjustRightInd w:val="0"/>
        <w:spacing w:before="240" w:after="240"/>
        <w:ind w:left="1134" w:right="902"/>
        <w:jc w:val="both"/>
        <w:rPr>
          <w:rFonts w:ascii="Palatino Linotype" w:hAnsi="Palatino Linotype" w:cs="Segoe UI"/>
          <w:b/>
          <w:bCs/>
          <w:i/>
          <w:iCs/>
          <w:sz w:val="22"/>
          <w:szCs w:val="22"/>
        </w:rPr>
      </w:pPr>
      <w:r w:rsidRPr="00107443">
        <w:rPr>
          <w:rFonts w:ascii="Palatino Linotype" w:hAnsi="Palatino Linotype" w:cs="Segoe UI"/>
          <w:b/>
          <w:bCs/>
          <w:i/>
          <w:iCs/>
          <w:sz w:val="22"/>
          <w:szCs w:val="22"/>
        </w:rPr>
        <w:t>…</w:t>
      </w:r>
    </w:p>
    <w:p w:rsidR="005819EF" w:rsidRDefault="005819EF" w:rsidP="00EB6EA4">
      <w:pPr>
        <w:autoSpaceDE w:val="0"/>
        <w:autoSpaceDN w:val="0"/>
        <w:adjustRightInd w:val="0"/>
        <w:spacing w:before="240" w:after="240"/>
        <w:ind w:left="1134" w:right="941"/>
        <w:jc w:val="both"/>
        <w:rPr>
          <w:rFonts w:ascii="Palatino Linotype" w:hAnsi="Palatino Linotype" w:cs="Segoe UI"/>
          <w:b/>
          <w:i/>
          <w:sz w:val="22"/>
          <w:szCs w:val="20"/>
        </w:rPr>
      </w:pPr>
      <w:r w:rsidRPr="005819EF">
        <w:rPr>
          <w:rFonts w:ascii="Palatino Linotype" w:hAnsi="Palatino Linotype" w:cs="Segoe UI"/>
          <w:b/>
          <w:i/>
          <w:sz w:val="22"/>
          <w:szCs w:val="20"/>
        </w:rPr>
        <w:lastRenderedPageBreak/>
        <w:t>VIII. Se entregue o ponga a disposición datos personales en una modalidad o formato distinto al solicitado, o en un formato incomprensible.</w:t>
      </w:r>
    </w:p>
    <w:p w:rsidR="00EB6EA4" w:rsidRDefault="00EB6EA4" w:rsidP="00EB6EA4">
      <w:pPr>
        <w:autoSpaceDE w:val="0"/>
        <w:autoSpaceDN w:val="0"/>
        <w:adjustRightInd w:val="0"/>
        <w:spacing w:before="240" w:after="240"/>
        <w:ind w:left="1134" w:right="941"/>
        <w:jc w:val="both"/>
        <w:rPr>
          <w:rFonts w:ascii="Palatino Linotype" w:hAnsi="Palatino Linotype" w:cs="Bookman Old Style,Bold"/>
          <w:b/>
          <w:bCs/>
          <w:i/>
          <w:sz w:val="22"/>
          <w:szCs w:val="20"/>
        </w:rPr>
      </w:pPr>
      <w:r w:rsidRPr="00107443">
        <w:rPr>
          <w:rFonts w:ascii="Palatino Linotype" w:hAnsi="Palatino Linotype" w:cs="Bookman Old Style,Bold"/>
          <w:b/>
          <w:bCs/>
          <w:i/>
          <w:sz w:val="22"/>
          <w:szCs w:val="20"/>
        </w:rPr>
        <w:t>…</w:t>
      </w:r>
      <w:r>
        <w:rPr>
          <w:rFonts w:ascii="Palatino Linotype" w:hAnsi="Palatino Linotype" w:cs="Bookman Old Style,Bold"/>
          <w:b/>
          <w:bCs/>
          <w:i/>
          <w:sz w:val="22"/>
          <w:szCs w:val="20"/>
        </w:rPr>
        <w:t>”</w:t>
      </w:r>
    </w:p>
    <w:p w:rsidR="00EB6EA4" w:rsidRPr="006507E9" w:rsidRDefault="00EB6EA4" w:rsidP="00EB6EA4">
      <w:pPr>
        <w:autoSpaceDE w:val="0"/>
        <w:autoSpaceDN w:val="0"/>
        <w:adjustRightInd w:val="0"/>
        <w:spacing w:before="240" w:after="240"/>
        <w:ind w:left="1134" w:right="941"/>
        <w:jc w:val="both"/>
        <w:rPr>
          <w:rFonts w:ascii="Palatino Linotype" w:hAnsi="Palatino Linotype" w:cs="Segoe UI"/>
          <w:i/>
          <w:sz w:val="22"/>
          <w:szCs w:val="20"/>
        </w:rPr>
      </w:pPr>
      <w:r w:rsidRPr="006507E9">
        <w:rPr>
          <w:rFonts w:ascii="Palatino Linotype" w:hAnsi="Palatino Linotype" w:cs="Bookman Old Style,Bold"/>
          <w:bCs/>
          <w:i/>
          <w:sz w:val="22"/>
          <w:szCs w:val="20"/>
        </w:rPr>
        <w:t>(Énfasis añadido)</w:t>
      </w:r>
    </w:p>
    <w:p w:rsidR="00AF0EB7" w:rsidRPr="00AF0EB7" w:rsidRDefault="00EB6EA4" w:rsidP="00AF0EB7">
      <w:pPr>
        <w:pStyle w:val="Prrafodelista"/>
        <w:widowControl w:val="0"/>
        <w:tabs>
          <w:tab w:val="left" w:pos="1701"/>
        </w:tabs>
        <w:autoSpaceDE w:val="0"/>
        <w:autoSpaceDN w:val="0"/>
        <w:adjustRightInd w:val="0"/>
        <w:spacing w:before="240" w:after="240" w:line="360" w:lineRule="auto"/>
        <w:ind w:left="0"/>
        <w:jc w:val="both"/>
        <w:rPr>
          <w:rFonts w:ascii="Palatino Linotype" w:hAnsi="Palatino Linotype"/>
        </w:rPr>
      </w:pPr>
      <w:r w:rsidRPr="001215EF">
        <w:rPr>
          <w:rFonts w:ascii="Palatino Linotype" w:hAnsi="Palatino Linotype"/>
          <w:b/>
          <w:sz w:val="28"/>
          <w:szCs w:val="28"/>
        </w:rPr>
        <w:t>SEXTO.</w:t>
      </w:r>
      <w:r>
        <w:rPr>
          <w:rFonts w:ascii="Palatino Linotype" w:hAnsi="Palatino Linotype"/>
          <w:b/>
        </w:rPr>
        <w:t xml:space="preserve"> </w:t>
      </w:r>
      <w:bookmarkStart w:id="1" w:name="_Ref528751948"/>
      <w:r w:rsidR="00AF0EB7" w:rsidRPr="00723015">
        <w:rPr>
          <w:rFonts w:ascii="Palatino Linotype" w:hAnsi="Palatino Linotype" w:cs="Arial"/>
          <w:b/>
          <w:color w:val="000000" w:themeColor="text1"/>
        </w:rPr>
        <w:t>Análisis de las causales de sobreseimiento.</w:t>
      </w:r>
      <w:r w:rsidR="00AF0EB7" w:rsidRPr="00723015">
        <w:rPr>
          <w:rFonts w:ascii="Palatino Linotype" w:hAnsi="Palatino Linotype" w:cs="Arial"/>
          <w:color w:val="000000" w:themeColor="text1"/>
        </w:rPr>
        <w:t xml:space="preserve"> A efecto de continuar con el presente estudio y previo análisis de las constancias que integran el expediente electrónico, se advierte que </w:t>
      </w:r>
      <w:r w:rsidR="00AF0EB7">
        <w:rPr>
          <w:rFonts w:ascii="Palatino Linotype" w:hAnsi="Palatino Linotype" w:cs="Arial"/>
          <w:b/>
        </w:rPr>
        <w:t>EL</w:t>
      </w:r>
      <w:r w:rsidR="00AF0EB7" w:rsidRPr="00723015">
        <w:rPr>
          <w:rFonts w:ascii="Palatino Linotype" w:hAnsi="Palatino Linotype" w:cs="Arial"/>
          <w:b/>
        </w:rPr>
        <w:t xml:space="preserve"> RECURRENTE</w:t>
      </w:r>
      <w:r w:rsidR="00AF0EB7" w:rsidRPr="00723015">
        <w:rPr>
          <w:rFonts w:ascii="Palatino Linotype" w:hAnsi="Palatino Linotype"/>
          <w:color w:val="000000"/>
        </w:rPr>
        <w:t xml:space="preserve"> solicitó </w:t>
      </w:r>
      <w:r w:rsidR="00AF0EB7" w:rsidRPr="00723015">
        <w:rPr>
          <w:rFonts w:ascii="Palatino Linotype" w:hAnsi="Palatino Linotype" w:cs="Arial"/>
        </w:rPr>
        <w:t>del</w:t>
      </w:r>
      <w:r w:rsidR="00AF0EB7" w:rsidRPr="00723015">
        <w:rPr>
          <w:rFonts w:ascii="Palatino Linotype" w:hAnsi="Palatino Linotype"/>
          <w:color w:val="000000"/>
        </w:rPr>
        <w:t xml:space="preserve"> </w:t>
      </w:r>
      <w:r w:rsidR="00AF0EB7" w:rsidRPr="00723015">
        <w:rPr>
          <w:rFonts w:ascii="Palatino Linotype" w:hAnsi="Palatino Linotype" w:cs="Arial"/>
          <w:b/>
          <w:color w:val="000000"/>
        </w:rPr>
        <w:t>SUJETO OBLIGADO</w:t>
      </w:r>
      <w:r w:rsidR="00AF0EB7" w:rsidRPr="00723015">
        <w:rPr>
          <w:rFonts w:ascii="Palatino Linotype" w:hAnsi="Palatino Linotype" w:cs="Arial"/>
        </w:rPr>
        <w:t xml:space="preserve">, </w:t>
      </w:r>
      <w:r w:rsidR="00AF0EB7" w:rsidRPr="00723015">
        <w:rPr>
          <w:rFonts w:ascii="Palatino Linotype" w:hAnsi="Palatino Linotype"/>
        </w:rPr>
        <w:t xml:space="preserve">vía </w:t>
      </w:r>
      <w:r w:rsidR="00AF0EB7" w:rsidRPr="00723015">
        <w:rPr>
          <w:rFonts w:ascii="Palatino Linotype" w:hAnsi="Palatino Linotype"/>
          <w:b/>
        </w:rPr>
        <w:t>SA</w:t>
      </w:r>
      <w:r w:rsidR="00AF0EB7">
        <w:rPr>
          <w:rFonts w:ascii="Palatino Linotype" w:hAnsi="Palatino Linotype"/>
          <w:b/>
        </w:rPr>
        <w:t>IMEX</w:t>
      </w:r>
      <w:bookmarkEnd w:id="1"/>
      <w:r w:rsidR="00AF0EB7">
        <w:rPr>
          <w:rFonts w:ascii="Palatino Linotype" w:hAnsi="Palatino Linotype"/>
        </w:rPr>
        <w:t xml:space="preserve"> su aviso de movimiento de baja correspondiente al mes de enero de 2019.</w:t>
      </w:r>
    </w:p>
    <w:p w:rsidR="00AF0EB7" w:rsidRPr="00C87604" w:rsidRDefault="00AF0EB7" w:rsidP="00AF0EB7">
      <w:pPr>
        <w:pStyle w:val="Prrafodelista"/>
        <w:widowControl w:val="0"/>
        <w:tabs>
          <w:tab w:val="left" w:pos="1701"/>
        </w:tabs>
        <w:autoSpaceDE w:val="0"/>
        <w:autoSpaceDN w:val="0"/>
        <w:adjustRightInd w:val="0"/>
        <w:spacing w:before="240" w:after="240" w:line="360" w:lineRule="auto"/>
        <w:ind w:left="0"/>
        <w:jc w:val="both"/>
        <w:rPr>
          <w:rFonts w:ascii="Palatino Linotype" w:hAnsi="Palatino Linotype" w:cs="Arial"/>
        </w:rPr>
      </w:pPr>
      <w:r w:rsidRPr="00821016">
        <w:rPr>
          <w:rFonts w:ascii="Palatino Linotype" w:hAnsi="Palatino Linotype" w:cs="Arial"/>
        </w:rPr>
        <w:t xml:space="preserve">En </w:t>
      </w:r>
      <w:r>
        <w:rPr>
          <w:rFonts w:ascii="Palatino Linotype" w:hAnsi="Palatino Linotype" w:cs="Arial"/>
        </w:rPr>
        <w:t xml:space="preserve">ese tenor, </w:t>
      </w:r>
      <w:r w:rsidRPr="00821016">
        <w:rPr>
          <w:rFonts w:ascii="Palatino Linotype" w:hAnsi="Palatino Linotype" w:cs="Arial"/>
          <w:b/>
        </w:rPr>
        <w:t>EL SUJETO OBLIGADO</w:t>
      </w:r>
      <w:r w:rsidRPr="00821016">
        <w:rPr>
          <w:rFonts w:ascii="Palatino Linotype" w:hAnsi="Palatino Linotype" w:cs="Arial"/>
        </w:rPr>
        <w:t xml:space="preserve"> </w:t>
      </w:r>
      <w:r>
        <w:rPr>
          <w:rFonts w:ascii="Palatino Linotype" w:hAnsi="Palatino Linotype" w:cs="Arial"/>
        </w:rPr>
        <w:t xml:space="preserve">mediante su respuesta manifestó que una vez realizada una búsqueda exhaustiva de la información solicitada la Coordinación de Prestaciones y Seguridad Social localizó el movimiento de baja solicitado; </w:t>
      </w:r>
      <w:r w:rsidR="00C87604">
        <w:rPr>
          <w:rFonts w:ascii="Palatino Linotype" w:hAnsi="Palatino Linotype" w:cs="Arial"/>
        </w:rPr>
        <w:t xml:space="preserve">por lo que, </w:t>
      </w:r>
      <w:r w:rsidR="00E957A2">
        <w:rPr>
          <w:rFonts w:ascii="Palatino Linotype" w:hAnsi="Palatino Linotype" w:cs="Arial"/>
        </w:rPr>
        <w:t xml:space="preserve">debía presentarse para que </w:t>
      </w:r>
      <w:r w:rsidR="00C87604">
        <w:rPr>
          <w:rFonts w:ascii="Palatino Linotype" w:hAnsi="Palatino Linotype" w:cs="Arial"/>
        </w:rPr>
        <w:t xml:space="preserve">previa a acreditación de su identidad y de la titularidad de los datos personales </w:t>
      </w:r>
      <w:r w:rsidR="00E957A2">
        <w:rPr>
          <w:rFonts w:ascii="Palatino Linotype" w:hAnsi="Palatino Linotype" w:cs="Arial"/>
        </w:rPr>
        <w:t xml:space="preserve">de los </w:t>
      </w:r>
      <w:r w:rsidR="00C87604">
        <w:rPr>
          <w:rFonts w:ascii="Palatino Linotype" w:hAnsi="Palatino Linotype" w:cs="Arial"/>
        </w:rPr>
        <w:t>que pretendía tener acceso</w:t>
      </w:r>
      <w:r w:rsidR="00E957A2">
        <w:rPr>
          <w:rFonts w:ascii="Palatino Linotype" w:hAnsi="Palatino Linotype" w:cs="Arial"/>
        </w:rPr>
        <w:t>,</w:t>
      </w:r>
      <w:r w:rsidR="00C87604">
        <w:rPr>
          <w:rFonts w:ascii="Palatino Linotype" w:hAnsi="Palatino Linotype" w:cs="Arial"/>
        </w:rPr>
        <w:t xml:space="preserve"> ante el Módulo de Acceso del </w:t>
      </w:r>
      <w:r w:rsidR="00E957A2">
        <w:rPr>
          <w:rFonts w:ascii="Palatino Linotype" w:hAnsi="Palatino Linotype" w:cs="Arial"/>
          <w:b/>
        </w:rPr>
        <w:t>SUJE</w:t>
      </w:r>
      <w:r w:rsidR="00C87604">
        <w:rPr>
          <w:rFonts w:ascii="Palatino Linotype" w:hAnsi="Palatino Linotype" w:cs="Arial"/>
          <w:b/>
        </w:rPr>
        <w:t xml:space="preserve">TO OBLIGADO </w:t>
      </w:r>
      <w:r w:rsidR="00C87604">
        <w:rPr>
          <w:rFonts w:ascii="Palatino Linotype" w:hAnsi="Palatino Linotype" w:cs="Arial"/>
        </w:rPr>
        <w:t>ubicado en avenida Miguel Hidalgo número 600, planta baja, Colonia La Merced, Código Postal 50080, en días hábiles de lunes a viernes de las 9:00 a las 18:00 horas, para que con una identificación oficial vigente acreditara su personalidad como titular de los datos personales solicitados; de conformidad con el artículo 118 de la Ley de Protección de Datos Personales en Posesión de los Sujetos Obligados del Estado de México y Municipios.</w:t>
      </w:r>
    </w:p>
    <w:p w:rsidR="00D5797D" w:rsidRDefault="00AF0EB7" w:rsidP="00277751">
      <w:pPr>
        <w:widowControl w:val="0"/>
        <w:tabs>
          <w:tab w:val="left" w:pos="3878"/>
        </w:tabs>
        <w:autoSpaceDE w:val="0"/>
        <w:autoSpaceDN w:val="0"/>
        <w:adjustRightInd w:val="0"/>
        <w:spacing w:before="240" w:after="240" w:line="360" w:lineRule="auto"/>
        <w:jc w:val="both"/>
        <w:rPr>
          <w:rFonts w:ascii="Palatino Linotype" w:hAnsi="Palatino Linotype" w:cs="Arial"/>
        </w:rPr>
      </w:pPr>
      <w:r w:rsidRPr="00584B18">
        <w:rPr>
          <w:rFonts w:ascii="Palatino Linotype" w:hAnsi="Palatino Linotype" w:cs="Arial"/>
        </w:rPr>
        <w:t xml:space="preserve">En ese tenor, el particular inconforme con </w:t>
      </w:r>
      <w:r>
        <w:rPr>
          <w:rFonts w:ascii="Palatino Linotype" w:hAnsi="Palatino Linotype" w:cs="Arial"/>
        </w:rPr>
        <w:t xml:space="preserve">la respuesta otorgada por </w:t>
      </w:r>
      <w:r>
        <w:rPr>
          <w:rFonts w:ascii="Palatino Linotype" w:hAnsi="Palatino Linotype" w:cs="Arial"/>
          <w:b/>
        </w:rPr>
        <w:t>EL SUJETO OBLIGADO</w:t>
      </w:r>
      <w:r>
        <w:rPr>
          <w:rFonts w:ascii="Palatino Linotype" w:hAnsi="Palatino Linotype" w:cs="Arial"/>
        </w:rPr>
        <w:t xml:space="preserve"> </w:t>
      </w:r>
      <w:r w:rsidRPr="00584B18">
        <w:rPr>
          <w:rFonts w:ascii="Palatino Linotype" w:hAnsi="Palatino Linotype" w:cs="Arial"/>
        </w:rPr>
        <w:t>interpuso el recurso de revisión de mérito en el que señaló como acto impugnado y razones o motivos de inconformidad lo referido en el Resultando IV de la presente resolución</w:t>
      </w:r>
      <w:r w:rsidR="00D5797D">
        <w:rPr>
          <w:rFonts w:ascii="Palatino Linotype" w:hAnsi="Palatino Linotype" w:cs="Arial"/>
        </w:rPr>
        <w:t>.</w:t>
      </w:r>
      <w:r w:rsidR="002954E4">
        <w:rPr>
          <w:rFonts w:ascii="Palatino Linotype" w:hAnsi="Palatino Linotype" w:cs="Arial"/>
        </w:rPr>
        <w:t xml:space="preserve"> </w:t>
      </w:r>
    </w:p>
    <w:p w:rsidR="00D5797D" w:rsidRDefault="00AF0EB7" w:rsidP="00AF0EB7">
      <w:pPr>
        <w:widowControl w:val="0"/>
        <w:autoSpaceDE w:val="0"/>
        <w:autoSpaceDN w:val="0"/>
        <w:adjustRightInd w:val="0"/>
        <w:spacing w:before="240" w:after="240" w:line="360" w:lineRule="auto"/>
        <w:jc w:val="both"/>
        <w:rPr>
          <w:rFonts w:ascii="Palatino Linotype" w:hAnsi="Palatino Linotype"/>
        </w:rPr>
      </w:pPr>
      <w:r>
        <w:rPr>
          <w:rFonts w:ascii="Palatino Linotype" w:hAnsi="Palatino Linotype" w:cs="Arial"/>
        </w:rPr>
        <w:lastRenderedPageBreak/>
        <w:t xml:space="preserve">Así, de las constancias que integran el expediente electrónico del </w:t>
      </w:r>
      <w:r w:rsidRPr="002226F3">
        <w:rPr>
          <w:rFonts w:ascii="Palatino Linotype" w:hAnsi="Palatino Linotype" w:cs="Arial"/>
          <w:b/>
        </w:rPr>
        <w:t>SA</w:t>
      </w:r>
      <w:r w:rsidR="00D5797D">
        <w:rPr>
          <w:rFonts w:ascii="Palatino Linotype" w:hAnsi="Palatino Linotype" w:cs="Arial"/>
          <w:b/>
        </w:rPr>
        <w:t>IMEX</w:t>
      </w:r>
      <w:r w:rsidR="00D5797D">
        <w:rPr>
          <w:rFonts w:ascii="Palatino Linotype" w:hAnsi="Palatino Linotype" w:cs="Arial"/>
        </w:rPr>
        <w:t xml:space="preserve"> </w:t>
      </w:r>
      <w:r>
        <w:rPr>
          <w:rFonts w:ascii="Palatino Linotype" w:hAnsi="Palatino Linotype"/>
          <w:b/>
        </w:rPr>
        <w:t xml:space="preserve">EL SUJETO OBLIGADO </w:t>
      </w:r>
      <w:r>
        <w:rPr>
          <w:rFonts w:ascii="Palatino Linotype" w:hAnsi="Palatino Linotype"/>
        </w:rPr>
        <w:t xml:space="preserve">rindió el Informe Justificado correspondiente, en el que </w:t>
      </w:r>
      <w:r w:rsidR="00D5797D">
        <w:rPr>
          <w:rFonts w:ascii="Palatino Linotype" w:hAnsi="Palatino Linotype"/>
        </w:rPr>
        <w:t>esencialmente ratificó su respuesta; sin embargo, mediante alcance a dicho Informe, manifestó lo siguiente:</w:t>
      </w:r>
    </w:p>
    <w:p w:rsidR="00D5797D" w:rsidRDefault="003A18DC" w:rsidP="00D5797D">
      <w:pPr>
        <w:widowControl w:val="0"/>
        <w:autoSpaceDE w:val="0"/>
        <w:autoSpaceDN w:val="0"/>
        <w:adjustRightInd w:val="0"/>
        <w:spacing w:before="240" w:after="240" w:line="360" w:lineRule="auto"/>
        <w:jc w:val="center"/>
        <w:rPr>
          <w:rFonts w:ascii="Palatino Linotype" w:hAnsi="Palatino Linotype"/>
          <w:b/>
        </w:rPr>
      </w:pPr>
      <w:r>
        <w:rPr>
          <w:noProof/>
          <w:lang w:eastAsia="es-MX"/>
        </w:rPr>
        <mc:AlternateContent>
          <mc:Choice Requires="wps">
            <w:drawing>
              <wp:anchor distT="0" distB="0" distL="114300" distR="114300" simplePos="0" relativeHeight="251663360" behindDoc="0" locked="0" layoutInCell="1" allowOverlap="1">
                <wp:simplePos x="0" y="0"/>
                <wp:positionH relativeFrom="column">
                  <wp:posOffset>582867</wp:posOffset>
                </wp:positionH>
                <wp:positionV relativeFrom="paragraph">
                  <wp:posOffset>61483</wp:posOffset>
                </wp:positionV>
                <wp:extent cx="4647363" cy="828989"/>
                <wp:effectExtent l="19050" t="19050" r="20320" b="28575"/>
                <wp:wrapNone/>
                <wp:docPr id="29" name="Rectángulo 29"/>
                <wp:cNvGraphicFramePr/>
                <a:graphic xmlns:a="http://schemas.openxmlformats.org/drawingml/2006/main">
                  <a:graphicData uri="http://schemas.microsoft.com/office/word/2010/wordprocessingShape">
                    <wps:wsp>
                      <wps:cNvSpPr/>
                      <wps:spPr>
                        <a:xfrm>
                          <a:off x="0" y="0"/>
                          <a:ext cx="4647363" cy="828989"/>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8DA436" id="Rectángulo 29" o:spid="_x0000_s1026" style="position:absolute;margin-left:45.9pt;margin-top:4.85pt;width:365.95pt;height:65.2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" filled="f" strokecolor="#1f4d78 [1604]" strokeweight="2.25pt"/>
            </w:pict>
          </mc:Fallback>
        </mc:AlternateContent>
      </w:r>
      <w:r w:rsidR="00D5797D">
        <w:rPr>
          <w:noProof/>
          <w:lang w:eastAsia="es-MX"/>
        </w:rPr>
        <w:drawing>
          <wp:inline distT="0" distB="0" distL="0" distR="0" wp14:anchorId="4233110D" wp14:editId="6EF411DD">
            <wp:extent cx="4814374" cy="1547446"/>
            <wp:effectExtent l="0" t="0" r="571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1168" t="16965" r="20541" b="49730"/>
                    <a:stretch/>
                  </pic:blipFill>
                  <pic:spPr bwMode="auto">
                    <a:xfrm>
                      <a:off x="0" y="0"/>
                      <a:ext cx="4844290" cy="1557062"/>
                    </a:xfrm>
                    <a:prstGeom prst="rect">
                      <a:avLst/>
                    </a:prstGeom>
                    <a:ln>
                      <a:noFill/>
                    </a:ln>
                    <a:extLst>
                      <a:ext uri="{53640926-AAD7-44D8-BBD7-CCE9431645EC}">
                        <a14:shadowObscured xmlns:a14="http://schemas.microsoft.com/office/drawing/2010/main"/>
                      </a:ext>
                    </a:extLst>
                  </pic:spPr>
                </pic:pic>
              </a:graphicData>
            </a:graphic>
          </wp:inline>
        </w:drawing>
      </w:r>
    </w:p>
    <w:p w:rsidR="003A18DC" w:rsidRDefault="003A18DC" w:rsidP="003A18DC">
      <w:pPr>
        <w:widowControl w:val="0"/>
        <w:autoSpaceDE w:val="0"/>
        <w:autoSpaceDN w:val="0"/>
        <w:adjustRightInd w:val="0"/>
        <w:spacing w:before="240" w:after="240" w:line="360" w:lineRule="auto"/>
        <w:jc w:val="both"/>
        <w:rPr>
          <w:rFonts w:ascii="Palatino Linotype" w:hAnsi="Palatino Linotype"/>
        </w:rPr>
      </w:pPr>
      <w:r w:rsidRPr="003A18DC">
        <w:rPr>
          <w:rFonts w:ascii="Palatino Linotype" w:hAnsi="Palatino Linotype"/>
        </w:rPr>
        <w:t>Debiendo</w:t>
      </w:r>
      <w:r>
        <w:rPr>
          <w:rFonts w:ascii="Palatino Linotype" w:hAnsi="Palatino Linotype"/>
          <w:b/>
        </w:rPr>
        <w:t xml:space="preserve"> </w:t>
      </w:r>
      <w:r>
        <w:rPr>
          <w:rFonts w:ascii="Palatino Linotype" w:hAnsi="Palatino Linotype"/>
        </w:rPr>
        <w:t xml:space="preserve">señalar que </w:t>
      </w:r>
      <w:r>
        <w:rPr>
          <w:rFonts w:ascii="Palatino Linotype" w:hAnsi="Palatino Linotype"/>
          <w:b/>
        </w:rPr>
        <w:t xml:space="preserve">EL SUEJTO OBLIGADO </w:t>
      </w:r>
      <w:r>
        <w:rPr>
          <w:rFonts w:ascii="Palatino Linotype" w:hAnsi="Palatino Linotype"/>
        </w:rPr>
        <w:t xml:space="preserve">adjuntó a dicho alcance de manera digitalizada copia simple de la respuesta remitida, de la credencial de elector del </w:t>
      </w:r>
      <w:r>
        <w:rPr>
          <w:rFonts w:ascii="Palatino Linotype" w:hAnsi="Palatino Linotype"/>
          <w:b/>
        </w:rPr>
        <w:t>RECURRENTE</w:t>
      </w:r>
      <w:r>
        <w:rPr>
          <w:rFonts w:ascii="Palatino Linotype" w:hAnsi="Palatino Linotype"/>
        </w:rPr>
        <w:t xml:space="preserve"> y de un escrito signado por este en el que establece su conformidad con el cambio de modalidad en la entrega de los datos personales requeridos autorizando le fuera entregado </w:t>
      </w:r>
      <w:r w:rsidR="00E957A2">
        <w:rPr>
          <w:rFonts w:ascii="Palatino Linotype" w:hAnsi="Palatino Linotype"/>
        </w:rPr>
        <w:t>vía correo electrónico personal; tal y como se aprecia enseguida:</w:t>
      </w:r>
    </w:p>
    <w:p w:rsidR="00E957A2" w:rsidRPr="003A18DC" w:rsidRDefault="0060591E" w:rsidP="00E957A2">
      <w:pPr>
        <w:widowControl w:val="0"/>
        <w:autoSpaceDE w:val="0"/>
        <w:autoSpaceDN w:val="0"/>
        <w:adjustRightInd w:val="0"/>
        <w:spacing w:before="240" w:after="240" w:line="360" w:lineRule="auto"/>
        <w:jc w:val="center"/>
        <w:rPr>
          <w:rFonts w:ascii="Palatino Linotype" w:hAnsi="Palatino Linotype"/>
        </w:rPr>
      </w:pPr>
      <w:r>
        <w:rPr>
          <w:noProof/>
          <w:lang w:eastAsia="es-MX"/>
        </w:rPr>
        <w:drawing>
          <wp:inline distT="0" distB="0" distL="0" distR="0" wp14:anchorId="448D9507" wp14:editId="463B1484">
            <wp:extent cx="4647346" cy="1617260"/>
            <wp:effectExtent l="0" t="0" r="1270" b="254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9697" t="43991" r="27659" b="29629"/>
                    <a:stretch/>
                  </pic:blipFill>
                  <pic:spPr bwMode="auto">
                    <a:xfrm>
                      <a:off x="0" y="0"/>
                      <a:ext cx="4701911" cy="1636248"/>
                    </a:xfrm>
                    <a:prstGeom prst="rect">
                      <a:avLst/>
                    </a:prstGeom>
                    <a:ln>
                      <a:noFill/>
                    </a:ln>
                    <a:extLst>
                      <a:ext uri="{53640926-AAD7-44D8-BBD7-CCE9431645EC}">
                        <a14:shadowObscured xmlns:a14="http://schemas.microsoft.com/office/drawing/2010/main"/>
                      </a:ext>
                    </a:extLst>
                  </pic:spPr>
                </pic:pic>
              </a:graphicData>
            </a:graphic>
          </wp:inline>
        </w:drawing>
      </w:r>
    </w:p>
    <w:p w:rsidR="0060098F" w:rsidRPr="0058663A" w:rsidRDefault="0060098F" w:rsidP="0060098F">
      <w:pPr>
        <w:pStyle w:val="Prrafodelista"/>
        <w:widowControl w:val="0"/>
        <w:autoSpaceDE w:val="0"/>
        <w:autoSpaceDN w:val="0"/>
        <w:adjustRightInd w:val="0"/>
        <w:spacing w:before="360" w:after="240" w:line="360" w:lineRule="auto"/>
        <w:ind w:left="0"/>
        <w:jc w:val="both"/>
        <w:rPr>
          <w:rFonts w:ascii="Palatino Linotype" w:hAnsi="Palatino Linotype" w:cs="Arial"/>
        </w:rPr>
      </w:pPr>
      <w:r w:rsidRPr="0058663A">
        <w:rPr>
          <w:rFonts w:ascii="Palatino Linotype" w:hAnsi="Palatino Linotype" w:cs="Arial"/>
          <w:color w:val="000000"/>
          <w:lang w:eastAsia="es-MX"/>
        </w:rPr>
        <w:t xml:space="preserve">Precisado lo anterior, debe señalarse que </w:t>
      </w:r>
      <w:r>
        <w:rPr>
          <w:rFonts w:ascii="Palatino Linotype" w:hAnsi="Palatino Linotype" w:cs="Arial"/>
          <w:b/>
          <w:color w:val="000000"/>
          <w:lang w:eastAsia="es-MX"/>
        </w:rPr>
        <w:t xml:space="preserve">EL RECURRENTE </w:t>
      </w:r>
      <w:r w:rsidR="00507ACF">
        <w:rPr>
          <w:rFonts w:ascii="Palatino Linotype" w:hAnsi="Palatino Linotype" w:cs="Arial"/>
          <w:color w:val="000000"/>
          <w:lang w:eastAsia="es-MX"/>
        </w:rPr>
        <w:t xml:space="preserve">en </w:t>
      </w:r>
      <w:r w:rsidRPr="0058663A">
        <w:rPr>
          <w:rFonts w:ascii="Palatino Linotype" w:eastAsia="Arial Unicode MS" w:hAnsi="Palatino Linotype" w:cs="Arial"/>
          <w:color w:val="000000"/>
          <w:lang w:eastAsia="es-MX"/>
        </w:rPr>
        <w:t xml:space="preserve">el </w:t>
      </w:r>
      <w:r>
        <w:rPr>
          <w:rFonts w:ascii="Palatino Linotype" w:eastAsia="Arial Unicode MS" w:hAnsi="Palatino Linotype" w:cs="Arial"/>
          <w:color w:val="000000"/>
          <w:lang w:eastAsia="es-MX"/>
        </w:rPr>
        <w:t xml:space="preserve">apartado de </w:t>
      </w:r>
      <w:r w:rsidR="00507ACF">
        <w:rPr>
          <w:rFonts w:ascii="Palatino Linotype" w:eastAsia="Arial Unicode MS" w:hAnsi="Palatino Linotype" w:cs="Arial"/>
          <w:color w:val="000000"/>
          <w:lang w:eastAsia="es-MX"/>
        </w:rPr>
        <w:t xml:space="preserve">Recurso </w:t>
      </w:r>
      <w:r w:rsidR="00507ACF">
        <w:rPr>
          <w:rFonts w:ascii="Palatino Linotype" w:eastAsia="Arial Unicode MS" w:hAnsi="Palatino Linotype" w:cs="Arial"/>
          <w:color w:val="000000"/>
          <w:lang w:eastAsia="es-MX"/>
        </w:rPr>
        <w:lastRenderedPageBreak/>
        <w:t>de Revisión Desistido manifestó que acudió de manera personal a las oficinas del ISSEMYM y le entregaron la documentación solicitada; apartado que</w:t>
      </w:r>
      <w:r w:rsidRPr="0058663A">
        <w:rPr>
          <w:rFonts w:ascii="Palatino Linotype" w:eastAsia="Arial Unicode MS" w:hAnsi="Palatino Linotype" w:cs="Arial"/>
          <w:color w:val="000000"/>
          <w:lang w:eastAsia="es-MX"/>
        </w:rPr>
        <w:t xml:space="preserve"> sólo puede ser activado por</w:t>
      </w:r>
      <w:r w:rsidR="00507ACF">
        <w:rPr>
          <w:rFonts w:ascii="Palatino Linotype" w:eastAsia="Arial Unicode MS" w:hAnsi="Palatino Linotype" w:cs="Arial"/>
          <w:color w:val="000000"/>
          <w:lang w:eastAsia="es-MX"/>
        </w:rPr>
        <w:t xml:space="preserve"> los particulares </w:t>
      </w:r>
      <w:r w:rsidRPr="0058663A">
        <w:rPr>
          <w:rFonts w:ascii="Palatino Linotype" w:eastAsia="Arial Unicode MS" w:hAnsi="Palatino Linotype" w:cs="Arial"/>
          <w:color w:val="000000"/>
          <w:lang w:eastAsia="es-MX"/>
        </w:rPr>
        <w:t xml:space="preserve">mediante el ingreso al </w:t>
      </w:r>
      <w:r w:rsidRPr="0058663A">
        <w:rPr>
          <w:rFonts w:ascii="Palatino Linotype" w:hAnsi="Palatino Linotype" w:cs="Arial"/>
          <w:b/>
        </w:rPr>
        <w:t>SAIMEX</w:t>
      </w:r>
      <w:r w:rsidRPr="0058663A">
        <w:rPr>
          <w:rFonts w:ascii="Palatino Linotype" w:hAnsi="Palatino Linotype"/>
        </w:rPr>
        <w:t xml:space="preserve">, utilizando </w:t>
      </w:r>
      <w:r w:rsidRPr="0058663A">
        <w:rPr>
          <w:rFonts w:ascii="Palatino Linotype" w:eastAsia="Arial Unicode MS" w:hAnsi="Palatino Linotype" w:cs="Arial"/>
          <w:color w:val="000000"/>
          <w:lang w:eastAsia="es-MX"/>
        </w:rPr>
        <w:t xml:space="preserve">su clave de usuario y contraseña; por lo que, no existe duda de que </w:t>
      </w:r>
      <w:r w:rsidRPr="0058663A">
        <w:rPr>
          <w:rFonts w:ascii="Palatino Linotype" w:hAnsi="Palatino Linotype" w:cs="Arial"/>
          <w:lang w:val="es-ES_tradnl"/>
        </w:rPr>
        <w:t>se</w:t>
      </w:r>
      <w:r w:rsidRPr="0058663A">
        <w:rPr>
          <w:rFonts w:ascii="Palatino Linotype" w:eastAsia="Arial Unicode MS" w:hAnsi="Palatino Linotype" w:cs="Arial"/>
          <w:color w:val="000000"/>
          <w:lang w:eastAsia="es-MX"/>
        </w:rPr>
        <w:t xml:space="preserve"> </w:t>
      </w:r>
      <w:r w:rsidRPr="0058663A">
        <w:rPr>
          <w:rFonts w:ascii="Palatino Linotype" w:hAnsi="Palatino Linotype"/>
        </w:rPr>
        <w:t>trata</w:t>
      </w:r>
      <w:r w:rsidRPr="0058663A">
        <w:rPr>
          <w:rFonts w:ascii="Palatino Linotype" w:eastAsia="Arial Unicode MS" w:hAnsi="Palatino Linotype" w:cs="Arial"/>
          <w:color w:val="000000"/>
          <w:lang w:eastAsia="es-MX"/>
        </w:rPr>
        <w:t xml:space="preserve"> de un </w:t>
      </w:r>
      <w:r w:rsidRPr="0058663A">
        <w:rPr>
          <w:rFonts w:ascii="Palatino Linotype" w:eastAsia="Arial Unicode MS" w:hAnsi="Palatino Linotype" w:cs="Arial"/>
          <w:b/>
          <w:color w:val="000000"/>
          <w:lang w:eastAsia="es-MX"/>
        </w:rPr>
        <w:t>desistimiento expreso</w:t>
      </w:r>
      <w:r w:rsidRPr="0058663A">
        <w:rPr>
          <w:rFonts w:ascii="Palatino Linotype" w:eastAsia="Arial Unicode MS" w:hAnsi="Palatino Linotype" w:cs="Arial"/>
          <w:color w:val="000000"/>
          <w:lang w:eastAsia="es-MX"/>
        </w:rPr>
        <w:t xml:space="preserve"> por parte de</w:t>
      </w:r>
      <w:r w:rsidR="00507ACF">
        <w:rPr>
          <w:rFonts w:ascii="Palatino Linotype" w:eastAsia="Arial Unicode MS" w:hAnsi="Palatino Linotype" w:cs="Arial"/>
          <w:color w:val="000000"/>
          <w:lang w:eastAsia="es-MX"/>
        </w:rPr>
        <w:t>l</w:t>
      </w:r>
      <w:r>
        <w:rPr>
          <w:rFonts w:ascii="Palatino Linotype" w:eastAsia="Arial Unicode MS" w:hAnsi="Palatino Linotype" w:cs="Arial"/>
          <w:color w:val="000000"/>
          <w:lang w:eastAsia="es-MX"/>
        </w:rPr>
        <w:t xml:space="preserve"> solicitante,</w:t>
      </w:r>
      <w:r w:rsidRPr="0058663A">
        <w:rPr>
          <w:rFonts w:ascii="Palatino Linotype" w:eastAsia="Arial Unicode MS" w:hAnsi="Palatino Linotype" w:cs="Arial"/>
          <w:color w:val="000000"/>
          <w:lang w:eastAsia="es-MX"/>
        </w:rPr>
        <w:t xml:space="preserve"> en virtud de lo cual, el </w:t>
      </w:r>
      <w:r w:rsidRPr="0058663A">
        <w:rPr>
          <w:rFonts w:ascii="Palatino Linotype" w:hAnsi="Palatino Linotype" w:cs="Arial"/>
        </w:rPr>
        <w:t xml:space="preserve">presente recurso de revisión </w:t>
      </w:r>
      <w:r w:rsidRPr="0058663A">
        <w:rPr>
          <w:rFonts w:ascii="Palatino Linotype" w:hAnsi="Palatino Linotype" w:cs="Arial"/>
          <w:b/>
        </w:rPr>
        <w:t>ha quedado sin materia</w:t>
      </w:r>
      <w:r w:rsidRPr="0058663A">
        <w:rPr>
          <w:rFonts w:ascii="Palatino Linotype" w:hAnsi="Palatino Linotype" w:cs="Arial"/>
        </w:rPr>
        <w:t>.</w:t>
      </w:r>
    </w:p>
    <w:p w:rsidR="00507ACF" w:rsidRDefault="00507ACF" w:rsidP="00507ACF">
      <w:pPr>
        <w:pStyle w:val="Prrafodelista"/>
        <w:widowControl w:val="0"/>
        <w:autoSpaceDE w:val="0"/>
        <w:autoSpaceDN w:val="0"/>
        <w:adjustRightInd w:val="0"/>
        <w:spacing w:before="360" w:after="240" w:line="360" w:lineRule="auto"/>
        <w:ind w:left="0"/>
        <w:jc w:val="both"/>
        <w:rPr>
          <w:rFonts w:ascii="Palatino Linotype" w:hAnsi="Palatino Linotype"/>
        </w:rPr>
      </w:pPr>
      <w:r w:rsidRPr="0058663A">
        <w:rPr>
          <w:rFonts w:ascii="Palatino Linotype" w:hAnsi="Palatino Linotype" w:cs="Arial"/>
          <w:lang w:val="es-ES_tradnl"/>
        </w:rPr>
        <w:t xml:space="preserve">En atención a </w:t>
      </w:r>
      <w:r w:rsidRPr="0058663A">
        <w:rPr>
          <w:rFonts w:ascii="Palatino Linotype" w:hAnsi="Palatino Linotype"/>
          <w:color w:val="000000"/>
        </w:rPr>
        <w:t>las</w:t>
      </w:r>
      <w:r w:rsidRPr="0058663A">
        <w:rPr>
          <w:rFonts w:ascii="Palatino Linotype" w:hAnsi="Palatino Linotype" w:cs="Arial"/>
          <w:lang w:val="es-ES_tradnl"/>
        </w:rPr>
        <w:t xml:space="preserve"> consideraciones anteriores, esta Ponencia Resolutora</w:t>
      </w:r>
      <w:r w:rsidRPr="0058663A">
        <w:rPr>
          <w:rFonts w:ascii="Palatino Linotype" w:hAnsi="Palatino Linotype"/>
          <w:color w:val="000000" w:themeColor="text1"/>
        </w:rPr>
        <w:t xml:space="preserve"> advierte que, en el presente </w:t>
      </w:r>
      <w:r w:rsidRPr="0058663A">
        <w:rPr>
          <w:rFonts w:ascii="Palatino Linotype" w:hAnsi="Palatino Linotype"/>
        </w:rPr>
        <w:t>caso</w:t>
      </w:r>
      <w:r w:rsidRPr="0058663A">
        <w:rPr>
          <w:rFonts w:ascii="Palatino Linotype" w:hAnsi="Palatino Linotype"/>
          <w:color w:val="000000" w:themeColor="text1"/>
        </w:rPr>
        <w:t xml:space="preserve">, se actualiza la hipótesis prevista en </w:t>
      </w:r>
      <w:r w:rsidRPr="0058663A">
        <w:rPr>
          <w:rFonts w:ascii="Palatino Linotype" w:hAnsi="Palatino Linotype" w:cs="Arial"/>
          <w:lang w:val="es-ES_tradnl"/>
        </w:rPr>
        <w:t xml:space="preserve">el </w:t>
      </w:r>
      <w:r>
        <w:rPr>
          <w:rFonts w:ascii="Palatino Linotype" w:hAnsi="Palatino Linotype"/>
          <w:color w:val="000000" w:themeColor="text1"/>
        </w:rPr>
        <w:t>artículo 139</w:t>
      </w:r>
      <w:r w:rsidRPr="0058663A">
        <w:rPr>
          <w:rFonts w:ascii="Palatino Linotype" w:hAnsi="Palatino Linotype"/>
          <w:color w:val="000000" w:themeColor="text1"/>
        </w:rPr>
        <w:t>, fracción I, de</w:t>
      </w:r>
      <w:r w:rsidRPr="0058663A">
        <w:rPr>
          <w:rFonts w:ascii="Palatino Linotype" w:hAnsi="Palatino Linotype" w:cs="Arial"/>
          <w:lang w:val="es-ES_tradnl"/>
        </w:rPr>
        <w:t xml:space="preserve"> la </w:t>
      </w:r>
      <w:r w:rsidRPr="0058663A">
        <w:rPr>
          <w:rFonts w:ascii="Palatino Linotype" w:hAnsi="Palatino Linotype"/>
        </w:rPr>
        <w:t xml:space="preserve">Ley de </w:t>
      </w:r>
      <w:r>
        <w:rPr>
          <w:rFonts w:ascii="Palatino Linotype" w:hAnsi="Palatino Linotype"/>
        </w:rPr>
        <w:t>Protección de Datos Personales en Posesión de los Sujetos Obligados del Estado de México y Municipios,</w:t>
      </w:r>
      <w:r w:rsidRPr="00ED4C73">
        <w:rPr>
          <w:rFonts w:ascii="Palatino Linotype" w:hAnsi="Palatino Linotype"/>
          <w:color w:val="000000" w:themeColor="text1"/>
        </w:rPr>
        <w:t xml:space="preserve"> </w:t>
      </w:r>
      <w:r w:rsidRPr="0058663A">
        <w:rPr>
          <w:rFonts w:ascii="Palatino Linotype" w:hAnsi="Palatino Linotype"/>
          <w:color w:val="000000" w:themeColor="text1"/>
        </w:rPr>
        <w:t>que dispone lo siguiente:</w:t>
      </w:r>
    </w:p>
    <w:p w:rsidR="00507ACF" w:rsidRPr="001E611E" w:rsidRDefault="00507ACF" w:rsidP="00507ACF">
      <w:pPr>
        <w:ind w:left="851" w:right="902"/>
        <w:jc w:val="both"/>
        <w:rPr>
          <w:rFonts w:ascii="Palatino Linotype" w:hAnsi="Palatino Linotype" w:cs="Arial"/>
          <w:b/>
          <w:i/>
          <w:sz w:val="22"/>
        </w:rPr>
      </w:pPr>
      <w:r>
        <w:rPr>
          <w:rFonts w:ascii="Palatino Linotype" w:hAnsi="Palatino Linotype" w:cs="Arial"/>
          <w:b/>
          <w:i/>
          <w:sz w:val="22"/>
        </w:rPr>
        <w:t>“</w:t>
      </w:r>
      <w:r w:rsidRPr="001E611E">
        <w:rPr>
          <w:rFonts w:ascii="Palatino Linotype" w:hAnsi="Palatino Linotype" w:cs="Arial"/>
          <w:b/>
          <w:i/>
          <w:sz w:val="22"/>
        </w:rPr>
        <w:t>Causales de Sobreseimiento</w:t>
      </w:r>
    </w:p>
    <w:p w:rsidR="00507ACF" w:rsidRDefault="00507ACF" w:rsidP="00507ACF">
      <w:pPr>
        <w:ind w:left="851" w:right="902"/>
        <w:jc w:val="both"/>
        <w:rPr>
          <w:rFonts w:ascii="Palatino Linotype" w:hAnsi="Palatino Linotype" w:cs="Arial"/>
          <w:i/>
          <w:sz w:val="22"/>
        </w:rPr>
      </w:pPr>
      <w:r w:rsidRPr="001E611E">
        <w:rPr>
          <w:rFonts w:ascii="Palatino Linotype" w:hAnsi="Palatino Linotype" w:cs="Arial"/>
          <w:b/>
          <w:i/>
          <w:sz w:val="22"/>
        </w:rPr>
        <w:t>Artículo 139</w:t>
      </w:r>
      <w:r w:rsidRPr="001E611E">
        <w:rPr>
          <w:rFonts w:ascii="Palatino Linotype" w:hAnsi="Palatino Linotype" w:cs="Arial"/>
          <w:i/>
          <w:sz w:val="22"/>
        </w:rPr>
        <w:t xml:space="preserve">. El recurso de revisión sólo podrá ser sobreseído cuando: </w:t>
      </w:r>
    </w:p>
    <w:p w:rsidR="00507ACF" w:rsidRDefault="00507ACF" w:rsidP="00507ACF">
      <w:pPr>
        <w:ind w:left="851" w:right="902"/>
        <w:jc w:val="both"/>
        <w:rPr>
          <w:rFonts w:ascii="Palatino Linotype" w:hAnsi="Palatino Linotype" w:cs="Arial"/>
          <w:b/>
          <w:i/>
          <w:sz w:val="22"/>
        </w:rPr>
      </w:pPr>
    </w:p>
    <w:p w:rsidR="00507ACF" w:rsidRDefault="00507ACF" w:rsidP="00507ACF">
      <w:pPr>
        <w:ind w:left="851" w:right="902"/>
        <w:jc w:val="both"/>
        <w:rPr>
          <w:rFonts w:ascii="Palatino Linotype" w:hAnsi="Palatino Linotype" w:cs="Arial"/>
          <w:b/>
          <w:i/>
          <w:sz w:val="22"/>
        </w:rPr>
      </w:pPr>
      <w:r w:rsidRPr="001E611E">
        <w:rPr>
          <w:rFonts w:ascii="Palatino Linotype" w:hAnsi="Palatino Linotype" w:cs="Arial"/>
          <w:b/>
          <w:i/>
          <w:sz w:val="22"/>
        </w:rPr>
        <w:t>I. El recurrente se desista expresamente.</w:t>
      </w:r>
    </w:p>
    <w:p w:rsidR="00507ACF" w:rsidRPr="001E611E" w:rsidRDefault="00507ACF" w:rsidP="00507ACF">
      <w:pPr>
        <w:ind w:left="851" w:right="902"/>
        <w:jc w:val="both"/>
        <w:rPr>
          <w:rFonts w:ascii="Palatino Linotype" w:hAnsi="Palatino Linotype" w:cs="Arial"/>
          <w:b/>
          <w:i/>
          <w:sz w:val="22"/>
        </w:rPr>
      </w:pPr>
      <w:r>
        <w:rPr>
          <w:rFonts w:ascii="Palatino Linotype" w:hAnsi="Palatino Linotype" w:cs="Arial"/>
          <w:b/>
          <w:i/>
          <w:sz w:val="22"/>
        </w:rPr>
        <w:t>…”</w:t>
      </w:r>
    </w:p>
    <w:p w:rsidR="00507ACF" w:rsidRPr="0058663A" w:rsidRDefault="00507ACF" w:rsidP="00507ACF">
      <w:pPr>
        <w:ind w:left="851" w:right="902"/>
        <w:jc w:val="both"/>
        <w:rPr>
          <w:rFonts w:ascii="Palatino Linotype" w:hAnsi="Palatino Linotype" w:cs="Arial"/>
          <w:sz w:val="22"/>
        </w:rPr>
      </w:pPr>
      <w:r w:rsidRPr="0058663A">
        <w:rPr>
          <w:rFonts w:ascii="Palatino Linotype" w:hAnsi="Palatino Linotype" w:cs="Arial"/>
          <w:sz w:val="22"/>
        </w:rPr>
        <w:t>(Énfasis añadido)</w:t>
      </w:r>
    </w:p>
    <w:p w:rsidR="00507ACF" w:rsidRDefault="00507ACF" w:rsidP="00507ACF">
      <w:pPr>
        <w:pStyle w:val="Prrafodelista"/>
        <w:widowControl w:val="0"/>
        <w:autoSpaceDE w:val="0"/>
        <w:autoSpaceDN w:val="0"/>
        <w:adjustRightInd w:val="0"/>
        <w:spacing w:before="360" w:after="240" w:line="360" w:lineRule="auto"/>
        <w:ind w:left="0"/>
        <w:jc w:val="both"/>
        <w:rPr>
          <w:rFonts w:ascii="Palatino Linotype" w:eastAsia="Calibri" w:hAnsi="Palatino Linotype" w:cs="Arial"/>
        </w:rPr>
      </w:pPr>
      <w:r w:rsidRPr="0058663A">
        <w:rPr>
          <w:rFonts w:ascii="Palatino Linotype" w:hAnsi="Palatino Linotype"/>
          <w:color w:val="000000"/>
        </w:rPr>
        <w:t xml:space="preserve">En </w:t>
      </w:r>
      <w:r w:rsidRPr="0058663A">
        <w:rPr>
          <w:rFonts w:ascii="Palatino Linotype" w:eastAsia="Calibri" w:hAnsi="Palatino Linotype" w:cs="Arial"/>
        </w:rPr>
        <w:t>consecuencia</w:t>
      </w:r>
      <w:r w:rsidRPr="0058663A">
        <w:rPr>
          <w:rFonts w:ascii="Palatino Linotype" w:hAnsi="Palatino Linotype"/>
          <w:color w:val="000000"/>
        </w:rPr>
        <w:t xml:space="preserve">, </w:t>
      </w:r>
      <w:r w:rsidRPr="0058663A">
        <w:rPr>
          <w:rFonts w:ascii="Palatino Linotype" w:hAnsi="Palatino Linotype"/>
        </w:rPr>
        <w:t xml:space="preserve">se </w:t>
      </w:r>
      <w:r w:rsidRPr="0058663A">
        <w:rPr>
          <w:rFonts w:ascii="Palatino Linotype" w:hAnsi="Palatino Linotype" w:cs="Arial"/>
          <w:lang w:val="es-ES_tradnl"/>
        </w:rPr>
        <w:t xml:space="preserve">determina </w:t>
      </w:r>
      <w:r w:rsidRPr="0058663A">
        <w:rPr>
          <w:rFonts w:ascii="Palatino Linotype" w:hAnsi="Palatino Linotype" w:cs="Arial"/>
          <w:b/>
          <w:lang w:val="es-ES_tradnl"/>
        </w:rPr>
        <w:t>SOBRESEER</w:t>
      </w:r>
      <w:r w:rsidRPr="0058663A">
        <w:rPr>
          <w:rFonts w:ascii="Palatino Linotype" w:hAnsi="Palatino Linotype" w:cs="Arial"/>
          <w:lang w:val="es-ES_tradnl"/>
        </w:rPr>
        <w:t xml:space="preserve"> en el presente Recurso de Revisión, en </w:t>
      </w:r>
      <w:r w:rsidRPr="0058663A">
        <w:rPr>
          <w:rFonts w:ascii="Palatino Linotype" w:hAnsi="Palatino Linotype"/>
          <w:bCs/>
        </w:rPr>
        <w:t>términos</w:t>
      </w:r>
      <w:r>
        <w:rPr>
          <w:rFonts w:ascii="Palatino Linotype" w:hAnsi="Palatino Linotype" w:cs="Arial"/>
          <w:lang w:val="es-ES_tradnl"/>
        </w:rPr>
        <w:t xml:space="preserve"> del artículo 137</w:t>
      </w:r>
      <w:r w:rsidRPr="0058663A">
        <w:rPr>
          <w:rFonts w:ascii="Palatino Linotype" w:hAnsi="Palatino Linotype" w:cs="Arial"/>
          <w:lang w:val="es-ES_tradnl"/>
        </w:rPr>
        <w:t xml:space="preserve">, fracción I, de la </w:t>
      </w:r>
      <w:r w:rsidRPr="0058663A">
        <w:rPr>
          <w:rFonts w:ascii="Palatino Linotype" w:eastAsia="Calibri" w:hAnsi="Palatino Linotype" w:cs="Arial"/>
        </w:rPr>
        <w:t xml:space="preserve">Ley </w:t>
      </w:r>
      <w:r>
        <w:rPr>
          <w:rFonts w:ascii="Palatino Linotype" w:eastAsia="Calibri" w:hAnsi="Palatino Linotype" w:cs="Arial"/>
        </w:rPr>
        <w:t>en cita, numeral que para mayor referencia se transcribe enseguida:</w:t>
      </w:r>
    </w:p>
    <w:p w:rsidR="00507ACF" w:rsidRPr="001E611E" w:rsidRDefault="00507ACF" w:rsidP="00507ACF">
      <w:pPr>
        <w:ind w:left="851" w:right="902"/>
        <w:jc w:val="both"/>
        <w:rPr>
          <w:rFonts w:ascii="Palatino Linotype" w:hAnsi="Palatino Linotype" w:cs="Arial"/>
          <w:b/>
          <w:i/>
          <w:sz w:val="22"/>
        </w:rPr>
      </w:pPr>
      <w:r w:rsidRPr="001E611E">
        <w:rPr>
          <w:rFonts w:ascii="Palatino Linotype" w:hAnsi="Palatino Linotype" w:cs="Arial"/>
          <w:b/>
          <w:i/>
          <w:sz w:val="22"/>
        </w:rPr>
        <w:t xml:space="preserve">Sentido de las resoluciones </w:t>
      </w:r>
    </w:p>
    <w:p w:rsidR="00507ACF" w:rsidRDefault="00507ACF" w:rsidP="00507ACF">
      <w:pPr>
        <w:ind w:left="851" w:right="902"/>
        <w:jc w:val="both"/>
        <w:rPr>
          <w:rFonts w:ascii="Palatino Linotype" w:hAnsi="Palatino Linotype" w:cs="Arial"/>
          <w:i/>
          <w:sz w:val="22"/>
        </w:rPr>
      </w:pPr>
      <w:r w:rsidRPr="001E611E">
        <w:rPr>
          <w:rFonts w:ascii="Palatino Linotype" w:hAnsi="Palatino Linotype" w:cs="Arial"/>
          <w:b/>
          <w:i/>
          <w:sz w:val="22"/>
        </w:rPr>
        <w:t>Artículo 137</w:t>
      </w:r>
      <w:r w:rsidRPr="001E611E">
        <w:rPr>
          <w:rFonts w:ascii="Palatino Linotype" w:hAnsi="Palatino Linotype" w:cs="Arial"/>
          <w:i/>
          <w:sz w:val="22"/>
        </w:rPr>
        <w:t xml:space="preserve">. Las resoluciones del Instituto podrán: </w:t>
      </w:r>
    </w:p>
    <w:p w:rsidR="00507ACF" w:rsidRDefault="00507ACF" w:rsidP="00507ACF">
      <w:pPr>
        <w:ind w:left="851" w:right="902"/>
        <w:jc w:val="both"/>
        <w:rPr>
          <w:rFonts w:ascii="Palatino Linotype" w:hAnsi="Palatino Linotype" w:cs="Arial"/>
          <w:b/>
          <w:i/>
          <w:sz w:val="22"/>
        </w:rPr>
      </w:pPr>
    </w:p>
    <w:p w:rsidR="00507ACF" w:rsidRDefault="00507ACF" w:rsidP="00507ACF">
      <w:pPr>
        <w:ind w:left="851" w:right="902"/>
        <w:jc w:val="both"/>
        <w:rPr>
          <w:rFonts w:ascii="Palatino Linotype" w:hAnsi="Palatino Linotype" w:cs="Arial"/>
          <w:b/>
          <w:i/>
          <w:sz w:val="22"/>
        </w:rPr>
      </w:pPr>
      <w:r w:rsidRPr="001E611E">
        <w:rPr>
          <w:rFonts w:ascii="Palatino Linotype" w:hAnsi="Palatino Linotype" w:cs="Arial"/>
          <w:b/>
          <w:i/>
          <w:sz w:val="22"/>
        </w:rPr>
        <w:t xml:space="preserve">I. Sobreseer </w:t>
      </w:r>
      <w:r w:rsidRPr="001E611E">
        <w:rPr>
          <w:rFonts w:ascii="Palatino Linotype" w:hAnsi="Palatino Linotype" w:cs="Arial"/>
          <w:i/>
          <w:sz w:val="22"/>
        </w:rPr>
        <w:t>o desechar</w:t>
      </w:r>
      <w:r w:rsidRPr="001E611E">
        <w:rPr>
          <w:rFonts w:ascii="Palatino Linotype" w:hAnsi="Palatino Linotype" w:cs="Arial"/>
          <w:b/>
          <w:i/>
          <w:sz w:val="22"/>
        </w:rPr>
        <w:t xml:space="preserve"> el recurso de revisión por improcedente.</w:t>
      </w:r>
    </w:p>
    <w:p w:rsidR="00507ACF" w:rsidRPr="001E611E" w:rsidRDefault="00507ACF" w:rsidP="00507ACF">
      <w:pPr>
        <w:ind w:left="851" w:right="902"/>
        <w:jc w:val="both"/>
        <w:rPr>
          <w:rFonts w:ascii="Palatino Linotype" w:hAnsi="Palatino Linotype" w:cs="Arial"/>
          <w:b/>
          <w:i/>
          <w:sz w:val="22"/>
        </w:rPr>
      </w:pPr>
      <w:r>
        <w:rPr>
          <w:rFonts w:ascii="Palatino Linotype" w:hAnsi="Palatino Linotype" w:cs="Arial"/>
          <w:b/>
          <w:i/>
          <w:sz w:val="22"/>
        </w:rPr>
        <w:t>…”</w:t>
      </w:r>
    </w:p>
    <w:p w:rsidR="00507ACF" w:rsidRPr="0058663A" w:rsidRDefault="00507ACF" w:rsidP="00507ACF">
      <w:pPr>
        <w:ind w:left="851" w:right="902"/>
        <w:jc w:val="both"/>
        <w:rPr>
          <w:rFonts w:ascii="Palatino Linotype" w:hAnsi="Palatino Linotype" w:cs="Arial"/>
          <w:sz w:val="22"/>
        </w:rPr>
      </w:pPr>
      <w:r w:rsidRPr="0058663A">
        <w:rPr>
          <w:rFonts w:ascii="Palatino Linotype" w:hAnsi="Palatino Linotype" w:cs="Arial"/>
          <w:sz w:val="22"/>
        </w:rPr>
        <w:t>(Énfasis añadido)</w:t>
      </w:r>
    </w:p>
    <w:p w:rsidR="00507ACF" w:rsidRPr="0058663A" w:rsidRDefault="00507ACF" w:rsidP="00507ACF">
      <w:pPr>
        <w:pStyle w:val="Prrafodelista"/>
        <w:widowControl w:val="0"/>
        <w:autoSpaceDE w:val="0"/>
        <w:autoSpaceDN w:val="0"/>
        <w:adjustRightInd w:val="0"/>
        <w:spacing w:before="360" w:after="240" w:line="360" w:lineRule="auto"/>
        <w:ind w:left="0"/>
        <w:jc w:val="both"/>
        <w:rPr>
          <w:rFonts w:ascii="Palatino Linotype" w:hAnsi="Palatino Linotype" w:cs="Arial"/>
        </w:rPr>
      </w:pPr>
      <w:r w:rsidRPr="0058663A">
        <w:rPr>
          <w:rFonts w:ascii="Palatino Linotype" w:hAnsi="Palatino Linotype" w:cs="Arial"/>
          <w:lang w:val="es-ES_tradnl"/>
        </w:rPr>
        <w:t xml:space="preserve">Asimismo, como </w:t>
      </w:r>
      <w:r w:rsidRPr="0058663A">
        <w:rPr>
          <w:rFonts w:ascii="Palatino Linotype" w:hAnsi="Palatino Linotype"/>
          <w:color w:val="000000"/>
        </w:rPr>
        <w:t>consecuencia</w:t>
      </w:r>
      <w:r w:rsidRPr="0058663A">
        <w:rPr>
          <w:rFonts w:ascii="Palatino Linotype" w:hAnsi="Palatino Linotype" w:cs="Arial"/>
          <w:lang w:val="es-ES_tradnl"/>
        </w:rPr>
        <w:t xml:space="preserve"> de la anterior determinación, resultan </w:t>
      </w:r>
      <w:r w:rsidRPr="0058663A">
        <w:rPr>
          <w:rFonts w:ascii="Palatino Linotype" w:hAnsi="Palatino Linotype"/>
        </w:rPr>
        <w:t xml:space="preserve">inatendibles las </w:t>
      </w:r>
      <w:r w:rsidRPr="0058663A">
        <w:rPr>
          <w:rFonts w:ascii="Palatino Linotype" w:hAnsi="Palatino Linotype"/>
        </w:rPr>
        <w:lastRenderedPageBreak/>
        <w:t xml:space="preserve">razones o motivos de inconformidad expuestos por </w:t>
      </w:r>
      <w:r>
        <w:rPr>
          <w:rFonts w:ascii="Palatino Linotype" w:hAnsi="Palatino Linotype" w:cs="Arial"/>
          <w:b/>
        </w:rPr>
        <w:t>EL</w:t>
      </w:r>
      <w:r w:rsidRPr="0058663A">
        <w:rPr>
          <w:rFonts w:ascii="Palatino Linotype" w:hAnsi="Palatino Linotype" w:cs="Arial"/>
          <w:b/>
        </w:rPr>
        <w:t xml:space="preserve"> RECURRENTE</w:t>
      </w:r>
      <w:r w:rsidRPr="0058663A">
        <w:rPr>
          <w:rFonts w:ascii="Palatino Linotype" w:hAnsi="Palatino Linotype"/>
        </w:rPr>
        <w:t xml:space="preserve">, en virtud de que el medio de impugnación, </w:t>
      </w:r>
      <w:r w:rsidRPr="0058663A">
        <w:rPr>
          <w:rFonts w:ascii="Palatino Linotype" w:hAnsi="Palatino Linotype"/>
          <w:b/>
        </w:rPr>
        <w:t>ha quedado sin materia</w:t>
      </w:r>
      <w:r w:rsidRPr="0058663A">
        <w:rPr>
          <w:rFonts w:ascii="Palatino Linotype" w:hAnsi="Palatino Linotype"/>
        </w:rPr>
        <w:t>; por lo que, se concluye que la manifestación de la voluntad de</w:t>
      </w:r>
      <w:r>
        <w:rPr>
          <w:rFonts w:ascii="Palatino Linotype" w:hAnsi="Palatino Linotype"/>
        </w:rPr>
        <w:t>l</w:t>
      </w:r>
      <w:r w:rsidRPr="0058663A">
        <w:rPr>
          <w:rFonts w:ascii="Palatino Linotype" w:hAnsi="Palatino Linotype"/>
        </w:rPr>
        <w:t xml:space="preserve"> promovente respecto a desistirse de la acción ejercida, se entiende que acepta de manera expresa que el procedimiento concluya sin suscitar consecuencias de derecho; asimismo, como lo señala la </w:t>
      </w:r>
      <w:r w:rsidRPr="0058663A">
        <w:rPr>
          <w:rFonts w:ascii="Palatino Linotype" w:hAnsi="Palatino Linotype" w:cs="Arial"/>
        </w:rPr>
        <w:t xml:space="preserve">Tesis Jurisprudencial con número de registro 2012059 de la Segunda Sala de la Suprema Corte de Justicia de la Nación, correspondiente a la Décima Época, publicada en el Libro 32, Tomo I, </w:t>
      </w:r>
      <w:proofErr w:type="spellStart"/>
      <w:r w:rsidRPr="0058663A">
        <w:rPr>
          <w:rFonts w:ascii="Palatino Linotype" w:hAnsi="Palatino Linotype" w:cs="Arial"/>
        </w:rPr>
        <w:t>pag</w:t>
      </w:r>
      <w:proofErr w:type="spellEnd"/>
      <w:r w:rsidRPr="0058663A">
        <w:rPr>
          <w:rFonts w:ascii="Palatino Linotype" w:hAnsi="Palatino Linotype" w:cs="Arial"/>
        </w:rPr>
        <w:t>. 462 de la Gaceta del Semanario Judicial de la Federación de julio de 2016, el desistimiento del recurso genera que el Resolutor deba desocuparse del análisis de los planteamientos aducidos, sin necesidad de examinar las razones o motivos de inconformidad:</w:t>
      </w:r>
    </w:p>
    <w:p w:rsidR="00507ACF" w:rsidRPr="0058663A" w:rsidRDefault="00507ACF" w:rsidP="00507ACF">
      <w:pPr>
        <w:ind w:left="851" w:right="902"/>
        <w:jc w:val="both"/>
        <w:rPr>
          <w:rFonts w:ascii="Palatino Linotype" w:hAnsi="Palatino Linotype" w:cs="Arial"/>
          <w:i/>
          <w:sz w:val="22"/>
        </w:rPr>
      </w:pPr>
      <w:r w:rsidRPr="0058663A">
        <w:rPr>
          <w:rFonts w:ascii="Palatino Linotype" w:hAnsi="Palatino Linotype" w:cs="Arial"/>
          <w:i/>
          <w:sz w:val="22"/>
        </w:rPr>
        <w:t>“</w:t>
      </w:r>
      <w:r w:rsidRPr="0058663A">
        <w:rPr>
          <w:rFonts w:ascii="Palatino Linotype" w:hAnsi="Palatino Linotype" w:cs="Arial"/>
          <w:b/>
          <w:i/>
          <w:sz w:val="22"/>
        </w:rPr>
        <w:t>DESISTIMIENTO DE LA ACCIÓN DE AMPARO. SUS CONSECUENCIAS</w:t>
      </w:r>
      <w:r w:rsidRPr="0058663A">
        <w:rPr>
          <w:rFonts w:ascii="Palatino Linotype" w:hAnsi="Palatino Linotype" w:cs="Arial"/>
          <w:i/>
          <w:sz w:val="22"/>
        </w:rPr>
        <w:t xml:space="preserve">. </w:t>
      </w:r>
      <w:r w:rsidRPr="0058663A">
        <w:rPr>
          <w:rFonts w:ascii="Palatino Linotype" w:hAnsi="Palatino Linotype" w:cs="Arial"/>
          <w:b/>
          <w:i/>
          <w:sz w:val="22"/>
          <w:u w:val="single"/>
        </w:rPr>
        <w:t>El desistimiento</w:t>
      </w:r>
      <w:r w:rsidRPr="0058663A">
        <w:rPr>
          <w:rFonts w:ascii="Palatino Linotype" w:hAnsi="Palatino Linotype" w:cs="Arial"/>
          <w:i/>
          <w:sz w:val="22"/>
        </w:rPr>
        <w:t xml:space="preserve"> de la acción de amparo </w:t>
      </w:r>
      <w:r w:rsidRPr="0058663A">
        <w:rPr>
          <w:rFonts w:ascii="Palatino Linotype" w:hAnsi="Palatino Linotype" w:cs="Arial"/>
          <w:b/>
          <w:i/>
          <w:sz w:val="22"/>
          <w:u w:val="single"/>
        </w:rPr>
        <w:t>consiste en la declaración de voluntad del quejoso de no proseguir con el juicio, el cual, debidamente ratificado, conlleva emitir una resolución con la que finaliza la instancia</w:t>
      </w:r>
      <w:r w:rsidRPr="0058663A">
        <w:rPr>
          <w:rFonts w:ascii="Palatino Linotype" w:hAnsi="Palatino Linotype" w:cs="Arial"/>
          <w:i/>
          <w:sz w:val="22"/>
        </w:rPr>
        <w:t xml:space="preserve"> de amparo, independientemente de la etapa en que se encuentre (desde el inicio del juicio hasta antes de que cause ejecutoria la sentencia que se dicte) y </w:t>
      </w:r>
      <w:r w:rsidRPr="0058663A">
        <w:rPr>
          <w:rFonts w:ascii="Palatino Linotype" w:hAnsi="Palatino Linotype" w:cs="Arial"/>
          <w:b/>
          <w:i/>
          <w:sz w:val="22"/>
          <w:u w:val="single"/>
        </w:rPr>
        <w:t>sin necesidad de examinar los conceptos de violación o, en su caso, los agravios</w:t>
      </w:r>
      <w:r w:rsidRPr="0058663A">
        <w:rPr>
          <w:rFonts w:ascii="Palatino Linotype" w:hAnsi="Palatino Linotype" w:cs="Arial"/>
          <w:i/>
          <w:sz w:val="22"/>
        </w:rPr>
        <w:t xml:space="preserve">. </w:t>
      </w:r>
    </w:p>
    <w:p w:rsidR="00507ACF" w:rsidRPr="0058663A" w:rsidRDefault="00507ACF" w:rsidP="00507ACF">
      <w:pPr>
        <w:ind w:left="851" w:right="902"/>
        <w:jc w:val="both"/>
        <w:rPr>
          <w:rFonts w:ascii="Palatino Linotype" w:hAnsi="Palatino Linotype" w:cs="Arial"/>
          <w:i/>
          <w:sz w:val="22"/>
        </w:rPr>
      </w:pPr>
      <w:r w:rsidRPr="0058663A">
        <w:rPr>
          <w:rFonts w:ascii="Palatino Linotype" w:hAnsi="Palatino Linotype" w:cs="Arial"/>
          <w:i/>
          <w:sz w:val="22"/>
        </w:rPr>
        <w:t xml:space="preserve">Amparo directo 41/2014. Asociación Sindical de Sobrecargos de Aviación de México (A.S.S.A.). 30 de octubre de 2014. Unanimidad de cuatro votos de los Ministros Alberto Pérez </w:t>
      </w:r>
      <w:proofErr w:type="spellStart"/>
      <w:r w:rsidRPr="0058663A">
        <w:rPr>
          <w:rFonts w:ascii="Palatino Linotype" w:hAnsi="Palatino Linotype" w:cs="Arial"/>
          <w:i/>
          <w:sz w:val="22"/>
        </w:rPr>
        <w:t>Dayán</w:t>
      </w:r>
      <w:proofErr w:type="spellEnd"/>
      <w:r w:rsidRPr="0058663A">
        <w:rPr>
          <w:rFonts w:ascii="Palatino Linotype" w:hAnsi="Palatino Linotype" w:cs="Arial"/>
          <w:i/>
          <w:sz w:val="22"/>
        </w:rPr>
        <w:t xml:space="preserve">, José Fernando Franco González Salas, Margarita Beatriz Luna Ramos y Luis María Aguilar Morales. Ausente: Sergio A. Valls Hernández. Ponente: Alberto Pérez </w:t>
      </w:r>
      <w:proofErr w:type="spellStart"/>
      <w:r w:rsidRPr="0058663A">
        <w:rPr>
          <w:rFonts w:ascii="Palatino Linotype" w:hAnsi="Palatino Linotype" w:cs="Arial"/>
          <w:i/>
          <w:sz w:val="22"/>
        </w:rPr>
        <w:t>Dayán</w:t>
      </w:r>
      <w:proofErr w:type="spellEnd"/>
      <w:r w:rsidRPr="0058663A">
        <w:rPr>
          <w:rFonts w:ascii="Palatino Linotype" w:hAnsi="Palatino Linotype" w:cs="Arial"/>
          <w:i/>
          <w:sz w:val="22"/>
        </w:rPr>
        <w:t>. Secretario: Jorge Antonio Medina Gaona.</w:t>
      </w:r>
    </w:p>
    <w:p w:rsidR="00507ACF" w:rsidRPr="0058663A" w:rsidRDefault="00507ACF" w:rsidP="00507ACF">
      <w:pPr>
        <w:ind w:left="851" w:right="902"/>
        <w:jc w:val="both"/>
        <w:rPr>
          <w:rFonts w:ascii="Palatino Linotype" w:hAnsi="Palatino Linotype" w:cs="Arial"/>
          <w:i/>
          <w:sz w:val="22"/>
        </w:rPr>
      </w:pPr>
      <w:r w:rsidRPr="0058663A">
        <w:rPr>
          <w:rFonts w:ascii="Palatino Linotype" w:hAnsi="Palatino Linotype" w:cs="Arial"/>
          <w:i/>
          <w:sz w:val="22"/>
        </w:rPr>
        <w:t xml:space="preserve">Amparo directo en revisión 1377/2015. Alfa New </w:t>
      </w:r>
      <w:proofErr w:type="spellStart"/>
      <w:r w:rsidRPr="0058663A">
        <w:rPr>
          <w:rFonts w:ascii="Palatino Linotype" w:hAnsi="Palatino Linotype" w:cs="Arial"/>
          <w:i/>
          <w:sz w:val="22"/>
        </w:rPr>
        <w:t>Life</w:t>
      </w:r>
      <w:proofErr w:type="spellEnd"/>
      <w:r w:rsidRPr="0058663A">
        <w:rPr>
          <w:rFonts w:ascii="Palatino Linotype" w:hAnsi="Palatino Linotype" w:cs="Arial"/>
          <w:i/>
          <w:sz w:val="22"/>
        </w:rPr>
        <w:t xml:space="preserve"> International, S.A. de C.V. 13 de mayo de 2015. Cinco votos de los Ministros Eduardo Medina Mora I., Juan N. Silva Meza, José Fernando Franco González Salas, Margarita Beatriz Luna Ramos y Alberto Pérez </w:t>
      </w:r>
      <w:proofErr w:type="spellStart"/>
      <w:r w:rsidRPr="0058663A">
        <w:rPr>
          <w:rFonts w:ascii="Palatino Linotype" w:hAnsi="Palatino Linotype" w:cs="Arial"/>
          <w:i/>
          <w:sz w:val="22"/>
        </w:rPr>
        <w:t>Dayán</w:t>
      </w:r>
      <w:proofErr w:type="spellEnd"/>
      <w:r w:rsidRPr="0058663A">
        <w:rPr>
          <w:rFonts w:ascii="Palatino Linotype" w:hAnsi="Palatino Linotype" w:cs="Arial"/>
          <w:i/>
          <w:sz w:val="22"/>
        </w:rPr>
        <w:t xml:space="preserve">. Ponente: Eduardo Medina Mora I. Secretaria: Paola </w:t>
      </w:r>
      <w:proofErr w:type="spellStart"/>
      <w:r w:rsidRPr="0058663A">
        <w:rPr>
          <w:rFonts w:ascii="Palatino Linotype" w:hAnsi="Palatino Linotype" w:cs="Arial"/>
          <w:i/>
          <w:sz w:val="22"/>
        </w:rPr>
        <w:t>Yaber</w:t>
      </w:r>
      <w:proofErr w:type="spellEnd"/>
      <w:r w:rsidRPr="0058663A">
        <w:rPr>
          <w:rFonts w:ascii="Palatino Linotype" w:hAnsi="Palatino Linotype" w:cs="Arial"/>
          <w:i/>
          <w:sz w:val="22"/>
        </w:rPr>
        <w:t xml:space="preserve"> Coronado.</w:t>
      </w:r>
    </w:p>
    <w:p w:rsidR="00507ACF" w:rsidRPr="0058663A" w:rsidRDefault="00507ACF" w:rsidP="00507ACF">
      <w:pPr>
        <w:ind w:left="851" w:right="902"/>
        <w:jc w:val="both"/>
        <w:rPr>
          <w:rFonts w:ascii="Palatino Linotype" w:hAnsi="Palatino Linotype" w:cs="Arial"/>
          <w:i/>
          <w:sz w:val="22"/>
        </w:rPr>
      </w:pPr>
      <w:r w:rsidRPr="0058663A">
        <w:rPr>
          <w:rFonts w:ascii="Palatino Linotype" w:hAnsi="Palatino Linotype" w:cs="Arial"/>
          <w:i/>
          <w:sz w:val="22"/>
        </w:rPr>
        <w:t xml:space="preserve">Amparo directo en revisión 1551/2015. Distribuidora </w:t>
      </w:r>
      <w:proofErr w:type="spellStart"/>
      <w:r w:rsidRPr="0058663A">
        <w:rPr>
          <w:rFonts w:ascii="Palatino Linotype" w:hAnsi="Palatino Linotype" w:cs="Arial"/>
          <w:i/>
          <w:sz w:val="22"/>
        </w:rPr>
        <w:t>Teyvi</w:t>
      </w:r>
      <w:proofErr w:type="spellEnd"/>
      <w:r w:rsidRPr="0058663A">
        <w:rPr>
          <w:rFonts w:ascii="Palatino Linotype" w:hAnsi="Palatino Linotype" w:cs="Arial"/>
          <w:i/>
          <w:sz w:val="22"/>
        </w:rPr>
        <w:t xml:space="preserve">, S.A. de C.V. 8 de julio de 2015. Cinco votos de los Ministros Eduardo Medina Mora I., Juan N. Silva Meza, José Fernando Franco González Salas, Margarita Beatriz Luna Ramos y Alberto </w:t>
      </w:r>
      <w:r w:rsidRPr="0058663A">
        <w:rPr>
          <w:rFonts w:ascii="Palatino Linotype" w:hAnsi="Palatino Linotype" w:cs="Arial"/>
          <w:i/>
          <w:sz w:val="22"/>
        </w:rPr>
        <w:lastRenderedPageBreak/>
        <w:t xml:space="preserve">Pérez </w:t>
      </w:r>
      <w:proofErr w:type="spellStart"/>
      <w:r w:rsidRPr="0058663A">
        <w:rPr>
          <w:rFonts w:ascii="Palatino Linotype" w:hAnsi="Palatino Linotype" w:cs="Arial"/>
          <w:i/>
          <w:sz w:val="22"/>
        </w:rPr>
        <w:t>Dayán</w:t>
      </w:r>
      <w:proofErr w:type="spellEnd"/>
      <w:r w:rsidRPr="0058663A">
        <w:rPr>
          <w:rFonts w:ascii="Palatino Linotype" w:hAnsi="Palatino Linotype" w:cs="Arial"/>
          <w:i/>
          <w:sz w:val="22"/>
        </w:rPr>
        <w:t xml:space="preserve">. Ponente: Eduardo Medina Mora I. Secretaria: </w:t>
      </w:r>
      <w:proofErr w:type="spellStart"/>
      <w:r w:rsidRPr="0058663A">
        <w:rPr>
          <w:rFonts w:ascii="Palatino Linotype" w:hAnsi="Palatino Linotype" w:cs="Arial"/>
          <w:i/>
          <w:sz w:val="22"/>
        </w:rPr>
        <w:t>Miroslava</w:t>
      </w:r>
      <w:proofErr w:type="spellEnd"/>
      <w:r w:rsidRPr="0058663A">
        <w:rPr>
          <w:rFonts w:ascii="Palatino Linotype" w:hAnsi="Palatino Linotype" w:cs="Arial"/>
          <w:i/>
          <w:sz w:val="22"/>
        </w:rPr>
        <w:t xml:space="preserve"> de Fátima </w:t>
      </w:r>
      <w:proofErr w:type="spellStart"/>
      <w:r w:rsidRPr="0058663A">
        <w:rPr>
          <w:rFonts w:ascii="Palatino Linotype" w:hAnsi="Palatino Linotype" w:cs="Arial"/>
          <w:i/>
          <w:sz w:val="22"/>
        </w:rPr>
        <w:t>Alcayde</w:t>
      </w:r>
      <w:proofErr w:type="spellEnd"/>
      <w:r w:rsidRPr="0058663A">
        <w:rPr>
          <w:rFonts w:ascii="Palatino Linotype" w:hAnsi="Palatino Linotype" w:cs="Arial"/>
          <w:i/>
          <w:sz w:val="22"/>
        </w:rPr>
        <w:t xml:space="preserve"> Escalante.</w:t>
      </w:r>
    </w:p>
    <w:p w:rsidR="00507ACF" w:rsidRPr="0058663A" w:rsidRDefault="00507ACF" w:rsidP="00507ACF">
      <w:pPr>
        <w:ind w:left="851" w:right="902"/>
        <w:jc w:val="both"/>
        <w:rPr>
          <w:rFonts w:ascii="Palatino Linotype" w:hAnsi="Palatino Linotype" w:cs="Arial"/>
          <w:i/>
          <w:sz w:val="22"/>
        </w:rPr>
      </w:pPr>
      <w:r w:rsidRPr="0058663A">
        <w:rPr>
          <w:rFonts w:ascii="Palatino Linotype" w:hAnsi="Palatino Linotype" w:cs="Arial"/>
          <w:i/>
          <w:sz w:val="22"/>
        </w:rPr>
        <w:t xml:space="preserve">Amparo en revisión 928/2015. Cajeme Productos Pecuarios, S.A. de C.V. 10 de febrero de 2016. Unanimidad de cuatro votos de los Ministros Eduardo Medina Mora I., Javier </w:t>
      </w:r>
      <w:proofErr w:type="spellStart"/>
      <w:r w:rsidRPr="0058663A">
        <w:rPr>
          <w:rFonts w:ascii="Palatino Linotype" w:hAnsi="Palatino Linotype" w:cs="Arial"/>
          <w:i/>
          <w:sz w:val="22"/>
        </w:rPr>
        <w:t>Laynez</w:t>
      </w:r>
      <w:proofErr w:type="spellEnd"/>
      <w:r w:rsidRPr="0058663A">
        <w:rPr>
          <w:rFonts w:ascii="Palatino Linotype" w:hAnsi="Palatino Linotype" w:cs="Arial"/>
          <w:i/>
          <w:sz w:val="22"/>
        </w:rPr>
        <w:t xml:space="preserve"> </w:t>
      </w:r>
      <w:proofErr w:type="spellStart"/>
      <w:r w:rsidRPr="0058663A">
        <w:rPr>
          <w:rFonts w:ascii="Palatino Linotype" w:hAnsi="Palatino Linotype" w:cs="Arial"/>
          <w:i/>
          <w:sz w:val="22"/>
        </w:rPr>
        <w:t>Potisek</w:t>
      </w:r>
      <w:proofErr w:type="spellEnd"/>
      <w:r w:rsidRPr="0058663A">
        <w:rPr>
          <w:rFonts w:ascii="Palatino Linotype" w:hAnsi="Palatino Linotype" w:cs="Arial"/>
          <w:i/>
          <w:sz w:val="22"/>
        </w:rPr>
        <w:t xml:space="preserve">, José Fernando Franco González Salas y Margarita Beatriz Luna Ramos. Ausente: Alberto Pérez </w:t>
      </w:r>
      <w:proofErr w:type="spellStart"/>
      <w:r w:rsidRPr="0058663A">
        <w:rPr>
          <w:rFonts w:ascii="Palatino Linotype" w:hAnsi="Palatino Linotype" w:cs="Arial"/>
          <w:i/>
          <w:sz w:val="22"/>
        </w:rPr>
        <w:t>Dayán</w:t>
      </w:r>
      <w:proofErr w:type="spellEnd"/>
      <w:r w:rsidRPr="0058663A">
        <w:rPr>
          <w:rFonts w:ascii="Palatino Linotype" w:hAnsi="Palatino Linotype" w:cs="Arial"/>
          <w:i/>
          <w:sz w:val="22"/>
        </w:rPr>
        <w:t xml:space="preserve">. Ponente: Eduardo Medina Mora I. Secretaria: </w:t>
      </w:r>
      <w:proofErr w:type="spellStart"/>
      <w:r w:rsidRPr="0058663A">
        <w:rPr>
          <w:rFonts w:ascii="Palatino Linotype" w:hAnsi="Palatino Linotype" w:cs="Arial"/>
          <w:i/>
          <w:sz w:val="22"/>
        </w:rPr>
        <w:t>Miroslava</w:t>
      </w:r>
      <w:proofErr w:type="spellEnd"/>
      <w:r w:rsidRPr="0058663A">
        <w:rPr>
          <w:rFonts w:ascii="Palatino Linotype" w:hAnsi="Palatino Linotype" w:cs="Arial"/>
          <w:i/>
          <w:sz w:val="22"/>
        </w:rPr>
        <w:t xml:space="preserve"> de Fátima </w:t>
      </w:r>
      <w:proofErr w:type="spellStart"/>
      <w:r w:rsidRPr="0058663A">
        <w:rPr>
          <w:rFonts w:ascii="Palatino Linotype" w:hAnsi="Palatino Linotype" w:cs="Arial"/>
          <w:i/>
          <w:sz w:val="22"/>
        </w:rPr>
        <w:t>Alcayde</w:t>
      </w:r>
      <w:proofErr w:type="spellEnd"/>
      <w:r w:rsidRPr="0058663A">
        <w:rPr>
          <w:rFonts w:ascii="Palatino Linotype" w:hAnsi="Palatino Linotype" w:cs="Arial"/>
          <w:i/>
          <w:sz w:val="22"/>
        </w:rPr>
        <w:t xml:space="preserve"> Escalante.</w:t>
      </w:r>
    </w:p>
    <w:p w:rsidR="00507ACF" w:rsidRPr="0058663A" w:rsidRDefault="00507ACF" w:rsidP="00507ACF">
      <w:pPr>
        <w:ind w:left="851" w:right="902"/>
        <w:jc w:val="both"/>
        <w:rPr>
          <w:rFonts w:ascii="Palatino Linotype" w:hAnsi="Palatino Linotype" w:cs="Arial"/>
          <w:i/>
          <w:sz w:val="22"/>
        </w:rPr>
      </w:pPr>
      <w:r w:rsidRPr="0058663A">
        <w:rPr>
          <w:rFonts w:ascii="Palatino Linotype" w:hAnsi="Palatino Linotype" w:cs="Arial"/>
          <w:i/>
          <w:sz w:val="22"/>
        </w:rPr>
        <w:t xml:space="preserve">Amparo en revisión 1469/2015. Luz Elena García Díaz. 1 de junio de 2016. Unanimidad de cuatro votos de los Ministros Eduardo Medina Mora I., Javier </w:t>
      </w:r>
      <w:proofErr w:type="spellStart"/>
      <w:r w:rsidRPr="0058663A">
        <w:rPr>
          <w:rFonts w:ascii="Palatino Linotype" w:hAnsi="Palatino Linotype" w:cs="Arial"/>
          <w:i/>
          <w:sz w:val="22"/>
        </w:rPr>
        <w:t>Laynez</w:t>
      </w:r>
      <w:proofErr w:type="spellEnd"/>
      <w:r w:rsidRPr="0058663A">
        <w:rPr>
          <w:rFonts w:ascii="Palatino Linotype" w:hAnsi="Palatino Linotype" w:cs="Arial"/>
          <w:i/>
          <w:sz w:val="22"/>
        </w:rPr>
        <w:t xml:space="preserve"> </w:t>
      </w:r>
      <w:proofErr w:type="spellStart"/>
      <w:r w:rsidRPr="0058663A">
        <w:rPr>
          <w:rFonts w:ascii="Palatino Linotype" w:hAnsi="Palatino Linotype" w:cs="Arial"/>
          <w:i/>
          <w:sz w:val="22"/>
        </w:rPr>
        <w:t>Potisek</w:t>
      </w:r>
      <w:proofErr w:type="spellEnd"/>
      <w:r w:rsidRPr="0058663A">
        <w:rPr>
          <w:rFonts w:ascii="Palatino Linotype" w:hAnsi="Palatino Linotype" w:cs="Arial"/>
          <w:i/>
          <w:sz w:val="22"/>
        </w:rPr>
        <w:t xml:space="preserve">, José Fernando Franco González Salas y Alberto Pérez </w:t>
      </w:r>
      <w:proofErr w:type="spellStart"/>
      <w:r w:rsidRPr="0058663A">
        <w:rPr>
          <w:rFonts w:ascii="Palatino Linotype" w:hAnsi="Palatino Linotype" w:cs="Arial"/>
          <w:i/>
          <w:sz w:val="22"/>
        </w:rPr>
        <w:t>Dayán</w:t>
      </w:r>
      <w:proofErr w:type="spellEnd"/>
      <w:r w:rsidRPr="0058663A">
        <w:rPr>
          <w:rFonts w:ascii="Palatino Linotype" w:hAnsi="Palatino Linotype" w:cs="Arial"/>
          <w:i/>
          <w:sz w:val="22"/>
        </w:rPr>
        <w:t>. Ausente: Margarita Beatriz Luna Ramos. Ponente: Eduardo Medina Mora I. Secretaria: Diana Cristina Rangel León.</w:t>
      </w:r>
    </w:p>
    <w:p w:rsidR="00507ACF" w:rsidRPr="0058663A" w:rsidRDefault="00507ACF" w:rsidP="00507ACF">
      <w:pPr>
        <w:ind w:left="851" w:right="902"/>
        <w:jc w:val="both"/>
        <w:rPr>
          <w:rFonts w:ascii="Palatino Linotype" w:hAnsi="Palatino Linotype" w:cs="Arial"/>
          <w:i/>
          <w:sz w:val="22"/>
        </w:rPr>
      </w:pPr>
      <w:r w:rsidRPr="0058663A">
        <w:rPr>
          <w:rFonts w:ascii="Palatino Linotype" w:hAnsi="Palatino Linotype" w:cs="Arial"/>
          <w:i/>
          <w:sz w:val="22"/>
        </w:rPr>
        <w:t>Tesis de jurisprudencia 82/2016 (10a.). Aprobada por la Segunda Sala de este Alto Tribunal, en sesión privada del veintidós de junio de dos mil dieciséis.”</w:t>
      </w:r>
    </w:p>
    <w:p w:rsidR="00507ACF" w:rsidRPr="001E611E" w:rsidRDefault="00507ACF" w:rsidP="00507ACF">
      <w:pPr>
        <w:ind w:left="851" w:right="902"/>
        <w:jc w:val="both"/>
        <w:rPr>
          <w:rFonts w:ascii="Palatino Linotype" w:hAnsi="Palatino Linotype" w:cs="Arial"/>
          <w:i/>
          <w:sz w:val="22"/>
        </w:rPr>
      </w:pPr>
      <w:r w:rsidRPr="001E611E">
        <w:rPr>
          <w:rFonts w:ascii="Palatino Linotype" w:hAnsi="Palatino Linotype" w:cs="Arial"/>
          <w:i/>
          <w:sz w:val="22"/>
        </w:rPr>
        <w:t>(Énfasis añadido)</w:t>
      </w:r>
    </w:p>
    <w:p w:rsidR="00507ACF" w:rsidRPr="0058663A" w:rsidRDefault="00507ACF" w:rsidP="00507ACF">
      <w:pPr>
        <w:pStyle w:val="Prrafodelista"/>
        <w:widowControl w:val="0"/>
        <w:autoSpaceDE w:val="0"/>
        <w:autoSpaceDN w:val="0"/>
        <w:adjustRightInd w:val="0"/>
        <w:spacing w:before="360" w:after="240" w:line="360" w:lineRule="auto"/>
        <w:ind w:left="0"/>
        <w:jc w:val="both"/>
        <w:rPr>
          <w:rFonts w:ascii="Palatino Linotype" w:hAnsi="Palatino Linotype" w:cs="Arial"/>
        </w:rPr>
      </w:pPr>
      <w:r w:rsidRPr="0058663A">
        <w:rPr>
          <w:rFonts w:ascii="Palatino Linotype" w:eastAsia="Calibri" w:hAnsi="Palatino Linotype" w:cs="Arial"/>
        </w:rPr>
        <w:t xml:space="preserve">Aunado a lo anterior, sirve de apoyo lo establecido en </w:t>
      </w:r>
      <w:r w:rsidRPr="0058663A">
        <w:rPr>
          <w:rFonts w:ascii="Palatino Linotype" w:hAnsi="Palatino Linotype"/>
        </w:rPr>
        <w:t xml:space="preserve">la </w:t>
      </w:r>
      <w:r w:rsidRPr="0058663A">
        <w:rPr>
          <w:rFonts w:ascii="Palatino Linotype" w:hAnsi="Palatino Linotype" w:cs="Arial"/>
        </w:rPr>
        <w:t xml:space="preserve">Tesis Aislada, con número de registro </w:t>
      </w:r>
      <w:r w:rsidRPr="0058663A">
        <w:rPr>
          <w:rFonts w:ascii="Palatino Linotype" w:eastAsia="Calibri" w:hAnsi="Palatino Linotype" w:cs="Arial"/>
        </w:rPr>
        <w:t xml:space="preserve">211360 </w:t>
      </w:r>
      <w:r w:rsidRPr="0058663A">
        <w:rPr>
          <w:rFonts w:ascii="Palatino Linotype" w:hAnsi="Palatino Linotype" w:cs="Arial"/>
        </w:rPr>
        <w:t xml:space="preserve">de la Octava Época, emitida por el Segundo Tribunal Colegiado del Sexto Circuito, publicada en el Tomo XIV, </w:t>
      </w:r>
      <w:proofErr w:type="spellStart"/>
      <w:r w:rsidRPr="0058663A">
        <w:rPr>
          <w:rFonts w:ascii="Palatino Linotype" w:hAnsi="Palatino Linotype" w:cs="Arial"/>
        </w:rPr>
        <w:t>pag</w:t>
      </w:r>
      <w:proofErr w:type="spellEnd"/>
      <w:r w:rsidRPr="0058663A">
        <w:rPr>
          <w:rFonts w:ascii="Palatino Linotype" w:hAnsi="Palatino Linotype" w:cs="Arial"/>
        </w:rPr>
        <w:t>. 547 del Semanario Judicial de la Federación de julio de 1994, cuyo rubro y texto esgrimen lo siguiente:</w:t>
      </w:r>
    </w:p>
    <w:p w:rsidR="00507ACF" w:rsidRPr="0058663A" w:rsidRDefault="00507ACF" w:rsidP="00507ACF">
      <w:pPr>
        <w:ind w:left="851" w:right="902"/>
        <w:jc w:val="both"/>
        <w:rPr>
          <w:rFonts w:ascii="Palatino Linotype" w:hAnsi="Palatino Linotype" w:cs="Arial"/>
          <w:i/>
          <w:sz w:val="22"/>
        </w:rPr>
      </w:pPr>
      <w:r w:rsidRPr="0058663A">
        <w:rPr>
          <w:rFonts w:ascii="Palatino Linotype" w:hAnsi="Palatino Linotype" w:cs="Arial"/>
          <w:i/>
          <w:sz w:val="22"/>
        </w:rPr>
        <w:t>“</w:t>
      </w:r>
      <w:r w:rsidRPr="0058663A">
        <w:rPr>
          <w:rFonts w:ascii="Palatino Linotype" w:hAnsi="Palatino Linotype" w:cs="Arial"/>
          <w:b/>
          <w:i/>
          <w:sz w:val="22"/>
        </w:rPr>
        <w:t>DESISTIMIENTOS DE LA ACCION Y DE LA DEMANDA. DIFERENCIAS</w:t>
      </w:r>
      <w:r w:rsidRPr="0058663A">
        <w:rPr>
          <w:rFonts w:ascii="Palatino Linotype" w:hAnsi="Palatino Linotype" w:cs="Arial"/>
          <w:i/>
          <w:sz w:val="22"/>
        </w:rPr>
        <w:t xml:space="preserve">. No es lo mismo desistir de la acción que de la demanda o instancia, ya que </w:t>
      </w:r>
      <w:r w:rsidRPr="0058663A">
        <w:rPr>
          <w:rFonts w:ascii="Palatino Linotype" w:hAnsi="Palatino Linotype" w:cs="Arial"/>
          <w:b/>
          <w:i/>
          <w:sz w:val="22"/>
          <w:u w:val="single"/>
        </w:rPr>
        <w:t>en el desistimiento de la demanda se pierden todos los derechos y situaciones procesales</w:t>
      </w:r>
      <w:r w:rsidRPr="0058663A">
        <w:rPr>
          <w:rFonts w:ascii="Palatino Linotype" w:hAnsi="Palatino Linotype" w:cs="Arial"/>
          <w:i/>
          <w:sz w:val="22"/>
        </w:rPr>
        <w:t xml:space="preserve">; y si no ha prescrito la acción, puede volverse a ejercitar mediante la presentación de una nueva demanda; mientras que </w:t>
      </w:r>
      <w:r w:rsidRPr="0058663A">
        <w:rPr>
          <w:rFonts w:ascii="Palatino Linotype" w:hAnsi="Palatino Linotype" w:cs="Arial"/>
          <w:b/>
          <w:i/>
          <w:sz w:val="22"/>
          <w:u w:val="single"/>
        </w:rPr>
        <w:t>con el desistimiento de la acción se produce la pérdida del derecho que el actor hizo valer en el juicio, porque al renunciar a la acción se renuncia al derecho</w:t>
      </w:r>
      <w:r w:rsidRPr="0058663A">
        <w:rPr>
          <w:rFonts w:ascii="Palatino Linotype" w:hAnsi="Palatino Linotype" w:cs="Arial"/>
          <w:i/>
          <w:sz w:val="22"/>
        </w:rPr>
        <w:t>.</w:t>
      </w:r>
    </w:p>
    <w:p w:rsidR="00507ACF" w:rsidRPr="0058663A" w:rsidRDefault="00507ACF" w:rsidP="00507ACF">
      <w:pPr>
        <w:ind w:left="851" w:right="902"/>
        <w:jc w:val="both"/>
        <w:rPr>
          <w:rFonts w:ascii="Palatino Linotype" w:hAnsi="Palatino Linotype" w:cs="Arial"/>
          <w:i/>
          <w:sz w:val="22"/>
        </w:rPr>
      </w:pPr>
      <w:r w:rsidRPr="0058663A">
        <w:rPr>
          <w:rFonts w:ascii="Palatino Linotype" w:hAnsi="Palatino Linotype" w:cs="Arial"/>
          <w:i/>
          <w:sz w:val="22"/>
        </w:rPr>
        <w:t>SEGUNDO TRIBUNAL COLEGIADO DEL SEXTO CIRCUITO.</w:t>
      </w:r>
    </w:p>
    <w:p w:rsidR="00507ACF" w:rsidRPr="0058663A" w:rsidRDefault="00507ACF" w:rsidP="00507ACF">
      <w:pPr>
        <w:ind w:left="851" w:right="902"/>
        <w:jc w:val="both"/>
        <w:rPr>
          <w:rFonts w:ascii="Palatino Linotype" w:hAnsi="Palatino Linotype" w:cs="Arial"/>
          <w:i/>
          <w:sz w:val="22"/>
        </w:rPr>
      </w:pPr>
      <w:r w:rsidRPr="0058663A">
        <w:rPr>
          <w:rFonts w:ascii="Palatino Linotype" w:hAnsi="Palatino Linotype" w:cs="Arial"/>
          <w:i/>
          <w:sz w:val="22"/>
        </w:rPr>
        <w:t>Amparo directo 240/93. Instituto Mexicano del Seguro Social, Delegación Estatal en Tlaxcala. 4 de julio de 1993. Unanimidad de votos. Ponente: José Galván Rojas. Secretario: Vicente Martínez Sánchez.</w:t>
      </w:r>
    </w:p>
    <w:p w:rsidR="00507ACF" w:rsidRPr="0058663A" w:rsidRDefault="00507ACF" w:rsidP="00507ACF">
      <w:pPr>
        <w:ind w:left="851" w:right="902"/>
        <w:jc w:val="both"/>
        <w:rPr>
          <w:rFonts w:ascii="Palatino Linotype" w:hAnsi="Palatino Linotype" w:cs="Arial"/>
          <w:i/>
          <w:sz w:val="22"/>
        </w:rPr>
      </w:pPr>
      <w:r w:rsidRPr="0058663A">
        <w:rPr>
          <w:rFonts w:ascii="Palatino Linotype" w:hAnsi="Palatino Linotype" w:cs="Arial"/>
          <w:i/>
          <w:sz w:val="22"/>
        </w:rPr>
        <w:t>Amparo directo 329/92. Jaime Vera López. 1o. de septiembre de 1992. Unanimidad de votos. Ponente: José Galván Rojas. Secretario: Armando Cortés Galván.”</w:t>
      </w:r>
    </w:p>
    <w:p w:rsidR="00507ACF" w:rsidRPr="001E611E" w:rsidRDefault="00507ACF" w:rsidP="00507ACF">
      <w:pPr>
        <w:ind w:left="851" w:right="902"/>
        <w:jc w:val="both"/>
        <w:rPr>
          <w:rFonts w:ascii="Palatino Linotype" w:hAnsi="Palatino Linotype" w:cs="Arial"/>
          <w:i/>
          <w:sz w:val="22"/>
        </w:rPr>
      </w:pPr>
      <w:r w:rsidRPr="001E611E">
        <w:rPr>
          <w:rFonts w:ascii="Palatino Linotype" w:hAnsi="Palatino Linotype" w:cs="Arial"/>
          <w:i/>
          <w:sz w:val="22"/>
        </w:rPr>
        <w:t>(Énfasis añadido)</w:t>
      </w:r>
    </w:p>
    <w:p w:rsidR="00AF0EB7" w:rsidRPr="0041322D" w:rsidRDefault="00AF0EB7" w:rsidP="00AF0EB7">
      <w:pPr>
        <w:spacing w:before="240" w:after="240" w:line="360" w:lineRule="auto"/>
        <w:jc w:val="both"/>
        <w:rPr>
          <w:rFonts w:ascii="Palatino Linotype" w:eastAsia="Calibri" w:hAnsi="Palatino Linotype" w:cs="Arial"/>
        </w:rPr>
      </w:pPr>
      <w:r w:rsidRPr="0041322D">
        <w:rPr>
          <w:rFonts w:ascii="Palatino Linotype" w:eastAsia="Calibri" w:hAnsi="Palatino Linotype" w:cs="Arial"/>
        </w:rPr>
        <w:lastRenderedPageBreak/>
        <w:t>Así, con fundamento en lo prescrito en los artículos 5, párrafos vigésimo</w:t>
      </w:r>
      <w:r w:rsidR="00E30347">
        <w:rPr>
          <w:rFonts w:ascii="Palatino Linotype" w:eastAsia="Calibri" w:hAnsi="Palatino Linotype" w:cs="Arial"/>
        </w:rPr>
        <w:t xml:space="preserve"> segundo</w:t>
      </w:r>
      <w:r w:rsidRPr="0041322D">
        <w:rPr>
          <w:rFonts w:ascii="Palatino Linotype" w:eastAsia="Calibri" w:hAnsi="Palatino Linotype" w:cs="Arial"/>
        </w:rPr>
        <w:t xml:space="preserve">, vigésimo </w:t>
      </w:r>
      <w:r w:rsidR="00E30347">
        <w:rPr>
          <w:rFonts w:ascii="Palatino Linotype" w:eastAsia="Calibri" w:hAnsi="Palatino Linotype" w:cs="Arial"/>
        </w:rPr>
        <w:t>tercero</w:t>
      </w:r>
      <w:r w:rsidRPr="0041322D">
        <w:rPr>
          <w:rFonts w:ascii="Palatino Linotype" w:eastAsia="Calibri" w:hAnsi="Palatino Linotype" w:cs="Arial"/>
        </w:rPr>
        <w:t xml:space="preserve"> y vigésimo </w:t>
      </w:r>
      <w:r w:rsidR="00E30347">
        <w:rPr>
          <w:rFonts w:ascii="Palatino Linotype" w:eastAsia="Calibri" w:hAnsi="Palatino Linotype" w:cs="Arial"/>
        </w:rPr>
        <w:t>cuarto</w:t>
      </w:r>
      <w:r w:rsidRPr="0041322D">
        <w:rPr>
          <w:rFonts w:ascii="Palatino Linotype" w:eastAsia="Calibri" w:hAnsi="Palatino Linotype" w:cs="Arial"/>
        </w:rPr>
        <w:t>, fracciones IV y V de la Constitución Política del Estado Libre y Soberano de México; 2, fracción II, 29, 36, fracciones I y II, 176, 178, 179, 181, 185, fracción I, 186 y 188 de la Ley de Transparencia y Acceso a la Información Pública del Estado de México y Municipios de aplicación supletoria, 1, 81, 82, fracciones I y III, 119, 127, 128, 129, 133 y 137 de la Ley de Protección de Datos Personales en Posesión de Sujetos Obligados del Estado de México y Municipios, este Pleno:</w:t>
      </w:r>
    </w:p>
    <w:p w:rsidR="00AF0EB7" w:rsidRPr="0058663A" w:rsidRDefault="00AF0EB7" w:rsidP="00AF0EB7">
      <w:pPr>
        <w:spacing w:before="360" w:after="240" w:line="360" w:lineRule="auto"/>
        <w:jc w:val="center"/>
        <w:rPr>
          <w:rFonts w:ascii="Palatino Linotype" w:hAnsi="Palatino Linotype"/>
          <w:b/>
          <w:bCs/>
          <w:spacing w:val="40"/>
          <w:sz w:val="28"/>
        </w:rPr>
      </w:pPr>
      <w:r w:rsidRPr="0058663A">
        <w:rPr>
          <w:rFonts w:ascii="Palatino Linotype" w:hAnsi="Palatino Linotype"/>
          <w:b/>
          <w:bCs/>
          <w:spacing w:val="40"/>
          <w:sz w:val="28"/>
        </w:rPr>
        <w:t>RESUELVE</w:t>
      </w:r>
    </w:p>
    <w:p w:rsidR="00AF0EB7" w:rsidRDefault="00AF0EB7" w:rsidP="00AF0EB7">
      <w:pPr>
        <w:pStyle w:val="Prrafodelista"/>
        <w:widowControl w:val="0"/>
        <w:tabs>
          <w:tab w:val="left" w:pos="1701"/>
        </w:tabs>
        <w:autoSpaceDE w:val="0"/>
        <w:autoSpaceDN w:val="0"/>
        <w:adjustRightInd w:val="0"/>
        <w:spacing w:before="100" w:beforeAutospacing="1" w:after="100" w:afterAutospacing="1" w:line="360" w:lineRule="auto"/>
        <w:ind w:left="0"/>
        <w:jc w:val="both"/>
        <w:rPr>
          <w:rFonts w:ascii="Palatino Linotype" w:hAnsi="Palatino Linotype" w:cs="Arial"/>
          <w:b/>
        </w:rPr>
      </w:pPr>
      <w:r w:rsidRPr="00044BCD">
        <w:rPr>
          <w:rFonts w:ascii="Palatino Linotype" w:hAnsi="Palatino Linotype" w:cs="Arial"/>
          <w:b/>
          <w:color w:val="000000" w:themeColor="text1"/>
          <w:sz w:val="28"/>
          <w:szCs w:val="28"/>
        </w:rPr>
        <w:t>PRIMERO.</w:t>
      </w:r>
      <w:r>
        <w:rPr>
          <w:rFonts w:ascii="Palatino Linotype" w:hAnsi="Palatino Linotype" w:cs="Arial"/>
          <w:b/>
          <w:color w:val="000000" w:themeColor="text1"/>
        </w:rPr>
        <w:t xml:space="preserve"> </w:t>
      </w:r>
      <w:r w:rsidRPr="00044BCD">
        <w:rPr>
          <w:rFonts w:ascii="Palatino Linotype" w:hAnsi="Palatino Linotype" w:cs="Arial"/>
          <w:color w:val="000000" w:themeColor="text1"/>
        </w:rPr>
        <w:t>Se</w:t>
      </w:r>
      <w:r w:rsidRPr="00044BCD">
        <w:rPr>
          <w:rFonts w:ascii="Palatino Linotype" w:hAnsi="Palatino Linotype" w:cs="Arial"/>
          <w:b/>
          <w:color w:val="000000" w:themeColor="text1"/>
        </w:rPr>
        <w:t xml:space="preserve"> </w:t>
      </w:r>
      <w:r w:rsidRPr="00D47B18">
        <w:rPr>
          <w:rFonts w:ascii="Palatino Linotype" w:hAnsi="Palatino Linotype" w:cs="Arial"/>
          <w:b/>
          <w:color w:val="000000" w:themeColor="text1"/>
        </w:rPr>
        <w:t xml:space="preserve">SOBRESEE </w:t>
      </w:r>
      <w:r w:rsidRPr="00D47B18">
        <w:rPr>
          <w:rFonts w:ascii="Palatino Linotype" w:hAnsi="Palatino Linotype" w:cs="Arial"/>
          <w:color w:val="000000" w:themeColor="text1"/>
        </w:rPr>
        <w:t xml:space="preserve">el </w:t>
      </w:r>
      <w:r w:rsidRPr="00D47B18">
        <w:rPr>
          <w:rFonts w:ascii="Palatino Linotype" w:hAnsi="Palatino Linotype" w:cs="Arial"/>
          <w:color w:val="222222"/>
          <w:shd w:val="clear" w:color="auto" w:fill="FFFFFF"/>
        </w:rPr>
        <w:t>Recurso</w:t>
      </w:r>
      <w:r w:rsidRPr="00D47B18">
        <w:rPr>
          <w:rFonts w:ascii="Palatino Linotype" w:hAnsi="Palatino Linotype" w:cs="Arial"/>
          <w:color w:val="000000" w:themeColor="text1"/>
        </w:rPr>
        <w:t xml:space="preserve"> de </w:t>
      </w:r>
      <w:r w:rsidRPr="00D47B18">
        <w:rPr>
          <w:rFonts w:ascii="Palatino Linotype" w:hAnsi="Palatino Linotype"/>
          <w:lang w:eastAsia="es-ES_tradnl"/>
        </w:rPr>
        <w:t>Revisión</w:t>
      </w:r>
      <w:r w:rsidRPr="00D47B18">
        <w:rPr>
          <w:rFonts w:ascii="Palatino Linotype" w:hAnsi="Palatino Linotype" w:cs="Arial"/>
          <w:color w:val="000000" w:themeColor="text1"/>
        </w:rPr>
        <w:t xml:space="preserve"> número</w:t>
      </w:r>
      <w:r w:rsidRPr="00D47B18">
        <w:rPr>
          <w:rFonts w:ascii="Palatino Linotype" w:hAnsi="Palatino Linotype" w:cs="Arial"/>
          <w:b/>
          <w:color w:val="000000" w:themeColor="text1"/>
        </w:rPr>
        <w:t xml:space="preserve"> </w:t>
      </w:r>
      <w:r w:rsidR="00F675FB" w:rsidRPr="00D47B18">
        <w:rPr>
          <w:rFonts w:ascii="Palatino Linotype" w:hAnsi="Palatino Linotype" w:cs="Arial"/>
          <w:color w:val="000000" w:themeColor="text1"/>
        </w:rPr>
        <w:t>06522/INFOEM/IP</w:t>
      </w:r>
      <w:r w:rsidRPr="00D47B18">
        <w:rPr>
          <w:rFonts w:ascii="Palatino Linotype" w:hAnsi="Palatino Linotype" w:cs="Arial"/>
          <w:color w:val="000000" w:themeColor="text1"/>
        </w:rPr>
        <w:t xml:space="preserve">/RR/2019, </w:t>
      </w:r>
      <w:r w:rsidR="00D47B18">
        <w:rPr>
          <w:rFonts w:ascii="Palatino Linotype" w:hAnsi="Palatino Linotype" w:cs="Arial"/>
          <w:color w:val="000000" w:themeColor="text1"/>
        </w:rPr>
        <w:t xml:space="preserve">por </w:t>
      </w:r>
      <w:r w:rsidR="00507ACF" w:rsidRPr="00D47B18">
        <w:rPr>
          <w:rFonts w:ascii="Palatino Linotype" w:hAnsi="Palatino Linotype"/>
          <w:b/>
        </w:rPr>
        <w:t xml:space="preserve">haberse desistido expresamente EL RECURRENTE </w:t>
      </w:r>
      <w:r w:rsidR="00507ACF" w:rsidRPr="00D47B18">
        <w:rPr>
          <w:rFonts w:ascii="Palatino Linotype" w:hAnsi="Palatino Linotype"/>
        </w:rPr>
        <w:t xml:space="preserve">en términos </w:t>
      </w:r>
      <w:r w:rsidRPr="00D47B18">
        <w:rPr>
          <w:rFonts w:ascii="Palatino Linotype" w:hAnsi="Palatino Linotype" w:cs="Arial"/>
          <w:lang w:val="es-ES_tradnl"/>
        </w:rPr>
        <w:t xml:space="preserve">del Considerando </w:t>
      </w:r>
      <w:r w:rsidRPr="00D47B18">
        <w:rPr>
          <w:rFonts w:ascii="Palatino Linotype" w:hAnsi="Palatino Linotype" w:cs="Arial"/>
          <w:b/>
          <w:lang w:val="es-ES_tradnl"/>
        </w:rPr>
        <w:t>QUINTO</w:t>
      </w:r>
      <w:r w:rsidRPr="00D47B18">
        <w:rPr>
          <w:rFonts w:ascii="Palatino Linotype" w:hAnsi="Palatino Linotype" w:cs="Arial"/>
          <w:lang w:val="es-ES_tradnl"/>
        </w:rPr>
        <w:t xml:space="preserve"> de la presente resolución.</w:t>
      </w:r>
    </w:p>
    <w:p w:rsidR="00AF0EB7" w:rsidRPr="00044BCD" w:rsidRDefault="00AF0EB7" w:rsidP="00AF0EB7">
      <w:pPr>
        <w:pStyle w:val="Prrafodelista"/>
        <w:widowControl w:val="0"/>
        <w:tabs>
          <w:tab w:val="left" w:pos="1701"/>
        </w:tabs>
        <w:autoSpaceDE w:val="0"/>
        <w:autoSpaceDN w:val="0"/>
        <w:adjustRightInd w:val="0"/>
        <w:spacing w:before="240" w:after="240" w:line="360" w:lineRule="auto"/>
        <w:ind w:left="0"/>
        <w:jc w:val="both"/>
        <w:rPr>
          <w:rFonts w:ascii="Palatino Linotype" w:hAnsi="Palatino Linotype" w:cs="Arial"/>
        </w:rPr>
      </w:pPr>
      <w:r w:rsidRPr="00044BCD">
        <w:rPr>
          <w:rFonts w:ascii="Palatino Linotype" w:hAnsi="Palatino Linotype" w:cs="Arial"/>
          <w:b/>
          <w:color w:val="222222"/>
          <w:sz w:val="28"/>
          <w:szCs w:val="28"/>
          <w:shd w:val="clear" w:color="auto" w:fill="FFFFFF"/>
        </w:rPr>
        <w:t>SEGUNDO.</w:t>
      </w:r>
      <w:r>
        <w:rPr>
          <w:rFonts w:ascii="Palatino Linotype" w:hAnsi="Palatino Linotype" w:cs="Arial"/>
          <w:b/>
          <w:color w:val="222222"/>
          <w:shd w:val="clear" w:color="auto" w:fill="FFFFFF"/>
        </w:rPr>
        <w:t xml:space="preserve"> </w:t>
      </w:r>
      <w:r w:rsidRPr="00044BCD">
        <w:rPr>
          <w:rFonts w:ascii="Palatino Linotype" w:hAnsi="Palatino Linotype" w:cs="Arial"/>
          <w:b/>
          <w:color w:val="222222"/>
          <w:shd w:val="clear" w:color="auto" w:fill="FFFFFF"/>
        </w:rPr>
        <w:t xml:space="preserve">Notifíquese </w:t>
      </w:r>
      <w:r w:rsidRPr="00044BCD">
        <w:rPr>
          <w:rFonts w:ascii="Palatino Linotype" w:hAnsi="Palatino Linotype" w:cs="Arial"/>
          <w:color w:val="222222"/>
          <w:shd w:val="clear" w:color="auto" w:fill="FFFFFF"/>
        </w:rPr>
        <w:t xml:space="preserve">al </w:t>
      </w:r>
      <w:r w:rsidRPr="00044BCD">
        <w:rPr>
          <w:rFonts w:ascii="Palatino Linotype" w:hAnsi="Palatino Linotype"/>
          <w:lang w:eastAsia="es-ES_tradnl"/>
        </w:rPr>
        <w:t>Titular</w:t>
      </w:r>
      <w:r w:rsidRPr="00044BCD">
        <w:rPr>
          <w:rFonts w:ascii="Palatino Linotype" w:hAnsi="Palatino Linotype" w:cs="Arial"/>
          <w:color w:val="222222"/>
          <w:shd w:val="clear" w:color="auto" w:fill="FFFFFF"/>
        </w:rPr>
        <w:t xml:space="preserve"> de la Unidad de Transparencia del</w:t>
      </w:r>
      <w:r w:rsidRPr="00044BCD">
        <w:rPr>
          <w:rStyle w:val="apple-converted-space"/>
          <w:rFonts w:ascii="Palatino Linotype" w:hAnsi="Palatino Linotype" w:cs="Arial"/>
          <w:color w:val="222222"/>
          <w:shd w:val="clear" w:color="auto" w:fill="FFFFFF"/>
        </w:rPr>
        <w:t xml:space="preserve"> </w:t>
      </w:r>
      <w:r w:rsidRPr="00044BCD">
        <w:rPr>
          <w:rFonts w:ascii="Palatino Linotype" w:hAnsi="Palatino Linotype" w:cs="Arial"/>
          <w:b/>
          <w:color w:val="222222"/>
          <w:shd w:val="clear" w:color="auto" w:fill="FFFFFF"/>
        </w:rPr>
        <w:t>SUJETO OBLIGADO</w:t>
      </w:r>
      <w:r w:rsidRPr="00044BCD">
        <w:rPr>
          <w:rFonts w:ascii="Palatino Linotype" w:hAnsi="Palatino Linotype" w:cs="Arial"/>
          <w:color w:val="222222"/>
          <w:shd w:val="clear" w:color="auto" w:fill="FFFFFF"/>
        </w:rPr>
        <w:t xml:space="preserve"> para su conocimiento.</w:t>
      </w:r>
    </w:p>
    <w:p w:rsidR="00AF0EB7" w:rsidRPr="0058663A" w:rsidRDefault="00AF0EB7" w:rsidP="00AF0EB7">
      <w:pPr>
        <w:pStyle w:val="Prrafodelista"/>
        <w:widowControl w:val="0"/>
        <w:tabs>
          <w:tab w:val="left" w:pos="1701"/>
        </w:tabs>
        <w:autoSpaceDE w:val="0"/>
        <w:autoSpaceDN w:val="0"/>
        <w:adjustRightInd w:val="0"/>
        <w:spacing w:before="240" w:after="240" w:line="360" w:lineRule="auto"/>
        <w:ind w:left="0"/>
        <w:jc w:val="both"/>
        <w:rPr>
          <w:rFonts w:ascii="Palatino Linotype" w:eastAsiaTheme="minorEastAsia" w:hAnsi="Palatino Linotype"/>
          <w:color w:val="222222"/>
          <w:lang w:eastAsia="es-ES_tradnl"/>
        </w:rPr>
      </w:pPr>
      <w:r w:rsidRPr="00E63862">
        <w:rPr>
          <w:rFonts w:ascii="Palatino Linotype" w:eastAsiaTheme="minorEastAsia" w:hAnsi="Palatino Linotype"/>
          <w:b/>
          <w:color w:val="222222"/>
          <w:sz w:val="28"/>
          <w:szCs w:val="28"/>
          <w:lang w:eastAsia="es-ES_tradnl"/>
        </w:rPr>
        <w:t>TERCERO.</w:t>
      </w:r>
      <w:r>
        <w:rPr>
          <w:rFonts w:ascii="Palatino Linotype" w:eastAsiaTheme="minorEastAsia" w:hAnsi="Palatino Linotype"/>
          <w:b/>
          <w:color w:val="222222"/>
          <w:lang w:eastAsia="es-ES_tradnl"/>
        </w:rPr>
        <w:t xml:space="preserve"> </w:t>
      </w:r>
      <w:r w:rsidRPr="0058663A">
        <w:rPr>
          <w:rFonts w:ascii="Palatino Linotype" w:eastAsiaTheme="minorEastAsia" w:hAnsi="Palatino Linotype"/>
          <w:b/>
          <w:color w:val="222222"/>
          <w:lang w:eastAsia="es-ES_tradnl"/>
        </w:rPr>
        <w:t>Notifíquese</w:t>
      </w:r>
      <w:r w:rsidRPr="0058663A">
        <w:rPr>
          <w:rFonts w:ascii="Palatino Linotype" w:eastAsiaTheme="minorEastAsia" w:hAnsi="Palatino Linotype"/>
          <w:color w:val="222222"/>
          <w:lang w:eastAsia="es-ES_tradnl"/>
        </w:rPr>
        <w:t xml:space="preserve"> a</w:t>
      </w:r>
      <w:r>
        <w:rPr>
          <w:rFonts w:ascii="Palatino Linotype" w:eastAsiaTheme="minorEastAsia" w:hAnsi="Palatino Linotype"/>
          <w:color w:val="222222"/>
          <w:lang w:eastAsia="es-ES_tradnl"/>
        </w:rPr>
        <w:t xml:space="preserve">l </w:t>
      </w:r>
      <w:r w:rsidRPr="0058663A">
        <w:rPr>
          <w:rFonts w:ascii="Palatino Linotype" w:hAnsi="Palatino Linotype" w:cs="Arial"/>
          <w:b/>
        </w:rPr>
        <w:t>RECURRENTE</w:t>
      </w:r>
      <w:r w:rsidRPr="0058663A">
        <w:rPr>
          <w:rFonts w:ascii="Palatino Linotype" w:eastAsiaTheme="minorEastAsia" w:hAnsi="Palatino Linotype"/>
          <w:color w:val="222222"/>
          <w:lang w:eastAsia="es-ES_tradnl"/>
        </w:rPr>
        <w:t xml:space="preserve"> la </w:t>
      </w:r>
      <w:r w:rsidRPr="0058663A">
        <w:rPr>
          <w:rFonts w:ascii="Palatino Linotype" w:hAnsi="Palatino Linotype"/>
          <w:lang w:eastAsia="es-ES_tradnl"/>
        </w:rPr>
        <w:t>presente</w:t>
      </w:r>
      <w:r w:rsidRPr="0058663A">
        <w:rPr>
          <w:rFonts w:ascii="Palatino Linotype" w:eastAsiaTheme="minorEastAsia" w:hAnsi="Palatino Linotype"/>
          <w:color w:val="222222"/>
          <w:lang w:eastAsia="es-ES_tradnl"/>
        </w:rPr>
        <w:t xml:space="preserve"> resolución.</w:t>
      </w:r>
    </w:p>
    <w:p w:rsidR="00AF0EB7" w:rsidRPr="003C3048" w:rsidRDefault="00AF0EB7" w:rsidP="00AF0EB7">
      <w:pPr>
        <w:spacing w:before="240" w:after="240" w:line="360" w:lineRule="auto"/>
        <w:jc w:val="both"/>
        <w:rPr>
          <w:rFonts w:ascii="Palatino Linotype" w:hAnsi="Palatino Linotype"/>
          <w:szCs w:val="17"/>
          <w:lang w:eastAsia="es-ES_tradnl"/>
        </w:rPr>
      </w:pPr>
      <w:r w:rsidRPr="00E63862">
        <w:rPr>
          <w:rFonts w:ascii="Palatino Linotype" w:eastAsiaTheme="minorEastAsia" w:hAnsi="Palatino Linotype"/>
          <w:b/>
          <w:color w:val="222222"/>
          <w:sz w:val="28"/>
          <w:szCs w:val="28"/>
          <w:lang w:eastAsia="es-ES_tradnl"/>
        </w:rPr>
        <w:t>CUARTO.</w:t>
      </w:r>
      <w:r>
        <w:rPr>
          <w:rFonts w:ascii="Palatino Linotype" w:eastAsiaTheme="minorEastAsia" w:hAnsi="Palatino Linotype"/>
          <w:b/>
          <w:color w:val="222222"/>
          <w:lang w:eastAsia="es-ES_tradnl"/>
        </w:rPr>
        <w:t xml:space="preserve"> </w:t>
      </w:r>
      <w:r w:rsidRPr="00D4436A">
        <w:rPr>
          <w:rFonts w:ascii="Palatino Linotype" w:eastAsiaTheme="minorEastAsia" w:hAnsi="Palatino Linotype"/>
          <w:b/>
          <w:color w:val="222222"/>
          <w:lang w:eastAsia="es-ES_tradnl"/>
        </w:rPr>
        <w:t>Hágase del conocimiento</w:t>
      </w:r>
      <w:r w:rsidRPr="00D4436A">
        <w:rPr>
          <w:rFonts w:ascii="Palatino Linotype" w:eastAsiaTheme="minorEastAsia" w:hAnsi="Palatino Linotype"/>
          <w:color w:val="222222"/>
          <w:lang w:eastAsia="es-ES_tradnl"/>
        </w:rPr>
        <w:t xml:space="preserve"> a</w:t>
      </w:r>
      <w:r>
        <w:rPr>
          <w:rFonts w:ascii="Palatino Linotype" w:eastAsiaTheme="minorEastAsia" w:hAnsi="Palatino Linotype"/>
          <w:color w:val="222222"/>
          <w:lang w:eastAsia="es-ES_tradnl"/>
        </w:rPr>
        <w:t xml:space="preserve">l </w:t>
      </w:r>
      <w:r w:rsidRPr="00D4436A">
        <w:rPr>
          <w:rFonts w:ascii="Palatino Linotype" w:hAnsi="Palatino Linotype"/>
          <w:b/>
        </w:rPr>
        <w:t>RECURRENTE</w:t>
      </w:r>
      <w:r w:rsidRPr="00D4436A">
        <w:rPr>
          <w:rFonts w:ascii="Palatino Linotype" w:eastAsiaTheme="minorEastAsia" w:hAnsi="Palatino Linotype"/>
          <w:color w:val="222222"/>
          <w:lang w:eastAsia="es-ES_tradnl"/>
        </w:rPr>
        <w:t xml:space="preserve"> que, de </w:t>
      </w:r>
      <w:r w:rsidRPr="00D4436A">
        <w:rPr>
          <w:rFonts w:ascii="Palatino Linotype" w:hAnsi="Palatino Linotype"/>
          <w:lang w:eastAsia="es-ES_tradnl"/>
        </w:rPr>
        <w:t>conformidad</w:t>
      </w:r>
      <w:r w:rsidRPr="00D4436A">
        <w:rPr>
          <w:rFonts w:ascii="Palatino Linotype" w:eastAsiaTheme="minorEastAsia" w:hAnsi="Palatino Linotype"/>
          <w:color w:val="222222"/>
          <w:lang w:eastAsia="es-ES_tradnl"/>
        </w:rPr>
        <w:t xml:space="preserve"> con lo establecido en el artículo </w:t>
      </w:r>
      <w:r w:rsidRPr="003C3048">
        <w:rPr>
          <w:rFonts w:ascii="Palatino Linotype" w:eastAsiaTheme="minorEastAsia" w:hAnsi="Palatino Linotype"/>
          <w:color w:val="222222"/>
          <w:szCs w:val="17"/>
          <w:lang w:eastAsia="es-ES_tradnl"/>
        </w:rPr>
        <w:t xml:space="preserve">en el </w:t>
      </w:r>
      <w:r w:rsidRPr="00E63862">
        <w:rPr>
          <w:rFonts w:ascii="Palatino Linotype" w:eastAsiaTheme="minorEastAsia" w:hAnsi="Palatino Linotype"/>
          <w:color w:val="222222"/>
          <w:szCs w:val="17"/>
          <w:lang w:eastAsia="es-ES_tradnl"/>
        </w:rPr>
        <w:t xml:space="preserve">artículo </w:t>
      </w:r>
      <w:r w:rsidRPr="00E63862">
        <w:rPr>
          <w:rFonts w:ascii="Palatino Linotype" w:hAnsi="Palatino Linotype"/>
          <w:szCs w:val="17"/>
          <w:lang w:eastAsia="es-ES_tradnl"/>
        </w:rPr>
        <w:t>142 de la Ley de Protección de Datos Personales en Posesión de Sujetos Obligados del Estado de México y Municipios, podrá impugnarla vía Juicio de Amparo en los términos de las leyes aplicables.</w:t>
      </w:r>
    </w:p>
    <w:p w:rsidR="00EB6EA4" w:rsidRPr="003D4680" w:rsidRDefault="003D4680" w:rsidP="003D4680">
      <w:pPr>
        <w:spacing w:before="200" w:after="200" w:line="360" w:lineRule="auto"/>
        <w:jc w:val="both"/>
        <w:rPr>
          <w:rFonts w:ascii="Palatino Linotype" w:eastAsiaTheme="minorHAnsi" w:hAnsi="Palatino Linotype" w:cs="Arial"/>
          <w:lang w:eastAsia="en-US"/>
        </w:rPr>
      </w:pPr>
      <w:r w:rsidRPr="001758F9">
        <w:rPr>
          <w:rFonts w:ascii="Palatino Linotype" w:eastAsiaTheme="minorHAnsi" w:hAnsi="Palatino Linotype" w:cs="Arial"/>
          <w:lang w:eastAsia="en-US"/>
        </w:rPr>
        <w:t>ASÍ LO RESUELVE, POR UNANIMIDAD DE VOTOS EL PLENO DEL</w:t>
      </w:r>
      <w:r w:rsidRPr="001758F9">
        <w:rPr>
          <w:rFonts w:ascii="Palatino Linotype" w:eastAsia="Arial Unicode MS" w:hAnsi="Palatino Linotype" w:cs="Arial"/>
          <w:lang w:eastAsia="en-US"/>
        </w:rPr>
        <w:t xml:space="preserve"> INSTITUTO DE </w:t>
      </w:r>
      <w:r w:rsidRPr="001758F9">
        <w:rPr>
          <w:rFonts w:ascii="Palatino Linotype" w:eastAsiaTheme="minorHAnsi" w:hAnsi="Palatino Linotype" w:cstheme="minorBidi"/>
          <w:lang w:eastAsia="en-US"/>
        </w:rPr>
        <w:t>TRANSPARENCIA</w:t>
      </w:r>
      <w:r w:rsidRPr="001758F9">
        <w:rPr>
          <w:rFonts w:ascii="Palatino Linotype" w:eastAsia="Arial Unicode MS" w:hAnsi="Palatino Linotype" w:cs="Arial"/>
          <w:lang w:eastAsia="en-US"/>
        </w:rPr>
        <w:t xml:space="preserve">, ACCESO A LA INFORMACIÓN PÚBLICA Y PROTECCIÓN </w:t>
      </w:r>
      <w:r w:rsidRPr="001758F9">
        <w:rPr>
          <w:rFonts w:ascii="Palatino Linotype" w:eastAsia="Arial Unicode MS" w:hAnsi="Palatino Linotype" w:cs="Arial"/>
          <w:lang w:eastAsia="en-US"/>
        </w:rPr>
        <w:lastRenderedPageBreak/>
        <w:t>DE DATOS PERSONALES DEL ESTADO DE MÉXICO Y MUNICIPIOS</w:t>
      </w:r>
      <w:r w:rsidRPr="001758F9">
        <w:rPr>
          <w:rFonts w:ascii="Palatino Linotype" w:eastAsiaTheme="minorHAnsi" w:hAnsi="Palatino Linotype" w:cs="Arial"/>
          <w:lang w:eastAsia="en-US"/>
        </w:rPr>
        <w:t>, CONFORMADO POR LOS COMISIONADOS ZULEMA MARTÍNEZ SÁNCHEZ; EVA ABAID YAPUR; JOSÉ GUADALUPE LUNA HERNÁNDEZ; JAVIER MARTÍNEZ CRUZ, Y LUIS GUSTAVO PARRA NORIEGA; EN</w:t>
      </w:r>
      <w:r w:rsidRPr="001758F9">
        <w:rPr>
          <w:rFonts w:ascii="Palatino Linotype" w:eastAsiaTheme="minorHAnsi" w:hAnsi="Palatino Linotype" w:cs="Arial"/>
          <w:shd w:val="clear" w:color="auto" w:fill="FFFFFF" w:themeFill="background1"/>
          <w:lang w:eastAsia="en-US"/>
        </w:rPr>
        <w:t xml:space="preserve"> LA TRI</w:t>
      </w:r>
      <w:r w:rsidRPr="001758F9">
        <w:rPr>
          <w:rFonts w:ascii="Palatino Linotype" w:eastAsiaTheme="minorHAnsi" w:hAnsi="Palatino Linotype" w:cs="Arial"/>
          <w:lang w:eastAsia="en-US"/>
        </w:rPr>
        <w:t>GÉSIMA CUARTA SESIÓN ORDINARIA CELEBRADA EL DÍA DIECINUEVE DE SEPTIEMBRE DE DOS MIL DIECINUEVE, ANTE EL SECRETARIO TÉCNICO DEL PLENO, ALEXIS TAPIA RAMÍREZ.</w:t>
      </w:r>
    </w:p>
    <w:tbl>
      <w:tblPr>
        <w:tblW w:w="10365" w:type="dxa"/>
        <w:jc w:val="center"/>
        <w:tblLayout w:type="fixed"/>
        <w:tblLook w:val="04A0" w:firstRow="1" w:lastRow="0" w:firstColumn="1" w:lastColumn="0" w:noHBand="0" w:noVBand="1"/>
      </w:tblPr>
      <w:tblGrid>
        <w:gridCol w:w="5182"/>
        <w:gridCol w:w="5183"/>
      </w:tblGrid>
      <w:tr w:rsidR="00EB6EA4" w:rsidRPr="00C4501B" w:rsidTr="00C1679C">
        <w:trPr>
          <w:jc w:val="center"/>
        </w:trPr>
        <w:tc>
          <w:tcPr>
            <w:tcW w:w="10365" w:type="dxa"/>
            <w:gridSpan w:val="2"/>
            <w:shd w:val="clear" w:color="auto" w:fill="auto"/>
          </w:tcPr>
          <w:p w:rsidR="00507ACF" w:rsidRDefault="00507ACF" w:rsidP="00C1679C">
            <w:pPr>
              <w:jc w:val="center"/>
              <w:rPr>
                <w:rFonts w:ascii="Palatino Linotype" w:hAnsi="Palatino Linotype" w:cs="Arial"/>
                <w:b/>
              </w:rPr>
            </w:pPr>
          </w:p>
          <w:p w:rsidR="003D4680" w:rsidRDefault="003D4680" w:rsidP="00C1679C">
            <w:pPr>
              <w:jc w:val="center"/>
              <w:rPr>
                <w:rFonts w:ascii="Palatino Linotype" w:hAnsi="Palatino Linotype" w:cs="Arial"/>
                <w:b/>
              </w:rPr>
            </w:pPr>
          </w:p>
          <w:p w:rsidR="003D4680" w:rsidRDefault="003D4680" w:rsidP="00C1679C">
            <w:pPr>
              <w:jc w:val="center"/>
              <w:rPr>
                <w:rFonts w:ascii="Palatino Linotype" w:hAnsi="Palatino Linotype" w:cs="Arial"/>
                <w:b/>
              </w:rPr>
            </w:pPr>
          </w:p>
          <w:p w:rsidR="00EB6EA4" w:rsidRPr="00C4501B" w:rsidRDefault="00EB6EA4" w:rsidP="00C1679C">
            <w:pPr>
              <w:jc w:val="center"/>
              <w:rPr>
                <w:rFonts w:ascii="Palatino Linotype" w:hAnsi="Palatino Linotype" w:cs="Arial"/>
                <w:b/>
              </w:rPr>
            </w:pPr>
            <w:r>
              <w:rPr>
                <w:rFonts w:ascii="Palatino Linotype" w:hAnsi="Palatino Linotype" w:cs="Arial"/>
                <w:b/>
              </w:rPr>
              <w:t>Zulema Martínez Sánchez</w:t>
            </w:r>
          </w:p>
          <w:p w:rsidR="00EB6EA4" w:rsidRPr="00C4501B" w:rsidRDefault="00EB6EA4" w:rsidP="00C1679C">
            <w:pPr>
              <w:jc w:val="center"/>
              <w:rPr>
                <w:rFonts w:ascii="Palatino Linotype" w:hAnsi="Palatino Linotype" w:cs="Arial"/>
                <w:b/>
              </w:rPr>
            </w:pPr>
            <w:r w:rsidRPr="00C4501B">
              <w:rPr>
                <w:rFonts w:ascii="Palatino Linotype" w:hAnsi="Palatino Linotype" w:cs="Arial"/>
              </w:rPr>
              <w:t>Comisionada Presidenta</w:t>
            </w:r>
          </w:p>
          <w:p w:rsidR="00EB6EA4" w:rsidRPr="00C4501B" w:rsidRDefault="00EB6EA4" w:rsidP="00C1679C">
            <w:pPr>
              <w:jc w:val="center"/>
              <w:rPr>
                <w:rFonts w:ascii="Palatino Linotype" w:hAnsi="Palatino Linotype" w:cs="Arial"/>
                <w:b/>
              </w:rPr>
            </w:pPr>
            <w:r w:rsidRPr="00C4501B">
              <w:rPr>
                <w:rFonts w:ascii="Palatino Linotype" w:hAnsi="Palatino Linotype" w:cs="Arial"/>
                <w:b/>
              </w:rPr>
              <w:t xml:space="preserve">(RÚBRICA) </w:t>
            </w:r>
          </w:p>
        </w:tc>
      </w:tr>
      <w:tr w:rsidR="00EB6EA4" w:rsidRPr="00C4501B" w:rsidTr="00C1679C">
        <w:trPr>
          <w:jc w:val="center"/>
        </w:trPr>
        <w:tc>
          <w:tcPr>
            <w:tcW w:w="5182" w:type="dxa"/>
            <w:shd w:val="clear" w:color="auto" w:fill="auto"/>
          </w:tcPr>
          <w:p w:rsidR="00F675FB" w:rsidRDefault="00F675FB" w:rsidP="00C1679C">
            <w:pPr>
              <w:jc w:val="center"/>
              <w:rPr>
                <w:rFonts w:ascii="Palatino Linotype" w:hAnsi="Palatino Linotype" w:cs="Arial"/>
                <w:b/>
              </w:rPr>
            </w:pPr>
          </w:p>
          <w:p w:rsidR="00F675FB" w:rsidRDefault="00F675FB" w:rsidP="00C1679C">
            <w:pPr>
              <w:jc w:val="center"/>
              <w:rPr>
                <w:rFonts w:ascii="Palatino Linotype" w:hAnsi="Palatino Linotype" w:cs="Arial"/>
                <w:b/>
              </w:rPr>
            </w:pPr>
          </w:p>
          <w:p w:rsidR="003D4680" w:rsidRDefault="003D4680" w:rsidP="00C1679C">
            <w:pPr>
              <w:jc w:val="center"/>
              <w:rPr>
                <w:rFonts w:ascii="Palatino Linotype" w:hAnsi="Palatino Linotype" w:cs="Arial"/>
                <w:b/>
              </w:rPr>
            </w:pPr>
          </w:p>
          <w:p w:rsidR="00EB6EA4" w:rsidRPr="00C4501B" w:rsidRDefault="00EB6EA4" w:rsidP="00C1679C">
            <w:pPr>
              <w:jc w:val="center"/>
              <w:rPr>
                <w:rFonts w:ascii="Palatino Linotype" w:hAnsi="Palatino Linotype" w:cs="Arial"/>
                <w:b/>
              </w:rPr>
            </w:pPr>
            <w:r w:rsidRPr="00C4501B">
              <w:rPr>
                <w:rFonts w:ascii="Palatino Linotype" w:hAnsi="Palatino Linotype" w:cs="Arial"/>
                <w:b/>
              </w:rPr>
              <w:t xml:space="preserve">Eva </w:t>
            </w:r>
            <w:proofErr w:type="spellStart"/>
            <w:r w:rsidRPr="00C4501B">
              <w:rPr>
                <w:rFonts w:ascii="Palatino Linotype" w:hAnsi="Palatino Linotype" w:cs="Arial"/>
                <w:b/>
              </w:rPr>
              <w:t>Abaid</w:t>
            </w:r>
            <w:proofErr w:type="spellEnd"/>
            <w:r w:rsidRPr="00C4501B">
              <w:rPr>
                <w:rFonts w:ascii="Palatino Linotype" w:hAnsi="Palatino Linotype" w:cs="Arial"/>
                <w:b/>
              </w:rPr>
              <w:t xml:space="preserve"> </w:t>
            </w:r>
            <w:proofErr w:type="spellStart"/>
            <w:r w:rsidRPr="00C4501B">
              <w:rPr>
                <w:rFonts w:ascii="Palatino Linotype" w:hAnsi="Palatino Linotype" w:cs="Arial"/>
                <w:b/>
              </w:rPr>
              <w:t>Yapur</w:t>
            </w:r>
            <w:proofErr w:type="spellEnd"/>
          </w:p>
          <w:p w:rsidR="00EB6EA4" w:rsidRPr="00C4501B" w:rsidRDefault="00EB6EA4" w:rsidP="00C1679C">
            <w:pPr>
              <w:jc w:val="center"/>
              <w:rPr>
                <w:rFonts w:ascii="Palatino Linotype" w:hAnsi="Palatino Linotype" w:cs="Arial"/>
              </w:rPr>
            </w:pPr>
            <w:r w:rsidRPr="00C4501B">
              <w:rPr>
                <w:rFonts w:ascii="Palatino Linotype" w:hAnsi="Palatino Linotype" w:cs="Arial"/>
              </w:rPr>
              <w:t>Comisionada</w:t>
            </w:r>
          </w:p>
          <w:p w:rsidR="00EB6EA4" w:rsidRPr="00C4501B" w:rsidRDefault="00EB6EA4" w:rsidP="00C1679C">
            <w:pPr>
              <w:jc w:val="center"/>
              <w:rPr>
                <w:rFonts w:ascii="Palatino Linotype" w:hAnsi="Palatino Linotype" w:cs="Arial"/>
                <w:b/>
              </w:rPr>
            </w:pPr>
            <w:r w:rsidRPr="00C4501B">
              <w:rPr>
                <w:rFonts w:ascii="Palatino Linotype" w:hAnsi="Palatino Linotype" w:cs="Arial"/>
                <w:b/>
              </w:rPr>
              <w:t>(RÚBRICA)</w:t>
            </w:r>
          </w:p>
        </w:tc>
        <w:tc>
          <w:tcPr>
            <w:tcW w:w="5183" w:type="dxa"/>
            <w:shd w:val="clear" w:color="auto" w:fill="auto"/>
          </w:tcPr>
          <w:p w:rsidR="00F675FB" w:rsidRDefault="00F675FB" w:rsidP="00C1679C">
            <w:pPr>
              <w:jc w:val="center"/>
              <w:rPr>
                <w:rFonts w:ascii="Palatino Linotype" w:hAnsi="Palatino Linotype" w:cs="Arial"/>
                <w:b/>
              </w:rPr>
            </w:pPr>
          </w:p>
          <w:p w:rsidR="00F675FB" w:rsidRDefault="00F675FB" w:rsidP="00C1679C">
            <w:pPr>
              <w:jc w:val="center"/>
              <w:rPr>
                <w:rFonts w:ascii="Palatino Linotype" w:hAnsi="Palatino Linotype" w:cs="Arial"/>
                <w:b/>
              </w:rPr>
            </w:pPr>
          </w:p>
          <w:p w:rsidR="003D4680" w:rsidRDefault="003D4680" w:rsidP="00C1679C">
            <w:pPr>
              <w:jc w:val="center"/>
              <w:rPr>
                <w:rFonts w:ascii="Palatino Linotype" w:hAnsi="Palatino Linotype" w:cs="Arial"/>
                <w:b/>
              </w:rPr>
            </w:pPr>
          </w:p>
          <w:p w:rsidR="00EB6EA4" w:rsidRPr="00C4501B" w:rsidRDefault="00EB6EA4" w:rsidP="00C1679C">
            <w:pPr>
              <w:jc w:val="center"/>
              <w:rPr>
                <w:rFonts w:ascii="Palatino Linotype" w:hAnsi="Palatino Linotype" w:cs="Arial"/>
                <w:b/>
              </w:rPr>
            </w:pPr>
            <w:r w:rsidRPr="00C4501B">
              <w:rPr>
                <w:rFonts w:ascii="Palatino Linotype" w:hAnsi="Palatino Linotype" w:cs="Arial"/>
                <w:b/>
              </w:rPr>
              <w:t>José Guadalupe Luna Hernández</w:t>
            </w:r>
          </w:p>
          <w:p w:rsidR="00EB6EA4" w:rsidRPr="00C4501B" w:rsidRDefault="00EB6EA4" w:rsidP="00C1679C">
            <w:pPr>
              <w:jc w:val="center"/>
              <w:rPr>
                <w:rFonts w:ascii="Palatino Linotype" w:hAnsi="Palatino Linotype" w:cs="Arial"/>
              </w:rPr>
            </w:pPr>
            <w:r w:rsidRPr="00C4501B">
              <w:rPr>
                <w:rFonts w:ascii="Palatino Linotype" w:hAnsi="Palatino Linotype" w:cs="Arial"/>
              </w:rPr>
              <w:t>Comisionado</w:t>
            </w:r>
          </w:p>
          <w:p w:rsidR="00EB6EA4" w:rsidRPr="00C4501B" w:rsidRDefault="00EB6EA4" w:rsidP="00C1679C">
            <w:pPr>
              <w:jc w:val="center"/>
              <w:rPr>
                <w:rFonts w:ascii="Palatino Linotype" w:hAnsi="Palatino Linotype" w:cs="Arial"/>
                <w:b/>
              </w:rPr>
            </w:pPr>
            <w:r w:rsidRPr="00C4501B">
              <w:rPr>
                <w:rFonts w:ascii="Palatino Linotype" w:hAnsi="Palatino Linotype" w:cs="Arial"/>
                <w:b/>
              </w:rPr>
              <w:t>(RÚBRICA)</w:t>
            </w:r>
          </w:p>
        </w:tc>
      </w:tr>
      <w:tr w:rsidR="00EB6EA4" w:rsidRPr="00C4501B" w:rsidTr="00C1679C">
        <w:trPr>
          <w:jc w:val="center"/>
        </w:trPr>
        <w:tc>
          <w:tcPr>
            <w:tcW w:w="5182" w:type="dxa"/>
            <w:shd w:val="clear" w:color="auto" w:fill="auto"/>
          </w:tcPr>
          <w:p w:rsidR="00EB6EA4" w:rsidRDefault="00EB6EA4" w:rsidP="00C1679C">
            <w:pPr>
              <w:jc w:val="center"/>
              <w:rPr>
                <w:rFonts w:ascii="Palatino Linotype" w:hAnsi="Palatino Linotype" w:cs="Arial"/>
                <w:b/>
              </w:rPr>
            </w:pPr>
          </w:p>
          <w:p w:rsidR="00F675FB" w:rsidRDefault="00F675FB" w:rsidP="00C1679C">
            <w:pPr>
              <w:jc w:val="center"/>
              <w:rPr>
                <w:rFonts w:ascii="Palatino Linotype" w:hAnsi="Palatino Linotype" w:cs="Arial"/>
                <w:b/>
              </w:rPr>
            </w:pPr>
          </w:p>
          <w:p w:rsidR="00F675FB" w:rsidRDefault="00F675FB" w:rsidP="00C1679C">
            <w:pPr>
              <w:jc w:val="center"/>
              <w:rPr>
                <w:rFonts w:ascii="Palatino Linotype" w:hAnsi="Palatino Linotype" w:cs="Arial"/>
                <w:b/>
              </w:rPr>
            </w:pPr>
          </w:p>
          <w:p w:rsidR="00EB6EA4" w:rsidRPr="00C4501B" w:rsidRDefault="00EB6EA4" w:rsidP="00C1679C">
            <w:pPr>
              <w:jc w:val="center"/>
              <w:rPr>
                <w:rFonts w:ascii="Palatino Linotype" w:hAnsi="Palatino Linotype" w:cs="Arial"/>
                <w:b/>
              </w:rPr>
            </w:pPr>
            <w:r w:rsidRPr="00C4501B">
              <w:rPr>
                <w:rFonts w:ascii="Palatino Linotype" w:hAnsi="Palatino Linotype" w:cs="Arial"/>
                <w:b/>
              </w:rPr>
              <w:t>Javier Martínez Cruz</w:t>
            </w:r>
          </w:p>
          <w:p w:rsidR="00EB6EA4" w:rsidRPr="00C4501B" w:rsidRDefault="00EB6EA4" w:rsidP="00C1679C">
            <w:pPr>
              <w:jc w:val="center"/>
              <w:rPr>
                <w:rFonts w:ascii="Palatino Linotype" w:hAnsi="Palatino Linotype" w:cs="Arial"/>
              </w:rPr>
            </w:pPr>
            <w:r w:rsidRPr="00C4501B">
              <w:rPr>
                <w:rFonts w:ascii="Palatino Linotype" w:hAnsi="Palatino Linotype" w:cs="Arial"/>
              </w:rPr>
              <w:t>Comisionado</w:t>
            </w:r>
          </w:p>
          <w:p w:rsidR="00EB6EA4" w:rsidRPr="00C4501B" w:rsidRDefault="00EB6EA4" w:rsidP="00C1679C">
            <w:pPr>
              <w:jc w:val="center"/>
              <w:rPr>
                <w:rFonts w:ascii="Palatino Linotype" w:hAnsi="Palatino Linotype" w:cs="Arial"/>
                <w:b/>
              </w:rPr>
            </w:pPr>
            <w:r w:rsidRPr="00C4501B">
              <w:rPr>
                <w:rFonts w:ascii="Palatino Linotype" w:hAnsi="Palatino Linotype" w:cs="Arial"/>
                <w:b/>
              </w:rPr>
              <w:t>(RÚBRICA)</w:t>
            </w:r>
          </w:p>
          <w:p w:rsidR="00EB6EA4" w:rsidRPr="00C4501B" w:rsidRDefault="00EB6EA4" w:rsidP="00C1679C">
            <w:pPr>
              <w:jc w:val="center"/>
              <w:rPr>
                <w:rFonts w:ascii="Palatino Linotype" w:hAnsi="Palatino Linotype" w:cs="Arial"/>
                <w:b/>
              </w:rPr>
            </w:pPr>
          </w:p>
        </w:tc>
        <w:tc>
          <w:tcPr>
            <w:tcW w:w="5183" w:type="dxa"/>
            <w:shd w:val="clear" w:color="auto" w:fill="auto"/>
          </w:tcPr>
          <w:p w:rsidR="00EB6EA4" w:rsidRDefault="00EB6EA4" w:rsidP="00C1679C">
            <w:pPr>
              <w:jc w:val="center"/>
              <w:rPr>
                <w:rFonts w:ascii="Palatino Linotype" w:hAnsi="Palatino Linotype" w:cs="Arial"/>
                <w:b/>
              </w:rPr>
            </w:pPr>
          </w:p>
          <w:p w:rsidR="00F675FB" w:rsidRDefault="00F675FB" w:rsidP="00C1679C">
            <w:pPr>
              <w:jc w:val="center"/>
              <w:rPr>
                <w:rFonts w:ascii="Palatino Linotype" w:hAnsi="Palatino Linotype" w:cs="Arial"/>
                <w:b/>
              </w:rPr>
            </w:pPr>
          </w:p>
          <w:p w:rsidR="00F675FB" w:rsidRDefault="00F675FB" w:rsidP="00C1679C">
            <w:pPr>
              <w:jc w:val="center"/>
              <w:rPr>
                <w:rFonts w:ascii="Palatino Linotype" w:hAnsi="Palatino Linotype" w:cs="Arial"/>
                <w:b/>
              </w:rPr>
            </w:pPr>
          </w:p>
          <w:p w:rsidR="00EB6EA4" w:rsidRDefault="00EB6EA4" w:rsidP="00C1679C">
            <w:pPr>
              <w:jc w:val="center"/>
              <w:rPr>
                <w:rFonts w:ascii="Palatino Linotype" w:hAnsi="Palatino Linotype" w:cs="Arial"/>
                <w:b/>
              </w:rPr>
            </w:pPr>
            <w:r w:rsidRPr="00E87E5F">
              <w:rPr>
                <w:rFonts w:ascii="Palatino Linotype" w:hAnsi="Palatino Linotype" w:cs="Arial"/>
                <w:b/>
              </w:rPr>
              <w:t xml:space="preserve">Luis Gustavo Parra Noriega </w:t>
            </w:r>
          </w:p>
          <w:p w:rsidR="00EB6EA4" w:rsidRPr="00C4501B" w:rsidRDefault="00EB6EA4" w:rsidP="00C1679C">
            <w:pPr>
              <w:jc w:val="center"/>
              <w:rPr>
                <w:rFonts w:ascii="Palatino Linotype" w:hAnsi="Palatino Linotype" w:cs="Arial"/>
              </w:rPr>
            </w:pPr>
            <w:r w:rsidRPr="00C4501B">
              <w:rPr>
                <w:rFonts w:ascii="Palatino Linotype" w:hAnsi="Palatino Linotype" w:cs="Arial"/>
              </w:rPr>
              <w:t>Comisionado</w:t>
            </w:r>
          </w:p>
          <w:p w:rsidR="00EB6EA4" w:rsidRPr="00C4501B" w:rsidRDefault="00EB6EA4" w:rsidP="00C1679C">
            <w:pPr>
              <w:jc w:val="center"/>
              <w:rPr>
                <w:rFonts w:ascii="Palatino Linotype" w:hAnsi="Palatino Linotype" w:cs="Arial"/>
                <w:b/>
              </w:rPr>
            </w:pPr>
            <w:r w:rsidRPr="00C4501B">
              <w:rPr>
                <w:rFonts w:ascii="Palatino Linotype" w:hAnsi="Palatino Linotype" w:cs="Arial"/>
                <w:b/>
              </w:rPr>
              <w:t>(RÚBRICA)</w:t>
            </w:r>
          </w:p>
          <w:p w:rsidR="00EB6EA4" w:rsidRPr="00C4501B" w:rsidRDefault="00EB6EA4" w:rsidP="00C1679C">
            <w:pPr>
              <w:rPr>
                <w:rFonts w:ascii="Palatino Linotype" w:hAnsi="Palatino Linotype" w:cs="Arial"/>
                <w:b/>
              </w:rPr>
            </w:pPr>
          </w:p>
        </w:tc>
      </w:tr>
      <w:tr w:rsidR="00EB6EA4" w:rsidRPr="00C4501B" w:rsidTr="00C1679C">
        <w:trPr>
          <w:jc w:val="center"/>
        </w:trPr>
        <w:tc>
          <w:tcPr>
            <w:tcW w:w="10365" w:type="dxa"/>
            <w:gridSpan w:val="2"/>
            <w:shd w:val="clear" w:color="auto" w:fill="auto"/>
          </w:tcPr>
          <w:p w:rsidR="00F675FB" w:rsidRDefault="00F675FB" w:rsidP="00C1679C">
            <w:pPr>
              <w:jc w:val="center"/>
              <w:rPr>
                <w:rFonts w:ascii="Palatino Linotype" w:hAnsi="Palatino Linotype" w:cs="Arial"/>
                <w:b/>
              </w:rPr>
            </w:pPr>
          </w:p>
          <w:p w:rsidR="003D4680" w:rsidRDefault="003D4680" w:rsidP="00C1679C">
            <w:pPr>
              <w:jc w:val="center"/>
              <w:rPr>
                <w:rFonts w:ascii="Palatino Linotype" w:hAnsi="Palatino Linotype" w:cs="Arial"/>
                <w:b/>
              </w:rPr>
            </w:pPr>
          </w:p>
          <w:p w:rsidR="003D4680" w:rsidRDefault="003D4680" w:rsidP="00C1679C">
            <w:pPr>
              <w:jc w:val="center"/>
              <w:rPr>
                <w:rFonts w:ascii="Palatino Linotype" w:hAnsi="Palatino Linotype" w:cs="Arial"/>
                <w:b/>
              </w:rPr>
            </w:pPr>
          </w:p>
          <w:p w:rsidR="00EB6EA4" w:rsidRPr="00C4501B" w:rsidRDefault="00EB6EA4" w:rsidP="00C1679C">
            <w:pPr>
              <w:jc w:val="center"/>
              <w:rPr>
                <w:rFonts w:ascii="Palatino Linotype" w:hAnsi="Palatino Linotype" w:cs="Arial"/>
                <w:b/>
              </w:rPr>
            </w:pPr>
            <w:r>
              <w:rPr>
                <w:rFonts w:ascii="Palatino Linotype" w:hAnsi="Palatino Linotype" w:cs="Arial"/>
                <w:b/>
              </w:rPr>
              <w:t>Alexis Tapia Ramírez</w:t>
            </w:r>
          </w:p>
          <w:p w:rsidR="00EB6EA4" w:rsidRPr="00C4501B" w:rsidRDefault="00EB6EA4" w:rsidP="00C1679C">
            <w:pPr>
              <w:jc w:val="center"/>
              <w:rPr>
                <w:rFonts w:ascii="Palatino Linotype" w:hAnsi="Palatino Linotype" w:cs="Arial"/>
              </w:rPr>
            </w:pPr>
            <w:r w:rsidRPr="00C4501B">
              <w:rPr>
                <w:rFonts w:ascii="Palatino Linotype" w:hAnsi="Palatino Linotype" w:cs="Arial"/>
              </w:rPr>
              <w:t>Secretari</w:t>
            </w:r>
            <w:r>
              <w:rPr>
                <w:rFonts w:ascii="Palatino Linotype" w:hAnsi="Palatino Linotype" w:cs="Arial"/>
              </w:rPr>
              <w:t>o</w:t>
            </w:r>
            <w:r w:rsidRPr="00C4501B">
              <w:rPr>
                <w:rFonts w:ascii="Palatino Linotype" w:hAnsi="Palatino Linotype" w:cs="Arial"/>
              </w:rPr>
              <w:t xml:space="preserve"> Técnic</w:t>
            </w:r>
            <w:r>
              <w:rPr>
                <w:rFonts w:ascii="Palatino Linotype" w:hAnsi="Palatino Linotype" w:cs="Arial"/>
              </w:rPr>
              <w:t>o</w:t>
            </w:r>
            <w:r w:rsidRPr="00C4501B">
              <w:rPr>
                <w:rFonts w:ascii="Palatino Linotype" w:hAnsi="Palatino Linotype" w:cs="Arial"/>
              </w:rPr>
              <w:t xml:space="preserve"> del Pleno</w:t>
            </w:r>
          </w:p>
          <w:p w:rsidR="00EB6EA4" w:rsidRPr="00B54917" w:rsidRDefault="00EB6EA4" w:rsidP="00C1679C">
            <w:pPr>
              <w:jc w:val="center"/>
              <w:rPr>
                <w:rFonts w:ascii="Palatino Linotype" w:hAnsi="Palatino Linotype" w:cs="Arial"/>
                <w:b/>
              </w:rPr>
            </w:pPr>
            <w:r>
              <w:rPr>
                <w:rFonts w:ascii="Palatino Linotype" w:hAnsi="Palatino Linotype" w:cs="Arial"/>
                <w:b/>
              </w:rPr>
              <w:t>(RÚBRICA)</w:t>
            </w:r>
          </w:p>
        </w:tc>
      </w:tr>
    </w:tbl>
    <w:p w:rsidR="006C2485" w:rsidRDefault="006C2485" w:rsidP="00EB6EA4">
      <w:pPr>
        <w:jc w:val="both"/>
        <w:rPr>
          <w:rFonts w:ascii="Palatino Linotype" w:hAnsi="Palatino Linotype" w:cs="Arial"/>
          <w:sz w:val="20"/>
          <w:szCs w:val="20"/>
        </w:rPr>
      </w:pPr>
    </w:p>
    <w:p w:rsidR="00EB6EA4" w:rsidRPr="00047008" w:rsidRDefault="00EB6EA4" w:rsidP="00EB6EA4">
      <w:pPr>
        <w:jc w:val="both"/>
        <w:rPr>
          <w:rFonts w:ascii="Palatino Linotype" w:hAnsi="Palatino Linotype" w:cs="Arial"/>
          <w:sz w:val="20"/>
          <w:szCs w:val="20"/>
        </w:rPr>
      </w:pPr>
      <w:r w:rsidRPr="00047008">
        <w:rPr>
          <w:rFonts w:ascii="Palatino Linotype" w:hAnsi="Palatino Linotype" w:cs="Arial"/>
          <w:sz w:val="20"/>
          <w:szCs w:val="20"/>
        </w:rPr>
        <w:t xml:space="preserve">Esta hoja corresponde a la resolución de fecha </w:t>
      </w:r>
      <w:r w:rsidR="00F675FB">
        <w:rPr>
          <w:rFonts w:ascii="Palatino Linotype" w:hAnsi="Palatino Linotype" w:cs="Arial"/>
          <w:sz w:val="20"/>
          <w:szCs w:val="20"/>
        </w:rPr>
        <w:t xml:space="preserve">diecinueve de septiembre de </w:t>
      </w:r>
      <w:r w:rsidRPr="00047008">
        <w:rPr>
          <w:rFonts w:ascii="Palatino Linotype" w:hAnsi="Palatino Linotype" w:cs="Arial"/>
          <w:sz w:val="20"/>
          <w:szCs w:val="20"/>
        </w:rPr>
        <w:t>dos mil diecinueve, emitida en el</w:t>
      </w:r>
      <w:r w:rsidR="00F675FB">
        <w:rPr>
          <w:rFonts w:ascii="Palatino Linotype" w:hAnsi="Palatino Linotype" w:cs="Arial"/>
          <w:sz w:val="20"/>
          <w:szCs w:val="20"/>
        </w:rPr>
        <w:t xml:space="preserve"> recurso de revisión número 06522</w:t>
      </w:r>
      <w:r w:rsidRPr="00047008">
        <w:rPr>
          <w:rFonts w:ascii="Palatino Linotype" w:hAnsi="Palatino Linotype" w:cs="Arial"/>
          <w:sz w:val="20"/>
          <w:szCs w:val="20"/>
        </w:rPr>
        <w:t xml:space="preserve">/INFOEM/IP/RR/2019. </w:t>
      </w:r>
    </w:p>
    <w:p w:rsidR="00C23B43" w:rsidRPr="00F675FB" w:rsidRDefault="00EB6EA4" w:rsidP="00F675FB">
      <w:pPr>
        <w:jc w:val="both"/>
        <w:rPr>
          <w:rFonts w:ascii="Palatino Linotype" w:hAnsi="Palatino Linotype"/>
          <w:sz w:val="20"/>
          <w:szCs w:val="20"/>
        </w:rPr>
      </w:pPr>
      <w:r w:rsidRPr="00047008">
        <w:rPr>
          <w:rFonts w:ascii="Palatino Linotype" w:hAnsi="Palatino Linotype" w:cs="Arial"/>
          <w:sz w:val="20"/>
          <w:szCs w:val="20"/>
        </w:rPr>
        <w:t>YSM/AMV</w:t>
      </w:r>
    </w:p>
    <w:sectPr w:rsidR="00C23B43" w:rsidRPr="00F675FB" w:rsidSect="005067A7">
      <w:headerReference w:type="default" r:id="rId30"/>
      <w:footerReference w:type="default" r:id="rId31"/>
      <w:headerReference w:type="first" r:id="rId32"/>
      <w:footerReference w:type="first" r:id="rId33"/>
      <w:pgSz w:w="12240" w:h="15840"/>
      <w:pgMar w:top="1418" w:right="1418" w:bottom="1418" w:left="1701" w:header="709" w:footer="10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853A2" w:rsidRDefault="00D853A2" w:rsidP="00EB6EA4">
      <w:r>
        <w:separator/>
      </w:r>
    </w:p>
  </w:endnote>
  <w:endnote w:type="continuationSeparator" w:id="0">
    <w:p w:rsidR="00D853A2" w:rsidRDefault="00D853A2" w:rsidP="00EB6E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Bookman Old Style,Bold">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67A7" w:rsidRPr="00A2780F" w:rsidRDefault="00FA28C0" w:rsidP="005067A7">
    <w:pPr>
      <w:pStyle w:val="Piedepgina"/>
      <w:jc w:val="right"/>
      <w:rPr>
        <w:rFonts w:ascii="Arial" w:hAnsi="Arial" w:cs="Arial"/>
        <w:sz w:val="20"/>
        <w:szCs w:val="20"/>
      </w:rPr>
    </w:pPr>
    <w:r>
      <w:rPr>
        <w:rFonts w:ascii="Arial" w:hAnsi="Arial" w:cs="Arial"/>
        <w:b/>
        <w:bCs/>
        <w:sz w:val="20"/>
        <w:szCs w:val="20"/>
      </w:rPr>
      <w:t xml:space="preserve">Página </w:t>
    </w:r>
    <w:r w:rsidRPr="00986599">
      <w:rPr>
        <w:rFonts w:ascii="Arial" w:hAnsi="Arial" w:cs="Arial"/>
        <w:b/>
        <w:bCs/>
        <w:sz w:val="20"/>
        <w:szCs w:val="20"/>
      </w:rPr>
      <w:fldChar w:fldCharType="begin"/>
    </w:r>
    <w:r w:rsidRPr="00986599">
      <w:rPr>
        <w:rFonts w:ascii="Arial" w:hAnsi="Arial" w:cs="Arial"/>
        <w:b/>
        <w:bCs/>
        <w:sz w:val="20"/>
        <w:szCs w:val="20"/>
      </w:rPr>
      <w:instrText>PAGE</w:instrText>
    </w:r>
    <w:r w:rsidRPr="00986599">
      <w:rPr>
        <w:rFonts w:ascii="Arial" w:hAnsi="Arial" w:cs="Arial"/>
        <w:b/>
        <w:bCs/>
        <w:sz w:val="20"/>
        <w:szCs w:val="20"/>
      </w:rPr>
      <w:fldChar w:fldCharType="separate"/>
    </w:r>
    <w:r w:rsidR="00792570">
      <w:rPr>
        <w:rFonts w:ascii="Arial" w:hAnsi="Arial" w:cs="Arial"/>
        <w:b/>
        <w:bCs/>
        <w:noProof/>
        <w:sz w:val="20"/>
        <w:szCs w:val="20"/>
      </w:rPr>
      <w:t>15</w:t>
    </w:r>
    <w:r w:rsidRPr="00986599">
      <w:rPr>
        <w:rFonts w:ascii="Arial" w:hAnsi="Arial" w:cs="Arial"/>
        <w:b/>
        <w:bCs/>
        <w:sz w:val="20"/>
        <w:szCs w:val="20"/>
      </w:rPr>
      <w:fldChar w:fldCharType="end"/>
    </w:r>
    <w:r w:rsidRPr="00986599">
      <w:rPr>
        <w:rFonts w:ascii="Arial" w:hAnsi="Arial" w:cs="Arial"/>
        <w:sz w:val="20"/>
        <w:szCs w:val="20"/>
      </w:rPr>
      <w:t xml:space="preserve"> de </w:t>
    </w:r>
    <w:r w:rsidRPr="00986599">
      <w:rPr>
        <w:rFonts w:ascii="Arial" w:hAnsi="Arial" w:cs="Arial"/>
        <w:b/>
        <w:bCs/>
        <w:sz w:val="20"/>
        <w:szCs w:val="20"/>
      </w:rPr>
      <w:fldChar w:fldCharType="begin"/>
    </w:r>
    <w:r w:rsidRPr="00986599">
      <w:rPr>
        <w:rFonts w:ascii="Arial" w:hAnsi="Arial" w:cs="Arial"/>
        <w:b/>
        <w:bCs/>
        <w:sz w:val="20"/>
        <w:szCs w:val="20"/>
      </w:rPr>
      <w:instrText>NUMPAGES</w:instrText>
    </w:r>
    <w:r w:rsidRPr="00986599">
      <w:rPr>
        <w:rFonts w:ascii="Arial" w:hAnsi="Arial" w:cs="Arial"/>
        <w:b/>
        <w:bCs/>
        <w:sz w:val="20"/>
        <w:szCs w:val="20"/>
      </w:rPr>
      <w:fldChar w:fldCharType="separate"/>
    </w:r>
    <w:r w:rsidR="00792570">
      <w:rPr>
        <w:rFonts w:ascii="Arial" w:hAnsi="Arial" w:cs="Arial"/>
        <w:b/>
        <w:bCs/>
        <w:noProof/>
        <w:sz w:val="20"/>
        <w:szCs w:val="20"/>
      </w:rPr>
      <w:t>26</w:t>
    </w:r>
    <w:r w:rsidRPr="00986599">
      <w:rPr>
        <w:rFonts w:ascii="Arial" w:hAnsi="Arial" w:cs="Arial"/>
        <w:b/>
        <w:bCs/>
        <w:sz w:val="20"/>
        <w:szCs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67A7" w:rsidRPr="00070856" w:rsidRDefault="00FA28C0" w:rsidP="005067A7">
    <w:pPr>
      <w:pStyle w:val="Piedepgina"/>
      <w:jc w:val="right"/>
      <w:rPr>
        <w:rFonts w:ascii="Arial" w:hAnsi="Arial" w:cs="Arial"/>
        <w:sz w:val="20"/>
        <w:szCs w:val="20"/>
      </w:rPr>
    </w:pPr>
    <w:r>
      <w:rPr>
        <w:rFonts w:ascii="Arial" w:hAnsi="Arial" w:cs="Arial"/>
        <w:b/>
        <w:bCs/>
        <w:sz w:val="20"/>
        <w:szCs w:val="20"/>
      </w:rPr>
      <w:t xml:space="preserve">Página </w:t>
    </w:r>
    <w:r w:rsidRPr="00986599">
      <w:rPr>
        <w:rFonts w:ascii="Arial" w:hAnsi="Arial" w:cs="Arial"/>
        <w:b/>
        <w:bCs/>
        <w:sz w:val="20"/>
        <w:szCs w:val="20"/>
      </w:rPr>
      <w:fldChar w:fldCharType="begin"/>
    </w:r>
    <w:r w:rsidRPr="00986599">
      <w:rPr>
        <w:rFonts w:ascii="Arial" w:hAnsi="Arial" w:cs="Arial"/>
        <w:b/>
        <w:bCs/>
        <w:sz w:val="20"/>
        <w:szCs w:val="20"/>
      </w:rPr>
      <w:instrText>PAGE</w:instrText>
    </w:r>
    <w:r w:rsidRPr="00986599">
      <w:rPr>
        <w:rFonts w:ascii="Arial" w:hAnsi="Arial" w:cs="Arial"/>
        <w:b/>
        <w:bCs/>
        <w:sz w:val="20"/>
        <w:szCs w:val="20"/>
      </w:rPr>
      <w:fldChar w:fldCharType="separate"/>
    </w:r>
    <w:r w:rsidR="00792570">
      <w:rPr>
        <w:rFonts w:ascii="Arial" w:hAnsi="Arial" w:cs="Arial"/>
        <w:b/>
        <w:bCs/>
        <w:noProof/>
        <w:sz w:val="20"/>
        <w:szCs w:val="20"/>
      </w:rPr>
      <w:t>1</w:t>
    </w:r>
    <w:r w:rsidRPr="00986599">
      <w:rPr>
        <w:rFonts w:ascii="Arial" w:hAnsi="Arial" w:cs="Arial"/>
        <w:b/>
        <w:bCs/>
        <w:sz w:val="20"/>
        <w:szCs w:val="20"/>
      </w:rPr>
      <w:fldChar w:fldCharType="end"/>
    </w:r>
    <w:r w:rsidRPr="00986599">
      <w:rPr>
        <w:rFonts w:ascii="Arial" w:hAnsi="Arial" w:cs="Arial"/>
        <w:sz w:val="20"/>
        <w:szCs w:val="20"/>
      </w:rPr>
      <w:t xml:space="preserve"> de </w:t>
    </w:r>
    <w:r w:rsidRPr="00986599">
      <w:rPr>
        <w:rFonts w:ascii="Arial" w:hAnsi="Arial" w:cs="Arial"/>
        <w:b/>
        <w:bCs/>
        <w:sz w:val="20"/>
        <w:szCs w:val="20"/>
      </w:rPr>
      <w:fldChar w:fldCharType="begin"/>
    </w:r>
    <w:r w:rsidRPr="00986599">
      <w:rPr>
        <w:rFonts w:ascii="Arial" w:hAnsi="Arial" w:cs="Arial"/>
        <w:b/>
        <w:bCs/>
        <w:sz w:val="20"/>
        <w:szCs w:val="20"/>
      </w:rPr>
      <w:instrText>NUMPAGES</w:instrText>
    </w:r>
    <w:r w:rsidRPr="00986599">
      <w:rPr>
        <w:rFonts w:ascii="Arial" w:hAnsi="Arial" w:cs="Arial"/>
        <w:b/>
        <w:bCs/>
        <w:sz w:val="20"/>
        <w:szCs w:val="20"/>
      </w:rPr>
      <w:fldChar w:fldCharType="separate"/>
    </w:r>
    <w:r w:rsidR="00792570">
      <w:rPr>
        <w:rFonts w:ascii="Arial" w:hAnsi="Arial" w:cs="Arial"/>
        <w:b/>
        <w:bCs/>
        <w:noProof/>
        <w:sz w:val="20"/>
        <w:szCs w:val="20"/>
      </w:rPr>
      <w:t>26</w:t>
    </w:r>
    <w:r w:rsidRPr="00986599">
      <w:rPr>
        <w:rFonts w:ascii="Arial" w:hAnsi="Arial" w:cs="Arial"/>
        <w:b/>
        <w:bCs/>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853A2" w:rsidRDefault="00D853A2" w:rsidP="00EB6EA4">
      <w:r>
        <w:separator/>
      </w:r>
    </w:p>
  </w:footnote>
  <w:footnote w:type="continuationSeparator" w:id="0">
    <w:p w:rsidR="00D853A2" w:rsidRDefault="00D853A2" w:rsidP="00EB6EA4">
      <w:r>
        <w:continuationSeparator/>
      </w:r>
    </w:p>
  </w:footnote>
  <w:footnote w:id="1">
    <w:p w:rsidR="00E957A2" w:rsidRPr="00E957A2" w:rsidRDefault="00E957A2" w:rsidP="00E957A2">
      <w:pPr>
        <w:pStyle w:val="Textonotapie"/>
        <w:jc w:val="both"/>
        <w:rPr>
          <w:rFonts w:ascii="Palatino Linotype" w:hAnsi="Palatino Linotype"/>
          <w:sz w:val="16"/>
          <w:szCs w:val="16"/>
        </w:rPr>
      </w:pPr>
      <w:r>
        <w:rPr>
          <w:rStyle w:val="Refdenotaalpie"/>
        </w:rPr>
        <w:footnoteRef/>
      </w:r>
      <w:r>
        <w:t xml:space="preserve"> </w:t>
      </w:r>
      <w:r w:rsidRPr="00E957A2">
        <w:rPr>
          <w:rFonts w:ascii="Palatino Linotype" w:hAnsi="Palatino Linotype"/>
          <w:sz w:val="16"/>
          <w:szCs w:val="16"/>
        </w:rPr>
        <w:t>Derechos de Acceso, Rectificación, Cancelación y Oposición.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356" w:type="dxa"/>
      <w:tblInd w:w="-142" w:type="dxa"/>
      <w:tblLayout w:type="fixed"/>
      <w:tblLook w:val="04A0" w:firstRow="1" w:lastRow="0" w:firstColumn="1" w:lastColumn="0" w:noHBand="0" w:noVBand="1"/>
    </w:tblPr>
    <w:tblGrid>
      <w:gridCol w:w="3544"/>
      <w:gridCol w:w="2556"/>
      <w:gridCol w:w="3256"/>
    </w:tblGrid>
    <w:tr w:rsidR="005067A7" w:rsidRPr="008F2CCC" w:rsidTr="00EB6EA4">
      <w:tc>
        <w:tcPr>
          <w:tcW w:w="3544" w:type="dxa"/>
        </w:tcPr>
        <w:p w:rsidR="005067A7" w:rsidRPr="008F2CCC" w:rsidRDefault="00792570" w:rsidP="005067A7">
          <w:pPr>
            <w:rPr>
              <w:rFonts w:ascii="Palatino Linotype" w:hAnsi="Palatino Linotype"/>
              <w:b/>
              <w:sz w:val="22"/>
              <w:szCs w:val="22"/>
              <w:lang w:val="es-ES_tradnl"/>
            </w:rPr>
          </w:pPr>
        </w:p>
      </w:tc>
      <w:tc>
        <w:tcPr>
          <w:tcW w:w="2556" w:type="dxa"/>
          <w:shd w:val="clear" w:color="auto" w:fill="auto"/>
        </w:tcPr>
        <w:p w:rsidR="005067A7" w:rsidRPr="00664658" w:rsidRDefault="00FA28C0" w:rsidP="005067A7">
          <w:pPr>
            <w:rPr>
              <w:rFonts w:ascii="Palatino Linotype" w:hAnsi="Palatino Linotype"/>
              <w:b/>
              <w:sz w:val="22"/>
              <w:szCs w:val="22"/>
              <w:lang w:val="es-ES_tradnl"/>
            </w:rPr>
          </w:pPr>
          <w:r w:rsidRPr="00664658">
            <w:rPr>
              <w:rFonts w:ascii="Palatino Linotype" w:hAnsi="Palatino Linotype"/>
              <w:b/>
              <w:sz w:val="22"/>
              <w:szCs w:val="22"/>
              <w:lang w:val="es-ES_tradnl"/>
            </w:rPr>
            <w:t>Recurso de revisión:</w:t>
          </w:r>
        </w:p>
      </w:tc>
      <w:tc>
        <w:tcPr>
          <w:tcW w:w="3256" w:type="dxa"/>
          <w:shd w:val="clear" w:color="auto" w:fill="auto"/>
          <w:vAlign w:val="center"/>
        </w:tcPr>
        <w:p w:rsidR="005067A7" w:rsidRPr="00664658" w:rsidRDefault="00FA28C0" w:rsidP="005067A7">
          <w:pPr>
            <w:jc w:val="both"/>
            <w:rPr>
              <w:rFonts w:ascii="Palatino Linotype" w:hAnsi="Palatino Linotype"/>
              <w:b/>
              <w:sz w:val="22"/>
              <w:szCs w:val="22"/>
              <w:lang w:val="es-ES_tradnl"/>
            </w:rPr>
          </w:pPr>
          <w:r w:rsidRPr="00C4501B">
            <w:rPr>
              <w:rFonts w:ascii="Palatino Linotype" w:hAnsi="Palatino Linotype"/>
              <w:b/>
              <w:sz w:val="22"/>
              <w:szCs w:val="22"/>
              <w:lang w:val="es-ES_tradnl"/>
            </w:rPr>
            <w:t>0</w:t>
          </w:r>
          <w:r w:rsidR="00EB6EA4">
            <w:rPr>
              <w:rFonts w:ascii="Palatino Linotype" w:hAnsi="Palatino Linotype"/>
              <w:b/>
              <w:sz w:val="22"/>
              <w:szCs w:val="22"/>
              <w:lang w:val="es-ES_tradnl"/>
            </w:rPr>
            <w:t>6522</w:t>
          </w:r>
          <w:r>
            <w:rPr>
              <w:rFonts w:ascii="Palatino Linotype" w:hAnsi="Palatino Linotype"/>
              <w:b/>
              <w:sz w:val="22"/>
              <w:szCs w:val="22"/>
              <w:lang w:val="es-ES_tradnl"/>
            </w:rPr>
            <w:t>/INFOEM/IP/RR/2019</w:t>
          </w:r>
        </w:p>
      </w:tc>
    </w:tr>
    <w:tr w:rsidR="005067A7" w:rsidRPr="008F2CCC" w:rsidTr="00EB6EA4">
      <w:tc>
        <w:tcPr>
          <w:tcW w:w="3544" w:type="dxa"/>
        </w:tcPr>
        <w:p w:rsidR="005067A7" w:rsidRPr="008F2CCC" w:rsidRDefault="00792570" w:rsidP="005067A7">
          <w:pPr>
            <w:rPr>
              <w:rFonts w:ascii="Palatino Linotype" w:hAnsi="Palatino Linotype"/>
              <w:b/>
              <w:sz w:val="22"/>
              <w:szCs w:val="22"/>
              <w:lang w:val="es-ES_tradnl"/>
            </w:rPr>
          </w:pPr>
        </w:p>
      </w:tc>
      <w:tc>
        <w:tcPr>
          <w:tcW w:w="2556" w:type="dxa"/>
          <w:shd w:val="clear" w:color="auto" w:fill="auto"/>
        </w:tcPr>
        <w:p w:rsidR="005067A7" w:rsidRPr="00664658" w:rsidRDefault="00FA28C0" w:rsidP="005067A7">
          <w:pPr>
            <w:rPr>
              <w:rFonts w:ascii="Palatino Linotype" w:hAnsi="Palatino Linotype"/>
              <w:b/>
              <w:sz w:val="22"/>
              <w:szCs w:val="22"/>
              <w:lang w:val="es-ES_tradnl"/>
            </w:rPr>
          </w:pPr>
          <w:r w:rsidRPr="00664658">
            <w:rPr>
              <w:rFonts w:ascii="Palatino Linotype" w:hAnsi="Palatino Linotype"/>
              <w:b/>
              <w:sz w:val="22"/>
              <w:szCs w:val="22"/>
              <w:lang w:val="es-ES_tradnl"/>
            </w:rPr>
            <w:t>Sujeto Obligado:</w:t>
          </w:r>
        </w:p>
      </w:tc>
      <w:tc>
        <w:tcPr>
          <w:tcW w:w="3256" w:type="dxa"/>
          <w:shd w:val="clear" w:color="auto" w:fill="auto"/>
          <w:vAlign w:val="center"/>
        </w:tcPr>
        <w:p w:rsidR="005067A7" w:rsidRPr="00664658" w:rsidRDefault="00EB6EA4" w:rsidP="005067A7">
          <w:pPr>
            <w:jc w:val="both"/>
            <w:rPr>
              <w:rFonts w:ascii="Palatino Linotype" w:hAnsi="Palatino Linotype"/>
              <w:b/>
              <w:sz w:val="22"/>
              <w:szCs w:val="22"/>
              <w:lang w:val="es-ES_tradnl"/>
            </w:rPr>
          </w:pPr>
          <w:r>
            <w:rPr>
              <w:rFonts w:ascii="Palatino Linotype" w:hAnsi="Palatino Linotype"/>
              <w:b/>
              <w:sz w:val="22"/>
              <w:szCs w:val="22"/>
            </w:rPr>
            <w:t>Instituto de Seguridad Social del Estado de México y Municipios</w:t>
          </w:r>
        </w:p>
      </w:tc>
    </w:tr>
    <w:tr w:rsidR="005067A7" w:rsidRPr="008F2CCC" w:rsidTr="00EB6EA4">
      <w:trPr>
        <w:trHeight w:val="228"/>
      </w:trPr>
      <w:tc>
        <w:tcPr>
          <w:tcW w:w="3544" w:type="dxa"/>
        </w:tcPr>
        <w:p w:rsidR="005067A7" w:rsidRPr="008F2CCC" w:rsidRDefault="00792570" w:rsidP="005067A7">
          <w:pPr>
            <w:rPr>
              <w:rFonts w:ascii="Palatino Linotype" w:hAnsi="Palatino Linotype"/>
              <w:b/>
              <w:sz w:val="22"/>
              <w:szCs w:val="22"/>
              <w:lang w:val="es-ES_tradnl"/>
            </w:rPr>
          </w:pPr>
        </w:p>
      </w:tc>
      <w:tc>
        <w:tcPr>
          <w:tcW w:w="2556" w:type="dxa"/>
          <w:shd w:val="clear" w:color="auto" w:fill="auto"/>
        </w:tcPr>
        <w:p w:rsidR="005067A7" w:rsidRPr="00664658" w:rsidRDefault="00FA28C0" w:rsidP="005067A7">
          <w:pPr>
            <w:rPr>
              <w:rFonts w:ascii="Palatino Linotype" w:hAnsi="Palatino Linotype"/>
              <w:b/>
              <w:sz w:val="22"/>
              <w:szCs w:val="22"/>
              <w:lang w:val="es-ES_tradnl"/>
            </w:rPr>
          </w:pPr>
          <w:r>
            <w:rPr>
              <w:rFonts w:ascii="Palatino Linotype" w:hAnsi="Palatino Linotype"/>
              <w:b/>
              <w:sz w:val="22"/>
              <w:szCs w:val="22"/>
              <w:lang w:val="es-ES_tradnl"/>
            </w:rPr>
            <w:t>Comisionada</w:t>
          </w:r>
          <w:r w:rsidRPr="00664658">
            <w:rPr>
              <w:rFonts w:ascii="Palatino Linotype" w:hAnsi="Palatino Linotype"/>
              <w:b/>
              <w:sz w:val="22"/>
              <w:szCs w:val="22"/>
              <w:lang w:val="es-ES_tradnl"/>
            </w:rPr>
            <w:t xml:space="preserve"> ponente:</w:t>
          </w:r>
        </w:p>
      </w:tc>
      <w:tc>
        <w:tcPr>
          <w:tcW w:w="3256" w:type="dxa"/>
          <w:shd w:val="clear" w:color="auto" w:fill="auto"/>
        </w:tcPr>
        <w:p w:rsidR="005067A7" w:rsidRPr="00664658" w:rsidRDefault="00FA28C0" w:rsidP="005067A7">
          <w:pPr>
            <w:jc w:val="both"/>
            <w:rPr>
              <w:rFonts w:ascii="Palatino Linotype" w:hAnsi="Palatino Linotype"/>
              <w:b/>
              <w:sz w:val="22"/>
              <w:szCs w:val="22"/>
              <w:lang w:val="es-ES_tradnl"/>
            </w:rPr>
          </w:pPr>
          <w:r w:rsidRPr="00664658">
            <w:rPr>
              <w:rFonts w:ascii="Palatino Linotype" w:hAnsi="Palatino Linotype"/>
              <w:b/>
              <w:sz w:val="22"/>
              <w:szCs w:val="22"/>
              <w:lang w:val="es-ES_tradnl"/>
            </w:rPr>
            <w:t xml:space="preserve">Eva </w:t>
          </w:r>
          <w:proofErr w:type="spellStart"/>
          <w:r w:rsidRPr="00664658">
            <w:rPr>
              <w:rFonts w:ascii="Palatino Linotype" w:hAnsi="Palatino Linotype"/>
              <w:b/>
              <w:sz w:val="22"/>
              <w:szCs w:val="22"/>
              <w:lang w:val="es-ES_tradnl"/>
            </w:rPr>
            <w:t>Abaid</w:t>
          </w:r>
          <w:proofErr w:type="spellEnd"/>
          <w:r w:rsidRPr="00664658">
            <w:rPr>
              <w:rFonts w:ascii="Palatino Linotype" w:hAnsi="Palatino Linotype"/>
              <w:b/>
              <w:sz w:val="22"/>
              <w:szCs w:val="22"/>
              <w:lang w:val="es-ES_tradnl"/>
            </w:rPr>
            <w:t xml:space="preserve"> </w:t>
          </w:r>
          <w:proofErr w:type="spellStart"/>
          <w:r w:rsidRPr="00664658">
            <w:rPr>
              <w:rFonts w:ascii="Palatino Linotype" w:hAnsi="Palatino Linotype"/>
              <w:b/>
              <w:sz w:val="22"/>
              <w:szCs w:val="22"/>
              <w:lang w:val="es-ES_tradnl"/>
            </w:rPr>
            <w:t>Yapur</w:t>
          </w:r>
          <w:proofErr w:type="spellEnd"/>
        </w:p>
      </w:tc>
    </w:tr>
  </w:tbl>
  <w:p w:rsidR="005067A7" w:rsidRPr="001779E0" w:rsidRDefault="00792570" w:rsidP="005067A7">
    <w:pPr>
      <w:pStyle w:val="Encabezado"/>
      <w:tabs>
        <w:tab w:val="clear" w:pos="4252"/>
        <w:tab w:val="clear" w:pos="8504"/>
        <w:tab w:val="left" w:pos="2326"/>
      </w:tabs>
      <w:rPr>
        <w:rFonts w:ascii="Palatino Linotype" w:hAnsi="Palatino Linotype"/>
        <w:sz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8539" w:type="dxa"/>
      <w:tblInd w:w="675" w:type="dxa"/>
      <w:tblLayout w:type="fixed"/>
      <w:tblLook w:val="04A0" w:firstRow="1" w:lastRow="0" w:firstColumn="1" w:lastColumn="0" w:noHBand="0" w:noVBand="1"/>
    </w:tblPr>
    <w:tblGrid>
      <w:gridCol w:w="2727"/>
      <w:gridCol w:w="2410"/>
      <w:gridCol w:w="3402"/>
    </w:tblGrid>
    <w:tr w:rsidR="005067A7" w:rsidRPr="008F2CCC" w:rsidTr="00EB6EA4">
      <w:tc>
        <w:tcPr>
          <w:tcW w:w="2727" w:type="dxa"/>
          <w:vMerge w:val="restart"/>
        </w:tcPr>
        <w:p w:rsidR="005067A7" w:rsidRPr="008F2CCC" w:rsidRDefault="00792570" w:rsidP="005067A7">
          <w:pPr>
            <w:rPr>
              <w:rFonts w:ascii="Palatino Linotype" w:hAnsi="Palatino Linotype"/>
              <w:b/>
              <w:sz w:val="22"/>
              <w:szCs w:val="22"/>
              <w:lang w:val="es-ES_tradnl"/>
            </w:rPr>
          </w:pPr>
        </w:p>
      </w:tc>
      <w:tc>
        <w:tcPr>
          <w:tcW w:w="2410" w:type="dxa"/>
          <w:shd w:val="clear" w:color="auto" w:fill="auto"/>
        </w:tcPr>
        <w:p w:rsidR="005067A7" w:rsidRPr="008F2CCC" w:rsidRDefault="00FA28C0" w:rsidP="005067A7">
          <w:pPr>
            <w:ind w:right="-959"/>
            <w:rPr>
              <w:rFonts w:ascii="Palatino Linotype" w:hAnsi="Palatino Linotype"/>
              <w:b/>
              <w:sz w:val="22"/>
              <w:szCs w:val="22"/>
              <w:lang w:val="es-ES_tradnl"/>
            </w:rPr>
          </w:pPr>
          <w:r w:rsidRPr="008F2CCC">
            <w:rPr>
              <w:rFonts w:ascii="Palatino Linotype" w:hAnsi="Palatino Linotype"/>
              <w:b/>
              <w:sz w:val="22"/>
              <w:szCs w:val="22"/>
              <w:lang w:val="es-ES_tradnl"/>
            </w:rPr>
            <w:t>Recurso de revisión:</w:t>
          </w:r>
        </w:p>
      </w:tc>
      <w:tc>
        <w:tcPr>
          <w:tcW w:w="3402" w:type="dxa"/>
          <w:shd w:val="clear" w:color="auto" w:fill="auto"/>
          <w:vAlign w:val="center"/>
        </w:tcPr>
        <w:p w:rsidR="005067A7" w:rsidRPr="008F2CCC" w:rsidRDefault="00EB6EA4" w:rsidP="005067A7">
          <w:pPr>
            <w:ind w:right="464"/>
            <w:jc w:val="both"/>
            <w:rPr>
              <w:rFonts w:ascii="Palatino Linotype" w:hAnsi="Palatino Linotype"/>
              <w:b/>
              <w:sz w:val="22"/>
              <w:szCs w:val="22"/>
              <w:lang w:val="es-ES_tradnl"/>
            </w:rPr>
          </w:pPr>
          <w:r>
            <w:rPr>
              <w:rFonts w:ascii="Palatino Linotype" w:hAnsi="Palatino Linotype"/>
              <w:b/>
              <w:sz w:val="22"/>
              <w:szCs w:val="22"/>
              <w:lang w:val="es-ES_tradnl"/>
            </w:rPr>
            <w:t>06522</w:t>
          </w:r>
          <w:r w:rsidR="00FA28C0" w:rsidRPr="00547844">
            <w:rPr>
              <w:rFonts w:ascii="Palatino Linotype" w:hAnsi="Palatino Linotype"/>
              <w:b/>
              <w:sz w:val="22"/>
              <w:szCs w:val="22"/>
              <w:lang w:val="es-ES_tradnl"/>
            </w:rPr>
            <w:t>/INFOEM/IP/RR/201</w:t>
          </w:r>
          <w:r w:rsidR="00FA28C0">
            <w:rPr>
              <w:rFonts w:ascii="Palatino Linotype" w:hAnsi="Palatino Linotype"/>
              <w:b/>
              <w:sz w:val="22"/>
              <w:szCs w:val="22"/>
              <w:lang w:val="es-ES_tradnl"/>
            </w:rPr>
            <w:t>9</w:t>
          </w:r>
        </w:p>
      </w:tc>
    </w:tr>
    <w:tr w:rsidR="005067A7" w:rsidRPr="008F2CCC" w:rsidTr="00EB6EA4">
      <w:tc>
        <w:tcPr>
          <w:tcW w:w="2727" w:type="dxa"/>
          <w:vMerge/>
        </w:tcPr>
        <w:p w:rsidR="005067A7" w:rsidRPr="008F2CCC" w:rsidRDefault="00792570" w:rsidP="005067A7">
          <w:pPr>
            <w:rPr>
              <w:rFonts w:ascii="Palatino Linotype" w:hAnsi="Palatino Linotype"/>
              <w:b/>
              <w:sz w:val="22"/>
              <w:szCs w:val="22"/>
              <w:lang w:val="es-ES_tradnl"/>
            </w:rPr>
          </w:pPr>
        </w:p>
      </w:tc>
      <w:tc>
        <w:tcPr>
          <w:tcW w:w="2410" w:type="dxa"/>
          <w:shd w:val="clear" w:color="auto" w:fill="auto"/>
          <w:vAlign w:val="center"/>
        </w:tcPr>
        <w:p w:rsidR="005067A7" w:rsidRPr="008F2CCC" w:rsidRDefault="00FA28C0" w:rsidP="005067A7">
          <w:pPr>
            <w:ind w:right="-959"/>
            <w:rPr>
              <w:rFonts w:ascii="Palatino Linotype" w:hAnsi="Palatino Linotype"/>
              <w:b/>
              <w:sz w:val="22"/>
              <w:szCs w:val="22"/>
              <w:lang w:val="es-ES_tradnl"/>
            </w:rPr>
          </w:pPr>
          <w:r w:rsidRPr="008F2CCC">
            <w:rPr>
              <w:rFonts w:ascii="Palatino Linotype" w:hAnsi="Palatino Linotype"/>
              <w:b/>
              <w:sz w:val="22"/>
              <w:szCs w:val="22"/>
              <w:lang w:val="es-ES_tradnl"/>
            </w:rPr>
            <w:t>Recurrente:</w:t>
          </w:r>
        </w:p>
      </w:tc>
      <w:tc>
        <w:tcPr>
          <w:tcW w:w="3402" w:type="dxa"/>
          <w:shd w:val="clear" w:color="auto" w:fill="auto"/>
          <w:vAlign w:val="center"/>
        </w:tcPr>
        <w:p w:rsidR="005067A7" w:rsidRPr="008F2CCC" w:rsidRDefault="0060591E" w:rsidP="0060591E">
          <w:pPr>
            <w:jc w:val="both"/>
            <w:rPr>
              <w:rFonts w:ascii="Palatino Linotype" w:hAnsi="Palatino Linotype"/>
              <w:b/>
              <w:sz w:val="22"/>
              <w:szCs w:val="22"/>
              <w:lang w:val="es-ES_tradnl"/>
            </w:rPr>
          </w:pPr>
          <w:r>
            <w:rPr>
              <w:rFonts w:ascii="Palatino Linotype" w:hAnsi="Palatino Linotype"/>
              <w:b/>
              <w:sz w:val="22"/>
              <w:szCs w:val="22"/>
              <w:lang w:val="es-ES_tradnl"/>
            </w:rPr>
            <w:t>XXXXX XXXXXX XXXXXXXX</w:t>
          </w:r>
        </w:p>
      </w:tc>
    </w:tr>
    <w:tr w:rsidR="005067A7" w:rsidRPr="008F2CCC" w:rsidTr="00EB6EA4">
      <w:trPr>
        <w:trHeight w:val="228"/>
      </w:trPr>
      <w:tc>
        <w:tcPr>
          <w:tcW w:w="2727" w:type="dxa"/>
          <w:vMerge/>
        </w:tcPr>
        <w:p w:rsidR="005067A7" w:rsidRPr="008F2CCC" w:rsidRDefault="00792570" w:rsidP="005067A7">
          <w:pPr>
            <w:rPr>
              <w:rFonts w:ascii="Palatino Linotype" w:hAnsi="Palatino Linotype"/>
              <w:b/>
              <w:sz w:val="22"/>
              <w:szCs w:val="22"/>
              <w:lang w:val="es-ES_tradnl"/>
            </w:rPr>
          </w:pPr>
        </w:p>
      </w:tc>
      <w:tc>
        <w:tcPr>
          <w:tcW w:w="2410" w:type="dxa"/>
          <w:shd w:val="clear" w:color="auto" w:fill="auto"/>
        </w:tcPr>
        <w:p w:rsidR="005067A7" w:rsidRPr="008F2CCC" w:rsidRDefault="00FA28C0" w:rsidP="005067A7">
          <w:pPr>
            <w:ind w:right="-959"/>
            <w:rPr>
              <w:rFonts w:ascii="Palatino Linotype" w:hAnsi="Palatino Linotype"/>
              <w:b/>
              <w:sz w:val="22"/>
              <w:szCs w:val="22"/>
              <w:lang w:val="es-ES_tradnl"/>
            </w:rPr>
          </w:pPr>
          <w:r w:rsidRPr="008F2CCC">
            <w:rPr>
              <w:rFonts w:ascii="Palatino Linotype" w:hAnsi="Palatino Linotype"/>
              <w:b/>
              <w:sz w:val="22"/>
              <w:szCs w:val="22"/>
              <w:lang w:val="es-ES_tradnl"/>
            </w:rPr>
            <w:t>Sujeto Obligado:</w:t>
          </w:r>
        </w:p>
      </w:tc>
      <w:tc>
        <w:tcPr>
          <w:tcW w:w="3402" w:type="dxa"/>
          <w:shd w:val="clear" w:color="auto" w:fill="auto"/>
          <w:vAlign w:val="center"/>
        </w:tcPr>
        <w:p w:rsidR="005067A7" w:rsidRPr="00462829" w:rsidRDefault="00EB6EA4" w:rsidP="005067A7">
          <w:pPr>
            <w:jc w:val="both"/>
            <w:rPr>
              <w:rFonts w:ascii="Palatino Linotype" w:hAnsi="Palatino Linotype"/>
              <w:b/>
              <w:sz w:val="22"/>
              <w:szCs w:val="22"/>
            </w:rPr>
          </w:pPr>
          <w:r>
            <w:rPr>
              <w:rFonts w:ascii="Palatino Linotype" w:hAnsi="Palatino Linotype"/>
              <w:b/>
              <w:sz w:val="22"/>
              <w:szCs w:val="22"/>
            </w:rPr>
            <w:t>Instituto de Seguridad Social del Estado de México y Municipios</w:t>
          </w:r>
        </w:p>
      </w:tc>
    </w:tr>
    <w:tr w:rsidR="005067A7" w:rsidRPr="008F2CCC" w:rsidTr="00EB6EA4">
      <w:tc>
        <w:tcPr>
          <w:tcW w:w="2727" w:type="dxa"/>
          <w:vMerge/>
        </w:tcPr>
        <w:p w:rsidR="005067A7" w:rsidRPr="008F2CCC" w:rsidRDefault="00792570" w:rsidP="005067A7">
          <w:pPr>
            <w:rPr>
              <w:rFonts w:ascii="Palatino Linotype" w:hAnsi="Palatino Linotype"/>
              <w:b/>
              <w:sz w:val="22"/>
              <w:szCs w:val="22"/>
              <w:lang w:val="es-ES_tradnl"/>
            </w:rPr>
          </w:pPr>
        </w:p>
      </w:tc>
      <w:tc>
        <w:tcPr>
          <w:tcW w:w="2410" w:type="dxa"/>
          <w:shd w:val="clear" w:color="auto" w:fill="auto"/>
        </w:tcPr>
        <w:p w:rsidR="005067A7" w:rsidRPr="008F2CCC" w:rsidRDefault="00FA28C0" w:rsidP="005067A7">
          <w:pPr>
            <w:ind w:right="-959"/>
            <w:rPr>
              <w:rFonts w:ascii="Palatino Linotype" w:hAnsi="Palatino Linotype"/>
              <w:b/>
              <w:sz w:val="22"/>
              <w:szCs w:val="22"/>
              <w:lang w:val="es-ES_tradnl"/>
            </w:rPr>
          </w:pPr>
          <w:r w:rsidRPr="008F2CCC">
            <w:rPr>
              <w:rFonts w:ascii="Palatino Linotype" w:hAnsi="Palatino Linotype"/>
              <w:b/>
              <w:sz w:val="22"/>
              <w:szCs w:val="22"/>
              <w:lang w:val="es-ES_tradnl"/>
            </w:rPr>
            <w:t>Comisionad</w:t>
          </w:r>
          <w:r>
            <w:rPr>
              <w:rFonts w:ascii="Palatino Linotype" w:hAnsi="Palatino Linotype"/>
              <w:b/>
              <w:sz w:val="22"/>
              <w:szCs w:val="22"/>
              <w:lang w:val="es-ES_tradnl"/>
            </w:rPr>
            <w:t>a</w:t>
          </w:r>
          <w:r w:rsidRPr="008F2CCC">
            <w:rPr>
              <w:rFonts w:ascii="Palatino Linotype" w:hAnsi="Palatino Linotype"/>
              <w:b/>
              <w:sz w:val="22"/>
              <w:szCs w:val="22"/>
              <w:lang w:val="es-ES_tradnl"/>
            </w:rPr>
            <w:t xml:space="preserve"> ponente:</w:t>
          </w:r>
        </w:p>
      </w:tc>
      <w:tc>
        <w:tcPr>
          <w:tcW w:w="3402" w:type="dxa"/>
          <w:shd w:val="clear" w:color="auto" w:fill="auto"/>
        </w:tcPr>
        <w:p w:rsidR="005067A7" w:rsidRPr="008F2CCC" w:rsidRDefault="00FA28C0" w:rsidP="005067A7">
          <w:pPr>
            <w:jc w:val="both"/>
            <w:rPr>
              <w:rFonts w:ascii="Palatino Linotype" w:hAnsi="Palatino Linotype"/>
              <w:b/>
              <w:sz w:val="22"/>
              <w:szCs w:val="22"/>
              <w:lang w:val="es-ES_tradnl"/>
            </w:rPr>
          </w:pPr>
          <w:r w:rsidRPr="00664658">
            <w:rPr>
              <w:rFonts w:ascii="Palatino Linotype" w:hAnsi="Palatino Linotype"/>
              <w:b/>
              <w:sz w:val="22"/>
              <w:szCs w:val="22"/>
              <w:lang w:val="es-ES_tradnl"/>
            </w:rPr>
            <w:t xml:space="preserve">Eva </w:t>
          </w:r>
          <w:proofErr w:type="spellStart"/>
          <w:r w:rsidRPr="00664658">
            <w:rPr>
              <w:rFonts w:ascii="Palatino Linotype" w:hAnsi="Palatino Linotype"/>
              <w:b/>
              <w:sz w:val="22"/>
              <w:szCs w:val="22"/>
              <w:lang w:val="es-ES_tradnl"/>
            </w:rPr>
            <w:t>Abaid</w:t>
          </w:r>
          <w:proofErr w:type="spellEnd"/>
          <w:r w:rsidRPr="00664658">
            <w:rPr>
              <w:rFonts w:ascii="Palatino Linotype" w:hAnsi="Palatino Linotype"/>
              <w:b/>
              <w:sz w:val="22"/>
              <w:szCs w:val="22"/>
              <w:lang w:val="es-ES_tradnl"/>
            </w:rPr>
            <w:t xml:space="preserve"> </w:t>
          </w:r>
          <w:proofErr w:type="spellStart"/>
          <w:r w:rsidRPr="00664658">
            <w:rPr>
              <w:rFonts w:ascii="Palatino Linotype" w:hAnsi="Palatino Linotype"/>
              <w:b/>
              <w:sz w:val="22"/>
              <w:szCs w:val="22"/>
              <w:lang w:val="es-ES_tradnl"/>
            </w:rPr>
            <w:t>Yapur</w:t>
          </w:r>
          <w:proofErr w:type="spellEnd"/>
        </w:p>
      </w:tc>
    </w:tr>
  </w:tbl>
  <w:p w:rsidR="005067A7" w:rsidRPr="006954BC" w:rsidRDefault="00792570">
    <w:pPr>
      <w:pStyle w:val="Encabezado"/>
      <w:rPr>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B4E7E34"/>
    <w:multiLevelType w:val="hybridMultilevel"/>
    <w:tmpl w:val="F9143E5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6EA4"/>
    <w:rsid w:val="001B2C94"/>
    <w:rsid w:val="00277751"/>
    <w:rsid w:val="002954E4"/>
    <w:rsid w:val="003A18DC"/>
    <w:rsid w:val="003D4680"/>
    <w:rsid w:val="00505A97"/>
    <w:rsid w:val="00507ACF"/>
    <w:rsid w:val="005819EF"/>
    <w:rsid w:val="0060098F"/>
    <w:rsid w:val="0060591E"/>
    <w:rsid w:val="00665034"/>
    <w:rsid w:val="006C2485"/>
    <w:rsid w:val="007252D6"/>
    <w:rsid w:val="00750AA0"/>
    <w:rsid w:val="00792570"/>
    <w:rsid w:val="008159B2"/>
    <w:rsid w:val="009B5B27"/>
    <w:rsid w:val="009C2C11"/>
    <w:rsid w:val="00AF0EB7"/>
    <w:rsid w:val="00C23B43"/>
    <w:rsid w:val="00C87604"/>
    <w:rsid w:val="00C9714C"/>
    <w:rsid w:val="00D47B18"/>
    <w:rsid w:val="00D561BA"/>
    <w:rsid w:val="00D5797D"/>
    <w:rsid w:val="00D853A2"/>
    <w:rsid w:val="00E30347"/>
    <w:rsid w:val="00E957A2"/>
    <w:rsid w:val="00EB6EA4"/>
    <w:rsid w:val="00EE4AEC"/>
    <w:rsid w:val="00EF12E1"/>
    <w:rsid w:val="00F675FB"/>
    <w:rsid w:val="00FA28C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chartTrackingRefBased/>
  <w15:docId w15:val="{3B2513A5-7E1C-4733-A523-436728929B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6EA4"/>
    <w:pPr>
      <w:spacing w:after="0" w:line="240" w:lineRule="auto"/>
    </w:pPr>
    <w:rPr>
      <w:rFonts w:ascii="Times New Roman" w:eastAsia="Times New Roman" w:hAnsi="Times New Roman" w:cs="Times New Roman"/>
      <w:sz w:val="24"/>
      <w:szCs w:val="24"/>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B6EA4"/>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EB6EA4"/>
    <w:rPr>
      <w:rFonts w:eastAsiaTheme="minorEastAsia"/>
      <w:sz w:val="24"/>
      <w:szCs w:val="24"/>
      <w:lang w:val="es-ES_tradnl" w:eastAsia="es-ES"/>
    </w:rPr>
  </w:style>
  <w:style w:type="paragraph" w:styleId="Piedepgina">
    <w:name w:val="footer"/>
    <w:basedOn w:val="Normal"/>
    <w:link w:val="PiedepginaCar"/>
    <w:uiPriority w:val="99"/>
    <w:unhideWhenUsed/>
    <w:rsid w:val="00EB6EA4"/>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EB6EA4"/>
    <w:rPr>
      <w:rFonts w:eastAsiaTheme="minorEastAsia"/>
      <w:sz w:val="24"/>
      <w:szCs w:val="24"/>
      <w:lang w:val="es-ES_tradnl"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EB6EA4"/>
    <w:pPr>
      <w:ind w:left="708"/>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EB6EA4"/>
    <w:rPr>
      <w:rFonts w:ascii="Times New Roman" w:eastAsia="Times New Roman" w:hAnsi="Times New Roman" w:cs="Times New Roman"/>
      <w:sz w:val="24"/>
      <w:szCs w:val="24"/>
      <w:lang w:eastAsia="es-E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EB6EA4"/>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EB6EA4"/>
    <w:rPr>
      <w:sz w:val="20"/>
      <w:szCs w:val="20"/>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iPriority w:val="99"/>
    <w:unhideWhenUsed/>
    <w:rsid w:val="00EB6EA4"/>
    <w:rPr>
      <w:vertAlign w:val="superscript"/>
    </w:rPr>
  </w:style>
  <w:style w:type="character" w:styleId="Hipervnculo">
    <w:name w:val="Hyperlink"/>
    <w:basedOn w:val="Fuentedeprrafopredeter"/>
    <w:uiPriority w:val="99"/>
    <w:semiHidden/>
    <w:unhideWhenUsed/>
    <w:rsid w:val="00EB6EA4"/>
    <w:rPr>
      <w:color w:val="0000FF"/>
      <w:u w:val="single"/>
    </w:rPr>
  </w:style>
  <w:style w:type="character" w:customStyle="1" w:styleId="apple-converted-space">
    <w:name w:val="apple-converted-space"/>
    <w:basedOn w:val="Fuentedeprrafopredeter"/>
    <w:rsid w:val="00AF0EB7"/>
  </w:style>
  <w:style w:type="paragraph" w:customStyle="1" w:styleId="Texto">
    <w:name w:val="Texto"/>
    <w:basedOn w:val="Normal"/>
    <w:link w:val="TextoCar"/>
    <w:rsid w:val="00AF0EB7"/>
    <w:pPr>
      <w:spacing w:after="101" w:line="216" w:lineRule="exact"/>
      <w:ind w:firstLine="288"/>
      <w:jc w:val="both"/>
    </w:pPr>
    <w:rPr>
      <w:rFonts w:ascii="Arial" w:hAnsi="Arial" w:cs="Arial"/>
      <w:sz w:val="18"/>
      <w:szCs w:val="20"/>
      <w:lang w:val="es-ES"/>
    </w:rPr>
  </w:style>
  <w:style w:type="paragraph" w:customStyle="1" w:styleId="ROMANOS">
    <w:name w:val="ROMANOS"/>
    <w:basedOn w:val="Normal"/>
    <w:link w:val="ROMANOSCar"/>
    <w:rsid w:val="00AF0EB7"/>
    <w:pPr>
      <w:tabs>
        <w:tab w:val="left" w:pos="720"/>
      </w:tabs>
      <w:spacing w:after="101" w:line="216" w:lineRule="exact"/>
      <w:ind w:left="720" w:hanging="432"/>
      <w:jc w:val="both"/>
    </w:pPr>
    <w:rPr>
      <w:rFonts w:ascii="Arial" w:hAnsi="Arial" w:cs="Arial"/>
      <w:sz w:val="18"/>
      <w:szCs w:val="18"/>
      <w:lang w:val="es-ES"/>
    </w:rPr>
  </w:style>
  <w:style w:type="character" w:customStyle="1" w:styleId="TextoCar">
    <w:name w:val="Texto Car"/>
    <w:link w:val="Texto"/>
    <w:locked/>
    <w:rsid w:val="00AF0EB7"/>
    <w:rPr>
      <w:rFonts w:ascii="Arial" w:eastAsia="Times New Roman" w:hAnsi="Arial" w:cs="Arial"/>
      <w:sz w:val="18"/>
      <w:szCs w:val="20"/>
      <w:lang w:val="es-ES" w:eastAsia="es-ES"/>
    </w:rPr>
  </w:style>
  <w:style w:type="character" w:customStyle="1" w:styleId="ROMANOSCar">
    <w:name w:val="ROMANOS Car"/>
    <w:link w:val="ROMANOS"/>
    <w:locked/>
    <w:rsid w:val="00AF0EB7"/>
    <w:rPr>
      <w:rFonts w:ascii="Arial" w:eastAsia="Times New Roman" w:hAnsi="Arial" w:cs="Arial"/>
      <w:sz w:val="18"/>
      <w:szCs w:val="18"/>
      <w:lang w:val="es-ES" w:eastAsia="es-ES"/>
    </w:rPr>
  </w:style>
  <w:style w:type="paragraph" w:styleId="Textodeglobo">
    <w:name w:val="Balloon Text"/>
    <w:basedOn w:val="Normal"/>
    <w:link w:val="TextodegloboCar"/>
    <w:uiPriority w:val="99"/>
    <w:semiHidden/>
    <w:unhideWhenUsed/>
    <w:rsid w:val="00F675FB"/>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675FB"/>
    <w:rPr>
      <w:rFonts w:ascii="Segoe UI" w:eastAsia="Times New Roman" w:hAnsi="Segoe UI" w:cs="Segoe UI"/>
      <w:sz w:val="18"/>
      <w:szCs w:val="18"/>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header" Target="header1.xml"/><Relationship Id="rId35" Type="http://schemas.openxmlformats.org/officeDocument/2006/relationships/theme" Target="theme/theme1.xml"/><Relationship Id="rId8" Type="http://schemas.openxmlformats.org/officeDocument/2006/relationships/hyperlink" Target="https://www.saimex.org.mx/saimex/solicitud/downloadAttach/729099.page"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0CC77B-E377-4146-906C-F79B02B5ED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26</Pages>
  <Words>4346</Words>
  <Characters>23909</Characters>
  <Application>Microsoft Office Word</Application>
  <DocSecurity>0</DocSecurity>
  <Lines>199</Lines>
  <Paragraphs>56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28199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5</cp:revision>
  <cp:lastPrinted>2019-09-06T20:01:00Z</cp:lastPrinted>
  <dcterms:created xsi:type="dcterms:W3CDTF">2019-09-12T19:33:00Z</dcterms:created>
  <dcterms:modified xsi:type="dcterms:W3CDTF">2019-10-18T15:31:00Z</dcterms:modified>
</cp:coreProperties>
</file>