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A902C6">
        <w:rPr>
          <w:rFonts w:ascii="Palatino Linotype" w:eastAsia="Times New Roman" w:hAnsi="Palatino Linotype" w:cs="Arial"/>
          <w:color w:val="000000"/>
          <w:sz w:val="24"/>
          <w:szCs w:val="24"/>
          <w:lang w:eastAsia="es-MX"/>
        </w:rPr>
        <w:t>treinta y uno de julio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EF1A8D">
        <w:rPr>
          <w:rFonts w:ascii="Palatino Linotype" w:hAnsi="Palatino Linotype" w:cs="Arial"/>
          <w:b/>
          <w:bCs/>
          <w:sz w:val="24"/>
          <w:lang w:eastAsia="es-MX"/>
        </w:rPr>
        <w:t>417</w:t>
      </w:r>
      <w:r w:rsidR="009A6D1C">
        <w:rPr>
          <w:rFonts w:ascii="Palatino Linotype" w:hAnsi="Palatino Linotype" w:cs="Arial"/>
          <w:b/>
          <w:bCs/>
          <w:sz w:val="24"/>
          <w:lang w:eastAsia="es-MX"/>
        </w:rPr>
        <w:t>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BC5E09">
        <w:rPr>
          <w:rFonts w:ascii="Palatino Linotype" w:hAnsi="Palatino Linotype" w:cs="Arial"/>
          <w:sz w:val="24"/>
        </w:rPr>
        <w:t xml:space="preserve">el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7110A0" w:rsidRPr="007110A0">
        <w:rPr>
          <w:rFonts w:ascii="Palatino Linotype" w:hAnsi="Palatino Linotype" w:cs="Arial"/>
          <w:b/>
          <w:bCs/>
          <w:color w:val="333333"/>
          <w:sz w:val="24"/>
          <w:szCs w:val="15"/>
        </w:rPr>
        <w:t>XXXXXXXXXXXXXXX</w:t>
      </w:r>
      <w:r w:rsidR="007110A0">
        <w:rPr>
          <w:rFonts w:ascii="Palatino Linotype" w:hAnsi="Palatino Linotype" w:cs="Arial"/>
          <w:b/>
          <w:bCs/>
          <w:color w:val="333333"/>
          <w:sz w:val="24"/>
          <w:szCs w:val="15"/>
        </w:rPr>
        <w:t xml:space="preserve"> </w:t>
      </w:r>
      <w:bookmarkStart w:id="0" w:name="_GoBack"/>
      <w:bookmarkEnd w:id="0"/>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EF1A8D" w:rsidRPr="00EF1A8D">
        <w:rPr>
          <w:rFonts w:ascii="Palatino Linotype" w:hAnsi="Palatino Linotype" w:cs="Arial"/>
          <w:b/>
          <w:sz w:val="24"/>
          <w:szCs w:val="24"/>
        </w:rPr>
        <w:t>Ayuntamiento de Tlalmanalco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F1A8D">
        <w:rPr>
          <w:rFonts w:ascii="Palatino Linotype" w:hAnsi="Palatino Linotype" w:cs="Arial"/>
          <w:sz w:val="24"/>
        </w:rPr>
        <w:t>veintídos de abril</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F1A8D" w:rsidRPr="00EF1A8D">
        <w:rPr>
          <w:rFonts w:ascii="Palatino Linotype" w:hAnsi="Palatino Linotype" w:cs="Arial"/>
          <w:b/>
          <w:sz w:val="24"/>
        </w:rPr>
        <w:t>00047/TLALMANA/IP/2019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EF1A8D" w:rsidRPr="00EF1A8D">
        <w:rPr>
          <w:rFonts w:ascii="Palatino Linotype" w:hAnsi="Palatino Linotype"/>
          <w:i/>
          <w:color w:val="000000"/>
        </w:rPr>
        <w:t>Se solicita el Tabulador de Sueldos así como los recibos de nómina de la Primera quincena de Enero 2019, Segunda Quincena de Enero 2019 Primera quincena de Febrero 2019, Segunda quincena de Febrero 2019,Primera quincena de marzo 2019, Segunda Quincena de marzo 2019, Primera Quincena de Abril 2019, Segunda Quincena de Abril 2019 de todo el Personal que labora en el Ayuntamiento de Tlalmanalco versión Pública.</w:t>
      </w:r>
      <w:r w:rsidR="009A6D1C">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fue omiso en dar respuesta a la solicitud de información dentro del plazo establecido en la Ley de la materia.</w:t>
      </w:r>
    </w:p>
    <w:p w:rsidR="00F84AE2" w:rsidRDefault="00F84AE2" w:rsidP="002B7CD8">
      <w:pPr>
        <w:spacing w:before="240" w:line="360" w:lineRule="auto"/>
        <w:jc w:val="both"/>
        <w:rPr>
          <w:rFonts w:ascii="Palatino Linotype" w:hAnsi="Palatino Linotype" w:cs="Arial"/>
          <w:sz w:val="24"/>
        </w:rPr>
      </w:pP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113310">
        <w:rPr>
          <w:rFonts w:ascii="Palatino Linotype" w:hAnsi="Palatino Linotype" w:cs="Arial"/>
          <w:sz w:val="24"/>
          <w:szCs w:val="24"/>
        </w:rPr>
        <w:t>diesiseís de mayo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6634EA">
        <w:rPr>
          <w:rFonts w:ascii="Palatino Linotype" w:hAnsi="Palatino Linotype" w:cs="Arial"/>
          <w:b/>
          <w:bCs/>
          <w:sz w:val="24"/>
          <w:szCs w:val="24"/>
          <w:lang w:eastAsia="es-MX"/>
        </w:rPr>
        <w:t>417</w:t>
      </w:r>
      <w:r w:rsidR="009A6D1C">
        <w:rPr>
          <w:rFonts w:ascii="Palatino Linotype" w:hAnsi="Palatino Linotype" w:cs="Arial"/>
          <w:b/>
          <w:bCs/>
          <w:sz w:val="24"/>
          <w:szCs w:val="24"/>
          <w:lang w:eastAsia="es-MX"/>
        </w:rPr>
        <w:t>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113310" w:rsidRPr="00113310">
        <w:rPr>
          <w:rFonts w:ascii="Palatino Linotype" w:hAnsi="Palatino Linotype"/>
          <w:i/>
          <w:color w:val="000000"/>
        </w:rPr>
        <w:t xml:space="preserve">Se solicita copia simple de la documentación que acrediten los perfiles de acuerdo al Art. 32 de la Ley Orgánica Municipal del Tesorero. Secretario del Ayuntamiento, y contralor Municipal de acuerdo a los Art. 92 para ser Secretario del Ayuntamiento, Art. 96 para ser Tesorero Municipal, y Art. 113 para ser Contralor de acuerdo a la </w:t>
      </w:r>
      <w:r w:rsidR="00113310" w:rsidRPr="00113310">
        <w:rPr>
          <w:rFonts w:ascii="Palatino Linotype" w:hAnsi="Palatino Linotype"/>
          <w:i/>
          <w:color w:val="000000"/>
        </w:rPr>
        <w:lastRenderedPageBreak/>
        <w:t>Ley Orgánica Municipal ya que en ellos se manifiestan los requisitos que deben de cubrir para ocupar dichos cargos</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113310" w:rsidRPr="00113310">
        <w:rPr>
          <w:rFonts w:ascii="Palatino Linotype" w:hAnsi="Palatino Linotype" w:cs="Arial"/>
          <w:i/>
        </w:rPr>
        <w:t>Por medio de la presente comparezco ante el consejo del Instituto de Transparencia y Acceso a la Información Pública del Estado de México para presentar el presente Recurso de Revisión en contra del sujeto obligado H. Ayuntamiento de Tlalmanalco por la falta de respuesta a la presente solicitud de información en los tiempos señalados en la Ley de Transparencia y Acceso a la Información Pública del estado de México por lo anterior Solicito de la manera más atenta copia simple del Tabulador de Sueldos así como los recibos de nóminas siguientes: 1 de enero al 15 de enero 2019 16 de enero al 31 de enero 2019, 1 de febrero al 15 febrero del 2019 16 de febrero al 29 de febrero 2019 1 de marzo al 15 de marzo 2019 16 de marzo al 31 de marzo 2019 1 de abril al 15 de abril 2019 16 de abril al 31 de abril 2019 De todo el personal de la actual administración. Hacemos la presente solicitud de Recurso de Revisión ya que no dan respuesta a nuestra petición, por lo que Solicitamos. A.-. Tener por presentado el presente Recurso de Revisión. B.- Se declare Procedente el presente recurso y se ordene al Sujeto Obligado la entrega inmediata de la información en los mismos términos que fue solicitada.</w:t>
      </w:r>
      <w:r w:rsidR="00BA65E0" w:rsidRPr="00BA65E0">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113310">
        <w:rPr>
          <w:rFonts w:ascii="Palatino Linotype" w:hAnsi="Palatino Linotype" w:cs="Arial"/>
          <w:sz w:val="24"/>
          <w:szCs w:val="24"/>
        </w:rPr>
        <w:t>veintidos de mayo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9A6D1C" w:rsidRDefault="009A6D1C"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113310">
        <w:rPr>
          <w:rFonts w:ascii="Palatino Linotype" w:hAnsi="Palatino Linotype" w:cs="Arial"/>
          <w:sz w:val="24"/>
          <w:szCs w:val="24"/>
        </w:rPr>
        <w:t>no realizo manifestacion alguna</w:t>
      </w:r>
      <w:r w:rsidR="009A6D1C">
        <w:rPr>
          <w:rFonts w:ascii="Palatino Linotype" w:hAnsi="Palatino Linotype" w:cs="Arial"/>
          <w:sz w:val="24"/>
          <w:szCs w:val="24"/>
        </w:rPr>
        <w:t>,</w:t>
      </w:r>
      <w:r w:rsidR="00113310">
        <w:rPr>
          <w:rFonts w:ascii="Palatino Linotype" w:hAnsi="Palatino Linotype" w:cs="Arial"/>
          <w:sz w:val="24"/>
          <w:szCs w:val="24"/>
        </w:rPr>
        <w:t>por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0B3927">
        <w:rPr>
          <w:rFonts w:ascii="Palatino Linotype" w:hAnsi="Palatino Linotype" w:cs="Arial"/>
          <w:sz w:val="24"/>
          <w:szCs w:val="24"/>
        </w:rPr>
        <w:t>cinco de junio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0B3927">
        <w:rPr>
          <w:rFonts w:ascii="Palatino Linotype" w:hAnsi="Palatino Linotype" w:cs="Arial"/>
          <w:sz w:val="24"/>
          <w:szCs w:val="24"/>
        </w:rPr>
        <w:t>tres de julio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w:t>
      </w:r>
      <w:r w:rsidRPr="00025A37">
        <w:rPr>
          <w:rFonts w:ascii="Palatino Linotype" w:hAnsi="Palatino Linotype" w:cs="Arial"/>
          <w:sz w:val="24"/>
        </w:rPr>
        <w:lastRenderedPageBreak/>
        <w:t xml:space="preserve">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Pr="009572B3"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manera, que la negativa ficta, es la figura jurídica que consiste en otorgar un efecto negativo al silencio de la autoridad administrativa en relación a las solicitudes que le formulen lo particulares, lo que genera la posibilidad de defensa ante tal </w:t>
      </w:r>
      <w:r>
        <w:rPr>
          <w:rFonts w:ascii="Palatino Linotype" w:hAnsi="Palatino Linotype"/>
          <w:sz w:val="24"/>
          <w:szCs w:val="24"/>
        </w:rPr>
        <w:lastRenderedPageBreak/>
        <w:t>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previstos para tal efecto, la presentación del recurso de revisión podrá ser presentado en cualquier momento y que a la letra reza: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lastRenderedPageBreak/>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w:t>
      </w:r>
      <w:r w:rsidR="000B3927">
        <w:rPr>
          <w:rFonts w:ascii="Palatino Linotype" w:hAnsi="Palatino Linotype" w:cs="Arial"/>
          <w:sz w:val="24"/>
          <w:szCs w:val="24"/>
        </w:rPr>
        <w:t xml:space="preserve"> medularmente</w:t>
      </w:r>
      <w:r>
        <w:rPr>
          <w:rFonts w:ascii="Palatino Linotype" w:hAnsi="Palatino Linotype" w:cs="Arial"/>
          <w:sz w:val="24"/>
          <w:szCs w:val="24"/>
        </w:rPr>
        <w:t>,</w:t>
      </w:r>
      <w:r w:rsidR="000B3927">
        <w:rPr>
          <w:rFonts w:ascii="Palatino Linotype" w:hAnsi="Palatino Linotype" w:cs="Arial"/>
          <w:sz w:val="24"/>
          <w:szCs w:val="24"/>
        </w:rPr>
        <w:t xml:space="preserve"> “…</w:t>
      </w:r>
      <w:r w:rsidR="000B3927">
        <w:rPr>
          <w:rFonts w:ascii="Palatino Linotype" w:hAnsi="Palatino Linotype" w:cs="Arial"/>
          <w:i/>
          <w:sz w:val="24"/>
          <w:szCs w:val="24"/>
        </w:rPr>
        <w:t>no dan respuesta a nuestra peticion…”</w:t>
      </w:r>
      <w:r w:rsidR="00BA65E0">
        <w:rPr>
          <w:rFonts w:ascii="Palatino Linotype" w:hAnsi="Palatino Linotype" w:cs="Arial"/>
          <w:i/>
          <w:sz w:val="24"/>
          <w:szCs w:val="24"/>
        </w:rPr>
        <w:t>.</w:t>
      </w:r>
    </w:p>
    <w:p w:rsidR="001F295E" w:rsidRDefault="00BA65E0" w:rsidP="001F295E">
      <w:pPr>
        <w:spacing w:before="240" w:after="240" w:line="360" w:lineRule="auto"/>
        <w:jc w:val="both"/>
        <w:rPr>
          <w:rFonts w:ascii="Palatino Linotype" w:hAnsi="Palatino Linotype" w:cs="Arial"/>
          <w:sz w:val="24"/>
          <w:szCs w:val="24"/>
        </w:rPr>
      </w:pPr>
      <w:r w:rsidRPr="00BC5E09">
        <w:rPr>
          <w:rFonts w:ascii="Palatino Linotype" w:hAnsi="Palatino Linotype" w:cs="Arial"/>
          <w:sz w:val="24"/>
          <w:szCs w:val="24"/>
        </w:rPr>
        <w:t>Por tanto, el hoy recurrente</w:t>
      </w:r>
      <w:r w:rsidR="001F295E">
        <w:rPr>
          <w:rFonts w:ascii="Palatino Linotype" w:hAnsi="Palatino Linotype" w:cs="Arial"/>
          <w:sz w:val="24"/>
          <w:szCs w:val="24"/>
        </w:rPr>
        <w:t xml:space="preserve"> tuvo a bien solicitar información en el tenor siguiente:</w:t>
      </w:r>
    </w:p>
    <w:p w:rsidR="000B3927" w:rsidRPr="001F295E" w:rsidRDefault="000B3927" w:rsidP="000B3927">
      <w:pPr>
        <w:pStyle w:val="Prrafodelista"/>
        <w:numPr>
          <w:ilvl w:val="0"/>
          <w:numId w:val="21"/>
        </w:numPr>
        <w:spacing w:before="240" w:after="240" w:line="360" w:lineRule="auto"/>
        <w:jc w:val="both"/>
        <w:rPr>
          <w:rFonts w:ascii="Palatino Linotype" w:hAnsi="Palatino Linotype" w:cs="Arial"/>
          <w:szCs w:val="20"/>
        </w:rPr>
      </w:pPr>
      <w:r>
        <w:rPr>
          <w:rFonts w:ascii="Palatino Linotype" w:hAnsi="Palatino Linotype" w:cs="Arial"/>
        </w:rPr>
        <w:t>Tabulador de sueldos.</w:t>
      </w:r>
    </w:p>
    <w:p w:rsidR="00BA65E0" w:rsidRPr="001F295E" w:rsidRDefault="00EE28A5" w:rsidP="001F295E">
      <w:pPr>
        <w:pStyle w:val="Prrafodelista"/>
        <w:numPr>
          <w:ilvl w:val="0"/>
          <w:numId w:val="21"/>
        </w:numPr>
        <w:spacing w:before="240" w:after="240" w:line="360" w:lineRule="auto"/>
        <w:jc w:val="both"/>
        <w:rPr>
          <w:rFonts w:ascii="Palatino Linotype" w:hAnsi="Palatino Linotype" w:cs="Arial"/>
          <w:szCs w:val="20"/>
        </w:rPr>
      </w:pPr>
      <w:r>
        <w:rPr>
          <w:rFonts w:ascii="Palatino Linotype" w:hAnsi="Palatino Linotype" w:cs="Arial"/>
        </w:rPr>
        <w:lastRenderedPageBreak/>
        <w:t>Nó</w:t>
      </w:r>
      <w:r w:rsidRPr="001F295E">
        <w:rPr>
          <w:rFonts w:ascii="Palatino Linotype" w:hAnsi="Palatino Linotype" w:cs="Arial"/>
        </w:rPr>
        <w:t>mina</w:t>
      </w:r>
      <w:r w:rsidR="001F295E" w:rsidRPr="001F295E">
        <w:rPr>
          <w:rFonts w:ascii="Palatino Linotype" w:hAnsi="Palatino Linotype" w:cs="Arial"/>
        </w:rPr>
        <w:t xml:space="preserve"> de la primera quincena de enero a la </w:t>
      </w:r>
      <w:r w:rsidR="000B3927">
        <w:rPr>
          <w:rFonts w:ascii="Palatino Linotype" w:hAnsi="Palatino Linotype" w:cs="Arial"/>
        </w:rPr>
        <w:t>segunda de abril</w:t>
      </w:r>
      <w:r w:rsidR="001F295E" w:rsidRPr="001F295E">
        <w:rPr>
          <w:rFonts w:ascii="Palatino Linotype" w:hAnsi="Palatino Linotype" w:cs="Arial"/>
        </w:rPr>
        <w:t xml:space="preserve"> de 2019</w:t>
      </w:r>
      <w:r w:rsidR="000B3927">
        <w:rPr>
          <w:rFonts w:ascii="Palatino Linotype" w:hAnsi="Palatino Linotype" w:cs="Arial"/>
        </w:rPr>
        <w:t xml:space="preserve"> de todo el personal que labora en el Ayuntamiento de Tlalmanalco</w:t>
      </w:r>
      <w:r w:rsidR="001F295E">
        <w:rPr>
          <w:rFonts w:ascii="Palatino Linotype" w:hAnsi="Palatino Linotype" w:cs="Arial"/>
        </w:rPr>
        <w:t>.</w:t>
      </w:r>
    </w:p>
    <w:p w:rsidR="00EE28A5" w:rsidRPr="0052294F" w:rsidRDefault="00EE28A5" w:rsidP="00EE28A5">
      <w:pPr>
        <w:spacing w:line="360" w:lineRule="auto"/>
        <w:jc w:val="both"/>
        <w:rPr>
          <w:rFonts w:ascii="Palatino Linotype" w:hAnsi="Palatino Linotype" w:cs="Arial"/>
          <w:color w:val="000000" w:themeColor="text1"/>
          <w:sz w:val="24"/>
          <w:szCs w:val="24"/>
        </w:rPr>
      </w:pPr>
      <w:r>
        <w:rPr>
          <w:rFonts w:ascii="Palatino Linotype" w:hAnsi="Palatino Linotype" w:cs="Arial"/>
          <w:bCs/>
        </w:rPr>
        <w:t xml:space="preserve">Así pues, ante la negativa de la información, es oportuno resaltar que el ciudadano tiene la oportunidad de inconformarse  </w:t>
      </w:r>
      <w:r w:rsidRPr="0052294F">
        <w:rPr>
          <w:rFonts w:ascii="Palatino Linotype" w:hAnsi="Palatino Linotype" w:cs="Arial"/>
          <w:sz w:val="24"/>
          <w:szCs w:val="24"/>
        </w:rPr>
        <w:t xml:space="preserve">en los casos en que estime violentado su derecho; en consecuencia, </w:t>
      </w:r>
      <w:r w:rsidRPr="0052294F">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EE28A5" w:rsidRPr="00A27566" w:rsidRDefault="00EE28A5" w:rsidP="00EE28A5">
      <w:pPr>
        <w:spacing w:after="0" w:line="360" w:lineRule="auto"/>
        <w:jc w:val="both"/>
        <w:rPr>
          <w:rFonts w:ascii="Palatino Linotype" w:hAnsi="Palatino Linotype" w:cs="Arial"/>
          <w:color w:val="000000" w:themeColor="text1"/>
          <w:sz w:val="6"/>
          <w:szCs w:val="24"/>
        </w:rPr>
      </w:pPr>
    </w:p>
    <w:p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rsidR="00EE28A5" w:rsidRPr="00A27566" w:rsidRDefault="00EE28A5" w:rsidP="00EE28A5">
      <w:pPr>
        <w:spacing w:after="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lastRenderedPageBreak/>
        <w:t>(Sic)</w:t>
      </w:r>
      <w:r>
        <w:rPr>
          <w:rFonts w:ascii="Palatino Linotype" w:hAnsi="Palatino Linotype" w:cs="Arial"/>
          <w:i/>
          <w:color w:val="000000" w:themeColor="text1"/>
        </w:rPr>
        <w:t>.</w:t>
      </w:r>
    </w:p>
    <w:p w:rsidR="00EE28A5" w:rsidRPr="005C729F" w:rsidRDefault="00EE28A5" w:rsidP="00EE28A5">
      <w:pPr>
        <w:spacing w:after="0" w:line="360" w:lineRule="auto"/>
        <w:ind w:left="851" w:right="851"/>
        <w:jc w:val="both"/>
        <w:rPr>
          <w:rFonts w:ascii="Palatino Linotype" w:hAnsi="Palatino Linotype" w:cs="Arial"/>
          <w:i/>
          <w:color w:val="000000" w:themeColor="text1"/>
        </w:rPr>
      </w:pPr>
    </w:p>
    <w:p w:rsidR="00EE28A5" w:rsidRDefault="00EE28A5" w:rsidP="00EE28A5">
      <w:pPr>
        <w:spacing w:after="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EE28A5" w:rsidRDefault="00EE28A5" w:rsidP="00470C7E">
      <w:pPr>
        <w:pStyle w:val="Prrafodelista"/>
        <w:spacing w:line="360" w:lineRule="auto"/>
        <w:ind w:left="0"/>
        <w:jc w:val="both"/>
        <w:rPr>
          <w:rFonts w:ascii="Palatino Linotype" w:hAnsi="Palatino Linotype" w:cs="Arial"/>
          <w:bCs/>
        </w:rPr>
      </w:pPr>
    </w:p>
    <w:p w:rsidR="00EE28A5" w:rsidRDefault="00EE28A5" w:rsidP="00470C7E">
      <w:pPr>
        <w:pStyle w:val="Prrafodelista"/>
        <w:spacing w:line="360" w:lineRule="auto"/>
        <w:ind w:left="0"/>
        <w:jc w:val="both"/>
        <w:rPr>
          <w:rFonts w:ascii="Palatino Linotype" w:hAnsi="Palatino Linotype" w:cs="Arial"/>
          <w:bCs/>
          <w:i/>
          <w:iCs/>
        </w:rPr>
      </w:pPr>
      <w:r>
        <w:rPr>
          <w:rFonts w:ascii="Palatino Linotype" w:hAnsi="Palatino Linotype" w:cs="Arial"/>
          <w:bCs/>
        </w:rPr>
        <w:lastRenderedPageBreak/>
        <w:t>Por lo anterior, este órgano garante considera fundadas las razones o motivos de inconformidad del hoy recurrente</w:t>
      </w:r>
      <w:r w:rsidR="000B3927">
        <w:rPr>
          <w:rFonts w:ascii="Palatino Linotype" w:hAnsi="Palatino Linotype" w:cs="Arial"/>
          <w:bCs/>
        </w:rPr>
        <w:t>.</w:t>
      </w:r>
    </w:p>
    <w:p w:rsidR="00BF5825" w:rsidRPr="00BF5825" w:rsidRDefault="00BF5825" w:rsidP="00BF5825">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Ahora bien, respecto al punto numero </w:t>
      </w:r>
      <w:r w:rsidR="000B3927">
        <w:rPr>
          <w:rFonts w:ascii="Palatino Linotype" w:hAnsi="Palatino Linotype" w:cs="Arial"/>
          <w:bCs/>
        </w:rPr>
        <w:t>2</w:t>
      </w:r>
      <w:r>
        <w:rPr>
          <w:rFonts w:ascii="Palatino Linotype" w:hAnsi="Palatino Linotype" w:cs="Arial"/>
          <w:bCs/>
        </w:rPr>
        <w:t xml:space="preserve"> de la solicitud de información, el hoy recurrente solicito los recibos de nomina </w:t>
      </w:r>
      <w:r w:rsidR="000B3927">
        <w:rPr>
          <w:rFonts w:ascii="Palatino Linotype" w:hAnsi="Palatino Linotype" w:cs="Arial"/>
          <w:bCs/>
        </w:rPr>
        <w:t>de la primer quincena de enero a la segunda de abril</w:t>
      </w:r>
      <w:r>
        <w:rPr>
          <w:rFonts w:ascii="Palatino Linotype" w:hAnsi="Palatino Linotype" w:cs="Arial"/>
          <w:bCs/>
        </w:rPr>
        <w:t xml:space="preserve"> 2019</w:t>
      </w:r>
      <w:r w:rsidR="000B3927">
        <w:rPr>
          <w:rFonts w:ascii="Palatino Linotype" w:hAnsi="Palatino Linotype" w:cs="Arial"/>
          <w:bCs/>
        </w:rPr>
        <w:t xml:space="preserve"> de todo el personal que labora en el ayuntamiento de tlalmanalco</w:t>
      </w:r>
      <w:r>
        <w:rPr>
          <w:rFonts w:ascii="Palatino Linotype" w:hAnsi="Palatino Linotype" w:cs="Arial"/>
          <w:bCs/>
        </w:rPr>
        <w:t>, así pues, se entiende que solicita de toda la administración pública municipal.</w:t>
      </w:r>
    </w:p>
    <w:p w:rsidR="00BF5825" w:rsidRPr="00A00D5E" w:rsidRDefault="00BF5825" w:rsidP="00BF5825">
      <w:pPr>
        <w:spacing w:before="240" w:line="360" w:lineRule="auto"/>
        <w:jc w:val="both"/>
        <w:rPr>
          <w:rFonts w:ascii="Palatino Linotype" w:hAnsi="Palatino Linotype" w:cs="Arial"/>
          <w:sz w:val="24"/>
          <w:szCs w:val="24"/>
          <w:lang w:val="es-ES"/>
        </w:rPr>
      </w:pPr>
      <w:r w:rsidRPr="00A00D5E">
        <w:rPr>
          <w:rFonts w:ascii="Palatino Linotype" w:hAnsi="Palatino Linotype" w:cs="Arial"/>
          <w:color w:val="000000" w:themeColor="text1"/>
          <w:sz w:val="24"/>
          <w:szCs w:val="24"/>
        </w:rPr>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A00D5E">
        <w:rPr>
          <w:rFonts w:ascii="Palatino Linotype" w:hAnsi="Palatino Linotype" w:cs="Arial"/>
          <w:b/>
          <w:color w:val="000000" w:themeColor="text1"/>
          <w:sz w:val="24"/>
          <w:szCs w:val="24"/>
        </w:rPr>
        <w:t>“</w:t>
      </w:r>
      <w:r w:rsidRPr="00A00D5E">
        <w:rPr>
          <w:rFonts w:ascii="Palatino Linotype" w:hAnsi="Palatino Linotype" w:cs="Arial"/>
          <w:b/>
          <w:color w:val="000000" w:themeColor="text1"/>
          <w:sz w:val="24"/>
          <w:szCs w:val="24"/>
          <w:u w:val="single"/>
        </w:rPr>
        <w:t>nómina</w:t>
      </w:r>
      <w:r w:rsidRPr="00A00D5E">
        <w:rPr>
          <w:rFonts w:ascii="Palatino Linotype" w:hAnsi="Palatino Linotype" w:cs="Arial"/>
          <w:b/>
          <w:color w:val="000000" w:themeColor="text1"/>
          <w:sz w:val="24"/>
          <w:szCs w:val="24"/>
        </w:rPr>
        <w:t>”</w:t>
      </w:r>
      <w:r w:rsidRPr="00A00D5E">
        <w:rPr>
          <w:rFonts w:ascii="Palatino Linotype" w:hAnsi="Palatino Linotype" w:cs="Arial"/>
          <w:color w:val="000000" w:themeColor="text1"/>
          <w:sz w:val="24"/>
          <w:szCs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F5825" w:rsidRDefault="00BF5825" w:rsidP="00BF5825">
      <w:pPr>
        <w:spacing w:before="240" w:after="240" w:line="240" w:lineRule="auto"/>
        <w:ind w:left="851" w:right="851"/>
        <w:jc w:val="both"/>
        <w:rPr>
          <w:rFonts w:ascii="Palatino Linotype" w:hAnsi="Palatino Linotype" w:cs="Arial"/>
          <w:b/>
          <w:i/>
          <w:lang w:val="es-ES"/>
        </w:rPr>
      </w:pPr>
      <w:r>
        <w:rPr>
          <w:rFonts w:ascii="Palatino Linotype" w:hAnsi="Palatino Linotype" w:cs="Arial"/>
          <w:b/>
          <w:bCs/>
          <w:i/>
          <w:lang w:val="es-ES"/>
        </w:rPr>
        <w:t xml:space="preserve">“NÓMINA </w:t>
      </w:r>
      <w:r>
        <w:rPr>
          <w:rFonts w:ascii="Palatino Linotype" w:hAnsi="Palatino Linotype" w:cs="Arial"/>
          <w:i/>
          <w:lang w:val="es-ES"/>
        </w:rPr>
        <w:t>Listado general de los trabajadores de una institución, en</w:t>
      </w:r>
      <w:r>
        <w:rPr>
          <w:rFonts w:ascii="Palatino Linotype" w:hAnsi="Palatino Linotype" w:cs="Arial"/>
          <w:b/>
          <w:bCs/>
          <w:i/>
          <w:lang w:val="es-ES"/>
        </w:rPr>
        <w:t xml:space="preserve"> </w:t>
      </w:r>
      <w:r>
        <w:rPr>
          <w:rFonts w:ascii="Palatino Linotype" w:hAnsi="Palatino Linotype" w:cs="Arial"/>
          <w:i/>
          <w:lang w:val="es-ES"/>
        </w:rPr>
        <w:t>el cual se asientan las percepciones brutas, deducciones y</w:t>
      </w:r>
      <w:r>
        <w:rPr>
          <w:rFonts w:ascii="Palatino Linotype" w:hAnsi="Palatino Linotype" w:cs="Arial"/>
          <w:b/>
          <w:bCs/>
          <w:i/>
          <w:lang w:val="es-ES"/>
        </w:rPr>
        <w:t xml:space="preserve"> </w:t>
      </w:r>
      <w:r>
        <w:rPr>
          <w:rFonts w:ascii="Palatino Linotype" w:hAnsi="Palatino Linotype" w:cs="Arial"/>
          <w:i/>
          <w:lang w:val="es-ES"/>
        </w:rPr>
        <w:t xml:space="preserve">alcance neto </w:t>
      </w:r>
      <w:r>
        <w:rPr>
          <w:rFonts w:ascii="Palatino Linotype" w:hAnsi="Palatino Linotype" w:cs="Arial"/>
          <w:i/>
          <w:color w:val="000000"/>
          <w:lang w:val="es-ES"/>
        </w:rPr>
        <w:t>de</w:t>
      </w:r>
      <w:r>
        <w:rPr>
          <w:rFonts w:ascii="Palatino Linotype" w:hAnsi="Palatino Linotype" w:cs="Arial"/>
          <w:i/>
          <w:lang w:val="es-ES"/>
        </w:rPr>
        <w:t xml:space="preserve"> las mismas; la nómina es utilizada para</w:t>
      </w:r>
      <w:r>
        <w:rPr>
          <w:rFonts w:ascii="Palatino Linotype" w:hAnsi="Palatino Linotype" w:cs="Arial"/>
          <w:b/>
          <w:bCs/>
          <w:i/>
          <w:lang w:val="es-ES"/>
        </w:rPr>
        <w:t xml:space="preserve"> </w:t>
      </w:r>
      <w:r>
        <w:rPr>
          <w:rFonts w:ascii="Palatino Linotype" w:hAnsi="Palatino Linotype" w:cs="Arial"/>
          <w:i/>
          <w:lang w:val="es-ES"/>
        </w:rPr>
        <w:t>efectuar los pagos periódicos (semanales, quincenales o</w:t>
      </w:r>
      <w:r>
        <w:rPr>
          <w:rFonts w:ascii="Palatino Linotype" w:hAnsi="Palatino Linotype" w:cs="Arial"/>
          <w:b/>
          <w:bCs/>
          <w:i/>
          <w:lang w:val="es-ES"/>
        </w:rPr>
        <w:t xml:space="preserve"> </w:t>
      </w:r>
      <w:r>
        <w:rPr>
          <w:rFonts w:ascii="Palatino Linotype" w:hAnsi="Palatino Linotype" w:cs="Arial"/>
          <w:i/>
          <w:lang w:val="es-ES"/>
        </w:rPr>
        <w:t>mensuales) a los trabajadores por concepto de sueldos y</w:t>
      </w:r>
      <w:r>
        <w:rPr>
          <w:rFonts w:ascii="Palatino Linotype" w:hAnsi="Palatino Linotype" w:cs="Arial"/>
          <w:b/>
          <w:bCs/>
          <w:i/>
          <w:lang w:val="es-ES"/>
        </w:rPr>
        <w:t xml:space="preserve"> </w:t>
      </w:r>
      <w:r>
        <w:rPr>
          <w:rFonts w:ascii="Palatino Linotype" w:hAnsi="Palatino Linotype" w:cs="Arial"/>
          <w:i/>
          <w:lang w:val="es-ES"/>
        </w:rPr>
        <w:t xml:space="preserve">salarios.” </w:t>
      </w:r>
      <w:r>
        <w:rPr>
          <w:rFonts w:ascii="Palatino Linotype" w:hAnsi="Palatino Linotype" w:cs="Arial"/>
          <w:b/>
          <w:i/>
          <w:lang w:val="es-ES"/>
        </w:rPr>
        <w:t>[Sic]</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 xml:space="preserve">Por tal motivo, es necesario dejar establecido que es la Tesorería Municipal la instancia competente para dar trámite a las solicitudes de información materia de este recurso; </w:t>
      </w:r>
      <w:r w:rsidRPr="00A00D5E">
        <w:rPr>
          <w:rFonts w:ascii="Palatino Linotype" w:eastAsia="Times New Roman" w:hAnsi="Palatino Linotype" w:cs="Arial"/>
          <w:sz w:val="24"/>
          <w:szCs w:val="24"/>
          <w:lang w:eastAsia="es-ES"/>
        </w:rPr>
        <w:lastRenderedPageBreak/>
        <w:t xml:space="preserve">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 Presentar anualmente al ayuntamiento un informe de la situación contable financiera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 Solicitar a las instancias competentes, la práctica de revisiones circunstanciadas, de conformidad con las normas que rigen en materia de control y evaluación gubernamental en el ámbito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XVI. Glosar oportunamente las cuentas del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 Dar cumplimiento a las leyes, convenios de coordinación fiscal y demás que en materia hacendaria celebre el Ayuntamiento con el Estado;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rsidR="00BF5825" w:rsidRPr="00A00D5E" w:rsidRDefault="00BF5825" w:rsidP="00BF5825">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t xml:space="preserve">XXII. </w:t>
      </w:r>
      <w:r w:rsidRPr="00A00D5E">
        <w:rPr>
          <w:rFonts w:ascii="Palatino Linotype" w:eastAsia="Times New Roman" w:hAnsi="Palatino Linotype" w:cs="Arial"/>
          <w:b/>
          <w:i/>
          <w:u w:val="single"/>
          <w:lang w:eastAsia="es-ES"/>
        </w:rPr>
        <w:t>Las que les señalen las demás disposiciones legales y el ayuntamiento.</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lastRenderedPageBreak/>
        <w:t>Es así que, al no encontrarse una disposición específica en el artículo 95 de la Ley en cita que faculte al Tesorero Municipal a elaborar los recibos de nómina, se debe remitir a otros ordenamientos.</w:t>
      </w:r>
    </w:p>
    <w:p w:rsidR="00BF5825" w:rsidRDefault="00BF5825" w:rsidP="00BF5825">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BF5825" w:rsidRPr="00347D2A" w:rsidRDefault="00BF5825" w:rsidP="00BF5825">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F5825" w:rsidRPr="00347D2A" w:rsidRDefault="00BF5825" w:rsidP="00BF5825">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rsidR="00BF5825" w:rsidRPr="00347D2A" w:rsidRDefault="00BF5825" w:rsidP="00BF5825">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rsidR="00470C7E" w:rsidRPr="009235AB" w:rsidRDefault="00BF5825" w:rsidP="00470C7E">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00470C7E" w:rsidRPr="009235AB">
        <w:rPr>
          <w:rFonts w:ascii="Palatino Linotype" w:hAnsi="Palatino Linotype" w:cs="Arial"/>
          <w:bCs/>
        </w:rPr>
        <w:t xml:space="preserve">, el </w:t>
      </w:r>
      <w:r w:rsidR="00470C7E" w:rsidRPr="009235AB">
        <w:rPr>
          <w:rFonts w:ascii="Palatino Linotype" w:hAnsi="Palatino Linotype" w:cs="Arial"/>
        </w:rPr>
        <w:t xml:space="preserve">artículo 3, fracción XXXII del </w:t>
      </w:r>
      <w:r w:rsidR="00470C7E" w:rsidRPr="009235AB">
        <w:rPr>
          <w:rFonts w:ascii="Palatino Linotype" w:hAnsi="Palatino Linotype" w:cs="Arial"/>
          <w:b/>
        </w:rPr>
        <w:t xml:space="preserve">Código Financiero del Estado de México y Municipios </w:t>
      </w:r>
      <w:r w:rsidR="00470C7E" w:rsidRPr="009235AB">
        <w:rPr>
          <w:rFonts w:ascii="Palatino Linotype" w:hAnsi="Palatino Linotype" w:cs="Arial"/>
        </w:rPr>
        <w:t>establece lo siguiente:</w:t>
      </w:r>
    </w:p>
    <w:p w:rsidR="00470C7E" w:rsidRPr="009235AB" w:rsidRDefault="00470C7E" w:rsidP="00470C7E">
      <w:pPr>
        <w:pStyle w:val="Prrafodelista"/>
        <w:spacing w:line="360" w:lineRule="auto"/>
        <w:ind w:left="567" w:right="567"/>
        <w:jc w:val="both"/>
        <w:rPr>
          <w:rFonts w:ascii="Palatino Linotype" w:hAnsi="Palatino Linotype" w:cs="Arial"/>
        </w:rPr>
      </w:pP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w:t>
      </w:r>
    </w:p>
    <w:p w:rsidR="00470C7E" w:rsidRPr="009235AB" w:rsidRDefault="00470C7E" w:rsidP="00470C7E">
      <w:pPr>
        <w:pStyle w:val="Prrafodelista"/>
        <w:spacing w:line="360" w:lineRule="auto"/>
        <w:ind w:left="0"/>
        <w:jc w:val="both"/>
        <w:rPr>
          <w:rFonts w:ascii="Palatino Linotype" w:hAnsi="Palatino Linotype" w:cs="Arial"/>
        </w:rPr>
      </w:pPr>
    </w:p>
    <w:p w:rsidR="00470C7E" w:rsidRPr="009235AB"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w:t>
      </w:r>
      <w:r w:rsidRPr="009235AB">
        <w:rPr>
          <w:rFonts w:ascii="Palatino Linotype" w:hAnsi="Palatino Linotype" w:cs="Arial"/>
        </w:rPr>
        <w:lastRenderedPageBreak/>
        <w:t>primas, comisiones, prestaciones en especie y cualquier otra percepción entregada con motivo del cargo desempeñado; remuneraciones que según el texto constitucional serán públicas.</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lastRenderedPageBreak/>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lastRenderedPageBreak/>
        <w:t>Ahora bien, el artículo 350 del Código Financiero del Estado de México dispone lo que se transcribe a continuación:</w:t>
      </w:r>
    </w:p>
    <w:p w:rsidR="007E1AE4" w:rsidRPr="00347D2A" w:rsidRDefault="007E1AE4" w:rsidP="007E1AE4">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rsidR="007E1AE4" w:rsidRPr="007E1AE4" w:rsidRDefault="007E1AE4" w:rsidP="0009633E">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BB1BD5" w:rsidRDefault="00BB1BD5" w:rsidP="00BB1BD5">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w:t>
      </w:r>
      <w:r w:rsidRPr="002549B2">
        <w:rPr>
          <w:rFonts w:ascii="Palatino Linotype" w:eastAsia="MS Mincho" w:hAnsi="Palatino Linotype" w:cs="Tahoma"/>
          <w:sz w:val="24"/>
          <w:szCs w:val="24"/>
          <w:lang w:val="es-ES_tradnl"/>
        </w:rPr>
        <w:lastRenderedPageBreak/>
        <w:t xml:space="preserve">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BB1BD5" w:rsidRDefault="00BB1BD5" w:rsidP="00BB1BD5">
      <w:pPr>
        <w:widowControl w:val="0"/>
        <w:autoSpaceDE w:val="0"/>
        <w:autoSpaceDN w:val="0"/>
        <w:adjustRightInd w:val="0"/>
        <w:spacing w:after="0" w:line="360" w:lineRule="auto"/>
        <w:jc w:val="both"/>
        <w:rPr>
          <w:noProof/>
          <w:lang w:eastAsia="es-MX"/>
        </w:rPr>
      </w:pP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07A4847F" wp14:editId="4D7B9F94">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717B" id="Rectángulo 13" o:spid="_x0000_s1026" style="position:absolute;margin-left:54.45pt;margin-top:126.45pt;width:33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14:anchorId="1AA5C763" wp14:editId="64DED38A">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46DC4" id="Rectángulo 11" o:spid="_x0000_s1026" style="position:absolute;margin-left:53.7pt;margin-top:167.9pt;width:33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14:anchorId="53664646" wp14:editId="15A2CFE9">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C3E06" id="Rectángulo 14"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Pr>
          <w:noProof/>
          <w:lang w:eastAsia="es-MX"/>
        </w:rPr>
        <w:drawing>
          <wp:inline distT="0" distB="0" distL="0" distR="0" wp14:anchorId="220EE760" wp14:editId="30CF1D86">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14AC7ABE" wp14:editId="37ED956E">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98656" id="Rectángulo 5" o:spid="_x0000_s1026" style="position:absolute;margin-left:14.7pt;margin-top:125.8pt;width:404.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308A5E99" wp14:editId="475BF1EB">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182D6" id="Rectángulo 15" o:spid="_x0000_s1026" style="position:absolute;margin-left:14.7pt;margin-top:248.8pt;width:404.25pt;height: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Pr>
          <w:noProof/>
          <w:lang w:eastAsia="es-MX"/>
        </w:rPr>
        <w:drawing>
          <wp:inline distT="0" distB="0" distL="0" distR="0" wp14:anchorId="2D5C9226" wp14:editId="535F841C">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BB1BD5" w:rsidRPr="00EC3545" w:rsidRDefault="00BB1BD5" w:rsidP="00BB1BD5">
      <w:pPr>
        <w:widowControl w:val="0"/>
        <w:autoSpaceDE w:val="0"/>
        <w:autoSpaceDN w:val="0"/>
        <w:adjustRightInd w:val="0"/>
        <w:spacing w:after="0" w:line="360" w:lineRule="auto"/>
        <w:jc w:val="both"/>
        <w:rPr>
          <w:rFonts w:ascii="Palatino Linotype" w:hAnsi="Palatino Linotype" w:cs="Arial"/>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25C0AE1" wp14:editId="701A1202">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3331C060" wp14:editId="16AE0136">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C714265" wp14:editId="100CE500">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59B9EF57" wp14:editId="4D1FBB3D">
            <wp:extent cx="5638800" cy="45773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BB1BD5" w:rsidRPr="00EC3545"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Pr="00EC3545" w:rsidRDefault="00BB1BD5" w:rsidP="00BB1BD5">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p>
    <w:p w:rsidR="00BB1BD5" w:rsidRPr="002549B2"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toda vez que la Recurrente solicitó los recibos de nómina de todos los integrantes de la administración pública municipal, esto debe entenderse en su término más amplio, por lo que es agible colegir que requiere los recibos de nómina de todos los servidores públicos adscritos a las dependencias de la Administración Pública Municipal y organismos descentralizados, al respecto, los  artículos 3</w:t>
      </w:r>
      <w:r w:rsidR="00893900">
        <w:rPr>
          <w:rFonts w:ascii="Palatino Linotype" w:hAnsi="Palatino Linotype" w:cs="Arial"/>
          <w:color w:val="000000" w:themeColor="text1"/>
          <w:sz w:val="24"/>
          <w:szCs w:val="24"/>
        </w:rPr>
        <w:t>6, 37, 38 y 39</w:t>
      </w:r>
      <w:r>
        <w:rPr>
          <w:rFonts w:ascii="Palatino Linotype" w:hAnsi="Palatino Linotype" w:cs="Arial"/>
          <w:color w:val="000000" w:themeColor="text1"/>
          <w:sz w:val="24"/>
          <w:szCs w:val="24"/>
        </w:rPr>
        <w:t xml:space="preserve"> del Bando Municipal de Tlalmanalco 2019, establecen lo siguiente:</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sz w:val="22"/>
          <w:szCs w:val="22"/>
        </w:rPr>
        <w:t xml:space="preserve">ARTÍCULO 36.- </w:t>
      </w:r>
      <w:r w:rsidRPr="00893900">
        <w:rPr>
          <w:rFonts w:ascii="Palatino" w:hAnsi="Palatino" w:cs="Calibri"/>
          <w:sz w:val="22"/>
          <w:szCs w:val="22"/>
        </w:rPr>
        <w:t xml:space="preserve">Para el despacho de los asuntos municipales, el Ayuntamiento se auxiliará con las dependencias administrativas, organismos públicos descentralizados y entidades de la Administración Pública Municipal que considere necesarias, las que estarán subordinadas al Presidente Municipal.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sz w:val="22"/>
          <w:szCs w:val="22"/>
        </w:rPr>
        <w:t xml:space="preserve">ARTÍCULO 37.- </w:t>
      </w:r>
      <w:r w:rsidRPr="00893900">
        <w:rPr>
          <w:rFonts w:ascii="Palatino" w:hAnsi="Palatino" w:cs="Calibri"/>
          <w:sz w:val="22"/>
          <w:szCs w:val="22"/>
        </w:rPr>
        <w:t xml:space="preserve">La Administración Pública Centralizada es una forma de organización de la Administración Pública del Municipio, cuyos órganos auxilian al Ayuntamiento en el despacho de los asuntos municipales y están subordinados a la Presidencia Municipal.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cs="Calibri"/>
          <w:sz w:val="22"/>
          <w:szCs w:val="22"/>
        </w:rPr>
        <w:t xml:space="preserve">La Administración Pública Centralizada se integra por: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Secretaría del Ayuntamiento;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Tesorería;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Contraloría;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Consejería Jurídica Municipal;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Secretaría Técnica; </w:t>
      </w:r>
    </w:p>
    <w:p w:rsidR="00893900" w:rsidRPr="00893900" w:rsidRDefault="00893900" w:rsidP="00893900">
      <w:pPr>
        <w:pStyle w:val="NormalWeb"/>
        <w:numPr>
          <w:ilvl w:val="0"/>
          <w:numId w:val="23"/>
        </w:numPr>
        <w:tabs>
          <w:tab w:val="clear" w:pos="720"/>
          <w:tab w:val="num" w:pos="1428"/>
        </w:tabs>
        <w:spacing w:line="360" w:lineRule="auto"/>
        <w:ind w:left="1428"/>
        <w:jc w:val="both"/>
        <w:rPr>
          <w:rFonts w:ascii="Palatino" w:hAnsi="Palatino" w:cs="Calibri"/>
          <w:sz w:val="22"/>
          <w:szCs w:val="22"/>
        </w:rPr>
      </w:pPr>
      <w:r w:rsidRPr="00893900">
        <w:rPr>
          <w:rFonts w:ascii="Palatino" w:hAnsi="Palatino" w:cs="Calibri"/>
          <w:sz w:val="22"/>
          <w:szCs w:val="22"/>
        </w:rPr>
        <w:t xml:space="preserve">Direcciones de: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lastRenderedPageBreak/>
        <w:t xml:space="preserve">a)  Bienestar Social;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b)  Desarrollo Económico, Turismo y Cultura;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c)  Obras Públicas, Desarrollo Urbano, Ecología y Agua;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d)  Seguridad Pública y Movilidad;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e)  Innovación Gubernamental y Planeación;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f)  Protección Civil y Bomberos;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g)  Salud;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h)  Servicios Públicos.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i)  Jurídico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j)  Alumbrado público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k)  Educación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l)  Comercio </w:t>
      </w:r>
    </w:p>
    <w:p w:rsidR="00893900" w:rsidRPr="00893900" w:rsidRDefault="00893900" w:rsidP="00893900">
      <w:pPr>
        <w:pStyle w:val="NormalWeb"/>
        <w:spacing w:line="360" w:lineRule="auto"/>
        <w:ind w:left="2148"/>
        <w:jc w:val="both"/>
        <w:rPr>
          <w:rFonts w:ascii="Palatino" w:hAnsi="Palatino" w:cs="Calibri"/>
          <w:sz w:val="22"/>
          <w:szCs w:val="22"/>
        </w:rPr>
      </w:pPr>
      <w:r w:rsidRPr="00893900">
        <w:rPr>
          <w:rFonts w:ascii="Palatino" w:hAnsi="Palatino" w:cs="Calibri"/>
          <w:sz w:val="22"/>
          <w:szCs w:val="22"/>
        </w:rPr>
        <w:t xml:space="preserve">m)  SecretaríaTécnicadelConsejoMunicipaldeSeguridadPública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sz w:val="22"/>
          <w:szCs w:val="22"/>
        </w:rPr>
        <w:t xml:space="preserve">ARTÍCULO 38.- </w:t>
      </w:r>
      <w:r w:rsidRPr="00893900">
        <w:rPr>
          <w:rFonts w:ascii="Palatino" w:hAnsi="Palatino" w:cs="Calibri"/>
          <w:sz w:val="22"/>
          <w:szCs w:val="22"/>
        </w:rPr>
        <w:t xml:space="preserve">La Administración Pública Descentralizada es una de las formas de organización de la Administración Pública Municipal, integrada por Organismos Auxiliares y en su caso por Fideicomisos, con personalidad y patrimonio propios. </w:t>
      </w:r>
    </w:p>
    <w:p w:rsidR="00893900" w:rsidRPr="00893900" w:rsidRDefault="00893900" w:rsidP="00893900">
      <w:pPr>
        <w:pStyle w:val="NormalWeb"/>
        <w:spacing w:line="360" w:lineRule="auto"/>
        <w:ind w:left="708"/>
        <w:jc w:val="both"/>
        <w:rPr>
          <w:rFonts w:ascii="Palatino" w:hAnsi="Palatino" w:cs="Calibri"/>
          <w:sz w:val="22"/>
          <w:szCs w:val="22"/>
        </w:rPr>
      </w:pPr>
      <w:r w:rsidRPr="00893900">
        <w:rPr>
          <w:rFonts w:ascii="Palatino" w:hAnsi="Palatino" w:cs="Calibri"/>
          <w:sz w:val="22"/>
          <w:szCs w:val="22"/>
        </w:rPr>
        <w:t xml:space="preserve">La Administración Pública Descentralizada se integra por: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cs="Calibri"/>
          <w:sz w:val="22"/>
          <w:szCs w:val="22"/>
        </w:rPr>
        <w:lastRenderedPageBreak/>
        <w:t xml:space="preserve">I. Organismos descentralizados: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cs="Calibri"/>
          <w:sz w:val="22"/>
          <w:szCs w:val="22"/>
        </w:rPr>
        <w:t>b) Sistema Municipal para el Desarrollo Integral de la Familia de Tlalmanalco;</w:t>
      </w:r>
      <w:r w:rsidRPr="00893900">
        <w:rPr>
          <w:rFonts w:ascii="Palatino" w:hAnsi="Palatino" w:cs="Calibri"/>
          <w:sz w:val="22"/>
          <w:szCs w:val="22"/>
        </w:rPr>
        <w:br/>
        <w:t>c) Instituto Municipal de Cultura Física y Deporte de Tlalmanalco; y</w:t>
      </w:r>
      <w:r w:rsidRPr="00893900">
        <w:rPr>
          <w:rFonts w:ascii="Palatino" w:hAnsi="Palatino" w:cs="Calibri"/>
          <w:sz w:val="22"/>
          <w:szCs w:val="22"/>
        </w:rPr>
        <w:br/>
        <w:t xml:space="preserve">d) Los demás que determine crear el Ayuntamiento por acuerdo de la Presidencia Municipal.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cs="Calibri"/>
          <w:sz w:val="22"/>
          <w:szCs w:val="22"/>
        </w:rPr>
        <w:t xml:space="preserve">II. Empresas paramunicipales o con participación municipal que determine crear el Ayuntamiento a propuesta del Presidente Municipal.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sz w:val="22"/>
          <w:szCs w:val="22"/>
        </w:rPr>
        <w:t xml:space="preserve">ARTÍCULO 39.- </w:t>
      </w:r>
      <w:r w:rsidRPr="00893900">
        <w:rPr>
          <w:rFonts w:ascii="Palatino" w:hAnsi="Palatino" w:cs="Calibri"/>
          <w:sz w:val="22"/>
          <w:szCs w:val="22"/>
        </w:rPr>
        <w:t xml:space="preserve">Son organismos autónomos los que sin encontrarse directamente en la estructura administrativa del Ayuntamiento, dependen de éste para la consecución de sus fines. </w:t>
      </w:r>
    </w:p>
    <w:p w:rsidR="00893900" w:rsidRPr="00893900" w:rsidRDefault="00893900" w:rsidP="00893900">
      <w:pPr>
        <w:pStyle w:val="NormalWeb"/>
        <w:spacing w:line="360" w:lineRule="auto"/>
        <w:ind w:left="708"/>
        <w:jc w:val="both"/>
        <w:rPr>
          <w:rFonts w:ascii="Palatino" w:hAnsi="Palatino"/>
        </w:rPr>
      </w:pPr>
      <w:r w:rsidRPr="00893900">
        <w:rPr>
          <w:rFonts w:ascii="Palatino" w:hAnsi="Palatino" w:cs="Calibri"/>
          <w:sz w:val="22"/>
          <w:szCs w:val="22"/>
        </w:rPr>
        <w:t xml:space="preserve">La Defensoría Municipal de los Derechos Humanos es un órgano creado por el Ayuntamiento, con autonomía en sus decisiones y en el ejercicio presupuestal, cuyas atribuciones y funciones se encuentran establecidas en la Ley Orgánica Municipal del Estado de México y en el Reglamento de Organización y Funcionamiento de las Defensorías Municipales de Derechos Humanos del Estado de México y demás disposiciones aplicables. </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el Sujeto Obligado, entre sus unidades administrativas, cuenta con la </w:t>
      </w:r>
      <w:r w:rsidR="00893900">
        <w:rPr>
          <w:rFonts w:ascii="Palatino Linotype" w:hAnsi="Palatino Linotype" w:cs="Arial"/>
          <w:color w:val="000000" w:themeColor="text1"/>
          <w:sz w:val="24"/>
          <w:szCs w:val="24"/>
        </w:rPr>
        <w:t>Direccion de Seguridad Publica y Movilidad</w:t>
      </w:r>
      <w:r>
        <w:rPr>
          <w:rFonts w:ascii="Palatino Linotype" w:hAnsi="Palatino Linotype" w:cs="Arial"/>
          <w:color w:val="000000" w:themeColor="text1"/>
          <w:sz w:val="24"/>
          <w:szCs w:val="24"/>
        </w:rPr>
        <w:t>, la cual, tiene por objeto asegurar el pleno goce de las garantías individuales y sociales, la paz, la tranquilidad y el orden público; prevenir la comisión de delitos y la violación de las leyes, reglamentos y demás disposiciones legales aplicables, en el ámbito de su competencia, además mantendrá una adecuada forma de control vehicular y peatonal en las vías públicas.</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Por último, es de señalar que el Recurrente requirió la información generada desde el primero de enero al treinta </w:t>
      </w:r>
      <w:r w:rsidR="00893900">
        <w:rPr>
          <w:rFonts w:ascii="Palatino Linotype" w:hAnsi="Palatino Linotype" w:cs="Arial"/>
          <w:color w:val="000000" w:themeColor="text1"/>
          <w:sz w:val="24"/>
          <w:szCs w:val="24"/>
        </w:rPr>
        <w:t>de abril</w:t>
      </w:r>
      <w:r>
        <w:rPr>
          <w:rFonts w:ascii="Palatino Linotype" w:hAnsi="Palatino Linotype" w:cs="Arial"/>
          <w:color w:val="000000" w:themeColor="text1"/>
          <w:sz w:val="24"/>
          <w:szCs w:val="24"/>
        </w:rPr>
        <w:t xml:space="preserve"> de dos mil diecinueve. De tal forma que el Sujeto Obligado ya debe contar con la información solicitada pues el Calendario de Obligaciones Periódicas 2019 emitido por el OSFEM indica que la fecha límite para entregar los informes mensuales de enero, febrero y marzo fueron los días cuatro de marzo, primero de abril y siete de mayo todos del presente año, respectivamente, tal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555EFCCF" wp14:editId="38156F63">
            <wp:extent cx="5581540" cy="3481689"/>
            <wp:effectExtent l="0" t="0" r="63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97" t="5191" r="30392" b="51766"/>
                    <a:stretch/>
                  </pic:blipFill>
                  <pic:spPr bwMode="auto">
                    <a:xfrm>
                      <a:off x="0" y="0"/>
                      <a:ext cx="5611815" cy="350057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295EE8CE" wp14:editId="3915F762">
            <wp:extent cx="4608999" cy="2399319"/>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49" t="5693" r="17392" b="45570"/>
                    <a:stretch/>
                  </pic:blipFill>
                  <pic:spPr bwMode="auto">
                    <a:xfrm>
                      <a:off x="0" y="0"/>
                      <a:ext cx="4670829" cy="2431506"/>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Pr="00E130C4" w:rsidRDefault="00BB1BD5" w:rsidP="00BB1BD5">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el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 o los Comprobantes Fiscales Digitales por Internet por concepto de nómina del 01 al 15 y del 16 al 30/31 del mes (CFDI)</w:t>
      </w:r>
      <w:r w:rsidRPr="00E130C4">
        <w:rPr>
          <w:rFonts w:ascii="Palatino Linotype" w:hAnsi="Palatino Linotype"/>
        </w:rPr>
        <w:t>; este Órgano Garante considera que son 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de</w:t>
      </w:r>
      <w:r>
        <w:rPr>
          <w:rFonts w:ascii="Palatino Linotype" w:hAnsi="Palatino Linotype"/>
        </w:rPr>
        <w:t xml:space="preserve"> los documento en donde conste la remuneración bruta y neta de todos los servidores, así como todas sus percepciones y deducciones que no se consideren información confidencial, lo anterior respecto de todos los servidores públicos de la administración pública municipal correspondiente al mes de enero, febrero y marzo de dos mil diecinueve</w:t>
      </w:r>
      <w:r w:rsidRPr="00E130C4">
        <w:rPr>
          <w:rFonts w:ascii="Palatino Linotype" w:hAnsi="Palatino Linotype"/>
        </w:rPr>
        <w:t xml:space="preserve">. Asimismo, a fin de salvaguardar la información de los servidores públicos que prestan sus servicios en </w:t>
      </w:r>
      <w:r>
        <w:rPr>
          <w:rFonts w:ascii="Palatino Linotype" w:hAnsi="Palatino Linotype" w:cs="Arial"/>
          <w:color w:val="000000" w:themeColor="text1"/>
        </w:rPr>
        <w:t>la Comisaría de Seguridad Pública y Tránsito Municipal</w:t>
      </w:r>
      <w:r w:rsidRPr="00E130C4">
        <w:rPr>
          <w:rFonts w:ascii="Palatino Linotype" w:hAnsi="Palatino Linotype"/>
        </w:rPr>
        <w:t>, los datos correspondien</w:t>
      </w:r>
      <w:r>
        <w:rPr>
          <w:rFonts w:ascii="Palatino Linotype" w:hAnsi="Palatino Linotype"/>
        </w:rPr>
        <w:t xml:space="preserve">tes al </w:t>
      </w:r>
      <w:r>
        <w:rPr>
          <w:rFonts w:ascii="Palatino Linotype" w:hAnsi="Palatino Linotype"/>
        </w:rPr>
        <w:lastRenderedPageBreak/>
        <w:t>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BB1BD5" w:rsidRPr="00E130C4" w:rsidRDefault="00BB1BD5" w:rsidP="00BB1BD5">
      <w:pPr>
        <w:pStyle w:val="Sinespaciado"/>
        <w:spacing w:line="360" w:lineRule="auto"/>
        <w:jc w:val="both"/>
        <w:rPr>
          <w:rFonts w:ascii="Palatino Linotype" w:hAnsi="Palatino Linotype"/>
        </w:rPr>
      </w:pPr>
    </w:p>
    <w:p w:rsidR="00BB1BD5" w:rsidRDefault="00BB1BD5" w:rsidP="00BB1BD5">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ED735A" w:rsidRDefault="00ED735A" w:rsidP="0009633E">
      <w:pPr>
        <w:spacing w:before="24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Así también, los mismo Lineamientos establecen l</w:t>
      </w:r>
      <w:r w:rsidR="003E3297">
        <w:rPr>
          <w:rFonts w:ascii="Palatino Linotype" w:eastAsia="MS Mincho" w:hAnsi="Palatino Linotype"/>
          <w:sz w:val="24"/>
          <w:szCs w:val="24"/>
          <w:lang w:val="es-ES_tradnl"/>
        </w:rPr>
        <w:t>a</w:t>
      </w:r>
      <w:r>
        <w:rPr>
          <w:rFonts w:ascii="Palatino Linotype" w:eastAsia="MS Mincho" w:hAnsi="Palatino Linotype"/>
          <w:sz w:val="24"/>
          <w:szCs w:val="24"/>
          <w:lang w:val="es-ES_tradnl"/>
        </w:rPr>
        <w:t xml:space="preserve"> clasificación de firmas que deberán de contener los formatos emitidos y los cuales para </w:t>
      </w:r>
      <w:r w:rsidR="003E3297">
        <w:rPr>
          <w:rFonts w:ascii="Palatino Linotype" w:eastAsia="MS Mincho" w:hAnsi="Palatino Linotype"/>
          <w:sz w:val="24"/>
          <w:szCs w:val="24"/>
          <w:lang w:val="es-ES_tradnl"/>
        </w:rPr>
        <w:t xml:space="preserve">el caso de la </w:t>
      </w:r>
      <w:r w:rsidR="007B2103">
        <w:rPr>
          <w:rFonts w:ascii="Palatino Linotype" w:eastAsia="MS Mincho" w:hAnsi="Palatino Linotype"/>
          <w:sz w:val="24"/>
          <w:szCs w:val="24"/>
          <w:lang w:val="es-ES_tradnl"/>
        </w:rPr>
        <w:t>nómina</w:t>
      </w:r>
      <w:r w:rsidR="003E3297">
        <w:rPr>
          <w:rFonts w:ascii="Palatino Linotype" w:eastAsia="MS Mincho" w:hAnsi="Palatino Linotype"/>
          <w:sz w:val="24"/>
          <w:szCs w:val="24"/>
          <w:lang w:val="es-ES_tradnl"/>
        </w:rPr>
        <w:t xml:space="preserve"> general únicamente deberá de llevar la firma del Tesorero Municipal y para </w:t>
      </w:r>
      <w:r w:rsidR="007B2103">
        <w:rPr>
          <w:rFonts w:ascii="Palatino Linotype" w:eastAsia="MS Mincho" w:hAnsi="Palatino Linotype"/>
          <w:sz w:val="24"/>
          <w:szCs w:val="24"/>
          <w:lang w:val="es-ES_tradnl"/>
        </w:rPr>
        <w:t>el caso d</w:t>
      </w:r>
      <w:r>
        <w:rPr>
          <w:rFonts w:ascii="Palatino Linotype" w:eastAsia="MS Mincho" w:hAnsi="Palatino Linotype"/>
          <w:sz w:val="24"/>
          <w:szCs w:val="24"/>
          <w:lang w:val="es-ES_tradnl"/>
        </w:rPr>
        <w:t xml:space="preserve">el Tabulador de Sueldos, deberá de contar con las firmas del Presidente, Tesorero, Sindico y Secretario, como se desprende de la siguiente imagen. </w:t>
      </w:r>
    </w:p>
    <w:p w:rsidR="00ED735A" w:rsidRDefault="00ED735A" w:rsidP="00B0008F">
      <w:pPr>
        <w:spacing w:before="240" w:after="240" w:line="360" w:lineRule="auto"/>
        <w:jc w:val="both"/>
        <w:rPr>
          <w:rFonts w:ascii="Palatino Linotype" w:hAnsi="Palatino Linotype"/>
          <w:i/>
        </w:rPr>
      </w:pPr>
      <w:r>
        <w:rPr>
          <w:noProof/>
          <w:lang w:eastAsia="es-MX"/>
        </w:rPr>
        <w:lastRenderedPageBreak/>
        <w:drawing>
          <wp:inline distT="0" distB="0" distL="0" distR="0" wp14:anchorId="4BE59310" wp14:editId="62F65E4D">
            <wp:extent cx="5495925" cy="347943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24" t="23516" r="27910" b="24750"/>
                    <a:stretch/>
                  </pic:blipFill>
                  <pic:spPr bwMode="auto">
                    <a:xfrm>
                      <a:off x="0" y="0"/>
                      <a:ext cx="5504637" cy="3484950"/>
                    </a:xfrm>
                    <a:prstGeom prst="rect">
                      <a:avLst/>
                    </a:prstGeom>
                    <a:ln>
                      <a:noFill/>
                    </a:ln>
                    <a:extLst>
                      <a:ext uri="{53640926-AAD7-44D8-BBD7-CCE9431645EC}">
                        <a14:shadowObscured xmlns:a14="http://schemas.microsoft.com/office/drawing/2010/main"/>
                      </a:ext>
                    </a:extLst>
                  </pic:spPr>
                </pic:pic>
              </a:graphicData>
            </a:graphic>
          </wp:inline>
        </w:drawing>
      </w:r>
    </w:p>
    <w:p w:rsidR="00ED735A" w:rsidRDefault="007C56AB" w:rsidP="00B0008F">
      <w:pPr>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5408" behindDoc="0" locked="0" layoutInCell="1" allowOverlap="1">
                <wp:simplePos x="0" y="0"/>
                <wp:positionH relativeFrom="column">
                  <wp:posOffset>62865</wp:posOffset>
                </wp:positionH>
                <wp:positionV relativeFrom="paragraph">
                  <wp:posOffset>1483995</wp:posOffset>
                </wp:positionV>
                <wp:extent cx="5619750" cy="23241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619750" cy="2324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8A65F"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95pt,116.85pt" to="447.4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" strokecolor="#5b9bd5 [3204]" strokeweight=".5pt">
                <v:stroke joinstyle="miter"/>
              </v:line>
            </w:pict>
          </mc:Fallback>
        </mc:AlternateContent>
      </w:r>
      <w:r w:rsidR="00ED735A" w:rsidRPr="00ED735A">
        <w:rPr>
          <w:rFonts w:ascii="Palatino Linotype" w:hAnsi="Palatino Linotype"/>
          <w:sz w:val="24"/>
        </w:rPr>
        <w:t>R</w:t>
      </w:r>
      <w:r w:rsidR="00ED735A">
        <w:rPr>
          <w:rFonts w:ascii="Palatino Linotype" w:hAnsi="Palatino Linotype"/>
          <w:sz w:val="24"/>
        </w:rPr>
        <w:t xml:space="preserve">obustece lo anterior, el </w:t>
      </w:r>
      <w:r w:rsidR="00052D39">
        <w:rPr>
          <w:rFonts w:ascii="Palatino Linotype" w:hAnsi="Palatino Linotype"/>
          <w:sz w:val="24"/>
        </w:rPr>
        <w:t>Tabulador de Sueldos formato PbRM 05, en cual se pueden apreciar todos los conceptos que abarcan las remuneraciones de los servidores públicos, los cuales se integraran para el caso que nos ocupa, Dietas, Sueldo Base, Compensación, Gratificación, Otras Percepciones, Aguinaldo, Prima Vacacional y el Total.</w:t>
      </w:r>
    </w:p>
    <w:p w:rsidR="00052D39" w:rsidRDefault="00052D39" w:rsidP="00B0008F">
      <w:pPr>
        <w:spacing w:before="240" w:after="240" w:line="360" w:lineRule="auto"/>
        <w:jc w:val="both"/>
        <w:rPr>
          <w:rFonts w:ascii="Palatino Linotype" w:hAnsi="Palatino Linotype"/>
          <w:sz w:val="28"/>
        </w:rPr>
      </w:pPr>
      <w:r>
        <w:rPr>
          <w:noProof/>
          <w:lang w:eastAsia="es-MX"/>
        </w:rPr>
        <w:lastRenderedPageBreak/>
        <w:drawing>
          <wp:inline distT="0" distB="0" distL="0" distR="0" wp14:anchorId="43581F2B" wp14:editId="03FA1F18">
            <wp:extent cx="5734050" cy="6781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65" t="20282" r="34027" b="15932"/>
                    <a:stretch/>
                  </pic:blipFill>
                  <pic:spPr bwMode="auto">
                    <a:xfrm>
                      <a:off x="0" y="0"/>
                      <a:ext cx="5734050" cy="6781800"/>
                    </a:xfrm>
                    <a:prstGeom prst="rect">
                      <a:avLst/>
                    </a:prstGeom>
                    <a:ln>
                      <a:noFill/>
                    </a:ln>
                    <a:extLst>
                      <a:ext uri="{53640926-AAD7-44D8-BBD7-CCE9431645EC}">
                        <a14:shadowObscured xmlns:a14="http://schemas.microsoft.com/office/drawing/2010/main"/>
                      </a:ext>
                    </a:extLst>
                  </pic:spPr>
                </pic:pic>
              </a:graphicData>
            </a:graphic>
          </wp:inline>
        </w:drawing>
      </w:r>
    </w:p>
    <w:p w:rsidR="00052D39" w:rsidRDefault="00052D39" w:rsidP="00B0008F">
      <w:pPr>
        <w:spacing w:before="240" w:after="240" w:line="360" w:lineRule="auto"/>
        <w:jc w:val="both"/>
        <w:rPr>
          <w:rFonts w:ascii="Palatino Linotype" w:hAnsi="Palatino Linotype"/>
          <w:sz w:val="28"/>
        </w:rPr>
      </w:pPr>
      <w:r>
        <w:rPr>
          <w:noProof/>
          <w:lang w:eastAsia="es-MX"/>
        </w:rPr>
        <w:lastRenderedPageBreak/>
        <w:drawing>
          <wp:inline distT="0" distB="0" distL="0" distR="0" wp14:anchorId="68D1E628" wp14:editId="1017CCF1">
            <wp:extent cx="5724525" cy="320548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34" t="25279" r="34359" b="41799"/>
                    <a:stretch/>
                  </pic:blipFill>
                  <pic:spPr bwMode="auto">
                    <a:xfrm>
                      <a:off x="0" y="0"/>
                      <a:ext cx="5731686" cy="3209490"/>
                    </a:xfrm>
                    <a:prstGeom prst="rect">
                      <a:avLst/>
                    </a:prstGeom>
                    <a:ln>
                      <a:noFill/>
                    </a:ln>
                    <a:extLst>
                      <a:ext uri="{53640926-AAD7-44D8-BBD7-CCE9431645EC}">
                        <a14:shadowObscured xmlns:a14="http://schemas.microsoft.com/office/drawing/2010/main"/>
                      </a:ext>
                    </a:extLst>
                  </pic:spPr>
                </pic:pic>
              </a:graphicData>
            </a:graphic>
          </wp:inline>
        </w:drawing>
      </w:r>
    </w:p>
    <w:p w:rsidR="00052D39" w:rsidRDefault="00052D39" w:rsidP="0040048F">
      <w:pPr>
        <w:spacing w:before="240" w:after="240" w:line="360" w:lineRule="auto"/>
        <w:ind w:left="708" w:hanging="708"/>
        <w:jc w:val="both"/>
        <w:rPr>
          <w:rFonts w:ascii="Palatino Linotype" w:hAnsi="Palatino Linotype"/>
          <w:sz w:val="28"/>
        </w:rPr>
      </w:pPr>
      <w:r>
        <w:rPr>
          <w:noProof/>
          <w:lang w:eastAsia="es-MX"/>
        </w:rPr>
        <w:drawing>
          <wp:inline distT="0" distB="0" distL="0" distR="0" wp14:anchorId="6289AD53" wp14:editId="0714FBF2">
            <wp:extent cx="5724525" cy="3724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935" t="21752" r="30721" b="30629"/>
                    <a:stretch/>
                  </pic:blipFill>
                  <pic:spPr bwMode="auto">
                    <a:xfrm>
                      <a:off x="0" y="0"/>
                      <a:ext cx="5737598" cy="3732780"/>
                    </a:xfrm>
                    <a:prstGeom prst="rect">
                      <a:avLst/>
                    </a:prstGeom>
                    <a:ln>
                      <a:noFill/>
                    </a:ln>
                    <a:extLst>
                      <a:ext uri="{53640926-AAD7-44D8-BBD7-CCE9431645EC}">
                        <a14:shadowObscured xmlns:a14="http://schemas.microsoft.com/office/drawing/2010/main"/>
                      </a:ext>
                    </a:extLst>
                  </pic:spPr>
                </pic:pic>
              </a:graphicData>
            </a:graphic>
          </wp:inline>
        </w:drawing>
      </w:r>
    </w:p>
    <w:p w:rsidR="00A27459" w:rsidRPr="009D1CEC" w:rsidRDefault="00A27459" w:rsidP="00A27459">
      <w:pPr>
        <w:pStyle w:val="Prrafodelista"/>
        <w:numPr>
          <w:ilvl w:val="0"/>
          <w:numId w:val="17"/>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lastRenderedPageBreak/>
        <w:t xml:space="preserve">De la Versión Pública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B2103" w:rsidRPr="00347D2A" w:rsidRDefault="007B2103" w:rsidP="007B2103">
      <w:pPr>
        <w:spacing w:after="0" w:line="360" w:lineRule="auto"/>
        <w:jc w:val="both"/>
        <w:rPr>
          <w:rFonts w:ascii="Palatino Linotype" w:eastAsia="Times New Roman" w:hAnsi="Palatino Linotype" w:cs="Times New Roman"/>
          <w:b/>
          <w:bCs/>
          <w:i/>
          <w:noProof/>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w:t>
      </w:r>
      <w:r w:rsidRPr="00347D2A">
        <w:rPr>
          <w:rFonts w:ascii="Palatino Linotype" w:eastAsia="Times New Roman" w:hAnsi="Palatino Linotype" w:cs="Arial"/>
          <w:b/>
          <w:i/>
          <w:lang w:eastAsia="es-ES"/>
        </w:rPr>
        <w:lastRenderedPageBreak/>
        <w:t xml:space="preserve">responsabilidad de verificar en cada caso que la misma no sea confidencial o 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B2103" w:rsidRPr="00347D2A" w:rsidRDefault="007B2103" w:rsidP="007B2103">
      <w:pPr>
        <w:spacing w:after="0" w:line="240" w:lineRule="auto"/>
        <w:ind w:left="567" w:right="616"/>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347D2A">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B2103" w:rsidRPr="00347D2A" w:rsidRDefault="007B2103" w:rsidP="007B2103">
      <w:pPr>
        <w:spacing w:after="0" w:line="360" w:lineRule="auto"/>
        <w:jc w:val="both"/>
        <w:rPr>
          <w:rFonts w:ascii="Palatino Linotype" w:eastAsia="Arial Unicode MS"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w:t>
      </w:r>
      <w:r w:rsidRPr="00347D2A">
        <w:rPr>
          <w:rFonts w:ascii="Palatino Linotype" w:eastAsia="Times New Roman" w:hAnsi="Palatino Linotype" w:cs="Times New Roman"/>
          <w:sz w:val="24"/>
          <w:szCs w:val="24"/>
          <w:lang w:val="es-ES_tradnl" w:eastAsia="es-ES"/>
        </w:rPr>
        <w:lastRenderedPageBreak/>
        <w:t xml:space="preserve">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rsidR="007B2103" w:rsidRPr="00347D2A" w:rsidRDefault="007B2103" w:rsidP="007B2103">
      <w:pPr>
        <w:spacing w:after="0" w:line="360" w:lineRule="auto"/>
        <w:jc w:val="both"/>
        <w:rPr>
          <w:rFonts w:ascii="Palatino Linotype" w:eastAsia="Times New Roman" w:hAnsi="Palatino Linotype" w:cs="Times New Roman"/>
          <w:sz w:val="24"/>
          <w:szCs w:val="24"/>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w:t>
      </w:r>
      <w:r w:rsidRPr="00347D2A">
        <w:rPr>
          <w:rFonts w:ascii="Palatino Linotype" w:eastAsia="Times New Roman" w:hAnsi="Palatino Linotype" w:cs="Times New Roman"/>
          <w:sz w:val="24"/>
          <w:szCs w:val="24"/>
          <w:lang w:val="es-ES" w:eastAsia="es-MX"/>
        </w:rPr>
        <w:lastRenderedPageBreak/>
        <w:t>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B2103" w:rsidRPr="00347D2A" w:rsidRDefault="007B2103" w:rsidP="007B2103">
      <w:pPr>
        <w:spacing w:after="0" w:line="360" w:lineRule="auto"/>
        <w:jc w:val="both"/>
        <w:rPr>
          <w:rFonts w:ascii="Palatino Linotype" w:eastAsia="Times New Roman" w:hAnsi="Palatino Linotype" w:cs="Times New Roman"/>
          <w:b/>
          <w:bCs/>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7B2103" w:rsidRPr="00347D2A" w:rsidRDefault="007B2103" w:rsidP="007B2103">
      <w:pPr>
        <w:spacing w:after="0" w:line="360" w:lineRule="auto"/>
        <w:jc w:val="both"/>
        <w:rPr>
          <w:rFonts w:ascii="Palatino Linotype" w:eastAsia="Times New Roman" w:hAnsi="Palatino Linotype" w:cs="Arial"/>
          <w:sz w:val="24"/>
          <w:szCs w:val="24"/>
          <w:lang w:val="es-ES" w:eastAsia="es-MX"/>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347D2A">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7B2103" w:rsidRPr="00347D2A" w:rsidRDefault="007B2103" w:rsidP="007B2103">
      <w:pPr>
        <w:spacing w:after="0" w:line="240" w:lineRule="auto"/>
        <w:ind w:left="567" w:right="616"/>
        <w:jc w:val="both"/>
        <w:rPr>
          <w:rFonts w:ascii="Palatino Linotype" w:eastAsia="Times New Roman" w:hAnsi="Palatino Linotype" w:cs="Arial"/>
          <w:bCs/>
          <w:i/>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347D2A">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347D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w:t>
      </w:r>
      <w:r w:rsidRPr="00347D2A">
        <w:rPr>
          <w:rFonts w:ascii="Palatino Linotype" w:eastAsia="Times New Roman" w:hAnsi="Palatino Linotype" w:cs="Times New Roman"/>
          <w:i/>
          <w:noProof/>
          <w:sz w:val="24"/>
          <w:szCs w:val="24"/>
          <w:lang w:val="es-ES"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numPr>
          <w:ilvl w:val="0"/>
          <w:numId w:val="14"/>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lastRenderedPageBreak/>
        <w:t>La mención de que se expiden como tales. Tratándose de certificados de sellos digitales, se deberán especificar las limitantes que tengan para su uso.</w:t>
      </w:r>
    </w:p>
    <w:p w:rsidR="007B2103" w:rsidRPr="00347D2A" w:rsidRDefault="007B2103" w:rsidP="007B2103">
      <w:pPr>
        <w:spacing w:after="0" w:line="240" w:lineRule="auto"/>
        <w:ind w:left="1422"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“Segundo.-</w:t>
      </w:r>
      <w:r w:rsidRPr="00347D2A">
        <w:rPr>
          <w:rFonts w:ascii="Times New Roman" w:eastAsia="Times New Roman" w:hAnsi="Times New Roman" w:cs="Times New Roman"/>
          <w:i/>
          <w:lang w:eastAsia="es-MX"/>
        </w:rPr>
        <w:t xml:space="preserve"> Para efectos de los presentes Lineamientos Generales, se entenderá por:</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347D2A">
        <w:rPr>
          <w:rFonts w:ascii="Times New Roman" w:eastAsia="Times New Roman" w:hAnsi="Times New Roman" w:cs="Times New Roman"/>
          <w:i/>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w:t>
      </w:r>
      <w:r w:rsidRPr="00347D2A">
        <w:rPr>
          <w:rFonts w:ascii="Times New Roman" w:eastAsia="Times New Roman" w:hAnsi="Times New Roman"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rsidR="007B2103" w:rsidRPr="00347D2A" w:rsidRDefault="007B2103" w:rsidP="007B2103">
      <w:pPr>
        <w:spacing w:after="0" w:line="360" w:lineRule="auto"/>
        <w:jc w:val="both"/>
        <w:rPr>
          <w:rFonts w:ascii="Palatino Linotype" w:eastAsia="Times New Roman" w:hAnsi="Palatino Linotype" w:cs="Arial"/>
          <w:i/>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347D2A">
        <w:rPr>
          <w:rFonts w:ascii="Palatino Linotype" w:eastAsia="Times New Roman" w:hAnsi="Palatino Linotype" w:cs="Times New Roman"/>
          <w:i/>
          <w:lang w:eastAsia="es-ES"/>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w:t>
      </w:r>
      <w:r w:rsidRPr="00347D2A">
        <w:rPr>
          <w:rFonts w:ascii="Palatino Linotype" w:eastAsia="Times New Roman" w:hAnsi="Palatino Linotype" w:cs="Arial"/>
          <w:bCs/>
          <w:sz w:val="24"/>
          <w:szCs w:val="24"/>
          <w:lang w:eastAsia="es-ES"/>
        </w:rPr>
        <w:lastRenderedPageBreak/>
        <w:t xml:space="preserve">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w:t>
      </w:r>
      <w:r w:rsidRPr="006010FE">
        <w:rPr>
          <w:rFonts w:ascii="Palatino Linotype" w:eastAsia="MS Mincho" w:hAnsi="Palatino Linotype"/>
          <w:sz w:val="24"/>
        </w:rPr>
        <w:lastRenderedPageBreak/>
        <w:t xml:space="preserve">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w:t>
      </w:r>
      <w:r w:rsidRPr="00C77DFD">
        <w:rPr>
          <w:rFonts w:ascii="Palatino Linotype" w:hAnsi="Palatino Linotype"/>
          <w:sz w:val="24"/>
        </w:rPr>
        <w:lastRenderedPageBreak/>
        <w:t>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893900" w:rsidRPr="00EF1A8D">
        <w:rPr>
          <w:rFonts w:ascii="Palatino Linotype" w:hAnsi="Palatino Linotype" w:cs="Arial"/>
          <w:b/>
          <w:sz w:val="24"/>
        </w:rPr>
        <w:t>00047/TLALMANA/IP/2019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893900" w:rsidRDefault="00893900"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27459" w:rsidRDefault="00A27459" w:rsidP="00A27459">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rsidR="00A27459" w:rsidRDefault="00A27459" w:rsidP="00A27459">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893900" w:rsidRPr="00EF1A8D">
        <w:rPr>
          <w:rFonts w:ascii="Palatino Linotype" w:hAnsi="Palatino Linotype" w:cs="Arial"/>
          <w:b/>
          <w:sz w:val="24"/>
        </w:rPr>
        <w:t>00047/TLALMANA/IP/2019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w:t>
      </w:r>
      <w:r w:rsidRPr="00226C6A">
        <w:rPr>
          <w:rFonts w:ascii="Palatino Linotype" w:hAnsi="Palatino Linotype" w:cs="Arial"/>
          <w:sz w:val="24"/>
          <w:szCs w:val="24"/>
        </w:rPr>
        <w:lastRenderedPageBreak/>
        <w:t>presente resolución</w:t>
      </w:r>
      <w:r>
        <w:rPr>
          <w:rFonts w:ascii="Palatino Linotype" w:hAnsi="Palatino Linotype" w:cs="Arial"/>
          <w:sz w:val="24"/>
          <w:lang w:eastAsia="es-MX"/>
        </w:rPr>
        <w:t xml:space="preserve"> y haga entrega al recurrente, en versión pública</w:t>
      </w:r>
      <w:r w:rsidR="00D87D47">
        <w:rPr>
          <w:rFonts w:ascii="Palatino Linotype" w:hAnsi="Palatino Linotype" w:cs="Arial"/>
          <w:sz w:val="24"/>
          <w:lang w:eastAsia="es-MX"/>
        </w:rPr>
        <w:t>,</w:t>
      </w:r>
      <w:r>
        <w:rPr>
          <w:rFonts w:ascii="Palatino Linotype" w:hAnsi="Palatino Linotype" w:cs="Arial"/>
          <w:sz w:val="24"/>
          <w:lang w:eastAsia="es-MX"/>
        </w:rPr>
        <w:t xml:space="preserve"> a través del SAIMEX, de lo siguiente:</w:t>
      </w:r>
    </w:p>
    <w:p w:rsidR="00BB1BD5" w:rsidRDefault="00BB1BD5" w:rsidP="00893900">
      <w:pPr>
        <w:pStyle w:val="Prrafodelista"/>
        <w:numPr>
          <w:ilvl w:val="0"/>
          <w:numId w:val="20"/>
        </w:numPr>
        <w:spacing w:line="360" w:lineRule="auto"/>
        <w:jc w:val="both"/>
        <w:rPr>
          <w:rFonts w:ascii="Palatino Linotype" w:eastAsia="MS Mincho" w:hAnsi="Palatino Linotype"/>
          <w:i/>
        </w:rPr>
      </w:pPr>
      <w:bookmarkStart w:id="1" w:name="_Hlk13764462"/>
      <w:r w:rsidRPr="00BB1BD5">
        <w:rPr>
          <w:rFonts w:ascii="Palatino Linotype" w:eastAsia="MS Mincho" w:hAnsi="Palatino Linotype"/>
          <w:i/>
        </w:rPr>
        <w:t>Documento o documentos en donde conste La remuneración bruta y neta incluyendo el total de las percepciones de todos los servidores públicos que integran la administración pública municipal, correspondientes a los meses de enero, febrero</w:t>
      </w:r>
      <w:r w:rsidR="007A27B9">
        <w:rPr>
          <w:rFonts w:ascii="Palatino Linotype" w:eastAsia="MS Mincho" w:hAnsi="Palatino Linotype"/>
          <w:i/>
        </w:rPr>
        <w:t>,</w:t>
      </w:r>
      <w:r w:rsidRPr="00BB1BD5">
        <w:rPr>
          <w:rFonts w:ascii="Palatino Linotype" w:eastAsia="MS Mincho" w:hAnsi="Palatino Linotype"/>
          <w:i/>
        </w:rPr>
        <w:t xml:space="preserve"> marzo </w:t>
      </w:r>
      <w:r w:rsidR="007A27B9">
        <w:rPr>
          <w:rFonts w:ascii="Palatino Linotype" w:eastAsia="MS Mincho" w:hAnsi="Palatino Linotype"/>
          <w:i/>
        </w:rPr>
        <w:t xml:space="preserve">y abril </w:t>
      </w:r>
      <w:r w:rsidRPr="00BB1BD5">
        <w:rPr>
          <w:rFonts w:ascii="Palatino Linotype" w:eastAsia="MS Mincho" w:hAnsi="Palatino Linotype"/>
          <w:i/>
        </w:rPr>
        <w:t>de dos mil diecinueve</w:t>
      </w:r>
      <w:r w:rsidR="007A27B9">
        <w:rPr>
          <w:rFonts w:ascii="Palatino Linotype" w:eastAsia="MS Mincho" w:hAnsi="Palatino Linotype"/>
          <w:i/>
        </w:rPr>
        <w:t>.</w:t>
      </w:r>
    </w:p>
    <w:bookmarkEnd w:id="1"/>
    <w:p w:rsidR="00A27459" w:rsidRPr="00BB1BD5" w:rsidRDefault="00A65C79" w:rsidP="00893900">
      <w:pPr>
        <w:pStyle w:val="Prrafodelista"/>
        <w:numPr>
          <w:ilvl w:val="0"/>
          <w:numId w:val="20"/>
        </w:numPr>
        <w:spacing w:line="360" w:lineRule="auto"/>
        <w:jc w:val="both"/>
        <w:rPr>
          <w:rFonts w:ascii="Palatino Linotype" w:eastAsia="MS Mincho" w:hAnsi="Palatino Linotype"/>
          <w:i/>
        </w:rPr>
      </w:pPr>
      <w:r w:rsidRPr="00BB1BD5">
        <w:rPr>
          <w:rFonts w:ascii="Palatino Linotype" w:eastAsia="MS Mincho" w:hAnsi="Palatino Linotype"/>
          <w:i/>
        </w:rPr>
        <w:t>Tabulador de sueldos</w:t>
      </w:r>
      <w:r w:rsidR="00893900">
        <w:rPr>
          <w:rFonts w:ascii="Palatino Linotype" w:eastAsia="MS Mincho" w:hAnsi="Palatino Linotype"/>
          <w:i/>
        </w:rPr>
        <w:t xml:space="preserve"> 2019</w:t>
      </w:r>
      <w:r w:rsidR="006F001B" w:rsidRPr="00BB1BD5">
        <w:rPr>
          <w:rFonts w:ascii="Palatino Linotype" w:eastAsia="MS Mincho" w:hAnsi="Palatino Linotype"/>
          <w:i/>
        </w:rPr>
        <w:t>.</w:t>
      </w:r>
    </w:p>
    <w:p w:rsidR="00A27459" w:rsidRDefault="00A27459" w:rsidP="00A27459">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w:t>
      </w:r>
      <w:r w:rsidR="007A27B9">
        <w:rPr>
          <w:rFonts w:ascii="Palatino Linotype" w:eastAsia="Times New Roman" w:hAnsi="Palatino Linotype" w:cs="Arial"/>
          <w:i/>
          <w:sz w:val="24"/>
          <w:szCs w:val="24"/>
          <w:lang w:val="es-ES" w:eastAsia="es-ES"/>
        </w:rPr>
        <w:t xml:space="preserve">respecto al inciso a) </w:t>
      </w:r>
      <w:r w:rsidRPr="00F00F4B">
        <w:rPr>
          <w:rFonts w:ascii="Palatino Linotype" w:eastAsia="Times New Roman" w:hAnsi="Palatino Linotype" w:cs="Arial"/>
          <w:i/>
          <w:sz w:val="24"/>
          <w:szCs w:val="24"/>
          <w:lang w:val="es-ES" w:eastAsia="es-ES"/>
        </w:rPr>
        <w:t xml:space="preserve">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A65C79" w:rsidRDefault="00A65C79" w:rsidP="00A27459">
      <w:pPr>
        <w:spacing w:before="240" w:after="0" w:line="360" w:lineRule="auto"/>
        <w:ind w:left="720"/>
        <w:jc w:val="both"/>
        <w:rPr>
          <w:rFonts w:ascii="Palatino Linotype" w:eastAsia="Times New Roman" w:hAnsi="Palatino Linotype" w:cs="Arial"/>
          <w:i/>
          <w:sz w:val="24"/>
          <w:szCs w:val="24"/>
          <w:lang w:val="es-ES" w:eastAsia="es-ES"/>
        </w:rPr>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27459" w:rsidRDefault="00A27459"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w:t>
      </w:r>
      <w:r>
        <w:rPr>
          <w:rFonts w:ascii="Palatino Linotype" w:hAnsi="Palatino Linotype" w:cs="Arial"/>
          <w:sz w:val="24"/>
          <w:szCs w:val="24"/>
        </w:rPr>
        <w:lastRenderedPageBreak/>
        <w:t xml:space="preserve">Pública del Estado de México y Municipios, en caso de que considere que la resolución le cause algún perjuicio podrá impugnarla vía juicio de amparo en los términos de las leyes aplicables. </w:t>
      </w: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p>
    <w:p w:rsidR="00A27459" w:rsidRDefault="00A27459" w:rsidP="00A2745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A902C6" w:rsidRDefault="00A902C6" w:rsidP="00A902C6">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EMITIENDO VOTO PARTICULAR, JOSÉ GUADALUPE LUNA HERNÁNDEZ, JAVIER MARTÍNEZ CRUZ Y LUIS GUSTAVO PARRA NORIEGA</w:t>
      </w:r>
      <w:r w:rsidR="006634EA" w:rsidRPr="006634EA">
        <w:rPr>
          <w:rFonts w:ascii="Palatino Linotype" w:hAnsi="Palatino Linotype" w:cs="Arial"/>
          <w:sz w:val="24"/>
          <w:szCs w:val="24"/>
        </w:rPr>
        <w:t xml:space="preserve"> </w:t>
      </w:r>
      <w:r w:rsidR="006634EA">
        <w:rPr>
          <w:rFonts w:ascii="Palatino Linotype" w:hAnsi="Palatino Linotype" w:cs="Arial"/>
          <w:sz w:val="24"/>
          <w:szCs w:val="24"/>
        </w:rPr>
        <w:t>EMITIENDO VOTO PARTICULAR</w:t>
      </w:r>
      <w:r>
        <w:rPr>
          <w:rFonts w:ascii="Palatino Linotype" w:hAnsi="Palatino Linotype" w:cs="Arial"/>
          <w:sz w:val="24"/>
          <w:szCs w:val="24"/>
        </w:rPr>
        <w:t>, EN LA VIGÉSIMA SÉPTIMA SESIÓN ORDINARIA CELEBRADA EL TREINTA Y UNO DE JULIO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rsidR="00A902C6" w:rsidRDefault="00A902C6" w:rsidP="00A902C6">
      <w:pPr>
        <w:spacing w:after="0" w:line="360" w:lineRule="auto"/>
        <w:jc w:val="both"/>
        <w:rPr>
          <w:rFonts w:ascii="Palatino Linotype" w:hAnsi="Palatino Linotype"/>
        </w:rPr>
      </w:pPr>
    </w:p>
    <w:p w:rsidR="00A902C6" w:rsidRDefault="00A902C6" w:rsidP="00A902C6">
      <w:pPr>
        <w:spacing w:before="240"/>
        <w:jc w:val="both"/>
        <w:rPr>
          <w:rFonts w:ascii="Palatino Linotype" w:hAnsi="Palatino Linotype"/>
        </w:rPr>
      </w:pPr>
      <w:r w:rsidRPr="00D54B7D">
        <w:rPr>
          <w:rFonts w:ascii="Palatino Linotype" w:hAnsi="Palatino Linotype"/>
          <w:noProof/>
          <w:lang w:eastAsia="es-MX"/>
        </w:rPr>
        <w:lastRenderedPageBreak/>
        <mc:AlternateContent>
          <mc:Choice Requires="wps">
            <w:drawing>
              <wp:anchor distT="45720" distB="45720" distL="114300" distR="114300" simplePos="0" relativeHeight="251677696" behindDoc="0" locked="0" layoutInCell="1" allowOverlap="1" wp14:anchorId="669A3454" wp14:editId="44D6607E">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902C6"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A345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769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902C6"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pPr>
                        <w:spacing w:line="240" w:lineRule="auto"/>
                        <w:jc w:val="center"/>
                        <w:rPr>
                          <w:rFonts w:ascii="Palatino Linotype" w:hAnsi="Palatino Linotype"/>
                          <w:sz w:val="24"/>
                          <w:szCs w:val="24"/>
                        </w:rPr>
                      </w:pPr>
                    </w:p>
                  </w:txbxContent>
                </v:textbox>
                <w10:wrap type="square" anchorx="page"/>
              </v:shape>
            </w:pict>
          </mc:Fallback>
        </mc:AlternateContent>
      </w:r>
    </w:p>
    <w:p w:rsidR="00A902C6" w:rsidRPr="00D54B7D" w:rsidRDefault="00A902C6" w:rsidP="00A902C6">
      <w:pPr>
        <w:spacing w:before="240"/>
        <w:jc w:val="both"/>
        <w:rPr>
          <w:rFonts w:ascii="Palatino Linotype" w:hAnsi="Palatino Linotype"/>
        </w:rPr>
      </w:pPr>
    </w:p>
    <w:p w:rsidR="00A902C6" w:rsidRPr="00D54B7D" w:rsidRDefault="00A902C6" w:rsidP="00A902C6">
      <w:pPr>
        <w:spacing w:before="240"/>
        <w:jc w:val="center"/>
        <w:rPr>
          <w:rFonts w:ascii="Palatino Linotype" w:hAnsi="Palatino Linotype"/>
        </w:rPr>
      </w:pP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F40A3C7" wp14:editId="1DD7F99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02C6" w:rsidRPr="00EF2FC0" w:rsidRDefault="00A902C6" w:rsidP="00A902C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902C6"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Pr="00797B31" w:rsidRDefault="00A902C6" w:rsidP="00A902C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A3C7" id="Cuadro de texto 35" o:spid="_x0000_s1027" type="#_x0000_t202" style="position:absolute;margin-left:149.05pt;margin-top:.9pt;width:200.25pt;height:7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902C6" w:rsidRPr="00EF2FC0" w:rsidRDefault="00A902C6" w:rsidP="00A902C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902C6"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Pr="00797B31" w:rsidRDefault="00A902C6" w:rsidP="00A902C6">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18FBA4E" wp14:editId="01EAF3A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02C6" w:rsidRPr="00EF2FC0" w:rsidRDefault="00A902C6" w:rsidP="00A902C6">
                            <w:pPr>
                              <w:jc w:val="center"/>
                              <w:rPr>
                                <w:rFonts w:ascii="Palatino Linotype" w:hAnsi="Palatino Linotype"/>
                                <w:b/>
                                <w:sz w:val="24"/>
                                <w:szCs w:val="24"/>
                              </w:rPr>
                            </w:pPr>
                            <w:r w:rsidRPr="00EF2FC0">
                              <w:rPr>
                                <w:rFonts w:ascii="Palatino Linotype" w:hAnsi="Palatino Linotype"/>
                                <w:b/>
                                <w:sz w:val="24"/>
                                <w:szCs w:val="24"/>
                              </w:rPr>
                              <w:t>Eva Abaid Yapur</w:t>
                            </w:r>
                          </w:p>
                          <w:p w:rsidR="00A902C6" w:rsidRPr="00EF2FC0" w:rsidRDefault="00A902C6" w:rsidP="00A902C6">
                            <w:pPr>
                              <w:jc w:val="center"/>
                              <w:rPr>
                                <w:rFonts w:ascii="Palatino Linotype" w:hAnsi="Palatino Linotype"/>
                                <w:sz w:val="24"/>
                                <w:szCs w:val="24"/>
                              </w:rPr>
                            </w:pPr>
                            <w:r w:rsidRPr="00EF2FC0">
                              <w:rPr>
                                <w:rFonts w:ascii="Palatino Linotype" w:hAnsi="Palatino Linotype"/>
                                <w:sz w:val="24"/>
                                <w:szCs w:val="24"/>
                              </w:rPr>
                              <w:t>Comisionada</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BA4E" id="Cuadro de texto 22"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902C6" w:rsidRPr="00EF2FC0" w:rsidRDefault="00A902C6" w:rsidP="00A902C6">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A902C6" w:rsidRPr="00EF2FC0" w:rsidRDefault="00A902C6" w:rsidP="00A902C6">
                      <w:pPr>
                        <w:jc w:val="center"/>
                        <w:rPr>
                          <w:rFonts w:ascii="Palatino Linotype" w:hAnsi="Palatino Linotype"/>
                          <w:sz w:val="24"/>
                          <w:szCs w:val="24"/>
                        </w:rPr>
                      </w:pPr>
                      <w:r w:rsidRPr="00EF2FC0">
                        <w:rPr>
                          <w:rFonts w:ascii="Palatino Linotype" w:hAnsi="Palatino Linotype"/>
                          <w:sz w:val="24"/>
                          <w:szCs w:val="24"/>
                        </w:rPr>
                        <w:t>Comisionada</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pPr>
                        <w:jc w:val="center"/>
                      </w:pPr>
                    </w:p>
                  </w:txbxContent>
                </v:textbox>
                <w10:wrap anchorx="margin"/>
              </v:shape>
            </w:pict>
          </mc:Fallback>
        </mc:AlternateContent>
      </w:r>
    </w:p>
    <w:p w:rsidR="00A902C6" w:rsidRPr="00D54B7D" w:rsidRDefault="00A902C6" w:rsidP="00A902C6">
      <w:pPr>
        <w:spacing w:before="240"/>
        <w:rPr>
          <w:rFonts w:ascii="Palatino Linotype" w:hAnsi="Palatino Linotype"/>
          <w:b/>
        </w:rPr>
      </w:pPr>
    </w:p>
    <w:p w:rsidR="00A902C6" w:rsidRPr="00D54B7D"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p>
    <w:p w:rsidR="00A902C6" w:rsidRPr="00B93570" w:rsidRDefault="00A902C6" w:rsidP="00A902C6">
      <w:pPr>
        <w:spacing w:before="240"/>
        <w:rPr>
          <w:rFonts w:ascii="Palatino Linotype" w:hAnsi="Palatino Linotype"/>
          <w:b/>
          <w:sz w:val="18"/>
          <w:szCs w:val="18"/>
        </w:rPr>
      </w:pPr>
    </w:p>
    <w:p w:rsidR="00A902C6" w:rsidRPr="00B93570" w:rsidRDefault="00A902C6" w:rsidP="00A902C6">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2D91A1FD" wp14:editId="470029DB">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02C6" w:rsidRPr="00EF2FC0" w:rsidRDefault="00A902C6" w:rsidP="00A902C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1A1FD" id="Cuadro de texto 4" o:spid="_x0000_s1029" type="#_x0000_t202" style="position:absolute;margin-left:358.05pt;margin-top:19.05pt;width:168pt;height:7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902C6" w:rsidRPr="00EF2FC0" w:rsidRDefault="00A902C6" w:rsidP="00A902C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6C5297ED" wp14:editId="379B4DB1">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97ED" id="_x0000_s1030" type="#_x0000_t202" style="position:absolute;margin-left:85.5pt;margin-top:18.25pt;width:168pt;height:7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b/>
                          <w:sz w:val="24"/>
                          <w:szCs w:val="24"/>
                        </w:rPr>
                        <w:t>Javier</w:t>
                      </w:r>
                      <w:bookmarkStart w:id="2" w:name="_GoBack"/>
                      <w:bookmarkEnd w:id="2"/>
                      <w:r w:rsidRPr="00EF2FC0">
                        <w:rPr>
                          <w:rFonts w:ascii="Palatino Linotype" w:hAnsi="Palatino Linotype"/>
                          <w:b/>
                          <w:sz w:val="24"/>
                          <w:szCs w:val="24"/>
                        </w:rPr>
                        <w:t xml:space="preserve"> Martínez Cruz</w:t>
                      </w:r>
                    </w:p>
                    <w:p w:rsidR="00A902C6" w:rsidRPr="00EF2FC0" w:rsidRDefault="00A902C6"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A902C6" w:rsidRDefault="00A902C6" w:rsidP="00A902C6"/>
                  </w:txbxContent>
                </v:textbox>
                <w10:wrap anchorx="page"/>
              </v:shape>
            </w:pict>
          </mc:Fallback>
        </mc:AlternateContent>
      </w: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cs="Arial"/>
          <w:szCs w:val="20"/>
        </w:rPr>
      </w:pPr>
    </w:p>
    <w:p w:rsidR="00A902C6" w:rsidRDefault="00A902C6" w:rsidP="00A902C6">
      <w:pPr>
        <w:spacing w:before="240"/>
        <w:rPr>
          <w:rFonts w:ascii="Palatino Linotype" w:hAnsi="Palatino Linotype" w:cs="Arial"/>
          <w:szCs w:val="20"/>
        </w:rPr>
      </w:pPr>
    </w:p>
    <w:p w:rsidR="00A902C6" w:rsidRDefault="00A902C6" w:rsidP="00A902C6">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5C005D09" wp14:editId="14FE0507">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02C6" w:rsidRPr="007F6133" w:rsidRDefault="00A902C6" w:rsidP="00A902C6">
                            <w:pPr>
                              <w:jc w:val="center"/>
                              <w:rPr>
                                <w:rFonts w:ascii="Palatino Linotype" w:hAnsi="Palatino Linotype"/>
                                <w:b/>
                                <w:sz w:val="24"/>
                                <w:szCs w:val="24"/>
                              </w:rPr>
                            </w:pPr>
                            <w:r w:rsidRPr="00B86F1F">
                              <w:rPr>
                                <w:rFonts w:ascii="Palatino Linotype" w:hAnsi="Palatino Linotype"/>
                                <w:b/>
                                <w:sz w:val="24"/>
                                <w:szCs w:val="24"/>
                              </w:rPr>
                              <w:t>Alexis Tapia Ramírez</w:t>
                            </w:r>
                          </w:p>
                          <w:p w:rsidR="00A902C6" w:rsidRDefault="00A902C6" w:rsidP="00A902C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902C6" w:rsidRDefault="00A902C6" w:rsidP="00A902C6">
                            <w:pPr>
                              <w:jc w:val="center"/>
                              <w:rPr>
                                <w:rFonts w:ascii="Palatino Linotype" w:hAnsi="Palatino Linotype"/>
                                <w:sz w:val="24"/>
                                <w:szCs w:val="24"/>
                              </w:rPr>
                            </w:pPr>
                          </w:p>
                          <w:p w:rsidR="00A902C6" w:rsidRPr="00EF2FC0" w:rsidRDefault="00A902C6" w:rsidP="00A902C6">
                            <w:pPr>
                              <w:jc w:val="center"/>
                              <w:rPr>
                                <w:rFonts w:ascii="Palatino Linotype" w:hAnsi="Palatino Linotype"/>
                                <w:sz w:val="24"/>
                                <w:szCs w:val="24"/>
                              </w:rPr>
                            </w:pPr>
                          </w:p>
                          <w:p w:rsidR="00A902C6" w:rsidRDefault="00A902C6"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5D09" id="Cuadro de texto 24" o:spid="_x0000_s1031" type="#_x0000_t202" style="position:absolute;margin-left:189.8pt;margin-top:26.8pt;width:248.25pt;height:67.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A902C6" w:rsidRPr="007F6133" w:rsidRDefault="00A902C6" w:rsidP="00A902C6">
                      <w:pPr>
                        <w:jc w:val="center"/>
                        <w:rPr>
                          <w:rFonts w:ascii="Palatino Linotype" w:hAnsi="Palatino Linotype"/>
                          <w:b/>
                          <w:sz w:val="24"/>
                          <w:szCs w:val="24"/>
                        </w:rPr>
                      </w:pPr>
                      <w:r w:rsidRPr="00B86F1F">
                        <w:rPr>
                          <w:rFonts w:ascii="Palatino Linotype" w:hAnsi="Palatino Linotype"/>
                          <w:b/>
                          <w:sz w:val="24"/>
                          <w:szCs w:val="24"/>
                        </w:rPr>
                        <w:t>Alexis Tapia Ramírez</w:t>
                      </w:r>
                    </w:p>
                    <w:p w:rsidR="00A902C6" w:rsidRDefault="00A902C6" w:rsidP="00A902C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902C6" w:rsidRDefault="00A902C6" w:rsidP="00A902C6">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902C6" w:rsidRDefault="00A902C6" w:rsidP="00A902C6">
                      <w:pPr>
                        <w:jc w:val="center"/>
                        <w:rPr>
                          <w:rFonts w:ascii="Palatino Linotype" w:hAnsi="Palatino Linotype"/>
                          <w:sz w:val="24"/>
                          <w:szCs w:val="24"/>
                        </w:rPr>
                      </w:pPr>
                    </w:p>
                    <w:p w:rsidR="00A902C6" w:rsidRPr="00EF2FC0" w:rsidRDefault="00A902C6" w:rsidP="00A902C6">
                      <w:pPr>
                        <w:jc w:val="center"/>
                        <w:rPr>
                          <w:rFonts w:ascii="Palatino Linotype" w:hAnsi="Palatino Linotype"/>
                          <w:sz w:val="24"/>
                          <w:szCs w:val="24"/>
                        </w:rPr>
                      </w:pPr>
                    </w:p>
                    <w:p w:rsidR="00A902C6" w:rsidRDefault="00A902C6" w:rsidP="00A902C6"/>
                  </w:txbxContent>
                </v:textbox>
                <w10:wrap anchorx="page"/>
              </v:shape>
            </w:pict>
          </mc:Fallback>
        </mc:AlternateContent>
      </w:r>
    </w:p>
    <w:p w:rsidR="00A902C6" w:rsidRDefault="00A902C6" w:rsidP="00A902C6">
      <w:pPr>
        <w:spacing w:before="240"/>
        <w:rPr>
          <w:rFonts w:ascii="Palatino Linotype" w:hAnsi="Palatino Linotype" w:cs="Arial"/>
          <w:sz w:val="18"/>
          <w:szCs w:val="18"/>
        </w:rPr>
      </w:pPr>
    </w:p>
    <w:p w:rsidR="00A902C6" w:rsidRDefault="00A902C6" w:rsidP="00A902C6">
      <w:pPr>
        <w:spacing w:before="240"/>
        <w:jc w:val="both"/>
        <w:rPr>
          <w:rFonts w:ascii="Palatino Linotype" w:hAnsi="Palatino Linotype" w:cs="Arial"/>
          <w:sz w:val="18"/>
          <w:szCs w:val="18"/>
        </w:rPr>
      </w:pPr>
    </w:p>
    <w:p w:rsidR="00A902C6" w:rsidRDefault="00A902C6" w:rsidP="00A902C6">
      <w:pPr>
        <w:spacing w:before="240" w:line="240" w:lineRule="auto"/>
        <w:jc w:val="both"/>
        <w:rPr>
          <w:rFonts w:ascii="Palatino Linotype" w:hAnsi="Palatino Linotype" w:cs="Arial"/>
          <w:sz w:val="14"/>
          <w:szCs w:val="14"/>
        </w:rPr>
      </w:pPr>
    </w:p>
    <w:p w:rsidR="00A902C6" w:rsidRPr="002052F6" w:rsidRDefault="00A902C6" w:rsidP="00A902C6">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treinta y uno de julio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04175/INFOEM/IP/RR/2019</w:t>
      </w:r>
      <w:r w:rsidRPr="002052F6">
        <w:rPr>
          <w:rFonts w:ascii="Palatino Linotype" w:hAnsi="Palatino Linotype" w:cs="Arial"/>
          <w:sz w:val="16"/>
          <w:szCs w:val="16"/>
        </w:rPr>
        <w:t>.</w:t>
      </w:r>
    </w:p>
    <w:p w:rsidR="00DD13E2" w:rsidRDefault="00A902C6" w:rsidP="00A902C6">
      <w:pPr>
        <w:spacing w:after="0"/>
      </w:pPr>
      <w:r w:rsidRPr="002052F6">
        <w:t>ZMS/OSAM/MAEM</w:t>
      </w:r>
    </w:p>
    <w:sectPr w:rsidR="00DD13E2" w:rsidSect="00E15E85">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59B" w:rsidRDefault="00F2059B" w:rsidP="00E15E85">
      <w:pPr>
        <w:spacing w:after="0" w:line="240" w:lineRule="auto"/>
      </w:pPr>
      <w:r>
        <w:separator/>
      </w:r>
    </w:p>
  </w:endnote>
  <w:endnote w:type="continuationSeparator" w:id="0">
    <w:p w:rsidR="00F2059B" w:rsidRDefault="00F2059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00" w:rsidRPr="000B69FA" w:rsidRDefault="0089390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00" w:rsidRPr="000B69FA" w:rsidRDefault="0089390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59B" w:rsidRDefault="00F2059B" w:rsidP="00E15E85">
      <w:pPr>
        <w:spacing w:after="0" w:line="240" w:lineRule="auto"/>
      </w:pPr>
      <w:r>
        <w:separator/>
      </w:r>
    </w:p>
  </w:footnote>
  <w:footnote w:type="continuationSeparator" w:id="0">
    <w:p w:rsidR="00F2059B" w:rsidRDefault="00F2059B" w:rsidP="00E15E85">
      <w:pPr>
        <w:spacing w:after="0" w:line="240" w:lineRule="auto"/>
      </w:pPr>
      <w:r>
        <w:continuationSeparator/>
      </w:r>
    </w:p>
  </w:footnote>
  <w:footnote w:id="1">
    <w:p w:rsidR="00893900" w:rsidRPr="00911081" w:rsidRDefault="00893900"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93900" w:rsidRPr="00911081" w:rsidRDefault="00893900"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93900" w:rsidRPr="00B92BC3" w:rsidRDefault="00893900"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893900" w:rsidRDefault="00893900"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00" w:rsidRDefault="0089390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93900" w:rsidTr="00E15E85">
      <w:trPr>
        <w:trHeight w:val="227"/>
      </w:trPr>
      <w:tc>
        <w:tcPr>
          <w:tcW w:w="5529" w:type="dxa"/>
          <w:hideMark/>
        </w:tcPr>
        <w:p w:rsidR="00893900" w:rsidRDefault="008939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93900" w:rsidRPr="00D56BC3" w:rsidRDefault="00893900"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04175</w:t>
          </w:r>
          <w:r w:rsidRPr="0037311B">
            <w:rPr>
              <w:rFonts w:ascii="Palatino Linotype" w:hAnsi="Palatino Linotype" w:cs="Arial"/>
              <w:bCs/>
              <w:sz w:val="24"/>
              <w:lang w:eastAsia="es-MX"/>
            </w:rPr>
            <w:t>/INFOEM/IP/RR/2019</w:t>
          </w:r>
        </w:p>
      </w:tc>
    </w:tr>
    <w:tr w:rsidR="00893900" w:rsidTr="00E15E85">
      <w:trPr>
        <w:trHeight w:val="242"/>
      </w:trPr>
      <w:tc>
        <w:tcPr>
          <w:tcW w:w="5529" w:type="dxa"/>
          <w:hideMark/>
        </w:tcPr>
        <w:p w:rsidR="00893900" w:rsidRDefault="008939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93900" w:rsidRDefault="00893900" w:rsidP="00BA65E0">
          <w:pPr>
            <w:spacing w:after="120" w:line="256" w:lineRule="auto"/>
            <w:ind w:left="-486" w:right="214" w:firstLine="284"/>
            <w:jc w:val="right"/>
            <w:rPr>
              <w:rFonts w:ascii="Palatino Linotype" w:hAnsi="Palatino Linotype" w:cs="Arial"/>
              <w:szCs w:val="20"/>
            </w:rPr>
          </w:pPr>
          <w:r w:rsidRPr="00EF1A8D">
            <w:rPr>
              <w:rFonts w:ascii="Palatino Linotype" w:hAnsi="Palatino Linotype" w:cs="Arial"/>
              <w:szCs w:val="20"/>
            </w:rPr>
            <w:t>Ayuntamiento de Tlalmanalco</w:t>
          </w:r>
        </w:p>
      </w:tc>
    </w:tr>
    <w:tr w:rsidR="00893900" w:rsidTr="00E15E85">
      <w:trPr>
        <w:trHeight w:val="342"/>
      </w:trPr>
      <w:tc>
        <w:tcPr>
          <w:tcW w:w="5529" w:type="dxa"/>
          <w:hideMark/>
        </w:tcPr>
        <w:p w:rsidR="00893900" w:rsidRDefault="0089390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93900" w:rsidRDefault="0089390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93900" w:rsidRDefault="008939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93900" w:rsidTr="00E15E85">
      <w:trPr>
        <w:trHeight w:val="227"/>
      </w:trPr>
      <w:tc>
        <w:tcPr>
          <w:tcW w:w="5529" w:type="dxa"/>
          <w:hideMark/>
        </w:tcPr>
        <w:p w:rsidR="00893900" w:rsidRDefault="008939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93900" w:rsidRPr="00B4142F" w:rsidRDefault="00893900"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04175/</w:t>
          </w:r>
          <w:r w:rsidRPr="0037311B">
            <w:rPr>
              <w:rFonts w:ascii="Palatino Linotype" w:hAnsi="Palatino Linotype" w:cs="Arial"/>
              <w:bCs/>
              <w:sz w:val="24"/>
              <w:lang w:eastAsia="es-MX"/>
            </w:rPr>
            <w:t>INFOEM/IP/RR/2019</w:t>
          </w:r>
        </w:p>
      </w:tc>
    </w:tr>
    <w:tr w:rsidR="00893900" w:rsidTr="00E15E85">
      <w:trPr>
        <w:trHeight w:val="196"/>
      </w:trPr>
      <w:tc>
        <w:tcPr>
          <w:tcW w:w="5529" w:type="dxa"/>
          <w:hideMark/>
        </w:tcPr>
        <w:p w:rsidR="00893900" w:rsidRDefault="008939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93900" w:rsidRPr="00F06FED" w:rsidRDefault="007110A0"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893900" w:rsidTr="00E15E85">
      <w:trPr>
        <w:trHeight w:val="242"/>
      </w:trPr>
      <w:tc>
        <w:tcPr>
          <w:tcW w:w="5529" w:type="dxa"/>
          <w:hideMark/>
        </w:tcPr>
        <w:p w:rsidR="00893900" w:rsidRDefault="008939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93900" w:rsidRDefault="00893900" w:rsidP="0015550A">
          <w:pPr>
            <w:spacing w:after="120" w:line="256" w:lineRule="auto"/>
            <w:ind w:left="-495" w:right="214" w:firstLine="567"/>
            <w:jc w:val="right"/>
            <w:rPr>
              <w:rFonts w:ascii="Palatino Linotype" w:hAnsi="Palatino Linotype" w:cs="Arial"/>
              <w:szCs w:val="20"/>
            </w:rPr>
          </w:pPr>
          <w:r w:rsidRPr="00EF1A8D">
            <w:rPr>
              <w:rFonts w:ascii="Palatino Linotype" w:hAnsi="Palatino Linotype" w:cs="Arial"/>
              <w:szCs w:val="20"/>
            </w:rPr>
            <w:t>Ayuntamiento de Tlalmanalco</w:t>
          </w:r>
        </w:p>
      </w:tc>
    </w:tr>
    <w:tr w:rsidR="00893900" w:rsidTr="00E15E85">
      <w:trPr>
        <w:trHeight w:val="342"/>
      </w:trPr>
      <w:tc>
        <w:tcPr>
          <w:tcW w:w="5529" w:type="dxa"/>
          <w:hideMark/>
        </w:tcPr>
        <w:p w:rsidR="00893900" w:rsidRDefault="0089390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93900" w:rsidRDefault="0089390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93900" w:rsidRDefault="008939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57DB9"/>
    <w:multiLevelType w:val="hybridMultilevel"/>
    <w:tmpl w:val="18640776"/>
    <w:numStyleLink w:val="Estiloimportado2"/>
  </w:abstractNum>
  <w:abstractNum w:abstractNumId="17"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num>
  <w:num w:numId="3">
    <w:abstractNumId w:val="15"/>
  </w:num>
  <w:num w:numId="4">
    <w:abstractNumId w:val="10"/>
  </w:num>
  <w:num w:numId="5">
    <w:abstractNumId w:val="16"/>
  </w:num>
  <w:num w:numId="6">
    <w:abstractNumId w:val="5"/>
  </w:num>
  <w:num w:numId="7">
    <w:abstractNumId w:val="21"/>
  </w:num>
  <w:num w:numId="8">
    <w:abstractNumId w:val="13"/>
  </w:num>
  <w:num w:numId="9">
    <w:abstractNumId w:val="6"/>
  </w:num>
  <w:num w:numId="10">
    <w:abstractNumId w:val="20"/>
  </w:num>
  <w:num w:numId="11">
    <w:abstractNumId w:val="9"/>
  </w:num>
  <w:num w:numId="12">
    <w:abstractNumId w:val="12"/>
  </w:num>
  <w:num w:numId="13">
    <w:abstractNumId w:val="1"/>
  </w:num>
  <w:num w:numId="14">
    <w:abstractNumId w:val="7"/>
  </w:num>
  <w:num w:numId="15">
    <w:abstractNumId w:val="14"/>
  </w:num>
  <w:num w:numId="16">
    <w:abstractNumId w:val="17"/>
  </w:num>
  <w:num w:numId="17">
    <w:abstractNumId w:val="18"/>
  </w:num>
  <w:num w:numId="18">
    <w:abstractNumId w:val="0"/>
  </w:num>
  <w:num w:numId="19">
    <w:abstractNumId w:val="2"/>
  </w:num>
  <w:num w:numId="20">
    <w:abstractNumId w:val="22"/>
  </w:num>
  <w:num w:numId="21">
    <w:abstractNumId w:val="8"/>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B3927"/>
    <w:rsid w:val="000C22EC"/>
    <w:rsid w:val="000C59EE"/>
    <w:rsid w:val="000F019E"/>
    <w:rsid w:val="00113310"/>
    <w:rsid w:val="0011750A"/>
    <w:rsid w:val="0012266D"/>
    <w:rsid w:val="00130D58"/>
    <w:rsid w:val="00142F61"/>
    <w:rsid w:val="00152B26"/>
    <w:rsid w:val="0015550A"/>
    <w:rsid w:val="00171BD5"/>
    <w:rsid w:val="00183623"/>
    <w:rsid w:val="001B066D"/>
    <w:rsid w:val="001B3E5E"/>
    <w:rsid w:val="001C28D0"/>
    <w:rsid w:val="001C3E01"/>
    <w:rsid w:val="001C3F41"/>
    <w:rsid w:val="001C7069"/>
    <w:rsid w:val="001F295E"/>
    <w:rsid w:val="001F5D0E"/>
    <w:rsid w:val="002052F6"/>
    <w:rsid w:val="00217E99"/>
    <w:rsid w:val="0022069E"/>
    <w:rsid w:val="00223C2F"/>
    <w:rsid w:val="00224181"/>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E3702"/>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B465B"/>
    <w:rsid w:val="003C5897"/>
    <w:rsid w:val="003E3297"/>
    <w:rsid w:val="0040048F"/>
    <w:rsid w:val="004254FE"/>
    <w:rsid w:val="00437C82"/>
    <w:rsid w:val="00470C7E"/>
    <w:rsid w:val="00492244"/>
    <w:rsid w:val="004A2BFB"/>
    <w:rsid w:val="004C3693"/>
    <w:rsid w:val="004E6DB3"/>
    <w:rsid w:val="004F05B2"/>
    <w:rsid w:val="00523067"/>
    <w:rsid w:val="00527856"/>
    <w:rsid w:val="00527C6A"/>
    <w:rsid w:val="005329E8"/>
    <w:rsid w:val="005733EB"/>
    <w:rsid w:val="0057576D"/>
    <w:rsid w:val="00576C26"/>
    <w:rsid w:val="005820BF"/>
    <w:rsid w:val="00587783"/>
    <w:rsid w:val="005C7580"/>
    <w:rsid w:val="00611799"/>
    <w:rsid w:val="00614FDD"/>
    <w:rsid w:val="00616784"/>
    <w:rsid w:val="00631B59"/>
    <w:rsid w:val="00653B08"/>
    <w:rsid w:val="00654B56"/>
    <w:rsid w:val="006634EA"/>
    <w:rsid w:val="00673CFD"/>
    <w:rsid w:val="006A08BA"/>
    <w:rsid w:val="006B2E10"/>
    <w:rsid w:val="006C1A4F"/>
    <w:rsid w:val="006F001B"/>
    <w:rsid w:val="006F2EA8"/>
    <w:rsid w:val="00707CD8"/>
    <w:rsid w:val="007110A0"/>
    <w:rsid w:val="00713A19"/>
    <w:rsid w:val="0071620F"/>
    <w:rsid w:val="00740AC8"/>
    <w:rsid w:val="00755099"/>
    <w:rsid w:val="007654BC"/>
    <w:rsid w:val="0079194D"/>
    <w:rsid w:val="007A0267"/>
    <w:rsid w:val="007A1183"/>
    <w:rsid w:val="007A27B9"/>
    <w:rsid w:val="007A3D09"/>
    <w:rsid w:val="007B2103"/>
    <w:rsid w:val="007C1445"/>
    <w:rsid w:val="007C56AB"/>
    <w:rsid w:val="007C64C1"/>
    <w:rsid w:val="007D276C"/>
    <w:rsid w:val="007D48FA"/>
    <w:rsid w:val="007D62B3"/>
    <w:rsid w:val="007E1AE4"/>
    <w:rsid w:val="007E2959"/>
    <w:rsid w:val="00807D14"/>
    <w:rsid w:val="00845C1C"/>
    <w:rsid w:val="00856325"/>
    <w:rsid w:val="00872278"/>
    <w:rsid w:val="00875499"/>
    <w:rsid w:val="0087560D"/>
    <w:rsid w:val="00881D0D"/>
    <w:rsid w:val="00891F82"/>
    <w:rsid w:val="00893900"/>
    <w:rsid w:val="008A12F6"/>
    <w:rsid w:val="008A5E77"/>
    <w:rsid w:val="008B34EC"/>
    <w:rsid w:val="008D6D31"/>
    <w:rsid w:val="008E0E21"/>
    <w:rsid w:val="008E5141"/>
    <w:rsid w:val="008E7408"/>
    <w:rsid w:val="008F7A52"/>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E3B36"/>
    <w:rsid w:val="009F7948"/>
    <w:rsid w:val="00A27459"/>
    <w:rsid w:val="00A459D0"/>
    <w:rsid w:val="00A45C8D"/>
    <w:rsid w:val="00A65C79"/>
    <w:rsid w:val="00A70873"/>
    <w:rsid w:val="00A902C6"/>
    <w:rsid w:val="00A92C85"/>
    <w:rsid w:val="00A948EF"/>
    <w:rsid w:val="00A94BCE"/>
    <w:rsid w:val="00AA2CB1"/>
    <w:rsid w:val="00AC1D5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56C4E"/>
    <w:rsid w:val="00C61C1C"/>
    <w:rsid w:val="00C6478B"/>
    <w:rsid w:val="00C64C22"/>
    <w:rsid w:val="00C66E70"/>
    <w:rsid w:val="00C80AEF"/>
    <w:rsid w:val="00CA6DA1"/>
    <w:rsid w:val="00D120B9"/>
    <w:rsid w:val="00D24D6B"/>
    <w:rsid w:val="00D5302E"/>
    <w:rsid w:val="00D56BC3"/>
    <w:rsid w:val="00D67629"/>
    <w:rsid w:val="00D70FE3"/>
    <w:rsid w:val="00D83D2D"/>
    <w:rsid w:val="00D8485C"/>
    <w:rsid w:val="00D87D47"/>
    <w:rsid w:val="00D9010D"/>
    <w:rsid w:val="00D95936"/>
    <w:rsid w:val="00DB2787"/>
    <w:rsid w:val="00DB584E"/>
    <w:rsid w:val="00DC3B85"/>
    <w:rsid w:val="00DD13E2"/>
    <w:rsid w:val="00DF6F40"/>
    <w:rsid w:val="00E10DEE"/>
    <w:rsid w:val="00E11EFA"/>
    <w:rsid w:val="00E158AD"/>
    <w:rsid w:val="00E15E85"/>
    <w:rsid w:val="00E16AC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059B"/>
    <w:rsid w:val="00F21A2E"/>
    <w:rsid w:val="00F433DC"/>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6FB48"/>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2380</TotalTime>
  <Pages>60</Pages>
  <Words>12878</Words>
  <Characters>70831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28</cp:revision>
  <cp:lastPrinted>2019-08-02T17:38:00Z</cp:lastPrinted>
  <dcterms:created xsi:type="dcterms:W3CDTF">2019-01-22T19:49:00Z</dcterms:created>
  <dcterms:modified xsi:type="dcterms:W3CDTF">2019-08-21T18:16:00Z</dcterms:modified>
</cp:coreProperties>
</file>