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2793" w:rsidRPr="00075B8C" w:rsidRDefault="00342793" w:rsidP="00342793">
      <w:pPr>
        <w:spacing w:before="100" w:beforeAutospacing="1" w:after="100" w:afterAutospacing="1" w:line="360" w:lineRule="auto"/>
        <w:jc w:val="both"/>
        <w:rPr>
          <w:rFonts w:ascii="Palatino Linotype" w:hAnsi="Palatino Linotype" w:cs="Arial"/>
          <w:sz w:val="24"/>
        </w:rPr>
      </w:pPr>
      <w:r w:rsidRPr="00075B8C">
        <w:rPr>
          <w:rFonts w:ascii="Palatino Linotype" w:hAnsi="Palatino Linotype" w:cs="Arial"/>
          <w:sz w:val="24"/>
        </w:rPr>
        <w:t>Resolución del Pleno del Instituto de Transparencia, Acceso a la Información Pública y Protección de Datos Personales del Estado de México y Municipios, con domicilio en Metepec, Estado de México, de fecha veintiuno de agosto de dos mil diecinueve.</w:t>
      </w:r>
    </w:p>
    <w:p w:rsidR="00342793" w:rsidRPr="00075B8C" w:rsidRDefault="00342793" w:rsidP="00342793">
      <w:pPr>
        <w:spacing w:before="100" w:beforeAutospacing="1" w:after="100" w:afterAutospacing="1" w:line="360" w:lineRule="auto"/>
        <w:jc w:val="both"/>
        <w:rPr>
          <w:rFonts w:ascii="Palatino Linotype" w:eastAsia="Times New Roman" w:hAnsi="Palatino Linotype" w:cs="Arial"/>
          <w:sz w:val="24"/>
          <w:szCs w:val="24"/>
          <w:lang w:val="es-ES"/>
        </w:rPr>
      </w:pPr>
      <w:r w:rsidRPr="00075B8C">
        <w:rPr>
          <w:rFonts w:ascii="Palatino Linotype" w:hAnsi="Palatino Linotype" w:cs="Arial"/>
          <w:sz w:val="24"/>
        </w:rPr>
        <w:t xml:space="preserve">VISTO el expediente formado con motivo del recurso de revisión </w:t>
      </w:r>
      <w:r w:rsidRPr="00075B8C">
        <w:rPr>
          <w:rFonts w:ascii="Palatino Linotype" w:hAnsi="Palatino Linotype" w:cs="Arial"/>
          <w:b/>
          <w:sz w:val="24"/>
        </w:rPr>
        <w:t>04237/</w:t>
      </w:r>
      <w:r w:rsidRPr="00075B8C">
        <w:rPr>
          <w:rFonts w:ascii="Palatino Linotype" w:hAnsi="Palatino Linotype" w:cs="Arial"/>
          <w:b/>
          <w:bCs/>
          <w:sz w:val="24"/>
        </w:rPr>
        <w:t>INFOEM/IP/RR/2019</w:t>
      </w:r>
      <w:r w:rsidRPr="00075B8C">
        <w:rPr>
          <w:rFonts w:ascii="Palatino Linotype" w:hAnsi="Palatino Linotype" w:cs="Arial"/>
          <w:sz w:val="24"/>
        </w:rPr>
        <w:t xml:space="preserve">, promovido </w:t>
      </w:r>
      <w:r w:rsidRPr="00075B8C">
        <w:rPr>
          <w:rFonts w:ascii="Palatino Linotype" w:eastAsia="Times New Roman" w:hAnsi="Palatino Linotype" w:cs="Arial"/>
          <w:sz w:val="24"/>
          <w:szCs w:val="24"/>
          <w:lang w:val="es-ES"/>
        </w:rPr>
        <w:t xml:space="preserve">por el </w:t>
      </w:r>
      <w:r w:rsidRPr="00075B8C">
        <w:rPr>
          <w:rFonts w:ascii="Palatino Linotype" w:eastAsia="Times New Roman" w:hAnsi="Palatino Linotype" w:cs="Arial"/>
          <w:b/>
          <w:sz w:val="24"/>
          <w:szCs w:val="24"/>
          <w:lang w:val="es-ES"/>
        </w:rPr>
        <w:t xml:space="preserve">C. </w:t>
      </w:r>
      <w:r w:rsidR="007B337F">
        <w:rPr>
          <w:rFonts w:ascii="Palatino Linotype" w:eastAsia="Times New Roman" w:hAnsi="Palatino Linotype" w:cs="Arial"/>
          <w:b/>
          <w:sz w:val="24"/>
          <w:szCs w:val="24"/>
          <w:lang w:val="es-ES"/>
        </w:rPr>
        <w:t>XXXXX</w:t>
      </w:r>
      <w:r w:rsidRPr="00075B8C">
        <w:rPr>
          <w:rFonts w:ascii="Palatino Linotype" w:eastAsia="Times New Roman" w:hAnsi="Palatino Linotype" w:cs="Arial"/>
          <w:b/>
          <w:sz w:val="24"/>
          <w:szCs w:val="24"/>
          <w:lang w:val="es-ES"/>
        </w:rPr>
        <w:t xml:space="preserve"> </w:t>
      </w:r>
      <w:r w:rsidR="007B337F">
        <w:rPr>
          <w:rFonts w:ascii="Palatino Linotype" w:eastAsia="Times New Roman" w:hAnsi="Palatino Linotype" w:cs="Arial"/>
          <w:b/>
          <w:sz w:val="24"/>
          <w:szCs w:val="24"/>
          <w:lang w:val="es-ES"/>
        </w:rPr>
        <w:t>XXXXXXX</w:t>
      </w:r>
      <w:r w:rsidRPr="00075B8C">
        <w:rPr>
          <w:rFonts w:ascii="Palatino Linotype" w:eastAsia="Times New Roman" w:hAnsi="Palatino Linotype" w:cs="Arial"/>
          <w:b/>
          <w:sz w:val="24"/>
          <w:szCs w:val="24"/>
          <w:lang w:val="es-ES"/>
        </w:rPr>
        <w:t xml:space="preserve"> </w:t>
      </w:r>
      <w:r w:rsidR="007B337F">
        <w:rPr>
          <w:rFonts w:ascii="Palatino Linotype" w:eastAsia="Times New Roman" w:hAnsi="Palatino Linotype" w:cs="Arial"/>
          <w:b/>
          <w:sz w:val="24"/>
          <w:szCs w:val="24"/>
          <w:lang w:val="es-ES"/>
        </w:rPr>
        <w:t>XXXXX</w:t>
      </w:r>
      <w:r w:rsidRPr="00075B8C">
        <w:rPr>
          <w:rFonts w:ascii="Palatino Linotype" w:eastAsia="Times New Roman" w:hAnsi="Palatino Linotype" w:cs="Arial"/>
          <w:b/>
          <w:sz w:val="24"/>
          <w:szCs w:val="24"/>
          <w:lang w:val="es-ES"/>
        </w:rPr>
        <w:t xml:space="preserve">, </w:t>
      </w:r>
      <w:r w:rsidRPr="00075B8C">
        <w:rPr>
          <w:rFonts w:ascii="Palatino Linotype" w:eastAsia="Times New Roman" w:hAnsi="Palatino Linotype" w:cs="Arial"/>
          <w:sz w:val="24"/>
          <w:szCs w:val="24"/>
          <w:lang w:val="es-ES"/>
        </w:rPr>
        <w:t>en lo sucesivo</w:t>
      </w:r>
      <w:r w:rsidRPr="00075B8C">
        <w:rPr>
          <w:rFonts w:ascii="Palatino Linotype" w:eastAsia="Times New Roman" w:hAnsi="Palatino Linotype" w:cs="Arial"/>
          <w:b/>
          <w:sz w:val="24"/>
          <w:szCs w:val="24"/>
          <w:lang w:val="es-ES"/>
        </w:rPr>
        <w:t xml:space="preserve"> EL RECURRENTE,</w:t>
      </w:r>
      <w:r w:rsidRPr="00075B8C">
        <w:rPr>
          <w:rFonts w:ascii="Palatino Linotype" w:eastAsia="Times New Roman" w:hAnsi="Palatino Linotype" w:cs="Arial"/>
          <w:sz w:val="24"/>
          <w:szCs w:val="24"/>
          <w:lang w:val="es-ES"/>
        </w:rPr>
        <w:t xml:space="preserve"> en contra de la respuesta del </w:t>
      </w:r>
      <w:r w:rsidRPr="00075B8C">
        <w:rPr>
          <w:rFonts w:ascii="Palatino Linotype" w:eastAsia="Times New Roman" w:hAnsi="Palatino Linotype" w:cs="Arial"/>
          <w:b/>
          <w:sz w:val="24"/>
          <w:szCs w:val="24"/>
          <w:lang w:val="es-ES"/>
        </w:rPr>
        <w:t xml:space="preserve">Ayuntamiento de Coacalco de Berriozábal, </w:t>
      </w:r>
      <w:r w:rsidRPr="00075B8C">
        <w:rPr>
          <w:rFonts w:ascii="Palatino Linotype" w:eastAsia="Times New Roman" w:hAnsi="Palatino Linotype" w:cs="Arial"/>
          <w:sz w:val="24"/>
          <w:szCs w:val="24"/>
          <w:lang w:val="es-ES"/>
        </w:rPr>
        <w:t xml:space="preserve">en lo sucesivo </w:t>
      </w:r>
      <w:r w:rsidRPr="00075B8C">
        <w:rPr>
          <w:rFonts w:ascii="Palatino Linotype" w:eastAsia="Times New Roman" w:hAnsi="Palatino Linotype" w:cs="Arial"/>
          <w:b/>
          <w:sz w:val="24"/>
          <w:szCs w:val="24"/>
          <w:lang w:val="es-ES"/>
        </w:rPr>
        <w:t xml:space="preserve">EL SUJETO OBLIGADO, </w:t>
      </w:r>
      <w:r w:rsidRPr="00075B8C">
        <w:rPr>
          <w:rFonts w:ascii="Palatino Linotype" w:eastAsia="Times New Roman" w:hAnsi="Palatino Linotype" w:cs="Arial"/>
          <w:sz w:val="24"/>
          <w:szCs w:val="24"/>
          <w:lang w:val="es-ES"/>
        </w:rPr>
        <w:t xml:space="preserve">se procede a dictar la presente resolución con base en lo siguiente: </w:t>
      </w:r>
    </w:p>
    <w:p w:rsidR="00342793" w:rsidRPr="00075B8C" w:rsidRDefault="00342793" w:rsidP="00342793">
      <w:pPr>
        <w:spacing w:after="0" w:line="240" w:lineRule="auto"/>
        <w:jc w:val="center"/>
        <w:rPr>
          <w:rFonts w:ascii="Palatino Linotype" w:hAnsi="Palatino Linotype" w:cs="Arial"/>
          <w:b/>
          <w:bCs/>
          <w:spacing w:val="60"/>
          <w:sz w:val="28"/>
        </w:rPr>
      </w:pPr>
      <w:r w:rsidRPr="00075B8C">
        <w:rPr>
          <w:rFonts w:ascii="Palatino Linotype" w:hAnsi="Palatino Linotype" w:cs="Arial"/>
          <w:b/>
          <w:bCs/>
          <w:spacing w:val="60"/>
          <w:sz w:val="28"/>
        </w:rPr>
        <w:t>RESULTANDO</w:t>
      </w:r>
    </w:p>
    <w:p w:rsidR="00342793" w:rsidRPr="00075B8C" w:rsidRDefault="00342793" w:rsidP="00342793">
      <w:pPr>
        <w:spacing w:after="0" w:line="240" w:lineRule="auto"/>
        <w:jc w:val="center"/>
        <w:rPr>
          <w:rFonts w:ascii="Palatino Linotype" w:hAnsi="Palatino Linotype" w:cs="Arial"/>
          <w:b/>
          <w:bCs/>
          <w:spacing w:val="60"/>
          <w:sz w:val="24"/>
        </w:rPr>
      </w:pPr>
    </w:p>
    <w:p w:rsidR="00342793" w:rsidRPr="00075B8C" w:rsidRDefault="00342793" w:rsidP="00342793">
      <w:pPr>
        <w:spacing w:before="100" w:beforeAutospacing="1" w:after="100" w:afterAutospacing="1" w:line="360" w:lineRule="auto"/>
        <w:jc w:val="both"/>
        <w:rPr>
          <w:rFonts w:ascii="Palatino Linotype" w:hAnsi="Palatino Linotype" w:cs="Arial"/>
          <w:b/>
          <w:bCs/>
          <w:sz w:val="24"/>
        </w:rPr>
      </w:pPr>
      <w:r w:rsidRPr="00075B8C">
        <w:rPr>
          <w:rFonts w:ascii="Palatino Linotype" w:hAnsi="Palatino Linotype" w:cs="Arial"/>
          <w:b/>
          <w:sz w:val="28"/>
          <w:szCs w:val="28"/>
        </w:rPr>
        <w:t>I.</w:t>
      </w:r>
      <w:r w:rsidRPr="00075B8C">
        <w:rPr>
          <w:rFonts w:ascii="Palatino Linotype" w:hAnsi="Palatino Linotype" w:cs="Arial"/>
          <w:b/>
        </w:rPr>
        <w:t xml:space="preserve"> </w:t>
      </w:r>
      <w:r w:rsidRPr="00075B8C">
        <w:rPr>
          <w:rFonts w:ascii="Palatino Linotype" w:hAnsi="Palatino Linotype" w:cs="Arial"/>
          <w:sz w:val="24"/>
        </w:rPr>
        <w:t xml:space="preserve">En fecha cinco de abril de dos mil diecinueve, </w:t>
      </w:r>
      <w:r w:rsidRPr="00075B8C">
        <w:rPr>
          <w:rFonts w:ascii="Palatino Linotype" w:hAnsi="Palatino Linotype" w:cs="Arial"/>
          <w:b/>
          <w:sz w:val="24"/>
        </w:rPr>
        <w:t>EL RECURRENTE</w:t>
      </w:r>
      <w:r w:rsidRPr="00075B8C">
        <w:rPr>
          <w:rFonts w:ascii="Palatino Linotype" w:hAnsi="Palatino Linotype" w:cs="Arial"/>
          <w:sz w:val="24"/>
        </w:rPr>
        <w:t xml:space="preserve"> presentó a través del Sistema de Acceso a la Información Mexiquense, en lo subsecuente </w:t>
      </w:r>
      <w:r w:rsidRPr="00075B8C">
        <w:rPr>
          <w:rFonts w:ascii="Palatino Linotype" w:hAnsi="Palatino Linotype" w:cs="Arial"/>
          <w:b/>
          <w:sz w:val="24"/>
        </w:rPr>
        <w:t>EL SAIMEX</w:t>
      </w:r>
      <w:r w:rsidRPr="00075B8C">
        <w:rPr>
          <w:rFonts w:ascii="Palatino Linotype" w:hAnsi="Palatino Linotype" w:cs="Arial"/>
          <w:sz w:val="24"/>
        </w:rPr>
        <w:t xml:space="preserve"> ante </w:t>
      </w:r>
      <w:r w:rsidRPr="00075B8C">
        <w:rPr>
          <w:rFonts w:ascii="Palatino Linotype" w:hAnsi="Palatino Linotype" w:cs="Arial"/>
          <w:b/>
          <w:sz w:val="24"/>
        </w:rPr>
        <w:t>EL SUJETO OBLIGADO</w:t>
      </w:r>
      <w:r w:rsidRPr="00075B8C">
        <w:rPr>
          <w:rFonts w:ascii="Palatino Linotype" w:hAnsi="Palatino Linotype" w:cs="Arial"/>
          <w:sz w:val="24"/>
        </w:rPr>
        <w:t xml:space="preserve">, la solicitud de acceso a la información pública, a la que se le asignó el número de expediente </w:t>
      </w:r>
      <w:r w:rsidRPr="00075B8C">
        <w:rPr>
          <w:rFonts w:ascii="Palatino Linotype" w:hAnsi="Palatino Linotype" w:cs="Arial"/>
          <w:b/>
          <w:bCs/>
          <w:sz w:val="24"/>
        </w:rPr>
        <w:t>00087/COACALCO/IP/2019</w:t>
      </w:r>
      <w:r w:rsidRPr="00075B8C">
        <w:rPr>
          <w:rFonts w:ascii="Palatino Linotype" w:hAnsi="Palatino Linotype" w:cs="Arial"/>
          <w:sz w:val="24"/>
        </w:rPr>
        <w:t xml:space="preserve">, </w:t>
      </w:r>
      <w:r w:rsidRPr="00075B8C">
        <w:rPr>
          <w:rFonts w:ascii="Palatino Linotype" w:hAnsi="Palatino Linotype" w:cs="Arial"/>
          <w:bCs/>
          <w:sz w:val="24"/>
        </w:rPr>
        <w:t>por medio de la cual requirió</w:t>
      </w:r>
      <w:r w:rsidRPr="00075B8C">
        <w:rPr>
          <w:rFonts w:ascii="Palatino Linotype" w:hAnsi="Palatino Linotype" w:cs="Arial"/>
          <w:sz w:val="24"/>
        </w:rPr>
        <w:t>:</w:t>
      </w:r>
    </w:p>
    <w:p w:rsidR="00342793" w:rsidRPr="00075B8C" w:rsidRDefault="00342793" w:rsidP="00342793">
      <w:pPr>
        <w:tabs>
          <w:tab w:val="left" w:pos="851"/>
        </w:tabs>
        <w:spacing w:after="0" w:line="240" w:lineRule="auto"/>
        <w:ind w:left="851" w:right="901"/>
        <w:jc w:val="both"/>
        <w:rPr>
          <w:rFonts w:ascii="Palatino Linotype" w:hAnsi="Palatino Linotype" w:cs="Arial"/>
          <w:i/>
          <w:sz w:val="22"/>
          <w:szCs w:val="22"/>
        </w:rPr>
      </w:pPr>
      <w:r w:rsidRPr="00075B8C">
        <w:rPr>
          <w:rFonts w:ascii="Palatino Linotype" w:hAnsi="Palatino Linotype" w:cs="Arial"/>
          <w:i/>
          <w:sz w:val="22"/>
          <w:szCs w:val="22"/>
        </w:rPr>
        <w:t>“CON BASE EN LA INFORMACIÓN RECIBIDA POR PARTE DE USTEDES EN LA SOLICITUD NUMERO 00056/COACALCO /IP 2019 REQUIERO ME SEA ENTREGADA LA INFORMACIÓN QUE SOLICITO EN EL ARCHIVO ADJUNTO.” (sic)</w:t>
      </w:r>
    </w:p>
    <w:p w:rsidR="00342793" w:rsidRPr="00075B8C" w:rsidRDefault="00342793" w:rsidP="00342793">
      <w:pPr>
        <w:spacing w:before="100" w:beforeAutospacing="1" w:after="100" w:afterAutospacing="1" w:line="360" w:lineRule="auto"/>
        <w:jc w:val="both"/>
        <w:rPr>
          <w:rFonts w:ascii="Palatino Linotype" w:hAnsi="Palatino Linotype"/>
          <w:noProof/>
          <w:sz w:val="24"/>
          <w:szCs w:val="24"/>
          <w:lang w:val="es-MX" w:eastAsia="es-MX"/>
        </w:rPr>
      </w:pPr>
      <w:r w:rsidRPr="00075B8C">
        <w:rPr>
          <w:rFonts w:ascii="Palatino Linotype" w:hAnsi="Palatino Linotype"/>
          <w:sz w:val="24"/>
          <w:szCs w:val="24"/>
        </w:rPr>
        <w:t xml:space="preserve">Advirtiendo de dicha solicitud, que </w:t>
      </w:r>
      <w:r w:rsidRPr="00075B8C">
        <w:rPr>
          <w:rFonts w:ascii="Palatino Linotype" w:hAnsi="Palatino Linotype" w:cs="Arial"/>
          <w:b/>
          <w:sz w:val="24"/>
          <w:szCs w:val="24"/>
        </w:rPr>
        <w:t>EL RECURRENTE</w:t>
      </w:r>
      <w:r w:rsidRPr="00075B8C">
        <w:rPr>
          <w:rFonts w:ascii="Palatino Linotype" w:hAnsi="Palatino Linotype"/>
          <w:sz w:val="24"/>
          <w:szCs w:val="24"/>
        </w:rPr>
        <w:t xml:space="preserve"> acompañó el archivo electrónico denominado </w:t>
      </w:r>
      <w:hyperlink r:id="rId8" w:tgtFrame="_blank" w:history="1">
        <w:r w:rsidRPr="00075B8C">
          <w:rPr>
            <w:rFonts w:ascii="Palatino Linotype" w:hAnsi="Palatino Linotype"/>
            <w:b/>
            <w:noProof/>
            <w:sz w:val="24"/>
            <w:szCs w:val="24"/>
            <w:lang w:val="es-MX" w:eastAsia="es-MX"/>
          </w:rPr>
          <w:t>Coacalco1.pdf</w:t>
        </w:r>
      </w:hyperlink>
      <w:r w:rsidRPr="00075B8C">
        <w:rPr>
          <w:rFonts w:ascii="Palatino Linotype" w:hAnsi="Palatino Linotype"/>
          <w:b/>
          <w:noProof/>
          <w:sz w:val="24"/>
          <w:szCs w:val="24"/>
          <w:lang w:val="es-MX" w:eastAsia="es-MX"/>
        </w:rPr>
        <w:t xml:space="preserve">, </w:t>
      </w:r>
      <w:r w:rsidRPr="00075B8C">
        <w:rPr>
          <w:rFonts w:ascii="Palatino Linotype" w:hAnsi="Palatino Linotype"/>
          <w:noProof/>
          <w:sz w:val="24"/>
          <w:szCs w:val="24"/>
          <w:lang w:val="es-MX" w:eastAsia="es-MX"/>
        </w:rPr>
        <w:t xml:space="preserve">el cual de su contenido se advierte lo sigueinte: </w:t>
      </w:r>
    </w:p>
    <w:p w:rsidR="00342793" w:rsidRPr="00075B8C" w:rsidRDefault="00342793" w:rsidP="00342793">
      <w:pPr>
        <w:spacing w:before="100" w:beforeAutospacing="1" w:after="100" w:afterAutospacing="1" w:line="360" w:lineRule="auto"/>
        <w:jc w:val="center"/>
        <w:rPr>
          <w:rFonts w:ascii="Palatino Linotype" w:hAnsi="Palatino Linotype"/>
          <w:sz w:val="24"/>
          <w:szCs w:val="24"/>
        </w:rPr>
      </w:pPr>
      <w:r w:rsidRPr="00075B8C">
        <w:rPr>
          <w:noProof/>
          <w:lang w:val="es-MX" w:eastAsia="es-MX"/>
        </w:rPr>
        <w:lastRenderedPageBreak/>
        <w:drawing>
          <wp:inline distT="0" distB="0" distL="0" distR="0" wp14:anchorId="37285C51" wp14:editId="27673C38">
            <wp:extent cx="4947156" cy="3477892"/>
            <wp:effectExtent l="0" t="0" r="635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0717" t="17197" r="21518" b="10615"/>
                    <a:stretch/>
                  </pic:blipFill>
                  <pic:spPr bwMode="auto">
                    <a:xfrm>
                      <a:off x="0" y="0"/>
                      <a:ext cx="4974825" cy="3497344"/>
                    </a:xfrm>
                    <a:prstGeom prst="rect">
                      <a:avLst/>
                    </a:prstGeom>
                    <a:ln>
                      <a:noFill/>
                    </a:ln>
                    <a:extLst>
                      <a:ext uri="{53640926-AAD7-44D8-BBD7-CCE9431645EC}">
                        <a14:shadowObscured xmlns:a14="http://schemas.microsoft.com/office/drawing/2010/main"/>
                      </a:ext>
                    </a:extLst>
                  </pic:spPr>
                </pic:pic>
              </a:graphicData>
            </a:graphic>
          </wp:inline>
        </w:drawing>
      </w:r>
    </w:p>
    <w:p w:rsidR="00342793" w:rsidRPr="00075B8C" w:rsidRDefault="009C62E1" w:rsidP="00342793">
      <w:pPr>
        <w:spacing w:before="100" w:beforeAutospacing="1" w:after="100" w:afterAutospacing="1" w:line="360" w:lineRule="auto"/>
        <w:jc w:val="center"/>
        <w:rPr>
          <w:rFonts w:ascii="Palatino Linotype" w:hAnsi="Palatino Linotype"/>
          <w:sz w:val="24"/>
          <w:szCs w:val="24"/>
        </w:rPr>
      </w:pPr>
      <w:r w:rsidRPr="00075B8C">
        <w:rPr>
          <w:noProof/>
          <w:lang w:val="es-MX" w:eastAsia="es-MX"/>
        </w:rPr>
        <w:drawing>
          <wp:inline distT="0" distB="0" distL="0" distR="0" wp14:anchorId="678EECA1" wp14:editId="4FE19A7F">
            <wp:extent cx="4919919" cy="2473637"/>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824" t="25309" r="25990" b="30731"/>
                    <a:stretch/>
                  </pic:blipFill>
                  <pic:spPr bwMode="auto">
                    <a:xfrm>
                      <a:off x="0" y="0"/>
                      <a:ext cx="4960355" cy="2493968"/>
                    </a:xfrm>
                    <a:prstGeom prst="rect">
                      <a:avLst/>
                    </a:prstGeom>
                    <a:ln>
                      <a:noFill/>
                    </a:ln>
                    <a:extLst>
                      <a:ext uri="{53640926-AAD7-44D8-BBD7-CCE9431645EC}">
                        <a14:shadowObscured xmlns:a14="http://schemas.microsoft.com/office/drawing/2010/main"/>
                      </a:ext>
                    </a:extLst>
                  </pic:spPr>
                </pic:pic>
              </a:graphicData>
            </a:graphic>
          </wp:inline>
        </w:drawing>
      </w:r>
    </w:p>
    <w:p w:rsidR="009C62E1" w:rsidRPr="00075B8C" w:rsidRDefault="009C62E1" w:rsidP="00342793">
      <w:pPr>
        <w:spacing w:before="100" w:beforeAutospacing="1" w:after="100" w:afterAutospacing="1" w:line="360" w:lineRule="auto"/>
        <w:jc w:val="center"/>
        <w:rPr>
          <w:rFonts w:ascii="Palatino Linotype" w:hAnsi="Palatino Linotype"/>
          <w:sz w:val="24"/>
          <w:szCs w:val="24"/>
        </w:rPr>
      </w:pPr>
      <w:r w:rsidRPr="00075B8C">
        <w:rPr>
          <w:noProof/>
          <w:lang w:val="es-MX" w:eastAsia="es-MX"/>
        </w:rPr>
        <w:lastRenderedPageBreak/>
        <w:drawing>
          <wp:inline distT="0" distB="0" distL="0" distR="0" wp14:anchorId="6C78C6F2" wp14:editId="57ABC8C9">
            <wp:extent cx="4080382" cy="20859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016" t="39750" r="27906" b="14995"/>
                    <a:stretch/>
                  </pic:blipFill>
                  <pic:spPr bwMode="auto">
                    <a:xfrm>
                      <a:off x="0" y="0"/>
                      <a:ext cx="4107325" cy="2099749"/>
                    </a:xfrm>
                    <a:prstGeom prst="rect">
                      <a:avLst/>
                    </a:prstGeom>
                    <a:ln>
                      <a:noFill/>
                    </a:ln>
                    <a:extLst>
                      <a:ext uri="{53640926-AAD7-44D8-BBD7-CCE9431645EC}">
                        <a14:shadowObscured xmlns:a14="http://schemas.microsoft.com/office/drawing/2010/main"/>
                      </a:ext>
                    </a:extLst>
                  </pic:spPr>
                </pic:pic>
              </a:graphicData>
            </a:graphic>
          </wp:inline>
        </w:drawing>
      </w:r>
    </w:p>
    <w:p w:rsidR="009C62E1" w:rsidRPr="00075B8C" w:rsidRDefault="009C62E1" w:rsidP="00342793">
      <w:pPr>
        <w:spacing w:before="100" w:beforeAutospacing="1" w:after="100" w:afterAutospacing="1" w:line="360" w:lineRule="auto"/>
        <w:jc w:val="center"/>
        <w:rPr>
          <w:rFonts w:ascii="Palatino Linotype" w:hAnsi="Palatino Linotype"/>
          <w:sz w:val="24"/>
          <w:szCs w:val="24"/>
        </w:rPr>
      </w:pPr>
      <w:r w:rsidRPr="00075B8C">
        <w:rPr>
          <w:noProof/>
          <w:lang w:val="es-MX" w:eastAsia="es-MX"/>
        </w:rPr>
        <w:drawing>
          <wp:inline distT="0" distB="0" distL="0" distR="0" wp14:anchorId="773BB5AF" wp14:editId="7A1F91DA">
            <wp:extent cx="4978260" cy="13525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622" t="26282" r="21244" b="42249"/>
                    <a:stretch/>
                  </pic:blipFill>
                  <pic:spPr bwMode="auto">
                    <a:xfrm>
                      <a:off x="0" y="0"/>
                      <a:ext cx="5008074" cy="1360650"/>
                    </a:xfrm>
                    <a:prstGeom prst="rect">
                      <a:avLst/>
                    </a:prstGeom>
                    <a:ln>
                      <a:noFill/>
                    </a:ln>
                    <a:extLst>
                      <a:ext uri="{53640926-AAD7-44D8-BBD7-CCE9431645EC}">
                        <a14:shadowObscured xmlns:a14="http://schemas.microsoft.com/office/drawing/2010/main"/>
                      </a:ext>
                    </a:extLst>
                  </pic:spPr>
                </pic:pic>
              </a:graphicData>
            </a:graphic>
          </wp:inline>
        </w:drawing>
      </w:r>
    </w:p>
    <w:p w:rsidR="00342793" w:rsidRPr="00075B8C" w:rsidRDefault="00342793" w:rsidP="00342793">
      <w:pPr>
        <w:spacing w:after="0" w:line="360" w:lineRule="auto"/>
        <w:jc w:val="both"/>
        <w:rPr>
          <w:rFonts w:ascii="Palatino Linotype" w:hAnsi="Palatino Linotype" w:cs="Arial"/>
          <w:sz w:val="24"/>
          <w:szCs w:val="24"/>
          <w:lang w:val="es-MX"/>
        </w:rPr>
      </w:pPr>
      <w:r w:rsidRPr="00075B8C">
        <w:rPr>
          <w:rFonts w:ascii="Palatino Linotype" w:hAnsi="Palatino Linotype" w:cs="Arial"/>
          <w:b/>
          <w:sz w:val="24"/>
          <w:szCs w:val="24"/>
        </w:rPr>
        <w:t>MODALIDAD DE ENTREGA:</w:t>
      </w:r>
      <w:r w:rsidRPr="00075B8C">
        <w:rPr>
          <w:rFonts w:ascii="Palatino Linotype" w:hAnsi="Palatino Linotype" w:cs="Arial"/>
          <w:sz w:val="24"/>
          <w:szCs w:val="24"/>
        </w:rPr>
        <w:t xml:space="preserve"> </w:t>
      </w:r>
      <w:r w:rsidRPr="00075B8C">
        <w:rPr>
          <w:rFonts w:ascii="Palatino Linotype" w:hAnsi="Palatino Linotype" w:cs="Arial"/>
          <w:sz w:val="24"/>
          <w:szCs w:val="24"/>
          <w:lang w:val="es-MX"/>
        </w:rPr>
        <w:t xml:space="preserve">Vía </w:t>
      </w:r>
      <w:r w:rsidRPr="00075B8C">
        <w:rPr>
          <w:rFonts w:ascii="Palatino Linotype" w:hAnsi="Palatino Linotype" w:cs="Arial"/>
          <w:b/>
          <w:sz w:val="24"/>
          <w:szCs w:val="24"/>
          <w:lang w:val="es-MX"/>
        </w:rPr>
        <w:t>SAIMEX</w:t>
      </w:r>
      <w:r w:rsidRPr="00075B8C">
        <w:rPr>
          <w:rFonts w:ascii="Palatino Linotype" w:hAnsi="Palatino Linotype" w:cs="Arial"/>
          <w:sz w:val="24"/>
          <w:szCs w:val="24"/>
          <w:lang w:val="es-MX"/>
        </w:rPr>
        <w:t>.</w:t>
      </w:r>
    </w:p>
    <w:p w:rsidR="009C62E1" w:rsidRPr="00075B8C" w:rsidRDefault="00342793" w:rsidP="009C62E1">
      <w:pPr>
        <w:pStyle w:val="Prrafodelista"/>
        <w:tabs>
          <w:tab w:val="left" w:pos="567"/>
        </w:tabs>
        <w:spacing w:before="100" w:beforeAutospacing="1" w:after="100" w:afterAutospacing="1" w:line="360" w:lineRule="auto"/>
        <w:ind w:left="0"/>
        <w:jc w:val="both"/>
        <w:rPr>
          <w:rFonts w:ascii="Palatino Linotype" w:hAnsi="Palatino Linotype"/>
          <w:sz w:val="24"/>
          <w:szCs w:val="24"/>
        </w:rPr>
      </w:pPr>
      <w:r w:rsidRPr="00075B8C">
        <w:rPr>
          <w:rFonts w:ascii="Palatino Linotype" w:hAnsi="Palatino Linotype"/>
          <w:b/>
          <w:sz w:val="28"/>
          <w:szCs w:val="28"/>
          <w:lang w:val="es-MX"/>
        </w:rPr>
        <w:t xml:space="preserve">II. </w:t>
      </w:r>
      <w:r w:rsidR="009C62E1" w:rsidRPr="00075B8C">
        <w:rPr>
          <w:rFonts w:ascii="Palatino Linotype" w:hAnsi="Palatino Linotype"/>
          <w:sz w:val="24"/>
          <w:szCs w:val="24"/>
        </w:rPr>
        <w:t>Con base en el detalle de seguimiento del</w:t>
      </w:r>
      <w:r w:rsidR="009C62E1" w:rsidRPr="00075B8C">
        <w:rPr>
          <w:rFonts w:ascii="Palatino Linotype" w:hAnsi="Palatino Linotype"/>
          <w:b/>
          <w:sz w:val="24"/>
          <w:szCs w:val="24"/>
        </w:rPr>
        <w:t xml:space="preserve"> SAIMEX</w:t>
      </w:r>
      <w:r w:rsidR="009C62E1" w:rsidRPr="00075B8C">
        <w:rPr>
          <w:rFonts w:ascii="Palatino Linotype" w:hAnsi="Palatino Linotype"/>
          <w:sz w:val="24"/>
          <w:szCs w:val="24"/>
        </w:rPr>
        <w:t>, se advierte que en fecha siete de abril de dos mil diecinueve, la Unidad de Transparencia del</w:t>
      </w:r>
      <w:r w:rsidR="009C62E1" w:rsidRPr="00075B8C">
        <w:rPr>
          <w:rFonts w:ascii="Palatino Linotype" w:hAnsi="Palatino Linotype"/>
          <w:b/>
          <w:sz w:val="24"/>
          <w:szCs w:val="24"/>
        </w:rPr>
        <w:t xml:space="preserve"> SUJETO OBLIGADO </w:t>
      </w:r>
      <w:r w:rsidR="009C62E1" w:rsidRPr="00075B8C">
        <w:rPr>
          <w:rFonts w:ascii="Palatino Linotype" w:hAnsi="Palatino Linotype"/>
          <w:sz w:val="24"/>
          <w:szCs w:val="24"/>
        </w:rPr>
        <w:t xml:space="preserve">turnó mediante requerimiento, el contenido de la solicitud de información al Servidor Público Habilitado, que consideró competente a efecto de que realizara la búsqueda y localización de la información tal y como se desprende de la imagen siguiente: </w:t>
      </w:r>
    </w:p>
    <w:p w:rsidR="009C62E1" w:rsidRPr="00075B8C" w:rsidRDefault="009C62E1" w:rsidP="009C62E1">
      <w:pPr>
        <w:spacing w:before="100" w:beforeAutospacing="1" w:after="100" w:afterAutospacing="1" w:line="360" w:lineRule="auto"/>
        <w:jc w:val="center"/>
        <w:rPr>
          <w:rFonts w:ascii="Palatino Linotype" w:hAnsi="Palatino Linotype"/>
          <w:b/>
          <w:sz w:val="28"/>
          <w:szCs w:val="28"/>
          <w:lang w:val="es-MX"/>
        </w:rPr>
      </w:pPr>
      <w:r w:rsidRPr="00075B8C">
        <w:rPr>
          <w:noProof/>
          <w:lang w:val="es-MX" w:eastAsia="es-MX"/>
        </w:rPr>
        <w:drawing>
          <wp:inline distT="0" distB="0" distL="0" distR="0" wp14:anchorId="3EE1C67A" wp14:editId="69170928">
            <wp:extent cx="5631948" cy="933450"/>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34" t="40408" r="7464" b="48413"/>
                    <a:stretch/>
                  </pic:blipFill>
                  <pic:spPr bwMode="auto">
                    <a:xfrm>
                      <a:off x="0" y="0"/>
                      <a:ext cx="5639259" cy="934662"/>
                    </a:xfrm>
                    <a:prstGeom prst="rect">
                      <a:avLst/>
                    </a:prstGeom>
                    <a:ln>
                      <a:noFill/>
                    </a:ln>
                    <a:extLst>
                      <a:ext uri="{53640926-AAD7-44D8-BBD7-CCE9431645EC}">
                        <a14:shadowObscured xmlns:a14="http://schemas.microsoft.com/office/drawing/2010/main"/>
                      </a:ext>
                    </a:extLst>
                  </pic:spPr>
                </pic:pic>
              </a:graphicData>
            </a:graphic>
          </wp:inline>
        </w:drawing>
      </w:r>
    </w:p>
    <w:p w:rsidR="009C62E1" w:rsidRPr="00075B8C" w:rsidRDefault="009C62E1" w:rsidP="009C62E1">
      <w:pPr>
        <w:spacing w:before="100" w:beforeAutospacing="1" w:after="100" w:afterAutospacing="1" w:line="360" w:lineRule="auto"/>
        <w:jc w:val="both"/>
        <w:rPr>
          <w:rFonts w:ascii="Palatino Linotype" w:hAnsi="Palatino Linotype" w:cs="Arial"/>
          <w:sz w:val="24"/>
          <w:szCs w:val="24"/>
        </w:rPr>
      </w:pPr>
      <w:r w:rsidRPr="00075B8C">
        <w:rPr>
          <w:rFonts w:ascii="Palatino Linotype" w:hAnsi="Palatino Linotype"/>
          <w:b/>
          <w:sz w:val="28"/>
          <w:szCs w:val="28"/>
        </w:rPr>
        <w:lastRenderedPageBreak/>
        <w:t>III.</w:t>
      </w:r>
      <w:r w:rsidRPr="00075B8C">
        <w:rPr>
          <w:rFonts w:ascii="Palatino Linotype" w:hAnsi="Palatino Linotype"/>
          <w:sz w:val="24"/>
        </w:rPr>
        <w:t xml:space="preserve"> </w:t>
      </w:r>
      <w:r w:rsidRPr="00075B8C">
        <w:rPr>
          <w:rFonts w:ascii="Palatino Linotype" w:hAnsi="Palatino Linotype"/>
          <w:sz w:val="24"/>
          <w:szCs w:val="24"/>
        </w:rPr>
        <w:t xml:space="preserve">De las constancias que obran en el expediente electrónico del recurso de revisión en estudio, se advierte que </w:t>
      </w:r>
      <w:r w:rsidRPr="00075B8C">
        <w:rPr>
          <w:rFonts w:ascii="Palatino Linotype" w:hAnsi="Palatino Linotype"/>
          <w:b/>
          <w:sz w:val="24"/>
          <w:szCs w:val="24"/>
        </w:rPr>
        <w:t xml:space="preserve">EL SUJETO OBLIGADO </w:t>
      </w:r>
      <w:r w:rsidRPr="00075B8C">
        <w:rPr>
          <w:rFonts w:ascii="Palatino Linotype" w:hAnsi="Palatino Linotype" w:cs="Arial"/>
          <w:sz w:val="24"/>
          <w:szCs w:val="24"/>
        </w:rPr>
        <w:t>en fecha siete de mayo de dos mil diecinueve,</w:t>
      </w:r>
      <w:r w:rsidRPr="00075B8C">
        <w:rPr>
          <w:rFonts w:ascii="Palatino Linotype" w:hAnsi="Palatino Linotype" w:cs="Arial"/>
        </w:rPr>
        <w:t xml:space="preserve"> </w:t>
      </w:r>
      <w:r w:rsidRPr="00075B8C">
        <w:rPr>
          <w:rFonts w:ascii="Palatino Linotype" w:hAnsi="Palatino Linotype" w:cs="Arial"/>
          <w:sz w:val="24"/>
          <w:szCs w:val="24"/>
        </w:rPr>
        <w:t>notificó al solicitante la ampliación del plazo para otorgar respuesta a la solicitud de información.</w:t>
      </w:r>
    </w:p>
    <w:p w:rsidR="009C62E1" w:rsidRPr="00075B8C" w:rsidRDefault="009C62E1" w:rsidP="009C62E1">
      <w:pPr>
        <w:spacing w:before="100" w:beforeAutospacing="1" w:after="100" w:afterAutospacing="1" w:line="360" w:lineRule="auto"/>
        <w:jc w:val="both"/>
        <w:rPr>
          <w:rFonts w:ascii="Palatino Linotype" w:hAnsi="Palatino Linotype" w:cs="Arial"/>
          <w:sz w:val="24"/>
          <w:szCs w:val="24"/>
        </w:rPr>
      </w:pPr>
      <w:r w:rsidRPr="00075B8C">
        <w:rPr>
          <w:rFonts w:ascii="Palatino Linotype" w:hAnsi="Palatino Linotype" w:cs="Arial"/>
          <w:sz w:val="24"/>
          <w:szCs w:val="24"/>
        </w:rPr>
        <w:t xml:space="preserve">A dicha solicitud de ampliación del plazo, </w:t>
      </w:r>
      <w:r w:rsidRPr="00075B8C">
        <w:rPr>
          <w:rFonts w:ascii="Palatino Linotype" w:hAnsi="Palatino Linotype" w:cs="Arial"/>
          <w:b/>
          <w:sz w:val="24"/>
          <w:szCs w:val="24"/>
        </w:rPr>
        <w:t>EL SUJETO OBLIGADO</w:t>
      </w:r>
      <w:r w:rsidRPr="00075B8C">
        <w:rPr>
          <w:rFonts w:ascii="Palatino Linotype" w:hAnsi="Palatino Linotype" w:cs="Arial"/>
          <w:sz w:val="24"/>
          <w:szCs w:val="24"/>
        </w:rPr>
        <w:t xml:space="preserve"> fue omiso en adjuntar el Acuerdo del Comité de Transparencia; mediante el cual se diera cumplimiento a lo establecido en los artículos 49, fracción II y 163 de la Ley de Transparencia y Acceso a la Información Pública del Estado de México y Municipios.</w:t>
      </w:r>
    </w:p>
    <w:p w:rsidR="009C62E1" w:rsidRPr="00075B8C" w:rsidRDefault="009C62E1" w:rsidP="009C62E1">
      <w:pPr>
        <w:spacing w:before="100" w:beforeAutospacing="1" w:after="100" w:afterAutospacing="1" w:line="360" w:lineRule="auto"/>
        <w:jc w:val="both"/>
        <w:rPr>
          <w:rFonts w:ascii="Palatino Linotype" w:hAnsi="Palatino Linotype" w:cs="Arial"/>
          <w:sz w:val="24"/>
          <w:szCs w:val="24"/>
        </w:rPr>
      </w:pPr>
      <w:r w:rsidRPr="00075B8C">
        <w:rPr>
          <w:rFonts w:ascii="Palatino Linotype" w:hAnsi="Palatino Linotype" w:cs="Arial"/>
          <w:b/>
          <w:sz w:val="28"/>
          <w:szCs w:val="28"/>
        </w:rPr>
        <w:t>IV.</w:t>
      </w:r>
      <w:r w:rsidRPr="00075B8C">
        <w:rPr>
          <w:rFonts w:ascii="Palatino Linotype" w:hAnsi="Palatino Linotype"/>
          <w:lang w:val="es-ES"/>
        </w:rPr>
        <w:t xml:space="preserve"> </w:t>
      </w:r>
      <w:r w:rsidRPr="00075B8C">
        <w:rPr>
          <w:rFonts w:ascii="Palatino Linotype" w:hAnsi="Palatino Linotype" w:cs="Arial"/>
          <w:sz w:val="24"/>
          <w:szCs w:val="24"/>
        </w:rPr>
        <w:t xml:space="preserve">Así, </w:t>
      </w:r>
      <w:r w:rsidR="00C8676C" w:rsidRPr="00075B8C">
        <w:rPr>
          <w:rFonts w:ascii="Palatino Linotype" w:hAnsi="Palatino Linotype" w:cs="Arial"/>
          <w:sz w:val="24"/>
          <w:szCs w:val="24"/>
        </w:rPr>
        <w:t xml:space="preserve">del expediente electrónico del </w:t>
      </w:r>
      <w:r w:rsidRPr="00075B8C">
        <w:rPr>
          <w:rFonts w:ascii="Palatino Linotype" w:hAnsi="Palatino Linotype" w:cs="Arial"/>
          <w:b/>
          <w:sz w:val="24"/>
          <w:szCs w:val="24"/>
        </w:rPr>
        <w:t>SAIMEX</w:t>
      </w:r>
      <w:r w:rsidRPr="00075B8C">
        <w:rPr>
          <w:rFonts w:ascii="Palatino Linotype" w:hAnsi="Palatino Linotype" w:cs="Arial"/>
          <w:sz w:val="24"/>
          <w:szCs w:val="24"/>
        </w:rPr>
        <w:t xml:space="preserve">, se advierte que en fecha </w:t>
      </w:r>
      <w:r w:rsidR="00C8676C" w:rsidRPr="00075B8C">
        <w:rPr>
          <w:rFonts w:ascii="Palatino Linotype" w:hAnsi="Palatino Linotype" w:cs="Arial"/>
          <w:sz w:val="24"/>
          <w:szCs w:val="24"/>
        </w:rPr>
        <w:t xml:space="preserve">dieciséis de mayo </w:t>
      </w:r>
      <w:r w:rsidRPr="00075B8C">
        <w:rPr>
          <w:rFonts w:ascii="Palatino Linotype" w:hAnsi="Palatino Linotype" w:cs="Arial"/>
          <w:sz w:val="24"/>
          <w:szCs w:val="24"/>
        </w:rPr>
        <w:t xml:space="preserve">de dos mil diecinueve, </w:t>
      </w:r>
      <w:r w:rsidRPr="00075B8C">
        <w:rPr>
          <w:rFonts w:ascii="Palatino Linotype" w:hAnsi="Palatino Linotype" w:cs="Arial"/>
          <w:b/>
          <w:sz w:val="24"/>
          <w:szCs w:val="24"/>
        </w:rPr>
        <w:t>EL SUJETO OBLIGADO</w:t>
      </w:r>
      <w:r w:rsidRPr="00075B8C">
        <w:rPr>
          <w:rFonts w:ascii="Palatino Linotype" w:hAnsi="Palatino Linotype" w:cs="Arial"/>
          <w:sz w:val="24"/>
          <w:szCs w:val="24"/>
        </w:rPr>
        <w:t xml:space="preserve"> dio respuesta a la solicitud de información, en los siguientes términos:</w:t>
      </w:r>
    </w:p>
    <w:p w:rsidR="009C62E1" w:rsidRPr="00075B8C" w:rsidRDefault="00C8676C" w:rsidP="00C8676C">
      <w:pPr>
        <w:spacing w:before="100" w:beforeAutospacing="1" w:after="100" w:afterAutospacing="1" w:line="360" w:lineRule="auto"/>
        <w:jc w:val="center"/>
        <w:rPr>
          <w:rFonts w:ascii="Palatino Linotype" w:hAnsi="Palatino Linotype" w:cs="Arial"/>
          <w:b/>
          <w:sz w:val="28"/>
          <w:szCs w:val="28"/>
        </w:rPr>
      </w:pPr>
      <w:r w:rsidRPr="00075B8C">
        <w:rPr>
          <w:noProof/>
          <w:lang w:val="es-MX" w:eastAsia="es-MX"/>
        </w:rPr>
        <w:drawing>
          <wp:inline distT="0" distB="0" distL="0" distR="0" wp14:anchorId="0AC736FA" wp14:editId="7D0AFBB5">
            <wp:extent cx="4772025" cy="314960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095" t="16062" r="24985" b="8506"/>
                    <a:stretch/>
                  </pic:blipFill>
                  <pic:spPr bwMode="auto">
                    <a:xfrm>
                      <a:off x="0" y="0"/>
                      <a:ext cx="4811629" cy="3175739"/>
                    </a:xfrm>
                    <a:prstGeom prst="rect">
                      <a:avLst/>
                    </a:prstGeom>
                    <a:ln>
                      <a:noFill/>
                    </a:ln>
                    <a:extLst>
                      <a:ext uri="{53640926-AAD7-44D8-BBD7-CCE9431645EC}">
                        <a14:shadowObscured xmlns:a14="http://schemas.microsoft.com/office/drawing/2010/main"/>
                      </a:ext>
                    </a:extLst>
                  </pic:spPr>
                </pic:pic>
              </a:graphicData>
            </a:graphic>
          </wp:inline>
        </w:drawing>
      </w:r>
    </w:p>
    <w:p w:rsidR="00C8676C" w:rsidRPr="00075B8C" w:rsidRDefault="00C8676C" w:rsidP="00342793">
      <w:pPr>
        <w:pStyle w:val="Prrafodelista"/>
        <w:spacing w:before="100" w:beforeAutospacing="1" w:after="100" w:afterAutospacing="1" w:line="360" w:lineRule="auto"/>
        <w:ind w:left="0"/>
        <w:contextualSpacing w:val="0"/>
        <w:jc w:val="both"/>
        <w:rPr>
          <w:rFonts w:ascii="Palatino Linotype" w:hAnsi="Palatino Linotype" w:cs="Arial"/>
          <w:sz w:val="24"/>
          <w:szCs w:val="24"/>
        </w:rPr>
      </w:pPr>
      <w:r w:rsidRPr="00075B8C">
        <w:rPr>
          <w:rFonts w:ascii="Palatino Linotype" w:hAnsi="Palatino Linotype" w:cs="Arial"/>
          <w:b/>
          <w:sz w:val="28"/>
        </w:rPr>
        <w:lastRenderedPageBreak/>
        <w:t>V</w:t>
      </w:r>
      <w:r w:rsidR="00342793" w:rsidRPr="00075B8C">
        <w:rPr>
          <w:rFonts w:ascii="Palatino Linotype" w:hAnsi="Palatino Linotype" w:cs="Arial"/>
          <w:b/>
          <w:sz w:val="28"/>
        </w:rPr>
        <w:t xml:space="preserve">. </w:t>
      </w:r>
      <w:r w:rsidR="00342793" w:rsidRPr="00075B8C">
        <w:rPr>
          <w:rFonts w:ascii="Palatino Linotype" w:hAnsi="Palatino Linotype" w:cs="Arial"/>
          <w:sz w:val="24"/>
          <w:szCs w:val="24"/>
        </w:rPr>
        <w:t xml:space="preserve">Inconforme </w:t>
      </w:r>
      <w:r w:rsidRPr="00075B8C">
        <w:rPr>
          <w:rFonts w:ascii="Palatino Linotype" w:hAnsi="Palatino Linotype" w:cs="Arial"/>
          <w:sz w:val="24"/>
          <w:szCs w:val="24"/>
        </w:rPr>
        <w:t xml:space="preserve">con la respuesta, el diecisiete de </w:t>
      </w:r>
      <w:r w:rsidR="00342793" w:rsidRPr="00075B8C">
        <w:rPr>
          <w:rFonts w:ascii="Palatino Linotype" w:hAnsi="Palatino Linotype" w:cs="Arial"/>
          <w:sz w:val="24"/>
          <w:szCs w:val="24"/>
        </w:rPr>
        <w:t xml:space="preserve">mayo de dos mil diecinueve, </w:t>
      </w:r>
      <w:r w:rsidRPr="00075B8C">
        <w:rPr>
          <w:rFonts w:ascii="Palatino Linotype" w:hAnsi="Palatino Linotype" w:cs="Arial"/>
          <w:b/>
          <w:sz w:val="24"/>
          <w:szCs w:val="24"/>
        </w:rPr>
        <w:t>EL</w:t>
      </w:r>
      <w:r w:rsidR="00342793" w:rsidRPr="00075B8C">
        <w:rPr>
          <w:rFonts w:ascii="Palatino Linotype" w:hAnsi="Palatino Linotype" w:cs="Arial"/>
          <w:b/>
          <w:sz w:val="24"/>
          <w:szCs w:val="24"/>
        </w:rPr>
        <w:t xml:space="preserve"> RECURRENTE</w:t>
      </w:r>
      <w:r w:rsidR="00342793" w:rsidRPr="00075B8C">
        <w:rPr>
          <w:rFonts w:ascii="Palatino Linotype" w:hAnsi="Palatino Linotype" w:cs="Arial"/>
          <w:sz w:val="24"/>
          <w:szCs w:val="24"/>
        </w:rPr>
        <w:t xml:space="preserve"> interpuso el recurso de revisión sujeto del presente estudio, el cual fue registrado en </w:t>
      </w:r>
      <w:r w:rsidR="00342793" w:rsidRPr="00075B8C">
        <w:rPr>
          <w:rFonts w:ascii="Palatino Linotype" w:hAnsi="Palatino Linotype" w:cs="Arial"/>
          <w:b/>
          <w:sz w:val="24"/>
          <w:szCs w:val="24"/>
        </w:rPr>
        <w:t>EL SAIMEX</w:t>
      </w:r>
      <w:r w:rsidR="00342793" w:rsidRPr="00075B8C">
        <w:rPr>
          <w:rFonts w:ascii="Palatino Linotype" w:hAnsi="Palatino Linotype" w:cs="Arial"/>
          <w:sz w:val="24"/>
          <w:szCs w:val="24"/>
        </w:rPr>
        <w:t xml:space="preserve"> y se le asignó el número de expediente </w:t>
      </w:r>
      <w:r w:rsidR="00342793" w:rsidRPr="00075B8C">
        <w:rPr>
          <w:rFonts w:ascii="Palatino Linotype" w:hAnsi="Palatino Linotype" w:cs="Arial"/>
          <w:b/>
          <w:sz w:val="24"/>
          <w:szCs w:val="24"/>
        </w:rPr>
        <w:t>0</w:t>
      </w:r>
      <w:r w:rsidRPr="00075B8C">
        <w:rPr>
          <w:rFonts w:ascii="Palatino Linotype" w:hAnsi="Palatino Linotype" w:cs="Arial"/>
          <w:b/>
          <w:sz w:val="24"/>
          <w:szCs w:val="24"/>
        </w:rPr>
        <w:t>4237</w:t>
      </w:r>
      <w:r w:rsidR="00342793" w:rsidRPr="00075B8C">
        <w:rPr>
          <w:rFonts w:ascii="Palatino Linotype" w:hAnsi="Palatino Linotype" w:cs="Arial"/>
          <w:b/>
          <w:sz w:val="24"/>
          <w:szCs w:val="24"/>
        </w:rPr>
        <w:t>/INFOEM/IP/RR/2019</w:t>
      </w:r>
      <w:r w:rsidR="00342793" w:rsidRPr="00075B8C">
        <w:rPr>
          <w:rFonts w:ascii="Palatino Linotype" w:hAnsi="Palatino Linotype" w:cs="Arial"/>
          <w:sz w:val="24"/>
          <w:szCs w:val="24"/>
        </w:rPr>
        <w:t>, en el que señaló como acto impugnado</w:t>
      </w:r>
      <w:r w:rsidRPr="00075B8C">
        <w:rPr>
          <w:rFonts w:ascii="Palatino Linotype" w:hAnsi="Palatino Linotype" w:cs="Arial"/>
          <w:sz w:val="24"/>
          <w:szCs w:val="24"/>
        </w:rPr>
        <w:t>:</w:t>
      </w:r>
    </w:p>
    <w:p w:rsidR="00C8676C" w:rsidRPr="00075B8C" w:rsidRDefault="00C8676C" w:rsidP="00C8676C">
      <w:pPr>
        <w:tabs>
          <w:tab w:val="left" w:pos="851"/>
        </w:tabs>
        <w:spacing w:after="0" w:line="240" w:lineRule="auto"/>
        <w:ind w:left="851" w:right="901"/>
        <w:jc w:val="both"/>
        <w:rPr>
          <w:rFonts w:ascii="Palatino Linotype" w:hAnsi="Palatino Linotype" w:cs="Arial"/>
          <w:i/>
          <w:sz w:val="22"/>
          <w:szCs w:val="22"/>
        </w:rPr>
      </w:pPr>
      <w:r w:rsidRPr="00075B8C">
        <w:rPr>
          <w:rFonts w:ascii="Palatino Linotype" w:hAnsi="Palatino Linotype" w:cs="Arial"/>
          <w:i/>
          <w:sz w:val="22"/>
          <w:szCs w:val="22"/>
        </w:rPr>
        <w:t>“La respuesta que me envían no coincide con lo que estoy solicitando, su información es incorrecta y ademas esta incompleta. cansado estoy de repetirlo, no se que sucede en Coacalco pero de 11 solicitudes que presente, 7 se encuentran en revisión.” (Sic)</w:t>
      </w:r>
    </w:p>
    <w:p w:rsidR="00342793" w:rsidRPr="00075B8C" w:rsidRDefault="00C8676C" w:rsidP="00342793">
      <w:pPr>
        <w:pStyle w:val="Prrafodelista"/>
        <w:spacing w:before="100" w:beforeAutospacing="1" w:after="100" w:afterAutospacing="1" w:line="360" w:lineRule="auto"/>
        <w:ind w:left="0"/>
        <w:contextualSpacing w:val="0"/>
        <w:jc w:val="both"/>
        <w:rPr>
          <w:rFonts w:ascii="Palatino Linotype" w:hAnsi="Palatino Linotype" w:cs="Arial"/>
        </w:rPr>
      </w:pPr>
      <w:r w:rsidRPr="00075B8C">
        <w:rPr>
          <w:rFonts w:ascii="Palatino Linotype" w:hAnsi="Palatino Linotype" w:cs="Arial"/>
          <w:sz w:val="24"/>
          <w:szCs w:val="24"/>
        </w:rPr>
        <w:t xml:space="preserve">Asimismo, como </w:t>
      </w:r>
      <w:r w:rsidR="00342793" w:rsidRPr="00075B8C">
        <w:rPr>
          <w:rFonts w:ascii="Palatino Linotype" w:hAnsi="Palatino Linotype" w:cs="Arial"/>
          <w:sz w:val="24"/>
          <w:szCs w:val="24"/>
        </w:rPr>
        <w:t>razones o motivos de inconformidad</w:t>
      </w:r>
      <w:r w:rsidRPr="00075B8C">
        <w:rPr>
          <w:rFonts w:ascii="Palatino Linotype" w:hAnsi="Palatino Linotype" w:cs="Arial"/>
          <w:sz w:val="24"/>
          <w:szCs w:val="24"/>
        </w:rPr>
        <w:t xml:space="preserve"> refirió</w:t>
      </w:r>
      <w:r w:rsidR="00342793" w:rsidRPr="00075B8C">
        <w:rPr>
          <w:rFonts w:ascii="Palatino Linotype" w:hAnsi="Palatino Linotype" w:cs="Arial"/>
          <w:sz w:val="24"/>
          <w:szCs w:val="24"/>
        </w:rPr>
        <w:t xml:space="preserve">, lo siguiente: </w:t>
      </w:r>
    </w:p>
    <w:p w:rsidR="00342793" w:rsidRPr="00075B8C" w:rsidRDefault="00342793" w:rsidP="00342793">
      <w:pPr>
        <w:tabs>
          <w:tab w:val="left" w:pos="851"/>
        </w:tabs>
        <w:spacing w:after="0" w:line="240" w:lineRule="auto"/>
        <w:ind w:left="851" w:right="901"/>
        <w:jc w:val="both"/>
        <w:rPr>
          <w:rFonts w:ascii="Palatino Linotype" w:hAnsi="Palatino Linotype" w:cs="Arial"/>
          <w:i/>
          <w:sz w:val="22"/>
          <w:szCs w:val="22"/>
        </w:rPr>
      </w:pPr>
      <w:r w:rsidRPr="00075B8C">
        <w:rPr>
          <w:rFonts w:ascii="Palatino Linotype" w:hAnsi="Palatino Linotype" w:cs="Arial"/>
          <w:i/>
          <w:sz w:val="22"/>
          <w:szCs w:val="22"/>
        </w:rPr>
        <w:t>“</w:t>
      </w:r>
      <w:r w:rsidR="00C8676C" w:rsidRPr="00075B8C">
        <w:rPr>
          <w:rFonts w:ascii="Palatino Linotype" w:hAnsi="Palatino Linotype" w:cs="Arial"/>
          <w:i/>
          <w:sz w:val="22"/>
          <w:szCs w:val="22"/>
        </w:rPr>
        <w:t xml:space="preserve">El Código Financiero del Estado de México y Municipios en los Artículos 11, 12 y 377 refiere: Artículo 11.- Son aprovechamientos los ingresos que percibe el Estado y los Municipios por funciones de derecho público y por el uso o explotación de bienes del dominio público, distintos de los impuestos, derechos, aportaciones de mejoras e ingresos derivados de la coordinación hacendaria, y de los que obtengan los organismos auxiliares del Estado y de los Municipios. Artículo 12.- Son accesorios de las contribuciones y de los aprovechamientos, los recargos, las multas, los gastos de ejecución y la indemnización por la devolución de cheques, y participan de la naturaleza de la suerte principal, cuando se encuentren vinculados directamente a la misma. Artículo 377.- Cuando sea necesario emplear el procedimiento administrativo de ejecución para hacer efectivo un crédito fiscal, las personas físicas y las jurídico colectivas estarán obligadas a pagar el 2% del total del crédito, por cada una de las diligencias de requerimiento de pago, embargo, ampliación de embargo, remate, enajenación fuera de remate o adjudicación al fisco estatal o municipal, previstos en el presente Código, por concepto de gastos de ejecución ordinario… Mi solicitud fue simple, quiero saber ¿Qué le están cobrando a los contribuyentes como gastos de ejecución?, ¿Cuál es la razón de separarlos en normatividad y resarcimientos?, ¿Que le están cobrando a los contribuyentes como aprovechamientos?, ¿Porque contablemente consideran a los aprovechamientos como gastos de ejecución, si el Articulo 12 del Código Financiero del Estado de México y Municipios dice claramente que los gastos de ejecución son un accesorio de los aprovechamientos? Y pedí evidencia digital de cómo están utilizando esos gastos de ejecución (y aprovechamientos), debe existir una póliza de egresos o de </w:t>
      </w:r>
      <w:r w:rsidR="00C8676C" w:rsidRPr="00075B8C">
        <w:rPr>
          <w:rFonts w:ascii="Palatino Linotype" w:hAnsi="Palatino Linotype" w:cs="Arial"/>
          <w:i/>
          <w:sz w:val="22"/>
          <w:szCs w:val="22"/>
        </w:rPr>
        <w:lastRenderedPageBreak/>
        <w:t>cheque (registro contable, póliza, copia de cheque o evidencia de transferencia, recibos por parte del parte del personal de ejecución fiscal, etc.). La respuesta que me enviaron no es ni remotamente lo que yo estoy pidiendo, y por cierto, si me van a contestar con fundamentos legales por favor que sean los correctos, la Ley de Ingresos del Estado de México y Municipios no existe, Existe la Ley de Ingresos del Estado de México para el ejercicio fiscal del año 2019 y la Ley de Ingresos de los Municipios del Estado de México para el ejercicio fiscal del año 2019, por lo menos tómense la molestia de revisar lo que envían. Por último, las dudas y aclaraciones a mis solicitudes se harán en el SAIMEX, ya que así lo he pedido, no como lo indican ustedes, en las oficinas de la Tesorería Municipal, si por este medio en el que ustedes tienen la obligación de contestar no lo hacen, para que pierdo mi tiempo en ir a sus oficinas</w:t>
      </w:r>
      <w:r w:rsidRPr="00075B8C">
        <w:rPr>
          <w:rFonts w:ascii="Palatino Linotype" w:hAnsi="Palatino Linotype" w:cs="Arial"/>
          <w:i/>
          <w:sz w:val="22"/>
          <w:szCs w:val="22"/>
        </w:rPr>
        <w:t>” (sic)</w:t>
      </w:r>
    </w:p>
    <w:p w:rsidR="00342793" w:rsidRPr="00075B8C" w:rsidRDefault="00342793" w:rsidP="00342793">
      <w:pPr>
        <w:pStyle w:val="Prrafodelista"/>
        <w:spacing w:before="100" w:beforeAutospacing="1" w:after="100" w:afterAutospacing="1" w:line="360" w:lineRule="auto"/>
        <w:ind w:left="0"/>
        <w:contextualSpacing w:val="0"/>
        <w:jc w:val="both"/>
        <w:rPr>
          <w:rFonts w:ascii="Palatino Linotype" w:hAnsi="Palatino Linotype" w:cs="Arial"/>
        </w:rPr>
      </w:pPr>
      <w:r w:rsidRPr="00075B8C">
        <w:rPr>
          <w:rFonts w:ascii="Palatino Linotype" w:hAnsi="Palatino Linotype" w:cs="Arial"/>
          <w:b/>
          <w:sz w:val="28"/>
          <w:szCs w:val="28"/>
        </w:rPr>
        <w:t>V</w:t>
      </w:r>
      <w:r w:rsidR="00C8676C" w:rsidRPr="00075B8C">
        <w:rPr>
          <w:rFonts w:ascii="Palatino Linotype" w:hAnsi="Palatino Linotype" w:cs="Arial"/>
          <w:b/>
          <w:sz w:val="28"/>
          <w:szCs w:val="28"/>
        </w:rPr>
        <w:t>I</w:t>
      </w:r>
      <w:r w:rsidRPr="00075B8C">
        <w:rPr>
          <w:rFonts w:ascii="Palatino Linotype" w:hAnsi="Palatino Linotype" w:cs="Arial"/>
          <w:b/>
          <w:sz w:val="28"/>
          <w:szCs w:val="28"/>
        </w:rPr>
        <w:t xml:space="preserve">. </w:t>
      </w:r>
      <w:r w:rsidRPr="00075B8C">
        <w:rPr>
          <w:rFonts w:ascii="Palatino Linotype" w:hAnsi="Palatino Linotype" w:cs="Arial"/>
          <w:sz w:val="24"/>
          <w:szCs w:val="24"/>
        </w:rPr>
        <w:t xml:space="preserve">El </w:t>
      </w:r>
      <w:r w:rsidR="00C8676C" w:rsidRPr="00075B8C">
        <w:rPr>
          <w:rFonts w:ascii="Palatino Linotype" w:hAnsi="Palatino Linotype" w:cs="Arial"/>
          <w:sz w:val="24"/>
          <w:szCs w:val="24"/>
        </w:rPr>
        <w:t xml:space="preserve">diecisiete </w:t>
      </w:r>
      <w:r w:rsidRPr="00075B8C">
        <w:rPr>
          <w:rFonts w:ascii="Palatino Linotype" w:hAnsi="Palatino Linotype" w:cs="Arial"/>
          <w:sz w:val="24"/>
          <w:szCs w:val="24"/>
        </w:rPr>
        <w:t xml:space="preserve">de mayo de dos mil diecinueve, el recurso de que se trata se envió electrónicamente al Instituto de </w:t>
      </w:r>
      <w:r w:rsidRPr="00075B8C">
        <w:rPr>
          <w:rFonts w:ascii="Palatino Linotype" w:eastAsia="Arial Unicode MS" w:hAnsi="Palatino Linotype" w:cs="Arial"/>
          <w:sz w:val="24"/>
          <w:szCs w:val="24"/>
        </w:rPr>
        <w:t>Transparencia</w:t>
      </w:r>
      <w:r w:rsidRPr="00075B8C">
        <w:rPr>
          <w:rFonts w:ascii="Palatino Linotype" w:hAnsi="Palatino Linotype" w:cs="Arial"/>
          <w:sz w:val="24"/>
          <w:szCs w:val="24"/>
        </w:rPr>
        <w:t xml:space="preserve">, Acceso a la Información Pública y Protección de Datos Personales del Estado de México y Municipios y con fundamento en el artículo 185, fracción I de la </w:t>
      </w:r>
      <w:r w:rsidRPr="00075B8C">
        <w:rPr>
          <w:rFonts w:ascii="Palatino Linotype" w:hAnsi="Palatino Linotype"/>
          <w:sz w:val="24"/>
          <w:szCs w:val="24"/>
        </w:rPr>
        <w:t>Ley de Transparencia y Acceso a la Información Pública del Estado de México y Municipios</w:t>
      </w:r>
      <w:r w:rsidRPr="00075B8C">
        <w:rPr>
          <w:rFonts w:ascii="Palatino Linotype" w:hAnsi="Palatino Linotype" w:cs="Arial"/>
          <w:sz w:val="24"/>
          <w:szCs w:val="24"/>
        </w:rPr>
        <w:t>, se turnó, a través del</w:t>
      </w:r>
      <w:r w:rsidRPr="00075B8C">
        <w:rPr>
          <w:rFonts w:ascii="Palatino Linotype" w:eastAsia="Arial Unicode MS" w:hAnsi="Palatino Linotype" w:cs="Arial"/>
          <w:sz w:val="24"/>
          <w:szCs w:val="24"/>
        </w:rPr>
        <w:t xml:space="preserve"> </w:t>
      </w:r>
      <w:r w:rsidRPr="00075B8C">
        <w:rPr>
          <w:rFonts w:ascii="Palatino Linotype" w:eastAsia="Arial Unicode MS" w:hAnsi="Palatino Linotype" w:cs="Arial"/>
          <w:b/>
          <w:sz w:val="24"/>
          <w:szCs w:val="24"/>
        </w:rPr>
        <w:t>SAIMEX</w:t>
      </w:r>
      <w:r w:rsidRPr="00075B8C">
        <w:rPr>
          <w:rFonts w:ascii="Palatino Linotype" w:hAnsi="Palatino Linotype"/>
          <w:sz w:val="24"/>
          <w:szCs w:val="24"/>
        </w:rPr>
        <w:t xml:space="preserve">, a la </w:t>
      </w:r>
      <w:r w:rsidRPr="00075B8C">
        <w:rPr>
          <w:rFonts w:ascii="Palatino Linotype" w:hAnsi="Palatino Linotype" w:cs="Arial"/>
          <w:sz w:val="24"/>
          <w:szCs w:val="24"/>
        </w:rPr>
        <w:t xml:space="preserve">Comisionada </w:t>
      </w:r>
      <w:r w:rsidRPr="00075B8C">
        <w:rPr>
          <w:rFonts w:ascii="Palatino Linotype" w:hAnsi="Palatino Linotype" w:cs="Arial"/>
          <w:b/>
          <w:sz w:val="24"/>
          <w:szCs w:val="24"/>
        </w:rPr>
        <w:t>EVA ABAID YAPUR</w:t>
      </w:r>
      <w:r w:rsidRPr="00075B8C">
        <w:rPr>
          <w:rFonts w:ascii="Palatino Linotype" w:hAnsi="Palatino Linotype"/>
          <w:sz w:val="24"/>
          <w:szCs w:val="24"/>
        </w:rPr>
        <w:t>,</w:t>
      </w:r>
      <w:r w:rsidRPr="00075B8C">
        <w:rPr>
          <w:rFonts w:ascii="Palatino Linotype" w:hAnsi="Palatino Linotype" w:cs="Arial"/>
          <w:sz w:val="24"/>
          <w:szCs w:val="24"/>
        </w:rPr>
        <w:t xml:space="preserve"> a efecto de decretar su admisión o desechamiento.</w:t>
      </w:r>
    </w:p>
    <w:p w:rsidR="00342793" w:rsidRPr="00075B8C" w:rsidRDefault="00342793" w:rsidP="00342793">
      <w:pPr>
        <w:pStyle w:val="Piedepgina"/>
        <w:spacing w:before="100" w:beforeAutospacing="1" w:after="100" w:afterAutospacing="1" w:line="360" w:lineRule="auto"/>
        <w:jc w:val="both"/>
        <w:rPr>
          <w:rFonts w:ascii="Palatino Linotype" w:hAnsi="Palatino Linotype" w:cs="Arial"/>
          <w:sz w:val="24"/>
          <w:szCs w:val="24"/>
        </w:rPr>
      </w:pPr>
      <w:r w:rsidRPr="00075B8C">
        <w:rPr>
          <w:rFonts w:ascii="Palatino Linotype" w:hAnsi="Palatino Linotype" w:cs="Arial"/>
          <w:b/>
          <w:sz w:val="28"/>
        </w:rPr>
        <w:t>V</w:t>
      </w:r>
      <w:r w:rsidR="00C8676C" w:rsidRPr="00075B8C">
        <w:rPr>
          <w:rFonts w:ascii="Palatino Linotype" w:hAnsi="Palatino Linotype" w:cs="Arial"/>
          <w:b/>
          <w:sz w:val="28"/>
        </w:rPr>
        <w:t>II</w:t>
      </w:r>
      <w:r w:rsidRPr="00075B8C">
        <w:rPr>
          <w:rFonts w:ascii="Palatino Linotype" w:hAnsi="Palatino Linotype" w:cs="Arial"/>
          <w:b/>
          <w:sz w:val="28"/>
        </w:rPr>
        <w:t xml:space="preserve">. </w:t>
      </w:r>
      <w:r w:rsidRPr="00075B8C">
        <w:rPr>
          <w:rFonts w:ascii="Palatino Linotype" w:hAnsi="Palatino Linotype" w:cs="Arial"/>
          <w:sz w:val="24"/>
          <w:szCs w:val="24"/>
        </w:rPr>
        <w:t>De las constancias del expediente electrónico del</w:t>
      </w:r>
      <w:r w:rsidRPr="00075B8C">
        <w:rPr>
          <w:rFonts w:ascii="Palatino Linotype" w:hAnsi="Palatino Linotype" w:cs="Arial"/>
          <w:b/>
          <w:sz w:val="24"/>
          <w:szCs w:val="24"/>
        </w:rPr>
        <w:t xml:space="preserve"> SAIMEX</w:t>
      </w:r>
      <w:r w:rsidRPr="00075B8C">
        <w:rPr>
          <w:rFonts w:ascii="Palatino Linotype" w:hAnsi="Palatino Linotype" w:cs="Arial"/>
          <w:sz w:val="24"/>
          <w:szCs w:val="24"/>
        </w:rPr>
        <w:t xml:space="preserve">, se advierte que en fecha </w:t>
      </w:r>
      <w:r w:rsidR="00C8676C" w:rsidRPr="00075B8C">
        <w:rPr>
          <w:rFonts w:ascii="Palatino Linotype" w:hAnsi="Palatino Linotype" w:cs="Arial"/>
          <w:sz w:val="24"/>
          <w:szCs w:val="24"/>
        </w:rPr>
        <w:t xml:space="preserve">veintitrés de </w:t>
      </w:r>
      <w:r w:rsidRPr="00075B8C">
        <w:rPr>
          <w:rFonts w:ascii="Palatino Linotype" w:hAnsi="Palatino Linotype" w:cs="Arial"/>
          <w:sz w:val="24"/>
          <w:szCs w:val="24"/>
        </w:rPr>
        <w:t xml:space="preserve">mayo de dos mil diecinueve,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075B8C">
        <w:rPr>
          <w:rFonts w:ascii="Palatino Linotype" w:hAnsi="Palatino Linotype" w:cs="Arial"/>
          <w:b/>
          <w:sz w:val="24"/>
          <w:szCs w:val="24"/>
        </w:rPr>
        <w:t xml:space="preserve">EL SUJETO OBLIGADO </w:t>
      </w:r>
      <w:r w:rsidRPr="00075B8C">
        <w:rPr>
          <w:rFonts w:ascii="Palatino Linotype" w:hAnsi="Palatino Linotype" w:cs="Arial"/>
          <w:sz w:val="24"/>
          <w:szCs w:val="24"/>
        </w:rPr>
        <w:t>rindiera su</w:t>
      </w:r>
      <w:r w:rsidRPr="00075B8C">
        <w:rPr>
          <w:rFonts w:ascii="Palatino Linotype" w:hAnsi="Palatino Linotype" w:cs="Arial"/>
          <w:b/>
          <w:sz w:val="24"/>
          <w:szCs w:val="24"/>
        </w:rPr>
        <w:t xml:space="preserve"> </w:t>
      </w:r>
      <w:r w:rsidRPr="00075B8C">
        <w:rPr>
          <w:rFonts w:ascii="Palatino Linotype" w:hAnsi="Palatino Linotype" w:cs="Arial"/>
          <w:sz w:val="24"/>
          <w:szCs w:val="24"/>
        </w:rPr>
        <w:t>Informe Justificado.</w:t>
      </w:r>
    </w:p>
    <w:p w:rsidR="00342793" w:rsidRPr="00075B8C" w:rsidRDefault="00342793" w:rsidP="00342793">
      <w:pPr>
        <w:spacing w:before="100" w:beforeAutospacing="1" w:after="100" w:afterAutospacing="1" w:line="360" w:lineRule="auto"/>
        <w:jc w:val="both"/>
        <w:rPr>
          <w:rFonts w:ascii="Palatino Linotype" w:hAnsi="Palatino Linotype" w:cs="Arial"/>
          <w:sz w:val="24"/>
          <w:szCs w:val="24"/>
        </w:rPr>
      </w:pPr>
      <w:r w:rsidRPr="00075B8C">
        <w:rPr>
          <w:rFonts w:ascii="Palatino Linotype" w:eastAsia="Arial Unicode MS" w:hAnsi="Palatino Linotype" w:cs="Arial"/>
          <w:b/>
          <w:sz w:val="28"/>
          <w:szCs w:val="28"/>
        </w:rPr>
        <w:lastRenderedPageBreak/>
        <w:t>V</w:t>
      </w:r>
      <w:r w:rsidR="00C8676C" w:rsidRPr="00075B8C">
        <w:rPr>
          <w:rFonts w:ascii="Palatino Linotype" w:eastAsia="Arial Unicode MS" w:hAnsi="Palatino Linotype" w:cs="Arial"/>
          <w:b/>
          <w:sz w:val="28"/>
          <w:szCs w:val="28"/>
        </w:rPr>
        <w:t>II</w:t>
      </w:r>
      <w:r w:rsidRPr="00075B8C">
        <w:rPr>
          <w:rFonts w:ascii="Palatino Linotype" w:eastAsia="Arial Unicode MS" w:hAnsi="Palatino Linotype" w:cs="Arial"/>
          <w:b/>
          <w:sz w:val="28"/>
          <w:szCs w:val="28"/>
        </w:rPr>
        <w:t>I.</w:t>
      </w:r>
      <w:r w:rsidRPr="00075B8C">
        <w:rPr>
          <w:rFonts w:ascii="Palatino Linotype" w:eastAsia="Arial Unicode MS" w:hAnsi="Palatino Linotype" w:cs="Arial"/>
          <w:b/>
          <w:sz w:val="28"/>
          <w:szCs w:val="28"/>
          <w:lang w:val="es-MX"/>
        </w:rPr>
        <w:t xml:space="preserve"> </w:t>
      </w:r>
      <w:r w:rsidRPr="00075B8C">
        <w:rPr>
          <w:rFonts w:ascii="Palatino Linotype" w:eastAsia="Arial Unicode MS" w:hAnsi="Palatino Linotype" w:cs="Arial"/>
          <w:sz w:val="24"/>
          <w:szCs w:val="24"/>
        </w:rPr>
        <w:t xml:space="preserve">Conforme a las constancias del </w:t>
      </w:r>
      <w:r w:rsidRPr="00075B8C">
        <w:rPr>
          <w:rFonts w:ascii="Palatino Linotype" w:eastAsia="Arial Unicode MS" w:hAnsi="Palatino Linotype" w:cs="Arial"/>
          <w:b/>
          <w:sz w:val="24"/>
          <w:szCs w:val="24"/>
        </w:rPr>
        <w:t>SAIMEX</w:t>
      </w:r>
      <w:r w:rsidRPr="00075B8C">
        <w:rPr>
          <w:rFonts w:ascii="Palatino Linotype" w:eastAsia="Arial Unicode MS" w:hAnsi="Palatino Linotype" w:cs="Arial"/>
          <w:sz w:val="24"/>
          <w:szCs w:val="24"/>
        </w:rPr>
        <w:t xml:space="preserve"> se desprende que atento a lo dispuesto en el artículo 185 de la Ley de Transparencia y Acceso a la Información Pública del Estado de México y Municipios, dentro del t</w:t>
      </w:r>
      <w:r w:rsidR="00E61ACC" w:rsidRPr="00075B8C">
        <w:rPr>
          <w:rFonts w:ascii="Palatino Linotype" w:eastAsia="Arial Unicode MS" w:hAnsi="Palatino Linotype" w:cs="Arial"/>
          <w:sz w:val="24"/>
          <w:szCs w:val="24"/>
        </w:rPr>
        <w:t xml:space="preserve">érmino legalmente concedido al </w:t>
      </w:r>
      <w:r w:rsidRPr="00075B8C">
        <w:rPr>
          <w:rFonts w:ascii="Palatino Linotype" w:eastAsia="Arial Unicode MS" w:hAnsi="Palatino Linotype" w:cs="Arial"/>
          <w:sz w:val="24"/>
          <w:szCs w:val="24"/>
        </w:rPr>
        <w:t xml:space="preserve"> </w:t>
      </w:r>
      <w:r w:rsidRPr="00075B8C">
        <w:rPr>
          <w:rFonts w:ascii="Palatino Linotype" w:eastAsia="Arial Unicode MS" w:hAnsi="Palatino Linotype" w:cs="Arial"/>
          <w:b/>
          <w:sz w:val="24"/>
          <w:szCs w:val="24"/>
        </w:rPr>
        <w:t>RECURRENTE</w:t>
      </w:r>
      <w:r w:rsidR="00E61ACC" w:rsidRPr="00075B8C">
        <w:rPr>
          <w:rFonts w:ascii="Palatino Linotype" w:eastAsia="Arial Unicode MS" w:hAnsi="Palatino Linotype" w:cs="Arial"/>
          <w:sz w:val="24"/>
          <w:szCs w:val="24"/>
        </w:rPr>
        <w:t>, éste</w:t>
      </w:r>
      <w:r w:rsidRPr="00075B8C">
        <w:rPr>
          <w:rFonts w:ascii="Palatino Linotype" w:eastAsia="Arial Unicode MS" w:hAnsi="Palatino Linotype" w:cs="Arial"/>
          <w:sz w:val="24"/>
          <w:szCs w:val="24"/>
        </w:rPr>
        <w:t xml:space="preserve"> no realizó manifestación alguna, ni pre</w:t>
      </w:r>
      <w:r w:rsidR="00E61ACC" w:rsidRPr="00075B8C">
        <w:rPr>
          <w:rFonts w:ascii="Palatino Linotype" w:eastAsia="Arial Unicode MS" w:hAnsi="Palatino Linotype" w:cs="Arial"/>
          <w:sz w:val="24"/>
          <w:szCs w:val="24"/>
        </w:rPr>
        <w:t xml:space="preserve">sentó pruebas o alegatos. Por su parte </w:t>
      </w:r>
      <w:r w:rsidRPr="00075B8C">
        <w:rPr>
          <w:rFonts w:ascii="Palatino Linotype" w:eastAsia="Arial Unicode MS" w:hAnsi="Palatino Linotype" w:cs="Arial"/>
          <w:b/>
          <w:color w:val="000000"/>
          <w:sz w:val="24"/>
          <w:szCs w:val="24"/>
          <w:lang w:eastAsia="es-MX"/>
        </w:rPr>
        <w:t>EL SUJETO OBLIGADO</w:t>
      </w:r>
      <w:r w:rsidRPr="00075B8C">
        <w:rPr>
          <w:rFonts w:ascii="Palatino Linotype" w:eastAsia="Arial Unicode MS" w:hAnsi="Palatino Linotype" w:cs="Arial"/>
          <w:sz w:val="24"/>
          <w:szCs w:val="24"/>
        </w:rPr>
        <w:t xml:space="preserve"> rindió </w:t>
      </w:r>
      <w:r w:rsidR="00E61ACC" w:rsidRPr="00075B8C">
        <w:rPr>
          <w:rFonts w:ascii="Palatino Linotype" w:eastAsia="Arial Unicode MS" w:hAnsi="Palatino Linotype" w:cs="Arial"/>
          <w:sz w:val="24"/>
          <w:szCs w:val="24"/>
        </w:rPr>
        <w:t>el</w:t>
      </w:r>
      <w:r w:rsidRPr="00075B8C">
        <w:rPr>
          <w:rFonts w:ascii="Palatino Linotype" w:eastAsia="Arial Unicode MS" w:hAnsi="Palatino Linotype" w:cs="Arial"/>
          <w:sz w:val="24"/>
          <w:szCs w:val="24"/>
        </w:rPr>
        <w:t xml:space="preserve"> Informe Justificado</w:t>
      </w:r>
      <w:r w:rsidR="00E61ACC" w:rsidRPr="00075B8C">
        <w:rPr>
          <w:rFonts w:ascii="Palatino Linotype" w:eastAsia="Arial Unicode MS" w:hAnsi="Palatino Linotype" w:cs="Arial"/>
          <w:sz w:val="24"/>
          <w:szCs w:val="24"/>
        </w:rPr>
        <w:t xml:space="preserve"> correspondiente</w:t>
      </w:r>
      <w:r w:rsidRPr="00075B8C">
        <w:rPr>
          <w:rFonts w:ascii="Palatino Linotype" w:eastAsia="Arial Unicode MS" w:hAnsi="Palatino Linotype" w:cs="Arial"/>
          <w:sz w:val="24"/>
          <w:szCs w:val="24"/>
        </w:rPr>
        <w:t xml:space="preserve">, tal y como se aprecia en la siguiente imagen: </w:t>
      </w:r>
      <w:r w:rsidRPr="00075B8C">
        <w:rPr>
          <w:rFonts w:ascii="Palatino Linotype" w:hAnsi="Palatino Linotype" w:cs="Arial"/>
          <w:sz w:val="24"/>
          <w:szCs w:val="24"/>
        </w:rPr>
        <w:t xml:space="preserve"> </w:t>
      </w:r>
    </w:p>
    <w:p w:rsidR="00342793" w:rsidRPr="00075B8C" w:rsidRDefault="00E61ACC" w:rsidP="00342793">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0AA74438" wp14:editId="11D83862">
            <wp:extent cx="5487041" cy="1691375"/>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214" t="22713" r="17776" b="36733"/>
                    <a:stretch/>
                  </pic:blipFill>
                  <pic:spPr bwMode="auto">
                    <a:xfrm>
                      <a:off x="0" y="0"/>
                      <a:ext cx="5527498" cy="1703846"/>
                    </a:xfrm>
                    <a:prstGeom prst="rect">
                      <a:avLst/>
                    </a:prstGeom>
                    <a:ln>
                      <a:noFill/>
                    </a:ln>
                    <a:extLst>
                      <a:ext uri="{53640926-AAD7-44D8-BBD7-CCE9431645EC}">
                        <a14:shadowObscured xmlns:a14="http://schemas.microsoft.com/office/drawing/2010/main"/>
                      </a:ext>
                    </a:extLst>
                  </pic:spPr>
                </pic:pic>
              </a:graphicData>
            </a:graphic>
          </wp:inline>
        </w:drawing>
      </w:r>
    </w:p>
    <w:p w:rsidR="00E61ACC" w:rsidRPr="00075B8C" w:rsidRDefault="00E61ACC" w:rsidP="00E61ACC">
      <w:pPr>
        <w:spacing w:after="0" w:line="360" w:lineRule="auto"/>
        <w:jc w:val="both"/>
        <w:rPr>
          <w:rFonts w:ascii="Palatino Linotype" w:hAnsi="Palatino Linotype" w:cs="Arial"/>
          <w:sz w:val="24"/>
          <w:szCs w:val="24"/>
        </w:rPr>
      </w:pPr>
      <w:r w:rsidRPr="00075B8C">
        <w:rPr>
          <w:rFonts w:ascii="Palatino Linotype" w:hAnsi="Palatino Linotype" w:cs="Arial"/>
          <w:noProof/>
          <w:sz w:val="24"/>
          <w:szCs w:val="24"/>
          <w:lang w:val="es-MX" w:eastAsia="es-MX"/>
        </w:rPr>
        <mc:AlternateContent>
          <mc:Choice Requires="wps">
            <w:drawing>
              <wp:anchor distT="0" distB="0" distL="114300" distR="114300" simplePos="0" relativeHeight="251663360" behindDoc="0" locked="0" layoutInCell="1" allowOverlap="1">
                <wp:simplePos x="0" y="0"/>
                <wp:positionH relativeFrom="column">
                  <wp:posOffset>45686</wp:posOffset>
                </wp:positionH>
                <wp:positionV relativeFrom="paragraph">
                  <wp:posOffset>1818155</wp:posOffset>
                </wp:positionV>
                <wp:extent cx="5755963" cy="1712518"/>
                <wp:effectExtent l="0" t="0" r="35560" b="21590"/>
                <wp:wrapNone/>
                <wp:docPr id="24" name="Conector recto 24"/>
                <wp:cNvGraphicFramePr/>
                <a:graphic xmlns:a="http://schemas.openxmlformats.org/drawingml/2006/main">
                  <a:graphicData uri="http://schemas.microsoft.com/office/word/2010/wordprocessingShape">
                    <wps:wsp>
                      <wps:cNvCnPr/>
                      <wps:spPr>
                        <a:xfrm>
                          <a:off x="0" y="0"/>
                          <a:ext cx="5755963" cy="1712518"/>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17379A" id="Conector recto 2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3.6pt,143.15pt" to="456.85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" strokecolor="#5b9bd5 [3204]" strokeweight="1pt">
                <v:stroke joinstyle="miter"/>
              </v:line>
            </w:pict>
          </mc:Fallback>
        </mc:AlternateContent>
      </w:r>
      <w:r w:rsidRPr="00075B8C">
        <w:rPr>
          <w:rFonts w:ascii="Palatino Linotype" w:hAnsi="Palatino Linotype" w:cs="Arial"/>
          <w:sz w:val="24"/>
          <w:szCs w:val="24"/>
        </w:rPr>
        <w:t>Así, es necesario referir que al no actualizar el supuesto previsto en la fracción III del artículo185 de la Ley de la materia; dicho Informe Justificado no fue puesto a disposición del solicitante; razón por la cual se hace de su conocimiento en el presente apartado; con la finalidad de que el particular tenga conocimiento de todas las constancias que integran el expediente electrónico del recurso de revisión; tal y como, se aprecia enseguida:</w:t>
      </w:r>
    </w:p>
    <w:p w:rsidR="00E61ACC" w:rsidRPr="00075B8C" w:rsidRDefault="00E61AC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1C2A502B" wp14:editId="072C8061">
            <wp:extent cx="5203825" cy="7008638"/>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503" t="15900" r="31100" b="6560"/>
                    <a:stretch/>
                  </pic:blipFill>
                  <pic:spPr bwMode="auto">
                    <a:xfrm>
                      <a:off x="0" y="0"/>
                      <a:ext cx="5227976" cy="7041165"/>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32E75C6A" wp14:editId="4DAB1AE0">
            <wp:extent cx="4946537" cy="7130206"/>
            <wp:effectExtent l="0" t="0" r="698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5782" t="9898" r="32560" b="8982"/>
                    <a:stretch/>
                  </pic:blipFill>
                  <pic:spPr bwMode="auto">
                    <a:xfrm>
                      <a:off x="0" y="0"/>
                      <a:ext cx="4965121" cy="7156994"/>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0516647B" wp14:editId="57051DE4">
            <wp:extent cx="4860488" cy="7161919"/>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598" t="11358" r="33746" b="8342"/>
                    <a:stretch/>
                  </pic:blipFill>
                  <pic:spPr bwMode="auto">
                    <a:xfrm>
                      <a:off x="0" y="0"/>
                      <a:ext cx="4881320" cy="7192615"/>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08C79CD9" wp14:editId="702B6A0E">
            <wp:extent cx="5303390" cy="683950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414" t="13467" r="33381" b="14995"/>
                    <a:stretch/>
                  </pic:blipFill>
                  <pic:spPr bwMode="auto">
                    <a:xfrm>
                      <a:off x="0" y="0"/>
                      <a:ext cx="5340788" cy="6887731"/>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p>
    <w:p w:rsidR="0067500C" w:rsidRDefault="0067500C" w:rsidP="00E61ACC">
      <w:pPr>
        <w:spacing w:after="0" w:line="360" w:lineRule="auto"/>
        <w:jc w:val="center"/>
        <w:rPr>
          <w:noProof/>
          <w:lang w:val="es-MX" w:eastAsia="es-MX"/>
        </w:rPr>
      </w:pPr>
      <w:r w:rsidRPr="00075B8C">
        <w:rPr>
          <w:noProof/>
          <w:lang w:val="es-MX" w:eastAsia="es-MX"/>
        </w:rPr>
        <w:lastRenderedPageBreak/>
        <mc:AlternateContent>
          <mc:Choice Requires="wps">
            <w:drawing>
              <wp:anchor distT="0" distB="0" distL="114300" distR="114300" simplePos="0" relativeHeight="251664384" behindDoc="0" locked="0" layoutInCell="1" allowOverlap="1">
                <wp:simplePos x="0" y="0"/>
                <wp:positionH relativeFrom="column">
                  <wp:posOffset>501014</wp:posOffset>
                </wp:positionH>
                <wp:positionV relativeFrom="paragraph">
                  <wp:posOffset>5217795</wp:posOffset>
                </wp:positionV>
                <wp:extent cx="5296535" cy="2117725"/>
                <wp:effectExtent l="0" t="0" r="37465" b="34925"/>
                <wp:wrapNone/>
                <wp:docPr id="30" name="Conector recto 30"/>
                <wp:cNvGraphicFramePr/>
                <a:graphic xmlns:a="http://schemas.openxmlformats.org/drawingml/2006/main">
                  <a:graphicData uri="http://schemas.microsoft.com/office/word/2010/wordprocessingShape">
                    <wps:wsp>
                      <wps:cNvCnPr/>
                      <wps:spPr>
                        <a:xfrm>
                          <a:off x="0" y="0"/>
                          <a:ext cx="5296535" cy="211772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4427EF" id="Conector recto 3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5pt,410.85pt" to="456.5pt,5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" strokecolor="#5b9bd5 [3204]" strokeweight="1pt">
                <v:stroke joinstyle="miter"/>
              </v:line>
            </w:pict>
          </mc:Fallback>
        </mc:AlternateContent>
      </w:r>
      <w:r w:rsidR="007B337F" w:rsidRPr="007B337F">
        <w:rPr>
          <w:noProof/>
          <w:lang w:val="es-MX" w:eastAsia="es-MX"/>
        </w:rPr>
        <w:t xml:space="preserve"> </w:t>
      </w:r>
      <w:r w:rsidR="007B337F">
        <w:rPr>
          <w:noProof/>
          <w:lang w:val="es-MX" w:eastAsia="es-MX"/>
        </w:rPr>
        <w:drawing>
          <wp:inline distT="0" distB="0" distL="0" distR="0" wp14:anchorId="0F9BC0A3" wp14:editId="62A8A147">
            <wp:extent cx="4166851" cy="5124450"/>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7660" t="23387" r="35862" b="18730"/>
                    <a:stretch/>
                  </pic:blipFill>
                  <pic:spPr bwMode="auto">
                    <a:xfrm>
                      <a:off x="0" y="0"/>
                      <a:ext cx="4171973" cy="5130749"/>
                    </a:xfrm>
                    <a:prstGeom prst="rect">
                      <a:avLst/>
                    </a:prstGeom>
                    <a:ln>
                      <a:noFill/>
                    </a:ln>
                    <a:extLst>
                      <a:ext uri="{53640926-AAD7-44D8-BBD7-CCE9431645EC}">
                        <a14:shadowObscured xmlns:a14="http://schemas.microsoft.com/office/drawing/2010/main"/>
                      </a:ext>
                    </a:extLst>
                  </pic:spPr>
                </pic:pic>
              </a:graphicData>
            </a:graphic>
          </wp:inline>
        </w:drawing>
      </w:r>
      <w:r w:rsidR="007B337F" w:rsidRPr="00075B8C">
        <w:rPr>
          <w:noProof/>
          <w:lang w:val="es-MX" w:eastAsia="es-MX"/>
        </w:rPr>
        <w:t xml:space="preserve"> </w:t>
      </w:r>
      <w:bookmarkStart w:id="0" w:name="_GoBack"/>
      <w:bookmarkEnd w:id="0"/>
    </w:p>
    <w:p w:rsidR="00BF0CFC" w:rsidRPr="00075B8C" w:rsidRDefault="00BF0CFC" w:rsidP="00E61ACC">
      <w:pPr>
        <w:spacing w:after="0" w:line="360" w:lineRule="auto"/>
        <w:jc w:val="center"/>
        <w:rPr>
          <w:rFonts w:ascii="Palatino Linotype" w:hAnsi="Palatino Linotype" w:cs="Arial"/>
          <w:sz w:val="24"/>
          <w:szCs w:val="24"/>
        </w:rPr>
      </w:pPr>
      <w:r>
        <w:rPr>
          <w:noProof/>
          <w:lang w:val="es-MX" w:eastAsia="es-MX"/>
        </w:rPr>
        <w:lastRenderedPageBreak/>
        <w:drawing>
          <wp:inline distT="0" distB="0" distL="0" distR="0" wp14:anchorId="0A4DC3CB" wp14:editId="378E1FAD">
            <wp:extent cx="5637079" cy="6798365"/>
            <wp:effectExtent l="0" t="0" r="1905"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738" t="21478" r="32593" b="8485"/>
                    <a:stretch/>
                  </pic:blipFill>
                  <pic:spPr bwMode="auto">
                    <a:xfrm>
                      <a:off x="0" y="0"/>
                      <a:ext cx="5662743" cy="6829316"/>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031549EA" wp14:editId="67E34079">
            <wp:extent cx="3789739" cy="3808345"/>
            <wp:effectExtent l="0" t="0" r="1270"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404" t="19632" r="28910" b="13048"/>
                    <a:stretch/>
                  </pic:blipFill>
                  <pic:spPr bwMode="auto">
                    <a:xfrm>
                      <a:off x="0" y="0"/>
                      <a:ext cx="3789739" cy="3808345"/>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588F7B15" wp14:editId="0F5A0655">
            <wp:extent cx="3265781" cy="328232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2493" t="12656" r="30643" b="21484"/>
                    <a:stretch/>
                  </pic:blipFill>
                  <pic:spPr bwMode="auto">
                    <a:xfrm>
                      <a:off x="0" y="0"/>
                      <a:ext cx="3265781" cy="3282326"/>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mc:AlternateContent>
          <mc:Choice Requires="wps">
            <w:drawing>
              <wp:anchor distT="0" distB="0" distL="114300" distR="114300" simplePos="0" relativeHeight="251665408" behindDoc="0" locked="0" layoutInCell="1" allowOverlap="1">
                <wp:simplePos x="0" y="0"/>
                <wp:positionH relativeFrom="column">
                  <wp:posOffset>521386</wp:posOffset>
                </wp:positionH>
                <wp:positionV relativeFrom="paragraph">
                  <wp:posOffset>4772157</wp:posOffset>
                </wp:positionV>
                <wp:extent cx="5237980" cy="2605776"/>
                <wp:effectExtent l="0" t="0" r="20320" b="23495"/>
                <wp:wrapNone/>
                <wp:docPr id="34" name="Conector recto 34"/>
                <wp:cNvGraphicFramePr/>
                <a:graphic xmlns:a="http://schemas.openxmlformats.org/drawingml/2006/main">
                  <a:graphicData uri="http://schemas.microsoft.com/office/word/2010/wordprocessingShape">
                    <wps:wsp>
                      <wps:cNvCnPr/>
                      <wps:spPr>
                        <a:xfrm>
                          <a:off x="0" y="0"/>
                          <a:ext cx="5237980" cy="260577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E0C710" id="Conector recto 34"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41.05pt,375.75pt" to="453.5pt,58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" strokecolor="#5b9bd5 [3204]" strokeweight="1.5pt">
                <v:stroke joinstyle="miter"/>
              </v:line>
            </w:pict>
          </mc:Fallback>
        </mc:AlternateContent>
      </w:r>
      <w:r w:rsidRPr="00075B8C">
        <w:rPr>
          <w:noProof/>
          <w:lang w:val="es-MX" w:eastAsia="es-MX"/>
        </w:rPr>
        <w:drawing>
          <wp:inline distT="0" distB="0" distL="0" distR="0" wp14:anchorId="1197D30C" wp14:editId="38625C99">
            <wp:extent cx="4073532" cy="4603714"/>
            <wp:effectExtent l="0" t="0" r="3175"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129" t="13305" r="31373" b="13372"/>
                    <a:stretch/>
                  </pic:blipFill>
                  <pic:spPr bwMode="auto">
                    <a:xfrm>
                      <a:off x="0" y="0"/>
                      <a:ext cx="4108044" cy="4642718"/>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781036A0" wp14:editId="1D7F2908">
            <wp:extent cx="5328049" cy="6453656"/>
            <wp:effectExtent l="0" t="0" r="635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321" t="16387" r="33564" b="16617"/>
                    <a:stretch/>
                  </pic:blipFill>
                  <pic:spPr bwMode="auto">
                    <a:xfrm>
                      <a:off x="0" y="0"/>
                      <a:ext cx="5391220" cy="6530172"/>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5C2D836B" wp14:editId="4BAE9ED9">
            <wp:extent cx="4794542" cy="6818359"/>
            <wp:effectExtent l="0" t="0" r="6350" b="19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138" t="10546" r="33290" b="9641"/>
                    <a:stretch/>
                  </pic:blipFill>
                  <pic:spPr bwMode="auto">
                    <a:xfrm>
                      <a:off x="0" y="0"/>
                      <a:ext cx="4813431" cy="6845221"/>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199E2891" wp14:editId="7BC2EE51">
            <wp:extent cx="5070362" cy="6511797"/>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592" t="13142" r="32651" b="12074"/>
                    <a:stretch/>
                  </pic:blipFill>
                  <pic:spPr bwMode="auto">
                    <a:xfrm>
                      <a:off x="0" y="0"/>
                      <a:ext cx="5088263" cy="6534787"/>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1FF8FA98" wp14:editId="13BCA1C9">
            <wp:extent cx="5169486" cy="6702077"/>
            <wp:effectExtent l="0" t="0" r="0" b="38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5049" t="15576" r="32925" b="10616"/>
                    <a:stretch/>
                  </pic:blipFill>
                  <pic:spPr bwMode="auto">
                    <a:xfrm>
                      <a:off x="0" y="0"/>
                      <a:ext cx="5194985" cy="6735136"/>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2CF805E9" wp14:editId="154F66F4">
            <wp:extent cx="4578579" cy="316604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817" t="8924" r="18323" b="18726"/>
                    <a:stretch/>
                  </pic:blipFill>
                  <pic:spPr bwMode="auto">
                    <a:xfrm>
                      <a:off x="0" y="0"/>
                      <a:ext cx="4592268" cy="3175510"/>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68AFDC1A" wp14:editId="4EB6CA0F">
            <wp:extent cx="4647301" cy="3446178"/>
            <wp:effectExtent l="0" t="0" r="127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724" t="8924" r="24620" b="20348"/>
                    <a:stretch/>
                  </pic:blipFill>
                  <pic:spPr bwMode="auto">
                    <a:xfrm>
                      <a:off x="0" y="0"/>
                      <a:ext cx="4665359" cy="3459569"/>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3C7E774A" wp14:editId="3EEB34F2">
            <wp:extent cx="4244925" cy="4730115"/>
            <wp:effectExtent l="0" t="0" r="381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6687" t="22711" r="35662" b="17266"/>
                    <a:stretch/>
                  </pic:blipFill>
                  <pic:spPr bwMode="auto">
                    <a:xfrm>
                      <a:off x="0" y="0"/>
                      <a:ext cx="4289717" cy="4780027"/>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20C4AA4A" wp14:editId="7A629DF0">
            <wp:extent cx="4082991" cy="234632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189" t="28391" r="21244" b="13210"/>
                    <a:stretch/>
                  </pic:blipFill>
                  <pic:spPr bwMode="auto">
                    <a:xfrm>
                      <a:off x="0" y="0"/>
                      <a:ext cx="4103744" cy="2358251"/>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61F4BF5E" wp14:editId="50112725">
            <wp:extent cx="4028689" cy="2544445"/>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4733" t="8923" r="21153" b="23269"/>
                    <a:stretch/>
                  </pic:blipFill>
                  <pic:spPr bwMode="auto">
                    <a:xfrm>
                      <a:off x="0" y="0"/>
                      <a:ext cx="4052349" cy="2559389"/>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158B330E" wp14:editId="13628B82">
            <wp:extent cx="4098681" cy="329755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5007" t="10708" r="22521" b="6560"/>
                    <a:stretch/>
                  </pic:blipFill>
                  <pic:spPr bwMode="auto">
                    <a:xfrm>
                      <a:off x="0" y="0"/>
                      <a:ext cx="4127258" cy="3320546"/>
                    </a:xfrm>
                    <a:prstGeom prst="rect">
                      <a:avLst/>
                    </a:prstGeom>
                    <a:ln>
                      <a:noFill/>
                    </a:ln>
                    <a:extLst>
                      <a:ext uri="{53640926-AAD7-44D8-BBD7-CCE9431645EC}">
                        <a14:shadowObscured xmlns:a14="http://schemas.microsoft.com/office/drawing/2010/main"/>
                      </a:ext>
                    </a:extLst>
                  </pic:spPr>
                </pic:pic>
              </a:graphicData>
            </a:graphic>
          </wp:inline>
        </w:drawing>
      </w:r>
    </w:p>
    <w:p w:rsidR="0067500C" w:rsidRPr="00075B8C" w:rsidRDefault="0067500C"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52554FBB" wp14:editId="2E5FCF93">
            <wp:extent cx="4086827" cy="1040765"/>
            <wp:effectExtent l="0" t="0" r="9525" b="698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918" t="28231" r="21700" b="45655"/>
                    <a:stretch/>
                  </pic:blipFill>
                  <pic:spPr bwMode="auto">
                    <a:xfrm>
                      <a:off x="0" y="0"/>
                      <a:ext cx="4106602" cy="1045801"/>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34B55FE1" wp14:editId="23703A51">
            <wp:extent cx="4135120" cy="3234471"/>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4825" t="9248" r="21882" b="8506"/>
                    <a:stretch/>
                  </pic:blipFill>
                  <pic:spPr bwMode="auto">
                    <a:xfrm>
                      <a:off x="0" y="0"/>
                      <a:ext cx="4153710" cy="3249012"/>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5E191BBE" wp14:editId="1935706B">
            <wp:extent cx="4094768" cy="1204595"/>
            <wp:effectExtent l="0" t="0" r="127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011" t="25638" r="22248" b="45006"/>
                    <a:stretch/>
                  </pic:blipFill>
                  <pic:spPr bwMode="auto">
                    <a:xfrm>
                      <a:off x="0" y="0"/>
                      <a:ext cx="4123816" cy="1213140"/>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29AFC5E0" wp14:editId="013EA126">
            <wp:extent cx="4120476" cy="235204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011" t="16550" r="21518" b="25864"/>
                    <a:stretch/>
                  </pic:blipFill>
                  <pic:spPr bwMode="auto">
                    <a:xfrm>
                      <a:off x="0" y="0"/>
                      <a:ext cx="4139031" cy="2362631"/>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1E9986A2" wp14:editId="74150B75">
            <wp:extent cx="3851910" cy="1601402"/>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4555" t="22555" r="21974" b="32353"/>
                    <a:stretch/>
                  </pic:blipFill>
                  <pic:spPr bwMode="auto">
                    <a:xfrm>
                      <a:off x="0" y="0"/>
                      <a:ext cx="3905337" cy="1623614"/>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53A87029" wp14:editId="6141F906">
            <wp:extent cx="3724275" cy="196401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007" t="22876" r="21609" b="22620"/>
                    <a:stretch/>
                  </pic:blipFill>
                  <pic:spPr bwMode="auto">
                    <a:xfrm>
                      <a:off x="0" y="0"/>
                      <a:ext cx="3760776" cy="1983266"/>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06ACA22D" wp14:editId="0C3889E8">
            <wp:extent cx="3693160" cy="1839378"/>
            <wp:effectExtent l="0" t="0" r="2540" b="889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4460" t="14114" r="21427" b="33813"/>
                    <a:stretch/>
                  </pic:blipFill>
                  <pic:spPr bwMode="auto">
                    <a:xfrm>
                      <a:off x="0" y="0"/>
                      <a:ext cx="3725449" cy="1855460"/>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3167EBCC" wp14:editId="182D6B00">
            <wp:extent cx="3733800" cy="1178377"/>
            <wp:effectExtent l="0" t="0" r="0" b="31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5102" t="21256" r="21974" b="48088"/>
                    <a:stretch/>
                  </pic:blipFill>
                  <pic:spPr bwMode="auto">
                    <a:xfrm>
                      <a:off x="0" y="0"/>
                      <a:ext cx="3769391" cy="1189609"/>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7B9C9979" wp14:editId="6338A7CA">
            <wp:extent cx="4305300" cy="3625387"/>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4643" t="10383" r="21700" b="6236"/>
                    <a:stretch/>
                  </pic:blipFill>
                  <pic:spPr bwMode="auto">
                    <a:xfrm>
                      <a:off x="0" y="0"/>
                      <a:ext cx="4324024" cy="3641154"/>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3D0CFFAC" wp14:editId="3E92B703">
            <wp:extent cx="4210050" cy="347218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462" t="12330" r="21792" b="6235"/>
                    <a:stretch/>
                  </pic:blipFill>
                  <pic:spPr bwMode="auto">
                    <a:xfrm>
                      <a:off x="0" y="0"/>
                      <a:ext cx="4236771" cy="3494218"/>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49C3E2A9" wp14:editId="30F1FA61">
            <wp:extent cx="4195655" cy="993684"/>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4644" t="41698" r="21426" b="35597"/>
                    <a:stretch/>
                  </pic:blipFill>
                  <pic:spPr bwMode="auto">
                    <a:xfrm>
                      <a:off x="0" y="0"/>
                      <a:ext cx="4227678" cy="1001268"/>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164750A9" wp14:editId="25128326">
            <wp:extent cx="4283155" cy="3139616"/>
            <wp:effectExtent l="0" t="0" r="3175" b="381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4643" t="12330" r="21700" b="17752"/>
                    <a:stretch/>
                  </pic:blipFill>
                  <pic:spPr bwMode="auto">
                    <a:xfrm>
                      <a:off x="0" y="0"/>
                      <a:ext cx="4308089" cy="3157893"/>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mc:AlternateContent>
          <mc:Choice Requires="wps">
            <w:drawing>
              <wp:anchor distT="0" distB="0" distL="114300" distR="114300" simplePos="0" relativeHeight="251666432" behindDoc="0" locked="0" layoutInCell="1" allowOverlap="1">
                <wp:simplePos x="0" y="0"/>
                <wp:positionH relativeFrom="column">
                  <wp:posOffset>695809</wp:posOffset>
                </wp:positionH>
                <wp:positionV relativeFrom="paragraph">
                  <wp:posOffset>1770500</wp:posOffset>
                </wp:positionV>
                <wp:extent cx="5068841" cy="1326673"/>
                <wp:effectExtent l="19050" t="19050" r="36830" b="26035"/>
                <wp:wrapNone/>
                <wp:docPr id="58" name="Conector recto 58"/>
                <wp:cNvGraphicFramePr/>
                <a:graphic xmlns:a="http://schemas.openxmlformats.org/drawingml/2006/main">
                  <a:graphicData uri="http://schemas.microsoft.com/office/word/2010/wordprocessingShape">
                    <wps:wsp>
                      <wps:cNvCnPr/>
                      <wps:spPr>
                        <a:xfrm>
                          <a:off x="0" y="0"/>
                          <a:ext cx="5068841" cy="1326673"/>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8E829A" id="Conector recto 58"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54.8pt,139.4pt" to="453.9pt,2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" strokecolor="#5b9bd5 [3204]" strokeweight="2.25pt">
                <v:stroke joinstyle="miter"/>
              </v:line>
            </w:pict>
          </mc:Fallback>
        </mc:AlternateContent>
      </w:r>
      <w:r w:rsidRPr="00075B8C">
        <w:rPr>
          <w:noProof/>
          <w:lang w:val="es-MX" w:eastAsia="es-MX"/>
        </w:rPr>
        <w:drawing>
          <wp:inline distT="0" distB="0" distL="0" distR="0" wp14:anchorId="3C19E0F8" wp14:editId="34A255E8">
            <wp:extent cx="4305231" cy="1680805"/>
            <wp:effectExtent l="0" t="0" r="63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4920" t="17525" r="21793" b="45493"/>
                    <a:stretch/>
                  </pic:blipFill>
                  <pic:spPr bwMode="auto">
                    <a:xfrm>
                      <a:off x="0" y="0"/>
                      <a:ext cx="4338385" cy="1693749"/>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74A4120F" wp14:editId="7E2370A2">
            <wp:extent cx="4059623" cy="3070904"/>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5007" t="12330" r="21792" b="16130"/>
                    <a:stretch/>
                  </pic:blipFill>
                  <pic:spPr bwMode="auto">
                    <a:xfrm>
                      <a:off x="0" y="0"/>
                      <a:ext cx="4075919" cy="3083231"/>
                    </a:xfrm>
                    <a:prstGeom prst="rect">
                      <a:avLst/>
                    </a:prstGeom>
                    <a:ln>
                      <a:noFill/>
                    </a:ln>
                    <a:extLst>
                      <a:ext uri="{53640926-AAD7-44D8-BBD7-CCE9431645EC}">
                        <a14:shadowObscured xmlns:a14="http://schemas.microsoft.com/office/drawing/2010/main"/>
                      </a:ext>
                    </a:extLst>
                  </pic:spPr>
                </pic:pic>
              </a:graphicData>
            </a:graphic>
          </wp:inline>
        </w:drawing>
      </w:r>
    </w:p>
    <w:p w:rsidR="008D0ED1" w:rsidRDefault="008D0ED1" w:rsidP="00E61ACC">
      <w:pPr>
        <w:spacing w:after="0" w:line="360" w:lineRule="auto"/>
        <w:jc w:val="center"/>
        <w:rPr>
          <w:rFonts w:ascii="Palatino Linotype" w:hAnsi="Palatino Linotype" w:cs="Arial"/>
          <w:sz w:val="24"/>
          <w:szCs w:val="24"/>
        </w:rPr>
      </w:pPr>
      <w:r w:rsidRPr="00075B8C">
        <w:rPr>
          <w:noProof/>
          <w:lang w:val="es-MX" w:eastAsia="es-MX"/>
        </w:rPr>
        <w:drawing>
          <wp:inline distT="0" distB="0" distL="0" distR="0" wp14:anchorId="1B180F19" wp14:editId="2F7EAFAF">
            <wp:extent cx="4284244" cy="1818228"/>
            <wp:effectExtent l="0" t="0" r="254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5009" t="18821" r="21882" b="41113"/>
                    <a:stretch/>
                  </pic:blipFill>
                  <pic:spPr bwMode="auto">
                    <a:xfrm>
                      <a:off x="0" y="0"/>
                      <a:ext cx="4315894" cy="1831660"/>
                    </a:xfrm>
                    <a:prstGeom prst="rect">
                      <a:avLst/>
                    </a:prstGeom>
                    <a:ln>
                      <a:noFill/>
                    </a:ln>
                    <a:extLst>
                      <a:ext uri="{53640926-AAD7-44D8-BBD7-CCE9431645EC}">
                        <a14:shadowObscured xmlns:a14="http://schemas.microsoft.com/office/drawing/2010/main"/>
                      </a:ext>
                    </a:extLst>
                  </pic:spPr>
                </pic:pic>
              </a:graphicData>
            </a:graphic>
          </wp:inline>
        </w:drawing>
      </w:r>
    </w:p>
    <w:p w:rsidR="00D15AFA" w:rsidRPr="00075B8C" w:rsidRDefault="00D15AFA" w:rsidP="00E61ACC">
      <w:pPr>
        <w:spacing w:after="0" w:line="360" w:lineRule="auto"/>
        <w:jc w:val="center"/>
        <w:rPr>
          <w:rFonts w:ascii="Palatino Linotype" w:hAnsi="Palatino Linotype" w:cs="Arial"/>
          <w:sz w:val="24"/>
          <w:szCs w:val="24"/>
        </w:rPr>
      </w:pPr>
      <w:r>
        <w:rPr>
          <w:noProof/>
          <w:lang w:val="es-MX" w:eastAsia="es-MX"/>
        </w:rPr>
        <mc:AlternateContent>
          <mc:Choice Requires="wps">
            <w:drawing>
              <wp:anchor distT="0" distB="0" distL="114300" distR="114300" simplePos="0" relativeHeight="251669504" behindDoc="0" locked="0" layoutInCell="1" allowOverlap="1">
                <wp:simplePos x="0" y="0"/>
                <wp:positionH relativeFrom="column">
                  <wp:posOffset>405765</wp:posOffset>
                </wp:positionH>
                <wp:positionV relativeFrom="paragraph">
                  <wp:posOffset>135889</wp:posOffset>
                </wp:positionV>
                <wp:extent cx="5448300" cy="2200275"/>
                <wp:effectExtent l="19050" t="19050" r="19050" b="28575"/>
                <wp:wrapNone/>
                <wp:docPr id="5" name="Conector recto 5"/>
                <wp:cNvGraphicFramePr/>
                <a:graphic xmlns:a="http://schemas.openxmlformats.org/drawingml/2006/main">
                  <a:graphicData uri="http://schemas.microsoft.com/office/word/2010/wordprocessingShape">
                    <wps:wsp>
                      <wps:cNvCnPr/>
                      <wps:spPr>
                        <a:xfrm>
                          <a:off x="0" y="0"/>
                          <a:ext cx="5448300" cy="22002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45D243" id="Conector recto 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5pt,10.7pt" to="460.95pt,1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" strokecolor="#5b9bd5 [3204]" strokeweight="2.25pt">
                <v:stroke joinstyle="miter"/>
              </v:line>
            </w:pict>
          </mc:Fallback>
        </mc:AlternateContent>
      </w:r>
    </w:p>
    <w:p w:rsidR="008D0ED1" w:rsidRPr="00075B8C" w:rsidRDefault="008D0ED1" w:rsidP="00E61ACC">
      <w:pPr>
        <w:spacing w:after="0" w:line="360" w:lineRule="auto"/>
        <w:jc w:val="center"/>
        <w:rPr>
          <w:rFonts w:ascii="Palatino Linotype" w:hAnsi="Palatino Linotype" w:cs="Arial"/>
          <w:sz w:val="24"/>
          <w:szCs w:val="24"/>
        </w:rPr>
      </w:pPr>
      <w:r w:rsidRPr="00075B8C">
        <w:rPr>
          <w:noProof/>
          <w:lang w:val="es-MX" w:eastAsia="es-MX"/>
        </w:rPr>
        <w:lastRenderedPageBreak/>
        <w:drawing>
          <wp:inline distT="0" distB="0" distL="0" distR="0" wp14:anchorId="5BAA9AF8" wp14:editId="439EAB20">
            <wp:extent cx="3921760" cy="4038600"/>
            <wp:effectExtent l="0" t="0" r="254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4918" t="8437" r="20696" b="6883"/>
                    <a:stretch/>
                  </pic:blipFill>
                  <pic:spPr bwMode="auto">
                    <a:xfrm>
                      <a:off x="0" y="0"/>
                      <a:ext cx="3935338" cy="4052583"/>
                    </a:xfrm>
                    <a:prstGeom prst="rect">
                      <a:avLst/>
                    </a:prstGeom>
                    <a:ln>
                      <a:noFill/>
                    </a:ln>
                    <a:extLst>
                      <a:ext uri="{53640926-AAD7-44D8-BBD7-CCE9431645EC}">
                        <a14:shadowObscured xmlns:a14="http://schemas.microsoft.com/office/drawing/2010/main"/>
                      </a:ext>
                    </a:extLst>
                  </pic:spPr>
                </pic:pic>
              </a:graphicData>
            </a:graphic>
          </wp:inline>
        </w:drawing>
      </w:r>
    </w:p>
    <w:p w:rsidR="008D0ED1" w:rsidRPr="00075B8C" w:rsidRDefault="008D0ED1" w:rsidP="00E61ACC">
      <w:pPr>
        <w:spacing w:after="0" w:line="360" w:lineRule="auto"/>
        <w:jc w:val="center"/>
        <w:rPr>
          <w:rFonts w:ascii="Palatino Linotype" w:hAnsi="Palatino Linotype" w:cs="Arial"/>
          <w:sz w:val="24"/>
          <w:szCs w:val="24"/>
        </w:rPr>
      </w:pPr>
    </w:p>
    <w:p w:rsidR="00342793" w:rsidRPr="00075B8C" w:rsidRDefault="00342793" w:rsidP="00342793">
      <w:pPr>
        <w:pStyle w:val="Prrafodelista"/>
        <w:tabs>
          <w:tab w:val="left" w:pos="709"/>
        </w:tabs>
        <w:spacing w:before="100" w:beforeAutospacing="1" w:after="100" w:afterAutospacing="1" w:line="360" w:lineRule="auto"/>
        <w:ind w:left="0"/>
        <w:contextualSpacing w:val="0"/>
        <w:jc w:val="both"/>
        <w:rPr>
          <w:rFonts w:ascii="Palatino Linotype" w:hAnsi="Palatino Linotype" w:cs="Arial"/>
          <w:sz w:val="24"/>
          <w:szCs w:val="24"/>
        </w:rPr>
      </w:pPr>
      <w:r w:rsidRPr="00075B8C">
        <w:rPr>
          <w:rFonts w:ascii="Palatino Linotype" w:hAnsi="Palatino Linotype"/>
          <w:b/>
          <w:sz w:val="28"/>
          <w:szCs w:val="28"/>
        </w:rPr>
        <w:t>I</w:t>
      </w:r>
      <w:r w:rsidR="008D0ED1" w:rsidRPr="00075B8C">
        <w:rPr>
          <w:rFonts w:ascii="Palatino Linotype" w:hAnsi="Palatino Linotype"/>
          <w:b/>
          <w:sz w:val="28"/>
          <w:szCs w:val="28"/>
        </w:rPr>
        <w:t>X</w:t>
      </w:r>
      <w:r w:rsidRPr="00075B8C">
        <w:rPr>
          <w:rFonts w:ascii="Palatino Linotype" w:hAnsi="Palatino Linotype"/>
          <w:b/>
          <w:sz w:val="28"/>
          <w:szCs w:val="28"/>
        </w:rPr>
        <w:t xml:space="preserve">. </w:t>
      </w:r>
      <w:bookmarkStart w:id="1" w:name="_Ref529870989"/>
      <w:r w:rsidRPr="00075B8C">
        <w:rPr>
          <w:rFonts w:ascii="Palatino Linotype" w:hAnsi="Palatino Linotype" w:cs="Arial"/>
          <w:sz w:val="24"/>
          <w:szCs w:val="24"/>
        </w:rPr>
        <w:t>Una vez analizado el estado procesal que guarda el expediente, en fecha c</w:t>
      </w:r>
      <w:r w:rsidR="008D0ED1" w:rsidRPr="00075B8C">
        <w:rPr>
          <w:rFonts w:ascii="Palatino Linotype" w:hAnsi="Palatino Linotype" w:cs="Arial"/>
          <w:sz w:val="24"/>
          <w:szCs w:val="24"/>
        </w:rPr>
        <w:t xml:space="preserve">uatro </w:t>
      </w:r>
      <w:r w:rsidRPr="00075B8C">
        <w:rPr>
          <w:rFonts w:ascii="Palatino Linotype" w:hAnsi="Palatino Linotype" w:cs="Arial"/>
          <w:sz w:val="24"/>
          <w:szCs w:val="24"/>
        </w:rPr>
        <w:t>de junio de dos mil diecinueve, la Comisionada Ponente acordó el cierre de instrucción, así como la remisión del mismo a efecto de ser resuelto, de conformidad con lo establecido en el artículo 185 fracciones VI y VIII de la Ley de Transparencia y Acceso a la Información Pública del Estado de México y Municipios.</w:t>
      </w:r>
    </w:p>
    <w:bookmarkEnd w:id="1"/>
    <w:p w:rsidR="00342793" w:rsidRPr="00075B8C" w:rsidRDefault="008D0ED1" w:rsidP="00342793">
      <w:pPr>
        <w:pStyle w:val="Prrafodelista"/>
        <w:tabs>
          <w:tab w:val="left" w:pos="567"/>
        </w:tabs>
        <w:spacing w:before="100" w:beforeAutospacing="1" w:after="100" w:afterAutospacing="1" w:line="360" w:lineRule="auto"/>
        <w:ind w:left="0"/>
        <w:contextualSpacing w:val="0"/>
        <w:jc w:val="both"/>
        <w:rPr>
          <w:rFonts w:ascii="Palatino Linotype" w:hAnsi="Palatino Linotype" w:cs="Arial"/>
          <w:sz w:val="24"/>
          <w:szCs w:val="24"/>
        </w:rPr>
      </w:pPr>
      <w:r w:rsidRPr="00075B8C">
        <w:rPr>
          <w:rFonts w:ascii="Palatino Linotype" w:hAnsi="Palatino Linotype" w:cs="Arial"/>
          <w:b/>
          <w:sz w:val="28"/>
        </w:rPr>
        <w:t>X</w:t>
      </w:r>
      <w:r w:rsidR="00342793" w:rsidRPr="00075B8C">
        <w:rPr>
          <w:rFonts w:ascii="Palatino Linotype" w:hAnsi="Palatino Linotype" w:cs="Arial"/>
          <w:b/>
          <w:sz w:val="28"/>
        </w:rPr>
        <w:t>.</w:t>
      </w:r>
      <w:r w:rsidR="00342793" w:rsidRPr="00075B8C">
        <w:rPr>
          <w:rFonts w:ascii="Palatino Linotype" w:hAnsi="Palatino Linotype" w:cs="Arial"/>
          <w:b/>
        </w:rPr>
        <w:t xml:space="preserve"> </w:t>
      </w:r>
      <w:r w:rsidR="00342793" w:rsidRPr="00075B8C">
        <w:rPr>
          <w:rFonts w:ascii="Palatino Linotype" w:hAnsi="Palatino Linotype" w:cs="Arial"/>
          <w:sz w:val="24"/>
          <w:szCs w:val="24"/>
        </w:rPr>
        <w:t xml:space="preserve">En fecha </w:t>
      </w:r>
      <w:r w:rsidR="0022798E" w:rsidRPr="00075B8C">
        <w:rPr>
          <w:rFonts w:ascii="Palatino Linotype" w:hAnsi="Palatino Linotype" w:cs="Arial"/>
          <w:sz w:val="24"/>
          <w:szCs w:val="24"/>
        </w:rPr>
        <w:t>cuatro</w:t>
      </w:r>
      <w:r w:rsidR="00342793" w:rsidRPr="00075B8C">
        <w:rPr>
          <w:rFonts w:ascii="Palatino Linotype" w:hAnsi="Palatino Linotype" w:cs="Arial"/>
          <w:sz w:val="24"/>
          <w:szCs w:val="24"/>
        </w:rPr>
        <w:t xml:space="preserve"> de julio de dos mil diecinueve, la Comisionada Ponente acordó ampliar el plazo para resolver el recurso de revisión de mérito, por un periodo de hasta </w:t>
      </w:r>
      <w:r w:rsidR="00342793" w:rsidRPr="00075B8C">
        <w:rPr>
          <w:rFonts w:ascii="Palatino Linotype" w:hAnsi="Palatino Linotype" w:cs="Arial"/>
          <w:sz w:val="24"/>
          <w:szCs w:val="24"/>
        </w:rPr>
        <w:lastRenderedPageBreak/>
        <w:t>quince días hábiles, de conformidad con el artículo 181 tercer párrafo de la Ley de Transparencia y Acceso a la Información Pública del Estado de México y Municipios; y,</w:t>
      </w:r>
    </w:p>
    <w:p w:rsidR="00342793" w:rsidRPr="00075B8C" w:rsidRDefault="00342793" w:rsidP="00342793">
      <w:pPr>
        <w:spacing w:after="0" w:line="240" w:lineRule="auto"/>
        <w:jc w:val="center"/>
        <w:rPr>
          <w:rFonts w:ascii="Palatino Linotype" w:hAnsi="Palatino Linotype" w:cs="Arial"/>
          <w:b/>
          <w:bCs/>
          <w:spacing w:val="60"/>
          <w:sz w:val="28"/>
        </w:rPr>
      </w:pPr>
      <w:r w:rsidRPr="00075B8C">
        <w:rPr>
          <w:rFonts w:ascii="Palatino Linotype" w:hAnsi="Palatino Linotype" w:cs="Arial"/>
          <w:b/>
          <w:bCs/>
          <w:spacing w:val="60"/>
          <w:sz w:val="28"/>
        </w:rPr>
        <w:t>CONSIDERANDO</w:t>
      </w:r>
    </w:p>
    <w:p w:rsidR="00342793" w:rsidRPr="00075B8C" w:rsidRDefault="00342793" w:rsidP="00342793">
      <w:pPr>
        <w:spacing w:before="100" w:beforeAutospacing="1" w:after="100" w:afterAutospacing="1" w:line="360" w:lineRule="auto"/>
        <w:ind w:right="50"/>
        <w:jc w:val="both"/>
        <w:rPr>
          <w:rFonts w:ascii="Palatino Linotype" w:hAnsi="Palatino Linotype" w:cs="Arial"/>
          <w:b/>
          <w:sz w:val="24"/>
          <w:szCs w:val="24"/>
        </w:rPr>
      </w:pPr>
      <w:r w:rsidRPr="00075B8C">
        <w:rPr>
          <w:rFonts w:ascii="Palatino Linotype" w:hAnsi="Palatino Linotype"/>
          <w:b/>
          <w:sz w:val="28"/>
          <w:szCs w:val="28"/>
        </w:rPr>
        <w:t>PRIMERO</w:t>
      </w:r>
      <w:r w:rsidRPr="00075B8C">
        <w:rPr>
          <w:rFonts w:ascii="Palatino Linotype" w:hAnsi="Palatino Linotype"/>
          <w:b/>
        </w:rPr>
        <w:t>.</w:t>
      </w:r>
      <w:r w:rsidRPr="00075B8C">
        <w:rPr>
          <w:rFonts w:ascii="Palatino Linotype" w:hAnsi="Palatino Linotype"/>
        </w:rPr>
        <w:t xml:space="preserve"> </w:t>
      </w:r>
      <w:r w:rsidRPr="00075B8C">
        <w:rPr>
          <w:rFonts w:ascii="Palatino Linotype" w:hAnsi="Palatino Linotype"/>
          <w:b/>
          <w:sz w:val="24"/>
          <w:szCs w:val="24"/>
        </w:rPr>
        <w:t>Competencia</w:t>
      </w:r>
      <w:r w:rsidRPr="00075B8C">
        <w:rPr>
          <w:rFonts w:ascii="Palatino Linotype" w:hAnsi="Palatino Linotype"/>
          <w:sz w:val="24"/>
          <w:szCs w:val="24"/>
        </w:rPr>
        <w:t>.</w:t>
      </w:r>
      <w:r w:rsidRPr="00075B8C">
        <w:rPr>
          <w:rFonts w:ascii="Palatino Linotype" w:hAnsi="Palatino Linotype"/>
          <w:b/>
          <w:sz w:val="24"/>
          <w:szCs w:val="24"/>
        </w:rPr>
        <w:t xml:space="preserve"> </w:t>
      </w:r>
      <w:r w:rsidRPr="00075B8C">
        <w:rPr>
          <w:rFonts w:ascii="Palatino Linotype" w:hAnsi="Palatino Linotype"/>
          <w:sz w:val="24"/>
          <w:szCs w:val="24"/>
        </w:rPr>
        <w:t xml:space="preserve">Este Instituto de </w:t>
      </w:r>
      <w:r w:rsidRPr="00075B8C">
        <w:rPr>
          <w:rFonts w:ascii="Palatino Linotype" w:hAnsi="Palatino Linotype" w:cs="Arial"/>
          <w:sz w:val="24"/>
          <w:szCs w:val="24"/>
        </w:rPr>
        <w:t>Transparencia</w:t>
      </w:r>
      <w:r w:rsidRPr="00075B8C">
        <w:rPr>
          <w:rFonts w:ascii="Palatino Linotype" w:hAnsi="Palatino Linotype"/>
          <w:sz w:val="24"/>
          <w:szCs w:val="24"/>
        </w:rPr>
        <w:t>,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 segundo, vigésimo tercero y vigésimo cuarto,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075B8C">
        <w:rPr>
          <w:rFonts w:ascii="Palatino Linotype" w:hAnsi="Palatino Linotype" w:cs="Arial"/>
          <w:sz w:val="24"/>
          <w:szCs w:val="24"/>
        </w:rPr>
        <w:t>; y 9, fracciones I y XXIV y 11 del Reglamento Interior del Instituto de Transparencia, Acceso a la Información Pública y Protección de Datos Personales del Estado de México y Municipios; toda vez, que se trata de un recurso de revisión interpuesto por un Ciudadano en términos de la Ley de la materia.</w:t>
      </w:r>
    </w:p>
    <w:p w:rsidR="00342793" w:rsidRPr="00075B8C" w:rsidRDefault="00342793" w:rsidP="00342793">
      <w:pPr>
        <w:spacing w:before="100" w:beforeAutospacing="1" w:after="100" w:afterAutospacing="1" w:line="360" w:lineRule="auto"/>
        <w:jc w:val="both"/>
        <w:rPr>
          <w:rFonts w:ascii="Palatino Linotype" w:hAnsi="Palatino Linotype" w:cs="Arial"/>
          <w:b/>
          <w:snapToGrid w:val="0"/>
          <w:sz w:val="24"/>
          <w:szCs w:val="24"/>
        </w:rPr>
      </w:pPr>
      <w:r w:rsidRPr="00075B8C">
        <w:rPr>
          <w:rFonts w:ascii="Palatino Linotype" w:hAnsi="Palatino Linotype" w:cs="Arial"/>
          <w:b/>
          <w:sz w:val="28"/>
        </w:rPr>
        <w:t>SEGUNDO</w:t>
      </w:r>
      <w:r w:rsidRPr="00075B8C">
        <w:rPr>
          <w:rFonts w:ascii="Palatino Linotype" w:hAnsi="Palatino Linotype" w:cs="Arial"/>
          <w:b/>
          <w:lang w:val="es-MX"/>
        </w:rPr>
        <w:t xml:space="preserve">. </w:t>
      </w:r>
      <w:r w:rsidRPr="00075B8C">
        <w:rPr>
          <w:rFonts w:ascii="Palatino Linotype" w:hAnsi="Palatino Linotype" w:cs="Arial"/>
          <w:b/>
          <w:sz w:val="24"/>
          <w:szCs w:val="24"/>
        </w:rPr>
        <w:t xml:space="preserve">Interés. </w:t>
      </w:r>
      <w:r w:rsidRPr="00075B8C">
        <w:rPr>
          <w:rFonts w:ascii="Palatino Linotype" w:hAnsi="Palatino Linotype" w:cs="Arial"/>
          <w:bCs/>
          <w:sz w:val="24"/>
          <w:szCs w:val="24"/>
        </w:rPr>
        <w:t xml:space="preserve">El recurso de revisión fue interpuesto por parte legítima, en atención a que se presentó por </w:t>
      </w:r>
      <w:r w:rsidR="0022798E" w:rsidRPr="00075B8C">
        <w:rPr>
          <w:rFonts w:ascii="Palatino Linotype" w:hAnsi="Palatino Linotype" w:cs="Arial"/>
          <w:b/>
          <w:bCs/>
          <w:sz w:val="24"/>
          <w:szCs w:val="24"/>
        </w:rPr>
        <w:t>EL</w:t>
      </w:r>
      <w:r w:rsidRPr="00075B8C">
        <w:rPr>
          <w:rFonts w:ascii="Palatino Linotype" w:hAnsi="Palatino Linotype" w:cs="Arial"/>
          <w:b/>
          <w:bCs/>
          <w:sz w:val="24"/>
          <w:szCs w:val="24"/>
        </w:rPr>
        <w:t xml:space="preserve"> RECURRENTE,</w:t>
      </w:r>
      <w:r w:rsidRPr="00075B8C">
        <w:rPr>
          <w:rFonts w:ascii="Palatino Linotype" w:hAnsi="Palatino Linotype" w:cs="Arial"/>
          <w:bCs/>
          <w:sz w:val="24"/>
          <w:szCs w:val="24"/>
        </w:rPr>
        <w:t xml:space="preserve"> quien es la misma persona que formuló la solicitud de acceso a la información pública al </w:t>
      </w:r>
      <w:r w:rsidRPr="00075B8C">
        <w:rPr>
          <w:rFonts w:ascii="Palatino Linotype" w:hAnsi="Palatino Linotype" w:cs="Arial"/>
          <w:b/>
          <w:bCs/>
          <w:sz w:val="24"/>
          <w:szCs w:val="24"/>
        </w:rPr>
        <w:t>SUJETO OBLIGADO.</w:t>
      </w:r>
    </w:p>
    <w:p w:rsidR="0022798E" w:rsidRPr="00075B8C" w:rsidRDefault="00342793" w:rsidP="0022798E">
      <w:pPr>
        <w:spacing w:before="100" w:beforeAutospacing="1" w:after="100" w:afterAutospacing="1" w:line="360" w:lineRule="auto"/>
        <w:ind w:right="49"/>
        <w:jc w:val="both"/>
        <w:rPr>
          <w:rFonts w:ascii="Palatino Linotype" w:eastAsia="Times New Roman" w:hAnsi="Palatino Linotype" w:cs="Arial"/>
          <w:b/>
          <w:sz w:val="24"/>
          <w:szCs w:val="24"/>
          <w:lang w:val="es-MX"/>
        </w:rPr>
      </w:pPr>
      <w:r w:rsidRPr="00075B8C">
        <w:rPr>
          <w:rFonts w:ascii="Palatino Linotype" w:hAnsi="Palatino Linotype" w:cs="Arial"/>
          <w:b/>
          <w:sz w:val="28"/>
          <w:szCs w:val="28"/>
        </w:rPr>
        <w:t xml:space="preserve">TERCERO. </w:t>
      </w:r>
      <w:r w:rsidRPr="00075B8C">
        <w:rPr>
          <w:rFonts w:ascii="Palatino Linotype" w:eastAsia="Times New Roman" w:hAnsi="Palatino Linotype" w:cs="Arial"/>
          <w:b/>
          <w:sz w:val="24"/>
          <w:szCs w:val="24"/>
          <w:lang w:val="es-ES"/>
        </w:rPr>
        <w:t xml:space="preserve">Oportunidad. </w:t>
      </w:r>
      <w:r w:rsidR="0022798E" w:rsidRPr="00075B8C">
        <w:rPr>
          <w:rFonts w:ascii="Palatino Linotype" w:hAnsi="Palatino Linotype" w:cs="Arial"/>
          <w:sz w:val="24"/>
          <w:szCs w:val="24"/>
        </w:rPr>
        <w:t xml:space="preserve">El recurso de revisión fue interpuesto dentro del plazo de quince días hábiles </w:t>
      </w:r>
      <w:r w:rsidR="0022798E" w:rsidRPr="00075B8C">
        <w:rPr>
          <w:rFonts w:ascii="Palatino Linotype" w:hAnsi="Palatino Linotype"/>
          <w:sz w:val="24"/>
          <w:szCs w:val="24"/>
        </w:rPr>
        <w:t>contados</w:t>
      </w:r>
      <w:r w:rsidR="0022798E" w:rsidRPr="00075B8C">
        <w:rPr>
          <w:rFonts w:ascii="Palatino Linotype" w:hAnsi="Palatino Linotype" w:cs="Arial"/>
          <w:sz w:val="24"/>
          <w:szCs w:val="24"/>
        </w:rPr>
        <w:t xml:space="preserve"> a </w:t>
      </w:r>
      <w:r w:rsidR="0022798E" w:rsidRPr="00075B8C">
        <w:rPr>
          <w:rFonts w:ascii="Palatino Linotype" w:hAnsi="Palatino Linotype"/>
          <w:sz w:val="24"/>
          <w:szCs w:val="24"/>
        </w:rPr>
        <w:t>partir</w:t>
      </w:r>
      <w:r w:rsidR="0022798E" w:rsidRPr="00075B8C">
        <w:rPr>
          <w:rFonts w:ascii="Palatino Linotype" w:hAnsi="Palatino Linotype" w:cs="Arial"/>
          <w:sz w:val="24"/>
          <w:szCs w:val="24"/>
        </w:rPr>
        <w:t xml:space="preserve"> del día siguiente al que </w:t>
      </w:r>
      <w:r w:rsidR="0022798E" w:rsidRPr="00075B8C">
        <w:rPr>
          <w:rFonts w:ascii="Palatino Linotype" w:hAnsi="Palatino Linotype" w:cs="Arial"/>
          <w:b/>
          <w:sz w:val="24"/>
          <w:szCs w:val="24"/>
        </w:rPr>
        <w:t>EL</w:t>
      </w:r>
      <w:r w:rsidR="0022798E" w:rsidRPr="00075B8C">
        <w:rPr>
          <w:rFonts w:ascii="Palatino Linotype" w:hAnsi="Palatino Linotype" w:cs="Arial"/>
          <w:b/>
          <w:bCs/>
          <w:sz w:val="24"/>
          <w:szCs w:val="24"/>
        </w:rPr>
        <w:t xml:space="preserve"> RECURRENTE </w:t>
      </w:r>
      <w:r w:rsidR="0022798E" w:rsidRPr="00075B8C">
        <w:rPr>
          <w:rFonts w:ascii="Palatino Linotype" w:hAnsi="Palatino Linotype" w:cs="Arial"/>
          <w:sz w:val="24"/>
          <w:szCs w:val="24"/>
        </w:rPr>
        <w:t xml:space="preserve">tuvo </w:t>
      </w:r>
      <w:r w:rsidR="0022798E" w:rsidRPr="00075B8C">
        <w:rPr>
          <w:rFonts w:ascii="Palatino Linotype" w:hAnsi="Palatino Linotype" w:cs="Arial"/>
          <w:sz w:val="24"/>
          <w:szCs w:val="24"/>
        </w:rPr>
        <w:lastRenderedPageBreak/>
        <w:t>conocimiento de las respuestas impugnadas; tal y como, lo prevé el artículo 178 de la Ley de Transparencia y Acceso a la Información Pública del Estado de México y Municipios, que establece:</w:t>
      </w:r>
    </w:p>
    <w:p w:rsidR="0022798E" w:rsidRPr="00075B8C" w:rsidRDefault="0022798E" w:rsidP="0022798E">
      <w:pPr>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w:t>
      </w:r>
      <w:r w:rsidRPr="00075B8C">
        <w:rPr>
          <w:rFonts w:ascii="Palatino Linotype" w:hAnsi="Palatino Linotype" w:cs="Arial"/>
          <w:b/>
          <w:i/>
          <w:sz w:val="22"/>
          <w:szCs w:val="22"/>
        </w:rPr>
        <w:t>Artículo 178.</w:t>
      </w:r>
      <w:r w:rsidRPr="00075B8C">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22798E" w:rsidRPr="00075B8C" w:rsidRDefault="0022798E" w:rsidP="0022798E">
      <w:pPr>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22798E" w:rsidRPr="00075B8C" w:rsidRDefault="0022798E" w:rsidP="0022798E">
      <w:pPr>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p>
    <w:p w:rsidR="0022798E" w:rsidRPr="00075B8C" w:rsidRDefault="0022798E" w:rsidP="0022798E">
      <w:pPr>
        <w:spacing w:before="200" w:after="200" w:line="360" w:lineRule="auto"/>
        <w:jc w:val="both"/>
        <w:rPr>
          <w:rFonts w:ascii="Palatino Linotype" w:hAnsi="Palatino Linotype" w:cs="Arial"/>
          <w:sz w:val="24"/>
          <w:szCs w:val="24"/>
        </w:rPr>
      </w:pPr>
      <w:r w:rsidRPr="00075B8C">
        <w:rPr>
          <w:rFonts w:ascii="Palatino Linotype" w:hAnsi="Palatino Linotype" w:cs="Arial"/>
          <w:sz w:val="24"/>
          <w:szCs w:val="24"/>
        </w:rPr>
        <w:t xml:space="preserve">En esa tesitura, atendiendo a que </w:t>
      </w:r>
      <w:r w:rsidRPr="00075B8C">
        <w:rPr>
          <w:rFonts w:ascii="Palatino Linotype" w:hAnsi="Palatino Linotype" w:cs="Arial"/>
          <w:b/>
          <w:sz w:val="24"/>
          <w:szCs w:val="24"/>
        </w:rPr>
        <w:t>EL SUJETO OBLIGADO</w:t>
      </w:r>
      <w:r w:rsidRPr="00075B8C">
        <w:rPr>
          <w:rFonts w:ascii="Palatino Linotype" w:hAnsi="Palatino Linotype" w:cs="Arial"/>
          <w:sz w:val="24"/>
          <w:szCs w:val="24"/>
        </w:rPr>
        <w:t xml:space="preserve"> notificó la respuesta a la solicitud de información pública en fecha </w:t>
      </w:r>
      <w:r w:rsidRPr="00075B8C">
        <w:rPr>
          <w:rFonts w:ascii="Palatino Linotype" w:hAnsi="Palatino Linotype" w:cs="Arial"/>
          <w:b/>
          <w:sz w:val="24"/>
          <w:szCs w:val="24"/>
        </w:rPr>
        <w:t xml:space="preserve">dieciséis de mayo de dos mil diecinueve; </w:t>
      </w:r>
      <w:r w:rsidRPr="00075B8C">
        <w:rPr>
          <w:rFonts w:ascii="Palatino Linotype" w:hAnsi="Palatino Linotype" w:cs="Arial"/>
          <w:sz w:val="24"/>
          <w:szCs w:val="24"/>
        </w:rPr>
        <w:t>así, el plazo de quince días hábiles que el artículo 178 de la Ley de la materia otorga al hoy</w:t>
      </w:r>
      <w:r w:rsidRPr="00075B8C">
        <w:rPr>
          <w:rFonts w:ascii="Palatino Linotype" w:hAnsi="Palatino Linotype" w:cs="Arial"/>
          <w:b/>
          <w:sz w:val="24"/>
          <w:szCs w:val="24"/>
        </w:rPr>
        <w:t xml:space="preserve"> RECURRENTE </w:t>
      </w:r>
      <w:r w:rsidRPr="00075B8C">
        <w:rPr>
          <w:rFonts w:ascii="Palatino Linotype" w:hAnsi="Palatino Linotype" w:cs="Arial"/>
          <w:sz w:val="24"/>
          <w:szCs w:val="24"/>
        </w:rPr>
        <w:t xml:space="preserve">para presentar los recursos de revisión transcurrió del </w:t>
      </w:r>
      <w:r w:rsidRPr="00075B8C">
        <w:rPr>
          <w:rFonts w:ascii="Palatino Linotype" w:hAnsi="Palatino Linotype" w:cs="Arial"/>
          <w:b/>
          <w:sz w:val="24"/>
          <w:szCs w:val="24"/>
        </w:rPr>
        <w:t xml:space="preserve">diecisiete de mayo al seis de junio de dos mil diecinueve; </w:t>
      </w:r>
      <w:r w:rsidRPr="00075B8C">
        <w:rPr>
          <w:rFonts w:ascii="Palatino Linotype" w:hAnsi="Palatino Linotype" w:cs="Arial"/>
          <w:sz w:val="24"/>
          <w:szCs w:val="24"/>
        </w:rPr>
        <w:t xml:space="preserve">sin contemplar en el computo los días dieciocho, diecinueve, veinticinco y veintiséis de mayo, así como, el uno y dos de junio del presente año; al corresponder a sábados y domingos, considerados como días inhábiles, en términos del artículo 3, fracción X de la </w:t>
      </w:r>
      <w:r w:rsidRPr="00075B8C">
        <w:rPr>
          <w:rFonts w:ascii="Palatino Linotype" w:hAnsi="Palatino Linotype"/>
          <w:sz w:val="24"/>
          <w:szCs w:val="24"/>
        </w:rPr>
        <w:t xml:space="preserve">Ley de Transparencia y Acceso a la Información Pública del Estado de México y Municipios; </w:t>
      </w:r>
      <w:r w:rsidRPr="00075B8C">
        <w:rPr>
          <w:rFonts w:ascii="Palatino Linotype" w:hAnsi="Palatino Linotype" w:cs="Arial"/>
          <w:sz w:val="24"/>
          <w:szCs w:val="24"/>
        </w:rPr>
        <w:t>lo anterior, 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r w:rsidRPr="00075B8C">
        <w:rPr>
          <w:rFonts w:ascii="Palatino Linotype" w:hAnsi="Palatino Linotype"/>
          <w:sz w:val="24"/>
          <w:szCs w:val="24"/>
        </w:rPr>
        <w:t>.</w:t>
      </w:r>
    </w:p>
    <w:p w:rsidR="0022798E" w:rsidRPr="00075B8C" w:rsidRDefault="0022798E" w:rsidP="0022798E">
      <w:pPr>
        <w:spacing w:before="200" w:after="200" w:line="360" w:lineRule="auto"/>
        <w:jc w:val="both"/>
        <w:rPr>
          <w:rFonts w:ascii="Palatino Linotype" w:hAnsi="Palatino Linotype" w:cs="Arial"/>
          <w:sz w:val="24"/>
          <w:szCs w:val="24"/>
        </w:rPr>
      </w:pPr>
      <w:r w:rsidRPr="00075B8C">
        <w:rPr>
          <w:rFonts w:ascii="Palatino Linotype" w:hAnsi="Palatino Linotype" w:cs="Arial"/>
          <w:sz w:val="24"/>
          <w:szCs w:val="24"/>
        </w:rPr>
        <w:lastRenderedPageBreak/>
        <w:t xml:space="preserve">En ese tenor, si el recurso de revisión que nos ocupa, se interpuso el </w:t>
      </w:r>
      <w:r w:rsidRPr="00075B8C">
        <w:rPr>
          <w:rFonts w:ascii="Palatino Linotype" w:hAnsi="Palatino Linotype" w:cs="Arial"/>
          <w:b/>
          <w:sz w:val="24"/>
          <w:szCs w:val="24"/>
        </w:rPr>
        <w:t>diecisiete de mayo de dos mil diecinueve</w:t>
      </w:r>
      <w:r w:rsidRPr="00075B8C">
        <w:rPr>
          <w:rFonts w:ascii="Palatino Linotype" w:hAnsi="Palatino Linotype" w:cs="Arial"/>
          <w:sz w:val="24"/>
          <w:szCs w:val="24"/>
        </w:rPr>
        <w:t>, éste se encuentra dentro de los márgenes temporales previstos en el artículo 178 de la Ley de Transparencia y Acceso a la Información</w:t>
      </w:r>
      <w:r w:rsidRPr="00075B8C">
        <w:rPr>
          <w:rFonts w:ascii="Palatino Linotype" w:hAnsi="Palatino Linotype"/>
          <w:sz w:val="24"/>
          <w:szCs w:val="24"/>
        </w:rPr>
        <w:t xml:space="preserve"> Pública del Estado de México y Municipios</w:t>
      </w:r>
      <w:r w:rsidRPr="00075B8C">
        <w:rPr>
          <w:rFonts w:ascii="Palatino Linotype" w:hAnsi="Palatino Linotype" w:cs="Arial"/>
          <w:sz w:val="24"/>
          <w:szCs w:val="24"/>
        </w:rPr>
        <w:t xml:space="preserve"> y, por tanto, su interposición se considera oportuna.</w:t>
      </w:r>
    </w:p>
    <w:p w:rsidR="00342793" w:rsidRPr="00075B8C" w:rsidRDefault="00342793" w:rsidP="0022798E">
      <w:pPr>
        <w:autoSpaceDE w:val="0"/>
        <w:autoSpaceDN w:val="0"/>
        <w:adjustRightInd w:val="0"/>
        <w:spacing w:before="100" w:beforeAutospacing="1" w:after="100" w:afterAutospacing="1" w:line="360" w:lineRule="auto"/>
        <w:ind w:right="49"/>
        <w:jc w:val="both"/>
        <w:rPr>
          <w:rFonts w:ascii="Palatino Linotype" w:hAnsi="Palatino Linotype"/>
          <w:b/>
          <w:sz w:val="24"/>
          <w:szCs w:val="24"/>
        </w:rPr>
      </w:pPr>
      <w:r w:rsidRPr="00075B8C">
        <w:rPr>
          <w:rFonts w:ascii="Palatino Linotype" w:hAnsi="Palatino Linotype"/>
          <w:b/>
          <w:sz w:val="28"/>
        </w:rPr>
        <w:t xml:space="preserve">CUARTO. </w:t>
      </w:r>
      <w:r w:rsidRPr="00075B8C">
        <w:rPr>
          <w:rFonts w:ascii="Palatino Linotype" w:hAnsi="Palatino Linotype" w:cs="Arial"/>
          <w:b/>
          <w:sz w:val="24"/>
          <w:szCs w:val="24"/>
        </w:rPr>
        <w:t>Procedibilidad.</w:t>
      </w:r>
      <w:r w:rsidRPr="00075B8C">
        <w:rPr>
          <w:rFonts w:ascii="Palatino Linotype" w:hAnsi="Palatino Linotype"/>
          <w:b/>
          <w:sz w:val="24"/>
          <w:szCs w:val="24"/>
        </w:rPr>
        <w:t xml:space="preserve"> </w:t>
      </w:r>
      <w:r w:rsidRPr="00075B8C">
        <w:rPr>
          <w:rFonts w:ascii="Palatino Linotype" w:hAnsi="Palatino Linotype" w:cs="Arial"/>
          <w:sz w:val="24"/>
          <w:szCs w:val="24"/>
        </w:rPr>
        <w:t xml:space="preserve">Del análisis efectuado se advierte que resulta procedente la interposición de los recursos y se concluye la acreditación plena de todos y cada uno de los elementos formales exigidos por el artículo 180 de la </w:t>
      </w:r>
      <w:r w:rsidRPr="00075B8C">
        <w:rPr>
          <w:rFonts w:ascii="Palatino Linotype" w:hAnsi="Palatino Linotype"/>
          <w:sz w:val="24"/>
          <w:szCs w:val="24"/>
        </w:rPr>
        <w:t xml:space="preserve">Ley de Transparencia y Acceso a la Información Pública del Estado de México y Municipios, en atención a que fueron presentados mediante el formato visible en </w:t>
      </w:r>
      <w:r w:rsidRPr="00075B8C">
        <w:rPr>
          <w:rFonts w:ascii="Palatino Linotype" w:hAnsi="Palatino Linotype"/>
          <w:b/>
          <w:sz w:val="24"/>
          <w:szCs w:val="24"/>
        </w:rPr>
        <w:t xml:space="preserve">EL SAIMEX. </w:t>
      </w:r>
    </w:p>
    <w:p w:rsidR="00140032" w:rsidRPr="00075B8C" w:rsidRDefault="00342793" w:rsidP="00FE65A2">
      <w:pPr>
        <w:pStyle w:val="Prrafodelista"/>
        <w:widowControl w:val="0"/>
        <w:tabs>
          <w:tab w:val="left" w:pos="1418"/>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sz w:val="24"/>
          <w:szCs w:val="24"/>
        </w:rPr>
      </w:pPr>
      <w:r w:rsidRPr="00075B8C">
        <w:rPr>
          <w:rFonts w:ascii="Palatino Linotype" w:hAnsi="Palatino Linotype"/>
          <w:b/>
          <w:color w:val="000000" w:themeColor="text1"/>
          <w:sz w:val="28"/>
          <w:lang w:val="es-MX" w:eastAsia="es-MX"/>
        </w:rPr>
        <w:t>QUINTO</w:t>
      </w:r>
      <w:r w:rsidRPr="00075B8C">
        <w:rPr>
          <w:rFonts w:ascii="Palatino Linotype" w:hAnsi="Palatino Linotype" w:cs="Arial"/>
          <w:b/>
          <w:color w:val="000000" w:themeColor="text1"/>
          <w:lang w:val="es-MX" w:eastAsia="es-MX"/>
        </w:rPr>
        <w:t xml:space="preserve">. </w:t>
      </w:r>
      <w:r w:rsidRPr="00075B8C">
        <w:rPr>
          <w:rFonts w:ascii="Palatino Linotype" w:eastAsia="Times New Roman" w:hAnsi="Palatino Linotype" w:cs="Arial"/>
          <w:b/>
          <w:color w:val="000000" w:themeColor="text1"/>
          <w:sz w:val="24"/>
          <w:szCs w:val="24"/>
          <w:lang w:val="es-ES" w:eastAsia="es-MX"/>
        </w:rPr>
        <w:t>Estudio y resolución del asunto.</w:t>
      </w:r>
      <w:r w:rsidRPr="00075B8C">
        <w:rPr>
          <w:rFonts w:ascii="Palatino Linotype" w:eastAsia="Times New Roman" w:hAnsi="Palatino Linotype" w:cs="Arial"/>
          <w:color w:val="000000" w:themeColor="text1"/>
          <w:sz w:val="24"/>
          <w:szCs w:val="24"/>
          <w:lang w:val="es-ES" w:eastAsia="es-MX"/>
        </w:rPr>
        <w:t xml:space="preserve"> </w:t>
      </w:r>
      <w:r w:rsidR="00FE65A2" w:rsidRPr="00075B8C">
        <w:rPr>
          <w:rFonts w:ascii="Palatino Linotype" w:hAnsi="Palatino Linotype"/>
          <w:sz w:val="24"/>
          <w:szCs w:val="24"/>
        </w:rPr>
        <w:t>Tal y como quedó señalado en el resultando primero del presente medio de impugnación,</w:t>
      </w:r>
      <w:r w:rsidR="00140032" w:rsidRPr="00075B8C">
        <w:rPr>
          <w:rFonts w:ascii="Palatino Linotype" w:hAnsi="Palatino Linotype"/>
          <w:sz w:val="24"/>
          <w:szCs w:val="24"/>
        </w:rPr>
        <w:t xml:space="preserve"> el</w:t>
      </w:r>
      <w:r w:rsidR="00FE65A2" w:rsidRPr="00075B8C">
        <w:rPr>
          <w:rFonts w:ascii="Palatino Linotype" w:hAnsi="Palatino Linotype"/>
          <w:sz w:val="24"/>
          <w:szCs w:val="24"/>
        </w:rPr>
        <w:t xml:space="preserve"> entonces solicitante, requirió al </w:t>
      </w:r>
      <w:r w:rsidR="00FE65A2" w:rsidRPr="00075B8C">
        <w:rPr>
          <w:rFonts w:ascii="Palatino Linotype" w:hAnsi="Palatino Linotype"/>
          <w:b/>
          <w:sz w:val="24"/>
          <w:szCs w:val="24"/>
        </w:rPr>
        <w:t>SUJETO OBLIGADO</w:t>
      </w:r>
      <w:r w:rsidR="00FE65A2" w:rsidRPr="00075B8C">
        <w:rPr>
          <w:rFonts w:ascii="Palatino Linotype" w:hAnsi="Palatino Linotype" w:cs="Arial"/>
          <w:b/>
          <w:sz w:val="24"/>
          <w:szCs w:val="24"/>
        </w:rPr>
        <w:t xml:space="preserve"> </w:t>
      </w:r>
      <w:r w:rsidR="00FE65A2" w:rsidRPr="00075B8C">
        <w:rPr>
          <w:rFonts w:ascii="Palatino Linotype" w:hAnsi="Palatino Linotype" w:cs="Arial"/>
          <w:sz w:val="24"/>
          <w:szCs w:val="24"/>
        </w:rPr>
        <w:t xml:space="preserve">le proporcionará la </w:t>
      </w:r>
      <w:r w:rsidR="00140032" w:rsidRPr="00075B8C">
        <w:rPr>
          <w:rFonts w:ascii="Palatino Linotype" w:hAnsi="Palatino Linotype" w:cs="Arial"/>
          <w:sz w:val="24"/>
          <w:szCs w:val="24"/>
        </w:rPr>
        <w:t>información que a continuación se desagrega:</w:t>
      </w:r>
    </w:p>
    <w:p w:rsidR="00140032" w:rsidRPr="00075B8C" w:rsidRDefault="00497B06" w:rsidP="00497B06">
      <w:pPr>
        <w:pStyle w:val="Prrafodelista"/>
        <w:widowControl w:val="0"/>
        <w:numPr>
          <w:ilvl w:val="0"/>
          <w:numId w:val="3"/>
        </w:numPr>
        <w:tabs>
          <w:tab w:val="left" w:pos="1418"/>
        </w:tabs>
        <w:autoSpaceDE w:val="0"/>
        <w:autoSpaceDN w:val="0"/>
        <w:adjustRightInd w:val="0"/>
        <w:spacing w:before="100" w:beforeAutospacing="1" w:after="100" w:afterAutospacing="1" w:line="360" w:lineRule="auto"/>
        <w:contextualSpacing w:val="0"/>
        <w:jc w:val="both"/>
        <w:rPr>
          <w:rFonts w:ascii="Palatino Linotype" w:hAnsi="Palatino Linotype" w:cs="Arial"/>
          <w:sz w:val="24"/>
          <w:szCs w:val="24"/>
        </w:rPr>
      </w:pPr>
      <w:r w:rsidRPr="00075B8C">
        <w:rPr>
          <w:rFonts w:ascii="Palatino Linotype" w:hAnsi="Palatino Linotype" w:cs="Arial"/>
          <w:sz w:val="24"/>
          <w:szCs w:val="24"/>
        </w:rPr>
        <w:t>Los ingresos que cobra la Tesorería Municipal y que registra en la cuenta contable 41440404003</w:t>
      </w:r>
      <w:r w:rsidR="00A55B28" w:rsidRPr="00075B8C">
        <w:rPr>
          <w:rFonts w:ascii="Palatino Linotype" w:hAnsi="Palatino Linotype" w:cs="Arial"/>
          <w:sz w:val="24"/>
          <w:szCs w:val="24"/>
        </w:rPr>
        <w:t xml:space="preserve"> (Gastos de Ejecución)</w:t>
      </w:r>
      <w:r w:rsidRPr="00075B8C">
        <w:rPr>
          <w:rFonts w:ascii="Palatino Linotype" w:hAnsi="Palatino Linotype" w:cs="Arial"/>
          <w:sz w:val="24"/>
          <w:szCs w:val="24"/>
        </w:rPr>
        <w:t xml:space="preserve">, </w:t>
      </w:r>
      <w:r w:rsidR="00A55B28" w:rsidRPr="00075B8C">
        <w:rPr>
          <w:rFonts w:ascii="Palatino Linotype" w:hAnsi="Palatino Linotype" w:cs="Arial"/>
          <w:sz w:val="24"/>
          <w:szCs w:val="24"/>
        </w:rPr>
        <w:t>correspondientes a los meses de enero y febrero de 2019</w:t>
      </w:r>
      <w:r w:rsidRPr="00075B8C">
        <w:rPr>
          <w:rFonts w:ascii="Palatino Linotype" w:hAnsi="Palatino Linotype" w:cs="Arial"/>
          <w:sz w:val="24"/>
          <w:szCs w:val="24"/>
        </w:rPr>
        <w:t>;</w:t>
      </w:r>
    </w:p>
    <w:p w:rsidR="00A55B28" w:rsidRPr="00075B8C" w:rsidRDefault="00A55B28" w:rsidP="00A55B28">
      <w:pPr>
        <w:pStyle w:val="Prrafodelista"/>
        <w:widowControl w:val="0"/>
        <w:numPr>
          <w:ilvl w:val="0"/>
          <w:numId w:val="3"/>
        </w:numPr>
        <w:tabs>
          <w:tab w:val="left" w:pos="1418"/>
        </w:tabs>
        <w:autoSpaceDE w:val="0"/>
        <w:autoSpaceDN w:val="0"/>
        <w:adjustRightInd w:val="0"/>
        <w:spacing w:before="100" w:beforeAutospacing="1" w:after="100" w:afterAutospacing="1" w:line="360" w:lineRule="auto"/>
        <w:contextualSpacing w:val="0"/>
        <w:jc w:val="both"/>
        <w:rPr>
          <w:rFonts w:ascii="Palatino Linotype" w:hAnsi="Palatino Linotype" w:cs="Arial"/>
          <w:sz w:val="24"/>
          <w:szCs w:val="24"/>
        </w:rPr>
      </w:pPr>
      <w:r w:rsidRPr="00075B8C">
        <w:rPr>
          <w:rFonts w:ascii="Palatino Linotype" w:hAnsi="Palatino Linotype" w:cs="Arial"/>
          <w:sz w:val="24"/>
          <w:szCs w:val="24"/>
        </w:rPr>
        <w:t>El tipo de ingresos que cobra la Tesorería Municipal y las Dependencias de la Administración Pública y que registra en las claves 0602055 (Gastos de Ejecución NOR),0605003 (Gastos de Ejecución Resarcimientos) y 0605005 (Aprovechamientos), correspondientes a los meses de enero y febrero de 2019; y,</w:t>
      </w:r>
    </w:p>
    <w:p w:rsidR="00A55B28" w:rsidRPr="00075B8C" w:rsidRDefault="00A55B28" w:rsidP="00A55B28">
      <w:pPr>
        <w:pStyle w:val="Prrafodelista"/>
        <w:widowControl w:val="0"/>
        <w:numPr>
          <w:ilvl w:val="0"/>
          <w:numId w:val="3"/>
        </w:numPr>
        <w:tabs>
          <w:tab w:val="left" w:pos="1418"/>
        </w:tabs>
        <w:autoSpaceDE w:val="0"/>
        <w:autoSpaceDN w:val="0"/>
        <w:adjustRightInd w:val="0"/>
        <w:spacing w:before="100" w:beforeAutospacing="1" w:after="100" w:afterAutospacing="1" w:line="360" w:lineRule="auto"/>
        <w:contextualSpacing w:val="0"/>
        <w:jc w:val="both"/>
        <w:rPr>
          <w:rFonts w:ascii="Palatino Linotype" w:hAnsi="Palatino Linotype" w:cs="Arial"/>
          <w:sz w:val="24"/>
          <w:szCs w:val="24"/>
        </w:rPr>
      </w:pPr>
      <w:r w:rsidRPr="00075B8C">
        <w:rPr>
          <w:rFonts w:ascii="Palatino Linotype" w:hAnsi="Palatino Linotype" w:cs="Arial"/>
          <w:sz w:val="24"/>
          <w:szCs w:val="24"/>
        </w:rPr>
        <w:lastRenderedPageBreak/>
        <w:t>Las pólizas de Diario o de Egresos; así como, las facturas que sirvan de evidencia para comprobar la manera en que el Ayuntamiento ha utilizando los Gastos de Ejecución, correspondientes a los meses de enero y febrero de 2019.</w:t>
      </w:r>
    </w:p>
    <w:p w:rsidR="00166D6D" w:rsidRPr="00075B8C" w:rsidRDefault="00FE65A2" w:rsidP="00FE65A2">
      <w:pPr>
        <w:pStyle w:val="Prrafodelista"/>
        <w:widowControl w:val="0"/>
        <w:tabs>
          <w:tab w:val="left" w:pos="1418"/>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sz w:val="24"/>
          <w:szCs w:val="24"/>
        </w:rPr>
      </w:pPr>
      <w:r w:rsidRPr="00075B8C">
        <w:rPr>
          <w:rFonts w:ascii="Palatino Linotype" w:hAnsi="Palatino Linotype" w:cs="Arial"/>
          <w:sz w:val="24"/>
          <w:szCs w:val="24"/>
        </w:rPr>
        <w:t xml:space="preserve">Bajo ese tenor, </w:t>
      </w:r>
      <w:r w:rsidRPr="00075B8C">
        <w:rPr>
          <w:rFonts w:ascii="Palatino Linotype" w:hAnsi="Palatino Linotype" w:cs="Arial"/>
          <w:b/>
          <w:sz w:val="24"/>
          <w:szCs w:val="24"/>
        </w:rPr>
        <w:t xml:space="preserve">EL SUJETO OBLIGADO </w:t>
      </w:r>
      <w:r w:rsidRPr="00075B8C">
        <w:rPr>
          <w:rFonts w:ascii="Palatino Linotype" w:hAnsi="Palatino Linotype" w:cs="Arial"/>
          <w:sz w:val="24"/>
          <w:szCs w:val="24"/>
        </w:rPr>
        <w:t>mediante respuesta le señaló a</w:t>
      </w:r>
      <w:r w:rsidR="00166D6D" w:rsidRPr="00075B8C">
        <w:rPr>
          <w:rFonts w:ascii="Palatino Linotype" w:hAnsi="Palatino Linotype" w:cs="Arial"/>
          <w:sz w:val="24"/>
          <w:szCs w:val="24"/>
        </w:rPr>
        <w:t>l</w:t>
      </w:r>
      <w:r w:rsidRPr="00075B8C">
        <w:rPr>
          <w:rFonts w:ascii="Palatino Linotype" w:hAnsi="Palatino Linotype" w:cs="Arial"/>
          <w:sz w:val="24"/>
          <w:szCs w:val="24"/>
        </w:rPr>
        <w:t xml:space="preserve"> particular que, la</w:t>
      </w:r>
      <w:r w:rsidR="00166D6D" w:rsidRPr="00075B8C">
        <w:rPr>
          <w:rFonts w:ascii="Palatino Linotype" w:hAnsi="Palatino Linotype" w:cs="Arial"/>
          <w:sz w:val="24"/>
          <w:szCs w:val="24"/>
        </w:rPr>
        <w:t xml:space="preserve"> Tesorería Municipal; así como, las distintas Direcciones del Ayuntamiento perciben los ingresos establecidos en </w:t>
      </w:r>
      <w:r w:rsidR="009E6E30" w:rsidRPr="00075B8C">
        <w:rPr>
          <w:rFonts w:ascii="Palatino Linotype" w:hAnsi="Palatino Linotype" w:cs="Arial"/>
          <w:sz w:val="24"/>
          <w:szCs w:val="24"/>
        </w:rPr>
        <w:t>la Ley de Ingresos de los Municipios del Estado de México para el ejercicio fiscal del año 2019 y el Código Financiero del Estado de México y Municipios; mientras que para la utilización de los gastos de ejecución; señaló que se llevan a cabo de conformidad con el artículo 424 del Código en cita.</w:t>
      </w:r>
    </w:p>
    <w:p w:rsidR="00E760FE" w:rsidRPr="00075B8C" w:rsidRDefault="009E6E30" w:rsidP="00E760FE">
      <w:pPr>
        <w:pStyle w:val="Prrafodelista"/>
        <w:widowControl w:val="0"/>
        <w:tabs>
          <w:tab w:val="left" w:pos="1418"/>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sz w:val="24"/>
          <w:szCs w:val="24"/>
          <w:lang w:val="es-ES"/>
        </w:rPr>
      </w:pPr>
      <w:r w:rsidRPr="00075B8C">
        <w:rPr>
          <w:rFonts w:ascii="Palatino Linotype" w:hAnsi="Palatino Linotype" w:cs="Arial"/>
          <w:sz w:val="24"/>
          <w:szCs w:val="24"/>
        </w:rPr>
        <w:t xml:space="preserve">Inconforme con la respuesta del </w:t>
      </w:r>
      <w:r w:rsidRPr="00075B8C">
        <w:rPr>
          <w:rFonts w:ascii="Palatino Linotype" w:hAnsi="Palatino Linotype" w:cs="Arial"/>
          <w:b/>
          <w:sz w:val="24"/>
          <w:szCs w:val="24"/>
        </w:rPr>
        <w:t xml:space="preserve">SUJETO OBLIGADO </w:t>
      </w:r>
      <w:r w:rsidRPr="00075B8C">
        <w:rPr>
          <w:rFonts w:ascii="Palatino Linotype" w:hAnsi="Palatino Linotype" w:cs="Arial"/>
          <w:sz w:val="24"/>
          <w:szCs w:val="24"/>
        </w:rPr>
        <w:t xml:space="preserve">el particular interpuso el recurso de revisión de mérito en el que señaló como razones o motivos de inconformidad </w:t>
      </w:r>
      <w:r w:rsidR="00E760FE" w:rsidRPr="00075B8C">
        <w:rPr>
          <w:rFonts w:ascii="Palatino Linotype" w:hAnsi="Palatino Linotype" w:cs="Arial"/>
          <w:sz w:val="24"/>
          <w:szCs w:val="24"/>
        </w:rPr>
        <w:t xml:space="preserve">que: </w:t>
      </w:r>
      <w:r w:rsidRPr="00075B8C">
        <w:rPr>
          <w:rFonts w:ascii="Palatino Linotype" w:hAnsi="Palatino Linotype" w:cs="Arial"/>
          <w:i/>
          <w:sz w:val="24"/>
          <w:szCs w:val="24"/>
        </w:rPr>
        <w:t>“…Mi solicitud fue simple, quiero saber ¿Qué le están cobrando a los contribuyentes como gastos de ejecución?, ¿Cuál es la razón de separarlos en normatividad y resarcimientos?, ¿Que le están cobrando a los contribuyentes como aprovechamientos?, ¿Porque contablemente consideran a los aprovechamientos como gastos de ejecución, si el Articulo 12 del Código Financiero del Estado de México y Municipios dice claramente que los gastos de ejecución son un accesorio de los aprovechamientos? Y pedí evidencia digital de cómo están utilizando esos gastos de ejecución (y aprovechamientos), debe existir una póliza de egresos o de cheque (registro contable, póliza, copia de cheque o evidencia de transferencia, recibos por parte del parte del personal de ejecución fiscal, etc.)</w:t>
      </w:r>
      <w:r w:rsidR="00E760FE" w:rsidRPr="00075B8C">
        <w:rPr>
          <w:rFonts w:ascii="Palatino Linotype" w:hAnsi="Palatino Linotype" w:cs="Arial"/>
          <w:i/>
          <w:sz w:val="24"/>
          <w:szCs w:val="24"/>
        </w:rPr>
        <w:t xml:space="preserve">…” (Sic) </w:t>
      </w:r>
      <w:r w:rsidR="00E760FE" w:rsidRPr="00075B8C">
        <w:rPr>
          <w:rFonts w:ascii="Palatino Linotype" w:eastAsia="Arial Unicode MS" w:hAnsi="Palatino Linotype" w:cs="Arial"/>
          <w:sz w:val="24"/>
          <w:szCs w:val="24"/>
          <w:lang w:val="es-ES"/>
        </w:rPr>
        <w:t xml:space="preserve">al respecto </w:t>
      </w:r>
      <w:r w:rsidR="00E760FE" w:rsidRPr="00075B8C">
        <w:rPr>
          <w:rFonts w:ascii="Palatino Linotype" w:hAnsi="Palatino Linotype"/>
          <w:color w:val="000000"/>
          <w:sz w:val="24"/>
          <w:szCs w:val="24"/>
          <w:lang w:val="es-ES"/>
        </w:rPr>
        <w:t xml:space="preserve">es de señalar que </w:t>
      </w:r>
      <w:r w:rsidR="00E760FE" w:rsidRPr="00075B8C">
        <w:rPr>
          <w:rFonts w:ascii="Palatino Linotype" w:hAnsi="Palatino Linotype" w:cs="Arial"/>
          <w:sz w:val="24"/>
          <w:szCs w:val="24"/>
          <w:lang w:val="es-ES"/>
        </w:rPr>
        <w:t xml:space="preserve">este Instituto observa que se trata de peticiones adicionales o </w:t>
      </w:r>
      <w:r w:rsidR="00E760FE" w:rsidRPr="00075B8C">
        <w:rPr>
          <w:rFonts w:ascii="Palatino Linotype" w:hAnsi="Palatino Linotype" w:cs="Arial"/>
          <w:i/>
          <w:sz w:val="24"/>
          <w:szCs w:val="24"/>
          <w:lang w:val="es-ES"/>
        </w:rPr>
        <w:t>plus petitio</w:t>
      </w:r>
      <w:r w:rsidR="00E760FE" w:rsidRPr="00075B8C">
        <w:rPr>
          <w:rFonts w:ascii="Palatino Linotype" w:hAnsi="Palatino Linotype" w:cs="Arial"/>
          <w:sz w:val="24"/>
          <w:szCs w:val="24"/>
          <w:lang w:val="es-ES"/>
        </w:rPr>
        <w:t xml:space="preserve">, en relación a la solicitud de información del </w:t>
      </w:r>
      <w:r w:rsidR="00E760FE" w:rsidRPr="00075B8C">
        <w:rPr>
          <w:rFonts w:ascii="Palatino Linotype" w:hAnsi="Palatino Linotype" w:cs="Arial"/>
          <w:b/>
          <w:sz w:val="24"/>
          <w:szCs w:val="24"/>
          <w:lang w:val="es-ES"/>
        </w:rPr>
        <w:t>RECURRENTE</w:t>
      </w:r>
      <w:r w:rsidR="00E760FE" w:rsidRPr="00075B8C">
        <w:rPr>
          <w:rFonts w:ascii="Palatino Linotype" w:hAnsi="Palatino Linotype" w:cs="Arial"/>
          <w:sz w:val="24"/>
          <w:szCs w:val="24"/>
          <w:lang w:val="es-ES"/>
        </w:rPr>
        <w:t xml:space="preserve">; esto es, adhiere información, que no </w:t>
      </w:r>
      <w:r w:rsidR="00E760FE" w:rsidRPr="00075B8C">
        <w:rPr>
          <w:rFonts w:ascii="Palatino Linotype" w:hAnsi="Palatino Linotype" w:cs="Arial"/>
          <w:sz w:val="24"/>
          <w:szCs w:val="24"/>
          <w:lang w:val="es-ES"/>
        </w:rPr>
        <w:lastRenderedPageBreak/>
        <w:t>había sido solicitada, pues de la solicitud primigenia se advierte que requirió conocer los impuesto recaudados por la Tesorería Municipal y las diferentes áreas administrativas para conocer cuáles de estos son registrados en determinadas cuentas contables.</w:t>
      </w:r>
    </w:p>
    <w:p w:rsidR="00E760FE" w:rsidRPr="00075B8C" w:rsidRDefault="00E760FE" w:rsidP="00E760FE">
      <w:pPr>
        <w:spacing w:line="360" w:lineRule="auto"/>
        <w:jc w:val="both"/>
        <w:rPr>
          <w:rFonts w:ascii="Palatino Linotype" w:hAnsi="Palatino Linotype" w:cs="Arial"/>
          <w:sz w:val="24"/>
          <w:szCs w:val="24"/>
        </w:rPr>
      </w:pPr>
      <w:r w:rsidRPr="00075B8C">
        <w:rPr>
          <w:rFonts w:ascii="Palatino Linotype" w:hAnsi="Palatino Linotype" w:cs="Arial"/>
          <w:sz w:val="24"/>
          <w:szCs w:val="24"/>
          <w:lang w:val="es-ES" w:eastAsia="es-MX"/>
        </w:rPr>
        <w:t xml:space="preserve">Asimismo, dichas manifestaciones al haber sido referidas a manera de razones o motivos de inconformidad, devienen </w:t>
      </w:r>
      <w:r w:rsidRPr="00075B8C">
        <w:rPr>
          <w:rFonts w:ascii="Palatino Linotype" w:hAnsi="Palatino Linotype" w:cs="Arial"/>
          <w:b/>
          <w:sz w:val="24"/>
          <w:szCs w:val="24"/>
          <w:lang w:val="es-ES" w:eastAsia="es-MX"/>
        </w:rPr>
        <w:t>parcialmente fundadas</w:t>
      </w:r>
      <w:r w:rsidRPr="00075B8C">
        <w:rPr>
          <w:rFonts w:ascii="Palatino Linotype" w:hAnsi="Palatino Linotype" w:cs="Arial"/>
          <w:sz w:val="24"/>
          <w:szCs w:val="24"/>
          <w:lang w:val="es-ES" w:eastAsia="es-MX"/>
        </w:rPr>
        <w:t xml:space="preserve">, esto es así, debido a que al ser argumentos que no se plantearon ante </w:t>
      </w:r>
      <w:r w:rsidRPr="00075B8C">
        <w:rPr>
          <w:rFonts w:ascii="Palatino Linotype" w:hAnsi="Palatino Linotype" w:cs="Arial"/>
          <w:b/>
          <w:sz w:val="24"/>
          <w:szCs w:val="24"/>
          <w:lang w:val="es-ES" w:eastAsia="es-MX"/>
        </w:rPr>
        <w:t xml:space="preserve">EL SUJETO OBLIGADO </w:t>
      </w:r>
      <w:r w:rsidRPr="00075B8C">
        <w:rPr>
          <w:rFonts w:ascii="Palatino Linotype" w:hAnsi="Palatino Linotype" w:cs="Arial"/>
          <w:sz w:val="24"/>
          <w:szCs w:val="24"/>
          <w:lang w:val="es-ES" w:eastAsia="es-MX"/>
        </w:rPr>
        <w:t xml:space="preserve">que respondió a la solicitud de acceso a la información, respuesta que constituye el acto reclamado; resultaría injustificado examinar tales argumentos pues éstos no fueron del conocimiento del </w:t>
      </w:r>
      <w:r w:rsidRPr="00075B8C">
        <w:rPr>
          <w:rFonts w:ascii="Palatino Linotype" w:hAnsi="Palatino Linotype" w:cs="Arial"/>
          <w:b/>
          <w:sz w:val="24"/>
          <w:szCs w:val="24"/>
          <w:lang w:val="es-ES" w:eastAsia="es-MX"/>
        </w:rPr>
        <w:t>SUJETO OBLIGADO</w:t>
      </w:r>
      <w:r w:rsidRPr="00075B8C">
        <w:rPr>
          <w:rFonts w:ascii="Palatino Linotype" w:hAnsi="Palatino Linotype" w:cs="Arial"/>
          <w:sz w:val="24"/>
          <w:szCs w:val="24"/>
          <w:lang w:val="es-ES" w:eastAsia="es-MX"/>
        </w:rPr>
        <w:t xml:space="preserve">, por lo que, no tuvo la oportunidad legal de analizarlas ni de pronunciarse sobre ellas; atento a ello, </w:t>
      </w:r>
      <w:r w:rsidRPr="00075B8C">
        <w:rPr>
          <w:rFonts w:ascii="Palatino Linotype" w:hAnsi="Palatino Linotype" w:cs="Arial"/>
          <w:b/>
          <w:sz w:val="24"/>
          <w:szCs w:val="24"/>
          <w:lang w:val="es-ES" w:eastAsia="es-MX"/>
        </w:rPr>
        <w:t xml:space="preserve">se </w:t>
      </w:r>
      <w:r w:rsidRPr="00075B8C">
        <w:rPr>
          <w:rFonts w:ascii="Palatino Linotype" w:hAnsi="Palatino Linotype" w:cs="Arial"/>
          <w:b/>
          <w:sz w:val="24"/>
          <w:szCs w:val="24"/>
        </w:rPr>
        <w:t>dejan a salvo sus derechos</w:t>
      </w:r>
      <w:r w:rsidRPr="00075B8C">
        <w:rPr>
          <w:rFonts w:ascii="Palatino Linotype" w:hAnsi="Palatino Linotype" w:cs="Arial"/>
          <w:sz w:val="24"/>
          <w:szCs w:val="24"/>
        </w:rPr>
        <w:t xml:space="preserve"> a fin de que pueda formular nuevamente la solicitud de acceso a la información que requiera.</w:t>
      </w:r>
    </w:p>
    <w:p w:rsidR="00E760FE" w:rsidRPr="00075B8C" w:rsidRDefault="00E760FE" w:rsidP="00E760FE">
      <w:pPr>
        <w:spacing w:line="360" w:lineRule="auto"/>
        <w:jc w:val="both"/>
        <w:rPr>
          <w:rFonts w:ascii="Palatino Linotype" w:hAnsi="Palatino Linotype" w:cs="Arial"/>
          <w:sz w:val="24"/>
          <w:szCs w:val="24"/>
          <w:lang w:val="es-ES" w:eastAsia="es-MX"/>
        </w:rPr>
      </w:pPr>
      <w:r w:rsidRPr="00075B8C">
        <w:rPr>
          <w:rFonts w:ascii="Palatino Linotype" w:hAnsi="Palatino Linotype" w:cs="Arial"/>
          <w:sz w:val="24"/>
          <w:szCs w:val="24"/>
          <w:lang w:val="es-ES" w:eastAsia="es-MX"/>
        </w:rPr>
        <w:t>Sirve de apoyo por analogía la siguiente tesis jurisprudencial número VI. 2º. A. J/7, publicada en el Semanario Judicial de la Federación y su gaceta, bajo el número de registro 178,788:</w:t>
      </w:r>
    </w:p>
    <w:p w:rsidR="00E760FE" w:rsidRPr="00075B8C" w:rsidRDefault="00E760FE" w:rsidP="00E760FE">
      <w:pPr>
        <w:ind w:left="851" w:right="901"/>
        <w:jc w:val="both"/>
        <w:rPr>
          <w:rFonts w:ascii="Palatino Linotype" w:hAnsi="Palatino Linotype" w:cs="Arial"/>
          <w:i/>
          <w:sz w:val="22"/>
          <w:szCs w:val="22"/>
          <w:lang w:val="es-ES"/>
        </w:rPr>
      </w:pPr>
      <w:r w:rsidRPr="00075B8C">
        <w:rPr>
          <w:rFonts w:ascii="Palatino Linotype" w:hAnsi="Palatino Linotype" w:cs="Arial"/>
          <w:sz w:val="22"/>
          <w:szCs w:val="22"/>
          <w:lang w:val="es-ES" w:eastAsia="es-MX"/>
        </w:rPr>
        <w:t>“</w:t>
      </w:r>
      <w:r w:rsidRPr="00075B8C">
        <w:rPr>
          <w:rFonts w:ascii="Palatino Linotype" w:hAnsi="Palatino Linotype" w:cs="Arial"/>
          <w:i/>
          <w:sz w:val="22"/>
          <w:szCs w:val="22"/>
          <w:lang w:val="es-ES"/>
        </w:rPr>
        <w:t xml:space="preserve">CONCEPTOS DE VIOLACIÓN EN EL AMPARO DIRECTO. </w:t>
      </w:r>
      <w:r w:rsidRPr="00075B8C">
        <w:rPr>
          <w:rFonts w:ascii="Palatino Linotype" w:hAnsi="Palatino Linotype" w:cs="Arial"/>
          <w:b/>
          <w:i/>
          <w:sz w:val="22"/>
          <w:szCs w:val="22"/>
          <w:lang w:val="es-ES"/>
        </w:rPr>
        <w:t xml:space="preserve">INOPERANCIA </w:t>
      </w:r>
      <w:r w:rsidRPr="00075B8C">
        <w:rPr>
          <w:rFonts w:ascii="Palatino Linotype" w:hAnsi="Palatino Linotype" w:cs="Arial"/>
          <w:b/>
          <w:i/>
          <w:sz w:val="22"/>
          <w:szCs w:val="22"/>
          <w:lang w:val="es-ES" w:eastAsia="es-MX"/>
        </w:rPr>
        <w:t>DE</w:t>
      </w:r>
      <w:r w:rsidRPr="00075B8C">
        <w:rPr>
          <w:rFonts w:ascii="Palatino Linotype" w:hAnsi="Palatino Linotype" w:cs="Arial"/>
          <w:b/>
          <w:i/>
          <w:sz w:val="22"/>
          <w:szCs w:val="22"/>
          <w:lang w:val="es-ES"/>
        </w:rPr>
        <w:t xml:space="preserve"> LOS QUE INTRODUCEN CUESTIONAMIENTOS NOVEDOSOS QUE NO FUERON PLANTEADOS EN EL JUICIO NATURAL</w:t>
      </w:r>
      <w:r w:rsidRPr="00075B8C">
        <w:rPr>
          <w:rFonts w:ascii="Palatino Linotype" w:hAnsi="Palatino Linotype" w:cs="Arial"/>
          <w:i/>
          <w:sz w:val="22"/>
          <w:szCs w:val="22"/>
          <w:lang w:val="es-ES"/>
        </w:rPr>
        <w:t xml:space="preserve">. </w:t>
      </w:r>
      <w:r w:rsidRPr="00075B8C">
        <w:rPr>
          <w:rFonts w:ascii="Palatino Linotype" w:hAnsi="Palatino Linotype" w:cs="Arial"/>
          <w:b/>
          <w:i/>
          <w:sz w:val="22"/>
          <w:szCs w:val="22"/>
          <w:lang w:val="es-ES"/>
        </w:rPr>
        <w:t>Si en los conceptos de violación se formulan argumentos que no se plantearon</w:t>
      </w:r>
      <w:r w:rsidRPr="00075B8C">
        <w:rPr>
          <w:rFonts w:ascii="Palatino Linotype" w:hAnsi="Palatino Linotype" w:cs="Arial"/>
          <w:i/>
          <w:sz w:val="22"/>
          <w:szCs w:val="22"/>
          <w:lang w:val="es-ES"/>
        </w:rPr>
        <w:t xml:space="preserve"> ante la Sala Fiscal que dictó la sentencia que constituye el acto reclamado, </w:t>
      </w:r>
      <w:r w:rsidRPr="00075B8C">
        <w:rPr>
          <w:rFonts w:ascii="Palatino Linotype" w:hAnsi="Palatino Linotype" w:cs="Arial"/>
          <w:b/>
          <w:i/>
          <w:sz w:val="22"/>
          <w:szCs w:val="22"/>
          <w:lang w:val="es-ES"/>
        </w:rPr>
        <w:t xml:space="preserve">los mismos son </w:t>
      </w:r>
      <w:r w:rsidRPr="00075B8C">
        <w:rPr>
          <w:rFonts w:ascii="Palatino Linotype" w:hAnsi="Palatino Linotype" w:cs="Arial"/>
          <w:i/>
          <w:sz w:val="22"/>
          <w:szCs w:val="22"/>
          <w:lang w:val="es-ES"/>
        </w:rPr>
        <w:t xml:space="preserve">inoperantes, toda vez que </w:t>
      </w:r>
      <w:r w:rsidRPr="00075B8C">
        <w:rPr>
          <w:rFonts w:ascii="Palatino Linotype" w:hAnsi="Palatino Linotype"/>
          <w:i/>
          <w:sz w:val="22"/>
          <w:szCs w:val="22"/>
          <w:lang w:val="es-ES"/>
        </w:rPr>
        <w:t>resultaría</w:t>
      </w:r>
      <w:r w:rsidRPr="00075B8C">
        <w:rPr>
          <w:rFonts w:ascii="Palatino Linotype" w:hAnsi="Palatino Linotype" w:cs="Arial"/>
          <w:i/>
          <w:sz w:val="22"/>
          <w:szCs w:val="22"/>
          <w:lang w:val="es-ES"/>
        </w:rPr>
        <w:t xml:space="preserve"> injustificado examinar la constitucionalidad de la sentencia combatida </w:t>
      </w:r>
      <w:r w:rsidRPr="00075B8C">
        <w:rPr>
          <w:rFonts w:ascii="Palatino Linotype" w:hAnsi="Palatino Linotype" w:cs="Arial"/>
          <w:b/>
          <w:i/>
          <w:sz w:val="22"/>
          <w:szCs w:val="22"/>
          <w:lang w:val="es-ES"/>
        </w:rPr>
        <w:t>a la luz de razonamientos que no conoció la autoridad responsable</w:t>
      </w:r>
      <w:r w:rsidRPr="00075B8C">
        <w:rPr>
          <w:rFonts w:ascii="Palatino Linotype" w:hAnsi="Palatino Linotype" w:cs="Arial"/>
          <w:i/>
          <w:sz w:val="22"/>
          <w:szCs w:val="22"/>
          <w:lang w:val="es-ES"/>
        </w:rPr>
        <w:t xml:space="preserve">, </w:t>
      </w:r>
      <w:r w:rsidRPr="00075B8C">
        <w:rPr>
          <w:rFonts w:ascii="Palatino Linotype" w:hAnsi="Palatino Linotype" w:cs="Arial"/>
          <w:b/>
          <w:i/>
          <w:sz w:val="22"/>
          <w:szCs w:val="22"/>
          <w:lang w:val="es-ES"/>
        </w:rPr>
        <w:t xml:space="preserve">pues como tales </w:t>
      </w:r>
      <w:r w:rsidRPr="00075B8C">
        <w:rPr>
          <w:rFonts w:ascii="Palatino Linotype" w:hAnsi="Palatino Linotype" w:cs="Arial"/>
          <w:b/>
          <w:i/>
          <w:sz w:val="22"/>
          <w:szCs w:val="22"/>
          <w:lang w:val="es-ES"/>
        </w:rPr>
        <w:lastRenderedPageBreak/>
        <w:t>manifestaciones no formaron parte de la litis natural</w:t>
      </w:r>
      <w:r w:rsidRPr="00075B8C">
        <w:rPr>
          <w:rFonts w:ascii="Palatino Linotype" w:hAnsi="Palatino Linotype" w:cs="Arial"/>
          <w:i/>
          <w:sz w:val="22"/>
          <w:szCs w:val="22"/>
          <w:lang w:val="es-ES"/>
        </w:rPr>
        <w:t xml:space="preserve">, la Sala </w:t>
      </w:r>
      <w:r w:rsidRPr="00075B8C">
        <w:rPr>
          <w:rFonts w:ascii="Palatino Linotype" w:hAnsi="Palatino Linotype" w:cs="Arial"/>
          <w:b/>
          <w:i/>
          <w:sz w:val="22"/>
          <w:szCs w:val="22"/>
          <w:lang w:val="es-ES"/>
        </w:rPr>
        <w:t>no tuvo la oportunidad legal de analizarlas ni de pronunciarse sobre ellas</w:t>
      </w:r>
      <w:r w:rsidRPr="00075B8C">
        <w:rPr>
          <w:rFonts w:ascii="Palatino Linotype" w:hAnsi="Palatino Linotype" w:cs="Arial"/>
          <w:i/>
          <w:sz w:val="22"/>
          <w:szCs w:val="22"/>
          <w:lang w:val="es-ES"/>
        </w:rPr>
        <w:t>.</w:t>
      </w:r>
    </w:p>
    <w:p w:rsidR="00E760FE" w:rsidRPr="00075B8C" w:rsidRDefault="00E760FE" w:rsidP="00E760FE">
      <w:pPr>
        <w:ind w:left="851" w:right="709"/>
        <w:jc w:val="both"/>
        <w:rPr>
          <w:rFonts w:ascii="Palatino Linotype" w:hAnsi="Palatino Linotype" w:cs="Arial"/>
          <w:i/>
          <w:sz w:val="22"/>
          <w:szCs w:val="22"/>
          <w:lang w:val="es-ES"/>
        </w:rPr>
      </w:pPr>
      <w:r w:rsidRPr="00075B8C">
        <w:rPr>
          <w:rFonts w:ascii="Palatino Linotype" w:hAnsi="Palatino Linotype" w:cs="Arial"/>
          <w:i/>
          <w:sz w:val="22"/>
          <w:szCs w:val="22"/>
          <w:lang w:val="es-ES"/>
        </w:rPr>
        <w:t>SEGUNDO TRIBUNAL COLEGIADO EN MATERIA ADMINISTRATIVA DEL SEXTO CIRCUITO.</w:t>
      </w:r>
    </w:p>
    <w:p w:rsidR="00E760FE" w:rsidRPr="00075B8C" w:rsidRDefault="00E760FE" w:rsidP="00E760FE">
      <w:pPr>
        <w:ind w:left="851" w:right="901"/>
        <w:jc w:val="both"/>
        <w:rPr>
          <w:rFonts w:ascii="Palatino Linotype" w:hAnsi="Palatino Linotype" w:cs="Arial"/>
          <w:i/>
          <w:sz w:val="22"/>
          <w:szCs w:val="22"/>
          <w:lang w:val="es-ES"/>
        </w:rPr>
      </w:pPr>
      <w:r w:rsidRPr="00075B8C">
        <w:rPr>
          <w:rFonts w:ascii="Palatino Linotype" w:hAnsi="Palatino Linotype" w:cs="Arial"/>
          <w:i/>
          <w:sz w:val="22"/>
          <w:szCs w:val="22"/>
          <w:lang w:val="es-ES"/>
        </w:rPr>
        <w:t>Amparo directo 338/2001. Hilados de Lana, S.A. de C.V. 31 de octubre de 2001. Unanimidad de votos. Ponente: Amanda R. García González. Secretaria: Fernanda María Adela Talavera Díaz.</w:t>
      </w:r>
    </w:p>
    <w:p w:rsidR="00E760FE" w:rsidRPr="00075B8C" w:rsidRDefault="00E760FE" w:rsidP="00E760FE">
      <w:pPr>
        <w:ind w:left="851" w:right="901"/>
        <w:jc w:val="both"/>
        <w:rPr>
          <w:rFonts w:ascii="Palatino Linotype" w:hAnsi="Palatino Linotype" w:cs="Arial"/>
          <w:i/>
          <w:sz w:val="22"/>
          <w:szCs w:val="22"/>
          <w:lang w:val="es-ES"/>
        </w:rPr>
      </w:pPr>
      <w:r w:rsidRPr="00075B8C">
        <w:rPr>
          <w:rFonts w:ascii="Palatino Linotype" w:hAnsi="Palatino Linotype" w:cs="Arial"/>
          <w:i/>
          <w:sz w:val="22"/>
          <w:szCs w:val="22"/>
          <w:lang w:val="es-ES"/>
        </w:rPr>
        <w:t>Amparo directo 20/2002. Afianzadora Insurgentes, S.A. de C.V. 14 de febrero de 2002. Unanimidad de votos. Ponente: Omar Losson Ovando. Secretaria: Elsa María López Luna.</w:t>
      </w:r>
    </w:p>
    <w:p w:rsidR="00E760FE" w:rsidRPr="00075B8C" w:rsidRDefault="00E760FE" w:rsidP="00E760FE">
      <w:pPr>
        <w:ind w:left="851" w:right="901"/>
        <w:jc w:val="both"/>
        <w:rPr>
          <w:rFonts w:ascii="Palatino Linotype" w:hAnsi="Palatino Linotype" w:cs="Arial"/>
          <w:i/>
          <w:sz w:val="22"/>
          <w:szCs w:val="22"/>
          <w:lang w:val="es-ES"/>
        </w:rPr>
      </w:pPr>
      <w:r w:rsidRPr="00075B8C">
        <w:rPr>
          <w:rFonts w:ascii="Palatino Linotype" w:hAnsi="Palatino Linotype" w:cs="Arial"/>
          <w:i/>
          <w:sz w:val="22"/>
          <w:szCs w:val="22"/>
          <w:lang w:val="es-ES"/>
        </w:rPr>
        <w:t>Amparo directo 271/2002. Fianzas México Bital, S.A., Grupo Financiero Bital. 7 de noviembre de 2002. Unanimidad de votos. Ponente: Antonio Meza Alarcón. Secretario: Roberto Genchi Recinos.</w:t>
      </w:r>
    </w:p>
    <w:p w:rsidR="00E760FE" w:rsidRPr="00075B8C" w:rsidRDefault="00E760FE" w:rsidP="00E760FE">
      <w:pPr>
        <w:ind w:left="851" w:right="901"/>
        <w:jc w:val="both"/>
        <w:rPr>
          <w:rFonts w:ascii="Palatino Linotype" w:hAnsi="Palatino Linotype" w:cs="Arial"/>
          <w:i/>
          <w:sz w:val="22"/>
          <w:szCs w:val="22"/>
          <w:lang w:val="es-ES"/>
        </w:rPr>
      </w:pPr>
      <w:r w:rsidRPr="00075B8C">
        <w:rPr>
          <w:rFonts w:ascii="Palatino Linotype" w:hAnsi="Palatino Linotype" w:cs="Arial"/>
          <w:i/>
          <w:sz w:val="22"/>
          <w:szCs w:val="22"/>
          <w:lang w:val="es-ES"/>
        </w:rPr>
        <w:t>Amparo directo 181/2003. Constructora y Arrendadora Paquime, S.A. de C.V. 5 de junio de 2003. Unanimidad de votos. Ponente: Omar Losson Ovando. Secretaria: Elsa María López Luna.</w:t>
      </w:r>
    </w:p>
    <w:p w:rsidR="00E760FE" w:rsidRPr="00075B8C" w:rsidRDefault="00E760FE" w:rsidP="00E760FE">
      <w:pPr>
        <w:ind w:left="851" w:right="901"/>
        <w:jc w:val="both"/>
        <w:rPr>
          <w:rFonts w:ascii="Palatino Linotype" w:hAnsi="Palatino Linotype" w:cs="Arial"/>
          <w:i/>
          <w:sz w:val="22"/>
          <w:szCs w:val="22"/>
          <w:lang w:val="es-ES"/>
        </w:rPr>
      </w:pPr>
      <w:r w:rsidRPr="00075B8C">
        <w:rPr>
          <w:rFonts w:ascii="Palatino Linotype" w:hAnsi="Palatino Linotype" w:cs="Arial"/>
          <w:i/>
          <w:sz w:val="22"/>
          <w:szCs w:val="22"/>
          <w:lang w:val="es-ES"/>
        </w:rPr>
        <w:t>Amparo directo 137/2003. Oficentro Zanella, S.A. de C.V. 12 de junio de 2003. Unanimidad de votos. Ponente: Omar Losson Ovando. Secretaria: Elsa María López Luna.</w:t>
      </w:r>
    </w:p>
    <w:p w:rsidR="00E760FE" w:rsidRPr="00075B8C" w:rsidRDefault="00E760FE" w:rsidP="00E760FE">
      <w:pPr>
        <w:ind w:left="851" w:right="901"/>
        <w:jc w:val="both"/>
        <w:rPr>
          <w:rFonts w:ascii="Palatino Linotype" w:hAnsi="Palatino Linotype" w:cs="Arial"/>
          <w:i/>
          <w:sz w:val="22"/>
          <w:szCs w:val="22"/>
          <w:lang w:val="es-ES"/>
        </w:rPr>
      </w:pPr>
      <w:r w:rsidRPr="00075B8C">
        <w:rPr>
          <w:rFonts w:ascii="Palatino Linotype" w:hAnsi="Palatino Linotype" w:cs="Arial"/>
          <w:i/>
          <w:sz w:val="22"/>
          <w:szCs w:val="22"/>
          <w:lang w:val="es-ES"/>
        </w:rPr>
        <w:t>Véase: Apéndice al Semanario Judicial de la Federación 1917-2000, Tomo III, Materia Administrativa, página 267, tesis 250, de rubro: "CONCEPTOS DE VIOLACIÓN EN EL AMPARO DIRECTO. INEFICACIA DE LOS ARGUMENTOS NO PROPUESTOS A LA SALA FISCAL RESPONSABLE."</w:t>
      </w:r>
    </w:p>
    <w:p w:rsidR="00743E05" w:rsidRPr="00075B8C" w:rsidRDefault="00743E05" w:rsidP="009E6E30">
      <w:pPr>
        <w:pStyle w:val="Prrafodelista"/>
        <w:widowControl w:val="0"/>
        <w:tabs>
          <w:tab w:val="left" w:pos="1418"/>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sz w:val="24"/>
          <w:szCs w:val="24"/>
        </w:rPr>
      </w:pPr>
      <w:r w:rsidRPr="00075B8C">
        <w:rPr>
          <w:rFonts w:ascii="Palatino Linotype" w:hAnsi="Palatino Linotype" w:cs="Arial"/>
          <w:sz w:val="24"/>
          <w:szCs w:val="24"/>
        </w:rPr>
        <w:t xml:space="preserve">Hecha la precisión anterior, es necesario recordar que </w:t>
      </w:r>
      <w:r w:rsidR="009E6E30" w:rsidRPr="00075B8C">
        <w:rPr>
          <w:rFonts w:ascii="Palatino Linotype" w:hAnsi="Palatino Linotype" w:cs="Arial"/>
          <w:b/>
          <w:sz w:val="24"/>
          <w:szCs w:val="24"/>
        </w:rPr>
        <w:t xml:space="preserve">EL SUJETO OBLIGADO </w:t>
      </w:r>
      <w:r w:rsidR="009E6E30" w:rsidRPr="00075B8C">
        <w:rPr>
          <w:rFonts w:ascii="Palatino Linotype" w:hAnsi="Palatino Linotype" w:cs="Arial"/>
          <w:sz w:val="24"/>
          <w:szCs w:val="24"/>
        </w:rPr>
        <w:t>media</w:t>
      </w:r>
      <w:r w:rsidRPr="00075B8C">
        <w:rPr>
          <w:rFonts w:ascii="Palatino Linotype" w:hAnsi="Palatino Linotype" w:cs="Arial"/>
          <w:sz w:val="24"/>
          <w:szCs w:val="24"/>
        </w:rPr>
        <w:t>nte Informe Justificado refirió esencialmente que, el recurso de revisión; resultaba improcedente; toda vez que</w:t>
      </w:r>
      <w:r w:rsidR="00D969AB" w:rsidRPr="00075B8C">
        <w:rPr>
          <w:rFonts w:ascii="Palatino Linotype" w:hAnsi="Palatino Linotype" w:cs="Arial"/>
          <w:sz w:val="24"/>
          <w:szCs w:val="24"/>
        </w:rPr>
        <w:t>,</w:t>
      </w:r>
      <w:r w:rsidRPr="00075B8C">
        <w:rPr>
          <w:rFonts w:ascii="Palatino Linotype" w:hAnsi="Palatino Linotype" w:cs="Arial"/>
          <w:sz w:val="24"/>
          <w:szCs w:val="24"/>
        </w:rPr>
        <w:t xml:space="preserve"> </w:t>
      </w:r>
      <w:r w:rsidRPr="00075B8C">
        <w:rPr>
          <w:rFonts w:ascii="Palatino Linotype" w:hAnsi="Palatino Linotype" w:cs="Arial"/>
          <w:b/>
          <w:sz w:val="24"/>
          <w:szCs w:val="24"/>
        </w:rPr>
        <w:t xml:space="preserve">EL RECURRENTE </w:t>
      </w:r>
      <w:r w:rsidRPr="00075B8C">
        <w:rPr>
          <w:rFonts w:ascii="Palatino Linotype" w:hAnsi="Palatino Linotype" w:cs="Arial"/>
          <w:sz w:val="24"/>
          <w:szCs w:val="24"/>
        </w:rPr>
        <w:t xml:space="preserve">amplió su solicitud de información </w:t>
      </w:r>
      <w:r w:rsidR="00917403" w:rsidRPr="00075B8C">
        <w:rPr>
          <w:rFonts w:ascii="Palatino Linotype" w:hAnsi="Palatino Linotype" w:cs="Arial"/>
          <w:sz w:val="24"/>
          <w:szCs w:val="24"/>
        </w:rPr>
        <w:t>en las raz</w:t>
      </w:r>
      <w:r w:rsidR="00D969AB" w:rsidRPr="00075B8C">
        <w:rPr>
          <w:rFonts w:ascii="Palatino Linotype" w:hAnsi="Palatino Linotype" w:cs="Arial"/>
          <w:sz w:val="24"/>
          <w:szCs w:val="24"/>
        </w:rPr>
        <w:t xml:space="preserve">ones o motivos de inconformidad. Mientras que </w:t>
      </w:r>
      <w:r w:rsidR="00D969AB" w:rsidRPr="00075B8C">
        <w:rPr>
          <w:rFonts w:ascii="Palatino Linotype" w:hAnsi="Palatino Linotype" w:cs="Arial"/>
          <w:b/>
          <w:sz w:val="24"/>
          <w:szCs w:val="24"/>
        </w:rPr>
        <w:t xml:space="preserve">EL RECURRENTE </w:t>
      </w:r>
      <w:r w:rsidR="00D969AB" w:rsidRPr="00075B8C">
        <w:rPr>
          <w:rFonts w:ascii="Palatino Linotype" w:hAnsi="Palatino Linotype" w:cs="Arial"/>
          <w:sz w:val="24"/>
          <w:szCs w:val="24"/>
        </w:rPr>
        <w:t xml:space="preserve">fue omiso en realizar las manifestaciones que conforme a derecho le </w:t>
      </w:r>
      <w:r w:rsidR="00D969AB" w:rsidRPr="00075B8C">
        <w:rPr>
          <w:rFonts w:ascii="Palatino Linotype" w:hAnsi="Palatino Linotype" w:cs="Arial"/>
          <w:sz w:val="24"/>
          <w:szCs w:val="24"/>
        </w:rPr>
        <w:lastRenderedPageBreak/>
        <w:t>corresponden.</w:t>
      </w:r>
    </w:p>
    <w:p w:rsidR="00D969AB" w:rsidRPr="00075B8C" w:rsidRDefault="00D969AB" w:rsidP="00D969AB">
      <w:pPr>
        <w:spacing w:before="100" w:beforeAutospacing="1" w:after="100" w:afterAutospacing="1" w:line="360" w:lineRule="auto"/>
        <w:jc w:val="both"/>
        <w:rPr>
          <w:rFonts w:ascii="Palatino Linotype" w:hAnsi="Palatino Linotype"/>
          <w:sz w:val="24"/>
          <w:szCs w:val="24"/>
        </w:rPr>
      </w:pPr>
      <w:r w:rsidRPr="00075B8C">
        <w:rPr>
          <w:rFonts w:ascii="Palatino Linotype" w:hAnsi="Palatino Linotype" w:cs="Arial"/>
          <w:sz w:val="24"/>
          <w:szCs w:val="24"/>
        </w:rPr>
        <w:t xml:space="preserve">Derivado de lo anterior, tenemos que al haber asumido </w:t>
      </w:r>
      <w:r w:rsidRPr="00075B8C">
        <w:rPr>
          <w:rFonts w:ascii="Palatino Linotype" w:hAnsi="Palatino Linotype" w:cs="Arial"/>
          <w:b/>
          <w:sz w:val="24"/>
          <w:szCs w:val="24"/>
        </w:rPr>
        <w:t xml:space="preserve">EL SUJETO OBLIGADO </w:t>
      </w:r>
      <w:r w:rsidRPr="00075B8C">
        <w:rPr>
          <w:rFonts w:ascii="Palatino Linotype" w:hAnsi="Palatino Linotype" w:cs="Arial"/>
          <w:sz w:val="24"/>
          <w:szCs w:val="24"/>
        </w:rPr>
        <w:t xml:space="preserve">contar con la información solicitada se obvia el análisis de su competencia, </w:t>
      </w:r>
      <w:r w:rsidRPr="00075B8C">
        <w:rPr>
          <w:rFonts w:ascii="Palatino Linotype" w:hAnsi="Palatino Linotype"/>
          <w:sz w:val="24"/>
          <w:szCs w:val="24"/>
        </w:rPr>
        <w:t xml:space="preserve">para generar, administrar o poseer la información solicitada, </w:t>
      </w:r>
      <w:r w:rsidRPr="00075B8C">
        <w:rPr>
          <w:rFonts w:ascii="Palatino Linotype" w:hAnsi="Palatino Linotype" w:cs="Arial"/>
          <w:sz w:val="24"/>
          <w:szCs w:val="24"/>
        </w:rPr>
        <w:t xml:space="preserve">dado que éste ha </w:t>
      </w:r>
      <w:r w:rsidRPr="00075B8C">
        <w:rPr>
          <w:rFonts w:ascii="Palatino Linotype" w:hAnsi="Palatino Linotype" w:cs="Arial"/>
          <w:color w:val="000000"/>
          <w:sz w:val="24"/>
          <w:szCs w:val="24"/>
        </w:rPr>
        <w:t>asumido</w:t>
      </w:r>
      <w:r w:rsidRPr="00075B8C">
        <w:rPr>
          <w:rFonts w:ascii="Palatino Linotype" w:hAnsi="Palatino Linotype" w:cs="Arial"/>
          <w:sz w:val="24"/>
          <w:szCs w:val="24"/>
        </w:rPr>
        <w:t xml:space="preserve"> la misma</w:t>
      </w:r>
      <w:r w:rsidRPr="00075B8C">
        <w:rPr>
          <w:rFonts w:ascii="Palatino Linotype" w:hAnsi="Palatino Linotype"/>
          <w:sz w:val="24"/>
          <w:szCs w:val="24"/>
        </w:rPr>
        <w:t xml:space="preserve">; razón por la cual, al haberse pronunciado </w:t>
      </w:r>
      <w:r w:rsidRPr="00075B8C">
        <w:rPr>
          <w:rFonts w:ascii="Palatino Linotype" w:hAnsi="Palatino Linotype"/>
          <w:b/>
          <w:sz w:val="24"/>
          <w:szCs w:val="24"/>
        </w:rPr>
        <w:t>EL SUJETO OBLIGADO</w:t>
      </w:r>
      <w:r w:rsidRPr="00075B8C">
        <w:rPr>
          <w:rFonts w:ascii="Palatino Linotype" w:hAnsi="Palatino Linotype"/>
          <w:sz w:val="24"/>
          <w:szCs w:val="24"/>
        </w:rPr>
        <w:t xml:space="preserve"> </w:t>
      </w:r>
      <w:r w:rsidRPr="00075B8C">
        <w:rPr>
          <w:rFonts w:ascii="Palatino Linotype" w:hAnsi="Palatino Linotype" w:cs="Arial"/>
          <w:sz w:val="24"/>
          <w:szCs w:val="24"/>
        </w:rPr>
        <w:t xml:space="preserve">es que </w:t>
      </w:r>
      <w:r w:rsidRPr="00075B8C">
        <w:rPr>
          <w:rFonts w:ascii="Palatino Linotype" w:hAnsi="Palatino Linotype"/>
          <w:sz w:val="24"/>
          <w:szCs w:val="24"/>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D969AB" w:rsidRPr="00075B8C" w:rsidRDefault="00D969AB" w:rsidP="009E6E30">
      <w:pPr>
        <w:spacing w:before="100" w:beforeAutospacing="1" w:after="100" w:afterAutospacing="1" w:line="360" w:lineRule="auto"/>
        <w:jc w:val="both"/>
        <w:rPr>
          <w:rFonts w:ascii="Palatino Linotype" w:hAnsi="Palatino Linotype" w:cs="Arial"/>
          <w:b/>
          <w:sz w:val="24"/>
          <w:szCs w:val="24"/>
          <w:lang w:eastAsia="es-MX"/>
        </w:rPr>
      </w:pPr>
      <w:r w:rsidRPr="00075B8C">
        <w:rPr>
          <w:rFonts w:ascii="Palatino Linotype" w:hAnsi="Palatino Linotype" w:cs="Arial"/>
          <w:sz w:val="24"/>
          <w:szCs w:val="24"/>
          <w:lang w:eastAsia="es-MX"/>
        </w:rPr>
        <w:t xml:space="preserve">En ese tenor; es necesario puntualizar que los Sujetos Obligados únicamente se encuentran constreñidos a proporcionar la información pública que se les requiera, que </w:t>
      </w:r>
      <w:r w:rsidR="00A55B28" w:rsidRPr="00075B8C">
        <w:rPr>
          <w:rFonts w:ascii="Palatino Linotype" w:hAnsi="Palatino Linotype" w:cs="Arial"/>
          <w:sz w:val="24"/>
          <w:szCs w:val="24"/>
          <w:lang w:eastAsia="es-MX"/>
        </w:rPr>
        <w:t>obre en sus archivos y en e</w:t>
      </w:r>
      <w:r w:rsidRPr="00075B8C">
        <w:rPr>
          <w:rFonts w:ascii="Palatino Linotype" w:hAnsi="Palatino Linotype" w:cs="Arial"/>
          <w:sz w:val="24"/>
          <w:szCs w:val="24"/>
          <w:lang w:eastAsia="es-MX"/>
        </w:rPr>
        <w:t xml:space="preserve">l estado en que se encuentre; por lo que, dicha </w:t>
      </w:r>
      <w:r w:rsidR="00A55B28" w:rsidRPr="00075B8C">
        <w:rPr>
          <w:rFonts w:ascii="Palatino Linotype" w:hAnsi="Palatino Linotype" w:cs="Arial"/>
          <w:sz w:val="24"/>
          <w:szCs w:val="24"/>
          <w:lang w:eastAsia="es-MX"/>
        </w:rPr>
        <w:t xml:space="preserve">obligación no comprende el procesamiento de la misma ni </w:t>
      </w:r>
      <w:r w:rsidRPr="00075B8C">
        <w:rPr>
          <w:rFonts w:ascii="Palatino Linotype" w:hAnsi="Palatino Linotype" w:cs="Arial"/>
          <w:sz w:val="24"/>
          <w:szCs w:val="24"/>
          <w:lang w:eastAsia="es-MX"/>
        </w:rPr>
        <w:t xml:space="preserve">el que la presenten conforme al </w:t>
      </w:r>
      <w:r w:rsidR="00A55B28" w:rsidRPr="00075B8C">
        <w:rPr>
          <w:rFonts w:ascii="Palatino Linotype" w:hAnsi="Palatino Linotype" w:cs="Arial"/>
          <w:sz w:val="24"/>
          <w:szCs w:val="24"/>
          <w:lang w:eastAsia="es-MX"/>
        </w:rPr>
        <w:t xml:space="preserve">interés del solicitante; </w:t>
      </w:r>
      <w:r w:rsidRPr="00075B8C">
        <w:rPr>
          <w:rFonts w:ascii="Palatino Linotype" w:hAnsi="Palatino Linotype" w:cs="Arial"/>
          <w:sz w:val="24"/>
          <w:szCs w:val="24"/>
          <w:lang w:eastAsia="es-MX"/>
        </w:rPr>
        <w:t xml:space="preserve">razón por la cual, esta Ponencia Resolutora considera importante resaltar que de conformidad con lo establecido en los artículos 13 y 181, párrafo cuarto de la Ley de la materia; </w:t>
      </w:r>
      <w:r w:rsidR="00670C93" w:rsidRPr="00075B8C">
        <w:rPr>
          <w:rFonts w:ascii="Palatino Linotype" w:hAnsi="Palatino Linotype" w:cs="Arial"/>
          <w:sz w:val="24"/>
          <w:szCs w:val="24"/>
          <w:lang w:eastAsia="es-MX"/>
        </w:rPr>
        <w:t xml:space="preserve">suple la deficiencia presentada en la solicitud de información para determinar que lo solicitado por el particular consistió en: i) </w:t>
      </w:r>
      <w:r w:rsidR="00670C93" w:rsidRPr="00075B8C">
        <w:rPr>
          <w:rFonts w:ascii="Palatino Linotype" w:hAnsi="Palatino Linotype" w:cs="Arial"/>
          <w:b/>
          <w:sz w:val="24"/>
          <w:szCs w:val="24"/>
          <w:lang w:eastAsia="es-MX"/>
        </w:rPr>
        <w:t>conocer los impuestos que recauda el Ayuntamiento</w:t>
      </w:r>
      <w:r w:rsidR="00661DB3" w:rsidRPr="00075B8C">
        <w:rPr>
          <w:rFonts w:ascii="Palatino Linotype" w:hAnsi="Palatino Linotype" w:cs="Arial"/>
          <w:b/>
          <w:sz w:val="24"/>
          <w:szCs w:val="24"/>
          <w:lang w:eastAsia="es-MX"/>
        </w:rPr>
        <w:t xml:space="preserve"> a través de la Tesorería Municipal y las diferentes áreas administrativas que lo integran;</w:t>
      </w:r>
      <w:r w:rsidR="00670C93" w:rsidRPr="00075B8C">
        <w:rPr>
          <w:rFonts w:ascii="Palatino Linotype" w:hAnsi="Palatino Linotype" w:cs="Arial"/>
          <w:b/>
          <w:sz w:val="24"/>
          <w:szCs w:val="24"/>
          <w:lang w:eastAsia="es-MX"/>
        </w:rPr>
        <w:t xml:space="preserve"> ii) las cuentas contables a las que se reportan dichos impuestos</w:t>
      </w:r>
      <w:r w:rsidR="00661DB3" w:rsidRPr="00075B8C">
        <w:rPr>
          <w:rFonts w:ascii="Palatino Linotype" w:hAnsi="Palatino Linotype" w:cs="Arial"/>
          <w:b/>
          <w:sz w:val="24"/>
          <w:szCs w:val="24"/>
          <w:lang w:eastAsia="es-MX"/>
        </w:rPr>
        <w:t>;</w:t>
      </w:r>
      <w:r w:rsidR="00670C93" w:rsidRPr="00075B8C">
        <w:rPr>
          <w:rFonts w:ascii="Palatino Linotype" w:hAnsi="Palatino Linotype" w:cs="Arial"/>
          <w:b/>
          <w:sz w:val="24"/>
          <w:szCs w:val="24"/>
          <w:lang w:eastAsia="es-MX"/>
        </w:rPr>
        <w:t xml:space="preserve"> y</w:t>
      </w:r>
      <w:r w:rsidR="00661DB3" w:rsidRPr="00075B8C">
        <w:rPr>
          <w:rFonts w:ascii="Palatino Linotype" w:hAnsi="Palatino Linotype" w:cs="Arial"/>
          <w:b/>
          <w:sz w:val="24"/>
          <w:szCs w:val="24"/>
          <w:lang w:eastAsia="es-MX"/>
        </w:rPr>
        <w:t>,</w:t>
      </w:r>
      <w:r w:rsidR="00670C93" w:rsidRPr="00075B8C">
        <w:rPr>
          <w:rFonts w:ascii="Palatino Linotype" w:hAnsi="Palatino Linotype" w:cs="Arial"/>
          <w:b/>
          <w:sz w:val="24"/>
          <w:szCs w:val="24"/>
          <w:lang w:eastAsia="es-MX"/>
        </w:rPr>
        <w:t xml:space="preserve"> iii) las pólizas de egresos debidamente soportadas que comprueben la salida de dinero de las cuentas bancarias del mismo; ello correspondiente a los meses de enero y febrero de 2019.</w:t>
      </w:r>
    </w:p>
    <w:p w:rsidR="00E47B69" w:rsidRPr="00075B8C" w:rsidRDefault="00E47B69" w:rsidP="00E47B69">
      <w:pPr>
        <w:spacing w:before="240" w:after="240" w:line="360" w:lineRule="auto"/>
        <w:jc w:val="both"/>
        <w:rPr>
          <w:rFonts w:ascii="Palatino Linotype" w:hAnsi="Palatino Linotype"/>
          <w:sz w:val="24"/>
          <w:szCs w:val="24"/>
        </w:rPr>
      </w:pPr>
      <w:r w:rsidRPr="00075B8C">
        <w:rPr>
          <w:rFonts w:ascii="Palatino Linotype" w:hAnsi="Palatino Linotype"/>
          <w:sz w:val="24"/>
          <w:szCs w:val="24"/>
        </w:rPr>
        <w:lastRenderedPageBreak/>
        <w:t xml:space="preserve">En ese tenor, y toda vez que </w:t>
      </w:r>
      <w:r w:rsidRPr="00075B8C">
        <w:rPr>
          <w:rFonts w:ascii="Palatino Linotype" w:hAnsi="Palatino Linotype"/>
          <w:b/>
          <w:sz w:val="24"/>
          <w:szCs w:val="24"/>
        </w:rPr>
        <w:t xml:space="preserve">EL RECURRENTE </w:t>
      </w:r>
      <w:r w:rsidR="00343498" w:rsidRPr="00075B8C">
        <w:rPr>
          <w:rFonts w:ascii="Palatino Linotype" w:hAnsi="Palatino Linotype"/>
          <w:sz w:val="24"/>
          <w:szCs w:val="24"/>
        </w:rPr>
        <w:t>solicit</w:t>
      </w:r>
      <w:r w:rsidRPr="00075B8C">
        <w:rPr>
          <w:rFonts w:ascii="Palatino Linotype" w:hAnsi="Palatino Linotype"/>
          <w:sz w:val="24"/>
          <w:szCs w:val="24"/>
        </w:rPr>
        <w:t>ó información relacionada con los</w:t>
      </w:r>
      <w:r w:rsidR="00661DB3" w:rsidRPr="00075B8C">
        <w:rPr>
          <w:rFonts w:ascii="Palatino Linotype" w:hAnsi="Palatino Linotype"/>
          <w:sz w:val="24"/>
          <w:szCs w:val="24"/>
        </w:rPr>
        <w:t xml:space="preserve"> impuestos que recauda el Municipio a través de las áreas administrativas que lo integran, es que resulta importante </w:t>
      </w:r>
      <w:r w:rsidRPr="00075B8C">
        <w:rPr>
          <w:rFonts w:ascii="Palatino Linotype" w:hAnsi="Palatino Linotype"/>
          <w:sz w:val="24"/>
          <w:szCs w:val="24"/>
        </w:rPr>
        <w:t>citar el contenido del artículo 1 de la Ley de Ingresos de los Municipios del Estado de México para el Ejercicio Fiscal del Año 2019, que en la parte aplicable al presente asunto señala:</w:t>
      </w:r>
    </w:p>
    <w:p w:rsidR="00670C93" w:rsidRPr="00075B8C" w:rsidRDefault="00E47B69" w:rsidP="00E47B69">
      <w:pPr>
        <w:spacing w:before="100" w:beforeAutospacing="1" w:after="100" w:afterAutospacing="1" w:line="360" w:lineRule="auto"/>
        <w:jc w:val="center"/>
        <w:rPr>
          <w:rFonts w:ascii="Palatino Linotype" w:hAnsi="Palatino Linotype" w:cs="Arial"/>
          <w:sz w:val="24"/>
          <w:szCs w:val="24"/>
          <w:lang w:eastAsia="es-MX"/>
        </w:rPr>
      </w:pPr>
      <w:r w:rsidRPr="00075B8C">
        <w:rPr>
          <w:noProof/>
          <w:lang w:val="es-MX" w:eastAsia="es-MX"/>
        </w:rPr>
        <w:drawing>
          <wp:inline distT="0" distB="0" distL="0" distR="0" wp14:anchorId="4CB05B9D" wp14:editId="5BF34993">
            <wp:extent cx="4562481" cy="2241073"/>
            <wp:effectExtent l="0" t="0" r="0" b="698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517" t="19146" r="17045" b="21970"/>
                    <a:stretch/>
                  </pic:blipFill>
                  <pic:spPr bwMode="auto">
                    <a:xfrm>
                      <a:off x="0" y="0"/>
                      <a:ext cx="4606914" cy="2262899"/>
                    </a:xfrm>
                    <a:prstGeom prst="rect">
                      <a:avLst/>
                    </a:prstGeom>
                    <a:ln>
                      <a:noFill/>
                    </a:ln>
                    <a:extLst>
                      <a:ext uri="{53640926-AAD7-44D8-BBD7-CCE9431645EC}">
                        <a14:shadowObscured xmlns:a14="http://schemas.microsoft.com/office/drawing/2010/main"/>
                      </a:ext>
                    </a:extLst>
                  </pic:spPr>
                </pic:pic>
              </a:graphicData>
            </a:graphic>
          </wp:inline>
        </w:drawing>
      </w:r>
    </w:p>
    <w:p w:rsidR="00E47B69" w:rsidRPr="00075B8C" w:rsidRDefault="00E47B69" w:rsidP="00E47B69">
      <w:pPr>
        <w:spacing w:before="100" w:beforeAutospacing="1" w:after="100" w:afterAutospacing="1" w:line="360" w:lineRule="auto"/>
        <w:jc w:val="center"/>
        <w:rPr>
          <w:rFonts w:ascii="Palatino Linotype" w:hAnsi="Palatino Linotype" w:cs="Arial"/>
          <w:sz w:val="24"/>
          <w:szCs w:val="24"/>
          <w:lang w:eastAsia="es-MX"/>
        </w:rPr>
      </w:pPr>
      <w:r w:rsidRPr="00075B8C">
        <w:rPr>
          <w:noProof/>
          <w:lang w:val="es-MX" w:eastAsia="es-MX"/>
        </w:rPr>
        <w:drawing>
          <wp:inline distT="0" distB="0" distL="0" distR="0" wp14:anchorId="182CAFCB" wp14:editId="38FC509D">
            <wp:extent cx="4397111" cy="2526493"/>
            <wp:effectExtent l="0" t="0" r="381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6246" t="21741" r="17685" b="10777"/>
                    <a:stretch/>
                  </pic:blipFill>
                  <pic:spPr bwMode="auto">
                    <a:xfrm>
                      <a:off x="0" y="0"/>
                      <a:ext cx="4423283" cy="2541531"/>
                    </a:xfrm>
                    <a:prstGeom prst="rect">
                      <a:avLst/>
                    </a:prstGeom>
                    <a:ln>
                      <a:noFill/>
                    </a:ln>
                    <a:extLst>
                      <a:ext uri="{53640926-AAD7-44D8-BBD7-CCE9431645EC}">
                        <a14:shadowObscured xmlns:a14="http://schemas.microsoft.com/office/drawing/2010/main"/>
                      </a:ext>
                    </a:extLst>
                  </pic:spPr>
                </pic:pic>
              </a:graphicData>
            </a:graphic>
          </wp:inline>
        </w:drawing>
      </w:r>
    </w:p>
    <w:p w:rsidR="00E47B69" w:rsidRPr="00075B8C" w:rsidRDefault="00E47B69" w:rsidP="00E47B69">
      <w:pPr>
        <w:spacing w:before="100" w:beforeAutospacing="1" w:after="100" w:afterAutospacing="1" w:line="360" w:lineRule="auto"/>
        <w:jc w:val="center"/>
        <w:rPr>
          <w:rFonts w:ascii="Palatino Linotype" w:hAnsi="Palatino Linotype" w:cs="Arial"/>
          <w:sz w:val="24"/>
          <w:szCs w:val="24"/>
          <w:lang w:eastAsia="es-MX"/>
        </w:rPr>
      </w:pPr>
      <w:r w:rsidRPr="00075B8C">
        <w:rPr>
          <w:noProof/>
          <w:lang w:val="es-MX" w:eastAsia="es-MX"/>
        </w:rPr>
        <w:lastRenderedPageBreak/>
        <w:drawing>
          <wp:inline distT="0" distB="0" distL="0" distR="0" wp14:anchorId="3825084F" wp14:editId="709320CD">
            <wp:extent cx="4372664" cy="2299214"/>
            <wp:effectExtent l="0" t="0" r="0" b="63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5972" t="14602" r="16863" b="22620"/>
                    <a:stretch/>
                  </pic:blipFill>
                  <pic:spPr bwMode="auto">
                    <a:xfrm>
                      <a:off x="0" y="0"/>
                      <a:ext cx="4396769" cy="2311889"/>
                    </a:xfrm>
                    <a:prstGeom prst="rect">
                      <a:avLst/>
                    </a:prstGeom>
                    <a:ln>
                      <a:noFill/>
                    </a:ln>
                    <a:extLst>
                      <a:ext uri="{53640926-AAD7-44D8-BBD7-CCE9431645EC}">
                        <a14:shadowObscured xmlns:a14="http://schemas.microsoft.com/office/drawing/2010/main"/>
                      </a:ext>
                    </a:extLst>
                  </pic:spPr>
                </pic:pic>
              </a:graphicData>
            </a:graphic>
          </wp:inline>
        </w:drawing>
      </w:r>
    </w:p>
    <w:p w:rsidR="00E47B69" w:rsidRPr="00075B8C" w:rsidRDefault="00E47B69" w:rsidP="00E47B69">
      <w:pPr>
        <w:spacing w:before="100" w:beforeAutospacing="1" w:after="100" w:afterAutospacing="1" w:line="360" w:lineRule="auto"/>
        <w:jc w:val="center"/>
        <w:rPr>
          <w:rFonts w:ascii="Palatino Linotype" w:hAnsi="Palatino Linotype" w:cs="Arial"/>
          <w:sz w:val="24"/>
          <w:szCs w:val="24"/>
          <w:lang w:eastAsia="es-MX"/>
        </w:rPr>
      </w:pPr>
      <w:r w:rsidRPr="00075B8C">
        <w:rPr>
          <w:noProof/>
          <w:lang w:val="es-MX" w:eastAsia="es-MX"/>
        </w:rPr>
        <w:drawing>
          <wp:inline distT="0" distB="0" distL="0" distR="0" wp14:anchorId="5BD15847" wp14:editId="1C868FCA">
            <wp:extent cx="4284924" cy="2727343"/>
            <wp:effectExtent l="0" t="0" r="190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5791" t="10709" r="16681" b="12886"/>
                    <a:stretch/>
                  </pic:blipFill>
                  <pic:spPr bwMode="auto">
                    <a:xfrm>
                      <a:off x="0" y="0"/>
                      <a:ext cx="4304149" cy="2739579"/>
                    </a:xfrm>
                    <a:prstGeom prst="rect">
                      <a:avLst/>
                    </a:prstGeom>
                    <a:ln>
                      <a:noFill/>
                    </a:ln>
                    <a:extLst>
                      <a:ext uri="{53640926-AAD7-44D8-BBD7-CCE9431645EC}">
                        <a14:shadowObscured xmlns:a14="http://schemas.microsoft.com/office/drawing/2010/main"/>
                      </a:ext>
                    </a:extLst>
                  </pic:spPr>
                </pic:pic>
              </a:graphicData>
            </a:graphic>
          </wp:inline>
        </w:drawing>
      </w:r>
    </w:p>
    <w:p w:rsidR="00E47B69" w:rsidRPr="00075B8C" w:rsidRDefault="00E47B69" w:rsidP="00E47B69">
      <w:pPr>
        <w:spacing w:before="100" w:beforeAutospacing="1" w:after="100" w:afterAutospacing="1" w:line="360" w:lineRule="auto"/>
        <w:jc w:val="center"/>
        <w:rPr>
          <w:rFonts w:ascii="Palatino Linotype" w:hAnsi="Palatino Linotype" w:cs="Arial"/>
          <w:sz w:val="24"/>
          <w:szCs w:val="24"/>
          <w:lang w:eastAsia="es-MX"/>
        </w:rPr>
      </w:pPr>
      <w:r w:rsidRPr="00075B8C">
        <w:rPr>
          <w:noProof/>
          <w:lang w:val="es-MX" w:eastAsia="es-MX"/>
        </w:rPr>
        <w:drawing>
          <wp:inline distT="0" distB="0" distL="0" distR="0" wp14:anchorId="595419BC" wp14:editId="4C5E26AC">
            <wp:extent cx="4477534" cy="1575094"/>
            <wp:effectExtent l="0" t="0" r="0" b="635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6429" t="31637" r="17685" b="27161"/>
                    <a:stretch/>
                  </pic:blipFill>
                  <pic:spPr bwMode="auto">
                    <a:xfrm>
                      <a:off x="0" y="0"/>
                      <a:ext cx="4561995" cy="1604806"/>
                    </a:xfrm>
                    <a:prstGeom prst="rect">
                      <a:avLst/>
                    </a:prstGeom>
                    <a:ln>
                      <a:noFill/>
                    </a:ln>
                    <a:extLst>
                      <a:ext uri="{53640926-AAD7-44D8-BBD7-CCE9431645EC}">
                        <a14:shadowObscured xmlns:a14="http://schemas.microsoft.com/office/drawing/2010/main"/>
                      </a:ext>
                    </a:extLst>
                  </pic:spPr>
                </pic:pic>
              </a:graphicData>
            </a:graphic>
          </wp:inline>
        </w:drawing>
      </w:r>
    </w:p>
    <w:p w:rsidR="00E47B69" w:rsidRPr="00075B8C" w:rsidRDefault="00E47B69" w:rsidP="00E47B69">
      <w:pPr>
        <w:spacing w:before="100" w:beforeAutospacing="1" w:after="100" w:afterAutospacing="1" w:line="360" w:lineRule="auto"/>
        <w:jc w:val="center"/>
        <w:rPr>
          <w:rFonts w:ascii="Palatino Linotype" w:hAnsi="Palatino Linotype" w:cs="Arial"/>
          <w:sz w:val="24"/>
          <w:szCs w:val="24"/>
          <w:lang w:eastAsia="es-MX"/>
        </w:rPr>
      </w:pPr>
      <w:r w:rsidRPr="00075B8C">
        <w:rPr>
          <w:noProof/>
          <w:lang w:val="es-MX" w:eastAsia="es-MX"/>
        </w:rPr>
        <w:lastRenderedPageBreak/>
        <w:drawing>
          <wp:inline distT="0" distB="0" distL="0" distR="0" wp14:anchorId="11808AAC" wp14:editId="7665E27E">
            <wp:extent cx="4602368" cy="2981325"/>
            <wp:effectExtent l="0" t="0" r="825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5698" t="11358" r="17137" b="15157"/>
                    <a:stretch/>
                  </pic:blipFill>
                  <pic:spPr bwMode="auto">
                    <a:xfrm>
                      <a:off x="0" y="0"/>
                      <a:ext cx="4642178" cy="3007113"/>
                    </a:xfrm>
                    <a:prstGeom prst="rect">
                      <a:avLst/>
                    </a:prstGeom>
                    <a:ln>
                      <a:noFill/>
                    </a:ln>
                    <a:extLst>
                      <a:ext uri="{53640926-AAD7-44D8-BBD7-CCE9431645EC}">
                        <a14:shadowObscured xmlns:a14="http://schemas.microsoft.com/office/drawing/2010/main"/>
                      </a:ext>
                    </a:extLst>
                  </pic:spPr>
                </pic:pic>
              </a:graphicData>
            </a:graphic>
          </wp:inline>
        </w:drawing>
      </w:r>
    </w:p>
    <w:p w:rsidR="00670C93" w:rsidRPr="00075B8C" w:rsidRDefault="00E47B69" w:rsidP="00E47B69">
      <w:pPr>
        <w:spacing w:before="100" w:beforeAutospacing="1" w:after="100" w:afterAutospacing="1" w:line="360" w:lineRule="auto"/>
        <w:jc w:val="center"/>
        <w:rPr>
          <w:rFonts w:ascii="Palatino Linotype" w:hAnsi="Palatino Linotype" w:cs="Arial"/>
          <w:sz w:val="24"/>
          <w:szCs w:val="24"/>
          <w:lang w:eastAsia="es-MX"/>
        </w:rPr>
      </w:pPr>
      <w:r w:rsidRPr="00075B8C">
        <w:rPr>
          <w:noProof/>
          <w:lang w:val="es-MX" w:eastAsia="es-MX"/>
        </w:rPr>
        <w:drawing>
          <wp:inline distT="0" distB="0" distL="0" distR="0" wp14:anchorId="717B833F" wp14:editId="697DBED5">
            <wp:extent cx="4568825" cy="381000"/>
            <wp:effectExtent l="0" t="0" r="317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5703" t="29212" r="17228" b="62039"/>
                    <a:stretch/>
                  </pic:blipFill>
                  <pic:spPr bwMode="auto">
                    <a:xfrm>
                      <a:off x="0" y="0"/>
                      <a:ext cx="4917075" cy="410041"/>
                    </a:xfrm>
                    <a:prstGeom prst="rect">
                      <a:avLst/>
                    </a:prstGeom>
                    <a:ln>
                      <a:noFill/>
                    </a:ln>
                    <a:extLst>
                      <a:ext uri="{53640926-AAD7-44D8-BBD7-CCE9431645EC}">
                        <a14:shadowObscured xmlns:a14="http://schemas.microsoft.com/office/drawing/2010/main"/>
                      </a:ext>
                    </a:extLst>
                  </pic:spPr>
                </pic:pic>
              </a:graphicData>
            </a:graphic>
          </wp:inline>
        </w:drawing>
      </w:r>
    </w:p>
    <w:p w:rsidR="00D969AB" w:rsidRPr="00075B8C" w:rsidRDefault="00E47B69" w:rsidP="00E47B69">
      <w:pPr>
        <w:spacing w:before="100" w:beforeAutospacing="1" w:after="100" w:afterAutospacing="1" w:line="360" w:lineRule="auto"/>
        <w:jc w:val="center"/>
        <w:rPr>
          <w:rFonts w:ascii="Palatino Linotype" w:hAnsi="Palatino Linotype" w:cs="Arial"/>
          <w:sz w:val="24"/>
          <w:szCs w:val="24"/>
          <w:lang w:eastAsia="es-MX"/>
        </w:rPr>
      </w:pPr>
      <w:r w:rsidRPr="00075B8C">
        <w:rPr>
          <w:noProof/>
          <w:lang w:val="es-MX" w:eastAsia="es-MX"/>
        </w:rPr>
        <w:drawing>
          <wp:inline distT="0" distB="0" distL="0" distR="0" wp14:anchorId="191B1C49" wp14:editId="5D7F1802">
            <wp:extent cx="4540535" cy="59055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6433" t="26290" r="17685" b="61066"/>
                    <a:stretch/>
                  </pic:blipFill>
                  <pic:spPr bwMode="auto">
                    <a:xfrm>
                      <a:off x="0" y="0"/>
                      <a:ext cx="4698821" cy="611137"/>
                    </a:xfrm>
                    <a:prstGeom prst="rect">
                      <a:avLst/>
                    </a:prstGeom>
                    <a:ln>
                      <a:noFill/>
                    </a:ln>
                    <a:extLst>
                      <a:ext uri="{53640926-AAD7-44D8-BBD7-CCE9431645EC}">
                        <a14:shadowObscured xmlns:a14="http://schemas.microsoft.com/office/drawing/2010/main"/>
                      </a:ext>
                    </a:extLst>
                  </pic:spPr>
                </pic:pic>
              </a:graphicData>
            </a:graphic>
          </wp:inline>
        </w:drawing>
      </w:r>
    </w:p>
    <w:p w:rsidR="00D56272" w:rsidRPr="00075B8C" w:rsidRDefault="00C748AB" w:rsidP="00C748AB">
      <w:pPr>
        <w:spacing w:before="240" w:after="240" w:line="360" w:lineRule="auto"/>
        <w:ind w:right="49"/>
        <w:jc w:val="both"/>
        <w:rPr>
          <w:rFonts w:ascii="Palatino Linotype" w:hAnsi="Palatino Linotype" w:cs="Arial"/>
          <w:sz w:val="24"/>
          <w:szCs w:val="24"/>
        </w:rPr>
      </w:pPr>
      <w:r w:rsidRPr="00075B8C">
        <w:rPr>
          <w:rFonts w:ascii="Palatino Linotype" w:hAnsi="Palatino Linotype" w:cs="Arial"/>
          <w:sz w:val="24"/>
          <w:szCs w:val="24"/>
        </w:rPr>
        <w:t xml:space="preserve">Conforme a lo anterior, se observa que </w:t>
      </w:r>
      <w:r w:rsidRPr="00075B8C">
        <w:rPr>
          <w:rFonts w:ascii="Palatino Linotype" w:hAnsi="Palatino Linotype" w:cs="Arial"/>
          <w:b/>
          <w:sz w:val="24"/>
          <w:szCs w:val="24"/>
        </w:rPr>
        <w:t xml:space="preserve">EL SUJETO OBLIGADO </w:t>
      </w:r>
      <w:r w:rsidRPr="00075B8C">
        <w:rPr>
          <w:rFonts w:ascii="Palatino Linotype" w:hAnsi="Palatino Linotype" w:cs="Arial"/>
          <w:sz w:val="24"/>
          <w:szCs w:val="24"/>
        </w:rPr>
        <w:t xml:space="preserve">puede </w:t>
      </w:r>
      <w:r w:rsidR="00343498" w:rsidRPr="00075B8C">
        <w:rPr>
          <w:rFonts w:ascii="Palatino Linotype" w:hAnsi="Palatino Linotype" w:cs="Arial"/>
          <w:sz w:val="24"/>
          <w:szCs w:val="24"/>
        </w:rPr>
        <w:t>realizar el cobro de diferentes impuestos; los cuales forman parte de los ingresos propios, y la tratarse de estos, sin importar su naturaleza u origen</w:t>
      </w:r>
      <w:r w:rsidR="00343498" w:rsidRPr="00075B8C">
        <w:rPr>
          <w:rStyle w:val="Refdenotaalpie"/>
          <w:rFonts w:ascii="Palatino Linotype" w:hAnsi="Palatino Linotype" w:cs="Arial"/>
          <w:sz w:val="24"/>
          <w:szCs w:val="24"/>
        </w:rPr>
        <w:footnoteReference w:id="1"/>
      </w:r>
      <w:r w:rsidR="00343498" w:rsidRPr="00075B8C">
        <w:rPr>
          <w:rFonts w:ascii="Palatino Linotype" w:hAnsi="Palatino Linotype" w:cs="Arial"/>
          <w:sz w:val="24"/>
          <w:szCs w:val="24"/>
        </w:rPr>
        <w:t>, deben ser registrados por la Tesorería Municipal</w:t>
      </w:r>
      <w:r w:rsidR="00343498" w:rsidRPr="00075B8C">
        <w:rPr>
          <w:rStyle w:val="Refdenotaalpie"/>
          <w:rFonts w:ascii="Palatino Linotype" w:hAnsi="Palatino Linotype" w:cs="Arial"/>
          <w:sz w:val="24"/>
          <w:szCs w:val="24"/>
        </w:rPr>
        <w:footnoteReference w:id="2"/>
      </w:r>
      <w:r w:rsidR="00343498" w:rsidRPr="00075B8C">
        <w:rPr>
          <w:rFonts w:ascii="Palatino Linotype" w:hAnsi="Palatino Linotype" w:cs="Arial"/>
          <w:sz w:val="24"/>
          <w:szCs w:val="24"/>
        </w:rPr>
        <w:t xml:space="preserve"> y formar parte de la Cuenta P</w:t>
      </w:r>
      <w:r w:rsidR="00D56272" w:rsidRPr="00075B8C">
        <w:rPr>
          <w:rFonts w:ascii="Palatino Linotype" w:hAnsi="Palatino Linotype" w:cs="Arial"/>
          <w:sz w:val="24"/>
          <w:szCs w:val="24"/>
        </w:rPr>
        <w:t xml:space="preserve">ública; razón por la cual, esta </w:t>
      </w:r>
      <w:r w:rsidR="00D56272" w:rsidRPr="00075B8C">
        <w:rPr>
          <w:rFonts w:ascii="Palatino Linotype" w:hAnsi="Palatino Linotype" w:cs="Arial"/>
          <w:sz w:val="24"/>
          <w:szCs w:val="24"/>
        </w:rPr>
        <w:lastRenderedPageBreak/>
        <w:t xml:space="preserve">Ponencia Resolutora considera importante señalar que derivado del análisis al requerimiento del </w:t>
      </w:r>
      <w:r w:rsidR="00D56272" w:rsidRPr="00075B8C">
        <w:rPr>
          <w:rFonts w:ascii="Palatino Linotype" w:hAnsi="Palatino Linotype" w:cs="Arial"/>
          <w:b/>
          <w:sz w:val="24"/>
          <w:szCs w:val="24"/>
        </w:rPr>
        <w:t xml:space="preserve">RECURRENTE </w:t>
      </w:r>
      <w:r w:rsidR="00D56272" w:rsidRPr="00075B8C">
        <w:rPr>
          <w:rFonts w:ascii="Palatino Linotype" w:hAnsi="Palatino Linotype" w:cs="Arial"/>
          <w:sz w:val="24"/>
          <w:szCs w:val="24"/>
        </w:rPr>
        <w:t xml:space="preserve">consistente en </w:t>
      </w:r>
      <w:r w:rsidR="00D56272" w:rsidRPr="00075B8C">
        <w:rPr>
          <w:rFonts w:ascii="Palatino Linotype" w:hAnsi="Palatino Linotype" w:cs="Arial"/>
          <w:b/>
          <w:sz w:val="24"/>
          <w:szCs w:val="24"/>
          <w:lang w:eastAsia="es-MX"/>
        </w:rPr>
        <w:t xml:space="preserve">conocer los impuestos que recauda el Ayuntamiento a través de la Tesorería Municipal y las diferentes áreas administrativas que lo integran; </w:t>
      </w:r>
      <w:r w:rsidR="00D56272" w:rsidRPr="00075B8C">
        <w:rPr>
          <w:rFonts w:ascii="Palatino Linotype" w:hAnsi="Palatino Linotype" w:cs="Arial"/>
          <w:sz w:val="24"/>
          <w:szCs w:val="24"/>
          <w:lang w:eastAsia="es-MX"/>
        </w:rPr>
        <w:t xml:space="preserve">queda satisfecho al hacerle de conocimiento que la Tesorería Municipal del Ayuntamiento de Coacalco de Berriozábal es el área encargada de la recaudación de impuestos conforme lo establecido en el artículo 1 de la Ley de Ingresos en referencia; por lo que, a fin de no retardar más el derecho de acceso a la información del particular, dicho requerimiento queda satisfecho por esta Ponencia Resolutora. </w:t>
      </w:r>
    </w:p>
    <w:p w:rsidR="00EC3E76" w:rsidRPr="00075B8C" w:rsidRDefault="0092059E" w:rsidP="0092059E">
      <w:pPr>
        <w:spacing w:before="100" w:beforeAutospacing="1" w:after="100" w:afterAutospacing="1" w:line="360" w:lineRule="auto"/>
        <w:jc w:val="both"/>
        <w:rPr>
          <w:rFonts w:ascii="Palatino Linotype" w:hAnsi="Palatino Linotype" w:cs="Arial"/>
          <w:b/>
          <w:sz w:val="24"/>
          <w:szCs w:val="24"/>
          <w:lang w:eastAsia="es-MX"/>
        </w:rPr>
      </w:pPr>
      <w:r w:rsidRPr="00075B8C">
        <w:rPr>
          <w:rFonts w:ascii="Palatino Linotype" w:eastAsia="Times New Roman" w:hAnsi="Palatino Linotype" w:cs="Arial"/>
          <w:color w:val="000000" w:themeColor="text1"/>
          <w:sz w:val="24"/>
          <w:szCs w:val="24"/>
          <w:lang w:val="es-ES" w:eastAsia="es-MX"/>
        </w:rPr>
        <w:t xml:space="preserve">Ahora bien, respecto a los cuestionamientos del solicitante referentes a </w:t>
      </w:r>
      <w:r w:rsidRPr="00075B8C">
        <w:rPr>
          <w:rFonts w:ascii="Palatino Linotype" w:hAnsi="Palatino Linotype" w:cs="Arial"/>
          <w:b/>
          <w:sz w:val="24"/>
          <w:szCs w:val="24"/>
          <w:lang w:eastAsia="es-MX"/>
        </w:rPr>
        <w:t xml:space="preserve">las cuentas contables a las que se reportan dichos impuestos y a las pólizas de egresos debidamente soportadas que comprueben la salida de dinero de las cuentas bancarias del mismo, de los meses de enero y febrero de 2019, </w:t>
      </w:r>
      <w:r w:rsidR="00104048" w:rsidRPr="00075B8C">
        <w:rPr>
          <w:rFonts w:ascii="Palatino Linotype" w:hAnsi="Palatino Linotype" w:cs="Arial"/>
          <w:sz w:val="24"/>
          <w:szCs w:val="24"/>
          <w:lang w:eastAsia="es-MX"/>
        </w:rPr>
        <w:t xml:space="preserve">es preciso señalar </w:t>
      </w:r>
      <w:r w:rsidR="00EC3E76" w:rsidRPr="00075B8C">
        <w:rPr>
          <w:rFonts w:ascii="Palatino Linotype" w:hAnsi="Palatino Linotype" w:cs="Arial"/>
          <w:sz w:val="24"/>
          <w:szCs w:val="24"/>
          <w:lang w:eastAsia="es-MX"/>
        </w:rPr>
        <w:t xml:space="preserve">en primer término </w:t>
      </w:r>
      <w:r w:rsidR="00104048" w:rsidRPr="00075B8C">
        <w:rPr>
          <w:rFonts w:ascii="Palatino Linotype" w:hAnsi="Palatino Linotype" w:cs="Arial"/>
          <w:sz w:val="24"/>
          <w:szCs w:val="24"/>
          <w:lang w:eastAsia="es-MX"/>
        </w:rPr>
        <w:t xml:space="preserve">que </w:t>
      </w:r>
      <w:r w:rsidR="00EC3E76" w:rsidRPr="00075B8C">
        <w:rPr>
          <w:rFonts w:ascii="Palatino Linotype" w:hAnsi="Palatino Linotype" w:cs="Arial"/>
          <w:sz w:val="24"/>
          <w:szCs w:val="24"/>
        </w:rPr>
        <w:t>la Constitución Política del Estado Libre y Soberano de México en su artículo 129 señala que l</w:t>
      </w:r>
      <w:r w:rsidR="00EC3E76" w:rsidRPr="00075B8C">
        <w:rPr>
          <w:rFonts w:ascii="Palatino Linotype" w:hAnsi="Palatino Linotype" w:cs="Arial"/>
          <w:color w:val="000000"/>
          <w:sz w:val="24"/>
          <w:szCs w:val="24"/>
        </w:rPr>
        <w:t xml:space="preserve">os recursos económicos del Estado, de los Municipios, así como de los Organismos Autónomos, se administrarán con eficiencia, eficacia y honradez, para cumplir con los objetivos y programas a los que estén destinados. </w:t>
      </w:r>
    </w:p>
    <w:p w:rsidR="00EC3E76" w:rsidRPr="00075B8C" w:rsidRDefault="00EC3E76" w:rsidP="00EC3E76">
      <w:pPr>
        <w:widowControl w:val="0"/>
        <w:autoSpaceDE w:val="0"/>
        <w:autoSpaceDN w:val="0"/>
        <w:adjustRightInd w:val="0"/>
        <w:spacing w:before="240" w:after="240" w:line="360" w:lineRule="auto"/>
        <w:jc w:val="both"/>
        <w:rPr>
          <w:rFonts w:ascii="Palatino Linotype" w:hAnsi="Palatino Linotype" w:cs="Arial"/>
          <w:sz w:val="24"/>
          <w:szCs w:val="24"/>
        </w:rPr>
      </w:pPr>
      <w:r w:rsidRPr="00075B8C">
        <w:rPr>
          <w:rFonts w:ascii="Palatino Linotype" w:hAnsi="Palatino Linotype" w:cs="Arial"/>
          <w:sz w:val="24"/>
          <w:szCs w:val="24"/>
        </w:rPr>
        <w:t>Aunado a</w:t>
      </w:r>
      <w:r w:rsidR="00260B1C" w:rsidRPr="00075B8C">
        <w:rPr>
          <w:rFonts w:ascii="Palatino Linotype" w:hAnsi="Palatino Linotype" w:cs="Arial"/>
          <w:sz w:val="24"/>
          <w:szCs w:val="24"/>
        </w:rPr>
        <w:t xml:space="preserve"> lo anterior, </w:t>
      </w:r>
      <w:r w:rsidRPr="00075B8C">
        <w:rPr>
          <w:rFonts w:ascii="Palatino Linotype" w:hAnsi="Palatino Linotype" w:cs="Arial"/>
          <w:sz w:val="24"/>
          <w:szCs w:val="24"/>
        </w:rPr>
        <w:t xml:space="preserve">los artículos 342, 343, 344 y 345 del Código Financiero del Estado de México y Municipios disponen el sistema y las políticas que deben seguirse para llevar el </w:t>
      </w:r>
      <w:r w:rsidRPr="00075B8C">
        <w:rPr>
          <w:rFonts w:ascii="Palatino Linotype" w:hAnsi="Palatino Linotype" w:cs="Arial"/>
          <w:b/>
          <w:sz w:val="24"/>
          <w:szCs w:val="24"/>
        </w:rPr>
        <w:t>registro contable y presupuestal</w:t>
      </w:r>
      <w:r w:rsidRPr="00075B8C">
        <w:rPr>
          <w:rFonts w:ascii="Palatino Linotype" w:hAnsi="Palatino Linotype" w:cs="Arial"/>
          <w:sz w:val="24"/>
          <w:szCs w:val="24"/>
        </w:rPr>
        <w:t xml:space="preserve"> de las operaciones financieras, en los siguientes términos:</w:t>
      </w:r>
    </w:p>
    <w:p w:rsidR="00EC3E76" w:rsidRPr="00075B8C" w:rsidRDefault="00EC3E76" w:rsidP="00260B1C">
      <w:pPr>
        <w:spacing w:after="0" w:line="240" w:lineRule="auto"/>
        <w:ind w:left="851" w:right="850"/>
        <w:jc w:val="both"/>
        <w:rPr>
          <w:rFonts w:ascii="Palatino Linotype" w:hAnsi="Palatino Linotype"/>
          <w:b/>
          <w:i/>
          <w:sz w:val="22"/>
          <w:szCs w:val="22"/>
        </w:rPr>
      </w:pPr>
      <w:r w:rsidRPr="00075B8C">
        <w:rPr>
          <w:rFonts w:ascii="Palatino Linotype" w:hAnsi="Palatino Linotype" w:cs="Arial"/>
          <w:bCs/>
          <w:i/>
          <w:color w:val="000000"/>
          <w:sz w:val="22"/>
          <w:szCs w:val="22"/>
        </w:rPr>
        <w:lastRenderedPageBreak/>
        <w:t>“</w:t>
      </w:r>
      <w:r w:rsidRPr="00075B8C">
        <w:rPr>
          <w:rFonts w:ascii="Palatino Linotype" w:hAnsi="Palatino Linotype"/>
          <w:b/>
          <w:i/>
          <w:sz w:val="22"/>
          <w:szCs w:val="22"/>
        </w:rPr>
        <w:t>Artículo 342.-</w:t>
      </w:r>
      <w:r w:rsidRPr="00075B8C">
        <w:rPr>
          <w:rFonts w:ascii="Palatino Linotype" w:hAnsi="Palatino Linotype"/>
          <w:i/>
          <w:sz w:val="22"/>
          <w:szCs w:val="22"/>
        </w:rPr>
        <w:t xml:space="preserve"> </w:t>
      </w:r>
      <w:r w:rsidRPr="00075B8C">
        <w:rPr>
          <w:rFonts w:ascii="Palatino Linotype" w:hAnsi="Palatino Linotype"/>
          <w:b/>
          <w:i/>
          <w:sz w:val="22"/>
          <w:szCs w:val="22"/>
        </w:rPr>
        <w:t xml:space="preserve">El registro contable del efecto patrimonial y presupuestal de las operaciones financieras, se realizará conforme al sistema y a las disposiciones que se aprueben en materia </w:t>
      </w:r>
      <w:r w:rsidRPr="00075B8C">
        <w:rPr>
          <w:rFonts w:ascii="Palatino Linotype" w:hAnsi="Palatino Linotype"/>
          <w:i/>
          <w:sz w:val="22"/>
          <w:szCs w:val="22"/>
        </w:rPr>
        <w:t xml:space="preserve">de </w:t>
      </w:r>
      <w:r w:rsidRPr="00075B8C">
        <w:rPr>
          <w:rFonts w:ascii="Palatino Linotype" w:hAnsi="Palatino Linotype" w:cs="Arial"/>
          <w:i/>
          <w:color w:val="000000"/>
          <w:sz w:val="22"/>
          <w:szCs w:val="22"/>
        </w:rPr>
        <w:t>planeación</w:t>
      </w:r>
      <w:r w:rsidRPr="00075B8C">
        <w:rPr>
          <w:rFonts w:ascii="Palatino Linotype" w:hAnsi="Palatino Linotype"/>
          <w:i/>
          <w:sz w:val="22"/>
          <w:szCs w:val="22"/>
        </w:rPr>
        <w:t>,</w:t>
      </w:r>
      <w:r w:rsidRPr="00075B8C">
        <w:rPr>
          <w:rFonts w:ascii="Palatino Linotype" w:hAnsi="Palatino Linotype"/>
          <w:b/>
          <w:i/>
          <w:sz w:val="22"/>
          <w:szCs w:val="22"/>
        </w:rPr>
        <w:t xml:space="preserve"> programación, presupuestación</w:t>
      </w:r>
      <w:r w:rsidRPr="00075B8C">
        <w:rPr>
          <w:rFonts w:ascii="Palatino Linotype" w:hAnsi="Palatino Linotype"/>
          <w:i/>
          <w:sz w:val="22"/>
          <w:szCs w:val="22"/>
        </w:rPr>
        <w:t xml:space="preserve">, evaluación y </w:t>
      </w:r>
      <w:r w:rsidRPr="00075B8C">
        <w:rPr>
          <w:rFonts w:ascii="Palatino Linotype" w:hAnsi="Palatino Linotype" w:cs="Arial"/>
          <w:b/>
          <w:i/>
          <w:color w:val="000000"/>
          <w:sz w:val="22"/>
          <w:szCs w:val="22"/>
        </w:rPr>
        <w:t>contabilidad</w:t>
      </w:r>
      <w:r w:rsidRPr="00075B8C">
        <w:rPr>
          <w:rFonts w:ascii="Palatino Linotype" w:hAnsi="Palatino Linotype"/>
          <w:b/>
          <w:i/>
          <w:sz w:val="22"/>
          <w:szCs w:val="22"/>
        </w:rPr>
        <w:t xml:space="preserve"> gubernamental.</w:t>
      </w:r>
      <w:r w:rsidRPr="00075B8C">
        <w:rPr>
          <w:rFonts w:ascii="Palatino Linotype" w:hAnsi="Palatino Linotype"/>
          <w:i/>
          <w:sz w:val="22"/>
          <w:szCs w:val="22"/>
        </w:rPr>
        <w:t xml:space="preserve"> </w:t>
      </w:r>
    </w:p>
    <w:p w:rsidR="00EC3E76" w:rsidRPr="00075B8C" w:rsidRDefault="00EC3E76" w:rsidP="00260B1C">
      <w:pPr>
        <w:spacing w:after="0" w:line="240" w:lineRule="auto"/>
        <w:ind w:left="851" w:right="850"/>
        <w:jc w:val="both"/>
        <w:rPr>
          <w:rFonts w:ascii="Palatino Linotype" w:hAnsi="Palatino Linotype"/>
          <w:b/>
          <w:i/>
          <w:sz w:val="22"/>
          <w:szCs w:val="22"/>
        </w:rPr>
      </w:pPr>
      <w:r w:rsidRPr="00075B8C">
        <w:rPr>
          <w:rFonts w:ascii="Palatino Linotype" w:hAnsi="Palatino Linotype" w:cs="Arial"/>
          <w:b/>
          <w:bCs/>
          <w:i/>
          <w:color w:val="000000"/>
          <w:sz w:val="22"/>
          <w:szCs w:val="22"/>
        </w:rPr>
        <w:t>…</w:t>
      </w:r>
    </w:p>
    <w:p w:rsidR="00EC3E76" w:rsidRPr="00075B8C" w:rsidRDefault="00EC3E76" w:rsidP="00260B1C">
      <w:pPr>
        <w:spacing w:after="0" w:line="240" w:lineRule="auto"/>
        <w:ind w:left="851" w:right="850"/>
        <w:jc w:val="both"/>
        <w:rPr>
          <w:rFonts w:ascii="Palatino Linotype" w:hAnsi="Palatino Linotype"/>
          <w:i/>
          <w:sz w:val="22"/>
          <w:szCs w:val="22"/>
        </w:rPr>
      </w:pPr>
      <w:r w:rsidRPr="00075B8C">
        <w:rPr>
          <w:rFonts w:ascii="Palatino Linotype" w:hAnsi="Palatino Linotype"/>
          <w:b/>
          <w:i/>
          <w:sz w:val="22"/>
          <w:szCs w:val="22"/>
        </w:rPr>
        <w:t>Artículo 343.-</w:t>
      </w:r>
      <w:r w:rsidRPr="00075B8C">
        <w:rPr>
          <w:rFonts w:ascii="Palatino Linotype" w:hAnsi="Palatino Linotype"/>
          <w:i/>
          <w:sz w:val="22"/>
          <w:szCs w:val="22"/>
        </w:rPr>
        <w:t xml:space="preserve"> El sistema de contabilidad debe diseñarse sobre base acumulativa total y operarse en forma que facilite la fiscalización de los activos, pasivos, ingresos, egresos y, en general, que posibilite medir la eficacia del gasto público, y contener las medidas de control interno que permitan verificar el registro de la totalidad de las operaciones financieras. </w:t>
      </w:r>
    </w:p>
    <w:p w:rsidR="00EC3E76" w:rsidRPr="00075B8C" w:rsidRDefault="00EC3E76" w:rsidP="00260B1C">
      <w:pPr>
        <w:spacing w:after="0" w:line="240" w:lineRule="auto"/>
        <w:ind w:left="851" w:right="850"/>
        <w:jc w:val="both"/>
        <w:rPr>
          <w:rFonts w:ascii="Palatino Linotype" w:hAnsi="Palatino Linotype"/>
          <w:i/>
          <w:sz w:val="22"/>
          <w:szCs w:val="22"/>
        </w:rPr>
      </w:pPr>
      <w:r w:rsidRPr="00075B8C">
        <w:rPr>
          <w:rFonts w:ascii="Palatino Linotype" w:hAnsi="Palatino Linotype"/>
          <w:i/>
          <w:sz w:val="22"/>
          <w:szCs w:val="22"/>
        </w:rPr>
        <w:t xml:space="preserve">El sistema de contabilidad sobre base acumulativa total se sustentará en los postulados básicos y el marco conceptual de la contabilidad gubernamental. </w:t>
      </w:r>
    </w:p>
    <w:p w:rsidR="00EC3E76" w:rsidRPr="00075B8C" w:rsidRDefault="00EC3E76" w:rsidP="00260B1C">
      <w:pPr>
        <w:spacing w:after="0" w:line="240" w:lineRule="auto"/>
        <w:ind w:left="851" w:right="850"/>
        <w:jc w:val="both"/>
        <w:rPr>
          <w:rFonts w:ascii="Palatino Linotype" w:hAnsi="Palatino Linotype"/>
          <w:i/>
          <w:sz w:val="22"/>
          <w:szCs w:val="22"/>
        </w:rPr>
      </w:pPr>
      <w:r w:rsidRPr="00075B8C">
        <w:rPr>
          <w:rFonts w:ascii="Palatino Linotype" w:hAnsi="Palatino Linotype"/>
          <w:b/>
          <w:i/>
          <w:sz w:val="22"/>
          <w:szCs w:val="22"/>
        </w:rPr>
        <w:t xml:space="preserve">Artículo 344.- Las Dependencias, Entidades Públicas y unidades administrativas registrarán contablemente el efecto patrimonial y presupuestal de las operaciones financieras que realicen, en el momento en que ocurran, con base en el sistema y políticas de registro establecidas, </w:t>
      </w:r>
      <w:r w:rsidRPr="00075B8C">
        <w:rPr>
          <w:rFonts w:ascii="Palatino Linotype" w:hAnsi="Palatino Linotype"/>
          <w:i/>
          <w:sz w:val="22"/>
          <w:szCs w:val="22"/>
        </w:rPr>
        <w:t xml:space="preserve">en el caso de los Municipios se hará por la Tesorería. </w:t>
      </w:r>
    </w:p>
    <w:p w:rsidR="00EC3E76" w:rsidRPr="00075B8C" w:rsidRDefault="00EC3E76" w:rsidP="00260B1C">
      <w:pPr>
        <w:autoSpaceDE w:val="0"/>
        <w:autoSpaceDN w:val="0"/>
        <w:adjustRightInd w:val="0"/>
        <w:spacing w:after="0" w:line="240" w:lineRule="auto"/>
        <w:ind w:left="851" w:right="51"/>
        <w:jc w:val="both"/>
        <w:rPr>
          <w:rFonts w:ascii="Palatino Linotype" w:hAnsi="Palatino Linotype"/>
          <w:i/>
          <w:sz w:val="22"/>
          <w:szCs w:val="22"/>
        </w:rPr>
      </w:pPr>
      <w:r w:rsidRPr="00075B8C">
        <w:rPr>
          <w:rFonts w:ascii="Palatino Linotype" w:hAnsi="Palatino Linotype"/>
          <w:i/>
          <w:sz w:val="22"/>
          <w:szCs w:val="22"/>
        </w:rPr>
        <w:t xml:space="preserve">Derogado. </w:t>
      </w:r>
    </w:p>
    <w:p w:rsidR="00EC3E76" w:rsidRPr="00075B8C" w:rsidRDefault="00EC3E76" w:rsidP="00260B1C">
      <w:pPr>
        <w:spacing w:after="0" w:line="240" w:lineRule="auto"/>
        <w:ind w:left="851" w:right="850"/>
        <w:jc w:val="both"/>
        <w:rPr>
          <w:rFonts w:ascii="Palatino Linotype" w:hAnsi="Palatino Linotype"/>
          <w:i/>
          <w:sz w:val="22"/>
          <w:szCs w:val="22"/>
        </w:rPr>
      </w:pPr>
      <w:r w:rsidRPr="00075B8C">
        <w:rPr>
          <w:rFonts w:ascii="Palatino Linotype" w:hAnsi="Palatino Linotype"/>
          <w:b/>
          <w:i/>
          <w:sz w:val="22"/>
          <w:szCs w:val="22"/>
        </w:rPr>
        <w:t>Todo registro contable y presupuestal deberá estar soportado con los documentos comprobatorios originales, los que deberán permanecer en custodia y conservación de las dependencias, entidades públicas y unidades administrativas que ejercieron el gasto, y a disposición del Órgano Superior de Fiscalización del Estado de México y de los órganos de control interno, por un término de cinco años contados</w:t>
      </w:r>
      <w:r w:rsidRPr="00075B8C">
        <w:rPr>
          <w:rFonts w:ascii="Palatino Linotype" w:hAnsi="Palatino Linotype"/>
          <w:i/>
          <w:sz w:val="22"/>
          <w:szCs w:val="22"/>
        </w:rPr>
        <w:t xml:space="preserve"> a partir del ejercicio presupuestal siguiente al que corresponda, en el caso de los municipios se hará por la Tesorería. </w:t>
      </w:r>
    </w:p>
    <w:p w:rsidR="00EC3E76" w:rsidRPr="00075B8C" w:rsidRDefault="00EC3E76" w:rsidP="00260B1C">
      <w:pPr>
        <w:autoSpaceDE w:val="0"/>
        <w:autoSpaceDN w:val="0"/>
        <w:adjustRightInd w:val="0"/>
        <w:spacing w:after="0" w:line="240" w:lineRule="auto"/>
        <w:ind w:left="851" w:right="51"/>
        <w:jc w:val="both"/>
        <w:rPr>
          <w:rFonts w:ascii="Palatino Linotype" w:hAnsi="Palatino Linotype"/>
          <w:i/>
          <w:sz w:val="22"/>
          <w:szCs w:val="22"/>
        </w:rPr>
      </w:pPr>
      <w:r w:rsidRPr="00075B8C">
        <w:rPr>
          <w:rFonts w:ascii="Palatino Linotype" w:hAnsi="Palatino Linotype"/>
          <w:i/>
          <w:sz w:val="22"/>
          <w:szCs w:val="22"/>
        </w:rPr>
        <w:t>…</w:t>
      </w:r>
    </w:p>
    <w:p w:rsidR="00EC3E76" w:rsidRPr="00075B8C" w:rsidRDefault="00EC3E76" w:rsidP="00260B1C">
      <w:pPr>
        <w:spacing w:after="0" w:line="240" w:lineRule="auto"/>
        <w:ind w:left="851" w:right="850"/>
        <w:jc w:val="both"/>
        <w:rPr>
          <w:rFonts w:ascii="Palatino Linotype" w:hAnsi="Palatino Linotype"/>
          <w:i/>
          <w:sz w:val="22"/>
          <w:szCs w:val="22"/>
        </w:rPr>
      </w:pPr>
      <w:r w:rsidRPr="00075B8C">
        <w:rPr>
          <w:rFonts w:ascii="Palatino Linotype" w:hAnsi="Palatino Linotype"/>
          <w:b/>
          <w:i/>
          <w:sz w:val="22"/>
          <w:szCs w:val="22"/>
        </w:rPr>
        <w:t>Artículo 345.-</w:t>
      </w:r>
      <w:r w:rsidRPr="00075B8C">
        <w:rPr>
          <w:rFonts w:ascii="Palatino Linotype" w:hAnsi="Palatino Linotype"/>
          <w:i/>
          <w:sz w:val="22"/>
          <w:szCs w:val="22"/>
        </w:rPr>
        <w:t xml:space="preserve"> </w:t>
      </w:r>
      <w:r w:rsidRPr="00075B8C">
        <w:rPr>
          <w:rFonts w:ascii="Palatino Linotype" w:hAnsi="Palatino Linotype"/>
          <w:b/>
          <w:i/>
          <w:sz w:val="22"/>
          <w:szCs w:val="22"/>
        </w:rPr>
        <w:t>Las Dependencias, Entidades Públicas y unidades administrativas deberán conservar la documentación contable del año en curso y la de ejercicios anteriores cuyas cuentas públicas hayan sido revisadas y fiscalizadas por la Legislatura</w:t>
      </w:r>
      <w:r w:rsidRPr="00075B8C">
        <w:rPr>
          <w:rFonts w:ascii="Palatino Linotype" w:hAnsi="Palatino Linotype"/>
          <w:i/>
          <w:sz w:val="22"/>
          <w:szCs w:val="22"/>
        </w:rPr>
        <w:t xml:space="preserve">, la remitirán en un plazo que no excederá de seis meses al Archivo Contable Gubernamental. </w:t>
      </w:r>
      <w:r w:rsidRPr="00075B8C">
        <w:rPr>
          <w:rFonts w:ascii="Palatino Linotype" w:hAnsi="Palatino Linotype"/>
          <w:b/>
          <w:i/>
          <w:sz w:val="22"/>
          <w:szCs w:val="22"/>
        </w:rPr>
        <w:t>Tratándose de los comprobantes fiscales digitales, estos deberán estar agregados en forma electrónica en cada póliza de registro contable</w:t>
      </w:r>
      <w:r w:rsidRPr="00075B8C">
        <w:rPr>
          <w:rFonts w:ascii="Palatino Linotype" w:hAnsi="Palatino Linotype"/>
          <w:i/>
          <w:sz w:val="22"/>
          <w:szCs w:val="22"/>
        </w:rPr>
        <w:t xml:space="preserve">. </w:t>
      </w:r>
    </w:p>
    <w:p w:rsidR="00EC3E76" w:rsidRPr="00075B8C" w:rsidRDefault="00EC3E76" w:rsidP="00260B1C">
      <w:pPr>
        <w:spacing w:after="0" w:line="240" w:lineRule="auto"/>
        <w:ind w:left="851" w:right="850"/>
        <w:jc w:val="both"/>
        <w:rPr>
          <w:rFonts w:ascii="Palatino Linotype" w:hAnsi="Palatino Linotype" w:cs="Arial"/>
          <w:bCs/>
          <w:i/>
          <w:color w:val="000000"/>
          <w:sz w:val="22"/>
          <w:szCs w:val="22"/>
        </w:rPr>
      </w:pPr>
      <w:r w:rsidRPr="00075B8C">
        <w:rPr>
          <w:rFonts w:ascii="Palatino Linotype" w:hAnsi="Palatino Linotype"/>
          <w:i/>
          <w:sz w:val="22"/>
          <w:szCs w:val="22"/>
        </w:rPr>
        <w:t>El plazo señalado en el párrafo anterior, empezará a contar a partir de la publicación en el Periódico Oficial, del decreto correspondiente.</w:t>
      </w:r>
      <w:r w:rsidRPr="00075B8C">
        <w:rPr>
          <w:rFonts w:ascii="Palatino Linotype" w:hAnsi="Palatino Linotype" w:cs="Arial"/>
          <w:bCs/>
          <w:i/>
          <w:color w:val="000000"/>
          <w:sz w:val="22"/>
          <w:szCs w:val="22"/>
        </w:rPr>
        <w:t xml:space="preserve"> “</w:t>
      </w:r>
      <w:r w:rsidRPr="00075B8C">
        <w:rPr>
          <w:rFonts w:ascii="Palatino Linotype" w:hAnsi="Palatino Linotype" w:cs="Arial"/>
          <w:i/>
          <w:sz w:val="22"/>
          <w:szCs w:val="22"/>
        </w:rPr>
        <w:t>(Sic)</w:t>
      </w:r>
      <w:r w:rsidRPr="00075B8C">
        <w:rPr>
          <w:rFonts w:ascii="Palatino Linotype" w:hAnsi="Palatino Linotype" w:cs="Arial"/>
          <w:bCs/>
          <w:i/>
          <w:color w:val="000000"/>
          <w:sz w:val="22"/>
          <w:szCs w:val="22"/>
        </w:rPr>
        <w:t xml:space="preserve"> </w:t>
      </w:r>
    </w:p>
    <w:p w:rsidR="00260B1C" w:rsidRPr="00075B8C" w:rsidRDefault="00260B1C" w:rsidP="00260B1C">
      <w:pPr>
        <w:spacing w:after="0" w:line="240" w:lineRule="auto"/>
        <w:ind w:left="851" w:right="850"/>
        <w:jc w:val="both"/>
        <w:rPr>
          <w:rFonts w:ascii="Palatino Linotype" w:hAnsi="Palatino Linotype" w:cs="Arial"/>
          <w:bCs/>
          <w:i/>
          <w:color w:val="000000"/>
          <w:sz w:val="22"/>
          <w:szCs w:val="22"/>
        </w:rPr>
      </w:pPr>
    </w:p>
    <w:p w:rsidR="00EC3E76" w:rsidRPr="00075B8C" w:rsidRDefault="00EC3E76" w:rsidP="00260B1C">
      <w:pPr>
        <w:spacing w:after="0" w:line="240" w:lineRule="auto"/>
        <w:ind w:left="851" w:right="850"/>
        <w:jc w:val="both"/>
        <w:rPr>
          <w:rFonts w:ascii="Palatino Linotype" w:hAnsi="Palatino Linotype" w:cs="Arial"/>
          <w:bCs/>
          <w:i/>
          <w:color w:val="000000"/>
          <w:sz w:val="22"/>
          <w:szCs w:val="22"/>
        </w:rPr>
      </w:pPr>
      <w:r w:rsidRPr="00075B8C">
        <w:rPr>
          <w:rFonts w:ascii="Palatino Linotype" w:hAnsi="Palatino Linotype" w:cs="Arial"/>
          <w:bCs/>
          <w:i/>
          <w:color w:val="000000"/>
          <w:sz w:val="22"/>
          <w:szCs w:val="22"/>
        </w:rPr>
        <w:t>(Énfasis añadido)</w:t>
      </w:r>
    </w:p>
    <w:p w:rsidR="00EC3E76" w:rsidRPr="00075B8C" w:rsidRDefault="00EC3E76" w:rsidP="00EC3E76">
      <w:pPr>
        <w:spacing w:before="240" w:after="240" w:line="360" w:lineRule="auto"/>
        <w:jc w:val="both"/>
        <w:rPr>
          <w:rFonts w:ascii="Palatino Linotype" w:hAnsi="Palatino Linotype" w:cs="Arial"/>
          <w:bCs/>
          <w:color w:val="000000"/>
          <w:sz w:val="24"/>
          <w:szCs w:val="24"/>
        </w:rPr>
      </w:pPr>
      <w:r w:rsidRPr="00075B8C">
        <w:rPr>
          <w:rFonts w:ascii="Palatino Linotype" w:hAnsi="Palatino Linotype" w:cs="Arial"/>
          <w:sz w:val="24"/>
          <w:szCs w:val="24"/>
        </w:rPr>
        <w:lastRenderedPageBreak/>
        <w:t>De una interpretación sistemática de los artículos transcritos, se desprende primeramente que el</w:t>
      </w:r>
      <w:r w:rsidRPr="00075B8C">
        <w:rPr>
          <w:rFonts w:ascii="Palatino Linotype" w:hAnsi="Palatino Linotype" w:cs="Arial"/>
          <w:bCs/>
          <w:color w:val="000000"/>
          <w:sz w:val="24"/>
          <w:szCs w:val="24"/>
        </w:rPr>
        <w:t xml:space="preserve"> registro contable del efecto patrimonial y presupuestal de las operaciones financieras se realizará conforme al sistema y a las disposiciones que se aprueben en materia de planeación, programación, presupuestación, evaluación y contabilidad gubernamental.</w:t>
      </w:r>
    </w:p>
    <w:p w:rsidR="00EC3E76" w:rsidRPr="00075B8C" w:rsidRDefault="00EC3E76" w:rsidP="00EC3E76">
      <w:pPr>
        <w:spacing w:before="240" w:after="240" w:line="360" w:lineRule="auto"/>
        <w:jc w:val="both"/>
        <w:rPr>
          <w:rFonts w:ascii="Palatino Linotype" w:hAnsi="Palatino Linotype" w:cs="Arial"/>
          <w:sz w:val="24"/>
          <w:szCs w:val="24"/>
          <w:lang w:eastAsia="es-MX"/>
        </w:rPr>
      </w:pPr>
      <w:r w:rsidRPr="00075B8C">
        <w:rPr>
          <w:rFonts w:ascii="Palatino Linotype" w:hAnsi="Palatino Linotype" w:cs="Arial"/>
          <w:sz w:val="24"/>
          <w:szCs w:val="24"/>
        </w:rPr>
        <w:t>Al respecto, si bien es cierto que el Código Financiero del Estado de México y Municipios establece la obligación de los Municipios para llevar los registros contables y presupuestales; también lo es que, dicho ordenamiento jurídico no establece que debemos entender por registro contable y presupuestal</w:t>
      </w:r>
      <w:r w:rsidRPr="00075B8C">
        <w:rPr>
          <w:rFonts w:ascii="Palatino Linotype" w:hAnsi="Palatino Linotype" w:cs="Arial"/>
          <w:sz w:val="24"/>
          <w:szCs w:val="24"/>
          <w:lang w:eastAsia="es-MX"/>
        </w:rPr>
        <w:t xml:space="preserve">; sin embargo, el “Glosario de Términos Administrativos”, emitido por el Instituto Nacional de Administración Pública, A.C. y el “Glosario de Términos para el Proceso de Planeación, Programación, Presupuestación y Evaluación en la Administración Pública”, elaborado por el Grupo de Trabajo de Sistemas de Información Financiera, Contable y Presupuestal de la Comisión Permanente de Funcionarios Fiscales del Instituto para el Desarrollo Técnico de las Haciendas Públicas (INDETEC) señalan las siguientes definiciones de las palabras registro contable y registro presupuestario: </w:t>
      </w:r>
    </w:p>
    <w:p w:rsidR="00EC3E76" w:rsidRPr="00075B8C" w:rsidRDefault="00EC3E76" w:rsidP="00260B1C">
      <w:pPr>
        <w:spacing w:after="0" w:line="240" w:lineRule="auto"/>
        <w:ind w:left="851" w:right="899"/>
        <w:jc w:val="both"/>
        <w:rPr>
          <w:rFonts w:ascii="Palatino Linotype" w:hAnsi="Palatino Linotype" w:cs="Arial"/>
          <w:b/>
          <w:i/>
          <w:sz w:val="22"/>
          <w:szCs w:val="22"/>
          <w:lang w:eastAsia="es-MX"/>
        </w:rPr>
      </w:pPr>
      <w:r w:rsidRPr="00075B8C">
        <w:rPr>
          <w:rFonts w:ascii="Palatino Linotype" w:hAnsi="Palatino Linotype" w:cs="Arial"/>
          <w:b/>
          <w:i/>
          <w:lang w:eastAsia="es-MX"/>
        </w:rPr>
        <w:t>“</w:t>
      </w:r>
      <w:r w:rsidRPr="00075B8C">
        <w:rPr>
          <w:rFonts w:ascii="Palatino Linotype" w:hAnsi="Palatino Linotype" w:cs="Arial"/>
          <w:b/>
          <w:i/>
          <w:sz w:val="22"/>
          <w:szCs w:val="22"/>
          <w:lang w:eastAsia="es-MX"/>
        </w:rPr>
        <w:t xml:space="preserve">REGISTRO CONTABLE </w:t>
      </w:r>
    </w:p>
    <w:p w:rsidR="00EC3E76" w:rsidRPr="00075B8C" w:rsidRDefault="00EC3E76" w:rsidP="00260B1C">
      <w:pPr>
        <w:spacing w:after="0" w:line="240" w:lineRule="auto"/>
        <w:ind w:left="851" w:right="899"/>
        <w:jc w:val="both"/>
        <w:rPr>
          <w:rFonts w:ascii="Palatino Linotype" w:hAnsi="Palatino Linotype" w:cs="Arial"/>
          <w:i/>
          <w:sz w:val="22"/>
          <w:szCs w:val="22"/>
        </w:rPr>
      </w:pPr>
      <w:r w:rsidRPr="00075B8C">
        <w:rPr>
          <w:rFonts w:ascii="Palatino Linotype" w:hAnsi="Palatino Linotype" w:cs="Arial"/>
          <w:i/>
          <w:sz w:val="22"/>
          <w:szCs w:val="22"/>
          <w:lang w:eastAsia="es-MX"/>
        </w:rPr>
        <w:t xml:space="preserve">Asiento que se realiza en los libros de contabilidad de las actividades relacionadas con el ingreso y egresos de un ente económico.” </w:t>
      </w:r>
      <w:r w:rsidRPr="00075B8C">
        <w:rPr>
          <w:rFonts w:ascii="Palatino Linotype" w:hAnsi="Palatino Linotype" w:cs="Arial"/>
          <w:i/>
          <w:sz w:val="22"/>
          <w:szCs w:val="22"/>
        </w:rPr>
        <w:t>(Sic)</w:t>
      </w:r>
    </w:p>
    <w:p w:rsidR="00EC3E76" w:rsidRPr="00075B8C" w:rsidRDefault="00EC3E76" w:rsidP="00260B1C">
      <w:pPr>
        <w:spacing w:after="0" w:line="240" w:lineRule="auto"/>
        <w:ind w:left="851" w:right="899"/>
        <w:jc w:val="both"/>
        <w:rPr>
          <w:rFonts w:ascii="Palatino Linotype" w:hAnsi="Palatino Linotype" w:cs="Arial"/>
          <w:b/>
          <w:i/>
          <w:sz w:val="22"/>
          <w:szCs w:val="22"/>
          <w:lang w:eastAsia="es-MX"/>
        </w:rPr>
      </w:pPr>
    </w:p>
    <w:p w:rsidR="00EC3E76" w:rsidRPr="00075B8C" w:rsidRDefault="00EC3E76" w:rsidP="00260B1C">
      <w:pPr>
        <w:spacing w:after="0" w:line="240" w:lineRule="auto"/>
        <w:ind w:left="851" w:right="899"/>
        <w:jc w:val="both"/>
        <w:rPr>
          <w:rFonts w:ascii="Palatino Linotype" w:hAnsi="Palatino Linotype" w:cs="Arial"/>
          <w:b/>
          <w:i/>
          <w:sz w:val="22"/>
          <w:szCs w:val="22"/>
          <w:lang w:eastAsia="es-MX"/>
        </w:rPr>
      </w:pPr>
      <w:r w:rsidRPr="00075B8C">
        <w:rPr>
          <w:rFonts w:ascii="Palatino Linotype" w:hAnsi="Palatino Linotype" w:cs="Arial"/>
          <w:b/>
          <w:i/>
          <w:sz w:val="22"/>
          <w:szCs w:val="22"/>
          <w:lang w:eastAsia="es-MX"/>
        </w:rPr>
        <w:t>“REGISTRO PRESUPUESTARIO</w:t>
      </w:r>
    </w:p>
    <w:p w:rsidR="00EC3E76" w:rsidRPr="00075B8C" w:rsidRDefault="00EC3E76" w:rsidP="00260B1C">
      <w:pPr>
        <w:spacing w:after="0" w:line="240" w:lineRule="auto"/>
        <w:ind w:left="851" w:right="899"/>
        <w:jc w:val="both"/>
        <w:rPr>
          <w:rFonts w:ascii="Palatino Linotype" w:hAnsi="Palatino Linotype" w:cs="Arial"/>
          <w:i/>
          <w:sz w:val="22"/>
          <w:szCs w:val="22"/>
          <w:lang w:eastAsia="es-MX"/>
        </w:rPr>
      </w:pPr>
      <w:r w:rsidRPr="00075B8C">
        <w:rPr>
          <w:rFonts w:ascii="Palatino Linotype" w:hAnsi="Palatino Linotype" w:cs="Arial"/>
          <w:i/>
          <w:sz w:val="22"/>
          <w:szCs w:val="22"/>
          <w:lang w:eastAsia="es-MX"/>
        </w:rPr>
        <w:t xml:space="preserve">Asiento contable de las erogaciones realizadas por las dependencias y entidades con relación a la asignación, modificación y ejercicio de los recursos presupuestarios que se les hayan autorizado.” </w:t>
      </w:r>
      <w:r w:rsidRPr="00075B8C">
        <w:rPr>
          <w:rFonts w:ascii="Palatino Linotype" w:hAnsi="Palatino Linotype" w:cs="Arial"/>
          <w:i/>
          <w:sz w:val="22"/>
          <w:szCs w:val="22"/>
        </w:rPr>
        <w:t>(Sic)</w:t>
      </w:r>
    </w:p>
    <w:p w:rsidR="00EC3E76" w:rsidRPr="00075B8C" w:rsidRDefault="00EC3E76" w:rsidP="00EC3E76">
      <w:pPr>
        <w:spacing w:before="240" w:after="240" w:line="360" w:lineRule="auto"/>
        <w:jc w:val="both"/>
        <w:rPr>
          <w:rFonts w:ascii="Palatino Linotype" w:hAnsi="Palatino Linotype" w:cs="Arial"/>
          <w:bCs/>
          <w:color w:val="000000"/>
          <w:sz w:val="24"/>
          <w:szCs w:val="24"/>
        </w:rPr>
      </w:pPr>
      <w:r w:rsidRPr="00075B8C">
        <w:rPr>
          <w:rFonts w:ascii="Palatino Linotype" w:hAnsi="Palatino Linotype" w:cs="Arial"/>
          <w:bCs/>
          <w:color w:val="000000"/>
          <w:sz w:val="24"/>
          <w:szCs w:val="24"/>
        </w:rPr>
        <w:lastRenderedPageBreak/>
        <w:t>Por otra parte, se establece que el sistema de contabilidad sobre base acumulativa total se sustentará en los principios de contabilidad gubernamental.</w:t>
      </w:r>
    </w:p>
    <w:p w:rsidR="00260B1C" w:rsidRPr="00075B8C" w:rsidRDefault="00260B1C" w:rsidP="00260B1C">
      <w:pPr>
        <w:spacing w:before="240" w:after="240" w:line="360" w:lineRule="auto"/>
        <w:jc w:val="both"/>
        <w:rPr>
          <w:rFonts w:ascii="Palatino Linotype" w:hAnsi="Palatino Linotype" w:cs="Arial"/>
          <w:bCs/>
          <w:color w:val="000000"/>
          <w:sz w:val="24"/>
          <w:szCs w:val="24"/>
        </w:rPr>
      </w:pPr>
      <w:r w:rsidRPr="00075B8C">
        <w:rPr>
          <w:rFonts w:ascii="Palatino Linotype" w:hAnsi="Palatino Linotype" w:cs="Arial"/>
          <w:bCs/>
          <w:color w:val="000000"/>
          <w:sz w:val="24"/>
          <w:szCs w:val="24"/>
        </w:rPr>
        <w:t>Igualmente, los preceptos legales citados señalan que los Sujetos Obligados deben contar con una unidad administrativa que registra contablemente el efecto patrimonial y presupuestal de las operaciones financieras que realizan, en el momento en que ocurran, con base en el sistema y políticas de registro establecidas.</w:t>
      </w:r>
    </w:p>
    <w:p w:rsidR="00260B1C" w:rsidRPr="00075B8C" w:rsidRDefault="00260B1C" w:rsidP="00260B1C">
      <w:pPr>
        <w:autoSpaceDE w:val="0"/>
        <w:autoSpaceDN w:val="0"/>
        <w:adjustRightInd w:val="0"/>
        <w:spacing w:before="240" w:after="240" w:line="360" w:lineRule="auto"/>
        <w:jc w:val="both"/>
        <w:rPr>
          <w:rFonts w:ascii="Palatino Linotype" w:hAnsi="Palatino Linotype" w:cs="Arial"/>
          <w:sz w:val="24"/>
          <w:szCs w:val="24"/>
          <w:lang w:eastAsia="es-MX"/>
        </w:rPr>
      </w:pPr>
      <w:r w:rsidRPr="00075B8C">
        <w:rPr>
          <w:rFonts w:ascii="Palatino Linotype" w:hAnsi="Palatino Linotype" w:cs="Arial"/>
          <w:sz w:val="24"/>
          <w:szCs w:val="24"/>
          <w:lang w:eastAsia="es-MX"/>
        </w:rPr>
        <w:t xml:space="preserve">Correlativo a lo anterior, es preciso referir una definición de </w:t>
      </w:r>
      <w:r w:rsidRPr="00075B8C">
        <w:rPr>
          <w:rFonts w:ascii="Palatino Linotype" w:hAnsi="Palatino Linotype" w:cs="Arial"/>
          <w:i/>
          <w:sz w:val="24"/>
          <w:szCs w:val="24"/>
          <w:lang w:eastAsia="es-MX"/>
        </w:rPr>
        <w:t>póliza contable</w:t>
      </w:r>
      <w:r w:rsidRPr="00075B8C">
        <w:rPr>
          <w:rFonts w:ascii="Palatino Linotype" w:hAnsi="Palatino Linotype" w:cs="Arial"/>
          <w:sz w:val="24"/>
          <w:szCs w:val="24"/>
          <w:lang w:eastAsia="es-MX"/>
        </w:rPr>
        <w:t xml:space="preserve">, la cual, primeramente, no está definida en el Código Financiero del Estado de México y Municipios; no obstante, los ya mencionados Glosarios la definen como: </w:t>
      </w:r>
    </w:p>
    <w:p w:rsidR="00260B1C" w:rsidRPr="00075B8C" w:rsidRDefault="00260B1C" w:rsidP="0087069A">
      <w:pPr>
        <w:spacing w:after="0" w:line="240" w:lineRule="auto"/>
        <w:ind w:left="851" w:right="902"/>
        <w:jc w:val="both"/>
        <w:rPr>
          <w:rFonts w:ascii="Palatino Linotype" w:hAnsi="Palatino Linotype" w:cs="Arial"/>
          <w:b/>
          <w:i/>
          <w:sz w:val="22"/>
          <w:szCs w:val="22"/>
          <w:lang w:eastAsia="es-MX"/>
        </w:rPr>
      </w:pPr>
      <w:r w:rsidRPr="00075B8C">
        <w:rPr>
          <w:rFonts w:ascii="Palatino Linotype" w:hAnsi="Palatino Linotype" w:cs="Arial"/>
          <w:i/>
          <w:sz w:val="22"/>
          <w:szCs w:val="22"/>
          <w:lang w:eastAsia="es-MX"/>
        </w:rPr>
        <w:t>“</w:t>
      </w:r>
      <w:r w:rsidRPr="00075B8C">
        <w:rPr>
          <w:rFonts w:ascii="Palatino Linotype" w:hAnsi="Palatino Linotype" w:cs="Arial"/>
          <w:b/>
          <w:i/>
          <w:sz w:val="22"/>
          <w:szCs w:val="22"/>
          <w:lang w:eastAsia="es-MX"/>
        </w:rPr>
        <w:t>PÓLIZA CONTABLE</w:t>
      </w:r>
    </w:p>
    <w:p w:rsidR="00260B1C" w:rsidRPr="00075B8C" w:rsidRDefault="00260B1C" w:rsidP="0087069A">
      <w:pPr>
        <w:spacing w:after="0" w:line="240" w:lineRule="auto"/>
        <w:ind w:left="851" w:right="902"/>
        <w:jc w:val="both"/>
        <w:rPr>
          <w:rFonts w:ascii="Palatino Linotype" w:hAnsi="Palatino Linotype" w:cs="Arial"/>
          <w:i/>
          <w:sz w:val="22"/>
          <w:szCs w:val="22"/>
          <w:lang w:eastAsia="es-MX"/>
        </w:rPr>
      </w:pPr>
      <w:r w:rsidRPr="00075B8C">
        <w:rPr>
          <w:rFonts w:ascii="Palatino Linotype" w:hAnsi="Palatino Linotype" w:cs="Arial"/>
          <w:i/>
          <w:sz w:val="22"/>
          <w:szCs w:val="22"/>
          <w:lang w:eastAsia="es-MX"/>
        </w:rPr>
        <w:t>Documento en el cual se asientan en forma individual todas y cada una de las operaciones desarrolladas por una institución, así como la información necesaria para la identificación de dichas operaciones.” (sic)</w:t>
      </w:r>
    </w:p>
    <w:p w:rsidR="00260B1C" w:rsidRPr="00075B8C" w:rsidRDefault="00260B1C" w:rsidP="00260B1C">
      <w:pPr>
        <w:spacing w:before="240" w:after="240" w:line="360" w:lineRule="auto"/>
        <w:jc w:val="both"/>
        <w:rPr>
          <w:rFonts w:ascii="Palatino Linotype" w:hAnsi="Palatino Linotype" w:cs="Arial"/>
          <w:sz w:val="24"/>
          <w:szCs w:val="24"/>
          <w:lang w:eastAsia="es-MX"/>
        </w:rPr>
      </w:pPr>
      <w:r w:rsidRPr="00075B8C">
        <w:rPr>
          <w:rFonts w:ascii="Palatino Linotype" w:hAnsi="Palatino Linotype" w:cs="Arial"/>
          <w:sz w:val="24"/>
          <w:szCs w:val="24"/>
          <w:lang w:eastAsia="es-MX"/>
        </w:rPr>
        <w:t xml:space="preserve">Así, se advierte que la </w:t>
      </w:r>
      <w:r w:rsidRPr="00075B8C">
        <w:rPr>
          <w:rFonts w:ascii="Palatino Linotype" w:hAnsi="Palatino Linotype" w:cs="Arial"/>
          <w:i/>
          <w:sz w:val="24"/>
          <w:szCs w:val="24"/>
          <w:lang w:eastAsia="es-MX"/>
        </w:rPr>
        <w:t>póliza contable</w:t>
      </w:r>
      <w:r w:rsidRPr="00075B8C">
        <w:rPr>
          <w:rFonts w:ascii="Palatino Linotype" w:hAnsi="Palatino Linotype" w:cs="Arial"/>
          <w:sz w:val="24"/>
          <w:szCs w:val="24"/>
          <w:lang w:eastAsia="es-MX"/>
        </w:rPr>
        <w:t xml:space="preserve"> constituye un registro contable y presupuestal con el que cuentan los Municipios para el registro de sus operaciones relacionadas con sus </w:t>
      </w:r>
      <w:r w:rsidRPr="00075B8C">
        <w:rPr>
          <w:rFonts w:ascii="Palatino Linotype" w:hAnsi="Palatino Linotype" w:cs="Arial"/>
          <w:b/>
          <w:sz w:val="24"/>
          <w:szCs w:val="24"/>
          <w:lang w:eastAsia="es-MX"/>
        </w:rPr>
        <w:t>ingresos y egresos</w:t>
      </w:r>
      <w:r w:rsidRPr="00075B8C">
        <w:rPr>
          <w:rFonts w:ascii="Palatino Linotype" w:hAnsi="Palatino Linotype" w:cs="Arial"/>
          <w:sz w:val="24"/>
          <w:szCs w:val="24"/>
          <w:lang w:eastAsia="es-MX"/>
        </w:rPr>
        <w:t xml:space="preserve"> y se </w:t>
      </w:r>
      <w:r w:rsidRPr="00075B8C">
        <w:rPr>
          <w:rFonts w:ascii="Palatino Linotype" w:hAnsi="Palatino Linotype" w:cs="Arial"/>
          <w:b/>
          <w:sz w:val="24"/>
          <w:szCs w:val="24"/>
          <w:lang w:eastAsia="es-MX"/>
        </w:rPr>
        <w:t>anexan los documentos o comprobantes que justifiquen las anotaciones y cantidades en ellas registradas</w:t>
      </w:r>
      <w:r w:rsidRPr="00075B8C">
        <w:rPr>
          <w:rFonts w:ascii="Palatino Linotype" w:hAnsi="Palatino Linotype" w:cs="Arial"/>
          <w:sz w:val="24"/>
          <w:szCs w:val="24"/>
          <w:lang w:eastAsia="es-MX"/>
        </w:rPr>
        <w:t>, lo que permite la identificación plena de dichas operaciones.</w:t>
      </w:r>
    </w:p>
    <w:p w:rsidR="0052024B" w:rsidRPr="00075B8C" w:rsidRDefault="0087069A" w:rsidP="0052024B">
      <w:pPr>
        <w:spacing w:before="240" w:after="240" w:line="360" w:lineRule="auto"/>
        <w:jc w:val="both"/>
        <w:rPr>
          <w:rStyle w:val="apple-style-span"/>
          <w:rFonts w:ascii="Palatino Linotype" w:hAnsi="Palatino Linotype" w:cs="Arial"/>
          <w:bCs/>
          <w:color w:val="000000"/>
          <w:sz w:val="24"/>
          <w:szCs w:val="24"/>
        </w:rPr>
      </w:pPr>
      <w:r w:rsidRPr="00075B8C">
        <w:rPr>
          <w:rFonts w:ascii="Palatino Linotype" w:hAnsi="Palatino Linotype" w:cs="Arial"/>
          <w:sz w:val="24"/>
          <w:szCs w:val="24"/>
          <w:lang w:eastAsia="es-MX"/>
        </w:rPr>
        <w:t xml:space="preserve">En este sentido, existen diversos tipos de pólizas contables de acuerdo a las operaciones realizadas, dentro de las cuales, encontramos las llamadas </w:t>
      </w:r>
      <w:r w:rsidRPr="00075B8C">
        <w:rPr>
          <w:rFonts w:ascii="Palatino Linotype" w:hAnsi="Palatino Linotype" w:cs="Arial"/>
          <w:i/>
          <w:sz w:val="24"/>
          <w:szCs w:val="24"/>
          <w:lang w:eastAsia="es-MX"/>
        </w:rPr>
        <w:t xml:space="preserve">pólizas de </w:t>
      </w:r>
      <w:r w:rsidR="0052024B" w:rsidRPr="00075B8C">
        <w:rPr>
          <w:rFonts w:ascii="Palatino Linotype" w:hAnsi="Palatino Linotype" w:cs="Arial"/>
          <w:i/>
          <w:sz w:val="24"/>
          <w:szCs w:val="24"/>
          <w:lang w:eastAsia="es-MX"/>
        </w:rPr>
        <w:t xml:space="preserve">ingreso y </w:t>
      </w:r>
      <w:r w:rsidRPr="00075B8C">
        <w:rPr>
          <w:rFonts w:ascii="Palatino Linotype" w:hAnsi="Palatino Linotype" w:cs="Arial"/>
          <w:i/>
          <w:sz w:val="24"/>
          <w:szCs w:val="24"/>
          <w:lang w:eastAsia="es-MX"/>
        </w:rPr>
        <w:t>egresos</w:t>
      </w:r>
      <w:r w:rsidRPr="00075B8C">
        <w:rPr>
          <w:rFonts w:ascii="Palatino Linotype" w:hAnsi="Palatino Linotype" w:cs="Arial"/>
          <w:sz w:val="24"/>
          <w:szCs w:val="24"/>
          <w:lang w:eastAsia="es-MX"/>
        </w:rPr>
        <w:t xml:space="preserve">, </w:t>
      </w:r>
      <w:r w:rsidR="0052024B" w:rsidRPr="00075B8C">
        <w:rPr>
          <w:rFonts w:ascii="Palatino Linotype" w:hAnsi="Palatino Linotype" w:cs="Arial"/>
          <w:sz w:val="24"/>
          <w:szCs w:val="24"/>
          <w:lang w:eastAsia="es-MX"/>
        </w:rPr>
        <w:t xml:space="preserve">en las que se </w:t>
      </w:r>
      <w:r w:rsidRPr="00075B8C">
        <w:rPr>
          <w:rFonts w:ascii="Palatino Linotype" w:hAnsi="Palatino Linotype" w:cs="Arial"/>
          <w:sz w:val="24"/>
          <w:szCs w:val="24"/>
          <w:lang w:eastAsia="es-MX"/>
        </w:rPr>
        <w:t xml:space="preserve">anotan diariamente las operaciones que representan </w:t>
      </w:r>
      <w:r w:rsidR="0052024B" w:rsidRPr="00075B8C">
        <w:rPr>
          <w:rFonts w:ascii="Palatino Linotype" w:hAnsi="Palatino Linotype" w:cs="Arial"/>
          <w:sz w:val="24"/>
          <w:szCs w:val="24"/>
          <w:lang w:eastAsia="es-MX"/>
        </w:rPr>
        <w:t xml:space="preserve">entradas y </w:t>
      </w:r>
      <w:r w:rsidRPr="00075B8C">
        <w:rPr>
          <w:rFonts w:ascii="Palatino Linotype" w:hAnsi="Palatino Linotype" w:cs="Arial"/>
          <w:sz w:val="24"/>
          <w:szCs w:val="24"/>
          <w:lang w:eastAsia="es-MX"/>
        </w:rPr>
        <w:t xml:space="preserve">salidas de dinero para </w:t>
      </w:r>
      <w:r w:rsidRPr="00075B8C">
        <w:rPr>
          <w:rFonts w:ascii="Palatino Linotype" w:hAnsi="Palatino Linotype" w:cs="Arial"/>
          <w:b/>
          <w:sz w:val="24"/>
          <w:szCs w:val="24"/>
          <w:lang w:eastAsia="es-MX"/>
        </w:rPr>
        <w:t>EL SUJETO OBLIGADO</w:t>
      </w:r>
      <w:r w:rsidRPr="00075B8C">
        <w:rPr>
          <w:rFonts w:ascii="Palatino Linotype" w:hAnsi="Palatino Linotype" w:cs="Arial"/>
          <w:sz w:val="24"/>
          <w:szCs w:val="24"/>
          <w:lang w:eastAsia="es-MX"/>
        </w:rPr>
        <w:t xml:space="preserve">, las que además, deben encontrarse </w:t>
      </w:r>
      <w:r w:rsidRPr="00075B8C">
        <w:rPr>
          <w:rFonts w:ascii="Palatino Linotype" w:hAnsi="Palatino Linotype" w:cs="Arial"/>
          <w:sz w:val="24"/>
          <w:szCs w:val="24"/>
          <w:lang w:eastAsia="es-MX"/>
        </w:rPr>
        <w:lastRenderedPageBreak/>
        <w:t xml:space="preserve">acompañadas </w:t>
      </w:r>
      <w:r w:rsidRPr="00075B8C">
        <w:rPr>
          <w:rFonts w:ascii="Palatino Linotype" w:hAnsi="Palatino Linotype" w:cs="Arial"/>
          <w:b/>
          <w:sz w:val="24"/>
          <w:szCs w:val="24"/>
          <w:lang w:eastAsia="es-MX"/>
        </w:rPr>
        <w:t>de las documentales que sirven de soporte de dicho</w:t>
      </w:r>
      <w:r w:rsidR="0052024B" w:rsidRPr="00075B8C">
        <w:rPr>
          <w:rFonts w:ascii="Palatino Linotype" w:hAnsi="Palatino Linotype" w:cs="Arial"/>
          <w:b/>
          <w:sz w:val="24"/>
          <w:szCs w:val="24"/>
          <w:lang w:eastAsia="es-MX"/>
        </w:rPr>
        <w:t>s</w:t>
      </w:r>
      <w:r w:rsidRPr="00075B8C">
        <w:rPr>
          <w:rFonts w:ascii="Palatino Linotype" w:hAnsi="Palatino Linotype" w:cs="Arial"/>
          <w:b/>
          <w:sz w:val="24"/>
          <w:szCs w:val="24"/>
          <w:lang w:eastAsia="es-MX"/>
        </w:rPr>
        <w:t xml:space="preserve"> movimiento</w:t>
      </w:r>
      <w:r w:rsidR="0052024B" w:rsidRPr="00075B8C">
        <w:rPr>
          <w:rFonts w:ascii="Palatino Linotype" w:hAnsi="Palatino Linotype" w:cs="Arial"/>
          <w:b/>
          <w:sz w:val="24"/>
          <w:szCs w:val="24"/>
          <w:lang w:eastAsia="es-MX"/>
        </w:rPr>
        <w:t>s</w:t>
      </w:r>
      <w:r w:rsidR="0052024B" w:rsidRPr="00075B8C">
        <w:rPr>
          <w:rFonts w:ascii="Palatino Linotype" w:hAnsi="Palatino Linotype" w:cs="Arial"/>
          <w:sz w:val="24"/>
          <w:szCs w:val="24"/>
          <w:lang w:eastAsia="es-MX"/>
        </w:rPr>
        <w:t xml:space="preserve">; por ello, conviene señalar </w:t>
      </w:r>
      <w:r w:rsidR="0052024B" w:rsidRPr="00075B8C">
        <w:rPr>
          <w:rFonts w:ascii="Palatino Linotype" w:hAnsi="Palatino Linotype"/>
          <w:color w:val="000000"/>
          <w:sz w:val="24"/>
          <w:szCs w:val="24"/>
        </w:rPr>
        <w:t xml:space="preserve">en primer lugar que los Municipios del Estado de México, son Sujetos de Fiscalización de conformidad con el numeral 4, fracción II de </w:t>
      </w:r>
      <w:r w:rsidR="0052024B" w:rsidRPr="00075B8C">
        <w:rPr>
          <w:rStyle w:val="apple-style-span"/>
          <w:rFonts w:ascii="Palatino Linotype" w:hAnsi="Palatino Linotype" w:cs="Arial"/>
          <w:color w:val="000000"/>
          <w:sz w:val="24"/>
          <w:szCs w:val="24"/>
        </w:rPr>
        <w:t>Ley de Fiscalización Superior del Estado de México</w:t>
      </w:r>
      <w:r w:rsidR="0052024B" w:rsidRPr="00075B8C">
        <w:rPr>
          <w:rStyle w:val="Refdenotaalpie"/>
          <w:rFonts w:ascii="Palatino Linotype" w:hAnsi="Palatino Linotype" w:cs="Arial"/>
          <w:color w:val="000000"/>
          <w:sz w:val="24"/>
          <w:szCs w:val="24"/>
        </w:rPr>
        <w:footnoteReference w:id="3"/>
      </w:r>
      <w:r w:rsidR="0052024B" w:rsidRPr="00075B8C">
        <w:rPr>
          <w:rStyle w:val="apple-style-span"/>
          <w:rFonts w:ascii="Palatino Linotype" w:hAnsi="Palatino Linotype" w:cs="Arial"/>
          <w:color w:val="000000"/>
          <w:sz w:val="24"/>
          <w:szCs w:val="24"/>
        </w:rPr>
        <w:t xml:space="preserve">; razón por la cual, el Órgano Superior de Fiscalización de ésta Entidad, emite los </w:t>
      </w:r>
      <w:r w:rsidR="0052024B" w:rsidRPr="00075B8C">
        <w:rPr>
          <w:rStyle w:val="apple-style-span"/>
          <w:rFonts w:ascii="Palatino Linotype" w:hAnsi="Palatino Linotype" w:cs="Arial"/>
          <w:b/>
          <w:color w:val="000000"/>
          <w:sz w:val="24"/>
          <w:szCs w:val="24"/>
        </w:rPr>
        <w:t>Lineamientos para la Integración del Informe Mensual</w:t>
      </w:r>
      <w:r w:rsidR="0052024B" w:rsidRPr="00075B8C">
        <w:rPr>
          <w:rStyle w:val="apple-style-span"/>
          <w:rFonts w:ascii="Palatino Linotype" w:hAnsi="Palatino Linotype" w:cs="Arial"/>
          <w:color w:val="000000"/>
          <w:sz w:val="24"/>
          <w:szCs w:val="24"/>
        </w:rPr>
        <w:t xml:space="preserve">, en términos la fracción XI del artículo 8 de la Ley de Fiscalización Superior del Estado de México, que señala: </w:t>
      </w:r>
    </w:p>
    <w:p w:rsidR="0052024B" w:rsidRPr="00075B8C" w:rsidRDefault="0052024B" w:rsidP="0052024B">
      <w:pPr>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b/>
          <w:bCs/>
          <w:i/>
          <w:sz w:val="22"/>
          <w:szCs w:val="22"/>
        </w:rPr>
        <w:t xml:space="preserve">“Artículo 8. </w:t>
      </w:r>
      <w:r w:rsidRPr="00075B8C">
        <w:rPr>
          <w:rFonts w:ascii="Palatino Linotype" w:hAnsi="Palatino Linotype" w:cs="Arial"/>
          <w:i/>
          <w:sz w:val="22"/>
          <w:szCs w:val="22"/>
        </w:rPr>
        <w:t>El Órgano Superior tendrá las siguientes atribuciones:</w:t>
      </w:r>
    </w:p>
    <w:p w:rsidR="0052024B" w:rsidRPr="00075B8C" w:rsidRDefault="0052024B" w:rsidP="0052024B">
      <w:pPr>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w:t>
      </w:r>
    </w:p>
    <w:p w:rsidR="0052024B" w:rsidRPr="00075B8C" w:rsidRDefault="0052024B" w:rsidP="0052024B">
      <w:pPr>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b/>
          <w:bCs/>
          <w:i/>
          <w:sz w:val="22"/>
          <w:szCs w:val="22"/>
        </w:rPr>
        <w:t xml:space="preserve">XI. </w:t>
      </w:r>
      <w:r w:rsidRPr="00075B8C">
        <w:rPr>
          <w:rFonts w:ascii="Palatino Linotype" w:hAnsi="Palatino Linotype" w:cs="Arial"/>
          <w:i/>
          <w:sz w:val="22"/>
          <w:szCs w:val="22"/>
        </w:rPr>
        <w:t>Establecer los lineamientos, criterios, procedimientos, métodos y sistemas para las acciones de control y evaluación, necesarios para la fiscalización de las cuentas públicas y los informes trimestrales;</w:t>
      </w:r>
    </w:p>
    <w:p w:rsidR="0052024B" w:rsidRPr="00075B8C" w:rsidRDefault="0052024B" w:rsidP="0052024B">
      <w:pPr>
        <w:autoSpaceDE w:val="0"/>
        <w:autoSpaceDN w:val="0"/>
        <w:adjustRightInd w:val="0"/>
        <w:spacing w:after="0" w:line="240" w:lineRule="auto"/>
        <w:ind w:left="851" w:right="902"/>
        <w:jc w:val="both"/>
        <w:rPr>
          <w:rStyle w:val="apple-style-span"/>
          <w:rFonts w:ascii="Palatino Linotype" w:hAnsi="Palatino Linotype" w:cs="Arial"/>
          <w:bCs/>
          <w:i/>
          <w:color w:val="000000"/>
          <w:sz w:val="22"/>
          <w:szCs w:val="22"/>
        </w:rPr>
      </w:pPr>
      <w:r w:rsidRPr="00075B8C">
        <w:rPr>
          <w:rStyle w:val="apple-style-span"/>
          <w:rFonts w:ascii="Palatino Linotype" w:hAnsi="Palatino Linotype" w:cs="Arial"/>
          <w:color w:val="000000"/>
          <w:sz w:val="22"/>
          <w:szCs w:val="22"/>
        </w:rPr>
        <w:t>…” (Sic)</w:t>
      </w:r>
    </w:p>
    <w:p w:rsidR="0052024B" w:rsidRPr="00075B8C" w:rsidRDefault="0052024B" w:rsidP="0052024B">
      <w:pPr>
        <w:spacing w:before="100" w:beforeAutospacing="1" w:after="100" w:afterAutospacing="1" w:line="360" w:lineRule="auto"/>
        <w:jc w:val="both"/>
        <w:rPr>
          <w:rFonts w:ascii="Palatino Linotype" w:hAnsi="Palatino Linotype"/>
          <w:sz w:val="24"/>
          <w:szCs w:val="24"/>
        </w:rPr>
      </w:pPr>
      <w:r w:rsidRPr="00075B8C">
        <w:rPr>
          <w:rFonts w:ascii="Palatino Linotype" w:hAnsi="Palatino Linotype"/>
          <w:sz w:val="24"/>
          <w:szCs w:val="24"/>
        </w:rPr>
        <w:t>De esta forma, el Órgano Superior de Fiscalización del Estado de México (OSFEM),  emite anualmente dichos Lineamientos para definir los criterios, formatos y documentación necesaria para presentar los informes mensuales, dentro de los cuales destacan –en relación con el análisis que nos ocupa-, el Disco 5, relativo a</w:t>
      </w:r>
      <w:r w:rsidR="003C61D1" w:rsidRPr="00075B8C">
        <w:rPr>
          <w:rFonts w:ascii="Palatino Linotype" w:hAnsi="Palatino Linotype"/>
          <w:sz w:val="24"/>
          <w:szCs w:val="24"/>
        </w:rPr>
        <w:t xml:space="preserve"> las </w:t>
      </w:r>
      <w:r w:rsidR="003C61D1" w:rsidRPr="00075B8C">
        <w:rPr>
          <w:rFonts w:ascii="Palatino Linotype" w:hAnsi="Palatino Linotype" w:cs="Arial"/>
          <w:sz w:val="24"/>
          <w:szCs w:val="24"/>
        </w:rPr>
        <w:t>“Imágenes Digitalizadas”.</w:t>
      </w:r>
    </w:p>
    <w:p w:rsidR="0052024B" w:rsidRPr="00075B8C" w:rsidRDefault="0052024B" w:rsidP="0052024B">
      <w:pPr>
        <w:spacing w:before="100" w:beforeAutospacing="1" w:after="100" w:afterAutospacing="1" w:line="360" w:lineRule="auto"/>
        <w:jc w:val="both"/>
        <w:rPr>
          <w:rFonts w:ascii="Palatino Linotype" w:hAnsi="Palatino Linotype"/>
          <w:sz w:val="24"/>
          <w:szCs w:val="24"/>
        </w:rPr>
      </w:pPr>
      <w:r w:rsidRPr="00075B8C">
        <w:rPr>
          <w:rFonts w:ascii="Palatino Linotype" w:hAnsi="Palatino Linotype"/>
          <w:sz w:val="24"/>
          <w:szCs w:val="24"/>
        </w:rPr>
        <w:t xml:space="preserve">Estos lineamientos son, de observancia general para todos los servidores públicos de las entidades fiscalizables que desempeñen un empleo, cargo o comisión, de cualquier naturaleza en la administración pública municipal y que manejen recursos públicos </w:t>
      </w:r>
      <w:r w:rsidRPr="00075B8C">
        <w:rPr>
          <w:rFonts w:ascii="Palatino Linotype" w:hAnsi="Palatino Linotype"/>
          <w:sz w:val="24"/>
          <w:szCs w:val="24"/>
        </w:rPr>
        <w:lastRenderedPageBreak/>
        <w:t>como lo son los Municipios; en atención a ello, el informe mensual deberá ser presentado al OSFEM dentro de los 20 días posteriores al término del mes correspondiente de acuerdo a lo establecido en el artículo 32 de la Ley de Fiscalización Superior del Estado de México, que a la letra dice:</w:t>
      </w:r>
    </w:p>
    <w:p w:rsidR="0052024B" w:rsidRPr="00075B8C" w:rsidRDefault="0052024B" w:rsidP="0052024B">
      <w:pPr>
        <w:spacing w:after="0" w:line="240" w:lineRule="auto"/>
        <w:ind w:left="851" w:right="760"/>
        <w:jc w:val="both"/>
        <w:rPr>
          <w:rFonts w:ascii="Palatino Linotype" w:hAnsi="Palatino Linotype"/>
          <w:i/>
          <w:sz w:val="22"/>
          <w:szCs w:val="22"/>
        </w:rPr>
      </w:pPr>
      <w:r w:rsidRPr="00075B8C">
        <w:rPr>
          <w:rFonts w:ascii="Palatino Linotype" w:hAnsi="Palatino Linotype"/>
          <w:b/>
          <w:i/>
          <w:sz w:val="22"/>
          <w:szCs w:val="22"/>
        </w:rPr>
        <w:t>“Artículo 32.-</w:t>
      </w:r>
      <w:r w:rsidRPr="00075B8C">
        <w:rPr>
          <w:rFonts w:ascii="Palatino Linotype" w:hAnsi="Palatino Linotype"/>
          <w:i/>
          <w:sz w:val="22"/>
          <w:szCs w:val="22"/>
        </w:rPr>
        <w:t xml:space="preserve"> El Gobernador del Estado, por conducto del titular de la dependencia competente, presentará a la Legislatura la cuenta pública del Gobierno del Estado del ejercicio fiscal inmediato anterior, a más tardar el quince de mayo de cada año.</w:t>
      </w:r>
    </w:p>
    <w:p w:rsidR="0052024B" w:rsidRPr="00075B8C" w:rsidRDefault="0052024B" w:rsidP="0052024B">
      <w:pPr>
        <w:spacing w:after="0" w:line="240" w:lineRule="auto"/>
        <w:ind w:left="851" w:right="760"/>
        <w:jc w:val="both"/>
        <w:rPr>
          <w:rFonts w:ascii="Palatino Linotype" w:hAnsi="Palatino Linotype"/>
          <w:b/>
          <w:i/>
          <w:sz w:val="22"/>
          <w:szCs w:val="22"/>
        </w:rPr>
      </w:pPr>
    </w:p>
    <w:p w:rsidR="0052024B" w:rsidRPr="00075B8C" w:rsidRDefault="0052024B" w:rsidP="0052024B">
      <w:pPr>
        <w:spacing w:after="0" w:line="240" w:lineRule="auto"/>
        <w:ind w:left="851" w:right="760"/>
        <w:jc w:val="both"/>
        <w:rPr>
          <w:rFonts w:ascii="Palatino Linotype" w:hAnsi="Palatino Linotype"/>
          <w:b/>
          <w:i/>
          <w:sz w:val="22"/>
          <w:szCs w:val="22"/>
        </w:rPr>
      </w:pPr>
      <w:r w:rsidRPr="00075B8C">
        <w:rPr>
          <w:rFonts w:ascii="Palatino Linotype" w:hAnsi="Palatino Linotype"/>
          <w:b/>
          <w:i/>
          <w:sz w:val="22"/>
          <w:szCs w:val="22"/>
        </w:rPr>
        <w:t>Los Presidentes Municipales presentarán a la Legislatura las cuentas públicas anuales</w:t>
      </w:r>
      <w:r w:rsidRPr="00075B8C">
        <w:rPr>
          <w:rFonts w:ascii="Palatino Linotype" w:hAnsi="Palatino Linotype"/>
          <w:i/>
          <w:sz w:val="22"/>
          <w:szCs w:val="22"/>
        </w:rPr>
        <w:t xml:space="preserve"> de sus respectivos municipios, del ejercicio fiscal inmediato anterior, </w:t>
      </w:r>
      <w:r w:rsidRPr="00075B8C">
        <w:rPr>
          <w:rFonts w:ascii="Palatino Linotype" w:hAnsi="Palatino Linotype"/>
          <w:b/>
          <w:i/>
          <w:sz w:val="22"/>
          <w:szCs w:val="22"/>
        </w:rPr>
        <w:t>dentro de los quince primeros días del mes de marzo</w:t>
      </w:r>
      <w:r w:rsidRPr="00075B8C">
        <w:rPr>
          <w:rFonts w:ascii="Palatino Linotype" w:hAnsi="Palatino Linotype"/>
          <w:i/>
          <w:sz w:val="22"/>
          <w:szCs w:val="22"/>
        </w:rPr>
        <w:t xml:space="preserve"> de cada año; </w:t>
      </w:r>
      <w:r w:rsidRPr="00075B8C">
        <w:rPr>
          <w:rFonts w:ascii="Palatino Linotype" w:hAnsi="Palatino Linotype"/>
          <w:b/>
          <w:i/>
          <w:sz w:val="22"/>
          <w:szCs w:val="22"/>
        </w:rPr>
        <w:t>asimism</w:t>
      </w:r>
      <w:r w:rsidRPr="00075B8C">
        <w:rPr>
          <w:rFonts w:ascii="Palatino Linotype" w:hAnsi="Palatino Linotype"/>
          <w:i/>
          <w:sz w:val="22"/>
          <w:szCs w:val="22"/>
        </w:rPr>
        <w:t xml:space="preserve">o, </w:t>
      </w:r>
      <w:r w:rsidRPr="00075B8C">
        <w:rPr>
          <w:rFonts w:ascii="Palatino Linotype" w:hAnsi="Palatino Linotype"/>
          <w:b/>
          <w:i/>
          <w:sz w:val="22"/>
          <w:szCs w:val="22"/>
        </w:rPr>
        <w:t>los informes mensuales</w:t>
      </w:r>
      <w:r w:rsidRPr="00075B8C">
        <w:rPr>
          <w:rFonts w:ascii="Palatino Linotype" w:hAnsi="Palatino Linotype"/>
          <w:i/>
          <w:sz w:val="22"/>
          <w:szCs w:val="22"/>
        </w:rPr>
        <w:t xml:space="preserve"> los deberán presentar </w:t>
      </w:r>
      <w:r w:rsidRPr="00075B8C">
        <w:rPr>
          <w:rFonts w:ascii="Palatino Linotype" w:hAnsi="Palatino Linotype"/>
          <w:b/>
          <w:i/>
          <w:sz w:val="22"/>
          <w:szCs w:val="22"/>
        </w:rPr>
        <w:t>dentro de los veinte días posteriores al término del mes correspondiente.”</w:t>
      </w:r>
    </w:p>
    <w:p w:rsidR="0052024B" w:rsidRPr="00075B8C" w:rsidRDefault="0052024B" w:rsidP="0052024B">
      <w:pPr>
        <w:spacing w:after="0" w:line="240" w:lineRule="auto"/>
        <w:ind w:left="851" w:right="760"/>
        <w:jc w:val="both"/>
        <w:rPr>
          <w:rFonts w:ascii="Palatino Linotype" w:hAnsi="Palatino Linotype"/>
          <w:i/>
          <w:sz w:val="22"/>
          <w:szCs w:val="22"/>
        </w:rPr>
      </w:pPr>
      <w:r w:rsidRPr="00075B8C">
        <w:rPr>
          <w:rFonts w:ascii="Palatino Linotype" w:hAnsi="Palatino Linotype"/>
          <w:i/>
          <w:sz w:val="22"/>
          <w:szCs w:val="22"/>
        </w:rPr>
        <w:t>(Énfasis añadido)</w:t>
      </w:r>
    </w:p>
    <w:p w:rsidR="0087069A" w:rsidRPr="00075B8C" w:rsidRDefault="0052024B" w:rsidP="00E832F6">
      <w:pPr>
        <w:spacing w:before="100" w:beforeAutospacing="1" w:after="100" w:afterAutospacing="1" w:line="360" w:lineRule="auto"/>
        <w:ind w:right="-91"/>
        <w:jc w:val="both"/>
        <w:rPr>
          <w:rFonts w:ascii="Palatino Linotype" w:hAnsi="Palatino Linotype"/>
          <w:color w:val="000000"/>
          <w:sz w:val="24"/>
          <w:szCs w:val="24"/>
          <w:lang w:val="es-ES"/>
        </w:rPr>
      </w:pPr>
      <w:r w:rsidRPr="00075B8C">
        <w:rPr>
          <w:rFonts w:ascii="Palatino Linotype" w:hAnsi="Palatino Linotype"/>
          <w:sz w:val="24"/>
          <w:szCs w:val="24"/>
        </w:rPr>
        <w:t xml:space="preserve">Por ello, la información </w:t>
      </w:r>
      <w:r w:rsidRPr="00075B8C">
        <w:rPr>
          <w:rFonts w:ascii="Palatino Linotype" w:hAnsi="Palatino Linotype"/>
          <w:b/>
          <w:sz w:val="24"/>
          <w:szCs w:val="24"/>
        </w:rPr>
        <w:t>documental comprobatoria</w:t>
      </w:r>
      <w:r w:rsidRPr="00075B8C">
        <w:rPr>
          <w:rFonts w:ascii="Palatino Linotype" w:hAnsi="Palatino Linotype"/>
          <w:sz w:val="24"/>
          <w:szCs w:val="24"/>
        </w:rPr>
        <w:t xml:space="preserve">, </w:t>
      </w:r>
      <w:r w:rsidRPr="00075B8C">
        <w:rPr>
          <w:rFonts w:ascii="Palatino Linotype" w:hAnsi="Palatino Linotype"/>
          <w:b/>
          <w:sz w:val="24"/>
          <w:szCs w:val="24"/>
        </w:rPr>
        <w:t>deberá conservarse en los archivos de la entidad fiscalizada –Municipio</w:t>
      </w:r>
      <w:r w:rsidRPr="00075B8C">
        <w:rPr>
          <w:rFonts w:ascii="Palatino Linotype" w:hAnsi="Palatino Linotype"/>
          <w:sz w:val="24"/>
          <w:szCs w:val="24"/>
        </w:rPr>
        <w:t xml:space="preserve">-, en original y debidamente integrada en términos de los lineamientos de referencia, pues son susceptibles de revisión directa por el OSFEM; así que, </w:t>
      </w:r>
      <w:r w:rsidRPr="00075B8C">
        <w:rPr>
          <w:rFonts w:ascii="Palatino Linotype" w:hAnsi="Palatino Linotype"/>
          <w:color w:val="000000"/>
          <w:sz w:val="24"/>
          <w:szCs w:val="24"/>
          <w:lang w:val="es-ES"/>
        </w:rPr>
        <w:t xml:space="preserve">para la Integración del Informe Mensual 2019, dichos lineamientos se encuentran visibles en la página oficial del ente fiscalizador </w:t>
      </w:r>
      <w:r w:rsidRPr="00075B8C">
        <w:rPr>
          <w:rFonts w:ascii="Palatino Linotype" w:hAnsi="Palatino Linotype"/>
          <w:i/>
          <w:spacing w:val="-14"/>
          <w:sz w:val="24"/>
          <w:szCs w:val="24"/>
          <w:lang w:val="es-ES"/>
        </w:rPr>
        <w:t>https://www.osfem.gob.mx/04_Normatividad/doc/Normatividad/2018/03_LinElabyPresInfoMenMpal19.pdf</w:t>
      </w:r>
      <w:r w:rsidRPr="00075B8C">
        <w:rPr>
          <w:rFonts w:ascii="Palatino Linotype" w:hAnsi="Palatino Linotype"/>
          <w:color w:val="000000"/>
          <w:sz w:val="24"/>
          <w:szCs w:val="24"/>
          <w:lang w:val="es-ES"/>
        </w:rPr>
        <w:t xml:space="preserve"> destacando que dentro de los informes mensuales que </w:t>
      </w:r>
      <w:r w:rsidRPr="00075B8C">
        <w:rPr>
          <w:rFonts w:ascii="Palatino Linotype" w:hAnsi="Palatino Linotype"/>
          <w:b/>
          <w:color w:val="000000"/>
          <w:sz w:val="24"/>
          <w:szCs w:val="24"/>
          <w:lang w:val="es-ES"/>
        </w:rPr>
        <w:t xml:space="preserve">EL SUJETO OBLIGADO </w:t>
      </w:r>
      <w:r w:rsidRPr="00075B8C">
        <w:rPr>
          <w:rFonts w:ascii="Palatino Linotype" w:hAnsi="Palatino Linotype"/>
          <w:color w:val="000000"/>
          <w:sz w:val="24"/>
          <w:szCs w:val="24"/>
          <w:lang w:val="es-ES"/>
        </w:rPr>
        <w:t xml:space="preserve">tiene la obligación de rendir, se contempla precisamente la presentación de la Información referente al </w:t>
      </w:r>
      <w:r w:rsidR="00E832F6" w:rsidRPr="00075B8C">
        <w:rPr>
          <w:rFonts w:ascii="Palatino Linotype" w:hAnsi="Palatino Linotype"/>
          <w:color w:val="000000"/>
          <w:sz w:val="24"/>
          <w:szCs w:val="24"/>
          <w:lang w:val="es-ES"/>
        </w:rPr>
        <w:t xml:space="preserve">Disco 5, mediante la digitalización de los formatos </w:t>
      </w:r>
      <w:r w:rsidR="00E832F6" w:rsidRPr="00075B8C">
        <w:rPr>
          <w:rFonts w:ascii="Palatino Linotype" w:hAnsi="Palatino Linotype" w:cs="Arial"/>
          <w:sz w:val="24"/>
          <w:szCs w:val="24"/>
        </w:rPr>
        <w:t>relativos</w:t>
      </w:r>
      <w:r w:rsidR="0087069A" w:rsidRPr="00075B8C">
        <w:rPr>
          <w:rFonts w:ascii="Palatino Linotype" w:hAnsi="Palatino Linotype" w:cs="Arial"/>
          <w:sz w:val="24"/>
          <w:szCs w:val="24"/>
        </w:rPr>
        <w:t xml:space="preserve"> a las </w:t>
      </w:r>
      <w:r w:rsidR="0087069A" w:rsidRPr="00075B8C">
        <w:rPr>
          <w:rFonts w:ascii="Palatino Linotype" w:hAnsi="Palatino Linotype" w:cs="Arial"/>
          <w:i/>
          <w:sz w:val="24"/>
          <w:szCs w:val="24"/>
        </w:rPr>
        <w:t xml:space="preserve">pólizas de ingresos, póliza de diario, póliza de egresos, póliza cheque y póliza de cuentas por pagar, </w:t>
      </w:r>
      <w:r w:rsidR="00E832F6" w:rsidRPr="00075B8C">
        <w:rPr>
          <w:rFonts w:ascii="Palatino Linotype" w:hAnsi="Palatino Linotype" w:cs="Arial"/>
          <w:sz w:val="24"/>
          <w:szCs w:val="24"/>
        </w:rPr>
        <w:t xml:space="preserve">las cuales </w:t>
      </w:r>
      <w:r w:rsidR="0087069A" w:rsidRPr="00075B8C">
        <w:rPr>
          <w:rFonts w:ascii="Palatino Linotype" w:hAnsi="Palatino Linotype" w:cs="Arial"/>
          <w:sz w:val="24"/>
          <w:szCs w:val="24"/>
        </w:rPr>
        <w:t>guarda</w:t>
      </w:r>
      <w:r w:rsidR="00E832F6" w:rsidRPr="00075B8C">
        <w:rPr>
          <w:rFonts w:ascii="Palatino Linotype" w:hAnsi="Palatino Linotype" w:cs="Arial"/>
          <w:sz w:val="24"/>
          <w:szCs w:val="24"/>
        </w:rPr>
        <w:t>n</w:t>
      </w:r>
      <w:r w:rsidR="0087069A" w:rsidRPr="00075B8C">
        <w:rPr>
          <w:rFonts w:ascii="Palatino Linotype" w:hAnsi="Palatino Linotype" w:cs="Arial"/>
          <w:sz w:val="24"/>
          <w:szCs w:val="24"/>
        </w:rPr>
        <w:t xml:space="preserve"> relación con el Disco 1 “Información Patrimonial (Contable y Administrativa) y para el Sistema Electrónico Auditor (Archivos txt)”, d</w:t>
      </w:r>
      <w:r w:rsidR="0087069A" w:rsidRPr="00075B8C">
        <w:rPr>
          <w:rFonts w:ascii="Palatino Linotype" w:hAnsi="Palatino Linotype" w:cs="Arial"/>
          <w:bCs/>
          <w:sz w:val="24"/>
          <w:szCs w:val="24"/>
        </w:rPr>
        <w:t xml:space="preserve">e tal manera </w:t>
      </w:r>
      <w:r w:rsidR="0087069A" w:rsidRPr="00075B8C">
        <w:rPr>
          <w:rFonts w:ascii="Palatino Linotype" w:hAnsi="Palatino Linotype" w:cs="Arial"/>
          <w:bCs/>
          <w:sz w:val="24"/>
          <w:szCs w:val="24"/>
        </w:rPr>
        <w:lastRenderedPageBreak/>
        <w:t xml:space="preserve">que, dichos formatos constituyen un soporte documental de que la información solicitada por el hoy </w:t>
      </w:r>
      <w:r w:rsidR="0087069A" w:rsidRPr="00075B8C">
        <w:rPr>
          <w:rFonts w:ascii="Palatino Linotype" w:hAnsi="Palatino Linotype" w:cs="Arial"/>
          <w:b/>
          <w:bCs/>
          <w:sz w:val="24"/>
          <w:szCs w:val="24"/>
        </w:rPr>
        <w:t>RECURRENTE</w:t>
      </w:r>
      <w:r w:rsidR="0087069A" w:rsidRPr="00075B8C">
        <w:rPr>
          <w:rFonts w:ascii="Palatino Linotype" w:hAnsi="Palatino Linotype" w:cs="Arial"/>
          <w:bCs/>
          <w:sz w:val="24"/>
          <w:szCs w:val="24"/>
        </w:rPr>
        <w:t xml:space="preserve"> obra en los archivos del </w:t>
      </w:r>
      <w:r w:rsidR="0087069A" w:rsidRPr="00075B8C">
        <w:rPr>
          <w:rFonts w:ascii="Palatino Linotype" w:hAnsi="Palatino Linotype" w:cs="Arial"/>
          <w:b/>
          <w:bCs/>
          <w:sz w:val="24"/>
          <w:szCs w:val="24"/>
        </w:rPr>
        <w:t>SUJETO OBLIGADO</w:t>
      </w:r>
      <w:r w:rsidR="0087069A" w:rsidRPr="00075B8C">
        <w:rPr>
          <w:rFonts w:ascii="Palatino Linotype" w:hAnsi="Palatino Linotype" w:cs="Arial"/>
          <w:bCs/>
          <w:sz w:val="24"/>
          <w:szCs w:val="24"/>
        </w:rPr>
        <w:t xml:space="preserve">, insertando a manera de referencia, el formato correspondiente de 2019: </w:t>
      </w:r>
    </w:p>
    <w:p w:rsidR="0087069A" w:rsidRPr="00075B8C" w:rsidRDefault="0052024B" w:rsidP="0052024B">
      <w:pPr>
        <w:spacing w:before="240" w:after="240" w:line="360" w:lineRule="auto"/>
        <w:jc w:val="center"/>
        <w:rPr>
          <w:rFonts w:ascii="Palatino Linotype" w:hAnsi="Palatino Linotype" w:cs="Arial"/>
          <w:sz w:val="24"/>
          <w:szCs w:val="24"/>
          <w:lang w:eastAsia="es-MX"/>
        </w:rPr>
      </w:pPr>
      <w:r w:rsidRPr="00075B8C">
        <w:rPr>
          <w:noProof/>
          <w:lang w:val="es-MX" w:eastAsia="es-MX"/>
        </w:rPr>
        <mc:AlternateContent>
          <mc:Choice Requires="wps">
            <w:drawing>
              <wp:anchor distT="0" distB="0" distL="114300" distR="114300" simplePos="0" relativeHeight="251668480" behindDoc="0" locked="0" layoutInCell="1" allowOverlap="1">
                <wp:simplePos x="0" y="0"/>
                <wp:positionH relativeFrom="column">
                  <wp:posOffset>412076</wp:posOffset>
                </wp:positionH>
                <wp:positionV relativeFrom="paragraph">
                  <wp:posOffset>1294746</wp:posOffset>
                </wp:positionV>
                <wp:extent cx="4997875" cy="387077"/>
                <wp:effectExtent l="19050" t="19050" r="12700" b="13335"/>
                <wp:wrapNone/>
                <wp:docPr id="8" name="Rectángulo 8"/>
                <wp:cNvGraphicFramePr/>
                <a:graphic xmlns:a="http://schemas.openxmlformats.org/drawingml/2006/main">
                  <a:graphicData uri="http://schemas.microsoft.com/office/word/2010/wordprocessingShape">
                    <wps:wsp>
                      <wps:cNvSpPr/>
                      <wps:spPr>
                        <a:xfrm>
                          <a:off x="0" y="0"/>
                          <a:ext cx="4997875" cy="387077"/>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E40FB5" id="Rectángulo 8" o:spid="_x0000_s1026" style="position:absolute;margin-left:32.45pt;margin-top:101.95pt;width:393.55pt;height:30.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" filled="f" strokecolor="#1f4d78 [1604]" strokeweight="2.25pt"/>
            </w:pict>
          </mc:Fallback>
        </mc:AlternateContent>
      </w:r>
      <w:r w:rsidRPr="00075B8C">
        <w:rPr>
          <w:noProof/>
          <w:lang w:val="es-MX" w:eastAsia="es-MX"/>
        </w:rPr>
        <mc:AlternateContent>
          <mc:Choice Requires="wps">
            <w:drawing>
              <wp:anchor distT="0" distB="0" distL="114300" distR="114300" simplePos="0" relativeHeight="251667456" behindDoc="0" locked="0" layoutInCell="1" allowOverlap="1">
                <wp:simplePos x="0" y="0"/>
                <wp:positionH relativeFrom="column">
                  <wp:posOffset>423296</wp:posOffset>
                </wp:positionH>
                <wp:positionV relativeFrom="paragraph">
                  <wp:posOffset>660836</wp:posOffset>
                </wp:positionV>
                <wp:extent cx="4987083" cy="387078"/>
                <wp:effectExtent l="19050" t="19050" r="23495" b="13335"/>
                <wp:wrapNone/>
                <wp:docPr id="7" name="Rectángulo 7"/>
                <wp:cNvGraphicFramePr/>
                <a:graphic xmlns:a="http://schemas.openxmlformats.org/drawingml/2006/main">
                  <a:graphicData uri="http://schemas.microsoft.com/office/word/2010/wordprocessingShape">
                    <wps:wsp>
                      <wps:cNvSpPr/>
                      <wps:spPr>
                        <a:xfrm>
                          <a:off x="0" y="0"/>
                          <a:ext cx="4987083" cy="387078"/>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A3E759" id="Rectángulo 7" o:spid="_x0000_s1026" style="position:absolute;margin-left:33.35pt;margin-top:52.05pt;width:392.7pt;height:30.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" filled="f" strokecolor="#1f4d78 [1604]" strokeweight="2.25pt"/>
            </w:pict>
          </mc:Fallback>
        </mc:AlternateContent>
      </w:r>
      <w:r w:rsidRPr="00075B8C">
        <w:rPr>
          <w:noProof/>
          <w:lang w:val="es-MX" w:eastAsia="es-MX"/>
        </w:rPr>
        <w:drawing>
          <wp:inline distT="0" distB="0" distL="0" distR="0" wp14:anchorId="1AE5D8BF" wp14:editId="7DAC00DE">
            <wp:extent cx="4980902" cy="2372952"/>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7146" t="26002" r="23289" b="23553"/>
                    <a:stretch/>
                  </pic:blipFill>
                  <pic:spPr bwMode="auto">
                    <a:xfrm>
                      <a:off x="0" y="0"/>
                      <a:ext cx="5005941" cy="2384881"/>
                    </a:xfrm>
                    <a:prstGeom prst="rect">
                      <a:avLst/>
                    </a:prstGeom>
                    <a:ln>
                      <a:noFill/>
                    </a:ln>
                    <a:extLst>
                      <a:ext uri="{53640926-AAD7-44D8-BBD7-CCE9431645EC}">
                        <a14:shadowObscured xmlns:a14="http://schemas.microsoft.com/office/drawing/2010/main"/>
                      </a:ext>
                    </a:extLst>
                  </pic:spPr>
                </pic:pic>
              </a:graphicData>
            </a:graphic>
          </wp:inline>
        </w:drawing>
      </w:r>
    </w:p>
    <w:p w:rsidR="0087069A" w:rsidRPr="00075B8C" w:rsidRDefault="0087069A" w:rsidP="0087069A">
      <w:pPr>
        <w:spacing w:before="240" w:after="240" w:line="360" w:lineRule="auto"/>
        <w:jc w:val="both"/>
        <w:rPr>
          <w:rFonts w:ascii="Palatino Linotype" w:hAnsi="Palatino Linotype" w:cs="Arial"/>
          <w:bCs/>
          <w:color w:val="000000"/>
          <w:sz w:val="24"/>
          <w:szCs w:val="24"/>
        </w:rPr>
      </w:pPr>
      <w:r w:rsidRPr="00075B8C">
        <w:rPr>
          <w:rFonts w:ascii="Palatino Linotype" w:hAnsi="Palatino Linotype" w:cs="Arial"/>
          <w:bCs/>
          <w:color w:val="000000"/>
          <w:sz w:val="24"/>
          <w:szCs w:val="24"/>
        </w:rPr>
        <w:t xml:space="preserve">Aunado a lo anterior, los citados Lineamientos especifican que las imágenes contenidas en el Disco 5 deben ser indexadas de manera que se permita su vinculación con la información financiera contenida en el disco 1 del Informe Mensual, de tal forma que al consultar la citada información financiera se pueda visualizar el soporte documental que justifique los registros contables. </w:t>
      </w:r>
    </w:p>
    <w:p w:rsidR="0087069A" w:rsidRPr="00075B8C" w:rsidRDefault="0087069A" w:rsidP="0087069A">
      <w:pPr>
        <w:spacing w:before="240" w:after="240" w:line="360" w:lineRule="auto"/>
        <w:jc w:val="both"/>
        <w:rPr>
          <w:rFonts w:ascii="Palatino Linotype" w:hAnsi="Palatino Linotype" w:cs="Arial"/>
          <w:bCs/>
          <w:color w:val="000000"/>
          <w:sz w:val="24"/>
          <w:szCs w:val="24"/>
        </w:rPr>
      </w:pPr>
      <w:r w:rsidRPr="00075B8C">
        <w:rPr>
          <w:rFonts w:ascii="Palatino Linotype" w:hAnsi="Palatino Linotype" w:cs="Arial"/>
          <w:bCs/>
          <w:color w:val="000000"/>
          <w:sz w:val="24"/>
          <w:szCs w:val="24"/>
        </w:rPr>
        <w:t>Sin ser óbice de lo mencionado, es de señalar que la información que es entregada al OSFEM</w:t>
      </w:r>
      <w:r w:rsidRPr="00075B8C">
        <w:rPr>
          <w:rFonts w:ascii="Palatino Linotype" w:hAnsi="Palatino Linotype" w:cs="Arial"/>
          <w:sz w:val="24"/>
          <w:szCs w:val="24"/>
        </w:rPr>
        <w:t>,</w:t>
      </w:r>
      <w:r w:rsidRPr="00075B8C">
        <w:rPr>
          <w:rFonts w:ascii="Palatino Linotype" w:hAnsi="Palatino Linotype" w:cs="Arial"/>
          <w:bCs/>
          <w:color w:val="000000"/>
          <w:sz w:val="24"/>
          <w:szCs w:val="24"/>
        </w:rPr>
        <w:t xml:space="preserve"> junto con el Informe Mensual, si bien se remite dentro de los veinte días posteriores al término del mes correspondiente, también lo es que, la documentación materia de estudio debe ser generada y entregada al momento de realizar los movimientos respectivos, por lo que, debe de obrar en sus archivos las </w:t>
      </w:r>
      <w:r w:rsidR="00E832F6" w:rsidRPr="00075B8C">
        <w:rPr>
          <w:rFonts w:ascii="Palatino Linotype" w:hAnsi="Palatino Linotype" w:cs="Arial"/>
          <w:bCs/>
          <w:color w:val="000000"/>
          <w:sz w:val="24"/>
          <w:szCs w:val="24"/>
        </w:rPr>
        <w:t xml:space="preserve">pólizas de ingresos y las </w:t>
      </w:r>
      <w:r w:rsidRPr="00075B8C">
        <w:rPr>
          <w:rFonts w:ascii="Palatino Linotype" w:hAnsi="Palatino Linotype" w:cs="Arial"/>
          <w:bCs/>
          <w:color w:val="000000"/>
          <w:sz w:val="24"/>
          <w:szCs w:val="24"/>
        </w:rPr>
        <w:t xml:space="preserve">facturas </w:t>
      </w:r>
      <w:r w:rsidR="00E832F6" w:rsidRPr="00075B8C">
        <w:rPr>
          <w:rFonts w:ascii="Palatino Linotype" w:hAnsi="Palatino Linotype" w:cs="Arial"/>
          <w:bCs/>
          <w:color w:val="000000"/>
          <w:sz w:val="24"/>
          <w:szCs w:val="24"/>
        </w:rPr>
        <w:t xml:space="preserve">a la erogación de recursos </w:t>
      </w:r>
      <w:r w:rsidRPr="00075B8C">
        <w:rPr>
          <w:rFonts w:ascii="Palatino Linotype" w:hAnsi="Palatino Linotype" w:cs="Arial"/>
          <w:bCs/>
          <w:color w:val="000000"/>
          <w:sz w:val="24"/>
          <w:szCs w:val="24"/>
        </w:rPr>
        <w:t xml:space="preserve">referentes de manera enunciativa más </w:t>
      </w:r>
      <w:r w:rsidRPr="00075B8C">
        <w:rPr>
          <w:rFonts w:ascii="Palatino Linotype" w:hAnsi="Palatino Linotype" w:cs="Arial"/>
          <w:bCs/>
          <w:color w:val="000000"/>
          <w:sz w:val="24"/>
          <w:szCs w:val="24"/>
        </w:rPr>
        <w:lastRenderedPageBreak/>
        <w:t>no limitativa a las partidas de materiales de administración, emisión de documentos y artículos oficiales (2100); alimentos y utensilios (2200); materiales de construcción y reparación (2400); combustibles, lubricantes y aditivos(2600); materiales y suministros para seguridad (2800); servicios generales (3000); servicios de traslado y viáticos (3700); servicios oficiales (3800); ayudas sociales (4400); mobiliario y equipo de administración  (5100); mobiliario y equipo de administración (5100), entre otras.</w:t>
      </w:r>
    </w:p>
    <w:p w:rsidR="0087069A" w:rsidRPr="00075B8C" w:rsidRDefault="0087069A" w:rsidP="0087069A">
      <w:pPr>
        <w:spacing w:before="240" w:after="240" w:line="360" w:lineRule="auto"/>
        <w:jc w:val="both"/>
        <w:rPr>
          <w:rFonts w:ascii="Palatino Linotype" w:hAnsi="Palatino Linotype" w:cs="Arial"/>
          <w:bCs/>
          <w:color w:val="000000"/>
          <w:sz w:val="24"/>
          <w:szCs w:val="24"/>
        </w:rPr>
      </w:pPr>
      <w:r w:rsidRPr="00075B8C">
        <w:rPr>
          <w:rFonts w:ascii="Palatino Linotype" w:hAnsi="Palatino Linotype" w:cs="Arial"/>
          <w:bCs/>
          <w:color w:val="000000"/>
          <w:sz w:val="24"/>
          <w:szCs w:val="24"/>
        </w:rPr>
        <w:t xml:space="preserve">Cabe destacar, que el ordenamiento legal en cita refiere que todo registro contable y presupuestal </w:t>
      </w:r>
      <w:r w:rsidRPr="00075B8C">
        <w:rPr>
          <w:rFonts w:ascii="Palatino Linotype" w:hAnsi="Palatino Linotype" w:cs="Arial"/>
          <w:b/>
          <w:bCs/>
          <w:color w:val="000000"/>
          <w:sz w:val="24"/>
          <w:szCs w:val="24"/>
        </w:rPr>
        <w:t>deberá estar soportado con los documentos comprobatorios originales</w:t>
      </w:r>
      <w:r w:rsidRPr="00075B8C">
        <w:rPr>
          <w:rFonts w:ascii="Palatino Linotype" w:hAnsi="Palatino Linotype" w:cs="Arial"/>
          <w:bCs/>
          <w:color w:val="000000"/>
          <w:sz w:val="24"/>
          <w:szCs w:val="24"/>
        </w:rPr>
        <w:t>, como lo son las facturas, los que deberán permanecer en custodia y conservación de la Unidad administrativa correspondiente y a disposición del OSFEM; por un término de cinco años contados a partir del ejercicio presupuestal siguiente al que corresponda.</w:t>
      </w:r>
    </w:p>
    <w:p w:rsidR="0087069A" w:rsidRPr="00075B8C" w:rsidRDefault="0087069A" w:rsidP="0087069A">
      <w:pPr>
        <w:widowControl w:val="0"/>
        <w:autoSpaceDE w:val="0"/>
        <w:autoSpaceDN w:val="0"/>
        <w:adjustRightInd w:val="0"/>
        <w:spacing w:before="240" w:after="240" w:line="360" w:lineRule="auto"/>
        <w:jc w:val="both"/>
        <w:rPr>
          <w:rFonts w:ascii="Palatino Linotype" w:hAnsi="Palatino Linotype" w:cs="Arial"/>
          <w:sz w:val="24"/>
          <w:szCs w:val="24"/>
        </w:rPr>
      </w:pPr>
      <w:r w:rsidRPr="00075B8C">
        <w:rPr>
          <w:rFonts w:ascii="Palatino Linotype" w:hAnsi="Palatino Linotype" w:cs="Arial"/>
          <w:sz w:val="24"/>
          <w:szCs w:val="24"/>
        </w:rPr>
        <w:t>Por otro lado, los Lineamientos de Control Financiero y Administrativo para las Entidades Fiscalizables Municipales del Estado de México, en sus numerales 4, numeral 2 y 11 inciso d), establecen en su literalidad:</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b/>
          <w:i/>
          <w:sz w:val="22"/>
          <w:szCs w:val="22"/>
        </w:rPr>
      </w:pPr>
      <w:r w:rsidRPr="00075B8C">
        <w:rPr>
          <w:rFonts w:ascii="Palatino Linotype" w:hAnsi="Palatino Linotype" w:cs="Arial"/>
          <w:i/>
          <w:sz w:val="22"/>
          <w:szCs w:val="22"/>
        </w:rPr>
        <w:t>“</w:t>
      </w:r>
      <w:r w:rsidRPr="00075B8C">
        <w:rPr>
          <w:rFonts w:ascii="Palatino Linotype" w:hAnsi="Palatino Linotype" w:cs="Arial"/>
          <w:b/>
          <w:i/>
          <w:sz w:val="22"/>
          <w:szCs w:val="22"/>
        </w:rPr>
        <w:t>CUARTO:</w:t>
      </w:r>
      <w:r w:rsidRPr="00075B8C">
        <w:rPr>
          <w:rFonts w:ascii="Palatino Linotype" w:hAnsi="Palatino Linotype" w:cs="Arial"/>
          <w:i/>
          <w:sz w:val="22"/>
          <w:szCs w:val="22"/>
        </w:rPr>
        <w:t xml:space="preserve"> </w:t>
      </w:r>
      <w:r w:rsidRPr="00075B8C">
        <w:rPr>
          <w:rFonts w:ascii="Palatino Linotype" w:hAnsi="Palatino Linotype" w:cs="Arial"/>
          <w:b/>
          <w:i/>
          <w:sz w:val="22"/>
          <w:szCs w:val="22"/>
        </w:rPr>
        <w:t xml:space="preserve">Son sujetos de los presentes Lineamientos: </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b/>
          <w:i/>
          <w:sz w:val="22"/>
          <w:szCs w:val="22"/>
        </w:rPr>
      </w:pPr>
      <w:r w:rsidRPr="00075B8C">
        <w:rPr>
          <w:rFonts w:ascii="Palatino Linotype" w:hAnsi="Palatino Linotype" w:cs="Arial"/>
          <w:b/>
          <w:i/>
          <w:sz w:val="22"/>
          <w:szCs w:val="22"/>
        </w:rPr>
        <w:t xml:space="preserve">I. En los Municipios: </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 xml:space="preserve">a) Presidente; </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 xml:space="preserve">b) Síndico (s); </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 xml:space="preserve">c) Regidores; </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 xml:space="preserve">d) Secretario del ayuntamiento; </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b/>
          <w:i/>
          <w:sz w:val="22"/>
          <w:szCs w:val="22"/>
        </w:rPr>
      </w:pPr>
      <w:r w:rsidRPr="00075B8C">
        <w:rPr>
          <w:rFonts w:ascii="Palatino Linotype" w:hAnsi="Palatino Linotype" w:cs="Arial"/>
          <w:i/>
          <w:sz w:val="22"/>
          <w:szCs w:val="22"/>
        </w:rPr>
        <w:t>e</w:t>
      </w:r>
      <w:r w:rsidRPr="00075B8C">
        <w:rPr>
          <w:rFonts w:ascii="Palatino Linotype" w:hAnsi="Palatino Linotype" w:cs="Arial"/>
          <w:b/>
          <w:i/>
          <w:sz w:val="22"/>
          <w:szCs w:val="22"/>
        </w:rPr>
        <w:t>) Tesorero o equivalente;</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 xml:space="preserve"> f) Director de administración o su equivalente; </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 xml:space="preserve">g) Director de obras públicas; y </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i/>
          <w:sz w:val="22"/>
          <w:szCs w:val="22"/>
        </w:rPr>
      </w:pPr>
      <w:r w:rsidRPr="00075B8C">
        <w:rPr>
          <w:rFonts w:ascii="Palatino Linotype" w:hAnsi="Palatino Linotype" w:cs="Arial"/>
          <w:i/>
          <w:sz w:val="22"/>
          <w:szCs w:val="22"/>
        </w:rPr>
        <w:t>h) Titular del órgano de control interno.</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cs="Arial"/>
          <w:i/>
          <w:sz w:val="22"/>
          <w:szCs w:val="22"/>
        </w:rPr>
      </w:pP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11</w:t>
      </w:r>
      <w:r w:rsidRPr="00075B8C">
        <w:rPr>
          <w:rFonts w:ascii="Palatino Linotype" w:hAnsi="Palatino Linotype"/>
          <w:i/>
          <w:sz w:val="22"/>
          <w:szCs w:val="22"/>
        </w:rPr>
        <w:t xml:space="preserve">. </w:t>
      </w:r>
      <w:r w:rsidRPr="00075B8C">
        <w:rPr>
          <w:rFonts w:ascii="Palatino Linotype" w:hAnsi="Palatino Linotype"/>
          <w:b/>
          <w:i/>
          <w:sz w:val="22"/>
          <w:szCs w:val="22"/>
        </w:rPr>
        <w:t xml:space="preserve">Los servidores públicos municipales, tendrán en el ámbito de su </w:t>
      </w:r>
      <w:r w:rsidRPr="00075B8C">
        <w:rPr>
          <w:rFonts w:ascii="Palatino Linotype" w:hAnsi="Palatino Linotype"/>
          <w:b/>
          <w:i/>
          <w:sz w:val="22"/>
          <w:szCs w:val="22"/>
        </w:rPr>
        <w:lastRenderedPageBreak/>
        <w:t>competencia, respecto de los presentes Lineamientos, las obligaciones siguientes</w:t>
      </w:r>
      <w:r w:rsidRPr="00075B8C">
        <w:rPr>
          <w:rFonts w:ascii="Palatino Linotype" w:hAnsi="Palatino Linotype"/>
          <w:i/>
          <w:sz w:val="22"/>
          <w:szCs w:val="22"/>
        </w:rPr>
        <w:t>:</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i/>
          <w:sz w:val="22"/>
          <w:szCs w:val="22"/>
        </w:rPr>
        <w:t>…</w:t>
      </w:r>
    </w:p>
    <w:p w:rsidR="0087069A" w:rsidRPr="00075B8C" w:rsidRDefault="0087069A" w:rsidP="0087069A">
      <w:pPr>
        <w:widowControl w:val="0"/>
        <w:tabs>
          <w:tab w:val="left" w:pos="8222"/>
        </w:tabs>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d)</w:t>
      </w:r>
      <w:r w:rsidRPr="00075B8C">
        <w:rPr>
          <w:rFonts w:ascii="Palatino Linotype" w:hAnsi="Palatino Linotype"/>
          <w:i/>
          <w:sz w:val="22"/>
          <w:szCs w:val="22"/>
        </w:rPr>
        <w:t xml:space="preserve"> El tesorero o equivalente debe verificar </w:t>
      </w:r>
      <w:r w:rsidRPr="00075B8C">
        <w:rPr>
          <w:rFonts w:ascii="Palatino Linotype" w:hAnsi="Palatino Linotype"/>
          <w:b/>
          <w:i/>
          <w:sz w:val="22"/>
          <w:szCs w:val="22"/>
        </w:rPr>
        <w:t>que todas las pólizas de registro contable y presupuestal, se encuentren firmadas por quién las elaboró, revisó y autorizó,</w:t>
      </w:r>
      <w:r w:rsidRPr="00075B8C">
        <w:rPr>
          <w:rFonts w:ascii="Palatino Linotype" w:hAnsi="Palatino Linotype"/>
          <w:i/>
          <w:sz w:val="22"/>
          <w:szCs w:val="22"/>
        </w:rPr>
        <w:t xml:space="preserve"> las cuáles deben estar </w:t>
      </w:r>
      <w:r w:rsidRPr="00075B8C">
        <w:rPr>
          <w:rFonts w:ascii="Palatino Linotype" w:hAnsi="Palatino Linotype"/>
          <w:b/>
          <w:i/>
          <w:sz w:val="22"/>
          <w:szCs w:val="22"/>
        </w:rPr>
        <w:t>soportadas con la documentación original, justificativa, comprobatoria, suficiente, competente, pertinente y relevante</w:t>
      </w:r>
      <w:r w:rsidRPr="00075B8C">
        <w:rPr>
          <w:rFonts w:ascii="Palatino Linotype" w:hAnsi="Palatino Linotype"/>
          <w:i/>
          <w:sz w:val="22"/>
          <w:szCs w:val="22"/>
        </w:rPr>
        <w:t xml:space="preserve">, las que deberán permanecer en custodia y conservación de la tesorería, por un término de cinco años contados a partir del ejercicio presupuestal siguiente al que corresponda; adicionalmente, todos los documentos deben contar con la leyenda de "OPERADO" para las comprobaciones de los fondos de aportaciones federales y el sello de "PAGADO" para los demás recursos.” </w:t>
      </w:r>
      <w:r w:rsidRPr="00075B8C">
        <w:rPr>
          <w:rFonts w:ascii="Palatino Linotype" w:hAnsi="Palatino Linotype" w:cs="Arial"/>
          <w:i/>
          <w:sz w:val="22"/>
          <w:szCs w:val="22"/>
        </w:rPr>
        <w:t>(Sic)</w:t>
      </w:r>
    </w:p>
    <w:p w:rsidR="00E832F6" w:rsidRPr="00075B8C" w:rsidRDefault="0087069A" w:rsidP="00E832F6">
      <w:pPr>
        <w:spacing w:before="100" w:beforeAutospacing="1" w:after="100" w:afterAutospacing="1" w:line="360" w:lineRule="auto"/>
        <w:jc w:val="both"/>
        <w:rPr>
          <w:rFonts w:ascii="Palatino Linotype" w:hAnsi="Palatino Linotype" w:cs="Arial"/>
          <w:sz w:val="24"/>
          <w:szCs w:val="24"/>
          <w:lang w:val="es-ES"/>
        </w:rPr>
      </w:pPr>
      <w:r w:rsidRPr="00075B8C">
        <w:rPr>
          <w:rFonts w:ascii="Palatino Linotype" w:hAnsi="Palatino Linotype" w:cs="Arial"/>
          <w:sz w:val="24"/>
          <w:szCs w:val="24"/>
        </w:rPr>
        <w:t>De lo anterior se advierte que</w:t>
      </w:r>
      <w:r w:rsidR="006141AB" w:rsidRPr="00075B8C">
        <w:rPr>
          <w:rFonts w:ascii="Palatino Linotype" w:hAnsi="Palatino Linotype" w:cs="Arial"/>
          <w:sz w:val="24"/>
          <w:szCs w:val="24"/>
        </w:rPr>
        <w:t>,</w:t>
      </w:r>
      <w:r w:rsidRPr="00075B8C">
        <w:rPr>
          <w:rFonts w:ascii="Palatino Linotype" w:hAnsi="Palatino Linotype" w:cs="Arial"/>
          <w:sz w:val="24"/>
          <w:szCs w:val="24"/>
        </w:rPr>
        <w:t xml:space="preserve"> es responsabilidad del Tesorero </w:t>
      </w:r>
      <w:r w:rsidR="006141AB" w:rsidRPr="00075B8C">
        <w:rPr>
          <w:rFonts w:ascii="Palatino Linotype" w:hAnsi="Palatino Linotype" w:cs="Arial"/>
          <w:sz w:val="24"/>
          <w:szCs w:val="24"/>
        </w:rPr>
        <w:t>Municipal el v</w:t>
      </w:r>
      <w:r w:rsidRPr="00075B8C">
        <w:rPr>
          <w:rFonts w:ascii="Palatino Linotype" w:hAnsi="Palatino Linotype" w:cs="Arial"/>
          <w:sz w:val="24"/>
          <w:szCs w:val="24"/>
        </w:rPr>
        <w:t xml:space="preserve">erificar que todas las pólizas de registro contable y presupuestal, se encuentren firmadas por quien las elaboró, así, </w:t>
      </w:r>
      <w:r w:rsidR="00E832F6" w:rsidRPr="00075B8C">
        <w:rPr>
          <w:rFonts w:ascii="Palatino Linotype" w:hAnsi="Palatino Linotype" w:cs="Arial"/>
          <w:sz w:val="24"/>
          <w:szCs w:val="24"/>
          <w:lang w:val="es-ES"/>
        </w:rPr>
        <w:t xml:space="preserve">resulta claro que existe fuente obligacional que constriñe al </w:t>
      </w:r>
      <w:r w:rsidR="00E832F6" w:rsidRPr="00075B8C">
        <w:rPr>
          <w:rFonts w:ascii="Palatino Linotype" w:hAnsi="Palatino Linotype" w:cs="Arial"/>
          <w:b/>
          <w:sz w:val="24"/>
          <w:szCs w:val="24"/>
          <w:lang w:val="es-ES"/>
        </w:rPr>
        <w:t>SUJETO OBLIGADO</w:t>
      </w:r>
      <w:r w:rsidR="00E832F6" w:rsidRPr="00075B8C">
        <w:rPr>
          <w:rFonts w:ascii="Palatino Linotype" w:hAnsi="Palatino Linotype" w:cs="Arial"/>
          <w:sz w:val="24"/>
          <w:szCs w:val="24"/>
          <w:lang w:val="es-ES"/>
        </w:rPr>
        <w:t xml:space="preserve">, para entregar los informes mensuales al OSFEM de conformidad con el artículo 32 de la Ley de Fiscalización Superior del Estado de México, en los cuales se incluye lo referente las pólizas de ingresos y egresos del Municipio; en consecuencia, la información solicitada; por </w:t>
      </w:r>
      <w:r w:rsidR="00E832F6" w:rsidRPr="00075B8C">
        <w:rPr>
          <w:rFonts w:ascii="Palatino Linotype" w:hAnsi="Palatino Linotype" w:cs="Arial"/>
          <w:b/>
          <w:sz w:val="24"/>
          <w:szCs w:val="24"/>
          <w:lang w:val="es-ES"/>
        </w:rPr>
        <w:t xml:space="preserve">EL RECURRENTE </w:t>
      </w:r>
      <w:r w:rsidR="00E832F6" w:rsidRPr="00075B8C">
        <w:rPr>
          <w:rFonts w:ascii="Palatino Linotype" w:hAnsi="Palatino Linotype" w:cs="Arial"/>
          <w:sz w:val="24"/>
          <w:szCs w:val="24"/>
          <w:lang w:val="es-ES"/>
        </w:rPr>
        <w:t xml:space="preserve">debe obrar en los archivos del </w:t>
      </w:r>
      <w:r w:rsidR="00E832F6" w:rsidRPr="00075B8C">
        <w:rPr>
          <w:rFonts w:ascii="Palatino Linotype" w:hAnsi="Palatino Linotype" w:cs="Arial"/>
          <w:b/>
          <w:sz w:val="24"/>
          <w:szCs w:val="24"/>
          <w:lang w:val="es-ES"/>
        </w:rPr>
        <w:t>SUJETO OBLIGADO</w:t>
      </w:r>
      <w:r w:rsidR="00E832F6" w:rsidRPr="00075B8C">
        <w:rPr>
          <w:rFonts w:ascii="Palatino Linotype" w:hAnsi="Palatino Linotype" w:cs="Arial"/>
          <w:sz w:val="24"/>
          <w:szCs w:val="24"/>
          <w:lang w:val="es-ES"/>
        </w:rPr>
        <w:t>; por lo que, se d</w:t>
      </w:r>
      <w:r w:rsidR="00CE04BB" w:rsidRPr="00075B8C">
        <w:rPr>
          <w:rFonts w:ascii="Palatino Linotype" w:hAnsi="Palatino Linotype" w:cs="Arial"/>
          <w:sz w:val="24"/>
          <w:szCs w:val="24"/>
          <w:lang w:val="es-ES"/>
        </w:rPr>
        <w:t xml:space="preserve">etermina ordenar la entrega de los </w:t>
      </w:r>
      <w:r w:rsidR="00E832F6" w:rsidRPr="00075B8C">
        <w:rPr>
          <w:rFonts w:ascii="Palatino Linotype" w:hAnsi="Palatino Linotype" w:cs="Arial"/>
          <w:sz w:val="24"/>
          <w:szCs w:val="24"/>
          <w:lang w:val="es-ES"/>
        </w:rPr>
        <w:t>documento</w:t>
      </w:r>
      <w:r w:rsidR="00CE04BB" w:rsidRPr="00075B8C">
        <w:rPr>
          <w:rFonts w:ascii="Palatino Linotype" w:hAnsi="Palatino Linotype" w:cs="Arial"/>
          <w:sz w:val="24"/>
          <w:szCs w:val="24"/>
          <w:lang w:val="es-ES"/>
        </w:rPr>
        <w:t>s</w:t>
      </w:r>
      <w:r w:rsidR="00E832F6" w:rsidRPr="00075B8C">
        <w:rPr>
          <w:rFonts w:ascii="Palatino Linotype" w:hAnsi="Palatino Linotype" w:cs="Arial"/>
          <w:sz w:val="24"/>
          <w:szCs w:val="24"/>
          <w:lang w:val="es-ES"/>
        </w:rPr>
        <w:t xml:space="preserve"> que de manera enunciativa mas no limitativa pudiera</w:t>
      </w:r>
      <w:r w:rsidR="00CE04BB" w:rsidRPr="00075B8C">
        <w:rPr>
          <w:rFonts w:ascii="Palatino Linotype" w:hAnsi="Palatino Linotype" w:cs="Arial"/>
          <w:sz w:val="24"/>
          <w:szCs w:val="24"/>
          <w:lang w:val="es-ES"/>
        </w:rPr>
        <w:t>n</w:t>
      </w:r>
      <w:r w:rsidR="00E832F6" w:rsidRPr="00075B8C">
        <w:rPr>
          <w:rFonts w:ascii="Palatino Linotype" w:hAnsi="Palatino Linotype" w:cs="Arial"/>
          <w:sz w:val="24"/>
          <w:szCs w:val="24"/>
          <w:lang w:val="es-ES"/>
        </w:rPr>
        <w:t xml:space="preserve"> colmar el derecho de acceso a la información del solicitante; correspondiente, a los meses de enero y febrero de 2019.</w:t>
      </w:r>
    </w:p>
    <w:p w:rsidR="006141AB" w:rsidRPr="00075B8C" w:rsidRDefault="006141AB" w:rsidP="006141AB">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 xml:space="preserve">Ahora bien, toda vez que la información referida puede contener datos personales que podrían afectar a personas físicas; por lo que, se ordena la entrega de las mismas en </w:t>
      </w:r>
      <w:r w:rsidRPr="00075B8C">
        <w:rPr>
          <w:rFonts w:ascii="Palatino Linotype" w:hAnsi="Palatino Linotype"/>
          <w:b/>
          <w:sz w:val="24"/>
          <w:szCs w:val="24"/>
        </w:rPr>
        <w:t>versión pública</w:t>
      </w:r>
      <w:r w:rsidRPr="00075B8C">
        <w:rPr>
          <w:rFonts w:ascii="Palatino Linotype" w:hAnsi="Palatino Linotype"/>
          <w:sz w:val="24"/>
          <w:szCs w:val="24"/>
        </w:rPr>
        <w:t xml:space="preserve">, lo cual es de señalar que no opera con la simple supresión de datos que se haga en los documentos de que se trate o con la simple decisión que tome el </w:t>
      </w:r>
      <w:r w:rsidRPr="00075B8C">
        <w:rPr>
          <w:rFonts w:ascii="Palatino Linotype" w:hAnsi="Palatino Linotype"/>
          <w:sz w:val="24"/>
          <w:szCs w:val="24"/>
        </w:rPr>
        <w:lastRenderedPageBreak/>
        <w:t xml:space="preserve">Servidor Público Habilitado o el Responsable de la Unidad de Transparencia del </w:t>
      </w:r>
      <w:r w:rsidRPr="00075B8C">
        <w:rPr>
          <w:rFonts w:ascii="Palatino Linotype" w:hAnsi="Palatino Linotype"/>
          <w:b/>
          <w:sz w:val="24"/>
          <w:szCs w:val="24"/>
        </w:rPr>
        <w:t>SUJETO OBLIGADO</w:t>
      </w:r>
      <w:r w:rsidRPr="00075B8C">
        <w:rPr>
          <w:rFonts w:ascii="Palatino Linotype" w:hAnsi="Palatino Linotype"/>
          <w:sz w:val="24"/>
          <w:szCs w:val="24"/>
        </w:rPr>
        <w:t>, sino que ello deberá realizarse en términos de lo que disponen los artículos 3, fracciones IX, XX, XXI, XXXII, XLV; 6, 49, fracción VIII, 53, fracción X, 59, fracción V, 137, 143, fracción I de la Ley de Transparencia y Acceso a la Información Pública del Estado de México y Municipios vigente, que son del tenor literal siguiente:</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“Artículo 3.</w:t>
      </w:r>
      <w:r w:rsidRPr="00075B8C">
        <w:rPr>
          <w:rFonts w:ascii="Palatino Linotype" w:hAnsi="Palatino Linotype"/>
          <w:i/>
          <w:sz w:val="22"/>
          <w:szCs w:val="22"/>
        </w:rPr>
        <w:t xml:space="preserve"> Para los efectos de la presente Ley se entenderá por:</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IX. Datos personales:</w:t>
      </w:r>
      <w:r w:rsidRPr="00075B8C">
        <w:rPr>
          <w:rFonts w:ascii="Palatino Linotype" w:hAnsi="Palatino Linotype"/>
          <w:i/>
          <w:sz w:val="22"/>
          <w:szCs w:val="22"/>
        </w:rPr>
        <w:t xml:space="preserve"> La información concerniente a una persona, identificada o identificable según lo dispuesto por la Ley de Protección de Datos Personales del Estado de México;</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XX. Información clasificada:</w:t>
      </w:r>
      <w:r w:rsidRPr="00075B8C">
        <w:rPr>
          <w:rFonts w:ascii="Palatino Linotype" w:hAnsi="Palatino Linotype"/>
          <w:i/>
          <w:sz w:val="22"/>
          <w:szCs w:val="22"/>
        </w:rPr>
        <w:t xml:space="preserve"> Aquella considerada por la presente Ley como reservada o confidencial;</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 xml:space="preserve">XXI. Información confidencial: </w:t>
      </w:r>
      <w:r w:rsidRPr="00075B8C">
        <w:rPr>
          <w:rFonts w:ascii="Palatino Linotype" w:hAnsi="Palatino Linotype"/>
          <w:i/>
          <w:sz w:val="22"/>
          <w:szCs w:val="22"/>
        </w:rPr>
        <w:t>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XXXII. Protección de Datos Personales:</w:t>
      </w:r>
      <w:r w:rsidRPr="00075B8C">
        <w:rPr>
          <w:rFonts w:ascii="Palatino Linotype" w:hAnsi="Palatino Linotype"/>
          <w:i/>
          <w:sz w:val="22"/>
          <w:szCs w:val="22"/>
        </w:rPr>
        <w:t xml:space="preserve"> Derecho humano que tutela la privacidad de datos personales en poder de los sujetos obligados y sujetos particulares;</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XLV. Versión pública:</w:t>
      </w:r>
      <w:r w:rsidRPr="00075B8C">
        <w:rPr>
          <w:rFonts w:ascii="Palatino Linotype" w:hAnsi="Palatino Linotype"/>
          <w:i/>
          <w:sz w:val="22"/>
          <w:szCs w:val="22"/>
        </w:rPr>
        <w:t xml:space="preserve"> Documento en el que se elimine, suprime o borra la información clasificada como reservada o confidencial para permitir su acceso.</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Artículo 6.</w:t>
      </w:r>
      <w:r w:rsidRPr="00075B8C">
        <w:rPr>
          <w:rFonts w:ascii="Palatino Linotype" w:hAnsi="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Artículo 49.</w:t>
      </w:r>
      <w:r w:rsidRPr="00075B8C">
        <w:rPr>
          <w:rFonts w:ascii="Palatino Linotype" w:hAnsi="Palatino Linotype"/>
          <w:i/>
          <w:sz w:val="22"/>
          <w:szCs w:val="22"/>
        </w:rPr>
        <w:t xml:space="preserve"> Los Comités de Transparencia tendrán las siguientes atribuciones:</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VIII.</w:t>
      </w:r>
      <w:r w:rsidRPr="00075B8C">
        <w:rPr>
          <w:rFonts w:ascii="Palatino Linotype" w:hAnsi="Palatino Linotype"/>
          <w:i/>
          <w:sz w:val="22"/>
          <w:szCs w:val="22"/>
        </w:rPr>
        <w:t xml:space="preserve"> Aprobar, modificar o revocar la clasificación de la información…”</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Artículo 53.</w:t>
      </w:r>
      <w:r w:rsidRPr="00075B8C">
        <w:rPr>
          <w:rFonts w:ascii="Palatino Linotype" w:hAnsi="Palatino Linotype"/>
          <w:i/>
          <w:sz w:val="22"/>
          <w:szCs w:val="22"/>
        </w:rPr>
        <w:t xml:space="preserve"> Las Unidades de Transparencia tendrán las siguientes funciones:</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X.</w:t>
      </w:r>
      <w:r w:rsidRPr="00075B8C">
        <w:rPr>
          <w:rFonts w:ascii="Palatino Linotype" w:hAnsi="Palatino Linotype"/>
          <w:i/>
          <w:sz w:val="22"/>
          <w:szCs w:val="22"/>
        </w:rPr>
        <w:t xml:space="preserve"> Presentar ante el Comité, el proyecto de clasificación de información…” </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Artículo 59.</w:t>
      </w:r>
      <w:r w:rsidRPr="00075B8C">
        <w:rPr>
          <w:rFonts w:ascii="Palatino Linotype" w:hAnsi="Palatino Linotype"/>
          <w:i/>
          <w:sz w:val="22"/>
          <w:szCs w:val="22"/>
        </w:rPr>
        <w:t xml:space="preserve"> Los servidores públicos habilitados tendrán las funciones siguientes:</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lastRenderedPageBreak/>
        <w:t>V.</w:t>
      </w:r>
      <w:r w:rsidRPr="00075B8C">
        <w:rPr>
          <w:rFonts w:ascii="Palatino Linotype" w:hAnsi="Palatino Linotype"/>
          <w:i/>
          <w:sz w:val="22"/>
          <w:szCs w:val="22"/>
        </w:rPr>
        <w:t xml:space="preserve"> Integrar y presentar al responsable de la Unidad de Transparencia la propuesta de clasificación de información, la cual tendrá los fundamentos y argumentos en que se basa dicha propuesta…”</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Artículo 137.</w:t>
      </w:r>
      <w:r w:rsidRPr="00075B8C">
        <w:rPr>
          <w:rFonts w:ascii="Palatino Linotype" w:hAnsi="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Artículo 143.</w:t>
      </w:r>
      <w:r w:rsidRPr="00075B8C">
        <w:rPr>
          <w:rFonts w:ascii="Palatino Linotype" w:hAnsi="Palatino Linotype"/>
          <w:i/>
          <w:sz w:val="22"/>
          <w:szCs w:val="22"/>
        </w:rPr>
        <w:t xml:space="preserve"> Para los efectos de esta Ley se considera información confidencial, la clasificada como tal, de manera permanente, por su naturaleza, cuando:</w:t>
      </w:r>
    </w:p>
    <w:p w:rsidR="006141AB" w:rsidRPr="00075B8C" w:rsidRDefault="006141AB" w:rsidP="006141AB">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b/>
          <w:i/>
          <w:sz w:val="22"/>
          <w:szCs w:val="22"/>
        </w:rPr>
        <w:t>I.</w:t>
      </w:r>
      <w:r w:rsidRPr="00075B8C">
        <w:rPr>
          <w:rFonts w:ascii="Palatino Linotype" w:hAnsi="Palatino Linotype"/>
          <w:i/>
          <w:sz w:val="22"/>
          <w:szCs w:val="22"/>
        </w:rPr>
        <w:t xml:space="preserve"> Se refiera a la información privada y los datos personales concernientes a una persona física o jurídico colectiva identificada o identificable…</w:t>
      </w:r>
      <w:r w:rsidRPr="00075B8C">
        <w:rPr>
          <w:rFonts w:ascii="Palatino Linotype" w:hAnsi="Palatino Linotype"/>
          <w:b/>
          <w:i/>
          <w:sz w:val="22"/>
          <w:szCs w:val="22"/>
        </w:rPr>
        <w:t>”</w:t>
      </w:r>
    </w:p>
    <w:p w:rsidR="006141AB" w:rsidRPr="00075B8C" w:rsidRDefault="006141AB" w:rsidP="006141AB">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 xml:space="preserve">De los citados elementos normativos se denota que el determinar la clasificación de la información que sea peticionada vía acceso a la información pública, es un trabajo en conjunto tanto de los Servidores Públicos Habilitados, como de las Unidades de Transparencia y del Comité de Transparencia del </w:t>
      </w:r>
      <w:r w:rsidRPr="00075B8C">
        <w:rPr>
          <w:rFonts w:ascii="Palatino Linotype" w:hAnsi="Palatino Linotype"/>
          <w:b/>
          <w:sz w:val="24"/>
          <w:szCs w:val="24"/>
        </w:rPr>
        <w:t>SUJETO OBLIGADO</w:t>
      </w:r>
      <w:r w:rsidRPr="00075B8C">
        <w:rPr>
          <w:rFonts w:ascii="Palatino Linotype" w:hAnsi="Palatino Linotype"/>
          <w:sz w:val="24"/>
          <w:szCs w:val="24"/>
        </w:rPr>
        <w:t>, teniendo el deber los primeros de ellos de presentar ante la Unidad de Transparencia la propuesta de la clasificación de la información, para que luego, ésta la presente ante al Comité de Transparencia, de así resultar procedente el proyecto de clasificación de la información y finalmente sea éste último quien apruebe, modifique o revoque la clasificación de la información solicitada.</w:t>
      </w:r>
    </w:p>
    <w:p w:rsidR="006141AB" w:rsidRPr="00075B8C" w:rsidRDefault="006141AB" w:rsidP="006141AB">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Para lo cual, a su vez en el caso de información de carácter confidencial se debe atender a lo que señala el artículo 149 de la Ley de Transparencia Local vigente, cuyo contenido es de la literalidad siguiente:</w:t>
      </w:r>
    </w:p>
    <w:p w:rsidR="006141AB" w:rsidRPr="00075B8C" w:rsidRDefault="006141AB" w:rsidP="006141AB">
      <w:pPr>
        <w:autoSpaceDE w:val="0"/>
        <w:autoSpaceDN w:val="0"/>
        <w:adjustRightInd w:val="0"/>
        <w:ind w:left="851" w:right="899"/>
        <w:jc w:val="both"/>
        <w:rPr>
          <w:rFonts w:ascii="Palatino Linotype" w:hAnsi="Palatino Linotype"/>
          <w:i/>
          <w:sz w:val="22"/>
          <w:szCs w:val="22"/>
        </w:rPr>
      </w:pPr>
      <w:r w:rsidRPr="00075B8C">
        <w:rPr>
          <w:rFonts w:ascii="Palatino Linotype" w:hAnsi="Palatino Linotype"/>
          <w:b/>
          <w:i/>
          <w:sz w:val="22"/>
          <w:szCs w:val="22"/>
        </w:rPr>
        <w:t>“Artículo 149.</w:t>
      </w:r>
      <w:r w:rsidRPr="00075B8C">
        <w:rPr>
          <w:rFonts w:ascii="Palatino Linotype" w:hAnsi="Palatino Linotype"/>
          <w:i/>
          <w:sz w:val="22"/>
          <w:szCs w:val="22"/>
        </w:rPr>
        <w:t xml:space="preserve"> El acuerdo que clasifique la información como confidencial deberá contener un razonamiento lógico en el que demuestre que la información se encuentra en alguna o algunas de las hipótesis previstas en la presente Ley.</w:t>
      </w:r>
      <w:r w:rsidRPr="00075B8C">
        <w:rPr>
          <w:rFonts w:ascii="Palatino Linotype" w:hAnsi="Palatino Linotype"/>
          <w:b/>
          <w:i/>
          <w:sz w:val="22"/>
          <w:szCs w:val="22"/>
        </w:rPr>
        <w:t>”</w:t>
      </w:r>
    </w:p>
    <w:p w:rsidR="006141AB" w:rsidRPr="00075B8C" w:rsidRDefault="006141AB" w:rsidP="006141AB">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lastRenderedPageBreak/>
        <w:t xml:space="preserve">Es decir, </w:t>
      </w:r>
      <w:r w:rsidRPr="00075B8C">
        <w:rPr>
          <w:rFonts w:ascii="Palatino Linotype" w:hAnsi="Palatino Linotype"/>
          <w:b/>
          <w:sz w:val="24"/>
          <w:szCs w:val="24"/>
        </w:rPr>
        <w:t>EL SUJETO OBLIGADO</w:t>
      </w:r>
      <w:r w:rsidRPr="00075B8C">
        <w:rPr>
          <w:rFonts w:ascii="Palatino Linotype" w:hAnsi="Palatino Linotype"/>
          <w:sz w:val="24"/>
          <w:szCs w:val="24"/>
        </w:rPr>
        <w:t xml:space="preserve"> a través de su Comité de Transparencia, para la entrega de la información materia del presente recurso; deberá elaborar un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transgrediendo el derecho de acceso a la información del solicitante.</w:t>
      </w:r>
    </w:p>
    <w:p w:rsidR="006141AB" w:rsidRPr="00075B8C" w:rsidRDefault="006141AB" w:rsidP="006141AB">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En el caso específico, la información solicitada puede contener datos susceptibles de clasificarse, que de hacerse públicos afectarían la intimidad y vida privada de particulares; que se ha reiterado en las resoluciones de este Pleno que además de los datos especificados en la Ley de Transparencia y Acceso a la Información Pública del Estado de México y Municipios, se consideran confidenciales y por tanto deben testarse al momento de la elaboración de versiones públicas, como pudieran ser de manera enunciativa más no limitativa, el Registro Federal de Contribuyentes (RFC), la Clave Única de Registro de Población (CURP), así como, los números de Cuenta Bancarios, los Códigos QR que sean exclusivamente de particulares.</w:t>
      </w:r>
    </w:p>
    <w:p w:rsidR="006141AB" w:rsidRPr="00075B8C" w:rsidRDefault="006141AB" w:rsidP="006141AB">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 xml:space="preserve">En cuanto al </w:t>
      </w:r>
      <w:r w:rsidRPr="00075B8C">
        <w:rPr>
          <w:rFonts w:ascii="Palatino Linotype" w:hAnsi="Palatino Linotype"/>
          <w:b/>
          <w:sz w:val="24"/>
          <w:szCs w:val="24"/>
        </w:rPr>
        <w:t>RFC</w:t>
      </w:r>
      <w:r w:rsidRPr="00075B8C">
        <w:rPr>
          <w:rFonts w:ascii="Palatino Linotype" w:hAnsi="Palatino Linotype"/>
          <w:sz w:val="24"/>
          <w:szCs w:val="24"/>
        </w:rPr>
        <w:t xml:space="preserve"> de personas físicas constituye un dato personal, ya que para su obtención es necesario acreditar ante la autoridad fiscal previamente la identidad de la persona, su fecha de nacimiento, entre otros aspectos.</w:t>
      </w:r>
    </w:p>
    <w:p w:rsidR="00672E75" w:rsidRPr="00075B8C" w:rsidRDefault="00672E75" w:rsidP="00672E75">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lastRenderedPageBreak/>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672E75" w:rsidRPr="00075B8C" w:rsidRDefault="00672E75" w:rsidP="00672E75">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Lo anterior es compartido por el Instituto Nacional de Transparencia, Acceso a la Información y Protección de Datos Personales (INAI), a través del Criterio 19/2017, el cual es del tenor literal siguiente:</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b/>
          <w:i/>
          <w:sz w:val="22"/>
          <w:szCs w:val="22"/>
        </w:rPr>
        <w:t>“</w:t>
      </w:r>
      <w:r w:rsidRPr="00075B8C">
        <w:rPr>
          <w:rFonts w:ascii="Palatino Linotype" w:hAnsi="Palatino Linotype"/>
          <w:i/>
          <w:sz w:val="22"/>
          <w:szCs w:val="22"/>
        </w:rPr>
        <w:t>Registro Federal de Contribuyentes (RFC) de personas físicas. El RFC es una clave de carácter fiscal, única e irrepetible, que permite identificar al titular, su edad y fecha de nacimiento, por lo que es un dato personal de carácter confidencial.</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i/>
          <w:sz w:val="22"/>
          <w:szCs w:val="22"/>
        </w:rPr>
        <w:t>Resoluciones:</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i/>
          <w:sz w:val="22"/>
          <w:szCs w:val="22"/>
        </w:rPr>
        <w:t>•</w:t>
      </w:r>
      <w:r w:rsidRPr="00075B8C">
        <w:rPr>
          <w:rFonts w:ascii="Palatino Linotype" w:hAnsi="Palatino Linotype"/>
          <w:i/>
          <w:sz w:val="22"/>
          <w:szCs w:val="22"/>
        </w:rPr>
        <w:tab/>
        <w:t>RRA 0189/17. Morena. 08 de febrero de 2017. Por unanimidad. Comisionado Ponente Joel Salas Suárez.</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i/>
          <w:sz w:val="22"/>
          <w:szCs w:val="22"/>
        </w:rPr>
        <w:t>•</w:t>
      </w:r>
      <w:r w:rsidRPr="00075B8C">
        <w:rPr>
          <w:rFonts w:ascii="Palatino Linotype" w:hAnsi="Palatino Linotype"/>
          <w:i/>
          <w:sz w:val="22"/>
          <w:szCs w:val="22"/>
        </w:rPr>
        <w:tab/>
        <w:t xml:space="preserve">RRA 0677/17. Universidad Nacional Autónoma de México. 08 de marzo de 2017. Por unanimidad. Comisionado Ponente Rosendoevgueni Monterrey Chepov. </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i/>
          <w:sz w:val="22"/>
          <w:szCs w:val="22"/>
        </w:rPr>
        <w:t>•</w:t>
      </w:r>
      <w:r w:rsidRPr="00075B8C">
        <w:rPr>
          <w:rFonts w:ascii="Palatino Linotype" w:hAnsi="Palatino Linotype"/>
          <w:i/>
          <w:sz w:val="22"/>
          <w:szCs w:val="22"/>
        </w:rPr>
        <w:tab/>
        <w:t>RRA 1564/17. Tribunal Electoral del Poder Judicial de la Federación. 26 de abril de 2017. Por unanimidad. Comisionado Ponente Oscar Mauricio Guerra Ford.</w:t>
      </w:r>
      <w:r w:rsidRPr="00075B8C">
        <w:rPr>
          <w:rFonts w:ascii="Palatino Linotype" w:hAnsi="Palatino Linotype"/>
          <w:b/>
          <w:i/>
          <w:sz w:val="22"/>
          <w:szCs w:val="22"/>
        </w:rPr>
        <w:t>”</w:t>
      </w:r>
    </w:p>
    <w:p w:rsidR="00672E75" w:rsidRPr="00075B8C" w:rsidRDefault="00672E75" w:rsidP="00672E75">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 xml:space="preserve">Así, el RFC se vincula al nombre de su titular y permite identificar la edad de la persona, su fecha de nacimiento, así como su homoclave, la cual es única e irrepetible y determina la identificación de dicha persona para efectos fiscales, por lo que constituye un dato personal que concierne </w:t>
      </w:r>
      <w:r w:rsidRPr="00075B8C">
        <w:rPr>
          <w:rFonts w:ascii="Palatino Linotype" w:hAnsi="Palatino Linotype"/>
          <w:b/>
          <w:sz w:val="24"/>
          <w:szCs w:val="24"/>
        </w:rPr>
        <w:t>a una persona física</w:t>
      </w:r>
      <w:r w:rsidRPr="00075B8C">
        <w:rPr>
          <w:rFonts w:ascii="Palatino Linotype" w:hAnsi="Palatino Linotype"/>
          <w:sz w:val="24"/>
          <w:szCs w:val="24"/>
        </w:rPr>
        <w:t xml:space="preserve"> identificada e identificable; sin embargo, para las personas jurídico colectivas, es un dato que </w:t>
      </w:r>
      <w:r w:rsidRPr="00075B8C">
        <w:rPr>
          <w:rFonts w:ascii="Palatino Linotype" w:hAnsi="Palatino Linotype"/>
          <w:b/>
          <w:sz w:val="24"/>
          <w:szCs w:val="24"/>
        </w:rPr>
        <w:t xml:space="preserve">EL SUJETO OBLIGADO </w:t>
      </w:r>
      <w:r w:rsidRPr="00075B8C">
        <w:rPr>
          <w:rFonts w:ascii="Palatino Linotype" w:hAnsi="Palatino Linotype"/>
          <w:sz w:val="24"/>
          <w:szCs w:val="24"/>
        </w:rPr>
        <w:t>deberá dejar visible.</w:t>
      </w:r>
    </w:p>
    <w:p w:rsidR="00672E75" w:rsidRPr="00075B8C" w:rsidRDefault="00672E75" w:rsidP="00672E75">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lastRenderedPageBreak/>
        <w:t>En cuanto a la CURP en virtud de que éste se 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rsidR="00672E75" w:rsidRPr="00075B8C" w:rsidRDefault="00672E75" w:rsidP="00672E75">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 xml:space="preserve">Argumento que es compartido por el Instituto Nacional de Transparencia, Acceso a la Información y Protección de Datos Personales (INAI), conforme al criterio número 18/2017, el cual refiere: </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i/>
          <w:sz w:val="22"/>
          <w:szCs w:val="22"/>
        </w:rPr>
        <w:t>“Clave Única de Registro de Población (CURP). 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i/>
          <w:sz w:val="22"/>
          <w:szCs w:val="22"/>
        </w:rPr>
        <w:t>Resoluciones:</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i/>
          <w:sz w:val="22"/>
          <w:szCs w:val="22"/>
        </w:rPr>
        <w:t>•</w:t>
      </w:r>
      <w:r w:rsidRPr="00075B8C">
        <w:rPr>
          <w:rFonts w:ascii="Palatino Linotype" w:hAnsi="Palatino Linotype"/>
          <w:i/>
          <w:sz w:val="22"/>
          <w:szCs w:val="22"/>
        </w:rPr>
        <w:tab/>
        <w:t>RRA 3995/16. Secretaría de la Defensa Nacional. 1 de febrero de 2017. Por unanimidad. Comisionado Ponente Rosendoevgueni Monterrey Chepov.</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i/>
          <w:sz w:val="22"/>
          <w:szCs w:val="22"/>
        </w:rPr>
        <w:t>•</w:t>
      </w:r>
      <w:r w:rsidRPr="00075B8C">
        <w:rPr>
          <w:rFonts w:ascii="Palatino Linotype" w:hAnsi="Palatino Linotype"/>
          <w:i/>
          <w:sz w:val="22"/>
          <w:szCs w:val="22"/>
        </w:rPr>
        <w:tab/>
        <w:t xml:space="preserve">RRA 0937/17. Senado de la República. 15 de marzo de 2017. Por unanimidad. Comisionada Ponente Ximena Puente de la Mora. </w:t>
      </w:r>
    </w:p>
    <w:p w:rsidR="00672E75" w:rsidRPr="00075B8C" w:rsidRDefault="00672E75" w:rsidP="00672E75">
      <w:pPr>
        <w:autoSpaceDE w:val="0"/>
        <w:autoSpaceDN w:val="0"/>
        <w:adjustRightInd w:val="0"/>
        <w:spacing w:line="240" w:lineRule="auto"/>
        <w:ind w:left="851" w:right="899"/>
        <w:jc w:val="both"/>
        <w:rPr>
          <w:rFonts w:ascii="Palatino Linotype" w:hAnsi="Palatino Linotype"/>
          <w:i/>
          <w:sz w:val="22"/>
          <w:szCs w:val="22"/>
        </w:rPr>
      </w:pPr>
      <w:r w:rsidRPr="00075B8C">
        <w:rPr>
          <w:rFonts w:ascii="Palatino Linotype" w:hAnsi="Palatino Linotype"/>
          <w:i/>
          <w:sz w:val="22"/>
          <w:szCs w:val="22"/>
        </w:rPr>
        <w:t>•</w:t>
      </w:r>
      <w:r w:rsidRPr="00075B8C">
        <w:rPr>
          <w:rFonts w:ascii="Palatino Linotype" w:hAnsi="Palatino Linotype"/>
          <w:i/>
          <w:sz w:val="22"/>
          <w:szCs w:val="22"/>
        </w:rPr>
        <w:tab/>
        <w:t>RRA 0478/17. Secretaría de Relaciones Exteriores. 26 de abril de 2017. Por unanimidad. Comisionada Ponente Areli Cano Guadiana.”</w:t>
      </w:r>
    </w:p>
    <w:p w:rsidR="00672E75" w:rsidRPr="00075B8C" w:rsidRDefault="00672E75" w:rsidP="00672E75">
      <w:pPr>
        <w:pStyle w:val="Prrafodelista"/>
        <w:widowControl w:val="0"/>
        <w:autoSpaceDE w:val="0"/>
        <w:autoSpaceDN w:val="0"/>
        <w:adjustRightInd w:val="0"/>
        <w:spacing w:before="240" w:after="240" w:line="360" w:lineRule="auto"/>
        <w:ind w:left="0"/>
        <w:jc w:val="both"/>
        <w:rPr>
          <w:rFonts w:ascii="Palatino Linotype" w:hAnsi="Palatino Linotype" w:cs="Arial"/>
          <w:sz w:val="24"/>
          <w:szCs w:val="24"/>
        </w:rPr>
      </w:pPr>
      <w:r w:rsidRPr="00075B8C">
        <w:rPr>
          <w:rFonts w:ascii="Palatino Linotype" w:hAnsi="Palatino Linotype" w:cs="Arial"/>
          <w:sz w:val="24"/>
          <w:szCs w:val="24"/>
        </w:rPr>
        <w:t xml:space="preserve">Respecto de los </w:t>
      </w:r>
      <w:r w:rsidRPr="00075B8C">
        <w:rPr>
          <w:rFonts w:ascii="Palatino Linotype" w:hAnsi="Palatino Linotype" w:cs="Arial"/>
          <w:b/>
          <w:sz w:val="24"/>
          <w:szCs w:val="24"/>
        </w:rPr>
        <w:t>Códigos Bidimensionales</w:t>
      </w:r>
      <w:r w:rsidRPr="00075B8C">
        <w:rPr>
          <w:rFonts w:ascii="Palatino Linotype" w:hAnsi="Palatino Linotype" w:cs="Arial"/>
          <w:sz w:val="24"/>
          <w:szCs w:val="24"/>
        </w:rPr>
        <w:t xml:space="preserve">, también denominados </w:t>
      </w:r>
      <w:r w:rsidRPr="00075B8C">
        <w:rPr>
          <w:rFonts w:ascii="Palatino Linotype" w:hAnsi="Palatino Linotype" w:cs="Arial"/>
          <w:b/>
          <w:sz w:val="24"/>
          <w:szCs w:val="24"/>
        </w:rPr>
        <w:t>Códigos QR</w:t>
      </w:r>
      <w:r w:rsidRPr="00075B8C">
        <w:rPr>
          <w:rFonts w:ascii="Palatino Linotype" w:hAnsi="Palatino Linotype" w:cs="Arial"/>
          <w:sz w:val="24"/>
          <w:szCs w:val="24"/>
        </w:rPr>
        <w:t xml:space="preserve">, se trata de barras en dos dimensiones que al igual a los códigos de barras o códigos unidimensionales, son </w:t>
      </w:r>
      <w:r w:rsidRPr="00075B8C">
        <w:rPr>
          <w:rFonts w:ascii="Palatino Linotype" w:hAnsi="Palatino Linotype"/>
          <w:sz w:val="24"/>
          <w:szCs w:val="24"/>
        </w:rPr>
        <w:t>utilizados</w:t>
      </w:r>
      <w:r w:rsidRPr="00075B8C">
        <w:rPr>
          <w:rFonts w:ascii="Palatino Linotype" w:hAnsi="Palatino Linotype" w:cs="Arial"/>
          <w:sz w:val="24"/>
          <w:szCs w:val="24"/>
        </w:rPr>
        <w:t xml:space="preserve"> para almacenar diversos tipos datos de manera codificada, los cuales a través de lectores de acceso libre para cualquier persona, pueden obtenerse los datos que en éstos se contienen, por ejemplo la Clave Única de </w:t>
      </w:r>
      <w:r w:rsidRPr="00075B8C">
        <w:rPr>
          <w:rFonts w:ascii="Palatino Linotype" w:hAnsi="Palatino Linotype" w:cs="Arial"/>
          <w:sz w:val="24"/>
          <w:szCs w:val="24"/>
        </w:rPr>
        <w:lastRenderedPageBreak/>
        <w:t>Registro de Población, tratándose de personas físicas.</w:t>
      </w:r>
    </w:p>
    <w:p w:rsidR="00672E75" w:rsidRPr="00075B8C" w:rsidRDefault="00672E75" w:rsidP="00672E75">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Igualmente, resulta importante destacar que el número de cuenta bancaria de las personas físicas es información que sólo su titular o personas autorizadas poseen para el acceso o consulta de información patrimonial, o para la realización de operaciones bancarias de diversa naturaleza, por lo que la difusión pública del mismo facilitaría la afectación al patrimonio del titular de la cuenta.</w:t>
      </w:r>
    </w:p>
    <w:p w:rsidR="00672E75" w:rsidRPr="00075B8C" w:rsidRDefault="00672E75" w:rsidP="00672E75">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Por lo anterior, el número de cuenta bancaria debe ser clasificado como confidencial con fundamento en la fracciones I y II del artículo 143 de la Ley de la Materia de la Entidad; en razón de que, con su difusión se estaría poniendo en riesgo la seguridad de su titular.</w:t>
      </w:r>
    </w:p>
    <w:p w:rsidR="00672E75" w:rsidRPr="00075B8C" w:rsidRDefault="00672E75" w:rsidP="00672E75">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 xml:space="preserve">Además de que, la publicidad de los números de cuenta bancaria de los particulares en nada contribuye a la rendición de cuentas, sino por el contrario, dar a conocer los números de las cuentas bancarias hace vulnerable a las personas físicas, al abrir la posibilidad de que terceros que cuenten con las posibilidades tecnológicas y/o económicas puedan realizar actos ilícitos mediante operaciones cibernéticas; en esa virtud, este Instituto determina que dicha información no puede ser del dominio público, toda vez que se podría dar un uso inadecuado a la misma o cometer algún ilícito o fraude en contra del patrimonio de los particulares. </w:t>
      </w:r>
    </w:p>
    <w:p w:rsidR="00672E75" w:rsidRPr="00075B8C" w:rsidRDefault="00672E75" w:rsidP="00672E75">
      <w:pPr>
        <w:autoSpaceDE w:val="0"/>
        <w:autoSpaceDN w:val="0"/>
        <w:adjustRightInd w:val="0"/>
        <w:spacing w:before="240" w:after="240" w:line="360" w:lineRule="auto"/>
        <w:ind w:right="50"/>
        <w:jc w:val="both"/>
        <w:rPr>
          <w:rFonts w:ascii="Palatino Linotype" w:hAnsi="Palatino Linotype"/>
          <w:sz w:val="24"/>
          <w:szCs w:val="24"/>
        </w:rPr>
      </w:pPr>
      <w:r w:rsidRPr="00075B8C">
        <w:rPr>
          <w:rFonts w:ascii="Palatino Linotype" w:hAnsi="Palatino Linotype"/>
          <w:sz w:val="24"/>
          <w:szCs w:val="24"/>
        </w:rPr>
        <w:t xml:space="preserve">Es por esta razón que se debe omitir el o los números de cuentas bancarias de particulares únicamente, en las versiones públicas que de las facturas se hagan, para ser entregadas al no así de los Sujetos Obligados, ya que estas son públicas. </w:t>
      </w:r>
    </w:p>
    <w:p w:rsidR="00672E75" w:rsidRPr="00075B8C" w:rsidRDefault="00672E75" w:rsidP="00672E75">
      <w:pPr>
        <w:autoSpaceDE w:val="0"/>
        <w:autoSpaceDN w:val="0"/>
        <w:adjustRightInd w:val="0"/>
        <w:spacing w:before="240" w:after="240" w:line="360" w:lineRule="auto"/>
        <w:ind w:right="51"/>
        <w:jc w:val="both"/>
        <w:rPr>
          <w:rFonts w:ascii="Palatino Linotype" w:eastAsia="Arial Unicode MS" w:hAnsi="Palatino Linotype" w:cs="Arial"/>
          <w:sz w:val="24"/>
          <w:szCs w:val="24"/>
        </w:rPr>
      </w:pPr>
      <w:r w:rsidRPr="00075B8C">
        <w:rPr>
          <w:rFonts w:ascii="Palatino Linotype" w:hAnsi="Palatino Linotype"/>
          <w:sz w:val="24"/>
          <w:szCs w:val="24"/>
        </w:rPr>
        <w:lastRenderedPageBreak/>
        <w:t>Lo anterior encuentra sustento a su vez en lo señalado en el criterio 10/13 emitido por el entonces IFAI ahora Instituto Nacional de Transparencia y Acceso a la Información Pública del Estado de México y Municipios, así como en el diverso criterio 11/2017, que a la letra dicen:</w:t>
      </w:r>
    </w:p>
    <w:p w:rsidR="00672E75" w:rsidRPr="00075B8C" w:rsidRDefault="00672E75" w:rsidP="00672E75">
      <w:pPr>
        <w:autoSpaceDE w:val="0"/>
        <w:autoSpaceDN w:val="0"/>
        <w:adjustRightInd w:val="0"/>
        <w:spacing w:after="0" w:line="240" w:lineRule="auto"/>
        <w:ind w:left="851" w:right="902"/>
        <w:jc w:val="center"/>
        <w:rPr>
          <w:rFonts w:ascii="Palatino Linotype" w:hAnsi="Palatino Linotype"/>
          <w:b/>
          <w:i/>
          <w:sz w:val="22"/>
          <w:szCs w:val="22"/>
        </w:rPr>
      </w:pPr>
      <w:r w:rsidRPr="00075B8C">
        <w:rPr>
          <w:rFonts w:ascii="Palatino Linotype" w:hAnsi="Palatino Linotype"/>
          <w:b/>
          <w:i/>
          <w:sz w:val="22"/>
          <w:szCs w:val="22"/>
        </w:rPr>
        <w:t>“CRITERIO 10/13</w:t>
      </w:r>
    </w:p>
    <w:p w:rsidR="00672E75" w:rsidRPr="00075B8C" w:rsidRDefault="00672E75" w:rsidP="00672E75">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i/>
          <w:sz w:val="22"/>
          <w:szCs w:val="22"/>
        </w:rPr>
        <w:t>Número de cuenta bancaria de particulares, personas físicas y morales, constituye información confidencial. De conformidad con lo dispuesto en el artículo 18, fracciones I (personas morales) y II (personas físicas) de la Ley Federal de Transparencia y Acceso a la Información Pública Gubernamental, el número de cuenta bancaria de los particulares es información confidencial por referirse a su patrimonio. A través de dicho número, el cliente puede acceder a la información relacionada con su patrimonio, contenida en las bases de datos de las instituciones bancarias y financieras, en donde se pueden realizar diversas transacciones como son movimientos y consulta de saldos. Por lo anterior, en los casos en que el acceso a documentos conlleve la revelación del número de cuenta bancaria de un particular, deberán elaborarse versiones públicas en las que deberá testarse dicho dato, por tratarse de información</w:t>
      </w:r>
      <w:r w:rsidRPr="00075B8C">
        <w:rPr>
          <w:rFonts w:ascii="Palatino Linotype" w:hAnsi="Palatino Linotype"/>
          <w:b/>
          <w:i/>
          <w:sz w:val="22"/>
          <w:szCs w:val="22"/>
        </w:rPr>
        <w:t>”</w:t>
      </w:r>
    </w:p>
    <w:p w:rsidR="00672E75" w:rsidRPr="00075B8C" w:rsidRDefault="00672E75" w:rsidP="00672E75">
      <w:pPr>
        <w:autoSpaceDE w:val="0"/>
        <w:autoSpaceDN w:val="0"/>
        <w:adjustRightInd w:val="0"/>
        <w:spacing w:after="0" w:line="240" w:lineRule="auto"/>
        <w:ind w:left="851" w:right="902"/>
        <w:jc w:val="center"/>
        <w:rPr>
          <w:rFonts w:ascii="Palatino Linotype" w:hAnsi="Palatino Linotype"/>
          <w:b/>
          <w:i/>
          <w:sz w:val="22"/>
          <w:szCs w:val="22"/>
        </w:rPr>
      </w:pPr>
    </w:p>
    <w:p w:rsidR="00672E75" w:rsidRPr="00075B8C" w:rsidRDefault="00672E75" w:rsidP="00672E75">
      <w:pPr>
        <w:autoSpaceDE w:val="0"/>
        <w:autoSpaceDN w:val="0"/>
        <w:adjustRightInd w:val="0"/>
        <w:spacing w:after="0" w:line="240" w:lineRule="auto"/>
        <w:ind w:left="851" w:right="902"/>
        <w:jc w:val="center"/>
        <w:rPr>
          <w:rFonts w:ascii="Palatino Linotype" w:hAnsi="Palatino Linotype"/>
          <w:b/>
          <w:i/>
          <w:sz w:val="22"/>
          <w:szCs w:val="22"/>
        </w:rPr>
      </w:pPr>
      <w:r w:rsidRPr="00075B8C">
        <w:rPr>
          <w:rFonts w:ascii="Palatino Linotype" w:hAnsi="Palatino Linotype"/>
          <w:b/>
          <w:i/>
          <w:sz w:val="22"/>
          <w:szCs w:val="22"/>
        </w:rPr>
        <w:t>Criterio 11/2017</w:t>
      </w:r>
    </w:p>
    <w:p w:rsidR="00672E75" w:rsidRPr="00075B8C" w:rsidRDefault="00672E75" w:rsidP="00672E75">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i/>
          <w:sz w:val="22"/>
          <w:szCs w:val="22"/>
        </w:rPr>
        <w:t>Cuentas bancarias y/o CLABE interbancaria de sujetos obligados que reciben y/o transfieren recursos públicos, son información pública. La difusión de las cuentas bancarias y claves interbancarias pertenecientes a un sujeto obligado favorece la rendición de cuentas al transparentar la forma en que se administran los recursos públicos, razón por la cual no pueden considerarse como información clasificada.</w:t>
      </w:r>
    </w:p>
    <w:p w:rsidR="00672E75" w:rsidRPr="00075B8C" w:rsidRDefault="00672E75" w:rsidP="00672E75">
      <w:pPr>
        <w:autoSpaceDE w:val="0"/>
        <w:autoSpaceDN w:val="0"/>
        <w:adjustRightInd w:val="0"/>
        <w:spacing w:after="0" w:line="240" w:lineRule="auto"/>
        <w:ind w:left="851" w:right="902"/>
        <w:jc w:val="both"/>
        <w:rPr>
          <w:rFonts w:ascii="Palatino Linotype" w:hAnsi="Palatino Linotype"/>
          <w:i/>
          <w:sz w:val="22"/>
          <w:szCs w:val="22"/>
        </w:rPr>
      </w:pPr>
    </w:p>
    <w:p w:rsidR="00672E75" w:rsidRPr="00075B8C" w:rsidRDefault="00672E75" w:rsidP="00672E75">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i/>
          <w:sz w:val="22"/>
          <w:szCs w:val="22"/>
        </w:rPr>
        <w:t>Resoluciones:</w:t>
      </w:r>
    </w:p>
    <w:p w:rsidR="00672E75" w:rsidRPr="00075B8C" w:rsidRDefault="00672E75" w:rsidP="00672E75">
      <w:pPr>
        <w:autoSpaceDE w:val="0"/>
        <w:autoSpaceDN w:val="0"/>
        <w:adjustRightInd w:val="0"/>
        <w:spacing w:after="0" w:line="240" w:lineRule="auto"/>
        <w:ind w:left="851" w:right="902"/>
        <w:jc w:val="both"/>
        <w:rPr>
          <w:rFonts w:ascii="Palatino Linotype" w:hAnsi="Palatino Linotype"/>
          <w:i/>
          <w:sz w:val="22"/>
          <w:szCs w:val="22"/>
        </w:rPr>
      </w:pPr>
    </w:p>
    <w:p w:rsidR="00672E75" w:rsidRPr="00075B8C" w:rsidRDefault="00672E75" w:rsidP="00672E75">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i/>
          <w:sz w:val="22"/>
          <w:szCs w:val="22"/>
        </w:rPr>
        <w:t> RRA 0448/16. NOTIMEX, Agencia de Noticias del Estado Mexicano. 24 de agosto de 2016. Por unanimidad. Comisionado Ponente Joel Salas Suárez.</w:t>
      </w:r>
    </w:p>
    <w:p w:rsidR="00672E75" w:rsidRPr="00075B8C" w:rsidRDefault="00672E75" w:rsidP="00672E75">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i/>
          <w:sz w:val="22"/>
          <w:szCs w:val="22"/>
        </w:rPr>
        <w:t> RRA 2787/16. Colegio de Postgraduados. 01 de noviembre de 2016. Por unanimidad. Comisionado Ponente Francisco Javier Acuña Llamas.</w:t>
      </w:r>
    </w:p>
    <w:p w:rsidR="00672E75" w:rsidRPr="00075B8C" w:rsidRDefault="00672E75" w:rsidP="00672E75">
      <w:pPr>
        <w:autoSpaceDE w:val="0"/>
        <w:autoSpaceDN w:val="0"/>
        <w:adjustRightInd w:val="0"/>
        <w:spacing w:after="0" w:line="240" w:lineRule="auto"/>
        <w:ind w:left="851" w:right="902"/>
        <w:jc w:val="both"/>
        <w:rPr>
          <w:rFonts w:ascii="Palatino Linotype" w:hAnsi="Palatino Linotype"/>
          <w:i/>
          <w:sz w:val="22"/>
          <w:szCs w:val="22"/>
        </w:rPr>
      </w:pPr>
      <w:r w:rsidRPr="00075B8C">
        <w:rPr>
          <w:rFonts w:ascii="Palatino Linotype" w:hAnsi="Palatino Linotype"/>
          <w:i/>
          <w:sz w:val="22"/>
          <w:szCs w:val="22"/>
        </w:rPr>
        <w:t> RRA 4756/16. Instituto Mexicano del Seguro Social. 08 de febrero de 2017. Por unanimidad. Comisionado Ponente Oscar Mauricio Guerra Ford.</w:t>
      </w:r>
    </w:p>
    <w:p w:rsidR="00672E75" w:rsidRPr="00075B8C" w:rsidRDefault="00672E75" w:rsidP="00672E75">
      <w:pPr>
        <w:widowControl w:val="0"/>
        <w:autoSpaceDE w:val="0"/>
        <w:autoSpaceDN w:val="0"/>
        <w:adjustRightInd w:val="0"/>
        <w:spacing w:before="240" w:line="360" w:lineRule="auto"/>
        <w:jc w:val="both"/>
        <w:rPr>
          <w:rFonts w:ascii="Palatino Linotype" w:eastAsia="Calibri" w:hAnsi="Palatino Linotype" w:cs="Arial"/>
          <w:sz w:val="24"/>
          <w:szCs w:val="24"/>
        </w:rPr>
      </w:pPr>
      <w:r w:rsidRPr="00075B8C">
        <w:rPr>
          <w:rFonts w:ascii="Palatino Linotype" w:eastAsia="Calibri" w:hAnsi="Palatino Linotype" w:cs="Arial"/>
          <w:sz w:val="24"/>
          <w:szCs w:val="24"/>
        </w:rPr>
        <w:t xml:space="preserve">De modo que, las razones o motivos de inconformidad del </w:t>
      </w:r>
      <w:r w:rsidRPr="00075B8C">
        <w:rPr>
          <w:rFonts w:ascii="Palatino Linotype" w:eastAsia="Calibri" w:hAnsi="Palatino Linotype" w:cs="Arial"/>
          <w:b/>
          <w:sz w:val="24"/>
          <w:szCs w:val="24"/>
        </w:rPr>
        <w:t xml:space="preserve">RECURRENTE </w:t>
      </w:r>
      <w:r w:rsidRPr="00075B8C">
        <w:rPr>
          <w:rFonts w:ascii="Palatino Linotype" w:eastAsia="Calibri" w:hAnsi="Palatino Linotype" w:cs="Arial"/>
          <w:sz w:val="24"/>
          <w:szCs w:val="24"/>
        </w:rPr>
        <w:t xml:space="preserve">devienen </w:t>
      </w:r>
      <w:r w:rsidRPr="00075B8C">
        <w:rPr>
          <w:rFonts w:ascii="Palatino Linotype" w:eastAsia="Calibri" w:hAnsi="Palatino Linotype" w:cs="Arial"/>
          <w:b/>
          <w:sz w:val="24"/>
          <w:szCs w:val="24"/>
        </w:rPr>
        <w:lastRenderedPageBreak/>
        <w:t>parcialmente fundadas</w:t>
      </w:r>
      <w:r w:rsidRPr="00075B8C">
        <w:rPr>
          <w:rFonts w:ascii="Palatino Linotype" w:eastAsia="Calibri" w:hAnsi="Palatino Linotype" w:cs="Arial"/>
          <w:sz w:val="24"/>
          <w:szCs w:val="24"/>
        </w:rPr>
        <w:t xml:space="preserve">; por lo que, se actualiza la causal de procedencia establecida en la fracción VI del artículo 179 de la Ley de Transparencia y Acceso a la Información Pública del Estado de México y Municipios, </w:t>
      </w:r>
      <w:r w:rsidR="00CE04BB" w:rsidRPr="00075B8C">
        <w:rPr>
          <w:rFonts w:ascii="Palatino Linotype" w:eastAsia="Calibri" w:hAnsi="Palatino Linotype" w:cs="Arial"/>
          <w:b/>
          <w:sz w:val="24"/>
          <w:szCs w:val="24"/>
        </w:rPr>
        <w:t>Modific</w:t>
      </w:r>
      <w:r w:rsidRPr="00075B8C">
        <w:rPr>
          <w:rFonts w:ascii="Palatino Linotype" w:eastAsia="Calibri" w:hAnsi="Palatino Linotype" w:cs="Arial"/>
          <w:b/>
          <w:sz w:val="24"/>
          <w:szCs w:val="24"/>
        </w:rPr>
        <w:t xml:space="preserve">ando </w:t>
      </w:r>
      <w:r w:rsidRPr="00075B8C">
        <w:rPr>
          <w:rFonts w:ascii="Palatino Linotype" w:eastAsia="Calibri" w:hAnsi="Palatino Linotype" w:cs="Arial"/>
          <w:sz w:val="24"/>
          <w:szCs w:val="24"/>
        </w:rPr>
        <w:t xml:space="preserve">la respuesta del </w:t>
      </w:r>
      <w:r w:rsidRPr="00075B8C">
        <w:rPr>
          <w:rFonts w:ascii="Palatino Linotype" w:eastAsia="Calibri" w:hAnsi="Palatino Linotype" w:cs="Arial"/>
          <w:b/>
          <w:sz w:val="24"/>
          <w:szCs w:val="24"/>
        </w:rPr>
        <w:t xml:space="preserve">SUJETO OBLIGADO </w:t>
      </w:r>
      <w:r w:rsidRPr="00075B8C">
        <w:rPr>
          <w:rFonts w:ascii="Palatino Linotype" w:eastAsia="Calibri" w:hAnsi="Palatino Linotype" w:cs="Arial"/>
          <w:sz w:val="24"/>
          <w:szCs w:val="24"/>
        </w:rPr>
        <w:t xml:space="preserve">otorgada a la solicitud de información número </w:t>
      </w:r>
      <w:r w:rsidRPr="00075B8C">
        <w:rPr>
          <w:rFonts w:ascii="Palatino Linotype" w:hAnsi="Palatino Linotype"/>
          <w:b/>
          <w:bCs/>
          <w:sz w:val="24"/>
          <w:szCs w:val="24"/>
        </w:rPr>
        <w:t xml:space="preserve">00087/COACALCO/IP/2019, </w:t>
      </w:r>
      <w:r w:rsidRPr="00075B8C">
        <w:rPr>
          <w:rFonts w:ascii="Palatino Linotype" w:hAnsi="Palatino Linotype"/>
          <w:bCs/>
          <w:sz w:val="24"/>
          <w:szCs w:val="24"/>
        </w:rPr>
        <w:t>ordenando la entrega de la información que ha quedado precisada en párrafos anteriores.</w:t>
      </w:r>
    </w:p>
    <w:p w:rsidR="00342793" w:rsidRPr="00075B8C" w:rsidRDefault="00342793" w:rsidP="00342793">
      <w:pPr>
        <w:spacing w:before="100" w:beforeAutospacing="1" w:after="100" w:afterAutospacing="1" w:line="360" w:lineRule="auto"/>
        <w:jc w:val="both"/>
        <w:rPr>
          <w:rFonts w:ascii="Palatino Linotype" w:eastAsia="Calibri" w:hAnsi="Palatino Linotype" w:cs="Arial"/>
          <w:sz w:val="24"/>
          <w:szCs w:val="24"/>
        </w:rPr>
      </w:pPr>
      <w:r w:rsidRPr="00075B8C">
        <w:rPr>
          <w:rFonts w:ascii="Palatino Linotype" w:eastAsia="Calibri" w:hAnsi="Palatino Linotype" w:cs="Arial"/>
          <w:sz w:val="24"/>
          <w:szCs w:val="24"/>
        </w:rPr>
        <w:t xml:space="preserve">Así, con fundamento en lo prescrito en los artículos 5, párrafos </w:t>
      </w:r>
      <w:r w:rsidRPr="00075B8C">
        <w:rPr>
          <w:rFonts w:ascii="Palatino Linotype" w:hAnsi="Palatino Linotype"/>
          <w:sz w:val="24"/>
          <w:szCs w:val="24"/>
        </w:rPr>
        <w:t>vigésimo</w:t>
      </w:r>
      <w:r w:rsidR="00CF614E" w:rsidRPr="00075B8C">
        <w:rPr>
          <w:rFonts w:ascii="Palatino Linotype" w:hAnsi="Palatino Linotype"/>
          <w:sz w:val="24"/>
          <w:szCs w:val="24"/>
        </w:rPr>
        <w:t xml:space="preserve"> segundo</w:t>
      </w:r>
      <w:r w:rsidRPr="00075B8C">
        <w:rPr>
          <w:rFonts w:ascii="Palatino Linotype" w:hAnsi="Palatino Linotype"/>
          <w:sz w:val="24"/>
          <w:szCs w:val="24"/>
        </w:rPr>
        <w:t xml:space="preserve">, vigésimo </w:t>
      </w:r>
      <w:r w:rsidR="00CF614E" w:rsidRPr="00075B8C">
        <w:rPr>
          <w:rFonts w:ascii="Palatino Linotype" w:hAnsi="Palatino Linotype"/>
          <w:sz w:val="24"/>
          <w:szCs w:val="24"/>
        </w:rPr>
        <w:t>tercero</w:t>
      </w:r>
      <w:r w:rsidRPr="00075B8C">
        <w:rPr>
          <w:rFonts w:ascii="Palatino Linotype" w:hAnsi="Palatino Linotype"/>
          <w:sz w:val="24"/>
          <w:szCs w:val="24"/>
        </w:rPr>
        <w:t xml:space="preserve"> y vigésimo </w:t>
      </w:r>
      <w:r w:rsidR="00CF614E" w:rsidRPr="00075B8C">
        <w:rPr>
          <w:rFonts w:ascii="Palatino Linotype" w:hAnsi="Palatino Linotype"/>
          <w:sz w:val="24"/>
          <w:szCs w:val="24"/>
        </w:rPr>
        <w:t>cuarto</w:t>
      </w:r>
      <w:r w:rsidRPr="00075B8C">
        <w:rPr>
          <w:rFonts w:ascii="Palatino Linotype" w:hAnsi="Palatino Linotype"/>
          <w:sz w:val="24"/>
          <w:szCs w:val="24"/>
        </w:rPr>
        <w:t xml:space="preserve">, fracciones IV y V </w:t>
      </w:r>
      <w:r w:rsidRPr="00075B8C">
        <w:rPr>
          <w:rFonts w:ascii="Palatino Linotype" w:eastAsia="Calibri" w:hAnsi="Palatino Linotype" w:cs="Arial"/>
          <w:sz w:val="24"/>
          <w:szCs w:val="24"/>
        </w:rPr>
        <w:t xml:space="preserve">de la Constitución Política del Estado Libre y Soberano de México; </w:t>
      </w:r>
      <w:r w:rsidRPr="00075B8C">
        <w:rPr>
          <w:rFonts w:ascii="Palatino Linotype" w:hAnsi="Palatino Linotype" w:cs="Arial"/>
          <w:sz w:val="24"/>
          <w:szCs w:val="24"/>
        </w:rPr>
        <w:t>2, fracción II, 9, 29, 36, fracciones I y II, 176, 178, 179, 181, 185, fracción I, 186 y 188</w:t>
      </w:r>
      <w:r w:rsidRPr="00075B8C">
        <w:rPr>
          <w:rFonts w:ascii="Palatino Linotype" w:eastAsia="Calibri" w:hAnsi="Palatino Linotype" w:cs="Arial"/>
          <w:sz w:val="24"/>
          <w:szCs w:val="24"/>
        </w:rPr>
        <w:t xml:space="preserve"> de la Ley de Transparencia y Acceso a la Información Pública del Estado de México y Municipios, este Pleno:</w:t>
      </w:r>
    </w:p>
    <w:p w:rsidR="00342793" w:rsidRPr="00075B8C" w:rsidRDefault="00342793" w:rsidP="00342793">
      <w:pPr>
        <w:spacing w:after="0" w:line="240" w:lineRule="auto"/>
        <w:jc w:val="center"/>
        <w:rPr>
          <w:rFonts w:ascii="Palatino Linotype" w:hAnsi="Palatino Linotype" w:cs="Arial"/>
          <w:b/>
          <w:spacing w:val="44"/>
          <w:sz w:val="28"/>
          <w:lang w:val="pt-BR"/>
        </w:rPr>
      </w:pPr>
      <w:r w:rsidRPr="00075B8C">
        <w:rPr>
          <w:rFonts w:ascii="Palatino Linotype" w:hAnsi="Palatino Linotype" w:cs="Arial"/>
          <w:b/>
          <w:spacing w:val="44"/>
          <w:sz w:val="28"/>
          <w:lang w:val="pt-BR"/>
        </w:rPr>
        <w:t>RESUELVE</w:t>
      </w:r>
    </w:p>
    <w:p w:rsidR="00342793" w:rsidRPr="00075B8C" w:rsidRDefault="00342793" w:rsidP="00342793">
      <w:pPr>
        <w:spacing w:before="100" w:beforeAutospacing="1" w:after="100" w:afterAutospacing="1" w:line="360" w:lineRule="auto"/>
        <w:jc w:val="both"/>
        <w:rPr>
          <w:rFonts w:ascii="Palatino Linotype" w:hAnsi="Palatino Linotype" w:cs="Arial"/>
          <w:sz w:val="24"/>
          <w:lang w:val="es-MX"/>
        </w:rPr>
      </w:pPr>
      <w:r w:rsidRPr="00075B8C">
        <w:rPr>
          <w:rFonts w:ascii="Palatino Linotype" w:hAnsi="Palatino Linotype" w:cs="Arial"/>
          <w:b/>
          <w:bCs/>
          <w:color w:val="222222"/>
          <w:sz w:val="28"/>
          <w:lang w:eastAsia="es-MX"/>
        </w:rPr>
        <w:t>PRIMERO</w:t>
      </w:r>
      <w:r w:rsidRPr="00075B8C">
        <w:rPr>
          <w:rFonts w:ascii="Palatino Linotype" w:hAnsi="Palatino Linotype" w:cs="Arial"/>
        </w:rPr>
        <w:t xml:space="preserve">. </w:t>
      </w:r>
      <w:r w:rsidRPr="00075B8C">
        <w:rPr>
          <w:rFonts w:ascii="Palatino Linotype" w:hAnsi="Palatino Linotype" w:cs="Arial"/>
          <w:sz w:val="24"/>
        </w:rPr>
        <w:t xml:space="preserve">Resultan </w:t>
      </w:r>
      <w:r w:rsidR="00127FE2" w:rsidRPr="00075B8C">
        <w:rPr>
          <w:rFonts w:ascii="Palatino Linotype" w:hAnsi="Palatino Linotype" w:cs="Arial"/>
          <w:b/>
          <w:sz w:val="24"/>
        </w:rPr>
        <w:t>parcialmente f</w:t>
      </w:r>
      <w:r w:rsidRPr="00075B8C">
        <w:rPr>
          <w:rFonts w:ascii="Palatino Linotype" w:hAnsi="Palatino Linotype" w:cs="Arial"/>
          <w:b/>
          <w:sz w:val="24"/>
        </w:rPr>
        <w:t>undadas</w:t>
      </w:r>
      <w:r w:rsidRPr="00075B8C">
        <w:rPr>
          <w:rFonts w:ascii="Palatino Linotype" w:hAnsi="Palatino Linotype" w:cs="Arial"/>
          <w:sz w:val="24"/>
        </w:rPr>
        <w:t xml:space="preserve"> las razones o motivos de inconformidad planteadas por </w:t>
      </w:r>
      <w:r w:rsidR="00127FE2" w:rsidRPr="00075B8C">
        <w:rPr>
          <w:rFonts w:ascii="Palatino Linotype" w:hAnsi="Palatino Linotype" w:cs="Arial"/>
          <w:b/>
          <w:sz w:val="24"/>
        </w:rPr>
        <w:t>EL</w:t>
      </w:r>
      <w:r w:rsidRPr="00075B8C">
        <w:rPr>
          <w:rFonts w:ascii="Palatino Linotype" w:hAnsi="Palatino Linotype" w:cs="Arial"/>
          <w:b/>
          <w:sz w:val="24"/>
        </w:rPr>
        <w:t xml:space="preserve"> RECURRENTE</w:t>
      </w:r>
      <w:r w:rsidRPr="00075B8C">
        <w:rPr>
          <w:rFonts w:ascii="Palatino Linotype" w:hAnsi="Palatino Linotype" w:cs="Arial"/>
          <w:sz w:val="24"/>
        </w:rPr>
        <w:t xml:space="preserve"> </w:t>
      </w:r>
      <w:r w:rsidRPr="00075B8C">
        <w:rPr>
          <w:rFonts w:ascii="Palatino Linotype" w:hAnsi="Palatino Linotype" w:cs="Arial"/>
          <w:sz w:val="24"/>
          <w:lang w:val="es-MX"/>
        </w:rPr>
        <w:t xml:space="preserve">en términos del Considerando </w:t>
      </w:r>
      <w:r w:rsidRPr="00075B8C">
        <w:rPr>
          <w:rFonts w:ascii="Palatino Linotype" w:hAnsi="Palatino Linotype" w:cs="Arial"/>
          <w:b/>
          <w:sz w:val="24"/>
          <w:lang w:val="es-MX"/>
        </w:rPr>
        <w:t xml:space="preserve">QUINTO </w:t>
      </w:r>
      <w:r w:rsidRPr="00075B8C">
        <w:rPr>
          <w:rFonts w:ascii="Palatino Linotype" w:hAnsi="Palatino Linotype" w:cs="Arial"/>
          <w:sz w:val="24"/>
          <w:lang w:val="es-MX"/>
        </w:rPr>
        <w:t>de esta Resolución.</w:t>
      </w:r>
    </w:p>
    <w:p w:rsidR="00127FE2" w:rsidRPr="00075B8C" w:rsidRDefault="00342793" w:rsidP="00127FE2">
      <w:pPr>
        <w:spacing w:before="100" w:beforeAutospacing="1" w:after="100" w:afterAutospacing="1" w:line="360" w:lineRule="auto"/>
        <w:jc w:val="both"/>
        <w:rPr>
          <w:rFonts w:ascii="Palatino Linotype" w:hAnsi="Palatino Linotype" w:cs="Arial"/>
          <w:sz w:val="24"/>
          <w:szCs w:val="24"/>
          <w:lang w:val="es-ES"/>
        </w:rPr>
      </w:pPr>
      <w:r w:rsidRPr="00075B8C">
        <w:rPr>
          <w:rFonts w:ascii="Palatino Linotype" w:hAnsi="Palatino Linotype" w:cs="Arial"/>
          <w:b/>
          <w:bCs/>
          <w:color w:val="222222"/>
          <w:sz w:val="28"/>
          <w:lang w:eastAsia="es-MX"/>
        </w:rPr>
        <w:t>SEGUNDO</w:t>
      </w:r>
      <w:r w:rsidRPr="00075B8C">
        <w:rPr>
          <w:rFonts w:ascii="Palatino Linotype" w:eastAsia="Calibri" w:hAnsi="Palatino Linotype" w:cs="Arial"/>
          <w:b/>
          <w:bCs/>
        </w:rPr>
        <w:t xml:space="preserve">. </w:t>
      </w:r>
      <w:r w:rsidR="00127FE2" w:rsidRPr="00075B8C">
        <w:rPr>
          <w:rFonts w:ascii="Palatino Linotype" w:eastAsia="Calibri" w:hAnsi="Palatino Linotype" w:cs="Arial"/>
          <w:sz w:val="24"/>
          <w:szCs w:val="24"/>
        </w:rPr>
        <w:t xml:space="preserve">Se </w:t>
      </w:r>
      <w:r w:rsidR="00CE04BB" w:rsidRPr="00075B8C">
        <w:rPr>
          <w:rFonts w:ascii="Palatino Linotype" w:eastAsia="Calibri" w:hAnsi="Palatino Linotype" w:cs="Arial"/>
          <w:b/>
          <w:sz w:val="24"/>
          <w:szCs w:val="24"/>
        </w:rPr>
        <w:t>MODIFICA</w:t>
      </w:r>
      <w:r w:rsidR="00127FE2" w:rsidRPr="00075B8C">
        <w:rPr>
          <w:rFonts w:ascii="Palatino Linotype" w:eastAsia="Calibri" w:hAnsi="Palatino Linotype" w:cs="Arial"/>
          <w:b/>
          <w:sz w:val="24"/>
          <w:szCs w:val="24"/>
        </w:rPr>
        <w:t xml:space="preserve"> </w:t>
      </w:r>
      <w:r w:rsidR="00127FE2" w:rsidRPr="00075B8C">
        <w:rPr>
          <w:rFonts w:ascii="Palatino Linotype" w:eastAsia="Calibri" w:hAnsi="Palatino Linotype" w:cs="Arial"/>
          <w:sz w:val="24"/>
          <w:szCs w:val="24"/>
        </w:rPr>
        <w:t xml:space="preserve">la respuesta proporcionada por </w:t>
      </w:r>
      <w:r w:rsidR="00127FE2" w:rsidRPr="00075B8C">
        <w:rPr>
          <w:rFonts w:ascii="Palatino Linotype" w:eastAsia="Calibri" w:hAnsi="Palatino Linotype" w:cs="Arial"/>
          <w:b/>
          <w:sz w:val="24"/>
          <w:szCs w:val="24"/>
        </w:rPr>
        <w:t xml:space="preserve">EL SUJETO OBLIGADO </w:t>
      </w:r>
      <w:r w:rsidR="00127FE2" w:rsidRPr="00075B8C">
        <w:rPr>
          <w:rFonts w:ascii="Palatino Linotype" w:eastAsia="Calibri" w:hAnsi="Palatino Linotype" w:cs="Arial"/>
          <w:sz w:val="24"/>
          <w:szCs w:val="24"/>
        </w:rPr>
        <w:t xml:space="preserve">y se </w:t>
      </w:r>
      <w:r w:rsidR="00127FE2" w:rsidRPr="00075B8C">
        <w:rPr>
          <w:rFonts w:ascii="Palatino Linotype" w:eastAsia="Calibri" w:hAnsi="Palatino Linotype" w:cs="Arial"/>
          <w:b/>
          <w:sz w:val="24"/>
          <w:szCs w:val="24"/>
        </w:rPr>
        <w:t xml:space="preserve">ordena </w:t>
      </w:r>
      <w:r w:rsidR="00127FE2" w:rsidRPr="00075B8C">
        <w:rPr>
          <w:rFonts w:ascii="Palatino Linotype" w:eastAsia="Calibri" w:hAnsi="Palatino Linotype" w:cs="Arial"/>
          <w:sz w:val="24"/>
          <w:szCs w:val="24"/>
        </w:rPr>
        <w:t xml:space="preserve">atienda la solicitud de información </w:t>
      </w:r>
      <w:r w:rsidR="00127FE2" w:rsidRPr="00075B8C">
        <w:rPr>
          <w:rFonts w:ascii="Palatino Linotype" w:hAnsi="Palatino Linotype"/>
          <w:b/>
          <w:bCs/>
          <w:sz w:val="24"/>
          <w:szCs w:val="24"/>
        </w:rPr>
        <w:t xml:space="preserve">00087/COACALCO/IP/2019, </w:t>
      </w:r>
      <w:r w:rsidR="00127FE2" w:rsidRPr="00075B8C">
        <w:rPr>
          <w:rFonts w:ascii="Palatino Linotype" w:hAnsi="Palatino Linotype" w:cs="Arial"/>
          <w:sz w:val="24"/>
          <w:szCs w:val="24"/>
        </w:rPr>
        <w:t xml:space="preserve">en términos del Considerando </w:t>
      </w:r>
      <w:r w:rsidR="00127FE2" w:rsidRPr="00075B8C">
        <w:rPr>
          <w:rFonts w:ascii="Palatino Linotype" w:hAnsi="Palatino Linotype" w:cs="Arial"/>
          <w:b/>
          <w:sz w:val="24"/>
          <w:szCs w:val="24"/>
        </w:rPr>
        <w:t>QUINTO</w:t>
      </w:r>
      <w:r w:rsidR="00127FE2" w:rsidRPr="00075B8C">
        <w:rPr>
          <w:rFonts w:ascii="Palatino Linotype" w:hAnsi="Palatino Linotype" w:cs="Arial"/>
          <w:sz w:val="24"/>
          <w:szCs w:val="24"/>
        </w:rPr>
        <w:t xml:space="preserve"> </w:t>
      </w:r>
      <w:r w:rsidR="00127FE2" w:rsidRPr="00075B8C">
        <w:rPr>
          <w:rFonts w:ascii="Palatino Linotype" w:hAnsi="Palatino Linotype" w:cs="Arial"/>
          <w:sz w:val="24"/>
          <w:szCs w:val="24"/>
          <w:lang w:val="es-ES"/>
        </w:rPr>
        <w:t>de la presente resolución, y haga entrega al</w:t>
      </w:r>
      <w:r w:rsidR="00127FE2" w:rsidRPr="00075B8C">
        <w:rPr>
          <w:rFonts w:ascii="Palatino Linotype" w:hAnsi="Palatino Linotype" w:cs="Arial"/>
          <w:b/>
          <w:sz w:val="24"/>
          <w:szCs w:val="24"/>
          <w:lang w:val="es-ES"/>
        </w:rPr>
        <w:t xml:space="preserve"> RECURRENTE</w:t>
      </w:r>
      <w:r w:rsidR="00127FE2" w:rsidRPr="00075B8C">
        <w:rPr>
          <w:rFonts w:ascii="Palatino Linotype" w:hAnsi="Palatino Linotype" w:cs="Arial"/>
          <w:sz w:val="24"/>
          <w:szCs w:val="24"/>
          <w:lang w:val="es-ES"/>
        </w:rPr>
        <w:t xml:space="preserve">, vía el </w:t>
      </w:r>
      <w:r w:rsidR="00127FE2" w:rsidRPr="00075B8C">
        <w:rPr>
          <w:rFonts w:ascii="Palatino Linotype" w:hAnsi="Palatino Linotype" w:cs="Arial"/>
          <w:b/>
          <w:sz w:val="24"/>
          <w:szCs w:val="24"/>
          <w:lang w:val="es-ES"/>
        </w:rPr>
        <w:t>SAIMEX</w:t>
      </w:r>
      <w:r w:rsidR="00CE04BB" w:rsidRPr="00075B8C">
        <w:rPr>
          <w:rFonts w:ascii="Palatino Linotype" w:hAnsi="Palatino Linotype" w:cs="Arial"/>
          <w:sz w:val="24"/>
          <w:szCs w:val="24"/>
          <w:lang w:val="es-ES"/>
        </w:rPr>
        <w:t xml:space="preserve">, </w:t>
      </w:r>
      <w:r w:rsidR="00127FE2" w:rsidRPr="00075B8C">
        <w:rPr>
          <w:rFonts w:ascii="Palatino Linotype" w:hAnsi="Palatino Linotype" w:cs="Arial"/>
          <w:sz w:val="24"/>
          <w:szCs w:val="24"/>
          <w:lang w:val="es-ES"/>
        </w:rPr>
        <w:t xml:space="preserve">en </w:t>
      </w:r>
      <w:r w:rsidR="00127FE2" w:rsidRPr="00075B8C">
        <w:rPr>
          <w:rFonts w:ascii="Palatino Linotype" w:hAnsi="Palatino Linotype" w:cs="Arial"/>
          <w:b/>
          <w:sz w:val="24"/>
          <w:szCs w:val="24"/>
          <w:lang w:val="es-ES"/>
        </w:rPr>
        <w:t>versión pública</w:t>
      </w:r>
      <w:r w:rsidR="00127FE2" w:rsidRPr="00075B8C">
        <w:rPr>
          <w:rFonts w:ascii="Palatino Linotype" w:hAnsi="Palatino Linotype" w:cs="Arial"/>
          <w:sz w:val="24"/>
          <w:szCs w:val="24"/>
          <w:lang w:val="es-ES"/>
        </w:rPr>
        <w:t>, lo siguiente:</w:t>
      </w:r>
    </w:p>
    <w:p w:rsidR="00342793" w:rsidRPr="00075B8C" w:rsidRDefault="00342793" w:rsidP="009624F8">
      <w:pPr>
        <w:spacing w:before="100" w:beforeAutospacing="1" w:after="100" w:afterAutospacing="1" w:line="240" w:lineRule="auto"/>
        <w:ind w:left="851" w:right="899" w:hanging="142"/>
        <w:jc w:val="both"/>
        <w:rPr>
          <w:rFonts w:ascii="Palatino Linotype" w:hAnsi="Palatino Linotype"/>
          <w:i/>
          <w:iCs/>
          <w:color w:val="222222"/>
          <w:sz w:val="22"/>
          <w:szCs w:val="22"/>
          <w:lang w:eastAsia="es-MX"/>
        </w:rPr>
      </w:pPr>
      <w:r w:rsidRPr="00075B8C">
        <w:rPr>
          <w:rFonts w:ascii="Palatino Linotype" w:hAnsi="Palatino Linotype" w:cs="Arial"/>
          <w:i/>
          <w:sz w:val="22"/>
          <w:szCs w:val="22"/>
        </w:rPr>
        <w:lastRenderedPageBreak/>
        <w:t>“</w:t>
      </w:r>
      <w:r w:rsidR="00CE04BB" w:rsidRPr="00075B8C">
        <w:rPr>
          <w:rFonts w:ascii="Palatino Linotype" w:hAnsi="Palatino Linotype"/>
          <w:i/>
          <w:sz w:val="22"/>
          <w:szCs w:val="22"/>
        </w:rPr>
        <w:t>a) Las pólizas de ingresos con su respectivo soporte documental</w:t>
      </w:r>
      <w:r w:rsidRPr="00075B8C">
        <w:rPr>
          <w:rFonts w:ascii="Palatino Linotype" w:hAnsi="Palatino Linotype"/>
          <w:i/>
          <w:sz w:val="22"/>
          <w:szCs w:val="22"/>
        </w:rPr>
        <w:t xml:space="preserve"> </w:t>
      </w:r>
      <w:r w:rsidRPr="00075B8C">
        <w:rPr>
          <w:rFonts w:ascii="Palatino Linotype" w:hAnsi="Palatino Linotype"/>
          <w:i/>
          <w:iCs/>
          <w:color w:val="222222"/>
          <w:sz w:val="22"/>
          <w:szCs w:val="22"/>
          <w:lang w:eastAsia="es-MX"/>
        </w:rPr>
        <w:t>de</w:t>
      </w:r>
      <w:r w:rsidR="00CE04BB" w:rsidRPr="00075B8C">
        <w:rPr>
          <w:rFonts w:ascii="Palatino Linotype" w:hAnsi="Palatino Linotype"/>
          <w:i/>
          <w:iCs/>
          <w:color w:val="222222"/>
          <w:sz w:val="22"/>
          <w:szCs w:val="22"/>
          <w:lang w:eastAsia="es-MX"/>
        </w:rPr>
        <w:t xml:space="preserve"> l</w:t>
      </w:r>
      <w:r w:rsidR="00127FE2" w:rsidRPr="00075B8C">
        <w:rPr>
          <w:rFonts w:ascii="Palatino Linotype" w:hAnsi="Palatino Linotype"/>
          <w:i/>
          <w:iCs/>
          <w:color w:val="222222"/>
          <w:sz w:val="22"/>
          <w:szCs w:val="22"/>
          <w:lang w:eastAsia="es-MX"/>
        </w:rPr>
        <w:t xml:space="preserve">os meses de enero y febrero de </w:t>
      </w:r>
      <w:r w:rsidRPr="00075B8C">
        <w:rPr>
          <w:rFonts w:ascii="Palatino Linotype" w:hAnsi="Palatino Linotype"/>
          <w:i/>
          <w:iCs/>
          <w:color w:val="222222"/>
          <w:sz w:val="22"/>
          <w:szCs w:val="22"/>
          <w:lang w:eastAsia="es-MX"/>
        </w:rPr>
        <w:t>201</w:t>
      </w:r>
      <w:r w:rsidR="00127FE2" w:rsidRPr="00075B8C">
        <w:rPr>
          <w:rFonts w:ascii="Palatino Linotype" w:hAnsi="Palatino Linotype"/>
          <w:i/>
          <w:iCs/>
          <w:color w:val="222222"/>
          <w:sz w:val="22"/>
          <w:szCs w:val="22"/>
          <w:lang w:eastAsia="es-MX"/>
        </w:rPr>
        <w:t>9</w:t>
      </w:r>
      <w:r w:rsidRPr="00075B8C">
        <w:rPr>
          <w:rFonts w:ascii="Palatino Linotype" w:hAnsi="Palatino Linotype"/>
          <w:i/>
          <w:iCs/>
          <w:color w:val="222222"/>
          <w:sz w:val="22"/>
          <w:szCs w:val="22"/>
          <w:lang w:eastAsia="es-MX"/>
        </w:rPr>
        <w:t>;</w:t>
      </w:r>
    </w:p>
    <w:p w:rsidR="00770106" w:rsidRPr="00075B8C" w:rsidRDefault="00342793" w:rsidP="009624F8">
      <w:pPr>
        <w:spacing w:before="120" w:line="240" w:lineRule="auto"/>
        <w:ind w:left="851" w:right="709"/>
        <w:jc w:val="both"/>
        <w:rPr>
          <w:rFonts w:ascii="Palatino Linotype" w:hAnsi="Palatino Linotype"/>
          <w:bCs/>
          <w:i/>
          <w:sz w:val="22"/>
          <w:szCs w:val="22"/>
        </w:rPr>
      </w:pPr>
      <w:r w:rsidRPr="00075B8C">
        <w:rPr>
          <w:rFonts w:ascii="Palatino Linotype" w:hAnsi="Palatino Linotype"/>
          <w:i/>
          <w:iCs/>
          <w:color w:val="222222"/>
          <w:sz w:val="22"/>
          <w:szCs w:val="22"/>
          <w:lang w:eastAsia="es-MX"/>
        </w:rPr>
        <w:t xml:space="preserve">b) </w:t>
      </w:r>
      <w:r w:rsidR="00770106" w:rsidRPr="00075B8C">
        <w:rPr>
          <w:rFonts w:ascii="Palatino Linotype" w:hAnsi="Palatino Linotype"/>
          <w:bCs/>
          <w:i/>
          <w:sz w:val="22"/>
          <w:szCs w:val="22"/>
        </w:rPr>
        <w:t>Las pólizas de egresos con su respectivo soporte documental de los meses de enero</w:t>
      </w:r>
      <w:r w:rsidR="00CE04BB" w:rsidRPr="00075B8C">
        <w:rPr>
          <w:rFonts w:ascii="Palatino Linotype" w:hAnsi="Palatino Linotype"/>
          <w:bCs/>
          <w:i/>
          <w:sz w:val="22"/>
          <w:szCs w:val="22"/>
        </w:rPr>
        <w:t xml:space="preserve"> </w:t>
      </w:r>
      <w:r w:rsidR="00770106" w:rsidRPr="00075B8C">
        <w:rPr>
          <w:rFonts w:ascii="Palatino Linotype" w:hAnsi="Palatino Linotype"/>
          <w:bCs/>
          <w:i/>
          <w:sz w:val="22"/>
          <w:szCs w:val="22"/>
        </w:rPr>
        <w:t>y febrero de 2019.</w:t>
      </w:r>
    </w:p>
    <w:p w:rsidR="00342793" w:rsidRPr="00075B8C" w:rsidRDefault="00770106" w:rsidP="009624F8">
      <w:pPr>
        <w:spacing w:before="120" w:line="240" w:lineRule="auto"/>
        <w:ind w:left="851" w:right="709"/>
        <w:jc w:val="both"/>
        <w:rPr>
          <w:rFonts w:ascii="Palatino Linotype" w:hAnsi="Palatino Linotype" w:cs="Arial"/>
          <w:i/>
          <w:sz w:val="22"/>
          <w:szCs w:val="22"/>
        </w:rPr>
      </w:pPr>
      <w:r w:rsidRPr="00075B8C">
        <w:rPr>
          <w:rFonts w:ascii="Palatino Linotype" w:hAnsi="Palatino Linotype" w:cs="Arial"/>
          <w:i/>
          <w:sz w:val="22"/>
          <w:szCs w:val="22"/>
          <w:lang w:eastAsia="es-MX"/>
        </w:rPr>
        <w:t>Debiendo</w:t>
      </w:r>
      <w:r w:rsidRPr="00075B8C">
        <w:rPr>
          <w:rFonts w:ascii="Palatino Linotype" w:hAnsi="Palatino Linotype" w:cs="Arial"/>
          <w:i/>
          <w:sz w:val="22"/>
          <w:szCs w:val="22"/>
        </w:rPr>
        <w:t xml:space="preserve"> notificar al</w:t>
      </w:r>
      <w:r w:rsidRPr="00075B8C">
        <w:rPr>
          <w:rFonts w:ascii="Palatino Linotype" w:hAnsi="Palatino Linotype" w:cs="Arial"/>
          <w:b/>
          <w:i/>
          <w:sz w:val="22"/>
          <w:szCs w:val="22"/>
        </w:rPr>
        <w:t xml:space="preserve"> RECURRENTE</w:t>
      </w:r>
      <w:r w:rsidRPr="00075B8C">
        <w:rPr>
          <w:rFonts w:ascii="Palatino Linotype" w:hAnsi="Palatino Linotype" w:cs="Arial"/>
          <w:i/>
          <w:sz w:val="22"/>
          <w:szCs w:val="22"/>
        </w:rPr>
        <w:t xml:space="preserve"> el </w:t>
      </w:r>
      <w:r w:rsidRPr="00075B8C">
        <w:rPr>
          <w:rFonts w:ascii="Palatino Linotype" w:hAnsi="Palatino Linotype" w:cs="Arial"/>
          <w:i/>
          <w:sz w:val="22"/>
          <w:szCs w:val="22"/>
          <w:lang w:eastAsia="es-MX"/>
        </w:rPr>
        <w:t>Acuerdo</w:t>
      </w:r>
      <w:r w:rsidRPr="00075B8C">
        <w:rPr>
          <w:rFonts w:ascii="Palatino Linotype" w:hAnsi="Palatino Linotype" w:cs="Arial"/>
          <w:i/>
          <w:sz w:val="22"/>
          <w:szCs w:val="22"/>
        </w:rPr>
        <w:t xml:space="preserve"> de Clasificación de la información, que emita el Comité de Transparencia con motivo de la versión pública.</w:t>
      </w:r>
      <w:r w:rsidR="00342793" w:rsidRPr="00075B8C">
        <w:rPr>
          <w:rFonts w:ascii="Palatino Linotype" w:hAnsi="Palatino Linotype"/>
          <w:i/>
          <w:sz w:val="22"/>
          <w:szCs w:val="22"/>
        </w:rPr>
        <w:t>”</w:t>
      </w:r>
    </w:p>
    <w:p w:rsidR="00342793" w:rsidRPr="00075B8C" w:rsidRDefault="00342793" w:rsidP="00342793">
      <w:pPr>
        <w:spacing w:before="100" w:beforeAutospacing="1" w:after="100" w:afterAutospacing="1" w:line="360" w:lineRule="auto"/>
        <w:jc w:val="both"/>
        <w:rPr>
          <w:rFonts w:ascii="Palatino Linotype" w:hAnsi="Palatino Linotype"/>
          <w:color w:val="222222"/>
          <w:sz w:val="24"/>
          <w:szCs w:val="24"/>
          <w:shd w:val="clear" w:color="auto" w:fill="FFFFFF"/>
        </w:rPr>
      </w:pPr>
      <w:r w:rsidRPr="00075B8C">
        <w:rPr>
          <w:rFonts w:ascii="Palatino Linotype" w:hAnsi="Palatino Linotype"/>
          <w:b/>
          <w:color w:val="222222"/>
          <w:sz w:val="28"/>
          <w:szCs w:val="28"/>
          <w:shd w:val="clear" w:color="auto" w:fill="FFFFFF"/>
        </w:rPr>
        <w:t>TERCERO.</w:t>
      </w:r>
      <w:r w:rsidRPr="00075B8C">
        <w:rPr>
          <w:rFonts w:ascii="Palatino Linotype" w:hAnsi="Palatino Linotype"/>
          <w:b/>
          <w:color w:val="222222"/>
          <w:shd w:val="clear" w:color="auto" w:fill="FFFFFF"/>
        </w:rPr>
        <w:t> </w:t>
      </w:r>
      <w:r w:rsidRPr="00075B8C">
        <w:rPr>
          <w:rFonts w:ascii="Palatino Linotype" w:hAnsi="Palatino Linotype"/>
          <w:b/>
          <w:color w:val="222222"/>
          <w:sz w:val="24"/>
          <w:szCs w:val="24"/>
          <w:lang w:eastAsia="es-ES_tradnl"/>
        </w:rPr>
        <w:t>Notifíquese</w:t>
      </w:r>
      <w:r w:rsidRPr="00075B8C">
        <w:rPr>
          <w:rFonts w:ascii="Palatino Linotype" w:hAnsi="Palatino Linotype"/>
          <w:color w:val="222222"/>
          <w:sz w:val="24"/>
          <w:szCs w:val="24"/>
          <w:lang w:eastAsia="es-ES_tradnl"/>
        </w:rPr>
        <w:t xml:space="preserve"> </w:t>
      </w:r>
      <w:r w:rsidRPr="00075B8C">
        <w:rPr>
          <w:rFonts w:ascii="Palatino Linotype" w:hAnsi="Palatino Linotype"/>
          <w:color w:val="222222"/>
          <w:sz w:val="24"/>
          <w:szCs w:val="24"/>
          <w:shd w:val="clear" w:color="auto" w:fill="FFFFFF"/>
        </w:rPr>
        <w:t>al Titular de la Unidad de Transparencia del</w:t>
      </w:r>
      <w:r w:rsidRPr="00075B8C">
        <w:rPr>
          <w:rFonts w:ascii="Palatino Linotype" w:hAnsi="Palatino Linotype"/>
          <w:b/>
          <w:color w:val="222222"/>
          <w:sz w:val="24"/>
          <w:szCs w:val="24"/>
          <w:shd w:val="clear" w:color="auto" w:fill="FFFFFF"/>
        </w:rPr>
        <w:t> SUJETO OBLIGADO</w:t>
      </w:r>
      <w:r w:rsidRPr="00075B8C">
        <w:rPr>
          <w:rFonts w:ascii="Palatino Linotype" w:hAnsi="Palatino Linotype"/>
          <w:color w:val="222222"/>
          <w:sz w:val="24"/>
          <w:szCs w:val="24"/>
          <w:shd w:val="clear" w:color="auto" w:fill="FFFFFF"/>
        </w:rPr>
        <w:t xml:space="preserve">, para que conforme a los artículos 186, último párrafo y 189, párrafo segundo de la Ley de </w:t>
      </w:r>
      <w:r w:rsidRPr="00075B8C">
        <w:rPr>
          <w:rFonts w:ascii="Palatino Linotype" w:hAnsi="Palatino Linotype" w:cs="Arial"/>
          <w:sz w:val="24"/>
          <w:szCs w:val="24"/>
        </w:rPr>
        <w:t>Transparencia</w:t>
      </w:r>
      <w:r w:rsidRPr="00075B8C">
        <w:rPr>
          <w:rFonts w:ascii="Palatino Linotype" w:hAnsi="Palatino Linotype"/>
          <w:color w:val="222222"/>
          <w:sz w:val="24"/>
          <w:szCs w:val="24"/>
          <w:shd w:val="clear" w:color="auto" w:fill="FFFFFF"/>
        </w:rPr>
        <w:t xml:space="preserve"> y Acceso a la Información Pública del Estado de México y Municipios, dé cumplimiento a lo ordenado dentro del plazo de diez días hábiles, debiendo informar a este Instituto en un plazo </w:t>
      </w:r>
      <w:r w:rsidRPr="00075B8C">
        <w:rPr>
          <w:rFonts w:ascii="Palatino Linotype" w:hAnsi="Palatino Linotype"/>
          <w:color w:val="222222"/>
          <w:sz w:val="24"/>
          <w:szCs w:val="24"/>
          <w:lang w:eastAsia="es-ES_tradnl"/>
        </w:rPr>
        <w:t>de</w:t>
      </w:r>
      <w:r w:rsidRPr="00075B8C">
        <w:rPr>
          <w:rFonts w:ascii="Palatino Linotype" w:hAnsi="Palatino Linotype"/>
          <w:color w:val="222222"/>
          <w:sz w:val="24"/>
          <w:szCs w:val="24"/>
          <w:shd w:val="clear" w:color="auto" w:fill="FFFFFF"/>
        </w:rPr>
        <w:t xml:space="preserve"> tres días hábiles siguientes sobre el cumplimiento dado a la presente resolución.</w:t>
      </w:r>
    </w:p>
    <w:p w:rsidR="00342793" w:rsidRPr="00075B8C" w:rsidRDefault="00342793" w:rsidP="00342793">
      <w:pPr>
        <w:spacing w:before="100" w:beforeAutospacing="1" w:after="100" w:afterAutospacing="1" w:line="360" w:lineRule="auto"/>
        <w:ind w:right="49"/>
        <w:jc w:val="both"/>
        <w:rPr>
          <w:rFonts w:ascii="Palatino Linotype" w:hAnsi="Palatino Linotype"/>
          <w:color w:val="222222"/>
          <w:sz w:val="24"/>
          <w:lang w:eastAsia="es-ES_tradnl"/>
        </w:rPr>
      </w:pPr>
      <w:r w:rsidRPr="00075B8C">
        <w:rPr>
          <w:rFonts w:ascii="Palatino Linotype" w:hAnsi="Palatino Linotype" w:cs="Arial"/>
          <w:b/>
          <w:bCs/>
          <w:color w:val="222222"/>
          <w:sz w:val="28"/>
          <w:lang w:eastAsia="es-MX"/>
        </w:rPr>
        <w:t xml:space="preserve">CUARTO. </w:t>
      </w:r>
      <w:r w:rsidRPr="00075B8C">
        <w:rPr>
          <w:rFonts w:ascii="Palatino Linotype" w:hAnsi="Palatino Linotype"/>
          <w:b/>
          <w:color w:val="222222"/>
          <w:sz w:val="24"/>
          <w:lang w:eastAsia="es-ES_tradnl"/>
        </w:rPr>
        <w:t>Notifíquese</w:t>
      </w:r>
      <w:r w:rsidRPr="00075B8C">
        <w:rPr>
          <w:rFonts w:ascii="Palatino Linotype" w:hAnsi="Palatino Linotype"/>
          <w:color w:val="222222"/>
          <w:sz w:val="24"/>
          <w:lang w:eastAsia="es-ES_tradnl"/>
        </w:rPr>
        <w:t xml:space="preserve"> a</w:t>
      </w:r>
      <w:r w:rsidR="00770106" w:rsidRPr="00075B8C">
        <w:rPr>
          <w:rFonts w:ascii="Palatino Linotype" w:hAnsi="Palatino Linotype"/>
          <w:color w:val="222222"/>
          <w:sz w:val="24"/>
          <w:lang w:eastAsia="es-ES_tradnl"/>
        </w:rPr>
        <w:t>l</w:t>
      </w:r>
      <w:r w:rsidRPr="00075B8C">
        <w:rPr>
          <w:rFonts w:ascii="Palatino Linotype" w:hAnsi="Palatino Linotype"/>
          <w:color w:val="222222"/>
          <w:sz w:val="24"/>
          <w:lang w:eastAsia="es-ES_tradnl"/>
        </w:rPr>
        <w:t xml:space="preserve"> </w:t>
      </w:r>
      <w:r w:rsidRPr="00075B8C">
        <w:rPr>
          <w:rFonts w:ascii="Palatino Linotype" w:hAnsi="Palatino Linotype"/>
          <w:b/>
          <w:color w:val="222222"/>
          <w:sz w:val="24"/>
          <w:lang w:eastAsia="es-ES_tradnl"/>
        </w:rPr>
        <w:t>RECURRENTE</w:t>
      </w:r>
      <w:r w:rsidRPr="00075B8C">
        <w:rPr>
          <w:rFonts w:ascii="Palatino Linotype" w:hAnsi="Palatino Linotype"/>
          <w:color w:val="222222"/>
          <w:sz w:val="24"/>
          <w:lang w:eastAsia="es-ES_tradnl"/>
        </w:rPr>
        <w:t xml:space="preserve"> la </w:t>
      </w:r>
      <w:r w:rsidRPr="00075B8C">
        <w:rPr>
          <w:rFonts w:ascii="Palatino Linotype" w:hAnsi="Palatino Linotype" w:cs="Arial"/>
          <w:sz w:val="24"/>
        </w:rPr>
        <w:t>presente</w:t>
      </w:r>
      <w:r w:rsidRPr="00075B8C">
        <w:rPr>
          <w:rFonts w:ascii="Palatino Linotype" w:hAnsi="Palatino Linotype"/>
          <w:color w:val="222222"/>
          <w:sz w:val="24"/>
          <w:lang w:eastAsia="es-ES_tradnl"/>
        </w:rPr>
        <w:t xml:space="preserve"> resolución </w:t>
      </w:r>
    </w:p>
    <w:p w:rsidR="00342793" w:rsidRPr="00A6089B" w:rsidRDefault="00342793" w:rsidP="00342793">
      <w:pPr>
        <w:spacing w:before="100" w:beforeAutospacing="1" w:after="100" w:afterAutospacing="1" w:line="360" w:lineRule="auto"/>
        <w:ind w:right="49"/>
        <w:jc w:val="both"/>
        <w:rPr>
          <w:rFonts w:ascii="Palatino Linotype" w:hAnsi="Palatino Linotype"/>
          <w:color w:val="222222"/>
          <w:sz w:val="24"/>
          <w:szCs w:val="24"/>
          <w:lang w:eastAsia="es-ES_tradnl"/>
        </w:rPr>
      </w:pPr>
      <w:r w:rsidRPr="00075B8C">
        <w:rPr>
          <w:rFonts w:ascii="Palatino Linotype" w:hAnsi="Palatino Linotype" w:cs="Arial"/>
          <w:b/>
          <w:bCs/>
          <w:color w:val="222222"/>
          <w:sz w:val="28"/>
          <w:lang w:eastAsia="es-MX"/>
        </w:rPr>
        <w:t>QUINTO.</w:t>
      </w:r>
      <w:r w:rsidRPr="00075B8C">
        <w:rPr>
          <w:rFonts w:ascii="Palatino Linotype" w:hAnsi="Palatino Linotype"/>
          <w:color w:val="222222"/>
          <w:szCs w:val="17"/>
          <w:lang w:eastAsia="es-ES_tradnl"/>
        </w:rPr>
        <w:t xml:space="preserve"> </w:t>
      </w:r>
      <w:r w:rsidRPr="00075B8C">
        <w:rPr>
          <w:rFonts w:ascii="Palatino Linotype" w:hAnsi="Palatino Linotype"/>
          <w:b/>
          <w:color w:val="222222"/>
          <w:sz w:val="24"/>
          <w:szCs w:val="24"/>
          <w:lang w:eastAsia="es-ES_tradnl"/>
        </w:rPr>
        <w:t>Hágase del conocimiento</w:t>
      </w:r>
      <w:r w:rsidRPr="00075B8C">
        <w:rPr>
          <w:rFonts w:ascii="Palatino Linotype" w:hAnsi="Palatino Linotype"/>
          <w:color w:val="222222"/>
          <w:sz w:val="24"/>
          <w:szCs w:val="24"/>
          <w:lang w:eastAsia="es-ES_tradnl"/>
        </w:rPr>
        <w:t xml:space="preserve"> a</w:t>
      </w:r>
      <w:r w:rsidR="00770106" w:rsidRPr="00075B8C">
        <w:rPr>
          <w:rFonts w:ascii="Palatino Linotype" w:hAnsi="Palatino Linotype"/>
          <w:color w:val="222222"/>
          <w:sz w:val="24"/>
          <w:szCs w:val="24"/>
          <w:lang w:eastAsia="es-ES_tradnl"/>
        </w:rPr>
        <w:t xml:space="preserve">l </w:t>
      </w:r>
      <w:r w:rsidRPr="00075B8C">
        <w:rPr>
          <w:rFonts w:ascii="Palatino Linotype" w:hAnsi="Palatino Linotype"/>
          <w:b/>
          <w:color w:val="222222"/>
          <w:sz w:val="24"/>
          <w:szCs w:val="24"/>
          <w:lang w:eastAsia="es-ES_tradnl"/>
        </w:rPr>
        <w:t>RECURRENTE</w:t>
      </w:r>
      <w:r w:rsidRPr="00075B8C">
        <w:rPr>
          <w:rFonts w:ascii="Palatino Linotype" w:hAnsi="Palatino Linotype"/>
          <w:color w:val="222222"/>
          <w:sz w:val="24"/>
          <w:szCs w:val="24"/>
          <w:lang w:eastAsia="es-ES_tradnl"/>
        </w:rPr>
        <w:t xml:space="preserve"> que, de conformidad con lo establecido en el artículo 196 de la </w:t>
      </w:r>
      <w:r w:rsidRPr="00075B8C">
        <w:rPr>
          <w:rFonts w:ascii="Palatino Linotype" w:hAnsi="Palatino Linotype" w:cs="Arial"/>
          <w:sz w:val="24"/>
          <w:szCs w:val="24"/>
        </w:rPr>
        <w:t>Ley</w:t>
      </w:r>
      <w:r w:rsidRPr="00075B8C">
        <w:rPr>
          <w:rFonts w:ascii="Palatino Linotype" w:hAnsi="Palatino Linotype"/>
          <w:color w:val="222222"/>
          <w:sz w:val="24"/>
          <w:szCs w:val="24"/>
          <w:lang w:eastAsia="es-ES_tradnl"/>
        </w:rPr>
        <w:t xml:space="preserve"> de Transparencia y Acceso a la Información Pública del Estado de México y Municipios, podrá impugnarla vía Juicio de Amparo en los términos de las leyes aplicables.</w:t>
      </w:r>
    </w:p>
    <w:p w:rsidR="00342793" w:rsidRPr="00D15AFA" w:rsidRDefault="00D15AFA" w:rsidP="00D15AFA">
      <w:pPr>
        <w:spacing w:after="0" w:line="360" w:lineRule="auto"/>
        <w:jc w:val="both"/>
        <w:rPr>
          <w:rFonts w:ascii="Palatino Linotype" w:eastAsia="Times New Roman" w:hAnsi="Palatino Linotype" w:cs="Arial"/>
          <w:sz w:val="24"/>
          <w:szCs w:val="24"/>
        </w:rPr>
      </w:pPr>
      <w:r w:rsidRPr="00D15AFA">
        <w:rPr>
          <w:rFonts w:ascii="Palatino Linotype" w:eastAsia="Times New Roman" w:hAnsi="Palatino Linotype" w:cs="Arial"/>
          <w:sz w:val="24"/>
          <w:szCs w:val="24"/>
          <w:lang w:val="es-MX"/>
        </w:rPr>
        <w:t>ASÍ LO RESUELVE, POR UNANIMIDAD DE VOTOS DE LOS PRESENTES, EL PLENO DEL</w:t>
      </w:r>
      <w:r w:rsidRPr="00D15AFA">
        <w:rPr>
          <w:rFonts w:ascii="Palatino Linotype" w:eastAsia="Arial Unicode MS" w:hAnsi="Palatino Linotype" w:cs="Arial"/>
          <w:sz w:val="24"/>
          <w:szCs w:val="24"/>
          <w:lang w:val="es-MX"/>
        </w:rPr>
        <w:t xml:space="preserve"> INSTITUTO DE </w:t>
      </w:r>
      <w:r w:rsidRPr="00D15AFA">
        <w:rPr>
          <w:rFonts w:ascii="Palatino Linotype" w:eastAsia="Times New Roman" w:hAnsi="Palatino Linotype" w:cs="Times New Roman"/>
          <w:sz w:val="24"/>
          <w:szCs w:val="24"/>
          <w:lang w:val="es-MX" w:eastAsia="en-US"/>
        </w:rPr>
        <w:t>TRANSPARENCIA</w:t>
      </w:r>
      <w:r w:rsidRPr="00D15AFA">
        <w:rPr>
          <w:rFonts w:ascii="Palatino Linotype" w:eastAsia="Arial Unicode MS" w:hAnsi="Palatino Linotype" w:cs="Arial"/>
          <w:sz w:val="24"/>
          <w:szCs w:val="24"/>
          <w:lang w:val="es-MX"/>
        </w:rPr>
        <w:t>, ACCESO A LA INFORMACIÓN PÚBLICA Y PROTECCIÓN DE DATOS PERSONALES DEL ESTADO DE MÉXICO Y MUNICIPIOS</w:t>
      </w:r>
      <w:r w:rsidRPr="00D15AFA">
        <w:rPr>
          <w:rFonts w:ascii="Palatino Linotype" w:eastAsia="Times New Roman" w:hAnsi="Palatino Linotype" w:cs="Arial"/>
          <w:sz w:val="24"/>
          <w:szCs w:val="24"/>
          <w:lang w:val="es-MX"/>
        </w:rPr>
        <w:t xml:space="preserve">, CONFORMADO POR LOS COMISIONADOS ZULEMA MARTÍNEZ SÁNCHEZ; EVA ABAID YAPUR; JOSÉ GUADALUPE LUNA HERNÁNDEZ </w:t>
      </w:r>
      <w:r w:rsidRPr="00D15AFA">
        <w:rPr>
          <w:rFonts w:ascii="Palatino Linotype" w:eastAsia="Times New Roman" w:hAnsi="Palatino Linotype" w:cs="Arial"/>
          <w:sz w:val="24"/>
          <w:szCs w:val="24"/>
          <w:lang w:val="es-MX"/>
        </w:rPr>
        <w:lastRenderedPageBreak/>
        <w:t xml:space="preserve">(AUSENTE EN LA VOTACIÓN), JAVIER MARTÍNEZ CRUZ Y LUIS GUSTAVO PARRA NORIEGA; </w:t>
      </w:r>
      <w:r w:rsidRPr="00D15AFA">
        <w:rPr>
          <w:rFonts w:ascii="Palatino Linotype" w:eastAsia="Times New Roman" w:hAnsi="Palatino Linotype" w:cs="Arial"/>
          <w:sz w:val="24"/>
          <w:szCs w:val="24"/>
          <w:shd w:val="clear" w:color="auto" w:fill="FFFFFF" w:themeFill="background1"/>
          <w:lang w:val="es-MX"/>
        </w:rPr>
        <w:t xml:space="preserve">EN LA </w:t>
      </w:r>
      <w:r w:rsidRPr="00D15AFA">
        <w:rPr>
          <w:rFonts w:ascii="Palatino Linotype" w:eastAsia="Times New Roman" w:hAnsi="Palatino Linotype" w:cs="Arial"/>
          <w:sz w:val="24"/>
          <w:szCs w:val="24"/>
          <w:lang w:val="es-MX"/>
        </w:rPr>
        <w:t xml:space="preserve">TRIGÉSIMA SESIÓN ORDINARIA CELEBRADA EL VEINTIUNO DE AGOSTO DE DOS MIL DIECINUEVE, ANTE EL SECRETARIO TÉCNICO DEL PLENO, </w:t>
      </w:r>
      <w:r w:rsidRPr="00D15AFA">
        <w:rPr>
          <w:rFonts w:ascii="Palatino Linotype" w:eastAsia="Arial Unicode MS" w:hAnsi="Palatino Linotype" w:cs="Arial"/>
          <w:sz w:val="24"/>
          <w:szCs w:val="24"/>
          <w:lang w:val="es-MX"/>
        </w:rPr>
        <w:t>ALEXIS</w:t>
      </w:r>
      <w:r w:rsidRPr="00D15AFA">
        <w:rPr>
          <w:rFonts w:ascii="Palatino Linotype" w:eastAsia="Times New Roman" w:hAnsi="Palatino Linotype" w:cs="Arial"/>
          <w:sz w:val="24"/>
          <w:szCs w:val="24"/>
          <w:lang w:val="es-MX"/>
        </w:rPr>
        <w:t xml:space="preserve"> TAPIA RAMÍREZ.</w:t>
      </w:r>
    </w:p>
    <w:tbl>
      <w:tblPr>
        <w:tblW w:w="10368" w:type="dxa"/>
        <w:jc w:val="center"/>
        <w:tblLayout w:type="fixed"/>
        <w:tblLook w:val="04A0" w:firstRow="1" w:lastRow="0" w:firstColumn="1" w:lastColumn="0" w:noHBand="0" w:noVBand="1"/>
      </w:tblPr>
      <w:tblGrid>
        <w:gridCol w:w="10368"/>
      </w:tblGrid>
      <w:tr w:rsidR="00342793" w:rsidRPr="00A6089B" w:rsidTr="00D15AFA">
        <w:trPr>
          <w:jc w:val="center"/>
        </w:trPr>
        <w:tc>
          <w:tcPr>
            <w:tcW w:w="10368" w:type="dxa"/>
          </w:tcPr>
          <w:p w:rsidR="00342793" w:rsidRPr="00D15AFA" w:rsidRDefault="00342793" w:rsidP="00A50E21">
            <w:pPr>
              <w:rPr>
                <w:sz w:val="24"/>
                <w:szCs w:val="24"/>
              </w:rPr>
            </w:pPr>
          </w:p>
          <w:tbl>
            <w:tblPr>
              <w:tblW w:w="10365" w:type="dxa"/>
              <w:jc w:val="center"/>
              <w:tblLayout w:type="fixed"/>
              <w:tblLook w:val="04A0" w:firstRow="1" w:lastRow="0" w:firstColumn="1" w:lastColumn="0" w:noHBand="0" w:noVBand="1"/>
            </w:tblPr>
            <w:tblGrid>
              <w:gridCol w:w="4995"/>
              <w:gridCol w:w="5370"/>
            </w:tblGrid>
            <w:tr w:rsidR="00342793" w:rsidRPr="00D15AFA" w:rsidTr="00A50E21">
              <w:trPr>
                <w:jc w:val="center"/>
              </w:trPr>
              <w:tc>
                <w:tcPr>
                  <w:tcW w:w="10365" w:type="dxa"/>
                  <w:gridSpan w:val="2"/>
                  <w:shd w:val="clear" w:color="auto" w:fill="auto"/>
                </w:tcPr>
                <w:p w:rsidR="00342793" w:rsidRPr="00D15AFA" w:rsidRDefault="00342793" w:rsidP="00D15AFA">
                  <w:pPr>
                    <w:spacing w:after="0" w:line="240" w:lineRule="auto"/>
                    <w:rPr>
                      <w:rFonts w:ascii="Palatino Linotype" w:hAnsi="Palatino Linotype" w:cs="Arial"/>
                      <w:b/>
                      <w:sz w:val="24"/>
                      <w:szCs w:val="24"/>
                    </w:rPr>
                  </w:pPr>
                </w:p>
                <w:p w:rsidR="00CE04BB" w:rsidRPr="00D15AFA" w:rsidRDefault="00CE04BB" w:rsidP="00A50E21">
                  <w:pPr>
                    <w:spacing w:after="0" w:line="240" w:lineRule="auto"/>
                    <w:jc w:val="center"/>
                    <w:rPr>
                      <w:rFonts w:ascii="Palatino Linotype" w:hAnsi="Palatino Linotype" w:cs="Arial"/>
                      <w:b/>
                      <w:sz w:val="24"/>
                      <w:szCs w:val="24"/>
                    </w:rPr>
                  </w:pPr>
                </w:p>
                <w:p w:rsidR="00342793" w:rsidRPr="00D15AFA" w:rsidRDefault="00342793" w:rsidP="00A50E21">
                  <w:pPr>
                    <w:spacing w:after="0" w:line="240" w:lineRule="auto"/>
                    <w:jc w:val="center"/>
                    <w:rPr>
                      <w:rFonts w:ascii="Palatino Linotype" w:hAnsi="Palatino Linotype" w:cs="Arial"/>
                      <w:b/>
                      <w:sz w:val="24"/>
                      <w:szCs w:val="24"/>
                    </w:rPr>
                  </w:pPr>
                </w:p>
                <w:p w:rsidR="00342793" w:rsidRPr="00D15AFA" w:rsidRDefault="00342793" w:rsidP="00A50E21">
                  <w:pPr>
                    <w:spacing w:after="0" w:line="240" w:lineRule="auto"/>
                    <w:jc w:val="center"/>
                    <w:rPr>
                      <w:rFonts w:ascii="Palatino Linotype" w:hAnsi="Palatino Linotype" w:cs="Arial"/>
                      <w:b/>
                      <w:sz w:val="24"/>
                      <w:szCs w:val="24"/>
                    </w:rPr>
                  </w:pPr>
                  <w:r w:rsidRPr="00D15AFA">
                    <w:rPr>
                      <w:rFonts w:ascii="Palatino Linotype" w:hAnsi="Palatino Linotype" w:cs="Arial"/>
                      <w:b/>
                      <w:sz w:val="24"/>
                      <w:szCs w:val="24"/>
                    </w:rPr>
                    <w:t>Zulema Martínez Sánchez</w:t>
                  </w:r>
                </w:p>
                <w:p w:rsidR="00342793" w:rsidRPr="00D15AFA" w:rsidRDefault="00342793" w:rsidP="00A50E21">
                  <w:pPr>
                    <w:spacing w:after="0" w:line="240" w:lineRule="auto"/>
                    <w:jc w:val="center"/>
                    <w:rPr>
                      <w:rFonts w:ascii="Palatino Linotype" w:hAnsi="Palatino Linotype" w:cs="Arial"/>
                      <w:sz w:val="24"/>
                      <w:szCs w:val="24"/>
                    </w:rPr>
                  </w:pPr>
                  <w:r w:rsidRPr="00D15AFA">
                    <w:rPr>
                      <w:rFonts w:ascii="Palatino Linotype" w:hAnsi="Palatino Linotype" w:cs="Arial"/>
                      <w:sz w:val="24"/>
                      <w:szCs w:val="24"/>
                    </w:rPr>
                    <w:t>Comisionada Presidenta</w:t>
                  </w:r>
                </w:p>
                <w:p w:rsidR="00342793" w:rsidRPr="00D15AFA" w:rsidRDefault="00342793" w:rsidP="00A50E21">
                  <w:pPr>
                    <w:spacing w:after="0" w:line="240" w:lineRule="auto"/>
                    <w:jc w:val="center"/>
                    <w:rPr>
                      <w:rFonts w:ascii="Palatino Linotype" w:hAnsi="Palatino Linotype" w:cs="Arial"/>
                      <w:b/>
                      <w:sz w:val="24"/>
                      <w:szCs w:val="24"/>
                    </w:rPr>
                  </w:pPr>
                  <w:r w:rsidRPr="00D15AFA">
                    <w:rPr>
                      <w:rFonts w:ascii="Palatino Linotype" w:hAnsi="Palatino Linotype" w:cs="Arial"/>
                      <w:b/>
                      <w:sz w:val="24"/>
                      <w:szCs w:val="24"/>
                    </w:rPr>
                    <w:t xml:space="preserve">(RÚBRICA) </w:t>
                  </w:r>
                </w:p>
              </w:tc>
            </w:tr>
            <w:tr w:rsidR="00342793" w:rsidRPr="00A6089B" w:rsidTr="00D15AFA">
              <w:trPr>
                <w:jc w:val="center"/>
              </w:trPr>
              <w:tc>
                <w:tcPr>
                  <w:tcW w:w="4995" w:type="dxa"/>
                  <w:shd w:val="clear" w:color="auto" w:fill="auto"/>
                </w:tcPr>
                <w:p w:rsidR="00342793" w:rsidRDefault="00342793" w:rsidP="00A50E21">
                  <w:pPr>
                    <w:spacing w:after="0" w:line="240" w:lineRule="auto"/>
                    <w:jc w:val="center"/>
                    <w:rPr>
                      <w:rFonts w:ascii="Palatino Linotype" w:hAnsi="Palatino Linotype" w:cs="Arial"/>
                      <w:b/>
                      <w:sz w:val="24"/>
                      <w:szCs w:val="24"/>
                    </w:rPr>
                  </w:pPr>
                </w:p>
                <w:p w:rsidR="00CE04BB" w:rsidRDefault="00CE04BB" w:rsidP="00A50E21">
                  <w:pPr>
                    <w:spacing w:after="0" w:line="240" w:lineRule="auto"/>
                    <w:jc w:val="center"/>
                    <w:rPr>
                      <w:rFonts w:ascii="Palatino Linotype" w:hAnsi="Palatino Linotype" w:cs="Arial"/>
                      <w:b/>
                      <w:sz w:val="24"/>
                      <w:szCs w:val="24"/>
                    </w:rPr>
                  </w:pPr>
                </w:p>
                <w:p w:rsidR="00CE04BB" w:rsidRPr="00A6089B" w:rsidRDefault="00CE04BB" w:rsidP="00A50E21">
                  <w:pPr>
                    <w:spacing w:after="0" w:line="240" w:lineRule="auto"/>
                    <w:jc w:val="center"/>
                    <w:rPr>
                      <w:rFonts w:ascii="Palatino Linotype" w:hAnsi="Palatino Linotype" w:cs="Arial"/>
                      <w:b/>
                      <w:sz w:val="24"/>
                      <w:szCs w:val="24"/>
                    </w:rPr>
                  </w:pPr>
                </w:p>
                <w:p w:rsidR="00342793" w:rsidRPr="00A6089B" w:rsidRDefault="00342793" w:rsidP="00A50E21">
                  <w:pPr>
                    <w:spacing w:after="0" w:line="240" w:lineRule="auto"/>
                    <w:jc w:val="center"/>
                    <w:rPr>
                      <w:rFonts w:ascii="Palatino Linotype" w:hAnsi="Palatino Linotype" w:cs="Arial"/>
                      <w:b/>
                      <w:sz w:val="24"/>
                      <w:szCs w:val="24"/>
                    </w:rPr>
                  </w:pPr>
                  <w:r w:rsidRPr="00A6089B">
                    <w:rPr>
                      <w:rFonts w:ascii="Palatino Linotype" w:hAnsi="Palatino Linotype" w:cs="Arial"/>
                      <w:b/>
                      <w:sz w:val="24"/>
                      <w:szCs w:val="24"/>
                    </w:rPr>
                    <w:t>Eva Abaid Yapur</w:t>
                  </w:r>
                </w:p>
                <w:p w:rsidR="00342793" w:rsidRPr="00D15AFA" w:rsidRDefault="00342793" w:rsidP="00A50E21">
                  <w:pPr>
                    <w:spacing w:after="0" w:line="240" w:lineRule="auto"/>
                    <w:jc w:val="center"/>
                    <w:rPr>
                      <w:rFonts w:ascii="Palatino Linotype" w:hAnsi="Palatino Linotype" w:cs="Arial"/>
                      <w:sz w:val="24"/>
                      <w:szCs w:val="24"/>
                    </w:rPr>
                  </w:pPr>
                  <w:r w:rsidRPr="00D15AFA">
                    <w:rPr>
                      <w:rFonts w:ascii="Palatino Linotype" w:hAnsi="Palatino Linotype" w:cs="Arial"/>
                      <w:sz w:val="24"/>
                      <w:szCs w:val="24"/>
                    </w:rPr>
                    <w:t>Comisionada</w:t>
                  </w:r>
                </w:p>
                <w:p w:rsidR="00342793" w:rsidRPr="00A6089B" w:rsidRDefault="00342793" w:rsidP="00A50E21">
                  <w:pPr>
                    <w:spacing w:after="0" w:line="240" w:lineRule="auto"/>
                    <w:jc w:val="center"/>
                    <w:rPr>
                      <w:rFonts w:ascii="Palatino Linotype" w:hAnsi="Palatino Linotype" w:cs="Arial"/>
                      <w:b/>
                      <w:sz w:val="24"/>
                      <w:szCs w:val="24"/>
                    </w:rPr>
                  </w:pPr>
                  <w:r w:rsidRPr="00A6089B">
                    <w:rPr>
                      <w:rFonts w:ascii="Palatino Linotype" w:hAnsi="Palatino Linotype" w:cs="Arial"/>
                      <w:b/>
                      <w:sz w:val="24"/>
                      <w:szCs w:val="24"/>
                    </w:rPr>
                    <w:t>(RÚBRICA)</w:t>
                  </w:r>
                </w:p>
              </w:tc>
              <w:tc>
                <w:tcPr>
                  <w:tcW w:w="5370" w:type="dxa"/>
                  <w:shd w:val="clear" w:color="auto" w:fill="auto"/>
                </w:tcPr>
                <w:p w:rsidR="00342793" w:rsidRDefault="00342793" w:rsidP="00A50E21">
                  <w:pPr>
                    <w:spacing w:after="0" w:line="240" w:lineRule="auto"/>
                    <w:jc w:val="center"/>
                    <w:rPr>
                      <w:rFonts w:ascii="Palatino Linotype" w:hAnsi="Palatino Linotype" w:cs="Arial"/>
                      <w:b/>
                      <w:sz w:val="24"/>
                      <w:szCs w:val="24"/>
                    </w:rPr>
                  </w:pPr>
                </w:p>
                <w:p w:rsidR="00CE04BB" w:rsidRDefault="00CE04BB" w:rsidP="00A50E21">
                  <w:pPr>
                    <w:spacing w:after="0" w:line="240" w:lineRule="auto"/>
                    <w:jc w:val="center"/>
                    <w:rPr>
                      <w:rFonts w:ascii="Palatino Linotype" w:hAnsi="Palatino Linotype" w:cs="Arial"/>
                      <w:b/>
                      <w:sz w:val="24"/>
                      <w:szCs w:val="24"/>
                    </w:rPr>
                  </w:pPr>
                </w:p>
                <w:p w:rsidR="00CE04BB" w:rsidRDefault="00CE04BB" w:rsidP="00A50E21">
                  <w:pPr>
                    <w:spacing w:after="0" w:line="240" w:lineRule="auto"/>
                    <w:jc w:val="center"/>
                    <w:rPr>
                      <w:rFonts w:ascii="Palatino Linotype" w:hAnsi="Palatino Linotype" w:cs="Arial"/>
                      <w:b/>
                      <w:sz w:val="24"/>
                      <w:szCs w:val="24"/>
                    </w:rPr>
                  </w:pPr>
                </w:p>
                <w:p w:rsidR="00342793" w:rsidRPr="00A6089B" w:rsidRDefault="00342793" w:rsidP="00A50E21">
                  <w:pPr>
                    <w:spacing w:after="0" w:line="240" w:lineRule="auto"/>
                    <w:jc w:val="center"/>
                    <w:rPr>
                      <w:rFonts w:ascii="Palatino Linotype" w:hAnsi="Palatino Linotype" w:cs="Arial"/>
                      <w:b/>
                      <w:sz w:val="24"/>
                      <w:szCs w:val="24"/>
                    </w:rPr>
                  </w:pPr>
                  <w:r w:rsidRPr="00A6089B">
                    <w:rPr>
                      <w:rFonts w:ascii="Palatino Linotype" w:hAnsi="Palatino Linotype" w:cs="Arial"/>
                      <w:b/>
                      <w:sz w:val="24"/>
                      <w:szCs w:val="24"/>
                    </w:rPr>
                    <w:t>José Guadalupe Luna Hernández</w:t>
                  </w:r>
                </w:p>
                <w:p w:rsidR="00342793" w:rsidRPr="00D15AFA" w:rsidRDefault="00342793" w:rsidP="00A50E21">
                  <w:pPr>
                    <w:spacing w:after="0" w:line="240" w:lineRule="auto"/>
                    <w:jc w:val="center"/>
                    <w:rPr>
                      <w:rFonts w:ascii="Palatino Linotype" w:hAnsi="Palatino Linotype" w:cs="Arial"/>
                      <w:sz w:val="24"/>
                      <w:szCs w:val="24"/>
                    </w:rPr>
                  </w:pPr>
                  <w:r w:rsidRPr="00D15AFA">
                    <w:rPr>
                      <w:rFonts w:ascii="Palatino Linotype" w:hAnsi="Palatino Linotype" w:cs="Arial"/>
                      <w:sz w:val="24"/>
                      <w:szCs w:val="24"/>
                    </w:rPr>
                    <w:t>Comisionado</w:t>
                  </w:r>
                </w:p>
                <w:p w:rsidR="00342793" w:rsidRPr="00A6089B" w:rsidRDefault="00D15AFA" w:rsidP="00A50E21">
                  <w:pPr>
                    <w:spacing w:after="0" w:line="240" w:lineRule="auto"/>
                    <w:jc w:val="center"/>
                    <w:rPr>
                      <w:rFonts w:ascii="Palatino Linotype" w:hAnsi="Palatino Linotype" w:cs="Arial"/>
                      <w:b/>
                      <w:sz w:val="24"/>
                      <w:szCs w:val="24"/>
                    </w:rPr>
                  </w:pPr>
                  <w:r>
                    <w:rPr>
                      <w:rFonts w:ascii="Palatino Linotype" w:hAnsi="Palatino Linotype" w:cs="Arial"/>
                      <w:b/>
                      <w:sz w:val="24"/>
                      <w:szCs w:val="24"/>
                    </w:rPr>
                    <w:t>(Ausente en la Votación</w:t>
                  </w:r>
                  <w:r w:rsidR="00342793" w:rsidRPr="00A6089B">
                    <w:rPr>
                      <w:rFonts w:ascii="Palatino Linotype" w:hAnsi="Palatino Linotype" w:cs="Arial"/>
                      <w:b/>
                      <w:sz w:val="24"/>
                      <w:szCs w:val="24"/>
                    </w:rPr>
                    <w:t>)</w:t>
                  </w:r>
                </w:p>
              </w:tc>
            </w:tr>
            <w:tr w:rsidR="00342793" w:rsidRPr="00A6089B" w:rsidTr="00D15AFA">
              <w:trPr>
                <w:jc w:val="center"/>
              </w:trPr>
              <w:tc>
                <w:tcPr>
                  <w:tcW w:w="4995" w:type="dxa"/>
                  <w:shd w:val="clear" w:color="auto" w:fill="auto"/>
                </w:tcPr>
                <w:p w:rsidR="00342793" w:rsidRDefault="00342793" w:rsidP="00A50E21">
                  <w:pPr>
                    <w:spacing w:after="0" w:line="240" w:lineRule="auto"/>
                    <w:jc w:val="center"/>
                    <w:rPr>
                      <w:rFonts w:ascii="Palatino Linotype" w:hAnsi="Palatino Linotype" w:cs="Arial"/>
                      <w:b/>
                      <w:sz w:val="24"/>
                      <w:szCs w:val="24"/>
                    </w:rPr>
                  </w:pPr>
                </w:p>
                <w:p w:rsidR="00342793" w:rsidRDefault="00342793" w:rsidP="00A50E21">
                  <w:pPr>
                    <w:spacing w:after="0" w:line="240" w:lineRule="auto"/>
                    <w:jc w:val="center"/>
                    <w:rPr>
                      <w:rFonts w:ascii="Palatino Linotype" w:hAnsi="Palatino Linotype" w:cs="Arial"/>
                      <w:b/>
                      <w:sz w:val="24"/>
                      <w:szCs w:val="24"/>
                    </w:rPr>
                  </w:pPr>
                </w:p>
                <w:p w:rsidR="00342793" w:rsidRPr="00A6089B" w:rsidRDefault="00342793" w:rsidP="00D15AFA">
                  <w:pPr>
                    <w:spacing w:after="0" w:line="240" w:lineRule="auto"/>
                    <w:rPr>
                      <w:rFonts w:ascii="Palatino Linotype" w:hAnsi="Palatino Linotype" w:cs="Arial"/>
                      <w:b/>
                      <w:sz w:val="24"/>
                      <w:szCs w:val="24"/>
                    </w:rPr>
                  </w:pPr>
                </w:p>
                <w:p w:rsidR="00342793" w:rsidRPr="00A6089B" w:rsidRDefault="00342793" w:rsidP="00A50E21">
                  <w:pPr>
                    <w:spacing w:after="0" w:line="240" w:lineRule="auto"/>
                    <w:jc w:val="center"/>
                    <w:rPr>
                      <w:rFonts w:ascii="Palatino Linotype" w:hAnsi="Palatino Linotype" w:cs="Arial"/>
                      <w:b/>
                      <w:sz w:val="24"/>
                      <w:szCs w:val="24"/>
                    </w:rPr>
                  </w:pPr>
                  <w:r w:rsidRPr="00A6089B">
                    <w:rPr>
                      <w:rFonts w:ascii="Palatino Linotype" w:hAnsi="Palatino Linotype" w:cs="Arial"/>
                      <w:b/>
                      <w:sz w:val="24"/>
                      <w:szCs w:val="24"/>
                    </w:rPr>
                    <w:t>Javier Martínez Cruz</w:t>
                  </w:r>
                </w:p>
                <w:p w:rsidR="00342793" w:rsidRPr="00D15AFA" w:rsidRDefault="00342793" w:rsidP="00A50E21">
                  <w:pPr>
                    <w:spacing w:after="0" w:line="240" w:lineRule="auto"/>
                    <w:jc w:val="center"/>
                    <w:rPr>
                      <w:rFonts w:ascii="Palatino Linotype" w:hAnsi="Palatino Linotype" w:cs="Arial"/>
                      <w:sz w:val="24"/>
                      <w:szCs w:val="24"/>
                    </w:rPr>
                  </w:pPr>
                  <w:r w:rsidRPr="00D15AFA">
                    <w:rPr>
                      <w:rFonts w:ascii="Palatino Linotype" w:hAnsi="Palatino Linotype" w:cs="Arial"/>
                      <w:sz w:val="24"/>
                      <w:szCs w:val="24"/>
                    </w:rPr>
                    <w:t>Comisionado</w:t>
                  </w:r>
                </w:p>
                <w:p w:rsidR="00342793" w:rsidRPr="00A6089B" w:rsidRDefault="00342793" w:rsidP="00A50E21">
                  <w:pPr>
                    <w:spacing w:after="0" w:line="240" w:lineRule="auto"/>
                    <w:jc w:val="center"/>
                    <w:rPr>
                      <w:rFonts w:ascii="Palatino Linotype" w:hAnsi="Palatino Linotype" w:cs="Arial"/>
                      <w:b/>
                      <w:sz w:val="24"/>
                      <w:szCs w:val="24"/>
                    </w:rPr>
                  </w:pPr>
                  <w:r w:rsidRPr="00A6089B">
                    <w:rPr>
                      <w:rFonts w:ascii="Palatino Linotype" w:hAnsi="Palatino Linotype" w:cs="Arial"/>
                      <w:b/>
                      <w:sz w:val="24"/>
                      <w:szCs w:val="24"/>
                    </w:rPr>
                    <w:t>(RÚBRICA)</w:t>
                  </w:r>
                </w:p>
              </w:tc>
              <w:tc>
                <w:tcPr>
                  <w:tcW w:w="5370" w:type="dxa"/>
                  <w:shd w:val="clear" w:color="auto" w:fill="auto"/>
                </w:tcPr>
                <w:p w:rsidR="00342793" w:rsidRDefault="00342793" w:rsidP="00A50E21">
                  <w:pPr>
                    <w:spacing w:after="0" w:line="240" w:lineRule="auto"/>
                    <w:jc w:val="center"/>
                    <w:rPr>
                      <w:rFonts w:ascii="Palatino Linotype" w:hAnsi="Palatino Linotype" w:cs="Arial"/>
                      <w:b/>
                      <w:sz w:val="24"/>
                      <w:szCs w:val="24"/>
                    </w:rPr>
                  </w:pPr>
                </w:p>
                <w:p w:rsidR="00CE04BB" w:rsidRDefault="00CE04BB" w:rsidP="00A50E21">
                  <w:pPr>
                    <w:spacing w:after="0" w:line="240" w:lineRule="auto"/>
                    <w:jc w:val="center"/>
                    <w:rPr>
                      <w:rFonts w:ascii="Palatino Linotype" w:hAnsi="Palatino Linotype" w:cs="Arial"/>
                      <w:b/>
                      <w:sz w:val="24"/>
                      <w:szCs w:val="24"/>
                    </w:rPr>
                  </w:pPr>
                </w:p>
                <w:p w:rsidR="00342793" w:rsidRPr="00A6089B" w:rsidRDefault="00342793" w:rsidP="00D15AFA">
                  <w:pPr>
                    <w:spacing w:after="0" w:line="240" w:lineRule="auto"/>
                    <w:rPr>
                      <w:rFonts w:ascii="Palatino Linotype" w:hAnsi="Palatino Linotype" w:cs="Arial"/>
                      <w:b/>
                      <w:sz w:val="24"/>
                      <w:szCs w:val="24"/>
                    </w:rPr>
                  </w:pPr>
                </w:p>
                <w:p w:rsidR="00342793" w:rsidRPr="00A6089B" w:rsidRDefault="00342793" w:rsidP="00A50E21">
                  <w:pPr>
                    <w:spacing w:after="0" w:line="240" w:lineRule="auto"/>
                    <w:jc w:val="center"/>
                    <w:rPr>
                      <w:rFonts w:ascii="Palatino Linotype" w:hAnsi="Palatino Linotype" w:cs="Arial"/>
                      <w:b/>
                      <w:sz w:val="24"/>
                      <w:szCs w:val="24"/>
                    </w:rPr>
                  </w:pPr>
                  <w:r w:rsidRPr="00A6089B">
                    <w:rPr>
                      <w:rFonts w:ascii="Palatino Linotype" w:hAnsi="Palatino Linotype" w:cs="Arial"/>
                      <w:b/>
                      <w:sz w:val="24"/>
                      <w:szCs w:val="24"/>
                    </w:rPr>
                    <w:t>Luis Gustavo Parra Noriega</w:t>
                  </w:r>
                </w:p>
                <w:p w:rsidR="00342793" w:rsidRPr="00D15AFA" w:rsidRDefault="00342793" w:rsidP="00A50E21">
                  <w:pPr>
                    <w:spacing w:after="0" w:line="240" w:lineRule="auto"/>
                    <w:jc w:val="center"/>
                    <w:rPr>
                      <w:rFonts w:ascii="Palatino Linotype" w:hAnsi="Palatino Linotype" w:cs="Arial"/>
                      <w:sz w:val="24"/>
                      <w:szCs w:val="24"/>
                    </w:rPr>
                  </w:pPr>
                  <w:r w:rsidRPr="00D15AFA">
                    <w:rPr>
                      <w:rFonts w:ascii="Palatino Linotype" w:hAnsi="Palatino Linotype" w:cs="Arial"/>
                      <w:sz w:val="24"/>
                      <w:szCs w:val="24"/>
                    </w:rPr>
                    <w:t>Comisionado</w:t>
                  </w:r>
                </w:p>
                <w:p w:rsidR="00342793" w:rsidRPr="00A6089B" w:rsidRDefault="00342793" w:rsidP="00A50E21">
                  <w:pPr>
                    <w:spacing w:after="0" w:line="240" w:lineRule="auto"/>
                    <w:jc w:val="center"/>
                    <w:rPr>
                      <w:rFonts w:ascii="Palatino Linotype" w:hAnsi="Palatino Linotype" w:cs="Arial"/>
                      <w:b/>
                      <w:sz w:val="24"/>
                      <w:szCs w:val="24"/>
                    </w:rPr>
                  </w:pPr>
                  <w:r w:rsidRPr="00A6089B">
                    <w:rPr>
                      <w:rFonts w:ascii="Palatino Linotype" w:hAnsi="Palatino Linotype" w:cs="Arial"/>
                      <w:b/>
                      <w:sz w:val="24"/>
                      <w:szCs w:val="24"/>
                    </w:rPr>
                    <w:t>(RÚBRICA)</w:t>
                  </w:r>
                </w:p>
              </w:tc>
            </w:tr>
            <w:tr w:rsidR="00342793" w:rsidRPr="00A6089B" w:rsidTr="00A50E21">
              <w:trPr>
                <w:jc w:val="center"/>
              </w:trPr>
              <w:tc>
                <w:tcPr>
                  <w:tcW w:w="10365" w:type="dxa"/>
                  <w:gridSpan w:val="2"/>
                  <w:shd w:val="clear" w:color="auto" w:fill="auto"/>
                </w:tcPr>
                <w:p w:rsidR="00770106" w:rsidRDefault="00770106" w:rsidP="00A50E21">
                  <w:pPr>
                    <w:spacing w:after="0" w:line="240" w:lineRule="auto"/>
                    <w:jc w:val="center"/>
                    <w:rPr>
                      <w:rFonts w:ascii="Palatino Linotype" w:hAnsi="Palatino Linotype" w:cs="Arial"/>
                      <w:b/>
                      <w:sz w:val="24"/>
                      <w:szCs w:val="24"/>
                    </w:rPr>
                  </w:pPr>
                </w:p>
                <w:p w:rsidR="00770106" w:rsidRDefault="00770106" w:rsidP="00A50E21">
                  <w:pPr>
                    <w:spacing w:after="0" w:line="240" w:lineRule="auto"/>
                    <w:jc w:val="center"/>
                    <w:rPr>
                      <w:rFonts w:ascii="Palatino Linotype" w:hAnsi="Palatino Linotype" w:cs="Arial"/>
                      <w:b/>
                      <w:sz w:val="24"/>
                      <w:szCs w:val="24"/>
                    </w:rPr>
                  </w:pPr>
                </w:p>
                <w:p w:rsidR="00D15AFA" w:rsidRDefault="00D15AFA" w:rsidP="00A50E21">
                  <w:pPr>
                    <w:spacing w:after="0" w:line="240" w:lineRule="auto"/>
                    <w:jc w:val="center"/>
                    <w:rPr>
                      <w:rFonts w:ascii="Palatino Linotype" w:hAnsi="Palatino Linotype" w:cs="Arial"/>
                      <w:b/>
                      <w:sz w:val="24"/>
                      <w:szCs w:val="24"/>
                    </w:rPr>
                  </w:pPr>
                </w:p>
                <w:p w:rsidR="00342793" w:rsidRPr="00A6089B" w:rsidRDefault="00342793" w:rsidP="00A50E21">
                  <w:pPr>
                    <w:spacing w:after="0" w:line="240" w:lineRule="auto"/>
                    <w:jc w:val="center"/>
                    <w:rPr>
                      <w:rFonts w:ascii="Palatino Linotype" w:hAnsi="Palatino Linotype" w:cs="Arial"/>
                      <w:b/>
                      <w:sz w:val="24"/>
                      <w:szCs w:val="24"/>
                    </w:rPr>
                  </w:pPr>
                  <w:r w:rsidRPr="00A6089B">
                    <w:rPr>
                      <w:rFonts w:ascii="Palatino Linotype" w:hAnsi="Palatino Linotype" w:cs="Arial"/>
                      <w:b/>
                      <w:sz w:val="24"/>
                      <w:szCs w:val="24"/>
                    </w:rPr>
                    <w:t>Alexis Tapia Ramírez</w:t>
                  </w:r>
                </w:p>
                <w:p w:rsidR="00342793" w:rsidRPr="00D15AFA" w:rsidRDefault="00342793" w:rsidP="00A50E21">
                  <w:pPr>
                    <w:spacing w:after="0" w:line="240" w:lineRule="auto"/>
                    <w:jc w:val="center"/>
                    <w:rPr>
                      <w:rFonts w:ascii="Palatino Linotype" w:hAnsi="Palatino Linotype" w:cs="Arial"/>
                      <w:sz w:val="24"/>
                      <w:szCs w:val="24"/>
                    </w:rPr>
                  </w:pPr>
                  <w:r w:rsidRPr="00D15AFA">
                    <w:rPr>
                      <w:rFonts w:ascii="Palatino Linotype" w:hAnsi="Palatino Linotype" w:cs="Arial"/>
                      <w:sz w:val="24"/>
                      <w:szCs w:val="24"/>
                    </w:rPr>
                    <w:t>Secretario Técnico del Pleno</w:t>
                  </w:r>
                </w:p>
                <w:p w:rsidR="00342793" w:rsidRPr="00A6089B" w:rsidRDefault="00342793" w:rsidP="00A50E21">
                  <w:pPr>
                    <w:spacing w:after="0" w:line="240" w:lineRule="auto"/>
                    <w:jc w:val="center"/>
                    <w:rPr>
                      <w:rFonts w:ascii="Palatino Linotype" w:hAnsi="Palatino Linotype" w:cs="Arial"/>
                      <w:b/>
                      <w:sz w:val="24"/>
                      <w:szCs w:val="24"/>
                    </w:rPr>
                  </w:pPr>
                  <w:r w:rsidRPr="00A6089B">
                    <w:rPr>
                      <w:rFonts w:ascii="Palatino Linotype" w:hAnsi="Palatino Linotype" w:cs="Arial"/>
                      <w:b/>
                      <w:sz w:val="24"/>
                      <w:szCs w:val="24"/>
                    </w:rPr>
                    <w:t xml:space="preserve">(RÚBRICA) </w:t>
                  </w:r>
                </w:p>
              </w:tc>
            </w:tr>
          </w:tbl>
          <w:p w:rsidR="00342793" w:rsidRPr="00A6089B" w:rsidRDefault="00342793" w:rsidP="00A50E21">
            <w:pPr>
              <w:spacing w:after="0" w:line="240" w:lineRule="auto"/>
              <w:jc w:val="center"/>
              <w:rPr>
                <w:rFonts w:ascii="Palatino Linotype" w:hAnsi="Palatino Linotype" w:cs="Arial"/>
                <w:b/>
                <w:sz w:val="24"/>
                <w:szCs w:val="24"/>
              </w:rPr>
            </w:pPr>
          </w:p>
        </w:tc>
      </w:tr>
    </w:tbl>
    <w:p w:rsidR="00D15AFA" w:rsidRDefault="00D15AFA" w:rsidP="00342793">
      <w:pPr>
        <w:spacing w:after="0" w:line="240" w:lineRule="auto"/>
        <w:jc w:val="both"/>
        <w:rPr>
          <w:rFonts w:ascii="Palatino Linotype" w:hAnsi="Palatino Linotype" w:cs="Arial"/>
        </w:rPr>
      </w:pPr>
    </w:p>
    <w:p w:rsidR="00342793" w:rsidRPr="00A6089B" w:rsidRDefault="00342793" w:rsidP="00342793">
      <w:pPr>
        <w:spacing w:after="0" w:line="240" w:lineRule="auto"/>
        <w:jc w:val="both"/>
        <w:rPr>
          <w:rFonts w:ascii="Palatino Linotype" w:hAnsi="Palatino Linotype" w:cs="Arial"/>
        </w:rPr>
      </w:pPr>
      <w:r w:rsidRPr="00A6089B">
        <w:rPr>
          <w:rFonts w:ascii="Palatino Linotype" w:hAnsi="Palatino Linotype" w:cs="Arial"/>
        </w:rPr>
        <w:t>Esta hoja corresponde a la resolución de</w:t>
      </w:r>
      <w:r>
        <w:rPr>
          <w:rFonts w:ascii="Palatino Linotype" w:hAnsi="Palatino Linotype" w:cs="Arial"/>
        </w:rPr>
        <w:t xml:space="preserve"> veintiuno de </w:t>
      </w:r>
      <w:r w:rsidRPr="00A6089B">
        <w:rPr>
          <w:rFonts w:ascii="Palatino Linotype" w:hAnsi="Palatino Linotype" w:cs="Arial"/>
        </w:rPr>
        <w:t>agosto de dos mil diecinueve, emitida en el recurso de revisión número 0</w:t>
      </w:r>
      <w:r w:rsidR="00770106">
        <w:rPr>
          <w:rFonts w:ascii="Palatino Linotype" w:hAnsi="Palatino Linotype" w:cs="Arial"/>
        </w:rPr>
        <w:t>4237</w:t>
      </w:r>
      <w:r w:rsidRPr="00A6089B">
        <w:rPr>
          <w:rFonts w:ascii="Palatino Linotype" w:hAnsi="Palatino Linotype" w:cs="Arial"/>
        </w:rPr>
        <w:t>/INFOEM/IP/RR/2019.</w:t>
      </w:r>
    </w:p>
    <w:p w:rsidR="00342793" w:rsidRPr="00A6089B" w:rsidRDefault="00A12344" w:rsidP="00342793">
      <w:pPr>
        <w:pStyle w:val="Piedepgina"/>
        <w:spacing w:after="0" w:line="240" w:lineRule="auto"/>
        <w:rPr>
          <w:rFonts w:ascii="Palatino Linotype" w:hAnsi="Palatino Linotype" w:cs="Arial"/>
        </w:rPr>
      </w:pPr>
      <w:r>
        <w:rPr>
          <w:rFonts w:ascii="Palatino Linotype" w:hAnsi="Palatino Linotype" w:cs="Arial"/>
        </w:rPr>
        <w:t>YSM</w:t>
      </w:r>
      <w:r w:rsidR="00342793">
        <w:rPr>
          <w:rFonts w:ascii="Palatino Linotype" w:hAnsi="Palatino Linotype" w:cs="Arial"/>
        </w:rPr>
        <w:t>/AMV</w:t>
      </w:r>
    </w:p>
    <w:sectPr w:rsidR="00342793" w:rsidRPr="00A6089B" w:rsidSect="00E417E5">
      <w:headerReference w:type="default" r:id="rId60"/>
      <w:footerReference w:type="default" r:id="rId61"/>
      <w:headerReference w:type="first" r:id="rId62"/>
      <w:footerReference w:type="first" r:id="rId63"/>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4F49" w:rsidRDefault="00124F49" w:rsidP="00342793">
      <w:pPr>
        <w:spacing w:after="0" w:line="240" w:lineRule="auto"/>
      </w:pPr>
      <w:r>
        <w:separator/>
      </w:r>
    </w:p>
  </w:endnote>
  <w:endnote w:type="continuationSeparator" w:id="0">
    <w:p w:rsidR="00124F49" w:rsidRDefault="00124F49" w:rsidP="003427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89B" w:rsidRDefault="00BF0CFC" w:rsidP="0071355D">
    <w:pPr>
      <w:pStyle w:val="Piedepgina"/>
      <w:spacing w:after="0"/>
      <w:jc w:val="right"/>
      <w:rPr>
        <w:rFonts w:ascii="Palatino Linotype" w:hAnsi="Palatino Linotype" w:cs="Arial"/>
        <w:b/>
        <w:bCs/>
      </w:rPr>
    </w:pPr>
  </w:p>
  <w:p w:rsidR="00A6089B" w:rsidRPr="00F12350" w:rsidRDefault="007C5303" w:rsidP="00F12350">
    <w:pPr>
      <w:pStyle w:val="Piedepgina"/>
      <w:jc w:val="right"/>
      <w:rPr>
        <w:rFonts w:ascii="Palatino Linotype" w:hAnsi="Palatino Linotype" w:cs="Arial"/>
      </w:rPr>
    </w:pPr>
    <w:r w:rsidRPr="00F12350">
      <w:rPr>
        <w:rFonts w:ascii="Palatino Linotype" w:hAnsi="Palatino Linotype" w:cs="Arial"/>
        <w:b/>
        <w:bCs/>
      </w:rPr>
      <w:t xml:space="preserve">Página </w:t>
    </w:r>
    <w:r w:rsidRPr="00F12350">
      <w:rPr>
        <w:rFonts w:ascii="Palatino Linotype" w:hAnsi="Palatino Linotype" w:cs="Arial"/>
        <w:b/>
        <w:bCs/>
      </w:rPr>
      <w:fldChar w:fldCharType="begin"/>
    </w:r>
    <w:r w:rsidRPr="00F12350">
      <w:rPr>
        <w:rFonts w:ascii="Palatino Linotype" w:hAnsi="Palatino Linotype" w:cs="Arial"/>
        <w:b/>
        <w:bCs/>
      </w:rPr>
      <w:instrText>PAGE</w:instrText>
    </w:r>
    <w:r w:rsidRPr="00F12350">
      <w:rPr>
        <w:rFonts w:ascii="Palatino Linotype" w:hAnsi="Palatino Linotype" w:cs="Arial"/>
        <w:b/>
        <w:bCs/>
      </w:rPr>
      <w:fldChar w:fldCharType="separate"/>
    </w:r>
    <w:r w:rsidR="00BF0CFC">
      <w:rPr>
        <w:rFonts w:ascii="Palatino Linotype" w:hAnsi="Palatino Linotype" w:cs="Arial"/>
        <w:b/>
        <w:bCs/>
        <w:noProof/>
      </w:rPr>
      <w:t>12</w:t>
    </w:r>
    <w:r w:rsidRPr="00F12350">
      <w:rPr>
        <w:rFonts w:ascii="Palatino Linotype" w:hAnsi="Palatino Linotype" w:cs="Arial"/>
        <w:b/>
        <w:bCs/>
      </w:rPr>
      <w:fldChar w:fldCharType="end"/>
    </w:r>
    <w:r w:rsidRPr="00F12350">
      <w:rPr>
        <w:rFonts w:ascii="Palatino Linotype" w:hAnsi="Palatino Linotype" w:cs="Arial"/>
      </w:rPr>
      <w:t xml:space="preserve"> de </w:t>
    </w:r>
    <w:r w:rsidRPr="00F12350">
      <w:rPr>
        <w:rFonts w:ascii="Palatino Linotype" w:hAnsi="Palatino Linotype" w:cs="Arial"/>
        <w:b/>
        <w:bCs/>
      </w:rPr>
      <w:fldChar w:fldCharType="begin"/>
    </w:r>
    <w:r w:rsidRPr="00F12350">
      <w:rPr>
        <w:rFonts w:ascii="Palatino Linotype" w:hAnsi="Palatino Linotype" w:cs="Arial"/>
        <w:b/>
        <w:bCs/>
      </w:rPr>
      <w:instrText>NUMPAGES</w:instrText>
    </w:r>
    <w:r w:rsidRPr="00F12350">
      <w:rPr>
        <w:rFonts w:ascii="Palatino Linotype" w:hAnsi="Palatino Linotype" w:cs="Arial"/>
        <w:b/>
        <w:bCs/>
      </w:rPr>
      <w:fldChar w:fldCharType="separate"/>
    </w:r>
    <w:r w:rsidR="00BF0CFC">
      <w:rPr>
        <w:rFonts w:ascii="Palatino Linotype" w:hAnsi="Palatino Linotype" w:cs="Arial"/>
        <w:b/>
        <w:bCs/>
        <w:noProof/>
      </w:rPr>
      <w:t>57</w:t>
    </w:r>
    <w:r w:rsidRPr="00F12350">
      <w:rPr>
        <w:rFonts w:ascii="Palatino Linotype" w:hAnsi="Palatino Linotype" w:cs="Arial"/>
        <w:b/>
        <w:bCs/>
      </w:rPr>
      <w:fldChar w:fldCharType="end"/>
    </w:r>
  </w:p>
  <w:p w:rsidR="00A6089B" w:rsidRDefault="00BF0CFC"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89B" w:rsidRPr="00F12350" w:rsidRDefault="007C5303" w:rsidP="00E66754">
    <w:pPr>
      <w:pStyle w:val="Piedepgina"/>
      <w:jc w:val="right"/>
      <w:rPr>
        <w:rFonts w:ascii="Palatino Linotype" w:hAnsi="Palatino Linotype" w:cs="Arial"/>
      </w:rPr>
    </w:pPr>
    <w:r w:rsidRPr="00F12350">
      <w:rPr>
        <w:rFonts w:ascii="Palatino Linotype" w:hAnsi="Palatino Linotype" w:cs="Arial"/>
        <w:b/>
        <w:bCs/>
      </w:rPr>
      <w:t xml:space="preserve">Página </w:t>
    </w:r>
    <w:r w:rsidRPr="00F12350">
      <w:rPr>
        <w:rFonts w:ascii="Palatino Linotype" w:hAnsi="Palatino Linotype" w:cs="Arial"/>
        <w:b/>
        <w:bCs/>
      </w:rPr>
      <w:fldChar w:fldCharType="begin"/>
    </w:r>
    <w:r w:rsidRPr="00F12350">
      <w:rPr>
        <w:rFonts w:ascii="Palatino Linotype" w:hAnsi="Palatino Linotype" w:cs="Arial"/>
        <w:b/>
        <w:bCs/>
      </w:rPr>
      <w:instrText>PAGE</w:instrText>
    </w:r>
    <w:r w:rsidRPr="00F12350">
      <w:rPr>
        <w:rFonts w:ascii="Palatino Linotype" w:hAnsi="Palatino Linotype" w:cs="Arial"/>
        <w:b/>
        <w:bCs/>
      </w:rPr>
      <w:fldChar w:fldCharType="separate"/>
    </w:r>
    <w:r w:rsidR="00BF0CFC">
      <w:rPr>
        <w:rFonts w:ascii="Palatino Linotype" w:hAnsi="Palatino Linotype" w:cs="Arial"/>
        <w:b/>
        <w:bCs/>
        <w:noProof/>
      </w:rPr>
      <w:t>1</w:t>
    </w:r>
    <w:r w:rsidRPr="00F12350">
      <w:rPr>
        <w:rFonts w:ascii="Palatino Linotype" w:hAnsi="Palatino Linotype" w:cs="Arial"/>
        <w:b/>
        <w:bCs/>
      </w:rPr>
      <w:fldChar w:fldCharType="end"/>
    </w:r>
    <w:r w:rsidRPr="00F12350">
      <w:rPr>
        <w:rFonts w:ascii="Palatino Linotype" w:hAnsi="Palatino Linotype" w:cs="Arial"/>
      </w:rPr>
      <w:t xml:space="preserve"> de </w:t>
    </w:r>
    <w:r w:rsidRPr="00F12350">
      <w:rPr>
        <w:rFonts w:ascii="Palatino Linotype" w:hAnsi="Palatino Linotype" w:cs="Arial"/>
        <w:b/>
        <w:bCs/>
      </w:rPr>
      <w:fldChar w:fldCharType="begin"/>
    </w:r>
    <w:r w:rsidRPr="00F12350">
      <w:rPr>
        <w:rFonts w:ascii="Palatino Linotype" w:hAnsi="Palatino Linotype" w:cs="Arial"/>
        <w:b/>
        <w:bCs/>
      </w:rPr>
      <w:instrText>NUMPAGES</w:instrText>
    </w:r>
    <w:r w:rsidRPr="00F12350">
      <w:rPr>
        <w:rFonts w:ascii="Palatino Linotype" w:hAnsi="Palatino Linotype" w:cs="Arial"/>
        <w:b/>
        <w:bCs/>
      </w:rPr>
      <w:fldChar w:fldCharType="separate"/>
    </w:r>
    <w:r w:rsidR="00BF0CFC">
      <w:rPr>
        <w:rFonts w:ascii="Palatino Linotype" w:hAnsi="Palatino Linotype" w:cs="Arial"/>
        <w:b/>
        <w:bCs/>
        <w:noProof/>
      </w:rPr>
      <w:t>57</w:t>
    </w:r>
    <w:r w:rsidRPr="00F12350">
      <w:rPr>
        <w:rFonts w:ascii="Palatino Linotype" w:hAnsi="Palatino Linotype" w:cs="Arial"/>
        <w:b/>
        <w:bCs/>
      </w:rPr>
      <w:fldChar w:fldCharType="end"/>
    </w:r>
  </w:p>
  <w:p w:rsidR="00A6089B" w:rsidRDefault="00BF0CF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4F49" w:rsidRDefault="00124F49" w:rsidP="00342793">
      <w:pPr>
        <w:spacing w:after="0" w:line="240" w:lineRule="auto"/>
      </w:pPr>
      <w:r>
        <w:separator/>
      </w:r>
    </w:p>
  </w:footnote>
  <w:footnote w:type="continuationSeparator" w:id="0">
    <w:p w:rsidR="00124F49" w:rsidRDefault="00124F49" w:rsidP="00342793">
      <w:pPr>
        <w:spacing w:after="0" w:line="240" w:lineRule="auto"/>
      </w:pPr>
      <w:r>
        <w:continuationSeparator/>
      </w:r>
    </w:p>
  </w:footnote>
  <w:footnote w:id="1">
    <w:p w:rsidR="00343498" w:rsidRDefault="00343498" w:rsidP="00343498">
      <w:pPr>
        <w:pStyle w:val="Textonotapie"/>
        <w:spacing w:after="0" w:line="240" w:lineRule="auto"/>
        <w:rPr>
          <w:rFonts w:ascii="Palatino Linotype" w:hAnsi="Palatino Linotype"/>
          <w:sz w:val="16"/>
          <w:szCs w:val="16"/>
        </w:rPr>
      </w:pPr>
      <w:r>
        <w:rPr>
          <w:rStyle w:val="Refdenotaalpie"/>
        </w:rPr>
        <w:footnoteRef/>
      </w:r>
      <w:r>
        <w:t xml:space="preserve"> </w:t>
      </w:r>
      <w:r w:rsidRPr="00343498">
        <w:rPr>
          <w:rFonts w:ascii="Palatino Linotype" w:hAnsi="Palatino Linotype"/>
          <w:sz w:val="16"/>
          <w:szCs w:val="16"/>
        </w:rPr>
        <w:t>Ley de Ingresos de los Municipios del Estado de México para el Ejercicio Fiscal del Año 2019</w:t>
      </w:r>
    </w:p>
    <w:p w:rsidR="00343498" w:rsidRPr="00343498" w:rsidRDefault="00343498" w:rsidP="00343498">
      <w:pPr>
        <w:pStyle w:val="Textonotapie"/>
        <w:spacing w:after="0" w:line="240" w:lineRule="auto"/>
        <w:rPr>
          <w:rFonts w:ascii="Palatino Linotype" w:hAnsi="Palatino Linotype"/>
          <w:sz w:val="16"/>
          <w:szCs w:val="16"/>
        </w:rPr>
      </w:pPr>
      <w:r w:rsidRPr="00343498">
        <w:rPr>
          <w:rFonts w:ascii="Palatino Linotype" w:hAnsi="Palatino Linotype"/>
          <w:b/>
          <w:sz w:val="16"/>
          <w:szCs w:val="16"/>
        </w:rPr>
        <w:t>Artículo 6.-</w:t>
      </w:r>
      <w:r w:rsidRPr="00343498">
        <w:rPr>
          <w:rFonts w:ascii="Palatino Linotype" w:hAnsi="Palatino Linotype"/>
          <w:sz w:val="16"/>
          <w:szCs w:val="16"/>
        </w:rPr>
        <w:t xml:space="preserve"> </w:t>
      </w:r>
      <w:r w:rsidRPr="00343498">
        <w:rPr>
          <w:rFonts w:ascii="Palatino Linotype" w:hAnsi="Palatino Linotype"/>
          <w:b/>
          <w:sz w:val="16"/>
          <w:szCs w:val="16"/>
        </w:rPr>
        <w:t>Todos los ingresos municipales, cualquiera que sea su origen o naturaleza, deberán registrarse por la Tesorería Municipal y formar parte de la Cuenta Pública</w:t>
      </w:r>
      <w:r w:rsidRPr="00343498">
        <w:rPr>
          <w:rFonts w:ascii="Palatino Linotype" w:hAnsi="Palatino Linotype"/>
          <w:sz w:val="16"/>
          <w:szCs w:val="16"/>
        </w:rPr>
        <w:t>.</w:t>
      </w:r>
    </w:p>
  </w:footnote>
  <w:footnote w:id="2">
    <w:p w:rsidR="00343498" w:rsidRPr="00343498" w:rsidRDefault="00343498" w:rsidP="00343498">
      <w:pPr>
        <w:pStyle w:val="Textonotapie"/>
        <w:spacing w:after="0" w:line="240" w:lineRule="auto"/>
        <w:rPr>
          <w:rFonts w:ascii="Palatino Linotype" w:hAnsi="Palatino Linotype"/>
          <w:sz w:val="16"/>
          <w:szCs w:val="16"/>
        </w:rPr>
      </w:pPr>
      <w:r>
        <w:rPr>
          <w:rStyle w:val="Refdenotaalpie"/>
        </w:rPr>
        <w:footnoteRef/>
      </w:r>
      <w:r>
        <w:t xml:space="preserve"> </w:t>
      </w:r>
      <w:r>
        <w:rPr>
          <w:rFonts w:ascii="Palatino Linotype" w:hAnsi="Palatino Linotype"/>
          <w:sz w:val="16"/>
          <w:szCs w:val="16"/>
        </w:rPr>
        <w:t>Bando Municipal 2019 de Coacalco de Berriozábal</w:t>
      </w:r>
    </w:p>
    <w:p w:rsidR="00343498" w:rsidRPr="00343498" w:rsidRDefault="00343498" w:rsidP="00343498">
      <w:pPr>
        <w:pStyle w:val="Textonotapie"/>
        <w:spacing w:after="0" w:line="240" w:lineRule="auto"/>
        <w:rPr>
          <w:rFonts w:ascii="Palatino Linotype" w:hAnsi="Palatino Linotype"/>
          <w:sz w:val="16"/>
          <w:szCs w:val="16"/>
        </w:rPr>
      </w:pPr>
      <w:r w:rsidRPr="00343498">
        <w:rPr>
          <w:rFonts w:ascii="Palatino Linotype" w:hAnsi="Palatino Linotype"/>
          <w:b/>
          <w:sz w:val="16"/>
          <w:szCs w:val="16"/>
        </w:rPr>
        <w:t>Artículo 35</w:t>
      </w:r>
      <w:r w:rsidRPr="00343498">
        <w:rPr>
          <w:rFonts w:ascii="Palatino Linotype" w:hAnsi="Palatino Linotype"/>
          <w:sz w:val="16"/>
          <w:szCs w:val="16"/>
        </w:rPr>
        <w:t xml:space="preserve">. La </w:t>
      </w:r>
      <w:r w:rsidRPr="00343498">
        <w:rPr>
          <w:rFonts w:ascii="Palatino Linotype" w:hAnsi="Palatino Linotype"/>
          <w:b/>
          <w:sz w:val="16"/>
          <w:szCs w:val="16"/>
        </w:rPr>
        <w:t>Tesorería Municipal es el Organismo Público encargado de la recaudación de los ingresos municipales</w:t>
      </w:r>
      <w:r w:rsidRPr="00343498">
        <w:rPr>
          <w:rFonts w:ascii="Palatino Linotype" w:hAnsi="Palatino Linotype"/>
          <w:sz w:val="16"/>
          <w:szCs w:val="16"/>
        </w:rPr>
        <w:t xml:space="preserve">, así como de la administración de la hacienda pública municipal, y la </w:t>
      </w:r>
      <w:r w:rsidRPr="00343498">
        <w:rPr>
          <w:rFonts w:ascii="Palatino Linotype" w:hAnsi="Palatino Linotype"/>
          <w:b/>
          <w:sz w:val="16"/>
          <w:szCs w:val="16"/>
        </w:rPr>
        <w:t>responsable de realizar las erogaciones que haga el gobierno municipal de conformidad con los ordenamientos legales aplicables</w:t>
      </w:r>
      <w:r w:rsidRPr="00343498">
        <w:rPr>
          <w:rFonts w:ascii="Palatino Linotype" w:hAnsi="Palatino Linotype"/>
          <w:sz w:val="16"/>
          <w:szCs w:val="16"/>
        </w:rPr>
        <w:t>.</w:t>
      </w:r>
    </w:p>
  </w:footnote>
  <w:footnote w:id="3">
    <w:p w:rsidR="0052024B" w:rsidRPr="007830EB" w:rsidRDefault="0052024B" w:rsidP="0052024B">
      <w:pPr>
        <w:autoSpaceDE w:val="0"/>
        <w:autoSpaceDN w:val="0"/>
        <w:adjustRightInd w:val="0"/>
        <w:spacing w:after="0" w:line="240" w:lineRule="auto"/>
        <w:jc w:val="both"/>
        <w:rPr>
          <w:rFonts w:ascii="Palatino Linotype" w:hAnsi="Palatino Linotype" w:cs="Arial"/>
          <w:i/>
          <w:sz w:val="16"/>
          <w:szCs w:val="16"/>
          <w:lang w:eastAsia="es-MX"/>
        </w:rPr>
      </w:pPr>
      <w:r>
        <w:rPr>
          <w:rStyle w:val="Refdenotaalpie"/>
        </w:rPr>
        <w:footnoteRef/>
      </w:r>
      <w:r>
        <w:t xml:space="preserve"> </w:t>
      </w:r>
      <w:r w:rsidRPr="007830EB">
        <w:rPr>
          <w:rFonts w:ascii="Palatino Linotype" w:hAnsi="Palatino Linotype" w:cs="Arial"/>
          <w:b/>
          <w:bCs/>
          <w:i/>
          <w:sz w:val="16"/>
          <w:szCs w:val="16"/>
          <w:lang w:eastAsia="es-MX"/>
        </w:rPr>
        <w:t xml:space="preserve">“Artículo 4. </w:t>
      </w:r>
      <w:r w:rsidRPr="007830EB">
        <w:rPr>
          <w:rFonts w:ascii="Palatino Linotype" w:hAnsi="Palatino Linotype" w:cs="Arial"/>
          <w:i/>
          <w:sz w:val="16"/>
          <w:szCs w:val="16"/>
          <w:lang w:eastAsia="es-MX"/>
        </w:rPr>
        <w:t>Son sujetos de fiscalización:</w:t>
      </w:r>
    </w:p>
    <w:p w:rsidR="0052024B" w:rsidRPr="007830EB" w:rsidRDefault="0052024B" w:rsidP="0052024B">
      <w:pPr>
        <w:autoSpaceDE w:val="0"/>
        <w:autoSpaceDN w:val="0"/>
        <w:adjustRightInd w:val="0"/>
        <w:spacing w:after="0" w:line="240" w:lineRule="auto"/>
        <w:jc w:val="both"/>
        <w:rPr>
          <w:rFonts w:ascii="Palatino Linotype" w:hAnsi="Palatino Linotype" w:cs="Arial"/>
          <w:i/>
          <w:sz w:val="16"/>
          <w:szCs w:val="16"/>
          <w:lang w:eastAsia="es-MX"/>
        </w:rPr>
      </w:pPr>
      <w:r w:rsidRPr="007830EB">
        <w:rPr>
          <w:rFonts w:ascii="Palatino Linotype" w:hAnsi="Palatino Linotype" w:cs="Arial"/>
          <w:b/>
          <w:bCs/>
          <w:i/>
          <w:sz w:val="16"/>
          <w:szCs w:val="16"/>
          <w:lang w:eastAsia="es-MX"/>
        </w:rPr>
        <w:t>…</w:t>
      </w:r>
    </w:p>
    <w:p w:rsidR="0052024B" w:rsidRPr="007830EB" w:rsidRDefault="0052024B" w:rsidP="0052024B">
      <w:pPr>
        <w:autoSpaceDE w:val="0"/>
        <w:autoSpaceDN w:val="0"/>
        <w:adjustRightInd w:val="0"/>
        <w:spacing w:after="0" w:line="240" w:lineRule="auto"/>
        <w:ind w:right="49"/>
        <w:jc w:val="both"/>
        <w:rPr>
          <w:rFonts w:ascii="Palatino Linotype" w:hAnsi="Palatino Linotype" w:cs="Arial"/>
          <w:i/>
          <w:sz w:val="16"/>
          <w:szCs w:val="16"/>
          <w:lang w:eastAsia="es-MX"/>
        </w:rPr>
      </w:pPr>
      <w:r w:rsidRPr="007830EB">
        <w:rPr>
          <w:rFonts w:ascii="Palatino Linotype" w:hAnsi="Palatino Linotype" w:cs="Arial"/>
          <w:i/>
          <w:sz w:val="16"/>
          <w:szCs w:val="16"/>
          <w:lang w:eastAsia="es-MX"/>
        </w:rPr>
        <w:t>II. Los municipios del Estado de México;</w:t>
      </w:r>
    </w:p>
    <w:p w:rsidR="0052024B" w:rsidRPr="007830EB" w:rsidRDefault="0052024B" w:rsidP="0052024B">
      <w:pPr>
        <w:autoSpaceDE w:val="0"/>
        <w:autoSpaceDN w:val="0"/>
        <w:adjustRightInd w:val="0"/>
        <w:spacing w:after="0" w:line="240" w:lineRule="auto"/>
        <w:ind w:right="49"/>
        <w:jc w:val="both"/>
        <w:rPr>
          <w:rFonts w:ascii="Palatino Linotype" w:hAnsi="Palatino Linotype" w:cs="Arial"/>
          <w:i/>
          <w:color w:val="000000"/>
          <w:sz w:val="16"/>
          <w:szCs w:val="16"/>
        </w:rPr>
      </w:pPr>
      <w:r w:rsidRPr="007830EB">
        <w:rPr>
          <w:rFonts w:ascii="Palatino Linotype" w:hAnsi="Palatino Linotype" w:cs="Arial"/>
          <w:i/>
          <w:sz w:val="16"/>
          <w:szCs w:val="16"/>
          <w:lang w:eastAsia="es-MX"/>
        </w:rPr>
        <w:t>…” (Sic)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89B" w:rsidRDefault="007C5303" w:rsidP="006F30F8">
    <w:pPr>
      <w:pStyle w:val="Encabezado"/>
      <w:tabs>
        <w:tab w:val="clear" w:pos="4252"/>
        <w:tab w:val="clear" w:pos="8504"/>
        <w:tab w:val="left" w:pos="2326"/>
      </w:tabs>
    </w:pPr>
    <w:r>
      <w:t xml:space="preserve">                                                                   </w:t>
    </w:r>
  </w:p>
  <w:tbl>
    <w:tblPr>
      <w:tblW w:w="5592" w:type="dxa"/>
      <w:tblInd w:w="3544" w:type="dxa"/>
      <w:tblLayout w:type="fixed"/>
      <w:tblLook w:val="04A0" w:firstRow="1" w:lastRow="0" w:firstColumn="1" w:lastColumn="0" w:noHBand="0" w:noVBand="1"/>
    </w:tblPr>
    <w:tblGrid>
      <w:gridCol w:w="2552"/>
      <w:gridCol w:w="3040"/>
    </w:tblGrid>
    <w:tr w:rsidR="00A6089B" w:rsidRPr="005A5E02" w:rsidTr="00034608">
      <w:tc>
        <w:tcPr>
          <w:tcW w:w="2552" w:type="dxa"/>
          <w:shd w:val="clear" w:color="auto" w:fill="auto"/>
          <w:vAlign w:val="center"/>
        </w:tcPr>
        <w:p w:rsidR="00A6089B" w:rsidRPr="005A5E02" w:rsidRDefault="007C5303" w:rsidP="00653BCE">
          <w:pPr>
            <w:spacing w:after="0" w:line="240" w:lineRule="auto"/>
            <w:rPr>
              <w:rFonts w:ascii="Palatino Linotype" w:hAnsi="Palatino Linotype"/>
              <w:b/>
              <w:sz w:val="22"/>
              <w:szCs w:val="22"/>
            </w:rPr>
          </w:pPr>
          <w:r w:rsidRPr="005A5E02">
            <w:rPr>
              <w:rFonts w:ascii="Palatino Linotype" w:hAnsi="Palatino Linotype"/>
              <w:b/>
              <w:sz w:val="22"/>
              <w:szCs w:val="22"/>
            </w:rPr>
            <w:t>Recurso de Revisión:</w:t>
          </w:r>
        </w:p>
      </w:tc>
      <w:tc>
        <w:tcPr>
          <w:tcW w:w="3040" w:type="dxa"/>
          <w:shd w:val="clear" w:color="auto" w:fill="auto"/>
          <w:vAlign w:val="center"/>
        </w:tcPr>
        <w:p w:rsidR="00A6089B" w:rsidRPr="005A5E02" w:rsidRDefault="00342793" w:rsidP="00342793">
          <w:pPr>
            <w:spacing w:after="0" w:line="240" w:lineRule="auto"/>
            <w:ind w:right="-533"/>
            <w:rPr>
              <w:rFonts w:ascii="Palatino Linotype" w:hAnsi="Palatino Linotype"/>
              <w:b/>
              <w:sz w:val="22"/>
              <w:szCs w:val="22"/>
            </w:rPr>
          </w:pPr>
          <w:r>
            <w:rPr>
              <w:rFonts w:ascii="Palatino Linotype" w:hAnsi="Palatino Linotype"/>
              <w:b/>
              <w:sz w:val="22"/>
              <w:szCs w:val="22"/>
            </w:rPr>
            <w:t>04237</w:t>
          </w:r>
          <w:r w:rsidR="007C5303" w:rsidRPr="005A5E02">
            <w:rPr>
              <w:rFonts w:ascii="Palatino Linotype" w:hAnsi="Palatino Linotype"/>
              <w:b/>
              <w:sz w:val="22"/>
              <w:szCs w:val="22"/>
            </w:rPr>
            <w:t>/INFOEM/IP/RR/201</w:t>
          </w:r>
          <w:r w:rsidR="007C5303">
            <w:rPr>
              <w:rFonts w:ascii="Palatino Linotype" w:hAnsi="Palatino Linotype"/>
              <w:b/>
              <w:sz w:val="22"/>
              <w:szCs w:val="22"/>
            </w:rPr>
            <w:t xml:space="preserve">9 </w:t>
          </w:r>
        </w:p>
      </w:tc>
    </w:tr>
    <w:tr w:rsidR="00A6089B" w:rsidRPr="005A5E02" w:rsidTr="00034608">
      <w:tc>
        <w:tcPr>
          <w:tcW w:w="2552" w:type="dxa"/>
          <w:shd w:val="clear" w:color="auto" w:fill="auto"/>
          <w:vAlign w:val="center"/>
        </w:tcPr>
        <w:p w:rsidR="00A6089B" w:rsidRPr="005A5E02" w:rsidRDefault="007C5303" w:rsidP="00653BCE">
          <w:pPr>
            <w:spacing w:after="0" w:line="240" w:lineRule="auto"/>
            <w:rPr>
              <w:rFonts w:ascii="Palatino Linotype" w:hAnsi="Palatino Linotype"/>
              <w:b/>
              <w:sz w:val="22"/>
              <w:szCs w:val="22"/>
            </w:rPr>
          </w:pPr>
          <w:r w:rsidRPr="005A5E02">
            <w:rPr>
              <w:rFonts w:ascii="Palatino Linotype" w:hAnsi="Palatino Linotype"/>
              <w:b/>
              <w:sz w:val="22"/>
              <w:szCs w:val="22"/>
            </w:rPr>
            <w:t>Sujeto obligado:</w:t>
          </w:r>
        </w:p>
      </w:tc>
      <w:tc>
        <w:tcPr>
          <w:tcW w:w="3040" w:type="dxa"/>
          <w:shd w:val="clear" w:color="auto" w:fill="auto"/>
          <w:vAlign w:val="center"/>
        </w:tcPr>
        <w:p w:rsidR="00A6089B" w:rsidRPr="00927A01" w:rsidRDefault="007C5303" w:rsidP="00342793">
          <w:pPr>
            <w:spacing w:after="0" w:line="240" w:lineRule="auto"/>
            <w:ind w:right="-44"/>
            <w:jc w:val="both"/>
            <w:rPr>
              <w:rFonts w:ascii="Palatino Linotype" w:hAnsi="Palatino Linotype"/>
              <w:b/>
              <w:sz w:val="22"/>
              <w:szCs w:val="22"/>
            </w:rPr>
          </w:pPr>
          <w:r>
            <w:rPr>
              <w:rFonts w:ascii="Palatino Linotype" w:hAnsi="Palatino Linotype"/>
              <w:b/>
              <w:sz w:val="22"/>
              <w:szCs w:val="22"/>
            </w:rPr>
            <w:t xml:space="preserve">Ayuntamiento de </w:t>
          </w:r>
          <w:r w:rsidR="00342793">
            <w:rPr>
              <w:rFonts w:ascii="Palatino Linotype" w:hAnsi="Palatino Linotype"/>
              <w:b/>
              <w:sz w:val="22"/>
              <w:szCs w:val="22"/>
            </w:rPr>
            <w:t>Cocalco de Berriozábal</w:t>
          </w:r>
        </w:p>
      </w:tc>
    </w:tr>
    <w:tr w:rsidR="00A6089B" w:rsidRPr="005A5E02" w:rsidTr="00034608">
      <w:tc>
        <w:tcPr>
          <w:tcW w:w="2552" w:type="dxa"/>
          <w:shd w:val="clear" w:color="auto" w:fill="auto"/>
          <w:vAlign w:val="center"/>
        </w:tcPr>
        <w:p w:rsidR="00A6089B" w:rsidRPr="005A5E02" w:rsidRDefault="007C5303" w:rsidP="00653BCE">
          <w:pPr>
            <w:spacing w:after="0" w:line="240" w:lineRule="auto"/>
            <w:rPr>
              <w:rFonts w:ascii="Palatino Linotype" w:hAnsi="Palatino Linotype"/>
              <w:b/>
              <w:sz w:val="22"/>
              <w:szCs w:val="22"/>
            </w:rPr>
          </w:pPr>
          <w:r w:rsidRPr="005A5E02">
            <w:rPr>
              <w:rFonts w:ascii="Palatino Linotype" w:hAnsi="Palatino Linotype"/>
              <w:b/>
              <w:sz w:val="22"/>
              <w:szCs w:val="22"/>
            </w:rPr>
            <w:t>Comisionada ponente:</w:t>
          </w:r>
        </w:p>
      </w:tc>
      <w:tc>
        <w:tcPr>
          <w:tcW w:w="3040" w:type="dxa"/>
          <w:shd w:val="clear" w:color="auto" w:fill="auto"/>
          <w:vAlign w:val="center"/>
        </w:tcPr>
        <w:p w:rsidR="00A6089B" w:rsidRPr="005A5E02" w:rsidRDefault="007C5303" w:rsidP="00653BCE">
          <w:pPr>
            <w:spacing w:after="0" w:line="240" w:lineRule="auto"/>
            <w:ind w:right="-533"/>
            <w:rPr>
              <w:rFonts w:ascii="Palatino Linotype" w:hAnsi="Palatino Linotype"/>
              <w:b/>
              <w:sz w:val="22"/>
              <w:szCs w:val="22"/>
            </w:rPr>
          </w:pPr>
          <w:r w:rsidRPr="005A5E02">
            <w:rPr>
              <w:rFonts w:ascii="Palatino Linotype" w:hAnsi="Palatino Linotype"/>
              <w:b/>
              <w:sz w:val="22"/>
              <w:szCs w:val="22"/>
            </w:rPr>
            <w:t>Eva Abaid Yapur</w:t>
          </w:r>
        </w:p>
      </w:tc>
    </w:tr>
  </w:tbl>
  <w:p w:rsidR="00A6089B" w:rsidRDefault="00BF0CFC" w:rsidP="00E86E4F">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670" w:type="dxa"/>
      <w:tblInd w:w="3686" w:type="dxa"/>
      <w:tblLayout w:type="fixed"/>
      <w:tblLook w:val="04A0" w:firstRow="1" w:lastRow="0" w:firstColumn="1" w:lastColumn="0" w:noHBand="0" w:noVBand="1"/>
    </w:tblPr>
    <w:tblGrid>
      <w:gridCol w:w="2551"/>
      <w:gridCol w:w="3119"/>
    </w:tblGrid>
    <w:tr w:rsidR="00A6089B" w:rsidRPr="007E654B" w:rsidTr="00034608">
      <w:tc>
        <w:tcPr>
          <w:tcW w:w="2551" w:type="dxa"/>
          <w:shd w:val="clear" w:color="auto" w:fill="auto"/>
          <w:vAlign w:val="center"/>
        </w:tcPr>
        <w:p w:rsidR="00A6089B" w:rsidRPr="007E654B" w:rsidRDefault="007C5303" w:rsidP="00653BCE">
          <w:pPr>
            <w:spacing w:after="0" w:line="240" w:lineRule="auto"/>
            <w:rPr>
              <w:rFonts w:ascii="Palatino Linotype" w:hAnsi="Palatino Linotype"/>
              <w:b/>
              <w:sz w:val="22"/>
              <w:szCs w:val="22"/>
            </w:rPr>
          </w:pPr>
          <w:r w:rsidRPr="007E654B">
            <w:rPr>
              <w:rFonts w:ascii="Palatino Linotype" w:hAnsi="Palatino Linotype"/>
              <w:b/>
              <w:sz w:val="22"/>
              <w:szCs w:val="22"/>
            </w:rPr>
            <w:t>Recurso de Revisión:</w:t>
          </w:r>
        </w:p>
      </w:tc>
      <w:tc>
        <w:tcPr>
          <w:tcW w:w="3119" w:type="dxa"/>
          <w:shd w:val="clear" w:color="auto" w:fill="auto"/>
          <w:vAlign w:val="center"/>
        </w:tcPr>
        <w:p w:rsidR="00A6089B" w:rsidRPr="007E654B" w:rsidRDefault="007C5303" w:rsidP="00342793">
          <w:pPr>
            <w:spacing w:after="0" w:line="240" w:lineRule="auto"/>
            <w:rPr>
              <w:rFonts w:ascii="Palatino Linotype" w:hAnsi="Palatino Linotype"/>
              <w:b/>
              <w:sz w:val="22"/>
              <w:szCs w:val="22"/>
            </w:rPr>
          </w:pPr>
          <w:r w:rsidRPr="007E654B">
            <w:rPr>
              <w:rFonts w:ascii="Palatino Linotype" w:hAnsi="Palatino Linotype"/>
              <w:b/>
              <w:sz w:val="22"/>
              <w:szCs w:val="22"/>
            </w:rPr>
            <w:t>0</w:t>
          </w:r>
          <w:r w:rsidR="00342793">
            <w:rPr>
              <w:rFonts w:ascii="Palatino Linotype" w:hAnsi="Palatino Linotype"/>
              <w:b/>
              <w:sz w:val="22"/>
              <w:szCs w:val="22"/>
            </w:rPr>
            <w:t>4237</w:t>
          </w:r>
          <w:r w:rsidRPr="007E654B">
            <w:rPr>
              <w:rFonts w:ascii="Palatino Linotype" w:hAnsi="Palatino Linotype"/>
              <w:b/>
              <w:sz w:val="22"/>
              <w:szCs w:val="22"/>
            </w:rPr>
            <w:t xml:space="preserve">/INFOEM/IP/RR/2019 </w:t>
          </w:r>
        </w:p>
      </w:tc>
    </w:tr>
    <w:tr w:rsidR="00A6089B" w:rsidRPr="007E654B" w:rsidTr="00034608">
      <w:tc>
        <w:tcPr>
          <w:tcW w:w="2551" w:type="dxa"/>
          <w:shd w:val="clear" w:color="auto" w:fill="auto"/>
          <w:vAlign w:val="center"/>
        </w:tcPr>
        <w:p w:rsidR="00A6089B" w:rsidRPr="007E654B" w:rsidRDefault="007C5303" w:rsidP="00653BCE">
          <w:pPr>
            <w:spacing w:after="0" w:line="240" w:lineRule="auto"/>
            <w:rPr>
              <w:rFonts w:ascii="Palatino Linotype" w:hAnsi="Palatino Linotype"/>
              <w:b/>
              <w:sz w:val="22"/>
              <w:szCs w:val="22"/>
            </w:rPr>
          </w:pPr>
          <w:r w:rsidRPr="007E654B">
            <w:rPr>
              <w:rFonts w:ascii="Palatino Linotype" w:hAnsi="Palatino Linotype"/>
              <w:b/>
              <w:sz w:val="22"/>
              <w:szCs w:val="22"/>
            </w:rPr>
            <w:t>Recurrente:</w:t>
          </w:r>
        </w:p>
      </w:tc>
      <w:tc>
        <w:tcPr>
          <w:tcW w:w="3119" w:type="dxa"/>
          <w:shd w:val="clear" w:color="auto" w:fill="auto"/>
          <w:vAlign w:val="center"/>
        </w:tcPr>
        <w:p w:rsidR="00A6089B" w:rsidRPr="007E654B" w:rsidRDefault="007B337F" w:rsidP="007B337F">
          <w:pPr>
            <w:spacing w:after="0" w:line="240" w:lineRule="auto"/>
            <w:jc w:val="both"/>
            <w:rPr>
              <w:rFonts w:ascii="Palatino Linotype" w:hAnsi="Palatino Linotype"/>
              <w:b/>
              <w:sz w:val="22"/>
              <w:szCs w:val="22"/>
            </w:rPr>
          </w:pPr>
          <w:r>
            <w:rPr>
              <w:rFonts w:ascii="Palatino Linotype" w:hAnsi="Palatino Linotype"/>
              <w:b/>
              <w:sz w:val="22"/>
              <w:szCs w:val="22"/>
            </w:rPr>
            <w:t>XXXXX</w:t>
          </w:r>
          <w:r w:rsidR="00342793">
            <w:rPr>
              <w:rFonts w:ascii="Palatino Linotype" w:hAnsi="Palatino Linotype"/>
              <w:b/>
              <w:sz w:val="22"/>
              <w:szCs w:val="22"/>
            </w:rPr>
            <w:t xml:space="preserve"> </w:t>
          </w:r>
          <w:r>
            <w:rPr>
              <w:rFonts w:ascii="Palatino Linotype" w:hAnsi="Palatino Linotype"/>
              <w:b/>
              <w:sz w:val="22"/>
              <w:szCs w:val="22"/>
            </w:rPr>
            <w:t>XXXXXXX</w:t>
          </w:r>
          <w:r w:rsidR="00342793">
            <w:rPr>
              <w:rFonts w:ascii="Palatino Linotype" w:hAnsi="Palatino Linotype"/>
              <w:b/>
              <w:sz w:val="22"/>
              <w:szCs w:val="22"/>
            </w:rPr>
            <w:t xml:space="preserve"> </w:t>
          </w:r>
          <w:r>
            <w:rPr>
              <w:rFonts w:ascii="Palatino Linotype" w:hAnsi="Palatino Linotype"/>
              <w:b/>
              <w:sz w:val="22"/>
              <w:szCs w:val="22"/>
            </w:rPr>
            <w:t>XXXXX</w:t>
          </w:r>
        </w:p>
      </w:tc>
    </w:tr>
    <w:tr w:rsidR="00A6089B" w:rsidRPr="007E654B" w:rsidTr="00034608">
      <w:trPr>
        <w:trHeight w:val="228"/>
      </w:trPr>
      <w:tc>
        <w:tcPr>
          <w:tcW w:w="2551" w:type="dxa"/>
          <w:shd w:val="clear" w:color="auto" w:fill="auto"/>
          <w:vAlign w:val="center"/>
        </w:tcPr>
        <w:p w:rsidR="00A6089B" w:rsidRPr="007E654B" w:rsidRDefault="007C5303" w:rsidP="00653BCE">
          <w:pPr>
            <w:spacing w:after="0" w:line="240" w:lineRule="auto"/>
            <w:rPr>
              <w:rFonts w:ascii="Palatino Linotype" w:hAnsi="Palatino Linotype"/>
              <w:b/>
              <w:sz w:val="22"/>
              <w:szCs w:val="22"/>
            </w:rPr>
          </w:pPr>
          <w:r w:rsidRPr="007E654B">
            <w:rPr>
              <w:rFonts w:ascii="Palatino Linotype" w:hAnsi="Palatino Linotype"/>
              <w:b/>
              <w:sz w:val="22"/>
              <w:szCs w:val="22"/>
            </w:rPr>
            <w:t>Sujeto obligado:</w:t>
          </w:r>
        </w:p>
      </w:tc>
      <w:tc>
        <w:tcPr>
          <w:tcW w:w="3119" w:type="dxa"/>
          <w:shd w:val="clear" w:color="auto" w:fill="auto"/>
          <w:vAlign w:val="center"/>
        </w:tcPr>
        <w:p w:rsidR="00A6089B" w:rsidRPr="007E654B" w:rsidRDefault="007C5303" w:rsidP="00D83031">
          <w:pPr>
            <w:spacing w:after="0" w:line="240" w:lineRule="auto"/>
            <w:jc w:val="both"/>
            <w:rPr>
              <w:rFonts w:ascii="Palatino Linotype" w:hAnsi="Palatino Linotype"/>
              <w:b/>
              <w:sz w:val="22"/>
              <w:szCs w:val="22"/>
            </w:rPr>
          </w:pPr>
          <w:r>
            <w:rPr>
              <w:rFonts w:ascii="Palatino Linotype" w:hAnsi="Palatino Linotype"/>
              <w:b/>
              <w:sz w:val="22"/>
              <w:szCs w:val="22"/>
            </w:rPr>
            <w:t xml:space="preserve">Ayuntamiento de </w:t>
          </w:r>
          <w:r w:rsidR="00342793">
            <w:rPr>
              <w:rFonts w:ascii="Palatino Linotype" w:hAnsi="Palatino Linotype"/>
              <w:b/>
              <w:sz w:val="22"/>
              <w:szCs w:val="22"/>
            </w:rPr>
            <w:t>Coacalco de Berriozábal</w:t>
          </w:r>
        </w:p>
      </w:tc>
    </w:tr>
    <w:tr w:rsidR="00A6089B" w:rsidRPr="005A5E02" w:rsidTr="00034608">
      <w:tc>
        <w:tcPr>
          <w:tcW w:w="2551" w:type="dxa"/>
          <w:shd w:val="clear" w:color="auto" w:fill="auto"/>
          <w:vAlign w:val="center"/>
        </w:tcPr>
        <w:p w:rsidR="00A6089B" w:rsidRPr="007E654B" w:rsidRDefault="007C5303" w:rsidP="00653BCE">
          <w:pPr>
            <w:spacing w:after="0" w:line="240" w:lineRule="auto"/>
            <w:rPr>
              <w:rFonts w:ascii="Palatino Linotype" w:hAnsi="Palatino Linotype"/>
              <w:b/>
              <w:sz w:val="22"/>
              <w:szCs w:val="22"/>
            </w:rPr>
          </w:pPr>
          <w:r w:rsidRPr="007E654B">
            <w:rPr>
              <w:rFonts w:ascii="Palatino Linotype" w:hAnsi="Palatino Linotype"/>
              <w:b/>
              <w:sz w:val="22"/>
              <w:szCs w:val="22"/>
            </w:rPr>
            <w:t>Comisionada ponente:</w:t>
          </w:r>
        </w:p>
      </w:tc>
      <w:tc>
        <w:tcPr>
          <w:tcW w:w="3119" w:type="dxa"/>
          <w:shd w:val="clear" w:color="auto" w:fill="auto"/>
          <w:vAlign w:val="center"/>
        </w:tcPr>
        <w:p w:rsidR="00A6089B" w:rsidRPr="005A5E02" w:rsidRDefault="007C5303" w:rsidP="00653BCE">
          <w:pPr>
            <w:spacing w:after="0" w:line="240" w:lineRule="auto"/>
            <w:ind w:right="-533"/>
            <w:rPr>
              <w:rFonts w:ascii="Palatino Linotype" w:hAnsi="Palatino Linotype"/>
              <w:b/>
              <w:sz w:val="22"/>
              <w:szCs w:val="22"/>
            </w:rPr>
          </w:pPr>
          <w:r w:rsidRPr="007E654B">
            <w:rPr>
              <w:rFonts w:ascii="Palatino Linotype" w:hAnsi="Palatino Linotype"/>
              <w:b/>
              <w:sz w:val="22"/>
              <w:szCs w:val="22"/>
            </w:rPr>
            <w:t>Eva Abaid Yapur</w:t>
          </w:r>
        </w:p>
      </w:tc>
    </w:tr>
  </w:tbl>
  <w:p w:rsidR="00A6089B" w:rsidRDefault="00BF0CF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AE0751"/>
    <w:multiLevelType w:val="multilevel"/>
    <w:tmpl w:val="D4068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40D5F4A"/>
    <w:multiLevelType w:val="hybridMultilevel"/>
    <w:tmpl w:val="3C588164"/>
    <w:lvl w:ilvl="0" w:tplc="3F32E494">
      <w:start w:val="1"/>
      <w:numFmt w:val="decimal"/>
      <w:lvlText w:val="%1."/>
      <w:lvlJc w:val="left"/>
      <w:pPr>
        <w:ind w:left="720" w:hanging="360"/>
      </w:pPr>
      <w:rPr>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79853C9A"/>
    <w:multiLevelType w:val="hybridMultilevel"/>
    <w:tmpl w:val="8F5C4F7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pt-BR" w:vendorID="64" w:dllVersion="131078" w:nlCheck="1" w:checkStyle="0"/>
  <w:activeWritingStyle w:appName="MSWord" w:lang="es-ES_tradnl" w:vendorID="64" w:dllVersion="131078" w:nlCheck="1" w:checkStyle="1"/>
  <w:activeWritingStyle w:appName="MSWord" w:lang="es-MX" w:vendorID="64" w:dllVersion="131078" w:nlCheck="1" w:checkStyle="1"/>
  <w:activeWritingStyle w:appName="MSWord" w:lang="es-ES" w:vendorID="64" w:dllVersion="131078" w:nlCheck="1" w:checkStyle="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2793"/>
    <w:rsid w:val="00075B8C"/>
    <w:rsid w:val="000D5C93"/>
    <w:rsid w:val="00104048"/>
    <w:rsid w:val="00122C7B"/>
    <w:rsid w:val="00124F49"/>
    <w:rsid w:val="00127FE2"/>
    <w:rsid w:val="00140032"/>
    <w:rsid w:val="00166D6D"/>
    <w:rsid w:val="001E6C54"/>
    <w:rsid w:val="0022798E"/>
    <w:rsid w:val="00260B1C"/>
    <w:rsid w:val="002F51B9"/>
    <w:rsid w:val="00323606"/>
    <w:rsid w:val="00342793"/>
    <w:rsid w:val="00343498"/>
    <w:rsid w:val="003C61D1"/>
    <w:rsid w:val="00414392"/>
    <w:rsid w:val="00427667"/>
    <w:rsid w:val="0043067F"/>
    <w:rsid w:val="00497B06"/>
    <w:rsid w:val="0052024B"/>
    <w:rsid w:val="00526AB2"/>
    <w:rsid w:val="006141AB"/>
    <w:rsid w:val="00661DB3"/>
    <w:rsid w:val="00670C93"/>
    <w:rsid w:val="00672E75"/>
    <w:rsid w:val="0067500C"/>
    <w:rsid w:val="006C1053"/>
    <w:rsid w:val="00723565"/>
    <w:rsid w:val="00743E05"/>
    <w:rsid w:val="00770106"/>
    <w:rsid w:val="007B337F"/>
    <w:rsid w:val="007B678F"/>
    <w:rsid w:val="007C5303"/>
    <w:rsid w:val="007D0B2A"/>
    <w:rsid w:val="0087069A"/>
    <w:rsid w:val="00897241"/>
    <w:rsid w:val="008D0ED1"/>
    <w:rsid w:val="00917403"/>
    <w:rsid w:val="0092059E"/>
    <w:rsid w:val="009624F8"/>
    <w:rsid w:val="009C62E1"/>
    <w:rsid w:val="009E6E30"/>
    <w:rsid w:val="00A12344"/>
    <w:rsid w:val="00A55B28"/>
    <w:rsid w:val="00AC37BA"/>
    <w:rsid w:val="00BE3E47"/>
    <w:rsid w:val="00BF0CFC"/>
    <w:rsid w:val="00C23B43"/>
    <w:rsid w:val="00C748AB"/>
    <w:rsid w:val="00C8676C"/>
    <w:rsid w:val="00C9714C"/>
    <w:rsid w:val="00CE04BB"/>
    <w:rsid w:val="00CF614E"/>
    <w:rsid w:val="00D15AFA"/>
    <w:rsid w:val="00D56272"/>
    <w:rsid w:val="00D969AB"/>
    <w:rsid w:val="00DA238A"/>
    <w:rsid w:val="00E47B69"/>
    <w:rsid w:val="00E61ACC"/>
    <w:rsid w:val="00E760FE"/>
    <w:rsid w:val="00E832F6"/>
    <w:rsid w:val="00EC3E76"/>
    <w:rsid w:val="00F3419D"/>
    <w:rsid w:val="00FE65A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B9510D4-F9E7-4FE3-BFA6-72E140284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2793"/>
    <w:pPr>
      <w:spacing w:after="120" w:line="264" w:lineRule="auto"/>
    </w:pPr>
    <w:rPr>
      <w:rFonts w:eastAsiaTheme="minorEastAsia"/>
      <w:sz w:val="20"/>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42793"/>
    <w:pPr>
      <w:tabs>
        <w:tab w:val="center" w:pos="4252"/>
        <w:tab w:val="right" w:pos="8504"/>
      </w:tabs>
    </w:pPr>
  </w:style>
  <w:style w:type="character" w:customStyle="1" w:styleId="EncabezadoCar">
    <w:name w:val="Encabezado Car"/>
    <w:basedOn w:val="Fuentedeprrafopredeter"/>
    <w:link w:val="Encabezado"/>
    <w:uiPriority w:val="99"/>
    <w:rsid w:val="00342793"/>
    <w:rPr>
      <w:rFonts w:eastAsiaTheme="minorEastAsia"/>
      <w:sz w:val="20"/>
      <w:szCs w:val="20"/>
      <w:lang w:val="es-ES_tradnl" w:eastAsia="es-ES"/>
    </w:rPr>
  </w:style>
  <w:style w:type="paragraph" w:styleId="Piedepgina">
    <w:name w:val="footer"/>
    <w:basedOn w:val="Normal"/>
    <w:link w:val="PiedepginaCar"/>
    <w:uiPriority w:val="99"/>
    <w:unhideWhenUsed/>
    <w:rsid w:val="00342793"/>
    <w:pPr>
      <w:tabs>
        <w:tab w:val="center" w:pos="4252"/>
        <w:tab w:val="right" w:pos="8504"/>
      </w:tabs>
    </w:pPr>
  </w:style>
  <w:style w:type="character" w:customStyle="1" w:styleId="PiedepginaCar">
    <w:name w:val="Pie de página Car"/>
    <w:basedOn w:val="Fuentedeprrafopredeter"/>
    <w:link w:val="Piedepgina"/>
    <w:uiPriority w:val="99"/>
    <w:rsid w:val="00342793"/>
    <w:rPr>
      <w:rFonts w:eastAsiaTheme="minorEastAsia"/>
      <w:sz w:val="20"/>
      <w:szCs w:val="20"/>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342793"/>
    <w:pPr>
      <w:ind w:left="720"/>
      <w:contextualSpacing/>
    </w:pPr>
  </w:style>
  <w:style w:type="character" w:styleId="Hipervnculo">
    <w:name w:val="Hyperlink"/>
    <w:basedOn w:val="Fuentedeprrafopredeter"/>
    <w:uiPriority w:val="99"/>
    <w:unhideWhenUsed/>
    <w:rsid w:val="00342793"/>
    <w:rPr>
      <w:color w:val="0000FF"/>
      <w:u w:val="single"/>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342793"/>
    <w:rPr>
      <w:rFonts w:eastAsiaTheme="minorEastAsia"/>
      <w:sz w:val="20"/>
      <w:szCs w:val="20"/>
      <w:lang w:val="es-ES_tradnl"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342793"/>
    <w:rPr>
      <w:rFonts w:eastAsiaTheme="minorHAnsi"/>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342793"/>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qFormat/>
    <w:rsid w:val="00342793"/>
    <w:rPr>
      <w:vertAlign w:val="superscript"/>
    </w:rPr>
  </w:style>
  <w:style w:type="character" w:customStyle="1" w:styleId="m1553324590483875794gmail-m8993139698400752374gmail-apple-converted-space">
    <w:name w:val="m_1553324590483875794gmail-m_8993139698400752374gmail-apple-converted-space"/>
    <w:basedOn w:val="Fuentedeprrafopredeter"/>
    <w:rsid w:val="00C748AB"/>
  </w:style>
  <w:style w:type="character" w:customStyle="1" w:styleId="apple-style-span">
    <w:name w:val="apple-style-span"/>
    <w:rsid w:val="00BE3E47"/>
  </w:style>
  <w:style w:type="paragraph" w:styleId="Textodeglobo">
    <w:name w:val="Balloon Text"/>
    <w:basedOn w:val="Normal"/>
    <w:link w:val="TextodegloboCar"/>
    <w:uiPriority w:val="99"/>
    <w:semiHidden/>
    <w:unhideWhenUsed/>
    <w:rsid w:val="0077010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70106"/>
    <w:rPr>
      <w:rFonts w:ascii="Segoe UI" w:eastAsiaTheme="minorEastAsia" w:hAnsi="Segoe UI" w:cs="Segoe UI"/>
      <w:sz w:val="18"/>
      <w:szCs w:val="18"/>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372238">
      <w:bodyDiv w:val="1"/>
      <w:marLeft w:val="0"/>
      <w:marRight w:val="0"/>
      <w:marTop w:val="0"/>
      <w:marBottom w:val="0"/>
      <w:divBdr>
        <w:top w:val="none" w:sz="0" w:space="0" w:color="auto"/>
        <w:left w:val="none" w:sz="0" w:space="0" w:color="auto"/>
        <w:bottom w:val="none" w:sz="0" w:space="0" w:color="auto"/>
        <w:right w:val="none" w:sz="0" w:space="0" w:color="auto"/>
      </w:divBdr>
    </w:div>
    <w:div w:id="464859973">
      <w:bodyDiv w:val="1"/>
      <w:marLeft w:val="0"/>
      <w:marRight w:val="0"/>
      <w:marTop w:val="0"/>
      <w:marBottom w:val="0"/>
      <w:divBdr>
        <w:top w:val="none" w:sz="0" w:space="0" w:color="auto"/>
        <w:left w:val="none" w:sz="0" w:space="0" w:color="auto"/>
        <w:bottom w:val="none" w:sz="0" w:space="0" w:color="auto"/>
        <w:right w:val="none" w:sz="0" w:space="0" w:color="auto"/>
      </w:divBdr>
    </w:div>
    <w:div w:id="1536389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ntTable" Target="fontTable.xml"/><Relationship Id="rId8" Type="http://schemas.openxmlformats.org/officeDocument/2006/relationships/hyperlink" Target="https://www.saimex.org.mx/saimex/solicitud/downloadAttach/673811.page" TargetMode="Externa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eader" Target="head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1F9A84-7064-45BC-864A-D0EA268E8C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57</Pages>
  <Words>8185</Words>
  <Characters>45018</Characters>
  <Application>Microsoft Office Word</Application>
  <DocSecurity>0</DocSecurity>
  <Lines>375</Lines>
  <Paragraphs>106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53097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7</cp:revision>
  <cp:lastPrinted>2019-08-26T22:31:00Z</cp:lastPrinted>
  <dcterms:created xsi:type="dcterms:W3CDTF">2019-08-15T23:48:00Z</dcterms:created>
  <dcterms:modified xsi:type="dcterms:W3CDTF">2019-09-20T19:48:00Z</dcterms:modified>
</cp:coreProperties>
</file>