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196" w:rsidRDefault="00F2498E" w:rsidP="00AE2973">
      <w:pPr>
        <w:shd w:val="clear" w:color="auto" w:fill="FFFFFF"/>
        <w:spacing w:after="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w:t>
      </w:r>
      <w:r>
        <w:rPr>
          <w:rFonts w:ascii="Palatino Linotype" w:eastAsia="Times New Roman" w:hAnsi="Palatino Linotype" w:cs="Arial"/>
          <w:color w:val="000000"/>
          <w:sz w:val="24"/>
          <w:szCs w:val="24"/>
          <w:lang w:eastAsia="es-MX"/>
        </w:rPr>
        <w:t xml:space="preserve">en </w:t>
      </w:r>
      <w:r w:rsidRPr="0007011C">
        <w:rPr>
          <w:rFonts w:ascii="Palatino Linotype" w:eastAsia="Times New Roman" w:hAnsi="Palatino Linotype" w:cs="Arial"/>
          <w:color w:val="000000"/>
          <w:sz w:val="24"/>
          <w:szCs w:val="24"/>
          <w:lang w:eastAsia="es-MX"/>
        </w:rPr>
        <w:t>Metepec</w:t>
      </w:r>
      <w:r>
        <w:rPr>
          <w:rFonts w:ascii="Palatino Linotype" w:eastAsia="Times New Roman" w:hAnsi="Palatino Linotype" w:cs="Arial"/>
          <w:color w:val="000000"/>
          <w:sz w:val="24"/>
          <w:szCs w:val="24"/>
          <w:lang w:eastAsia="es-MX"/>
        </w:rPr>
        <w:t xml:space="preserve"> Estado de México</w:t>
      </w:r>
      <w:r w:rsidRPr="00CC6625">
        <w:rPr>
          <w:rFonts w:ascii="Palatino Linotype" w:eastAsia="Times New Roman" w:hAnsi="Palatino Linotype" w:cs="Arial"/>
          <w:color w:val="000000"/>
          <w:sz w:val="24"/>
          <w:szCs w:val="24"/>
          <w:lang w:eastAsia="es-MX"/>
        </w:rPr>
        <w:t xml:space="preserve">, </w:t>
      </w:r>
      <w:r w:rsidR="00EF1196" w:rsidRPr="006F3C4B">
        <w:rPr>
          <w:rFonts w:ascii="Palatino Linotype" w:eastAsia="Times New Roman" w:hAnsi="Palatino Linotype" w:cs="Arial"/>
          <w:color w:val="000000"/>
          <w:sz w:val="24"/>
          <w:szCs w:val="24"/>
          <w:lang w:eastAsia="es-MX"/>
        </w:rPr>
        <w:t>a</w:t>
      </w:r>
      <w:r w:rsidR="00EF1196">
        <w:rPr>
          <w:rFonts w:ascii="Palatino Linotype" w:eastAsia="Times New Roman" w:hAnsi="Palatino Linotype" w:cs="Arial"/>
          <w:color w:val="000000"/>
          <w:sz w:val="24"/>
          <w:szCs w:val="24"/>
          <w:lang w:eastAsia="es-MX"/>
        </w:rPr>
        <w:t xml:space="preserve"> </w:t>
      </w:r>
      <w:r w:rsidR="002B0F9E">
        <w:rPr>
          <w:rFonts w:ascii="Palatino Linotype" w:eastAsia="Times New Roman" w:hAnsi="Palatino Linotype" w:cs="Arial"/>
          <w:color w:val="000000"/>
          <w:sz w:val="24"/>
          <w:szCs w:val="24"/>
          <w:lang w:eastAsia="es-MX"/>
        </w:rPr>
        <w:t>dieciocho de diciembre</w:t>
      </w:r>
      <w:r w:rsidR="00A15E74">
        <w:rPr>
          <w:rFonts w:ascii="Palatino Linotype" w:eastAsia="Times New Roman" w:hAnsi="Palatino Linotype" w:cs="Arial"/>
          <w:color w:val="000000"/>
          <w:sz w:val="24"/>
          <w:szCs w:val="24"/>
          <w:lang w:eastAsia="es-MX"/>
        </w:rPr>
        <w:t xml:space="preserve"> de dos mil diecinueve</w:t>
      </w:r>
      <w:r w:rsidR="00EF1196">
        <w:rPr>
          <w:rFonts w:ascii="Palatino Linotype" w:eastAsia="Times New Roman" w:hAnsi="Palatino Linotype" w:cs="Arial"/>
          <w:color w:val="000000"/>
          <w:sz w:val="24"/>
          <w:szCs w:val="24"/>
          <w:lang w:eastAsia="es-MX"/>
        </w:rPr>
        <w:t>.</w:t>
      </w:r>
    </w:p>
    <w:p w:rsidR="00A15E74" w:rsidRPr="004A1F2A" w:rsidRDefault="00A15E74" w:rsidP="00AE2973">
      <w:pPr>
        <w:shd w:val="clear" w:color="auto" w:fill="FFFFFF"/>
        <w:spacing w:after="0" w:line="360" w:lineRule="auto"/>
        <w:jc w:val="both"/>
        <w:rPr>
          <w:rFonts w:ascii="Palatino Linotype" w:eastAsia="Times New Roman" w:hAnsi="Palatino Linotype" w:cs="Arial"/>
          <w:color w:val="000000"/>
          <w:szCs w:val="24"/>
          <w:lang w:eastAsia="es-MX"/>
        </w:rPr>
      </w:pPr>
    </w:p>
    <w:p w:rsidR="00F2498E" w:rsidRDefault="00F2498E" w:rsidP="00AE2973">
      <w:pPr>
        <w:tabs>
          <w:tab w:val="left" w:pos="1701"/>
        </w:tabs>
        <w:spacing w:after="0" w:line="360" w:lineRule="auto"/>
        <w:jc w:val="both"/>
        <w:rPr>
          <w:rFonts w:ascii="Palatino Linotype" w:hAnsi="Palatino Linotype" w:cs="Arial"/>
          <w:sz w:val="24"/>
        </w:rPr>
      </w:pPr>
      <w:r w:rsidRPr="008551ED">
        <w:rPr>
          <w:rFonts w:ascii="Palatino Linotype" w:hAnsi="Palatino Linotype" w:cs="Arial"/>
          <w:b/>
          <w:sz w:val="24"/>
        </w:rPr>
        <w:t>VISTO</w:t>
      </w:r>
      <w:r w:rsidRPr="008551ED">
        <w:rPr>
          <w:rFonts w:ascii="Palatino Linotype" w:hAnsi="Palatino Linotype" w:cs="Arial"/>
          <w:sz w:val="24"/>
        </w:rPr>
        <w:t xml:space="preserve"> el expediente electrónico formado con motivo del recurso de revisión número </w:t>
      </w:r>
      <w:r w:rsidR="002C4718">
        <w:rPr>
          <w:rFonts w:ascii="Palatino Linotype" w:hAnsi="Palatino Linotype" w:cs="Arial"/>
          <w:b/>
          <w:bCs/>
          <w:sz w:val="24"/>
          <w:lang w:eastAsia="es-MX"/>
        </w:rPr>
        <w:t>0</w:t>
      </w:r>
      <w:r w:rsidR="00C355A6">
        <w:rPr>
          <w:rFonts w:ascii="Palatino Linotype" w:hAnsi="Palatino Linotype" w:cs="Arial"/>
          <w:b/>
          <w:bCs/>
          <w:sz w:val="24"/>
          <w:lang w:eastAsia="es-MX"/>
        </w:rPr>
        <w:t>7</w:t>
      </w:r>
      <w:r w:rsidR="00DC233F">
        <w:rPr>
          <w:rFonts w:ascii="Palatino Linotype" w:hAnsi="Palatino Linotype" w:cs="Arial"/>
          <w:b/>
          <w:bCs/>
          <w:sz w:val="24"/>
          <w:lang w:eastAsia="es-MX"/>
        </w:rPr>
        <w:t>98</w:t>
      </w:r>
      <w:r w:rsidR="00C355A6">
        <w:rPr>
          <w:rFonts w:ascii="Palatino Linotype" w:hAnsi="Palatino Linotype" w:cs="Arial"/>
          <w:b/>
          <w:bCs/>
          <w:sz w:val="24"/>
          <w:lang w:eastAsia="es-MX"/>
        </w:rPr>
        <w:t>5</w:t>
      </w:r>
      <w:r>
        <w:rPr>
          <w:rFonts w:ascii="Palatino Linotype" w:hAnsi="Palatino Linotype" w:cs="Arial"/>
          <w:b/>
          <w:bCs/>
          <w:sz w:val="24"/>
          <w:lang w:eastAsia="es-MX"/>
        </w:rPr>
        <w:t>/INFOEM/IP/RR/201</w:t>
      </w:r>
      <w:r w:rsidR="006B64AA">
        <w:rPr>
          <w:rFonts w:ascii="Palatino Linotype" w:hAnsi="Palatino Linotype" w:cs="Arial"/>
          <w:b/>
          <w:bCs/>
          <w:sz w:val="24"/>
          <w:lang w:eastAsia="es-MX"/>
        </w:rPr>
        <w:t>9</w:t>
      </w:r>
      <w:r w:rsidRPr="008551ED">
        <w:rPr>
          <w:rFonts w:ascii="Palatino Linotype" w:hAnsi="Palatino Linotype" w:cs="Arial"/>
          <w:sz w:val="24"/>
        </w:rPr>
        <w:t>, interpuesto por</w:t>
      </w:r>
      <w:r>
        <w:rPr>
          <w:rFonts w:ascii="Palatino Linotype" w:hAnsi="Palatino Linotype" w:cs="Arial"/>
          <w:sz w:val="24"/>
        </w:rPr>
        <w:t xml:space="preserve"> </w:t>
      </w:r>
      <w:r w:rsidR="00DC233F">
        <w:rPr>
          <w:rFonts w:ascii="Palatino Linotype" w:hAnsi="Palatino Linotype" w:cs="Arial"/>
          <w:sz w:val="24"/>
        </w:rPr>
        <w:t>e</w:t>
      </w:r>
      <w:r>
        <w:rPr>
          <w:rFonts w:ascii="Palatino Linotype" w:hAnsi="Palatino Linotype" w:cs="Arial"/>
          <w:sz w:val="24"/>
        </w:rPr>
        <w:t>l</w:t>
      </w:r>
      <w:r w:rsidR="00DC233F">
        <w:rPr>
          <w:rFonts w:ascii="Palatino Linotype" w:hAnsi="Palatino Linotype" w:cs="Arial"/>
          <w:sz w:val="24"/>
        </w:rPr>
        <w:t xml:space="preserve"> </w:t>
      </w:r>
      <w:r>
        <w:rPr>
          <w:rFonts w:ascii="Palatino Linotype" w:hAnsi="Palatino Linotype" w:cs="Arial"/>
          <w:sz w:val="24"/>
        </w:rPr>
        <w:t>C.</w:t>
      </w:r>
      <w:r w:rsidR="00D71BF7">
        <w:rPr>
          <w:rFonts w:ascii="Palatino Linotype" w:hAnsi="Palatino Linotype" w:cs="Arial"/>
          <w:sz w:val="24"/>
        </w:rPr>
        <w:t xml:space="preserve"> </w:t>
      </w:r>
      <w:r w:rsidR="001A08F6">
        <w:rPr>
          <w:rFonts w:ascii="Palatino Linotype" w:hAnsi="Palatino Linotype" w:cs="Arial"/>
        </w:rPr>
        <w:t xml:space="preserve">XXXXX </w:t>
      </w:r>
      <w:proofErr w:type="spellStart"/>
      <w:r w:rsidR="001A08F6">
        <w:rPr>
          <w:rFonts w:ascii="Palatino Linotype" w:hAnsi="Palatino Linotype" w:cs="Arial"/>
        </w:rPr>
        <w:t>XXXXX</w:t>
      </w:r>
      <w:proofErr w:type="spellEnd"/>
      <w:r w:rsidR="001A08F6">
        <w:rPr>
          <w:rFonts w:ascii="Palatino Linotype" w:hAnsi="Palatino Linotype" w:cs="Arial"/>
        </w:rPr>
        <w:t xml:space="preserve"> </w:t>
      </w:r>
      <w:proofErr w:type="spellStart"/>
      <w:r w:rsidR="001A08F6">
        <w:rPr>
          <w:rFonts w:ascii="Palatino Linotype" w:hAnsi="Palatino Linotype" w:cs="Arial"/>
        </w:rPr>
        <w:t>XXXXX</w:t>
      </w:r>
      <w:proofErr w:type="spellEnd"/>
      <w:r w:rsidR="00DC233F">
        <w:rPr>
          <w:rFonts w:ascii="Palatino Linotype" w:hAnsi="Palatino Linotype" w:cs="Arial"/>
          <w:b/>
          <w:sz w:val="24"/>
        </w:rPr>
        <w:t>,</w:t>
      </w:r>
      <w:r>
        <w:rPr>
          <w:rFonts w:ascii="Palatino Linotype" w:hAnsi="Palatino Linotype" w:cs="Arial"/>
          <w:b/>
          <w:sz w:val="24"/>
          <w:szCs w:val="24"/>
        </w:rPr>
        <w:t xml:space="preserve"> </w:t>
      </w:r>
      <w:r w:rsidRPr="008551ED">
        <w:rPr>
          <w:rFonts w:ascii="Palatino Linotype" w:hAnsi="Palatino Linotype" w:cs="Arial"/>
          <w:sz w:val="24"/>
        </w:rPr>
        <w:t xml:space="preserve">en lo sucesivo </w:t>
      </w:r>
      <w:r w:rsidR="00DC233F">
        <w:rPr>
          <w:rFonts w:ascii="Palatino Linotype" w:hAnsi="Palatino Linotype" w:cs="Arial"/>
          <w:sz w:val="24"/>
        </w:rPr>
        <w:t>e</w:t>
      </w:r>
      <w:r w:rsidR="002C4718" w:rsidRPr="002C4718">
        <w:rPr>
          <w:rFonts w:ascii="Palatino Linotype" w:hAnsi="Palatino Linotype" w:cs="Arial"/>
          <w:sz w:val="24"/>
        </w:rPr>
        <w:t>l</w:t>
      </w:r>
      <w:r w:rsidRPr="002C4718">
        <w:rPr>
          <w:rFonts w:ascii="Palatino Linotype" w:hAnsi="Palatino Linotype" w:cs="Arial"/>
          <w:sz w:val="24"/>
        </w:rPr>
        <w:t xml:space="preserve"> </w:t>
      </w:r>
      <w:r w:rsidR="000C2D59" w:rsidRPr="000C2D59">
        <w:rPr>
          <w:rFonts w:ascii="Palatino Linotype" w:hAnsi="Palatino Linotype" w:cs="Arial"/>
          <w:sz w:val="24"/>
        </w:rPr>
        <w:t>Recurrente</w:t>
      </w:r>
      <w:r w:rsidRPr="008551ED">
        <w:rPr>
          <w:rFonts w:ascii="Palatino Linotype" w:hAnsi="Palatino Linotype" w:cs="Arial"/>
          <w:sz w:val="24"/>
        </w:rPr>
        <w:t>, en contra de la resp</w:t>
      </w:r>
      <w:r>
        <w:rPr>
          <w:rFonts w:ascii="Palatino Linotype" w:hAnsi="Palatino Linotype" w:cs="Arial"/>
          <w:sz w:val="24"/>
        </w:rPr>
        <w:t xml:space="preserve">uesta otorgada por </w:t>
      </w:r>
      <w:r w:rsidR="00D71BF7">
        <w:rPr>
          <w:rFonts w:ascii="Palatino Linotype" w:hAnsi="Palatino Linotype" w:cs="Arial"/>
          <w:sz w:val="24"/>
        </w:rPr>
        <w:t>l</w:t>
      </w:r>
      <w:r w:rsidR="00C355A6">
        <w:rPr>
          <w:rFonts w:ascii="Palatino Linotype" w:hAnsi="Palatino Linotype" w:cs="Arial"/>
          <w:sz w:val="24"/>
        </w:rPr>
        <w:t>a</w:t>
      </w:r>
      <w:r w:rsidR="00D71BF7">
        <w:rPr>
          <w:rFonts w:ascii="Palatino Linotype" w:hAnsi="Palatino Linotype" w:cs="Arial"/>
          <w:sz w:val="24"/>
        </w:rPr>
        <w:t xml:space="preserve"> </w:t>
      </w:r>
      <w:r w:rsidR="00804B07">
        <w:rPr>
          <w:rFonts w:ascii="Palatino Linotype" w:hAnsi="Palatino Linotype"/>
          <w:b/>
          <w:bCs/>
          <w:color w:val="000000"/>
          <w:sz w:val="24"/>
          <w:szCs w:val="24"/>
        </w:rPr>
        <w:t>Secretaría de Salud</w:t>
      </w:r>
      <w:r w:rsidR="000C2D59" w:rsidRPr="00D71BF7">
        <w:rPr>
          <w:rFonts w:ascii="Palatino Linotype" w:hAnsi="Palatino Linotype" w:cs="Arial"/>
          <w:b/>
          <w:sz w:val="24"/>
          <w:szCs w:val="24"/>
        </w:rPr>
        <w:t>,</w:t>
      </w:r>
      <w:r w:rsidRPr="00D71BF7">
        <w:rPr>
          <w:rFonts w:ascii="Palatino Linotype" w:hAnsi="Palatino Linotype" w:cs="Arial"/>
          <w:b/>
          <w:sz w:val="24"/>
          <w:szCs w:val="24"/>
        </w:rPr>
        <w:t xml:space="preserve"> </w:t>
      </w:r>
      <w:r w:rsidRPr="00D71BF7">
        <w:rPr>
          <w:rFonts w:ascii="Palatino Linotype" w:hAnsi="Palatino Linotype" w:cs="Arial"/>
          <w:sz w:val="24"/>
          <w:szCs w:val="24"/>
        </w:rPr>
        <w:t>en lo subsecuente</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el </w:t>
      </w:r>
      <w:r w:rsidR="000C2D59" w:rsidRPr="00D71BF7">
        <w:rPr>
          <w:rFonts w:ascii="Palatino Linotype" w:hAnsi="Palatino Linotype" w:cs="Arial"/>
          <w:sz w:val="24"/>
          <w:szCs w:val="24"/>
        </w:rPr>
        <w:t>Sujeto</w:t>
      </w:r>
      <w:r w:rsidR="000C2D59" w:rsidRPr="00D71BF7">
        <w:rPr>
          <w:rFonts w:ascii="Palatino Linotype" w:hAnsi="Palatino Linotype" w:cs="Arial"/>
          <w:b/>
          <w:sz w:val="24"/>
          <w:szCs w:val="24"/>
        </w:rPr>
        <w:t xml:space="preserve"> </w:t>
      </w:r>
      <w:r w:rsidR="000C2D59" w:rsidRPr="00D71BF7">
        <w:rPr>
          <w:rFonts w:ascii="Palatino Linotype" w:hAnsi="Palatino Linotype" w:cs="Arial"/>
          <w:sz w:val="24"/>
          <w:szCs w:val="24"/>
        </w:rPr>
        <w:t>Obligado</w:t>
      </w:r>
      <w:r w:rsidRPr="00D71BF7">
        <w:rPr>
          <w:rFonts w:ascii="Palatino Linotype" w:hAnsi="Palatino Linotype" w:cs="Arial"/>
          <w:b/>
          <w:sz w:val="24"/>
          <w:szCs w:val="24"/>
        </w:rPr>
        <w:t xml:space="preserve">, </w:t>
      </w:r>
      <w:r w:rsidRPr="00D71BF7">
        <w:rPr>
          <w:rFonts w:ascii="Palatino Linotype" w:hAnsi="Palatino Linotype" w:cs="Arial"/>
          <w:sz w:val="24"/>
          <w:szCs w:val="24"/>
        </w:rPr>
        <w:t xml:space="preserve">se procede a dictar la presente </w:t>
      </w:r>
      <w:r>
        <w:rPr>
          <w:rFonts w:ascii="Palatino Linotype" w:hAnsi="Palatino Linotype" w:cs="Arial"/>
          <w:sz w:val="24"/>
        </w:rPr>
        <w:t>resolución.</w:t>
      </w:r>
    </w:p>
    <w:p w:rsidR="00F2498E" w:rsidRPr="0028671D" w:rsidRDefault="00F2498E" w:rsidP="00AE2973">
      <w:pPr>
        <w:tabs>
          <w:tab w:val="left" w:pos="1701"/>
        </w:tabs>
        <w:spacing w:after="0" w:line="360" w:lineRule="auto"/>
        <w:jc w:val="both"/>
        <w:rPr>
          <w:rFonts w:ascii="Palatino Linotype" w:hAnsi="Palatino Linotype" w:cs="Arial"/>
          <w:sz w:val="24"/>
        </w:rPr>
      </w:pPr>
    </w:p>
    <w:p w:rsidR="00F2498E" w:rsidRDefault="00F2498E" w:rsidP="00AE2973">
      <w:pPr>
        <w:spacing w:after="0" w:line="360" w:lineRule="auto"/>
        <w:jc w:val="center"/>
        <w:rPr>
          <w:rFonts w:ascii="Palatino Linotype" w:hAnsi="Palatino Linotype" w:cs="Arial"/>
          <w:b/>
          <w:sz w:val="28"/>
        </w:rPr>
      </w:pPr>
      <w:r>
        <w:rPr>
          <w:rFonts w:ascii="Palatino Linotype" w:hAnsi="Palatino Linotype" w:cs="Arial"/>
          <w:b/>
          <w:sz w:val="28"/>
        </w:rPr>
        <w:t>A N T E C E D E N T E S</w:t>
      </w:r>
    </w:p>
    <w:p w:rsidR="00F2498E" w:rsidRPr="00C355A6" w:rsidRDefault="00F2498E" w:rsidP="00AE2973">
      <w:pPr>
        <w:tabs>
          <w:tab w:val="left" w:pos="1701"/>
        </w:tabs>
        <w:spacing w:after="0" w:line="360" w:lineRule="auto"/>
        <w:jc w:val="both"/>
        <w:rPr>
          <w:rFonts w:ascii="Palatino Linotype" w:hAnsi="Palatino Linotype" w:cs="Arial"/>
          <w:b/>
          <w:sz w:val="16"/>
          <w:szCs w:val="24"/>
        </w:rPr>
      </w:pPr>
    </w:p>
    <w:p w:rsidR="00F2498E" w:rsidRPr="002C4718" w:rsidRDefault="006E20F9" w:rsidP="00AE2973">
      <w:pPr>
        <w:spacing w:after="0" w:line="360" w:lineRule="auto"/>
        <w:jc w:val="both"/>
        <w:rPr>
          <w:rFonts w:ascii="Palatino Linotype" w:hAnsi="Palatino Linotype" w:cs="Arial"/>
          <w:sz w:val="28"/>
          <w:szCs w:val="28"/>
        </w:rPr>
      </w:pPr>
      <w:r w:rsidRPr="002C4718">
        <w:rPr>
          <w:rFonts w:ascii="Palatino Linotype" w:hAnsi="Palatino Linotype"/>
          <w:b/>
          <w:sz w:val="28"/>
          <w:szCs w:val="28"/>
        </w:rPr>
        <w:t>PRIMERO</w:t>
      </w:r>
      <w:r w:rsidR="00F2498E" w:rsidRPr="002C4718">
        <w:rPr>
          <w:rFonts w:ascii="Palatino Linotype" w:hAnsi="Palatino Linotype"/>
          <w:b/>
          <w:sz w:val="28"/>
          <w:szCs w:val="28"/>
        </w:rPr>
        <w:t xml:space="preserve">. </w:t>
      </w:r>
      <w:r w:rsidR="00F2498E" w:rsidRPr="000C2D59">
        <w:rPr>
          <w:rFonts w:ascii="Palatino Linotype" w:hAnsi="Palatino Linotype"/>
          <w:b/>
          <w:sz w:val="24"/>
          <w:szCs w:val="24"/>
        </w:rPr>
        <w:t>De la solicitud de información.</w:t>
      </w:r>
    </w:p>
    <w:p w:rsidR="00F2498E" w:rsidRPr="00DC233F" w:rsidRDefault="00E120FC" w:rsidP="00AE2973">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Con fecha </w:t>
      </w:r>
      <w:r w:rsidR="00A120EF">
        <w:rPr>
          <w:rFonts w:ascii="Palatino Linotype" w:hAnsi="Palatino Linotype" w:cs="Arial"/>
          <w:sz w:val="24"/>
          <w:szCs w:val="24"/>
        </w:rPr>
        <w:t>siete de octubre</w:t>
      </w:r>
      <w:r w:rsidR="00A15E74">
        <w:rPr>
          <w:rFonts w:ascii="Palatino Linotype" w:hAnsi="Palatino Linotype" w:cs="Arial"/>
          <w:sz w:val="24"/>
          <w:szCs w:val="24"/>
        </w:rPr>
        <w:t xml:space="preserve"> de dos mil diecinueve</w:t>
      </w:r>
      <w:r w:rsidR="00F2498E" w:rsidRPr="000C2D59">
        <w:rPr>
          <w:rFonts w:ascii="Palatino Linotype" w:hAnsi="Palatino Linotype" w:cs="Arial"/>
          <w:sz w:val="24"/>
          <w:szCs w:val="24"/>
        </w:rPr>
        <w:t xml:space="preserve">, </w:t>
      </w:r>
      <w:r w:rsidR="007A5B2E">
        <w:rPr>
          <w:rFonts w:ascii="Palatino Linotype" w:hAnsi="Palatino Linotype" w:cs="Arial"/>
          <w:sz w:val="24"/>
          <w:szCs w:val="24"/>
        </w:rPr>
        <w:t>e</w:t>
      </w:r>
      <w:r w:rsidR="002C4718" w:rsidRPr="000C2D59">
        <w:rPr>
          <w:rFonts w:ascii="Palatino Linotype" w:hAnsi="Palatino Linotype" w:cs="Arial"/>
          <w:sz w:val="24"/>
          <w:szCs w:val="24"/>
        </w:rPr>
        <w:t>l</w:t>
      </w:r>
      <w:r w:rsidR="00F2498E" w:rsidRPr="000C2D59">
        <w:rPr>
          <w:rFonts w:ascii="Palatino Linotype" w:hAnsi="Palatino Linotype" w:cs="Arial"/>
          <w:sz w:val="24"/>
          <w:szCs w:val="24"/>
        </w:rPr>
        <w:t xml:space="preserve"> </w:t>
      </w:r>
      <w:r w:rsidR="000C2D59" w:rsidRPr="000C2D59">
        <w:rPr>
          <w:rFonts w:ascii="Palatino Linotype" w:hAnsi="Palatino Linotype" w:cs="Arial"/>
          <w:sz w:val="24"/>
          <w:szCs w:val="24"/>
        </w:rPr>
        <w:t>Recurrente</w:t>
      </w:r>
      <w:r w:rsidR="00F2498E" w:rsidRPr="000C2D59">
        <w:rPr>
          <w:rFonts w:ascii="Palatino Linotype" w:hAnsi="Palatino Linotype" w:cs="Arial"/>
          <w:sz w:val="24"/>
          <w:szCs w:val="24"/>
        </w:rPr>
        <w:t xml:space="preserve">, </w:t>
      </w:r>
      <w:r w:rsidR="006E20F9" w:rsidRPr="000C2D59">
        <w:rPr>
          <w:rFonts w:ascii="Palatino Linotype" w:hAnsi="Palatino Linotype" w:cs="Arial"/>
          <w:sz w:val="24"/>
          <w:szCs w:val="24"/>
        </w:rPr>
        <w:t xml:space="preserve">presentó a través Sistema de Acceso a la Información Mexiquense </w:t>
      </w:r>
      <w:r w:rsidR="006E20F9" w:rsidRPr="007A5B2E">
        <w:rPr>
          <w:rFonts w:ascii="Palatino Linotype" w:hAnsi="Palatino Linotype" w:cs="Arial"/>
          <w:b/>
          <w:sz w:val="24"/>
          <w:szCs w:val="24"/>
        </w:rPr>
        <w:t>(SAIMEX),</w:t>
      </w:r>
      <w:r w:rsidR="006E20F9" w:rsidRPr="000C2D59">
        <w:rPr>
          <w:rFonts w:ascii="Palatino Linotype" w:hAnsi="Palatino Linotype" w:cs="Arial"/>
          <w:sz w:val="24"/>
          <w:szCs w:val="24"/>
        </w:rPr>
        <w:t xml:space="preserve"> ante </w:t>
      </w:r>
      <w:r w:rsidR="002C4718" w:rsidRPr="000C2D59">
        <w:rPr>
          <w:rFonts w:ascii="Palatino Linotype" w:hAnsi="Palatino Linotype" w:cs="Arial"/>
          <w:sz w:val="24"/>
          <w:szCs w:val="24"/>
        </w:rPr>
        <w:t>e</w:t>
      </w:r>
      <w:r w:rsidR="006E20F9" w:rsidRPr="000C2D59">
        <w:rPr>
          <w:rFonts w:ascii="Palatino Linotype" w:hAnsi="Palatino Linotype" w:cs="Arial"/>
          <w:sz w:val="24"/>
          <w:szCs w:val="24"/>
        </w:rPr>
        <w:t xml:space="preserve">l </w:t>
      </w:r>
      <w:r w:rsidR="000C2D59" w:rsidRPr="000C2D59">
        <w:rPr>
          <w:rFonts w:ascii="Palatino Linotype" w:hAnsi="Palatino Linotype" w:cs="Arial"/>
          <w:sz w:val="24"/>
          <w:szCs w:val="24"/>
        </w:rPr>
        <w:t>Sujeto Obligado</w:t>
      </w:r>
      <w:r w:rsidR="006E20F9" w:rsidRPr="000C2D59">
        <w:rPr>
          <w:rFonts w:ascii="Palatino Linotype" w:hAnsi="Palatino Linotype" w:cs="Arial"/>
          <w:sz w:val="24"/>
          <w:szCs w:val="24"/>
        </w:rPr>
        <w:t>, la solicitud de acceso a la in</w:t>
      </w:r>
      <w:r w:rsidR="006E20F9" w:rsidRPr="006E20F9">
        <w:rPr>
          <w:rFonts w:ascii="Palatino Linotype" w:hAnsi="Palatino Linotype" w:cs="Arial"/>
          <w:sz w:val="24"/>
          <w:szCs w:val="24"/>
        </w:rPr>
        <w:t>formación pública, registrada bajo el número de Folio</w:t>
      </w:r>
      <w:r w:rsidR="00F2498E" w:rsidRPr="00522B39">
        <w:rPr>
          <w:rFonts w:ascii="Palatino Linotype" w:hAnsi="Palatino Linotype" w:cs="Arial"/>
          <w:sz w:val="24"/>
          <w:szCs w:val="24"/>
        </w:rPr>
        <w:t xml:space="preserve"> </w:t>
      </w:r>
      <w:r w:rsidR="00DC233F" w:rsidRPr="00DC233F">
        <w:rPr>
          <w:rFonts w:ascii="Palatino Linotype" w:hAnsi="Palatino Linotype" w:cs="Arial"/>
          <w:b/>
          <w:sz w:val="24"/>
          <w:szCs w:val="24"/>
        </w:rPr>
        <w:t>00291/SSALUD/IP/2019</w:t>
      </w:r>
      <w:r w:rsidR="00F2498E" w:rsidRPr="000C2D59">
        <w:rPr>
          <w:rFonts w:ascii="Palatino Linotype" w:hAnsi="Palatino Linotype" w:cs="Arial"/>
          <w:b/>
          <w:sz w:val="24"/>
          <w:szCs w:val="24"/>
        </w:rPr>
        <w:t>,</w:t>
      </w:r>
      <w:r w:rsidR="00F2498E" w:rsidRPr="00DC233F">
        <w:rPr>
          <w:rFonts w:ascii="Palatino Linotype" w:hAnsi="Palatino Linotype" w:cs="Arial"/>
          <w:b/>
          <w:sz w:val="24"/>
          <w:szCs w:val="24"/>
        </w:rPr>
        <w:t xml:space="preserve"> </w:t>
      </w:r>
      <w:r w:rsidR="00F2498E" w:rsidRPr="00DC233F">
        <w:rPr>
          <w:rFonts w:ascii="Palatino Linotype" w:hAnsi="Palatino Linotype" w:cs="Arial"/>
          <w:sz w:val="24"/>
          <w:szCs w:val="24"/>
        </w:rPr>
        <w:t>mediante la cual solicitó lo siguiente:</w:t>
      </w:r>
    </w:p>
    <w:p w:rsidR="0094785E" w:rsidRDefault="0094785E" w:rsidP="00AE2973">
      <w:pPr>
        <w:spacing w:after="0" w:line="360" w:lineRule="auto"/>
        <w:jc w:val="both"/>
        <w:rPr>
          <w:rFonts w:ascii="Palatino Linotype" w:hAnsi="Palatino Linotype" w:cs="Arial"/>
          <w:sz w:val="24"/>
          <w:szCs w:val="24"/>
        </w:rPr>
      </w:pPr>
    </w:p>
    <w:p w:rsidR="00C355A6" w:rsidRPr="00C355A6" w:rsidRDefault="00C355A6" w:rsidP="00AE2973">
      <w:pPr>
        <w:spacing w:after="0" w:line="360" w:lineRule="auto"/>
        <w:jc w:val="both"/>
        <w:rPr>
          <w:rFonts w:ascii="Palatino Linotype" w:hAnsi="Palatino Linotype" w:cs="Arial"/>
          <w:sz w:val="6"/>
          <w:szCs w:val="24"/>
        </w:rPr>
      </w:pPr>
    </w:p>
    <w:p w:rsidR="00D71BF7" w:rsidRPr="00A120EF" w:rsidRDefault="00D71BF7" w:rsidP="00AE2973">
      <w:pPr>
        <w:spacing w:after="0" w:line="240" w:lineRule="auto"/>
        <w:ind w:left="851" w:right="850"/>
        <w:jc w:val="both"/>
        <w:rPr>
          <w:rFonts w:ascii="Palatino Linotype" w:hAnsi="Palatino Linotype" w:cs="Arial"/>
          <w:i/>
        </w:rPr>
      </w:pPr>
      <w:r w:rsidRPr="00A120EF">
        <w:rPr>
          <w:rFonts w:ascii="Palatino Linotype" w:hAnsi="Palatino Linotype"/>
          <w:i/>
          <w:color w:val="000000"/>
        </w:rPr>
        <w:t>“</w:t>
      </w:r>
      <w:r w:rsidR="00A120EF" w:rsidRPr="00A120EF">
        <w:rPr>
          <w:rFonts w:ascii="Palatino Linotype" w:hAnsi="Palatino Linotype"/>
          <w:i/>
        </w:rPr>
        <w:t>Solicito copias simples en formato de versión pública de todos los partes médicos y expedientes relacionados al procedimiento quirúrgico para la esterilización de pacientes mujeres internas en todos los Hospitales Psiquiátricos (Centros de Atención Psicosocial) del estado, fechadas entre el 01 de diciembre de 1996 y el 01 de Octubre de 2019</w:t>
      </w:r>
      <w:r w:rsidR="00C355A6" w:rsidRPr="00A120EF">
        <w:rPr>
          <w:rFonts w:ascii="Palatino Linotype" w:hAnsi="Palatino Linotype"/>
          <w:i/>
          <w:color w:val="000000"/>
        </w:rPr>
        <w:t>.</w:t>
      </w:r>
      <w:r w:rsidRPr="00A120EF">
        <w:rPr>
          <w:rFonts w:ascii="Palatino Linotype" w:hAnsi="Palatino Linotype"/>
          <w:i/>
          <w:color w:val="000000"/>
        </w:rPr>
        <w:t>”</w:t>
      </w:r>
    </w:p>
    <w:p w:rsidR="00F2498E" w:rsidRPr="008551ED" w:rsidRDefault="00F2498E" w:rsidP="00AE2973">
      <w:pPr>
        <w:spacing w:after="0" w:line="360" w:lineRule="auto"/>
        <w:ind w:left="851"/>
        <w:jc w:val="both"/>
        <w:rPr>
          <w:rFonts w:ascii="Palatino Linotype" w:hAnsi="Palatino Linotype" w:cs="Arial"/>
          <w:sz w:val="24"/>
        </w:rPr>
      </w:pPr>
    </w:p>
    <w:p w:rsidR="00F2498E" w:rsidRPr="00201765" w:rsidRDefault="00F2498E" w:rsidP="00AE2973">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del acuse de solicitud de información contenida en el expediente electróni</w:t>
      </w:r>
      <w:r w:rsidR="002C4718" w:rsidRPr="00201765">
        <w:rPr>
          <w:rFonts w:ascii="Palatino Linotype" w:hAnsi="Palatino Linotype" w:cs="Arial"/>
          <w:sz w:val="24"/>
          <w:szCs w:val="24"/>
        </w:rPr>
        <w:t>co del SAIMEX, se aprecia que l</w:t>
      </w:r>
      <w:r w:rsidR="000C2D59" w:rsidRPr="00201765">
        <w:rPr>
          <w:rFonts w:ascii="Palatino Linotype" w:hAnsi="Palatino Linotype" w:cs="Arial"/>
          <w:sz w:val="24"/>
          <w:szCs w:val="24"/>
        </w:rPr>
        <w:t>a</w:t>
      </w:r>
      <w:r w:rsidRPr="00201765">
        <w:rPr>
          <w:rFonts w:ascii="Palatino Linotype" w:hAnsi="Palatino Linotype" w:cs="Arial"/>
          <w:sz w:val="24"/>
          <w:szCs w:val="24"/>
        </w:rPr>
        <w:t xml:space="preserve"> </w:t>
      </w:r>
      <w:r w:rsidR="000C2D59" w:rsidRPr="00201765">
        <w:rPr>
          <w:rFonts w:ascii="Palatino Linotype" w:hAnsi="Palatino Linotype" w:cs="Arial"/>
          <w:sz w:val="24"/>
          <w:szCs w:val="24"/>
        </w:rPr>
        <w:t xml:space="preserve">Recurrente </w:t>
      </w:r>
      <w:r w:rsidRPr="00201765">
        <w:rPr>
          <w:rFonts w:ascii="Palatino Linotype" w:hAnsi="Palatino Linotype" w:cs="Arial"/>
          <w:sz w:val="24"/>
          <w:szCs w:val="24"/>
        </w:rPr>
        <w:t>eligió como modalidad de entrega de la información solicitada “</w:t>
      </w:r>
      <w:r w:rsidRPr="00201765">
        <w:rPr>
          <w:rFonts w:ascii="Palatino Linotype" w:hAnsi="Palatino Linotype" w:cs="Arial"/>
          <w:i/>
          <w:sz w:val="24"/>
          <w:szCs w:val="24"/>
        </w:rPr>
        <w:t>a través de</w:t>
      </w:r>
      <w:r w:rsidR="00A120EF">
        <w:rPr>
          <w:rFonts w:ascii="Palatino Linotype" w:hAnsi="Palatino Linotype" w:cs="Arial"/>
          <w:i/>
          <w:sz w:val="24"/>
          <w:szCs w:val="24"/>
        </w:rPr>
        <w:t xml:space="preserve"> correo electrónico</w:t>
      </w:r>
      <w:r w:rsidRPr="00201765">
        <w:rPr>
          <w:rFonts w:ascii="Palatino Linotype" w:hAnsi="Palatino Linotype" w:cs="Arial"/>
          <w:sz w:val="24"/>
          <w:szCs w:val="24"/>
        </w:rPr>
        <w:t>”.</w:t>
      </w:r>
    </w:p>
    <w:p w:rsidR="007A5B2E" w:rsidRDefault="00916442" w:rsidP="00AE2973">
      <w:pPr>
        <w:spacing w:after="0" w:line="360" w:lineRule="auto"/>
        <w:jc w:val="both"/>
        <w:rPr>
          <w:rFonts w:ascii="Palatino Linotype" w:hAnsi="Palatino Linotype"/>
          <w:b/>
          <w:sz w:val="24"/>
          <w:szCs w:val="24"/>
        </w:rPr>
      </w:pPr>
      <w:r w:rsidRPr="00C355A6">
        <w:rPr>
          <w:rFonts w:ascii="Palatino Linotype" w:hAnsi="Palatino Linotype"/>
          <w:b/>
          <w:sz w:val="28"/>
          <w:szCs w:val="28"/>
        </w:rPr>
        <w:t xml:space="preserve">SEGUNDO. </w:t>
      </w:r>
      <w:r w:rsidR="00A120EF">
        <w:rPr>
          <w:rFonts w:ascii="Palatino Linotype" w:hAnsi="Palatino Linotype"/>
          <w:b/>
          <w:sz w:val="24"/>
          <w:szCs w:val="24"/>
        </w:rPr>
        <w:t>Información que puede estar en poder de otro Sujeto Obligado</w:t>
      </w:r>
      <w:r>
        <w:rPr>
          <w:rFonts w:ascii="Palatino Linotype" w:hAnsi="Palatino Linotype"/>
          <w:b/>
          <w:sz w:val="24"/>
          <w:szCs w:val="24"/>
        </w:rPr>
        <w:t>.</w:t>
      </w:r>
    </w:p>
    <w:p w:rsidR="0094785E" w:rsidRDefault="00D30206" w:rsidP="00AE2973">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Del expediente que obra en el sistema SAIMEX, se observa que en fecha </w:t>
      </w:r>
      <w:r w:rsidR="00A120EF">
        <w:rPr>
          <w:rFonts w:ascii="Palatino Linotype" w:hAnsi="Palatino Linotype"/>
          <w:sz w:val="24"/>
          <w:szCs w:val="24"/>
        </w:rPr>
        <w:t>diez de octubre</w:t>
      </w:r>
      <w:r>
        <w:rPr>
          <w:rFonts w:ascii="Palatino Linotype" w:hAnsi="Palatino Linotype"/>
          <w:sz w:val="24"/>
          <w:szCs w:val="24"/>
        </w:rPr>
        <w:t xml:space="preserve"> de la presente anualidad, el Sujeto Obligado, </w:t>
      </w:r>
      <w:r w:rsidR="00A120EF">
        <w:rPr>
          <w:rFonts w:ascii="Palatino Linotype" w:hAnsi="Palatino Linotype"/>
          <w:sz w:val="24"/>
          <w:szCs w:val="24"/>
        </w:rPr>
        <w:t xml:space="preserve">remitió el documento denominado </w:t>
      </w:r>
      <w:r w:rsidR="00A120EF">
        <w:rPr>
          <w:rFonts w:ascii="Palatino Linotype" w:hAnsi="Palatino Linotype"/>
          <w:b/>
          <w:sz w:val="24"/>
          <w:szCs w:val="24"/>
        </w:rPr>
        <w:t xml:space="preserve">SAIMEX 00291 IP 2019.docx, </w:t>
      </w:r>
      <w:r w:rsidR="00A120EF" w:rsidRPr="00A120EF">
        <w:rPr>
          <w:rFonts w:ascii="Palatino Linotype" w:hAnsi="Palatino Linotype"/>
          <w:sz w:val="24"/>
          <w:szCs w:val="24"/>
        </w:rPr>
        <w:t>el cual contiene la</w:t>
      </w:r>
      <w:r w:rsidR="00A120EF">
        <w:rPr>
          <w:rFonts w:ascii="Palatino Linotype" w:hAnsi="Palatino Linotype"/>
          <w:sz w:val="24"/>
          <w:szCs w:val="24"/>
        </w:rPr>
        <w:t xml:space="preserve"> siguiente información: </w:t>
      </w:r>
    </w:p>
    <w:p w:rsidR="00A120EF" w:rsidRDefault="00A120EF" w:rsidP="00A120EF">
      <w:pPr>
        <w:spacing w:after="0" w:line="360" w:lineRule="auto"/>
        <w:jc w:val="center"/>
        <w:rPr>
          <w:rFonts w:ascii="Palatino Linotype" w:hAnsi="Palatino Linotype"/>
          <w:sz w:val="24"/>
          <w:szCs w:val="24"/>
        </w:rPr>
      </w:pPr>
      <w:r>
        <w:rPr>
          <w:noProof/>
          <w:lang w:eastAsia="es-MX"/>
        </w:rPr>
        <w:drawing>
          <wp:inline distT="0" distB="0" distL="0" distR="0" wp14:anchorId="70ACB541" wp14:editId="163C9B06">
            <wp:extent cx="5072383" cy="4143375"/>
            <wp:effectExtent l="190500" t="190500" r="185420" b="1809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7447" t="19989" r="27414" b="14461"/>
                    <a:stretch/>
                  </pic:blipFill>
                  <pic:spPr bwMode="auto">
                    <a:xfrm>
                      <a:off x="0" y="0"/>
                      <a:ext cx="5080306" cy="414984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D30206" w:rsidRPr="00A120EF" w:rsidRDefault="00D30206" w:rsidP="00AE2973">
      <w:pPr>
        <w:spacing w:after="0" w:line="360" w:lineRule="auto"/>
        <w:ind w:left="851" w:right="850"/>
        <w:jc w:val="both"/>
        <w:rPr>
          <w:rFonts w:ascii="Palatino Linotype" w:hAnsi="Palatino Linotype" w:cs="Arial"/>
          <w:i/>
          <w:sz w:val="14"/>
        </w:rPr>
      </w:pPr>
    </w:p>
    <w:p w:rsidR="00F2498E" w:rsidRPr="00ED5476" w:rsidRDefault="00A120EF" w:rsidP="00AE2973">
      <w:pPr>
        <w:spacing w:after="0" w:line="360" w:lineRule="auto"/>
        <w:jc w:val="both"/>
        <w:rPr>
          <w:rFonts w:ascii="Palatino Linotype" w:hAnsi="Palatino Linotype" w:cs="Arial"/>
          <w:sz w:val="28"/>
          <w:szCs w:val="28"/>
        </w:rPr>
      </w:pPr>
      <w:r>
        <w:rPr>
          <w:rFonts w:ascii="Palatino Linotype" w:hAnsi="Palatino Linotype"/>
          <w:b/>
          <w:sz w:val="28"/>
          <w:szCs w:val="28"/>
        </w:rPr>
        <w:t>TERCER</w:t>
      </w:r>
      <w:r w:rsidR="006E20F9" w:rsidRPr="004F32D0">
        <w:rPr>
          <w:rFonts w:ascii="Palatino Linotype" w:hAnsi="Palatino Linotype"/>
          <w:b/>
          <w:sz w:val="28"/>
          <w:szCs w:val="28"/>
        </w:rPr>
        <w:t>O</w:t>
      </w:r>
      <w:r w:rsidR="00F2498E" w:rsidRPr="004F32D0">
        <w:rPr>
          <w:rFonts w:ascii="Palatino Linotype" w:hAnsi="Palatino Linotype"/>
          <w:b/>
          <w:sz w:val="28"/>
          <w:szCs w:val="28"/>
        </w:rPr>
        <w:t xml:space="preserve">. </w:t>
      </w:r>
      <w:r w:rsidR="00F2498E" w:rsidRPr="004F32D0">
        <w:rPr>
          <w:rFonts w:ascii="Palatino Linotype" w:hAnsi="Palatino Linotype"/>
          <w:b/>
          <w:sz w:val="24"/>
          <w:szCs w:val="24"/>
        </w:rPr>
        <w:t xml:space="preserve">De la impugnación </w:t>
      </w:r>
      <w:r w:rsidR="00F2498E" w:rsidRPr="00400915">
        <w:rPr>
          <w:rFonts w:ascii="Palatino Linotype" w:hAnsi="Palatino Linotype"/>
          <w:b/>
          <w:sz w:val="24"/>
          <w:szCs w:val="24"/>
        </w:rPr>
        <w:t>de la respuesta.</w:t>
      </w:r>
    </w:p>
    <w:p w:rsidR="00F2498E" w:rsidRPr="00F86271" w:rsidRDefault="00F2498E" w:rsidP="00AE2973">
      <w:pPr>
        <w:spacing w:after="0" w:line="360" w:lineRule="auto"/>
        <w:jc w:val="both"/>
        <w:rPr>
          <w:rFonts w:ascii="Palatino Linotype" w:hAnsi="Palatino Linotype" w:cs="Arial"/>
          <w:sz w:val="24"/>
          <w:szCs w:val="24"/>
        </w:rPr>
      </w:pPr>
      <w:r w:rsidRPr="00F86271">
        <w:rPr>
          <w:rFonts w:ascii="Palatino Linotype" w:hAnsi="Palatino Linotype" w:cs="Arial"/>
          <w:sz w:val="24"/>
          <w:szCs w:val="24"/>
        </w:rPr>
        <w:t xml:space="preserve">No conforme con la respuesta notificada por el </w:t>
      </w:r>
      <w:r w:rsidR="0019584A" w:rsidRPr="0019584A">
        <w:rPr>
          <w:rFonts w:ascii="Palatino Linotype" w:hAnsi="Palatino Linotype" w:cs="Arial"/>
          <w:sz w:val="24"/>
          <w:szCs w:val="24"/>
        </w:rPr>
        <w:t>Sujeto Obligado</w:t>
      </w:r>
      <w:r w:rsidRPr="00F86271">
        <w:rPr>
          <w:rFonts w:ascii="Palatino Linotype" w:hAnsi="Palatino Linotype" w:cs="Arial"/>
          <w:sz w:val="24"/>
          <w:szCs w:val="24"/>
        </w:rPr>
        <w:t xml:space="preserve">, </w:t>
      </w:r>
      <w:r w:rsidR="00341178">
        <w:rPr>
          <w:rFonts w:ascii="Palatino Linotype" w:hAnsi="Palatino Linotype" w:cs="Arial"/>
          <w:sz w:val="24"/>
          <w:szCs w:val="24"/>
        </w:rPr>
        <w:t>e</w:t>
      </w:r>
      <w:r w:rsidR="00ED5476">
        <w:rPr>
          <w:rFonts w:ascii="Palatino Linotype" w:hAnsi="Palatino Linotype" w:cs="Arial"/>
          <w:sz w:val="24"/>
          <w:szCs w:val="24"/>
        </w:rPr>
        <w:t>l</w:t>
      </w:r>
      <w:r>
        <w:rPr>
          <w:rFonts w:ascii="Palatino Linotype" w:hAnsi="Palatino Linotype" w:cs="Arial"/>
          <w:sz w:val="24"/>
          <w:szCs w:val="24"/>
        </w:rPr>
        <w:t xml:space="preserve"> </w:t>
      </w:r>
      <w:r w:rsidR="00205FAC" w:rsidRPr="00205FAC">
        <w:rPr>
          <w:rFonts w:ascii="Palatino Linotype" w:hAnsi="Palatino Linotype" w:cs="Arial"/>
          <w:sz w:val="24"/>
          <w:szCs w:val="24"/>
        </w:rPr>
        <w:t>Recurrente</w:t>
      </w:r>
      <w:r w:rsidR="00205FAC">
        <w:rPr>
          <w:rFonts w:ascii="Palatino Linotype" w:hAnsi="Palatino Linotype" w:cs="Arial"/>
          <w:sz w:val="24"/>
          <w:szCs w:val="24"/>
        </w:rPr>
        <w:t xml:space="preserve"> </w:t>
      </w:r>
      <w:r w:rsidRPr="00F86271">
        <w:rPr>
          <w:rFonts w:ascii="Palatino Linotype" w:hAnsi="Palatino Linotype" w:cs="Arial"/>
          <w:sz w:val="24"/>
          <w:szCs w:val="24"/>
        </w:rPr>
        <w:t xml:space="preserve">en fecha </w:t>
      </w:r>
      <w:r w:rsidR="00A300A7">
        <w:rPr>
          <w:rFonts w:ascii="Palatino Linotype" w:hAnsi="Palatino Linotype" w:cs="Arial"/>
          <w:sz w:val="24"/>
          <w:szCs w:val="24"/>
        </w:rPr>
        <w:t>catorce de octubre</w:t>
      </w:r>
      <w:r w:rsidR="009C248F">
        <w:rPr>
          <w:rFonts w:ascii="Palatino Linotype" w:hAnsi="Palatino Linotype" w:cs="Arial"/>
          <w:sz w:val="24"/>
          <w:szCs w:val="24"/>
        </w:rPr>
        <w:t xml:space="preserve"> </w:t>
      </w:r>
      <w:r w:rsidR="0019584A">
        <w:rPr>
          <w:rFonts w:ascii="Palatino Linotype" w:hAnsi="Palatino Linotype" w:cs="Arial"/>
          <w:sz w:val="24"/>
          <w:szCs w:val="24"/>
        </w:rPr>
        <w:t>de dos mil diecinueve</w:t>
      </w:r>
      <w:r w:rsidRPr="00F86271">
        <w:rPr>
          <w:rFonts w:ascii="Palatino Linotype" w:hAnsi="Palatino Linotype" w:cs="Arial"/>
          <w:sz w:val="24"/>
          <w:szCs w:val="24"/>
        </w:rPr>
        <w:t>, interpuso el recurso de revisión, el cual fue registrado</w:t>
      </w:r>
      <w:r w:rsidRPr="00F86271">
        <w:rPr>
          <w:rFonts w:ascii="Palatino Linotype" w:hAnsi="Palatino Linotype" w:cs="Arial"/>
          <w:b/>
          <w:sz w:val="24"/>
          <w:szCs w:val="24"/>
        </w:rPr>
        <w:t xml:space="preserve"> </w:t>
      </w:r>
      <w:r w:rsidRPr="00F86271">
        <w:rPr>
          <w:rFonts w:ascii="Palatino Linotype" w:hAnsi="Palatino Linotype" w:cs="Arial"/>
          <w:sz w:val="24"/>
          <w:szCs w:val="24"/>
        </w:rPr>
        <w:t xml:space="preserve">en el sistema electrónico con el expediente número </w:t>
      </w:r>
      <w:r w:rsidRPr="009845F3">
        <w:rPr>
          <w:rFonts w:ascii="Palatino Linotype" w:hAnsi="Palatino Linotype" w:cs="Arial"/>
          <w:b/>
          <w:bCs/>
          <w:sz w:val="24"/>
          <w:szCs w:val="24"/>
          <w:lang w:eastAsia="es-MX"/>
        </w:rPr>
        <w:t>0</w:t>
      </w:r>
      <w:r w:rsidR="009C248F">
        <w:rPr>
          <w:rFonts w:ascii="Palatino Linotype" w:hAnsi="Palatino Linotype" w:cs="Arial"/>
          <w:b/>
          <w:bCs/>
          <w:sz w:val="24"/>
          <w:szCs w:val="24"/>
          <w:lang w:eastAsia="es-MX"/>
        </w:rPr>
        <w:t>7</w:t>
      </w:r>
      <w:r w:rsidR="00A300A7">
        <w:rPr>
          <w:rFonts w:ascii="Palatino Linotype" w:hAnsi="Palatino Linotype" w:cs="Arial"/>
          <w:b/>
          <w:bCs/>
          <w:sz w:val="24"/>
          <w:szCs w:val="24"/>
          <w:lang w:eastAsia="es-MX"/>
        </w:rPr>
        <w:t>98</w:t>
      </w:r>
      <w:r w:rsidR="009C248F">
        <w:rPr>
          <w:rFonts w:ascii="Palatino Linotype" w:hAnsi="Palatino Linotype" w:cs="Arial"/>
          <w:b/>
          <w:bCs/>
          <w:sz w:val="24"/>
          <w:szCs w:val="24"/>
          <w:lang w:eastAsia="es-MX"/>
        </w:rPr>
        <w:t>5</w:t>
      </w:r>
      <w:r w:rsidRPr="009845F3">
        <w:rPr>
          <w:rFonts w:ascii="Palatino Linotype" w:hAnsi="Palatino Linotype" w:cs="Arial"/>
          <w:b/>
          <w:bCs/>
          <w:sz w:val="24"/>
          <w:szCs w:val="24"/>
          <w:lang w:eastAsia="es-MX"/>
        </w:rPr>
        <w:t>/INFOEM/IP/RR/201</w:t>
      </w:r>
      <w:r w:rsidR="0019584A">
        <w:rPr>
          <w:rFonts w:ascii="Palatino Linotype" w:hAnsi="Palatino Linotype" w:cs="Arial"/>
          <w:b/>
          <w:bCs/>
          <w:sz w:val="24"/>
          <w:szCs w:val="24"/>
          <w:lang w:eastAsia="es-MX"/>
        </w:rPr>
        <w:t>9</w:t>
      </w:r>
      <w:r w:rsidRPr="00F86271">
        <w:rPr>
          <w:rFonts w:ascii="Palatino Linotype" w:hAnsi="Palatino Linotype" w:cs="Arial"/>
          <w:sz w:val="24"/>
          <w:szCs w:val="24"/>
        </w:rPr>
        <w:t xml:space="preserve">, en el cual </w:t>
      </w:r>
      <w:r w:rsidR="009845F3" w:rsidRPr="00F86271">
        <w:rPr>
          <w:rFonts w:ascii="Palatino Linotype" w:hAnsi="Palatino Linotype" w:cs="Arial"/>
          <w:sz w:val="24"/>
          <w:szCs w:val="24"/>
        </w:rPr>
        <w:t>cita</w:t>
      </w:r>
      <w:r w:rsidRPr="00F86271">
        <w:rPr>
          <w:rFonts w:ascii="Palatino Linotype" w:hAnsi="Palatino Linotype" w:cs="Arial"/>
          <w:sz w:val="24"/>
          <w:szCs w:val="24"/>
        </w:rPr>
        <w:t>, las siguientes manifestaciones:</w:t>
      </w:r>
    </w:p>
    <w:p w:rsidR="00F2498E" w:rsidRPr="00F86271" w:rsidRDefault="00F2498E" w:rsidP="00AE2973">
      <w:pPr>
        <w:spacing w:after="0" w:line="360" w:lineRule="auto"/>
        <w:jc w:val="both"/>
        <w:rPr>
          <w:rFonts w:ascii="Palatino Linotype" w:hAnsi="Palatino Linotype" w:cs="Arial"/>
          <w:sz w:val="24"/>
          <w:szCs w:val="24"/>
        </w:rPr>
      </w:pPr>
    </w:p>
    <w:p w:rsidR="00F2498E" w:rsidRPr="00400915" w:rsidRDefault="00F2498E" w:rsidP="00AE2973">
      <w:pPr>
        <w:spacing w:after="0" w:line="360" w:lineRule="auto"/>
        <w:jc w:val="both"/>
        <w:rPr>
          <w:rFonts w:ascii="Palatino Linotype" w:hAnsi="Palatino Linotype" w:cs="Arial"/>
          <w:b/>
        </w:rPr>
      </w:pPr>
      <w:r w:rsidRPr="00400915">
        <w:rPr>
          <w:rFonts w:ascii="Palatino Linotype" w:hAnsi="Palatino Linotype" w:cs="Arial"/>
          <w:b/>
        </w:rPr>
        <w:lastRenderedPageBreak/>
        <w:t>Acto Impugnado:</w:t>
      </w:r>
    </w:p>
    <w:p w:rsidR="00DF6006" w:rsidRPr="00A300A7" w:rsidRDefault="009C248F" w:rsidP="00A300A7">
      <w:pPr>
        <w:spacing w:after="0" w:line="240" w:lineRule="auto"/>
        <w:ind w:left="851" w:right="850"/>
        <w:jc w:val="both"/>
        <w:rPr>
          <w:rFonts w:ascii="Palatino Linotype" w:hAnsi="Palatino Linotype"/>
          <w:i/>
          <w:color w:val="000000"/>
        </w:rPr>
      </w:pPr>
      <w:r w:rsidRPr="00A300A7">
        <w:rPr>
          <w:rFonts w:ascii="Palatino Linotype" w:hAnsi="Palatino Linotype"/>
          <w:i/>
          <w:color w:val="000000"/>
        </w:rPr>
        <w:t>“</w:t>
      </w:r>
      <w:r w:rsidR="00A300A7" w:rsidRPr="00A300A7">
        <w:rPr>
          <w:rFonts w:ascii="Palatino Linotype" w:hAnsi="Palatino Linotype"/>
          <w:i/>
          <w:color w:val="000000"/>
        </w:rPr>
        <w:t>Con fundamento en el artículo 200 de la Ley de Transparencia, Acceso a la Información Pública y Rendición de Cuentas de la Ciudad de México, y al numeral 10 fracción VII de los Lineamientos para la Gestión de Solicitudes de Información Pública y de Datos Personales en la Ciudad de México, se hace de su conocimiento que la Secretaría de Salud de la Ciudad de México (SEDESA) perteneciente al Gobierno Local, brinda Atención Médica de Segundo Nivel a través de la Red Hospitalaria conformada por 33 Nosocomios, motivo por el cual la información solicitada no es competencia de este Sujeto Obligado, toda vez que los Hospitales Psiquiátricos del país, forman parte de la Secretaría de Salud Federal, la cual pertenece al Gobierno Federal, así mismo se le informa que podrá encontrar en la siguiente liga https://www.gob.mx/salud/documentos/directorio-de-hospitales-psiquiatricos Directorio de los Hospitales Psiquiátricos.</w:t>
      </w:r>
      <w:r w:rsidR="0019584A" w:rsidRPr="00A300A7">
        <w:rPr>
          <w:rFonts w:ascii="Palatino Linotype" w:hAnsi="Palatino Linotype"/>
          <w:i/>
          <w:color w:val="000000"/>
        </w:rPr>
        <w:t>.</w:t>
      </w:r>
      <w:r w:rsidRPr="00A300A7">
        <w:rPr>
          <w:rFonts w:ascii="Palatino Linotype" w:hAnsi="Palatino Linotype"/>
          <w:i/>
          <w:color w:val="000000"/>
        </w:rPr>
        <w:t>”(Sic).</w:t>
      </w:r>
    </w:p>
    <w:p w:rsidR="0094785E" w:rsidRPr="009C248F" w:rsidRDefault="0094785E" w:rsidP="00AE2973">
      <w:pPr>
        <w:spacing w:after="0" w:line="360" w:lineRule="auto"/>
        <w:ind w:left="851" w:right="850"/>
        <w:jc w:val="both"/>
        <w:rPr>
          <w:rFonts w:ascii="Palatino Linotype" w:hAnsi="Palatino Linotype" w:cs="Arial"/>
          <w:b/>
          <w:i/>
        </w:rPr>
      </w:pPr>
    </w:p>
    <w:p w:rsidR="00F2498E" w:rsidRDefault="00F2498E" w:rsidP="00AE2973">
      <w:pPr>
        <w:spacing w:after="0" w:line="360" w:lineRule="auto"/>
        <w:jc w:val="both"/>
        <w:rPr>
          <w:rFonts w:ascii="Palatino Linotype" w:hAnsi="Palatino Linotype" w:cs="Arial"/>
          <w:b/>
        </w:rPr>
      </w:pPr>
      <w:r w:rsidRPr="00400915">
        <w:rPr>
          <w:rFonts w:ascii="Palatino Linotype" w:hAnsi="Palatino Linotype" w:cs="Arial"/>
          <w:b/>
        </w:rPr>
        <w:t>Razones o Motivos de Inconformidad:</w:t>
      </w:r>
    </w:p>
    <w:p w:rsidR="009C248F" w:rsidRPr="009C248F" w:rsidRDefault="009C248F" w:rsidP="00AE2973">
      <w:pPr>
        <w:spacing w:after="0" w:line="360" w:lineRule="auto"/>
        <w:jc w:val="both"/>
        <w:rPr>
          <w:rFonts w:ascii="Palatino Linotype" w:hAnsi="Palatino Linotype" w:cs="Arial"/>
          <w:b/>
          <w:i/>
        </w:rPr>
      </w:pPr>
    </w:p>
    <w:p w:rsidR="00296E92" w:rsidRPr="00A300A7" w:rsidRDefault="009C248F" w:rsidP="00A300A7">
      <w:pPr>
        <w:spacing w:after="0" w:line="240" w:lineRule="auto"/>
        <w:ind w:left="851" w:right="850"/>
        <w:jc w:val="both"/>
        <w:rPr>
          <w:rFonts w:ascii="Palatino Linotype" w:hAnsi="Palatino Linotype"/>
          <w:i/>
          <w:color w:val="000000"/>
        </w:rPr>
      </w:pPr>
      <w:r w:rsidRPr="00A300A7">
        <w:rPr>
          <w:rFonts w:ascii="Palatino Linotype" w:hAnsi="Palatino Linotype"/>
          <w:i/>
          <w:color w:val="000000"/>
        </w:rPr>
        <w:t>“</w:t>
      </w:r>
      <w:r w:rsidR="00A300A7" w:rsidRPr="00A300A7">
        <w:rPr>
          <w:rFonts w:ascii="Palatino Linotype" w:hAnsi="Palatino Linotype"/>
          <w:i/>
          <w:color w:val="000000"/>
        </w:rPr>
        <w:t>Al realizar la misma solicitud a la Secretaría de Salud federal, su respuesta me remite a su organismo estatal u a otros organismos estatales, pero se declaran incompetentes para facilitar dicha información. A continuación la respuesta de la Secretaría de Salud federal: "ESTIMABLE SOLICITANTE. Con fundamento en lo dispuesto en el artículo 131 párrafo primero de la Ley Federal de Transparencia y Acceso a la Información Pública (LFTAIP), esta unidad de transparencia le informa que LAS SECRETARÍAS DE SALUD DE LOS ESTADOS, EL IMSS, EL ISSSTE y SERVICIOS DE ATENCIÓN PSIQUIÁTRICA, entre otras instituciones, cuentan con servicios relacionados con la materia de psiquiatría, motivo por el que SON SUJETOS OBLIGADOS COMPETENTES PARA DARLE TRÁMITE A SU SOLICITUD, por lo cual se le sugiera dirija su solicitud a cada uno de estos sujetos obligados." Por favor, solicito recibir la correcta orientación a mi solicitud.</w:t>
      </w:r>
      <w:r w:rsidR="00296E92" w:rsidRPr="00A300A7">
        <w:rPr>
          <w:rFonts w:ascii="Palatino Linotype" w:hAnsi="Palatino Linotype"/>
          <w:i/>
          <w:color w:val="000000"/>
        </w:rPr>
        <w:t>”</w:t>
      </w:r>
      <w:r w:rsidRPr="00A300A7">
        <w:rPr>
          <w:rFonts w:ascii="Palatino Linotype" w:hAnsi="Palatino Linotype"/>
          <w:i/>
          <w:color w:val="000000"/>
        </w:rPr>
        <w:t>(Sic).</w:t>
      </w:r>
    </w:p>
    <w:p w:rsidR="0094785E" w:rsidRPr="009C248F" w:rsidRDefault="0094785E" w:rsidP="00AE2973">
      <w:pPr>
        <w:spacing w:after="0" w:line="240" w:lineRule="auto"/>
        <w:ind w:left="851" w:right="850"/>
        <w:jc w:val="both"/>
        <w:rPr>
          <w:rFonts w:ascii="Palatino Linotype" w:hAnsi="Palatino Linotype" w:cs="Arial"/>
          <w:b/>
          <w:i/>
        </w:rPr>
      </w:pPr>
    </w:p>
    <w:p w:rsidR="00A300A7" w:rsidRDefault="00A300A7" w:rsidP="00AE2973">
      <w:pPr>
        <w:spacing w:after="0" w:line="360" w:lineRule="auto"/>
        <w:jc w:val="both"/>
        <w:rPr>
          <w:rFonts w:ascii="Palatino Linotype" w:hAnsi="Palatino Linotype" w:cs="Arial"/>
          <w:b/>
          <w:sz w:val="28"/>
          <w:szCs w:val="28"/>
        </w:rPr>
      </w:pPr>
    </w:p>
    <w:p w:rsidR="00400915" w:rsidRPr="00AD2A55" w:rsidRDefault="00A300A7" w:rsidP="00AE2973">
      <w:pPr>
        <w:spacing w:after="0" w:line="360" w:lineRule="auto"/>
        <w:jc w:val="both"/>
        <w:rPr>
          <w:rFonts w:ascii="Palatino Linotype" w:hAnsi="Palatino Linotype" w:cs="Arial"/>
          <w:b/>
          <w:sz w:val="24"/>
          <w:szCs w:val="24"/>
        </w:rPr>
      </w:pPr>
      <w:r>
        <w:rPr>
          <w:rFonts w:ascii="Palatino Linotype" w:hAnsi="Palatino Linotype" w:cs="Arial"/>
          <w:b/>
          <w:sz w:val="28"/>
          <w:szCs w:val="28"/>
        </w:rPr>
        <w:t>CUART</w:t>
      </w:r>
      <w:r w:rsidR="00400915" w:rsidRPr="009C248F">
        <w:rPr>
          <w:rFonts w:ascii="Palatino Linotype" w:hAnsi="Palatino Linotype" w:cs="Arial"/>
          <w:b/>
          <w:sz w:val="28"/>
          <w:szCs w:val="28"/>
        </w:rPr>
        <w:t>O.</w:t>
      </w:r>
      <w:r w:rsidR="00400915" w:rsidRPr="00AD2A55">
        <w:rPr>
          <w:rFonts w:ascii="Palatino Linotype" w:hAnsi="Palatino Linotype" w:cs="Arial"/>
          <w:b/>
          <w:sz w:val="24"/>
          <w:szCs w:val="24"/>
        </w:rPr>
        <w:t xml:space="preserve"> Del turno del recurso de revisión.</w:t>
      </w:r>
    </w:p>
    <w:p w:rsidR="00400915" w:rsidRDefault="00400915" w:rsidP="00AE297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sidRPr="00AD2A55">
        <w:rPr>
          <w:rFonts w:ascii="Palatino Linotype" w:hAnsi="Palatino Linotype" w:cs="Arial"/>
          <w:sz w:val="24"/>
          <w:szCs w:val="24"/>
        </w:rPr>
        <w:lastRenderedPageBreak/>
        <w:t>Municipios, del cual recayó acuerdo de admisión en fecha</w:t>
      </w:r>
      <w:r>
        <w:rPr>
          <w:rFonts w:ascii="Palatino Linotype" w:hAnsi="Palatino Linotype" w:cs="Arial"/>
          <w:sz w:val="24"/>
          <w:szCs w:val="24"/>
        </w:rPr>
        <w:t xml:space="preserve"> </w:t>
      </w:r>
      <w:r w:rsidR="007B54D0">
        <w:rPr>
          <w:rFonts w:ascii="Palatino Linotype" w:hAnsi="Palatino Linotype" w:cs="Arial"/>
          <w:sz w:val="24"/>
          <w:szCs w:val="24"/>
        </w:rPr>
        <w:t>dieciocho de octubre</w:t>
      </w:r>
      <w:r w:rsidR="009C248F">
        <w:rPr>
          <w:rFonts w:ascii="Palatino Linotype" w:hAnsi="Palatino Linotype" w:cs="Arial"/>
          <w:sz w:val="24"/>
          <w:szCs w:val="24"/>
        </w:rPr>
        <w:t xml:space="preserve"> </w:t>
      </w:r>
      <w:r w:rsidRPr="00AD2A55">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9C248F" w:rsidRDefault="009C248F" w:rsidP="00AE2973">
      <w:pPr>
        <w:spacing w:after="0" w:line="360" w:lineRule="auto"/>
        <w:jc w:val="both"/>
        <w:rPr>
          <w:rFonts w:ascii="Palatino Linotype" w:hAnsi="Palatino Linotype" w:cs="Arial"/>
          <w:sz w:val="24"/>
          <w:szCs w:val="24"/>
        </w:rPr>
      </w:pPr>
    </w:p>
    <w:p w:rsidR="00400915" w:rsidRDefault="009C248F" w:rsidP="00AE2973">
      <w:pPr>
        <w:spacing w:after="0" w:line="360" w:lineRule="auto"/>
        <w:jc w:val="both"/>
        <w:rPr>
          <w:rFonts w:ascii="Palatino Linotype" w:hAnsi="Palatino Linotype" w:cs="Arial"/>
          <w:b/>
          <w:sz w:val="24"/>
          <w:szCs w:val="24"/>
        </w:rPr>
      </w:pPr>
      <w:r w:rsidRPr="009C248F">
        <w:rPr>
          <w:rFonts w:ascii="Palatino Linotype" w:hAnsi="Palatino Linotype" w:cs="Arial"/>
          <w:b/>
          <w:sz w:val="28"/>
          <w:szCs w:val="28"/>
        </w:rPr>
        <w:t>SEX</w:t>
      </w:r>
      <w:r w:rsidR="00400915" w:rsidRPr="009C248F">
        <w:rPr>
          <w:rFonts w:ascii="Palatino Linotype" w:hAnsi="Palatino Linotype" w:cs="Arial"/>
          <w:b/>
          <w:sz w:val="28"/>
          <w:szCs w:val="28"/>
        </w:rPr>
        <w:t>TO.</w:t>
      </w:r>
      <w:r w:rsidR="00400915" w:rsidRPr="00DF6006">
        <w:rPr>
          <w:rFonts w:ascii="Palatino Linotype" w:hAnsi="Palatino Linotype" w:cs="Arial"/>
          <w:b/>
          <w:sz w:val="24"/>
          <w:szCs w:val="24"/>
        </w:rPr>
        <w:t xml:space="preserve"> De la etapa de manifestaciones y/o alegatos.</w:t>
      </w:r>
    </w:p>
    <w:p w:rsidR="00273F7C" w:rsidRDefault="00D731D0" w:rsidP="00AE2973">
      <w:pPr>
        <w:spacing w:after="0" w:line="360" w:lineRule="auto"/>
        <w:jc w:val="both"/>
        <w:rPr>
          <w:rFonts w:ascii="Palatino Linotype" w:hAnsi="Palatino Linotype"/>
          <w:sz w:val="24"/>
          <w:szCs w:val="24"/>
        </w:rPr>
      </w:pPr>
      <w:r w:rsidRPr="00D731D0">
        <w:rPr>
          <w:rFonts w:ascii="Palatino Linotype" w:hAnsi="Palatino Linotype"/>
          <w:sz w:val="24"/>
          <w:szCs w:val="24"/>
        </w:rPr>
        <w:t xml:space="preserve">Visto el estado que guarda el expediente electrónico del recurso de revisión número </w:t>
      </w:r>
      <w:r w:rsidRPr="00DF6006">
        <w:rPr>
          <w:rFonts w:ascii="Palatino Linotype" w:hAnsi="Palatino Linotype"/>
          <w:b/>
          <w:sz w:val="24"/>
          <w:szCs w:val="24"/>
        </w:rPr>
        <w:t>0</w:t>
      </w:r>
      <w:r w:rsidR="009C248F">
        <w:rPr>
          <w:rFonts w:ascii="Palatino Linotype" w:hAnsi="Palatino Linotype"/>
          <w:b/>
          <w:sz w:val="24"/>
          <w:szCs w:val="24"/>
        </w:rPr>
        <w:t>7</w:t>
      </w:r>
      <w:r w:rsidR="007B54D0">
        <w:rPr>
          <w:rFonts w:ascii="Palatino Linotype" w:hAnsi="Palatino Linotype"/>
          <w:b/>
          <w:sz w:val="24"/>
          <w:szCs w:val="24"/>
        </w:rPr>
        <w:t>98</w:t>
      </w:r>
      <w:r w:rsidR="009C248F">
        <w:rPr>
          <w:rFonts w:ascii="Palatino Linotype" w:hAnsi="Palatino Linotype"/>
          <w:b/>
          <w:sz w:val="24"/>
          <w:szCs w:val="24"/>
        </w:rPr>
        <w:t>5</w:t>
      </w:r>
      <w:r w:rsidRPr="00DF6006">
        <w:rPr>
          <w:rFonts w:ascii="Palatino Linotype" w:hAnsi="Palatino Linotype"/>
          <w:b/>
          <w:sz w:val="24"/>
          <w:szCs w:val="24"/>
        </w:rPr>
        <w:t>/INFOEM/IP/RR/201</w:t>
      </w:r>
      <w:r w:rsidR="0019584A">
        <w:rPr>
          <w:rFonts w:ascii="Palatino Linotype" w:hAnsi="Palatino Linotype"/>
          <w:b/>
          <w:sz w:val="24"/>
          <w:szCs w:val="24"/>
        </w:rPr>
        <w:t>9</w:t>
      </w:r>
      <w:r w:rsidRPr="00D731D0">
        <w:rPr>
          <w:rFonts w:ascii="Palatino Linotype" w:hAnsi="Palatino Linotype"/>
          <w:sz w:val="24"/>
          <w:szCs w:val="24"/>
        </w:rPr>
        <w:t xml:space="preserve">, y una vez que se encuentra transcurriendo el plazo otorgado a las partes mediante acuerdo de fecha </w:t>
      </w:r>
      <w:r w:rsidR="007B54D0">
        <w:rPr>
          <w:rFonts w:ascii="Palatino Linotype" w:hAnsi="Palatino Linotype"/>
          <w:sz w:val="24"/>
          <w:szCs w:val="24"/>
        </w:rPr>
        <w:t>dieciocho de octubre</w:t>
      </w:r>
      <w:r w:rsidR="009C248F">
        <w:rPr>
          <w:rFonts w:ascii="Palatino Linotype" w:hAnsi="Palatino Linotype"/>
          <w:sz w:val="24"/>
          <w:szCs w:val="24"/>
        </w:rPr>
        <w:t xml:space="preserve"> </w:t>
      </w:r>
      <w:r w:rsidRPr="00D731D0">
        <w:rPr>
          <w:rFonts w:ascii="Palatino Linotype" w:hAnsi="Palatino Linotype"/>
          <w:sz w:val="24"/>
          <w:szCs w:val="24"/>
        </w:rPr>
        <w:t>de dos mil dieci</w:t>
      </w:r>
      <w:r w:rsidR="0019584A">
        <w:rPr>
          <w:rFonts w:ascii="Palatino Linotype" w:hAnsi="Palatino Linotype"/>
          <w:sz w:val="24"/>
          <w:szCs w:val="24"/>
        </w:rPr>
        <w:t>nueve</w:t>
      </w:r>
      <w:r w:rsidRPr="00D731D0">
        <w:rPr>
          <w:rFonts w:ascii="Palatino Linotype" w:hAnsi="Palatino Linotype"/>
          <w:sz w:val="24"/>
          <w:szCs w:val="24"/>
        </w:rPr>
        <w:t xml:space="preserve">, para que en un término de siete días manifestaran lo que a su derecho conviniera, el </w:t>
      </w:r>
      <w:r w:rsidR="0019584A" w:rsidRPr="00D731D0">
        <w:rPr>
          <w:rFonts w:ascii="Palatino Linotype" w:hAnsi="Palatino Linotype"/>
          <w:sz w:val="24"/>
          <w:szCs w:val="24"/>
        </w:rPr>
        <w:t xml:space="preserve">Sujeto Obligado </w:t>
      </w:r>
      <w:r w:rsidRPr="00D731D0">
        <w:rPr>
          <w:rFonts w:ascii="Palatino Linotype" w:hAnsi="Palatino Linotype"/>
          <w:sz w:val="24"/>
          <w:szCs w:val="24"/>
        </w:rPr>
        <w:t xml:space="preserve">rindiera el informe justificado correspondiente, ofrecieran pruebas que estimaran convenientes y esgrimieran alegatos; de acuerdo al procedimiento aplicable a los recursos de revisión inmerso en el título octavo de la Ley de Transparencia y Acceso a la Información Pública del Estado de México y Municipios se establece lo siguiente. </w:t>
      </w:r>
    </w:p>
    <w:p w:rsidR="00671320" w:rsidRDefault="00671320" w:rsidP="00AE2973">
      <w:pPr>
        <w:spacing w:after="0" w:line="360" w:lineRule="auto"/>
        <w:jc w:val="both"/>
        <w:rPr>
          <w:rFonts w:ascii="Palatino Linotype" w:hAnsi="Palatino Linotype"/>
          <w:sz w:val="24"/>
          <w:szCs w:val="24"/>
        </w:rPr>
      </w:pPr>
    </w:p>
    <w:p w:rsidR="007B54D0" w:rsidRDefault="007B54D0" w:rsidP="00AE2973">
      <w:pPr>
        <w:tabs>
          <w:tab w:val="left" w:pos="6096"/>
        </w:tabs>
        <w:spacing w:after="0" w:line="360" w:lineRule="auto"/>
        <w:jc w:val="both"/>
        <w:rPr>
          <w:rFonts w:ascii="Palatino Linotype" w:hAnsi="Palatino Linotype"/>
          <w:sz w:val="24"/>
          <w:szCs w:val="24"/>
        </w:rPr>
      </w:pPr>
      <w:r>
        <w:rPr>
          <w:rFonts w:ascii="Palatino Linotype" w:hAnsi="Palatino Linotype"/>
          <w:sz w:val="24"/>
          <w:szCs w:val="24"/>
        </w:rPr>
        <w:t>Cabe señalar que tanto el Sujeto Obligado, así como el Recurrente no remitieron manifestación que a su derecho convinieran, como se muestra a continuación:</w:t>
      </w:r>
    </w:p>
    <w:p w:rsidR="007B54D0" w:rsidRDefault="007B54D0" w:rsidP="00AE2973">
      <w:pPr>
        <w:tabs>
          <w:tab w:val="left" w:pos="6096"/>
        </w:tabs>
        <w:spacing w:after="0" w:line="360" w:lineRule="auto"/>
        <w:jc w:val="both"/>
        <w:rPr>
          <w:rFonts w:ascii="Palatino Linotype" w:hAnsi="Palatino Linotype"/>
          <w:sz w:val="24"/>
          <w:szCs w:val="24"/>
        </w:rPr>
      </w:pPr>
      <w:r>
        <w:rPr>
          <w:noProof/>
          <w:lang w:eastAsia="es-MX"/>
        </w:rPr>
        <w:drawing>
          <wp:inline distT="0" distB="0" distL="0" distR="0" wp14:anchorId="790143A2" wp14:editId="2CBDF383">
            <wp:extent cx="5120640" cy="1611883"/>
            <wp:effectExtent l="190500" t="190500" r="194310" b="1981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5122" t="28219" r="25328" b="44052"/>
                    <a:stretch/>
                  </pic:blipFill>
                  <pic:spPr bwMode="auto">
                    <a:xfrm>
                      <a:off x="0" y="0"/>
                      <a:ext cx="5134099" cy="1616120"/>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DF6006" w:rsidRPr="00DF6006" w:rsidRDefault="00DF6006" w:rsidP="00AE2973">
      <w:pPr>
        <w:tabs>
          <w:tab w:val="left" w:pos="3206"/>
        </w:tabs>
        <w:spacing w:after="0" w:line="360" w:lineRule="auto"/>
        <w:jc w:val="both"/>
        <w:rPr>
          <w:rFonts w:ascii="Palatino Linotype" w:hAnsi="Palatino Linotype" w:cs="Arial"/>
          <w:b/>
          <w:sz w:val="4"/>
          <w:szCs w:val="24"/>
        </w:rPr>
      </w:pPr>
    </w:p>
    <w:p w:rsidR="00400915" w:rsidRPr="00B40DF9" w:rsidRDefault="00400915" w:rsidP="00AE2973">
      <w:pPr>
        <w:tabs>
          <w:tab w:val="left" w:pos="3206"/>
        </w:tabs>
        <w:spacing w:after="0" w:line="360" w:lineRule="auto"/>
        <w:jc w:val="both"/>
        <w:rPr>
          <w:rFonts w:ascii="Palatino Linotype" w:hAnsi="Palatino Linotype" w:cs="Arial"/>
          <w:b/>
          <w:sz w:val="24"/>
          <w:szCs w:val="24"/>
        </w:rPr>
      </w:pPr>
      <w:r w:rsidRPr="00B40DF9">
        <w:rPr>
          <w:rFonts w:ascii="Palatino Linotype" w:hAnsi="Palatino Linotype" w:cs="Arial"/>
          <w:b/>
          <w:sz w:val="24"/>
          <w:szCs w:val="24"/>
        </w:rPr>
        <w:t>Del cierre de instrucción.</w:t>
      </w:r>
      <w:r w:rsidRPr="00B40DF9">
        <w:rPr>
          <w:rFonts w:ascii="Palatino Linotype" w:hAnsi="Palatino Linotype" w:cs="Arial"/>
          <w:b/>
          <w:sz w:val="24"/>
          <w:szCs w:val="24"/>
        </w:rPr>
        <w:tab/>
      </w:r>
    </w:p>
    <w:p w:rsidR="00400915" w:rsidRDefault="00400915" w:rsidP="00AE2973">
      <w:pPr>
        <w:spacing w:after="0" w:line="360" w:lineRule="auto"/>
        <w:jc w:val="both"/>
        <w:rPr>
          <w:noProof/>
          <w:lang w:eastAsia="es-MX"/>
        </w:rPr>
      </w:pPr>
      <w:r w:rsidRPr="00AD2A55">
        <w:rPr>
          <w:rFonts w:ascii="Palatino Linotype" w:hAnsi="Palatino Linotype" w:cs="Arial"/>
          <w:sz w:val="24"/>
          <w:szCs w:val="24"/>
        </w:rPr>
        <w:lastRenderedPageBreak/>
        <w:t xml:space="preserve">Así, una vez transcurrido el término legal, se decreta el cierre de instrucción en fecha </w:t>
      </w:r>
      <w:r w:rsidR="007B54D0">
        <w:rPr>
          <w:rFonts w:ascii="Palatino Linotype" w:hAnsi="Palatino Linotype" w:cs="Arial"/>
          <w:sz w:val="24"/>
          <w:szCs w:val="24"/>
        </w:rPr>
        <w:t xml:space="preserve">ocho de </w:t>
      </w:r>
      <w:proofErr w:type="spellStart"/>
      <w:r w:rsidR="007B54D0">
        <w:rPr>
          <w:rFonts w:ascii="Palatino Linotype" w:hAnsi="Palatino Linotype" w:cs="Arial"/>
          <w:sz w:val="24"/>
          <w:szCs w:val="24"/>
        </w:rPr>
        <w:t>nociembre</w:t>
      </w:r>
      <w:proofErr w:type="spellEnd"/>
      <w:r w:rsidR="007A061D">
        <w:rPr>
          <w:rFonts w:ascii="Palatino Linotype" w:hAnsi="Palatino Linotype" w:cs="Arial"/>
          <w:sz w:val="24"/>
          <w:szCs w:val="24"/>
        </w:rPr>
        <w:t xml:space="preserve"> </w:t>
      </w:r>
      <w:r w:rsidR="002D4953">
        <w:rPr>
          <w:rFonts w:ascii="Palatino Linotype" w:hAnsi="Palatino Linotype" w:cs="Arial"/>
          <w:sz w:val="24"/>
          <w:szCs w:val="24"/>
        </w:rPr>
        <w:t>de dos mil diecinueve</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sidR="00D92668" w:rsidRPr="00D92668">
        <w:rPr>
          <w:noProof/>
          <w:lang w:eastAsia="es-MX"/>
        </w:rPr>
        <w:t xml:space="preserve"> </w:t>
      </w:r>
    </w:p>
    <w:p w:rsidR="007A061D" w:rsidRDefault="007A061D" w:rsidP="00AE2973">
      <w:pPr>
        <w:spacing w:after="0" w:line="360" w:lineRule="auto"/>
        <w:jc w:val="both"/>
        <w:rPr>
          <w:noProof/>
          <w:lang w:eastAsia="es-MX"/>
        </w:rPr>
      </w:pPr>
    </w:p>
    <w:p w:rsidR="007A061D" w:rsidRPr="00037272" w:rsidRDefault="007A061D" w:rsidP="00AE2973">
      <w:pPr>
        <w:tabs>
          <w:tab w:val="left" w:pos="567"/>
        </w:tabs>
        <w:spacing w:after="0" w:line="360" w:lineRule="auto"/>
        <w:jc w:val="both"/>
        <w:rPr>
          <w:rFonts w:ascii="Palatino Linotype" w:hAnsi="Palatino Linotype" w:cs="Arial"/>
          <w:b/>
          <w:sz w:val="28"/>
          <w:szCs w:val="24"/>
        </w:rPr>
      </w:pPr>
      <w:r w:rsidRPr="00D31526">
        <w:rPr>
          <w:rFonts w:ascii="Palatino Linotype" w:hAnsi="Palatino Linotype" w:cs="Arial"/>
          <w:b/>
          <w:sz w:val="24"/>
          <w:szCs w:val="24"/>
        </w:rPr>
        <w:t>De la prórroga para emitir resolución.</w:t>
      </w:r>
    </w:p>
    <w:p w:rsidR="007A061D" w:rsidRDefault="007A061D" w:rsidP="00AE2973">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En fecha</w:t>
      </w:r>
      <w:r>
        <w:rPr>
          <w:rFonts w:ascii="Palatino Linotype" w:eastAsiaTheme="minorEastAsia" w:hAnsi="Palatino Linotype"/>
          <w:sz w:val="24"/>
          <w:szCs w:val="24"/>
          <w:lang w:val="es-ES_tradnl" w:eastAsia="es-ES"/>
        </w:rPr>
        <w:t xml:space="preserve"> </w:t>
      </w:r>
      <w:r w:rsidR="007B54D0">
        <w:rPr>
          <w:rFonts w:ascii="Palatino Linotype" w:eastAsiaTheme="minorEastAsia" w:hAnsi="Palatino Linotype"/>
          <w:sz w:val="24"/>
          <w:szCs w:val="24"/>
          <w:lang w:val="es-ES_tradnl" w:eastAsia="es-ES"/>
        </w:rPr>
        <w:t xml:space="preserve">dos de diciembre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671320" w:rsidRPr="00037272" w:rsidRDefault="00671320" w:rsidP="00AE2973">
      <w:pPr>
        <w:spacing w:after="0" w:line="360" w:lineRule="auto"/>
        <w:jc w:val="both"/>
        <w:rPr>
          <w:rFonts w:ascii="Palatino Linotype" w:eastAsiaTheme="minorEastAsia" w:hAnsi="Palatino Linotype"/>
          <w:sz w:val="24"/>
          <w:szCs w:val="24"/>
          <w:lang w:val="es-ES_tradnl" w:eastAsia="es-ES"/>
        </w:rPr>
      </w:pPr>
    </w:p>
    <w:p w:rsidR="00A45454" w:rsidRDefault="00A45454" w:rsidP="00AE2973">
      <w:pPr>
        <w:spacing w:after="0" w:line="360" w:lineRule="auto"/>
        <w:jc w:val="center"/>
        <w:rPr>
          <w:rFonts w:ascii="Palatino Linotype" w:hAnsi="Palatino Linotype" w:cs="Arial"/>
          <w:b/>
          <w:sz w:val="24"/>
        </w:rPr>
      </w:pPr>
      <w:r w:rsidRPr="00152075">
        <w:rPr>
          <w:rFonts w:ascii="Palatino Linotype" w:hAnsi="Palatino Linotype" w:cs="Arial"/>
          <w:b/>
          <w:sz w:val="24"/>
        </w:rPr>
        <w:t xml:space="preserve">C O N S I D E R A N D O </w:t>
      </w:r>
    </w:p>
    <w:p w:rsidR="00671320" w:rsidRDefault="00671320" w:rsidP="00AE2973">
      <w:pPr>
        <w:spacing w:after="0" w:line="360" w:lineRule="auto"/>
        <w:jc w:val="center"/>
        <w:rPr>
          <w:rFonts w:ascii="Palatino Linotype" w:hAnsi="Palatino Linotype" w:cs="Arial"/>
          <w:b/>
          <w:sz w:val="24"/>
        </w:rPr>
      </w:pPr>
    </w:p>
    <w:p w:rsidR="006C15F1" w:rsidRPr="002D0BE2" w:rsidRDefault="006C15F1" w:rsidP="00AE2973">
      <w:pPr>
        <w:spacing w:after="0" w:line="360" w:lineRule="auto"/>
        <w:jc w:val="both"/>
        <w:rPr>
          <w:rFonts w:ascii="Palatino Linotype" w:hAnsi="Palatino Linotype" w:cs="Arial"/>
          <w:sz w:val="24"/>
        </w:rPr>
      </w:pPr>
      <w:r w:rsidRPr="002D0BE2">
        <w:rPr>
          <w:rFonts w:ascii="Palatino Linotype" w:hAnsi="Palatino Linotype" w:cs="Arial"/>
          <w:b/>
          <w:sz w:val="28"/>
        </w:rPr>
        <w:t>PRIMERO.</w:t>
      </w:r>
      <w:r w:rsidRPr="002D0BE2">
        <w:rPr>
          <w:rFonts w:ascii="Palatino Linotype" w:hAnsi="Palatino Linotype" w:cs="Arial"/>
          <w:b/>
          <w:sz w:val="24"/>
          <w:szCs w:val="24"/>
        </w:rPr>
        <w:t xml:space="preserve"> De la competencia</w:t>
      </w:r>
      <w:r w:rsidRPr="002D0BE2">
        <w:rPr>
          <w:rFonts w:ascii="Palatino Linotype" w:hAnsi="Palatino Linotype" w:cs="Arial"/>
          <w:sz w:val="24"/>
          <w:szCs w:val="24"/>
        </w:rPr>
        <w:t>.</w:t>
      </w:r>
    </w:p>
    <w:p w:rsidR="006C15F1" w:rsidRPr="002D0BE2" w:rsidRDefault="006C15F1" w:rsidP="00AE2973">
      <w:pPr>
        <w:spacing w:after="0" w:line="360" w:lineRule="auto"/>
        <w:jc w:val="both"/>
        <w:rPr>
          <w:rFonts w:ascii="Palatino Linotype" w:hAnsi="Palatino Linotype" w:cs="Arial"/>
          <w:sz w:val="24"/>
          <w:szCs w:val="24"/>
        </w:rPr>
      </w:pPr>
      <w:r w:rsidRPr="002D0BE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2D0BE2">
        <w:rPr>
          <w:rFonts w:ascii="Palatino Linotype" w:hAnsi="Palatino Linotype" w:cs="Arial"/>
          <w:b/>
          <w:sz w:val="24"/>
          <w:szCs w:val="24"/>
        </w:rPr>
        <w:t>recurrente</w:t>
      </w:r>
      <w:r w:rsidRPr="002D0BE2">
        <w:rPr>
          <w:rFonts w:ascii="Palatino Linotype" w:hAnsi="Palatino Linotype" w:cs="Arial"/>
          <w:sz w:val="24"/>
          <w:szCs w:val="24"/>
        </w:rPr>
        <w:t>,</w:t>
      </w:r>
      <w:r w:rsidRPr="002D0BE2">
        <w:rPr>
          <w:rFonts w:ascii="Palatino Linotype" w:hAnsi="Palatino Linotype" w:cs="Arial"/>
          <w:b/>
          <w:sz w:val="24"/>
          <w:szCs w:val="24"/>
        </w:rPr>
        <w:t xml:space="preserve"> </w:t>
      </w:r>
      <w:r w:rsidRPr="002D0BE2">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w:t>
      </w:r>
      <w:r w:rsidRPr="002D0BE2">
        <w:rPr>
          <w:rFonts w:ascii="Palatino Linotype" w:hAnsi="Palatino Linotype" w:cs="Arial"/>
          <w:sz w:val="24"/>
          <w:szCs w:val="24"/>
        </w:rPr>
        <w:lastRenderedPageBreak/>
        <w:t>del Instituto de Transparencia, Acceso a la Información Pública y Protección de Datos Personales del Estado de México y Municipios.</w:t>
      </w:r>
    </w:p>
    <w:p w:rsidR="006C15F1" w:rsidRPr="002D0BE2" w:rsidRDefault="006C15F1" w:rsidP="00AE2973">
      <w:pPr>
        <w:spacing w:after="0" w:line="360" w:lineRule="auto"/>
        <w:jc w:val="both"/>
        <w:rPr>
          <w:rFonts w:ascii="Palatino Linotype" w:hAnsi="Palatino Linotype" w:cs="Arial"/>
          <w:sz w:val="24"/>
        </w:rPr>
      </w:pPr>
    </w:p>
    <w:p w:rsidR="006C15F1" w:rsidRPr="002D0BE2" w:rsidRDefault="006C15F1" w:rsidP="00AE2973">
      <w:pPr>
        <w:autoSpaceDE w:val="0"/>
        <w:autoSpaceDN w:val="0"/>
        <w:adjustRightInd w:val="0"/>
        <w:spacing w:after="0" w:line="360" w:lineRule="auto"/>
        <w:jc w:val="both"/>
        <w:rPr>
          <w:rFonts w:ascii="Palatino Linotype" w:hAnsi="Palatino Linotype" w:cs="Arial"/>
          <w:b/>
          <w:sz w:val="24"/>
          <w:szCs w:val="24"/>
        </w:rPr>
      </w:pPr>
      <w:r w:rsidRPr="002D0BE2">
        <w:rPr>
          <w:rFonts w:ascii="Palatino Linotype" w:hAnsi="Palatino Linotype" w:cs="Arial"/>
          <w:b/>
          <w:sz w:val="28"/>
          <w:szCs w:val="28"/>
        </w:rPr>
        <w:t xml:space="preserve">SEGUNDO. </w:t>
      </w:r>
      <w:r w:rsidRPr="002D0BE2">
        <w:rPr>
          <w:rFonts w:ascii="Palatino Linotype" w:hAnsi="Palatino Linotype" w:cs="Arial"/>
          <w:b/>
          <w:sz w:val="24"/>
          <w:szCs w:val="24"/>
        </w:rPr>
        <w:t xml:space="preserve">De los alcances del Recurso de Revisión. </w:t>
      </w:r>
    </w:p>
    <w:p w:rsidR="006C15F1" w:rsidRPr="002D0BE2" w:rsidRDefault="006C15F1" w:rsidP="00AE2973">
      <w:pPr>
        <w:autoSpaceDE w:val="0"/>
        <w:autoSpaceDN w:val="0"/>
        <w:adjustRightInd w:val="0"/>
        <w:spacing w:after="0" w:line="360" w:lineRule="auto"/>
        <w:jc w:val="both"/>
        <w:rPr>
          <w:rFonts w:ascii="Palatino Linotype" w:hAnsi="Palatino Linotype" w:cs="Arial"/>
          <w:sz w:val="24"/>
          <w:szCs w:val="24"/>
        </w:rPr>
      </w:pPr>
      <w:r w:rsidRPr="002D0BE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6C15F1" w:rsidRPr="002D0BE2" w:rsidRDefault="006C15F1" w:rsidP="00AE2973">
      <w:pPr>
        <w:autoSpaceDE w:val="0"/>
        <w:autoSpaceDN w:val="0"/>
        <w:adjustRightInd w:val="0"/>
        <w:spacing w:after="0" w:line="360" w:lineRule="auto"/>
        <w:jc w:val="both"/>
        <w:rPr>
          <w:rFonts w:ascii="Palatino Linotype" w:hAnsi="Palatino Linotype" w:cs="Arial"/>
          <w:sz w:val="24"/>
          <w:szCs w:val="24"/>
        </w:rPr>
      </w:pPr>
    </w:p>
    <w:p w:rsidR="006C15F1" w:rsidRPr="002D0BE2" w:rsidRDefault="006C15F1" w:rsidP="00AE2973">
      <w:pPr>
        <w:autoSpaceDE w:val="0"/>
        <w:autoSpaceDN w:val="0"/>
        <w:adjustRightInd w:val="0"/>
        <w:spacing w:after="0" w:line="360" w:lineRule="auto"/>
        <w:jc w:val="both"/>
        <w:rPr>
          <w:rFonts w:ascii="Palatino Linotype" w:hAnsi="Palatino Linotype" w:cs="Arial"/>
          <w:b/>
          <w:sz w:val="28"/>
          <w:szCs w:val="28"/>
        </w:rPr>
      </w:pPr>
      <w:r w:rsidRPr="002D0BE2">
        <w:rPr>
          <w:rFonts w:ascii="Palatino Linotype" w:hAnsi="Palatino Linotype" w:cs="Arial"/>
          <w:b/>
          <w:sz w:val="28"/>
          <w:szCs w:val="28"/>
        </w:rPr>
        <w:t xml:space="preserve">TERCERO. </w:t>
      </w:r>
      <w:r w:rsidRPr="002D0BE2">
        <w:rPr>
          <w:rFonts w:ascii="Palatino Linotype" w:hAnsi="Palatino Linotype" w:cs="Arial"/>
          <w:b/>
          <w:sz w:val="24"/>
          <w:szCs w:val="24"/>
        </w:rPr>
        <w:t>Del estudio de las causas de improcedencia.</w:t>
      </w:r>
      <w:r w:rsidRPr="002D0BE2">
        <w:rPr>
          <w:rFonts w:ascii="Palatino Linotype" w:hAnsi="Palatino Linotype" w:cs="Arial"/>
          <w:b/>
          <w:sz w:val="28"/>
          <w:szCs w:val="28"/>
        </w:rPr>
        <w:t xml:space="preserve"> </w:t>
      </w:r>
    </w:p>
    <w:p w:rsidR="006C15F1" w:rsidRPr="002D0BE2" w:rsidRDefault="006C15F1" w:rsidP="00AE2973">
      <w:pPr>
        <w:autoSpaceDE w:val="0"/>
        <w:autoSpaceDN w:val="0"/>
        <w:adjustRightInd w:val="0"/>
        <w:spacing w:after="0" w:line="360" w:lineRule="auto"/>
        <w:jc w:val="both"/>
        <w:rPr>
          <w:rFonts w:ascii="Palatino Linotype" w:hAnsi="Palatino Linotype" w:cs="Arial"/>
          <w:sz w:val="24"/>
          <w:szCs w:val="24"/>
        </w:rPr>
      </w:pPr>
      <w:r w:rsidRPr="002D0BE2">
        <w:rPr>
          <w:rFonts w:ascii="Palatino Linotype" w:hAnsi="Palatino Linotype" w:cs="Arial"/>
          <w:sz w:val="24"/>
          <w:szCs w:val="24"/>
        </w:rPr>
        <w:t xml:space="preserve">El estudio de las causas de improcedencia que se hagan valer por las partes o que se advierta de oficio por este </w:t>
      </w:r>
      <w:proofErr w:type="spellStart"/>
      <w:r w:rsidRPr="002D0BE2">
        <w:rPr>
          <w:rFonts w:ascii="Palatino Linotype" w:hAnsi="Palatino Linotype" w:cs="Arial"/>
          <w:sz w:val="24"/>
          <w:szCs w:val="24"/>
        </w:rPr>
        <w:t>Resolutor</w:t>
      </w:r>
      <w:proofErr w:type="spellEnd"/>
      <w:r w:rsidRPr="002D0BE2">
        <w:rPr>
          <w:rFonts w:ascii="Palatino Linotype" w:hAnsi="Palatino Linotype" w:cs="Arial"/>
          <w:sz w:val="24"/>
          <w:szCs w:val="24"/>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6C15F1" w:rsidRPr="002D0BE2" w:rsidRDefault="006C15F1" w:rsidP="00AE2973">
      <w:pPr>
        <w:spacing w:after="0" w:line="240" w:lineRule="auto"/>
        <w:ind w:left="567" w:right="567"/>
        <w:jc w:val="both"/>
        <w:rPr>
          <w:rFonts w:ascii="Palatino Linotype" w:hAnsi="Palatino Linotype" w:cs="Arial"/>
        </w:rPr>
      </w:pPr>
      <w:r w:rsidRPr="002D0BE2">
        <w:rPr>
          <w:rFonts w:ascii="Palatino Linotype" w:hAnsi="Palatino Linotype"/>
          <w:b/>
          <w:bCs/>
          <w:i/>
        </w:rPr>
        <w:t xml:space="preserve">“IMPROCEDENCIA Y SOBRESEIMIENTO EN EL JUICIO DE AMPARO. LAS CAUSAS PREVISTAS EN LOS ARTÍCULOS 73 Y 74 DE LA LEY DE LA </w:t>
      </w:r>
      <w:r w:rsidRPr="002D0BE2">
        <w:rPr>
          <w:rFonts w:ascii="Palatino Linotype" w:hAnsi="Palatino Linotype"/>
          <w:b/>
          <w:bCs/>
          <w:i/>
        </w:rPr>
        <w:lastRenderedPageBreak/>
        <w:t xml:space="preserve">MATERIA, RESPECTIVAMENTE, NO SON INCOMPATIBLES CON EL ARTÍCULO 25.1 DE LA CONVENCIÓN AMERICANA SOBRE DERECHOS HUMANOS. </w:t>
      </w:r>
      <w:r w:rsidRPr="002D0BE2">
        <w:rPr>
          <w:rFonts w:ascii="Palatino Linotype" w:hAnsi="Palatino Linotype"/>
          <w:i/>
        </w:rPr>
        <w:t>Del examen de compatibilidad de los artículos</w:t>
      </w:r>
      <w:r w:rsidRPr="002D0BE2">
        <w:rPr>
          <w:rStyle w:val="apple-converted-space"/>
          <w:rFonts w:ascii="Palatino Linotype" w:hAnsi="Palatino Linotype"/>
          <w:i/>
        </w:rPr>
        <w:t xml:space="preserve"> </w:t>
      </w:r>
      <w:hyperlink r:id="rId10" w:history="1">
        <w:r w:rsidRPr="002D0BE2">
          <w:rPr>
            <w:rStyle w:val="Hipervnculo"/>
            <w:rFonts w:ascii="Palatino Linotype" w:eastAsia="Calibri" w:hAnsi="Palatino Linotype"/>
            <w:i/>
          </w:rPr>
          <w:t>73 y 74 de la Ley de Amparo</w:t>
        </w:r>
      </w:hyperlink>
      <w:r w:rsidRPr="002D0BE2">
        <w:rPr>
          <w:rStyle w:val="apple-converted-space"/>
          <w:rFonts w:ascii="Palatino Linotype" w:hAnsi="Palatino Linotype"/>
          <w:i/>
        </w:rPr>
        <w:t xml:space="preserve"> </w:t>
      </w:r>
      <w:r w:rsidRPr="002D0BE2">
        <w:rPr>
          <w:rFonts w:ascii="Palatino Linotype" w:hAnsi="Palatino Linotype"/>
          <w:i/>
        </w:rPr>
        <w:t xml:space="preserve">con el artículo </w:t>
      </w:r>
      <w:hyperlink r:id="rId11" w:history="1">
        <w:r w:rsidRPr="002D0BE2">
          <w:rPr>
            <w:rStyle w:val="Hipervnculo"/>
            <w:rFonts w:ascii="Palatino Linotype" w:eastAsia="Calibri" w:hAnsi="Palatino Linotype"/>
            <w:i/>
          </w:rPr>
          <w:t>25.1 de la Convención Americana sobre Derechos Humanos</w:t>
        </w:r>
      </w:hyperlink>
      <w:r w:rsidRPr="002D0BE2">
        <w:rPr>
          <w:rStyle w:val="apple-converted-space"/>
          <w:rFonts w:ascii="Palatino Linotype" w:hAnsi="Palatino Linotype"/>
          <w:i/>
        </w:rPr>
        <w:t xml:space="preserve"> </w:t>
      </w:r>
      <w:r w:rsidRPr="002D0BE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D0BE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D0BE2">
        <w:rPr>
          <w:rFonts w:ascii="Palatino Linotype" w:hAnsi="Palatino Linotype"/>
          <w:i/>
        </w:rPr>
        <w:t>concesoria</w:t>
      </w:r>
      <w:proofErr w:type="spellEnd"/>
      <w:r w:rsidRPr="002D0BE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6C15F1" w:rsidRPr="002D0BE2" w:rsidRDefault="006C15F1" w:rsidP="00AE2973">
      <w:pPr>
        <w:pStyle w:val="Prrafodelista"/>
        <w:autoSpaceDE w:val="0"/>
        <w:autoSpaceDN w:val="0"/>
        <w:adjustRightInd w:val="0"/>
        <w:spacing w:line="360" w:lineRule="auto"/>
        <w:ind w:left="0"/>
        <w:jc w:val="both"/>
        <w:rPr>
          <w:rFonts w:ascii="Palatino Linotype" w:hAnsi="Palatino Linotype" w:cs="Arial"/>
        </w:rPr>
      </w:pPr>
    </w:p>
    <w:p w:rsidR="006C15F1" w:rsidRPr="002D0BE2" w:rsidRDefault="006C15F1" w:rsidP="00AE2973">
      <w:pPr>
        <w:autoSpaceDE w:val="0"/>
        <w:autoSpaceDN w:val="0"/>
        <w:adjustRightInd w:val="0"/>
        <w:spacing w:after="0" w:line="360" w:lineRule="auto"/>
        <w:jc w:val="both"/>
        <w:rPr>
          <w:rFonts w:ascii="Palatino Linotype" w:hAnsi="Palatino Linotype" w:cs="Arial"/>
          <w:sz w:val="24"/>
          <w:szCs w:val="24"/>
        </w:rPr>
      </w:pPr>
      <w:r w:rsidRPr="002D0BE2">
        <w:rPr>
          <w:rFonts w:ascii="Palatino Linotype" w:hAnsi="Palatino Linotype" w:cs="Arial"/>
          <w:sz w:val="24"/>
          <w:szCs w:val="24"/>
        </w:rPr>
        <w:t>Por lo que una vez que se analizó el expediente en estudio se cae en la cuenta de que no se actualiza ninguna de las casuales a continuación transcritas:</w:t>
      </w:r>
    </w:p>
    <w:p w:rsidR="006C15F1" w:rsidRPr="002D0BE2" w:rsidRDefault="006C15F1" w:rsidP="00AE2973">
      <w:pPr>
        <w:pStyle w:val="Prrafodelista"/>
        <w:autoSpaceDE w:val="0"/>
        <w:autoSpaceDN w:val="0"/>
        <w:adjustRightInd w:val="0"/>
        <w:spacing w:line="360" w:lineRule="auto"/>
        <w:ind w:left="0"/>
        <w:jc w:val="both"/>
        <w:rPr>
          <w:rFonts w:ascii="Palatino Linotype" w:hAnsi="Palatino Linotype" w:cs="Arial"/>
        </w:rPr>
      </w:pPr>
    </w:p>
    <w:p w:rsidR="006C15F1" w:rsidRPr="002D0BE2" w:rsidRDefault="006C15F1" w:rsidP="00AE2973">
      <w:pPr>
        <w:pStyle w:val="Prrafodelista"/>
        <w:autoSpaceDE w:val="0"/>
        <w:autoSpaceDN w:val="0"/>
        <w:adjustRightInd w:val="0"/>
        <w:ind w:right="567"/>
        <w:jc w:val="both"/>
        <w:rPr>
          <w:rFonts w:ascii="Palatino Linotype" w:hAnsi="Palatino Linotype" w:cs="Arial"/>
          <w:i/>
          <w:sz w:val="22"/>
          <w:szCs w:val="22"/>
        </w:rPr>
      </w:pPr>
      <w:r w:rsidRPr="002D0BE2">
        <w:rPr>
          <w:rFonts w:ascii="Palatino Linotype" w:hAnsi="Palatino Linotype" w:cs="Arial"/>
          <w:i/>
          <w:sz w:val="22"/>
          <w:szCs w:val="22"/>
        </w:rPr>
        <w:t>“</w:t>
      </w:r>
      <w:r w:rsidRPr="002D0BE2">
        <w:rPr>
          <w:rFonts w:ascii="Palatino Linotype" w:hAnsi="Palatino Linotype" w:cs="Arial"/>
          <w:b/>
          <w:i/>
          <w:sz w:val="22"/>
          <w:szCs w:val="22"/>
        </w:rPr>
        <w:t>Artículo 191</w:t>
      </w:r>
      <w:r w:rsidRPr="002D0BE2">
        <w:rPr>
          <w:rFonts w:ascii="Palatino Linotype" w:hAnsi="Palatino Linotype" w:cs="Arial"/>
          <w:i/>
          <w:sz w:val="22"/>
          <w:szCs w:val="22"/>
        </w:rPr>
        <w:t xml:space="preserve">. El recurso será desechado por improcedente cuando:  </w:t>
      </w:r>
    </w:p>
    <w:p w:rsidR="006C15F1" w:rsidRPr="002D0BE2" w:rsidRDefault="006C15F1" w:rsidP="00AE2973">
      <w:pPr>
        <w:pStyle w:val="Prrafodelista"/>
        <w:autoSpaceDE w:val="0"/>
        <w:autoSpaceDN w:val="0"/>
        <w:adjustRightInd w:val="0"/>
        <w:ind w:right="567"/>
        <w:jc w:val="both"/>
        <w:rPr>
          <w:rFonts w:ascii="Palatino Linotype" w:hAnsi="Palatino Linotype" w:cs="Arial"/>
          <w:i/>
          <w:sz w:val="22"/>
          <w:szCs w:val="22"/>
        </w:rPr>
      </w:pPr>
      <w:r w:rsidRPr="002D0BE2">
        <w:rPr>
          <w:rFonts w:ascii="Palatino Linotype" w:hAnsi="Palatino Linotype" w:cs="Arial"/>
          <w:b/>
          <w:i/>
          <w:sz w:val="22"/>
          <w:szCs w:val="22"/>
        </w:rPr>
        <w:t>I</w:t>
      </w:r>
      <w:r w:rsidRPr="002D0BE2">
        <w:rPr>
          <w:rFonts w:ascii="Palatino Linotype" w:hAnsi="Palatino Linotype" w:cs="Arial"/>
          <w:i/>
          <w:sz w:val="22"/>
          <w:szCs w:val="22"/>
        </w:rPr>
        <w:t xml:space="preserve">. Sea extemporáneo por haber transcurrido el plazo establecido en la presente Ley, a partir de la respuesta;  </w:t>
      </w:r>
    </w:p>
    <w:p w:rsidR="006C15F1" w:rsidRPr="002D0BE2" w:rsidRDefault="006C15F1" w:rsidP="00AE2973">
      <w:pPr>
        <w:pStyle w:val="Prrafodelista"/>
        <w:autoSpaceDE w:val="0"/>
        <w:autoSpaceDN w:val="0"/>
        <w:adjustRightInd w:val="0"/>
        <w:ind w:right="567"/>
        <w:jc w:val="both"/>
        <w:rPr>
          <w:rFonts w:ascii="Palatino Linotype" w:hAnsi="Palatino Linotype" w:cs="Arial"/>
          <w:i/>
          <w:sz w:val="22"/>
          <w:szCs w:val="22"/>
        </w:rPr>
      </w:pPr>
      <w:r w:rsidRPr="002D0BE2">
        <w:rPr>
          <w:rFonts w:ascii="Palatino Linotype" w:hAnsi="Palatino Linotype" w:cs="Arial"/>
          <w:b/>
          <w:i/>
          <w:sz w:val="22"/>
          <w:szCs w:val="22"/>
        </w:rPr>
        <w:t>II</w:t>
      </w:r>
      <w:r w:rsidRPr="002D0BE2">
        <w:rPr>
          <w:rFonts w:ascii="Palatino Linotype" w:hAnsi="Palatino Linotype" w:cs="Arial"/>
          <w:i/>
          <w:sz w:val="22"/>
          <w:szCs w:val="22"/>
        </w:rPr>
        <w:t xml:space="preserve">. Se esté tramitando ante el Poder Judicial de la Federación algún recurso o medio de defensa interpuesto por el recurrente;  </w:t>
      </w:r>
    </w:p>
    <w:p w:rsidR="006C15F1" w:rsidRPr="002D0BE2" w:rsidRDefault="006C15F1" w:rsidP="00AE2973">
      <w:pPr>
        <w:pStyle w:val="Prrafodelista"/>
        <w:autoSpaceDE w:val="0"/>
        <w:autoSpaceDN w:val="0"/>
        <w:adjustRightInd w:val="0"/>
        <w:ind w:right="567"/>
        <w:jc w:val="both"/>
        <w:rPr>
          <w:rFonts w:ascii="Palatino Linotype" w:hAnsi="Palatino Linotype" w:cs="Arial"/>
          <w:i/>
          <w:sz w:val="22"/>
          <w:szCs w:val="22"/>
        </w:rPr>
      </w:pPr>
      <w:r w:rsidRPr="002D0BE2">
        <w:rPr>
          <w:rFonts w:ascii="Palatino Linotype" w:hAnsi="Palatino Linotype" w:cs="Arial"/>
          <w:b/>
          <w:i/>
          <w:sz w:val="22"/>
          <w:szCs w:val="22"/>
        </w:rPr>
        <w:t>III</w:t>
      </w:r>
      <w:r w:rsidRPr="002D0BE2">
        <w:rPr>
          <w:rFonts w:ascii="Palatino Linotype" w:hAnsi="Palatino Linotype" w:cs="Arial"/>
          <w:i/>
          <w:sz w:val="22"/>
          <w:szCs w:val="22"/>
        </w:rPr>
        <w:t xml:space="preserve">. No actualice alguno de los supuestos previstos en la presente Ley;  </w:t>
      </w:r>
    </w:p>
    <w:p w:rsidR="006C15F1" w:rsidRPr="002D0BE2" w:rsidRDefault="006C15F1" w:rsidP="00AE2973">
      <w:pPr>
        <w:pStyle w:val="Prrafodelista"/>
        <w:autoSpaceDE w:val="0"/>
        <w:autoSpaceDN w:val="0"/>
        <w:adjustRightInd w:val="0"/>
        <w:ind w:right="567"/>
        <w:jc w:val="both"/>
        <w:rPr>
          <w:rFonts w:ascii="Palatino Linotype" w:hAnsi="Palatino Linotype" w:cs="Arial"/>
          <w:i/>
          <w:sz w:val="22"/>
          <w:szCs w:val="22"/>
        </w:rPr>
      </w:pPr>
      <w:r w:rsidRPr="002D0BE2">
        <w:rPr>
          <w:rFonts w:ascii="Palatino Linotype" w:hAnsi="Palatino Linotype" w:cs="Arial"/>
          <w:b/>
          <w:i/>
          <w:sz w:val="22"/>
          <w:szCs w:val="22"/>
        </w:rPr>
        <w:t>IV</w:t>
      </w:r>
      <w:r w:rsidRPr="002D0BE2">
        <w:rPr>
          <w:rFonts w:ascii="Palatino Linotype" w:hAnsi="Palatino Linotype" w:cs="Arial"/>
          <w:i/>
          <w:sz w:val="22"/>
          <w:szCs w:val="22"/>
        </w:rPr>
        <w:t xml:space="preserve">. No se haya desahogado la prevención en los términos establecidos en la presente Ley;  </w:t>
      </w:r>
    </w:p>
    <w:p w:rsidR="006C15F1" w:rsidRPr="002D0BE2" w:rsidRDefault="006C15F1" w:rsidP="00AE2973">
      <w:pPr>
        <w:pStyle w:val="Prrafodelista"/>
        <w:autoSpaceDE w:val="0"/>
        <w:autoSpaceDN w:val="0"/>
        <w:adjustRightInd w:val="0"/>
        <w:ind w:right="567"/>
        <w:jc w:val="both"/>
        <w:rPr>
          <w:rFonts w:ascii="Palatino Linotype" w:hAnsi="Palatino Linotype" w:cs="Arial"/>
          <w:i/>
          <w:sz w:val="22"/>
          <w:szCs w:val="22"/>
        </w:rPr>
      </w:pPr>
      <w:r w:rsidRPr="002D0BE2">
        <w:rPr>
          <w:rFonts w:ascii="Palatino Linotype" w:hAnsi="Palatino Linotype" w:cs="Arial"/>
          <w:b/>
          <w:i/>
          <w:sz w:val="22"/>
          <w:szCs w:val="22"/>
        </w:rPr>
        <w:t>V</w:t>
      </w:r>
      <w:r w:rsidRPr="002D0BE2">
        <w:rPr>
          <w:rFonts w:ascii="Palatino Linotype" w:hAnsi="Palatino Linotype" w:cs="Arial"/>
          <w:i/>
          <w:sz w:val="22"/>
          <w:szCs w:val="22"/>
        </w:rPr>
        <w:t xml:space="preserve">. Se impugne la veracidad de la información proporcionada;  </w:t>
      </w:r>
    </w:p>
    <w:p w:rsidR="006C15F1" w:rsidRPr="002D0BE2" w:rsidRDefault="006C15F1" w:rsidP="00AE2973">
      <w:pPr>
        <w:pStyle w:val="Prrafodelista"/>
        <w:autoSpaceDE w:val="0"/>
        <w:autoSpaceDN w:val="0"/>
        <w:adjustRightInd w:val="0"/>
        <w:ind w:right="567"/>
        <w:jc w:val="both"/>
        <w:rPr>
          <w:rFonts w:ascii="Palatino Linotype" w:hAnsi="Palatino Linotype" w:cs="Arial"/>
          <w:i/>
          <w:sz w:val="22"/>
          <w:szCs w:val="22"/>
        </w:rPr>
      </w:pPr>
      <w:r w:rsidRPr="002D0BE2">
        <w:rPr>
          <w:rFonts w:ascii="Palatino Linotype" w:hAnsi="Palatino Linotype" w:cs="Arial"/>
          <w:b/>
          <w:i/>
          <w:sz w:val="22"/>
          <w:szCs w:val="22"/>
        </w:rPr>
        <w:t>VI</w:t>
      </w:r>
      <w:r w:rsidRPr="002D0BE2">
        <w:rPr>
          <w:rFonts w:ascii="Palatino Linotype" w:hAnsi="Palatino Linotype" w:cs="Arial"/>
          <w:i/>
          <w:sz w:val="22"/>
          <w:szCs w:val="22"/>
        </w:rPr>
        <w:t xml:space="preserve">. Se trate de una consulta, o trámite en específico; y  </w:t>
      </w:r>
    </w:p>
    <w:p w:rsidR="006C15F1" w:rsidRPr="002D0BE2" w:rsidRDefault="006C15F1" w:rsidP="00AE2973">
      <w:pPr>
        <w:pStyle w:val="Prrafodelista"/>
        <w:autoSpaceDE w:val="0"/>
        <w:autoSpaceDN w:val="0"/>
        <w:adjustRightInd w:val="0"/>
        <w:ind w:right="567"/>
        <w:jc w:val="both"/>
        <w:rPr>
          <w:rFonts w:ascii="Palatino Linotype" w:hAnsi="Palatino Linotype" w:cs="Arial"/>
          <w:i/>
          <w:sz w:val="22"/>
          <w:szCs w:val="22"/>
        </w:rPr>
      </w:pPr>
      <w:r w:rsidRPr="002D0BE2">
        <w:rPr>
          <w:rFonts w:ascii="Palatino Linotype" w:hAnsi="Palatino Linotype" w:cs="Arial"/>
          <w:b/>
          <w:i/>
          <w:sz w:val="22"/>
          <w:szCs w:val="22"/>
        </w:rPr>
        <w:t>VII</w:t>
      </w:r>
      <w:r w:rsidRPr="002D0BE2">
        <w:rPr>
          <w:rFonts w:ascii="Palatino Linotype" w:hAnsi="Palatino Linotype" w:cs="Arial"/>
          <w:i/>
          <w:sz w:val="22"/>
          <w:szCs w:val="22"/>
        </w:rPr>
        <w:t>. El recurrente amplíe su solicitud en el recurso de revisión, únicamente respecto de los nuevos contenidos.”</w:t>
      </w:r>
    </w:p>
    <w:p w:rsidR="006C15F1" w:rsidRPr="002D0BE2" w:rsidRDefault="006C15F1" w:rsidP="00AE2973">
      <w:pPr>
        <w:autoSpaceDE w:val="0"/>
        <w:autoSpaceDN w:val="0"/>
        <w:adjustRightInd w:val="0"/>
        <w:spacing w:after="0" w:line="360" w:lineRule="auto"/>
        <w:jc w:val="both"/>
        <w:rPr>
          <w:rFonts w:ascii="Palatino Linotype" w:hAnsi="Palatino Linotype" w:cs="Arial"/>
          <w:sz w:val="24"/>
          <w:szCs w:val="24"/>
        </w:rPr>
      </w:pPr>
    </w:p>
    <w:p w:rsidR="006C15F1" w:rsidRPr="002D0BE2" w:rsidRDefault="006C15F1" w:rsidP="00AE2973">
      <w:pPr>
        <w:autoSpaceDE w:val="0"/>
        <w:autoSpaceDN w:val="0"/>
        <w:adjustRightInd w:val="0"/>
        <w:spacing w:after="0" w:line="360" w:lineRule="auto"/>
        <w:jc w:val="both"/>
        <w:rPr>
          <w:rFonts w:ascii="Palatino Linotype" w:hAnsi="Palatino Linotype" w:cs="Arial"/>
          <w:sz w:val="24"/>
          <w:szCs w:val="24"/>
        </w:rPr>
      </w:pPr>
      <w:r w:rsidRPr="002D0BE2">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6C15F1" w:rsidRPr="002D0BE2" w:rsidRDefault="006C15F1" w:rsidP="00AE2973">
      <w:pPr>
        <w:autoSpaceDE w:val="0"/>
        <w:autoSpaceDN w:val="0"/>
        <w:adjustRightInd w:val="0"/>
        <w:spacing w:after="0" w:line="360" w:lineRule="auto"/>
        <w:jc w:val="both"/>
        <w:rPr>
          <w:rFonts w:ascii="Palatino Linotype" w:hAnsi="Palatino Linotype" w:cs="Arial"/>
          <w:sz w:val="24"/>
          <w:szCs w:val="24"/>
        </w:rPr>
      </w:pPr>
    </w:p>
    <w:p w:rsidR="006C15F1" w:rsidRPr="002D0BE2" w:rsidRDefault="006C15F1" w:rsidP="00AE2973">
      <w:pPr>
        <w:pStyle w:val="Prrafodelista"/>
        <w:autoSpaceDE w:val="0"/>
        <w:autoSpaceDN w:val="0"/>
        <w:adjustRightInd w:val="0"/>
        <w:spacing w:line="360" w:lineRule="auto"/>
        <w:ind w:left="0"/>
        <w:jc w:val="both"/>
        <w:rPr>
          <w:rFonts w:ascii="Palatino Linotype" w:hAnsi="Palatino Linotype" w:cs="Arial"/>
          <w:sz w:val="28"/>
        </w:rPr>
      </w:pPr>
      <w:r w:rsidRPr="002D0BE2">
        <w:rPr>
          <w:rFonts w:ascii="Palatino Linotype" w:hAnsi="Palatino Linotype" w:cs="Arial"/>
          <w:b/>
          <w:sz w:val="28"/>
        </w:rPr>
        <w:t xml:space="preserve">CUARTO. </w:t>
      </w:r>
      <w:r w:rsidRPr="002D0BE2">
        <w:rPr>
          <w:rFonts w:ascii="Palatino Linotype" w:hAnsi="Palatino Linotype" w:cs="Arial"/>
          <w:b/>
        </w:rPr>
        <w:t>Del estudio y resolución del asunto.</w:t>
      </w:r>
      <w:r w:rsidRPr="002D0BE2">
        <w:rPr>
          <w:rFonts w:ascii="Palatino Linotype" w:hAnsi="Palatino Linotype" w:cs="Arial"/>
          <w:sz w:val="28"/>
        </w:rPr>
        <w:t xml:space="preserve"> </w:t>
      </w:r>
    </w:p>
    <w:p w:rsidR="006C15F1" w:rsidRPr="002D0BE2" w:rsidRDefault="006C15F1" w:rsidP="00AE2973">
      <w:pPr>
        <w:autoSpaceDE w:val="0"/>
        <w:autoSpaceDN w:val="0"/>
        <w:adjustRightInd w:val="0"/>
        <w:spacing w:after="0" w:line="360" w:lineRule="auto"/>
        <w:jc w:val="both"/>
        <w:rPr>
          <w:rFonts w:ascii="Palatino Linotype" w:hAnsi="Palatino Linotype" w:cs="Arial"/>
          <w:sz w:val="24"/>
          <w:szCs w:val="24"/>
        </w:rPr>
      </w:pPr>
      <w:r w:rsidRPr="002D0BE2">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6C15F1" w:rsidRPr="002D0BE2" w:rsidRDefault="006C15F1" w:rsidP="00AE2973">
      <w:pPr>
        <w:autoSpaceDE w:val="0"/>
        <w:autoSpaceDN w:val="0"/>
        <w:adjustRightInd w:val="0"/>
        <w:spacing w:after="0" w:line="360" w:lineRule="auto"/>
        <w:jc w:val="both"/>
        <w:rPr>
          <w:rFonts w:ascii="Palatino Linotype" w:hAnsi="Palatino Linotype" w:cs="Arial"/>
          <w:sz w:val="20"/>
          <w:szCs w:val="24"/>
        </w:rPr>
      </w:pPr>
    </w:p>
    <w:p w:rsidR="006C15F1" w:rsidRPr="002D0BE2" w:rsidRDefault="006C15F1" w:rsidP="00AE2973">
      <w:pPr>
        <w:tabs>
          <w:tab w:val="left" w:pos="709"/>
        </w:tabs>
        <w:spacing w:after="0" w:line="360" w:lineRule="auto"/>
        <w:jc w:val="both"/>
        <w:rPr>
          <w:rFonts w:ascii="Palatino Linotype" w:hAnsi="Palatino Linotype"/>
          <w:sz w:val="24"/>
          <w:szCs w:val="24"/>
        </w:rPr>
      </w:pPr>
      <w:r w:rsidRPr="002D0BE2">
        <w:rPr>
          <w:rFonts w:ascii="Palatino Linotype" w:hAnsi="Palatino Linotype" w:cs="Arial"/>
          <w:sz w:val="24"/>
          <w:szCs w:val="24"/>
        </w:rPr>
        <w:t xml:space="preserve">Con el propósito de realizar un mejor proveer por parte de este Órgano Garante, es conveniente </w:t>
      </w:r>
      <w:r w:rsidRPr="002D0BE2">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rsidR="006C15F1" w:rsidRPr="002D0BE2" w:rsidRDefault="006C15F1" w:rsidP="00AE2973">
      <w:pPr>
        <w:tabs>
          <w:tab w:val="left" w:pos="709"/>
        </w:tabs>
        <w:spacing w:after="0" w:line="360" w:lineRule="auto"/>
        <w:jc w:val="both"/>
        <w:rPr>
          <w:rFonts w:ascii="Palatino Linotype" w:hAnsi="Palatino Linotype"/>
          <w:sz w:val="20"/>
          <w:szCs w:val="24"/>
        </w:rPr>
      </w:pPr>
    </w:p>
    <w:p w:rsidR="00AE1EE3" w:rsidRPr="00AE1EE3" w:rsidRDefault="006C15F1" w:rsidP="00AE1EE3">
      <w:pPr>
        <w:tabs>
          <w:tab w:val="left" w:pos="709"/>
        </w:tabs>
        <w:spacing w:after="0" w:line="360" w:lineRule="auto"/>
        <w:jc w:val="both"/>
        <w:rPr>
          <w:rFonts w:ascii="Palatino Linotype" w:eastAsia="Times New Roman" w:hAnsi="Palatino Linotype" w:cs="Times New Roman"/>
          <w:i/>
          <w:lang w:eastAsia="es-ES"/>
        </w:rPr>
      </w:pPr>
      <w:r w:rsidRPr="00B406E2">
        <w:rPr>
          <w:rFonts w:ascii="Palatino Linotype" w:hAnsi="Palatino Linotype"/>
          <w:sz w:val="24"/>
          <w:szCs w:val="24"/>
        </w:rPr>
        <w:t xml:space="preserve">Así, tenemos en un primer plano de estudio el texto de la solicitud de información, que fue plasmada por el Recurrente en los términos siguientes: </w:t>
      </w:r>
      <w:r w:rsidR="00AE1EE3" w:rsidRPr="00B406E2">
        <w:rPr>
          <w:rFonts w:ascii="Palatino Linotype" w:hAnsi="Palatino Linotype"/>
          <w:i/>
          <w:color w:val="000000"/>
        </w:rPr>
        <w:t>“</w:t>
      </w:r>
      <w:r w:rsidR="00AE1EE3" w:rsidRPr="00B406E2">
        <w:rPr>
          <w:rFonts w:ascii="Palatino Linotype" w:hAnsi="Palatino Linotype"/>
          <w:i/>
        </w:rPr>
        <w:t>S</w:t>
      </w:r>
      <w:r w:rsidR="00AE1EE3" w:rsidRPr="00A120EF">
        <w:rPr>
          <w:rFonts w:ascii="Palatino Linotype" w:hAnsi="Palatino Linotype"/>
          <w:i/>
        </w:rPr>
        <w:t xml:space="preserve">olicito copias simples en </w:t>
      </w:r>
      <w:r w:rsidR="00AE1EE3" w:rsidRPr="00A120EF">
        <w:rPr>
          <w:rFonts w:ascii="Palatino Linotype" w:hAnsi="Palatino Linotype"/>
          <w:i/>
        </w:rPr>
        <w:lastRenderedPageBreak/>
        <w:t>formato de versión pública de todos los partes médicos y expedientes relacionados al procedimiento quirúrgico para la esterilización de pacientes mujeres internas en todos los Hospitales Psiquiátricos (Centros de Atención Psicosocial) del estado, fechadas entre el 01 de diciembre de 1996 y el 01 de Octubre de 2019</w:t>
      </w:r>
      <w:r w:rsidR="00AE1EE3" w:rsidRPr="00A120EF">
        <w:rPr>
          <w:rFonts w:ascii="Palatino Linotype" w:hAnsi="Palatino Linotype"/>
          <w:i/>
          <w:color w:val="000000"/>
        </w:rPr>
        <w:t>.”</w:t>
      </w:r>
    </w:p>
    <w:p w:rsidR="00AE1EE3" w:rsidRDefault="00AE1EE3" w:rsidP="00AE2973">
      <w:pPr>
        <w:pStyle w:val="Prrafodelista"/>
        <w:autoSpaceDE w:val="0"/>
        <w:autoSpaceDN w:val="0"/>
        <w:adjustRightInd w:val="0"/>
        <w:spacing w:line="360" w:lineRule="auto"/>
        <w:ind w:left="0"/>
        <w:jc w:val="both"/>
        <w:rPr>
          <w:rFonts w:ascii="Palatino Linotype" w:hAnsi="Palatino Linotype" w:cs="Arial"/>
        </w:rPr>
      </w:pPr>
    </w:p>
    <w:p w:rsidR="00AE1EE3" w:rsidRDefault="00AE1EE3" w:rsidP="00AE297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respuesta el Sujeto Obligado dentro del </w:t>
      </w:r>
      <w:r w:rsidR="00D71F81">
        <w:rPr>
          <w:rFonts w:ascii="Palatino Linotype" w:hAnsi="Palatino Linotype" w:cs="Arial"/>
        </w:rPr>
        <w:t>término</w:t>
      </w:r>
      <w:r>
        <w:rPr>
          <w:rFonts w:ascii="Palatino Linotype" w:hAnsi="Palatino Linotype" w:cs="Arial"/>
        </w:rPr>
        <w:t xml:space="preserve"> de tres días </w:t>
      </w:r>
      <w:r w:rsidR="00D71F81">
        <w:rPr>
          <w:rFonts w:ascii="Palatino Linotype" w:hAnsi="Palatino Linotype" w:cs="Arial"/>
        </w:rPr>
        <w:t>hábiles</w:t>
      </w:r>
      <w:r>
        <w:rPr>
          <w:rFonts w:ascii="Palatino Linotype" w:hAnsi="Palatino Linotype" w:cs="Arial"/>
        </w:rPr>
        <w:t>, es decir el diez de octubre de la presente anualidad,</w:t>
      </w:r>
      <w:r w:rsidR="00D71F81">
        <w:rPr>
          <w:rFonts w:ascii="Palatino Linotype" w:hAnsi="Palatino Linotype" w:cs="Arial"/>
        </w:rPr>
        <w:t xml:space="preserve"> informó</w:t>
      </w:r>
      <w:r>
        <w:rPr>
          <w:rFonts w:ascii="Palatino Linotype" w:hAnsi="Palatino Linotype" w:cs="Arial"/>
        </w:rPr>
        <w:t xml:space="preserve"> al particular que dentro de sus atribuciones </w:t>
      </w:r>
      <w:r w:rsidR="00D71F81">
        <w:rPr>
          <w:rFonts w:ascii="Palatino Linotype" w:hAnsi="Palatino Linotype" w:cs="Arial"/>
        </w:rPr>
        <w:t>establecidas</w:t>
      </w:r>
      <w:r>
        <w:rPr>
          <w:rFonts w:ascii="Palatino Linotype" w:hAnsi="Palatino Linotype" w:cs="Arial"/>
        </w:rPr>
        <w:t xml:space="preserve"> en el marco jurídico de actuación, no se encuentra </w:t>
      </w:r>
      <w:r w:rsidR="00D71F81">
        <w:rPr>
          <w:rFonts w:ascii="Palatino Linotype" w:hAnsi="Palatino Linotype" w:cs="Arial"/>
        </w:rPr>
        <w:t>establecidas</w:t>
      </w:r>
      <w:r>
        <w:rPr>
          <w:rFonts w:ascii="Palatino Linotype" w:hAnsi="Palatino Linotype" w:cs="Arial"/>
        </w:rPr>
        <w:t xml:space="preserve"> funciones que determinen generar, poseer o administrar la información solicitada, </w:t>
      </w:r>
      <w:r w:rsidR="00D71F81">
        <w:rPr>
          <w:rFonts w:ascii="Palatino Linotype" w:hAnsi="Palatino Linotype" w:cs="Arial"/>
        </w:rPr>
        <w:t>adicionalmente</w:t>
      </w:r>
      <w:r>
        <w:rPr>
          <w:rFonts w:ascii="Palatino Linotype" w:hAnsi="Palatino Linotype" w:cs="Arial"/>
        </w:rPr>
        <w:t xml:space="preserve"> </w:t>
      </w:r>
      <w:r w:rsidR="00D71F81">
        <w:rPr>
          <w:rFonts w:ascii="Palatino Linotype" w:hAnsi="Palatino Linotype" w:cs="Arial"/>
        </w:rPr>
        <w:t>hizo del conocimiento que la información pudiera ser generada y/o administrada por organismos públicos descentralizados y con personalidad jurídica propia como es el Instituto de salud del Estado de México, instituto Mexicano del Seguro Social, Instituto de seguridad social del Estado de México y Municipios y el Instituto de Seguridad y Servicios Sociales de los Trabajadores del Estado principalmente.</w:t>
      </w:r>
    </w:p>
    <w:p w:rsidR="006961B9" w:rsidRDefault="006961B9" w:rsidP="00AE2973">
      <w:pPr>
        <w:pStyle w:val="Prrafodelista"/>
        <w:autoSpaceDE w:val="0"/>
        <w:autoSpaceDN w:val="0"/>
        <w:adjustRightInd w:val="0"/>
        <w:spacing w:line="360" w:lineRule="auto"/>
        <w:ind w:left="0"/>
        <w:jc w:val="both"/>
        <w:rPr>
          <w:rFonts w:ascii="Palatino Linotype" w:hAnsi="Palatino Linotype" w:cs="Arial"/>
        </w:rPr>
      </w:pPr>
    </w:p>
    <w:p w:rsidR="00AE1EE3" w:rsidRDefault="00D71F81" w:rsidP="00AE297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respuesta proporcionada, el Recurrente suscribió recurso de revisión en donde </w:t>
      </w:r>
      <w:r w:rsidR="006961B9">
        <w:rPr>
          <w:rFonts w:ascii="Palatino Linotype" w:hAnsi="Palatino Linotype" w:cs="Arial"/>
        </w:rPr>
        <w:t>manifiesta que requirió en otras solicitudes la misma información, recibiendo como respuesta la incompetencia de esas Dependencias, así mismo manifiesta que requiere recibir la correcta orientación a su solicitud de info</w:t>
      </w:r>
      <w:r w:rsidR="00A30821">
        <w:rPr>
          <w:rFonts w:ascii="Palatino Linotype" w:hAnsi="Palatino Linotype" w:cs="Arial"/>
        </w:rPr>
        <w:t>rmación.</w:t>
      </w:r>
    </w:p>
    <w:p w:rsidR="00A30821" w:rsidRDefault="00A30821" w:rsidP="00AE2973">
      <w:pPr>
        <w:pStyle w:val="Prrafodelista"/>
        <w:autoSpaceDE w:val="0"/>
        <w:autoSpaceDN w:val="0"/>
        <w:adjustRightInd w:val="0"/>
        <w:spacing w:line="360" w:lineRule="auto"/>
        <w:ind w:left="0"/>
        <w:jc w:val="both"/>
        <w:rPr>
          <w:rFonts w:ascii="Palatino Linotype" w:hAnsi="Palatino Linotype" w:cs="Arial"/>
        </w:rPr>
      </w:pPr>
    </w:p>
    <w:p w:rsidR="00A30821" w:rsidRDefault="00A30821" w:rsidP="00AE297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este sentido nuestro estudio versará en determinar si es correcto que el Sujeto Obligado determine la incompetencia y en su caso las dependencias a las que podría solicitar la información.</w:t>
      </w:r>
    </w:p>
    <w:p w:rsidR="00A30821" w:rsidRDefault="00A30821" w:rsidP="00AE2973">
      <w:pPr>
        <w:pStyle w:val="Prrafodelista"/>
        <w:autoSpaceDE w:val="0"/>
        <w:autoSpaceDN w:val="0"/>
        <w:adjustRightInd w:val="0"/>
        <w:spacing w:line="360" w:lineRule="auto"/>
        <w:ind w:left="0"/>
        <w:jc w:val="both"/>
        <w:rPr>
          <w:rFonts w:ascii="Palatino Linotype" w:hAnsi="Palatino Linotype" w:cs="Arial"/>
        </w:rPr>
      </w:pPr>
    </w:p>
    <w:p w:rsidR="00A30821" w:rsidRDefault="00A30821" w:rsidP="00AE2973">
      <w:pPr>
        <w:pStyle w:val="Prrafodelista"/>
        <w:autoSpaceDE w:val="0"/>
        <w:autoSpaceDN w:val="0"/>
        <w:adjustRightInd w:val="0"/>
        <w:spacing w:line="360" w:lineRule="auto"/>
        <w:ind w:left="0"/>
        <w:jc w:val="both"/>
        <w:rPr>
          <w:rFonts w:ascii="Palatino Linotype" w:hAnsi="Palatino Linotype" w:cs="Arial"/>
        </w:rPr>
      </w:pPr>
      <w:r w:rsidRPr="00B406E2">
        <w:rPr>
          <w:rFonts w:ascii="Palatino Linotype" w:hAnsi="Palatino Linotype" w:cs="Arial"/>
        </w:rPr>
        <w:lastRenderedPageBreak/>
        <w:t>Por ello debemos analizar el marco de actuación que rige al Sujeto Obligado,</w:t>
      </w:r>
      <w:r>
        <w:rPr>
          <w:rFonts w:ascii="Palatino Linotype" w:hAnsi="Palatino Linotype" w:cs="Arial"/>
        </w:rPr>
        <w:t xml:space="preserve"> </w:t>
      </w:r>
    </w:p>
    <w:p w:rsidR="000677A8" w:rsidRPr="001E23FB" w:rsidRDefault="00E92DAE" w:rsidP="006C277A">
      <w:pPr>
        <w:spacing w:before="100" w:beforeAutospacing="1" w:after="100" w:afterAutospacing="1" w:line="240" w:lineRule="auto"/>
        <w:jc w:val="both"/>
        <w:rPr>
          <w:rFonts w:ascii="Palatino Linotype" w:hAnsi="Palatino Linotype"/>
          <w:b/>
          <w:i/>
        </w:rPr>
      </w:pPr>
      <w:hyperlink r:id="rId12" w:tgtFrame="_blank" w:history="1">
        <w:r w:rsidR="000677A8" w:rsidRPr="001E23FB">
          <w:rPr>
            <w:rFonts w:ascii="Palatino Linotype" w:hAnsi="Palatino Linotype"/>
            <w:b/>
            <w:i/>
          </w:rPr>
          <w:t>Manual de Organización</w:t>
        </w:r>
      </w:hyperlink>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 xml:space="preserve">Conducir y vigilar en la entidad, la política en materia de salud, autorizada por el titular del Ejecutivo Estatal.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Compilar y revisar las leyes, reglamentos, acuerdos y demás documentos normativos en materia de salud, y proponer al titular del Ejecutivo Estatal los proyectos normativos que se requieran para conformar la agenda legislativa.</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 xml:space="preserve">Someter a la aprobación del titular del Poder Ejecutivo, el Programa Estatal de Salud para su publicación en el periódico oficial Gaceta del Gobierno del Estado de México.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 xml:space="preserve">Planear, coordinar y evaluar la operación del Sistema Estatal de Salud, de conformidad con las leyes y normas vigentes en la materia.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 xml:space="preserve">Garantizar la integración y ejecución de los planes, programas y presupuestos de la Secretaría y de las instituciones del sector.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Proponer programas tendientes a incrementar la infraestructura en salud en los distintos niveles de atención médica, que garantice la prestación de los servicios médicos a la población de la entidad.</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 xml:space="preserve">Establecer criterios y lineamientos que regulen la generación y difusión de la información relacionada con las funciones y programas que desarrolla la Secretaría.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 xml:space="preserve">Integrar y aprobar, en coordinación con las instituciones del sector, los programas de salud y someterlos a </w:t>
      </w:r>
      <w:r w:rsidR="001E23FB" w:rsidRPr="006C277A">
        <w:rPr>
          <w:rFonts w:ascii="Palatino Linotype" w:hAnsi="Palatino Linotype"/>
          <w:i/>
        </w:rPr>
        <w:t>consideración</w:t>
      </w:r>
      <w:r w:rsidRPr="006C277A">
        <w:rPr>
          <w:rFonts w:ascii="Palatino Linotype" w:hAnsi="Palatino Linotype"/>
          <w:i/>
        </w:rPr>
        <w:t xml:space="preserve"> del titular del Ejecutivo Estatal.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 xml:space="preserve">Coordinar la integración y ejecución de planes y programas en materia de salud, así como evaluar los resultados de instituciones del sector en la entidad.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Apr</w:t>
      </w:r>
      <w:r w:rsidR="001E23FB" w:rsidRPr="006C277A">
        <w:rPr>
          <w:rFonts w:ascii="Palatino Linotype" w:hAnsi="Palatino Linotype"/>
          <w:i/>
        </w:rPr>
        <w:t>o</w:t>
      </w:r>
      <w:r w:rsidRPr="006C277A">
        <w:rPr>
          <w:rFonts w:ascii="Palatino Linotype" w:hAnsi="Palatino Linotype"/>
          <w:i/>
        </w:rPr>
        <w:t>bar, en coordinación con las unidades administrativas correspondientes, la estructura orgánica y manuales ad</w:t>
      </w:r>
      <w:r w:rsidR="001E23FB" w:rsidRPr="006C277A">
        <w:rPr>
          <w:rFonts w:ascii="Palatino Linotype" w:hAnsi="Palatino Linotype"/>
          <w:i/>
        </w:rPr>
        <w:t>m</w:t>
      </w:r>
      <w:r w:rsidRPr="006C277A">
        <w:rPr>
          <w:rFonts w:ascii="Palatino Linotype" w:hAnsi="Palatino Linotype"/>
          <w:i/>
        </w:rPr>
        <w:t>inistrativos de sus órganos desconcentrados y de los organismos auxiliares</w:t>
      </w:r>
      <w:r w:rsidR="001E23FB" w:rsidRPr="006C277A">
        <w:rPr>
          <w:rFonts w:ascii="Palatino Linotype" w:hAnsi="Palatino Linotype"/>
          <w:i/>
        </w:rPr>
        <w:t xml:space="preserve"> del sector salud del Poder Ejec</w:t>
      </w:r>
      <w:r w:rsidRPr="006C277A">
        <w:rPr>
          <w:rFonts w:ascii="Palatino Linotype" w:hAnsi="Palatino Linotype"/>
          <w:i/>
        </w:rPr>
        <w:t>utivo del Estado de México.</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Co</w:t>
      </w:r>
      <w:r w:rsidR="001E23FB" w:rsidRPr="006C277A">
        <w:rPr>
          <w:rFonts w:ascii="Palatino Linotype" w:hAnsi="Palatino Linotype"/>
          <w:i/>
        </w:rPr>
        <w:t>o</w:t>
      </w:r>
      <w:r w:rsidRPr="006C277A">
        <w:rPr>
          <w:rFonts w:ascii="Palatino Linotype" w:hAnsi="Palatino Linotype"/>
          <w:i/>
        </w:rPr>
        <w:t xml:space="preserve">rdinar la realización de las Campañas de Salud en la entidad, en coordinación con instituciones públicas y </w:t>
      </w:r>
      <w:r w:rsidR="001E23FB" w:rsidRPr="006C277A">
        <w:rPr>
          <w:rFonts w:ascii="Palatino Linotype" w:hAnsi="Palatino Linotype"/>
          <w:i/>
        </w:rPr>
        <w:t>privadas</w:t>
      </w:r>
      <w:r w:rsidRPr="006C277A">
        <w:rPr>
          <w:rFonts w:ascii="Palatino Linotype" w:hAnsi="Palatino Linotype"/>
          <w:i/>
        </w:rPr>
        <w:t xml:space="preserve"> en la materia.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Pre</w:t>
      </w:r>
      <w:r w:rsidR="001E23FB" w:rsidRPr="006C277A">
        <w:rPr>
          <w:rFonts w:ascii="Palatino Linotype" w:hAnsi="Palatino Linotype"/>
          <w:i/>
        </w:rPr>
        <w:t>s</w:t>
      </w:r>
      <w:r w:rsidRPr="006C277A">
        <w:rPr>
          <w:rFonts w:ascii="Palatino Linotype" w:hAnsi="Palatino Linotype"/>
          <w:i/>
        </w:rPr>
        <w:t>idir el Consejo de Salud del Estado de México, conduciendo la política y estrategias para el cump</w:t>
      </w:r>
      <w:r w:rsidR="001E23FB" w:rsidRPr="006C277A">
        <w:rPr>
          <w:rFonts w:ascii="Palatino Linotype" w:hAnsi="Palatino Linotype"/>
          <w:i/>
        </w:rPr>
        <w:t>limiento del dere</w:t>
      </w:r>
      <w:r w:rsidRPr="006C277A">
        <w:rPr>
          <w:rFonts w:ascii="Palatino Linotype" w:hAnsi="Palatino Linotype"/>
          <w:i/>
        </w:rPr>
        <w:t xml:space="preserve">cho de protección de la salud.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Organizar, coordinar, controlar y evaluar el funcionamiento de los organismos au</w:t>
      </w:r>
      <w:r w:rsidR="001E23FB" w:rsidRPr="006C277A">
        <w:rPr>
          <w:rFonts w:ascii="Palatino Linotype" w:hAnsi="Palatino Linotype"/>
          <w:i/>
        </w:rPr>
        <w:t>xiliares descentralizados y desc</w:t>
      </w:r>
      <w:r w:rsidRPr="006C277A">
        <w:rPr>
          <w:rFonts w:ascii="Palatino Linotype" w:hAnsi="Palatino Linotype"/>
          <w:i/>
        </w:rPr>
        <w:t xml:space="preserve">oncentrados bajo su adscripción, así como de las unidades hospitalarias de alta especialidad.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Co</w:t>
      </w:r>
      <w:r w:rsidR="001E23FB" w:rsidRPr="006C277A">
        <w:rPr>
          <w:rFonts w:ascii="Palatino Linotype" w:hAnsi="Palatino Linotype"/>
          <w:i/>
        </w:rPr>
        <w:t>o</w:t>
      </w:r>
      <w:r w:rsidRPr="006C277A">
        <w:rPr>
          <w:rFonts w:ascii="Palatino Linotype" w:hAnsi="Palatino Linotype"/>
          <w:i/>
        </w:rPr>
        <w:t>rdinar la integración y validar la información de los programas y acciones ejecutadas por la Secretaría, para la f</w:t>
      </w:r>
      <w:r w:rsidR="001E23FB" w:rsidRPr="006C277A">
        <w:rPr>
          <w:rFonts w:ascii="Palatino Linotype" w:hAnsi="Palatino Linotype"/>
          <w:i/>
        </w:rPr>
        <w:t>o</w:t>
      </w:r>
      <w:r w:rsidRPr="006C277A">
        <w:rPr>
          <w:rFonts w:ascii="Palatino Linotype" w:hAnsi="Palatino Linotype"/>
          <w:i/>
        </w:rPr>
        <w:t xml:space="preserve">rmulación de los informes de gobierno.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lastRenderedPageBreak/>
        <w:t>Autorizar y emitir las directrices para la planeación, programación y ejecución de actividades y acciones en materia de salud en el sector, de conformidad con la normatividad vigente en la mate</w:t>
      </w:r>
      <w:r w:rsidR="001E23FB" w:rsidRPr="006C277A">
        <w:rPr>
          <w:rFonts w:ascii="Palatino Linotype" w:hAnsi="Palatino Linotype"/>
          <w:i/>
        </w:rPr>
        <w:t>ria, vigilando su adecuada aplic</w:t>
      </w:r>
      <w:r w:rsidRPr="006C277A">
        <w:rPr>
          <w:rFonts w:ascii="Palatino Linotype" w:hAnsi="Palatino Linotype"/>
          <w:i/>
        </w:rPr>
        <w:t xml:space="preserve">ación y observancia. </w:t>
      </w:r>
    </w:p>
    <w:p w:rsidR="001E23FB"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Est</w:t>
      </w:r>
      <w:r w:rsidR="001E23FB" w:rsidRPr="006C277A">
        <w:rPr>
          <w:rFonts w:ascii="Palatino Linotype" w:hAnsi="Palatino Linotype"/>
          <w:i/>
        </w:rPr>
        <w:t>a</w:t>
      </w:r>
      <w:r w:rsidRPr="006C277A">
        <w:rPr>
          <w:rFonts w:ascii="Palatino Linotype" w:hAnsi="Palatino Linotype"/>
          <w:i/>
        </w:rPr>
        <w:t>blecer, en coordinación con las instituciones asistenciales formalmente constituidas, programas e</w:t>
      </w:r>
      <w:r w:rsidR="001E23FB" w:rsidRPr="006C277A">
        <w:rPr>
          <w:rFonts w:ascii="Palatino Linotype" w:hAnsi="Palatino Linotype"/>
          <w:i/>
        </w:rPr>
        <w:t>nca</w:t>
      </w:r>
      <w:r w:rsidRPr="006C277A">
        <w:rPr>
          <w:rFonts w:ascii="Palatino Linotype" w:hAnsi="Palatino Linotype"/>
          <w:i/>
        </w:rPr>
        <w:t>minados a otorgar atención integral a las personas discapacitadas.</w:t>
      </w:r>
      <w:r w:rsidR="001E23FB" w:rsidRPr="006C277A">
        <w:rPr>
          <w:rFonts w:ascii="Palatino Linotype" w:hAnsi="Palatino Linotype"/>
          <w:i/>
        </w:rPr>
        <w:t xml:space="preserve"> </w:t>
      </w:r>
    </w:p>
    <w:p w:rsidR="002135AD" w:rsidRPr="006C277A" w:rsidRDefault="001E23FB"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Apro</w:t>
      </w:r>
      <w:r w:rsidR="002135AD" w:rsidRPr="006C277A">
        <w:rPr>
          <w:rFonts w:ascii="Palatino Linotype" w:hAnsi="Palatino Linotype"/>
          <w:i/>
        </w:rPr>
        <w:t xml:space="preserve">bar el Anteproyecto del Presupuesto de Egresos de la Secretaría y someterlo a la consideración de la ataría de Finanzas.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Celebrar acuerdos y convenios en materia de salud con la Federación, con otras entidades federativas y con los mun</w:t>
      </w:r>
      <w:r w:rsidR="001E23FB" w:rsidRPr="006C277A">
        <w:rPr>
          <w:rFonts w:ascii="Palatino Linotype" w:hAnsi="Palatino Linotype"/>
          <w:i/>
        </w:rPr>
        <w:t>icipios de l</w:t>
      </w:r>
      <w:r w:rsidRPr="006C277A">
        <w:rPr>
          <w:rFonts w:ascii="Palatino Linotype" w:hAnsi="Palatino Linotype"/>
          <w:i/>
        </w:rPr>
        <w:t xml:space="preserve">a entidad, así como con los sectores social y privado, que permitan apoyar la ejecución de pro ramas y acciones tendientes a mejorar la salud de la población y las condiciones sanitarias del Estado. </w:t>
      </w:r>
    </w:p>
    <w:p w:rsidR="002135AD" w:rsidRPr="006C277A" w:rsidRDefault="001E23FB"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Orga</w:t>
      </w:r>
      <w:r w:rsidR="002135AD" w:rsidRPr="006C277A">
        <w:rPr>
          <w:rFonts w:ascii="Palatino Linotype" w:hAnsi="Palatino Linotype"/>
          <w:i/>
        </w:rPr>
        <w:t xml:space="preserve">nizar eventos orientados a la formación de recursos humanos en salud, así como promover la celebración </w:t>
      </w:r>
      <w:r w:rsidRPr="006C277A">
        <w:rPr>
          <w:rFonts w:ascii="Palatino Linotype" w:hAnsi="Palatino Linotype"/>
          <w:i/>
        </w:rPr>
        <w:t>co</w:t>
      </w:r>
      <w:r w:rsidR="002135AD" w:rsidRPr="006C277A">
        <w:rPr>
          <w:rFonts w:ascii="Palatino Linotype" w:hAnsi="Palatino Linotype"/>
          <w:i/>
        </w:rPr>
        <w:t xml:space="preserve">nvenios con instituciones educativas en la materia.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Par</w:t>
      </w:r>
      <w:r w:rsidR="001E23FB" w:rsidRPr="006C277A">
        <w:rPr>
          <w:rFonts w:ascii="Palatino Linotype" w:hAnsi="Palatino Linotype"/>
          <w:i/>
        </w:rPr>
        <w:t>ti</w:t>
      </w:r>
      <w:r w:rsidRPr="006C277A">
        <w:rPr>
          <w:rFonts w:ascii="Palatino Linotype" w:hAnsi="Palatino Linotype"/>
          <w:i/>
        </w:rPr>
        <w:t>cipar en programas y acciones orientadas a prevenir y atender problemas ambientales, e</w:t>
      </w:r>
      <w:r w:rsidR="001E23FB" w:rsidRPr="006C277A">
        <w:rPr>
          <w:rFonts w:ascii="Palatino Linotype" w:hAnsi="Palatino Linotype"/>
          <w:i/>
        </w:rPr>
        <w:t>n coordinación con institu</w:t>
      </w:r>
      <w:r w:rsidRPr="006C277A">
        <w:rPr>
          <w:rFonts w:ascii="Palatino Linotype" w:hAnsi="Palatino Linotype"/>
          <w:i/>
        </w:rPr>
        <w:t xml:space="preserve">ciones públicas y privadas relacionadas con la materia. </w:t>
      </w:r>
    </w:p>
    <w:p w:rsidR="002135AD" w:rsidRPr="006C277A" w:rsidRDefault="001E23FB"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Intervenir</w:t>
      </w:r>
      <w:r w:rsidR="002135AD" w:rsidRPr="006C277A">
        <w:rPr>
          <w:rFonts w:ascii="Palatino Linotype" w:hAnsi="Palatino Linotype"/>
          <w:i/>
        </w:rPr>
        <w:t xml:space="preserve"> en los convenios de salud que celebre el Ejecutivo Estatal con la Federación, con otras entidades federativas o con municipios de la entidad.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Co</w:t>
      </w:r>
      <w:r w:rsidR="006C277A">
        <w:rPr>
          <w:rFonts w:ascii="Palatino Linotype" w:hAnsi="Palatino Linotype"/>
          <w:i/>
        </w:rPr>
        <w:t>m</w:t>
      </w:r>
      <w:r w:rsidRPr="006C277A">
        <w:rPr>
          <w:rFonts w:ascii="Palatino Linotype" w:hAnsi="Palatino Linotype"/>
          <w:i/>
        </w:rPr>
        <w:t>parecer ante la Legislatura Local e informar de las acciones y resultados del despacho de los asuntos de su competencia.</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 xml:space="preserve">Ordenar el tratamiento de información de asuntos competencia de la Secretaría y ponerla a disposición de los sectores público, social y privado, de conformidad con la normatividad vigente en la materia.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Coo</w:t>
      </w:r>
      <w:r w:rsidR="001E23FB" w:rsidRPr="006C277A">
        <w:rPr>
          <w:rFonts w:ascii="Palatino Linotype" w:hAnsi="Palatino Linotype"/>
          <w:i/>
        </w:rPr>
        <w:t>r</w:t>
      </w:r>
      <w:r w:rsidRPr="006C277A">
        <w:rPr>
          <w:rFonts w:ascii="Palatino Linotype" w:hAnsi="Palatino Linotype"/>
          <w:i/>
        </w:rPr>
        <w:t xml:space="preserve">dinar y evaluar la operación del Sistema de Información de Salud en la entidad. </w:t>
      </w:r>
    </w:p>
    <w:p w:rsidR="002135AD" w:rsidRPr="006C277A" w:rsidRDefault="001E23FB"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Coor</w:t>
      </w:r>
      <w:r w:rsidR="002135AD" w:rsidRPr="006C277A">
        <w:rPr>
          <w:rFonts w:ascii="Palatino Linotype" w:hAnsi="Palatino Linotype"/>
          <w:i/>
        </w:rPr>
        <w:t>dinar y supervisar, con las instituciones del sector salud en la entidad, la prestación de los servicios de salu</w:t>
      </w:r>
      <w:r w:rsidRPr="006C277A">
        <w:rPr>
          <w:rFonts w:ascii="Palatino Linotype" w:hAnsi="Palatino Linotype"/>
          <w:i/>
        </w:rPr>
        <w:t>b</w:t>
      </w:r>
      <w:r w:rsidR="002135AD" w:rsidRPr="006C277A">
        <w:rPr>
          <w:rFonts w:ascii="Palatino Linotype" w:hAnsi="Palatino Linotype"/>
          <w:i/>
        </w:rPr>
        <w:t xml:space="preserve">ridad general y local, vigilando la correcta aplicación de la normatividad vigente en la materia.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Vigil</w:t>
      </w:r>
      <w:r w:rsidR="001E23FB" w:rsidRPr="006C277A">
        <w:rPr>
          <w:rFonts w:ascii="Palatino Linotype" w:hAnsi="Palatino Linotype"/>
          <w:i/>
        </w:rPr>
        <w:t>a</w:t>
      </w:r>
      <w:r w:rsidRPr="006C277A">
        <w:rPr>
          <w:rFonts w:ascii="Palatino Linotype" w:hAnsi="Palatino Linotype"/>
          <w:i/>
        </w:rPr>
        <w:t xml:space="preserve">r que las instituciones públicas y privadas prestadoras de servicios de salud, cumplan con la normatividad viga te en la materia.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Vigila r la aplicación y cumplimiento de la regulación y control sanitario, mediante el establecimiento de line</w:t>
      </w:r>
      <w:r w:rsidR="001E23FB" w:rsidRPr="006C277A">
        <w:rPr>
          <w:rFonts w:ascii="Palatino Linotype" w:hAnsi="Palatino Linotype"/>
          <w:i/>
        </w:rPr>
        <w:t>a</w:t>
      </w:r>
      <w:r w:rsidRPr="006C277A">
        <w:rPr>
          <w:rFonts w:ascii="Palatino Linotype" w:hAnsi="Palatino Linotype"/>
          <w:i/>
        </w:rPr>
        <w:t xml:space="preserve">mientos y mecanismos de control, para evitar riesgos sanitarios en la entidad.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t>Vigil</w:t>
      </w:r>
      <w:r w:rsidR="001E23FB" w:rsidRPr="006C277A">
        <w:rPr>
          <w:rFonts w:ascii="Palatino Linotype" w:hAnsi="Palatino Linotype"/>
          <w:i/>
        </w:rPr>
        <w:t>a</w:t>
      </w:r>
      <w:r w:rsidRPr="006C277A">
        <w:rPr>
          <w:rFonts w:ascii="Palatino Linotype" w:hAnsi="Palatino Linotype"/>
          <w:i/>
        </w:rPr>
        <w:t>r que los procesos licitatorios en las diferentes modalidades de licitación pública, invitación restringida y adju</w:t>
      </w:r>
      <w:r w:rsidR="001E23FB" w:rsidRPr="006C277A">
        <w:rPr>
          <w:rFonts w:ascii="Palatino Linotype" w:hAnsi="Palatino Linotype"/>
          <w:i/>
        </w:rPr>
        <w:t>d</w:t>
      </w:r>
      <w:r w:rsidRPr="006C277A">
        <w:rPr>
          <w:rFonts w:ascii="Palatino Linotype" w:hAnsi="Palatino Linotype"/>
          <w:i/>
        </w:rPr>
        <w:t xml:space="preserve">icación directa para la contratación de bienes, servicios y obra pública. </w:t>
      </w:r>
    </w:p>
    <w:p w:rsidR="002135AD" w:rsidRPr="006C277A" w:rsidRDefault="002135AD" w:rsidP="006C277A">
      <w:pPr>
        <w:pStyle w:val="Prrafodelista"/>
        <w:numPr>
          <w:ilvl w:val="1"/>
          <w:numId w:val="29"/>
        </w:numPr>
        <w:tabs>
          <w:tab w:val="left" w:pos="7938"/>
        </w:tabs>
        <w:ind w:left="426" w:right="567" w:hanging="426"/>
        <w:jc w:val="both"/>
        <w:rPr>
          <w:rFonts w:ascii="Palatino Linotype" w:hAnsi="Palatino Linotype"/>
          <w:i/>
        </w:rPr>
      </w:pPr>
      <w:r w:rsidRPr="006C277A">
        <w:rPr>
          <w:rFonts w:ascii="Palatino Linotype" w:hAnsi="Palatino Linotype"/>
          <w:i/>
        </w:rPr>
        <w:lastRenderedPageBreak/>
        <w:t>Vigil</w:t>
      </w:r>
      <w:r w:rsidR="001E23FB" w:rsidRPr="006C277A">
        <w:rPr>
          <w:rFonts w:ascii="Palatino Linotype" w:hAnsi="Palatino Linotype"/>
          <w:i/>
        </w:rPr>
        <w:t>a</w:t>
      </w:r>
      <w:r w:rsidRPr="006C277A">
        <w:rPr>
          <w:rFonts w:ascii="Palatino Linotype" w:hAnsi="Palatino Linotype"/>
          <w:i/>
        </w:rPr>
        <w:t>r y garantizar la adquisición de insumos y equipo para la salud, así como la c</w:t>
      </w:r>
      <w:r w:rsidR="001E23FB" w:rsidRPr="006C277A">
        <w:rPr>
          <w:rFonts w:ascii="Palatino Linotype" w:hAnsi="Palatino Linotype"/>
          <w:i/>
        </w:rPr>
        <w:t>ontratación de servicios de mant</w:t>
      </w:r>
      <w:r w:rsidRPr="006C277A">
        <w:rPr>
          <w:rFonts w:ascii="Palatino Linotype" w:hAnsi="Palatino Linotype"/>
          <w:i/>
        </w:rPr>
        <w:t>enimiento preventivo y correctivo de equipo e instalaciones médicas, de conformidad con las normas, bases y pro</w:t>
      </w:r>
      <w:r w:rsidR="001E23FB" w:rsidRPr="006C277A">
        <w:rPr>
          <w:rFonts w:ascii="Palatino Linotype" w:hAnsi="Palatino Linotype"/>
          <w:i/>
        </w:rPr>
        <w:t>c</w:t>
      </w:r>
      <w:r w:rsidRPr="006C277A">
        <w:rPr>
          <w:rFonts w:ascii="Palatino Linotype" w:hAnsi="Palatino Linotype"/>
          <w:i/>
        </w:rPr>
        <w:t xml:space="preserve">edimientos establecidos en la materia. </w:t>
      </w:r>
    </w:p>
    <w:p w:rsidR="006C277A" w:rsidRPr="006C277A" w:rsidRDefault="001E23FB" w:rsidP="006C277A">
      <w:pPr>
        <w:pStyle w:val="Prrafodelista"/>
        <w:numPr>
          <w:ilvl w:val="1"/>
          <w:numId w:val="29"/>
        </w:numPr>
        <w:tabs>
          <w:tab w:val="left" w:pos="7938"/>
        </w:tabs>
        <w:ind w:left="426" w:right="567" w:hanging="426"/>
        <w:jc w:val="both"/>
        <w:rPr>
          <w:rFonts w:ascii="Palatino Linotype" w:eastAsiaTheme="minorHAnsi" w:hAnsi="Palatino Linotype" w:cstheme="minorBidi"/>
          <w:i/>
          <w:sz w:val="22"/>
          <w:szCs w:val="22"/>
          <w:lang w:eastAsia="en-US"/>
        </w:rPr>
      </w:pPr>
      <w:r w:rsidRPr="006C277A">
        <w:rPr>
          <w:rFonts w:ascii="Palatino Linotype" w:hAnsi="Palatino Linotype"/>
          <w:i/>
        </w:rPr>
        <w:t>Desa</w:t>
      </w:r>
      <w:r w:rsidR="002135AD" w:rsidRPr="006C277A">
        <w:rPr>
          <w:rFonts w:ascii="Palatino Linotype" w:hAnsi="Palatino Linotype"/>
          <w:i/>
        </w:rPr>
        <w:t>rrollar las demás funciones inherentes al área de su competencia.</w:t>
      </w:r>
    </w:p>
    <w:p w:rsidR="00E454DE" w:rsidRDefault="00E454DE" w:rsidP="00AE2973">
      <w:pPr>
        <w:pStyle w:val="Prrafodelista"/>
        <w:autoSpaceDE w:val="0"/>
        <w:autoSpaceDN w:val="0"/>
        <w:adjustRightInd w:val="0"/>
        <w:spacing w:line="360" w:lineRule="auto"/>
        <w:ind w:left="0"/>
        <w:jc w:val="both"/>
        <w:rPr>
          <w:rFonts w:ascii="Palatino Linotype" w:hAnsi="Palatino Linotype" w:cs="Arial"/>
        </w:rPr>
      </w:pPr>
    </w:p>
    <w:p w:rsidR="00E454DE" w:rsidRPr="00E454DE" w:rsidRDefault="00E454DE" w:rsidP="00AE297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cs="Arial"/>
        </w:rPr>
        <w:t>De la normatividad inserta en líneas anteriores, podemos percibir que en efecto la secretaria de Salud, dentro de sus principales funciones no se encuentra la de coordinar, controlar o vigilar los procedimientos que se llevan a cabo en los hospitales psiquiát</w:t>
      </w:r>
      <w:r w:rsidRPr="00E454DE">
        <w:rPr>
          <w:rFonts w:ascii="Palatino Linotype" w:hAnsi="Palatino Linotype"/>
        </w:rPr>
        <w:t>ricos (centro de atención psicosocial), por el contrario, este Sujeto Obligado es la dependencia encargada de conducir la política estatal en materia de salud y garantizar que las instituciones que integran el Sistema Estatal de Salud operen en un esquema de coordinación eficaz, permitan la descentralización de los servicios médicos para dar respuesta ágil y efectiva a los problemas y necesidades locales, mejoren el nivel de salud de la población, distribuyan equitativamente los beneficios, mejoren la percepción de los usuarios y optimicen los recursos.</w:t>
      </w:r>
      <w:r w:rsidRPr="00E454DE">
        <w:rPr>
          <w:rFonts w:ascii="Palatino Linotype" w:hAnsi="Palatino Linotype"/>
        </w:rPr>
        <w:br/>
      </w:r>
      <w:r w:rsidRPr="00E454DE">
        <w:rPr>
          <w:rFonts w:ascii="Palatino Linotype" w:hAnsi="Palatino Linotype"/>
        </w:rPr>
        <w:br/>
        <w:t>La Secretaría de Salud para el cumplimiento de sus objetivos y desarrollo de sus funciones contó con una estructura de organización autorizada en septiembre de 2000, integrada por tres unidades administrativas, la oficina del titular de la dependencia y dos unidades de apoyo, la de Estudios y Proyectos Especiales y la de Seguimiento y Evaluación.</w:t>
      </w:r>
    </w:p>
    <w:p w:rsidR="00E454DE" w:rsidRDefault="00E454DE" w:rsidP="00AE2973">
      <w:pPr>
        <w:pStyle w:val="Prrafodelista"/>
        <w:autoSpaceDE w:val="0"/>
        <w:autoSpaceDN w:val="0"/>
        <w:adjustRightInd w:val="0"/>
        <w:spacing w:line="360" w:lineRule="auto"/>
        <w:ind w:left="0"/>
        <w:jc w:val="both"/>
        <w:rPr>
          <w:rFonts w:ascii="Palatino Linotype" w:hAnsi="Palatino Linotype"/>
        </w:rPr>
      </w:pPr>
      <w:r w:rsidRPr="00E454DE">
        <w:rPr>
          <w:rFonts w:ascii="Palatino Linotype" w:hAnsi="Palatino Linotype"/>
        </w:rPr>
        <w:br/>
        <w:t>En octubre de 2004 se formaliza en la estructura de organización el Consejo de Salud del Estado de México como un órgano colegiado para la permanente coordinación, consulta y apoyo en la planeación, programación y evaluación de los servicios de salud.</w:t>
      </w:r>
      <w:r w:rsidRPr="00E454DE">
        <w:rPr>
          <w:rFonts w:ascii="Palatino Linotype" w:hAnsi="Palatino Linotype"/>
        </w:rPr>
        <w:br/>
      </w:r>
      <w:r w:rsidRPr="00E454DE">
        <w:rPr>
          <w:rFonts w:ascii="Palatino Linotype" w:hAnsi="Palatino Linotype"/>
        </w:rPr>
        <w:lastRenderedPageBreak/>
        <w:t>En el mes de diciembre de 2006 se autorizan tres unidades administrativas a la estructura orgánica de la Secretaría: la Coordinación de Hospitales Regionales de Alta Especialidad, la Dirección de Proyectos de Servicios Médicos Ambulatorios y de Diagnóstico y la Dirección de Proyectos de Servicios Médicos con Internamiento. Con la creación de esta coordinación se contribuye al fortalecimiento de la prestación de servicios médicos de acuerdo con las características y necesidades particulares de cada región de la entidad y se acerca la atención médica de especialidad a la población que lo requiera.</w:t>
      </w:r>
    </w:p>
    <w:p w:rsidR="00AE1EE3" w:rsidRDefault="00E454DE" w:rsidP="00AE2973">
      <w:pPr>
        <w:pStyle w:val="Prrafodelista"/>
        <w:autoSpaceDE w:val="0"/>
        <w:autoSpaceDN w:val="0"/>
        <w:adjustRightInd w:val="0"/>
        <w:spacing w:line="360" w:lineRule="auto"/>
        <w:ind w:left="0"/>
        <w:jc w:val="both"/>
        <w:rPr>
          <w:rFonts w:ascii="Palatino Linotype" w:hAnsi="Palatino Linotype"/>
        </w:rPr>
      </w:pPr>
      <w:r w:rsidRPr="00E454DE">
        <w:rPr>
          <w:rFonts w:ascii="Palatino Linotype" w:hAnsi="Palatino Linotype"/>
        </w:rPr>
        <w:br/>
        <w:t>La Secretaría de Salud del Estado de México considera bajo su coordinación sectorial al Instituto de Salud del Estado de México, el Instituto Materno Infantil del Estado de México, la Comisión de Arbitraje Médico del Estado de México y el Centro Estatal de Trasplantes</w:t>
      </w:r>
      <w:r>
        <w:rPr>
          <w:rFonts w:ascii="Palatino Linotype" w:hAnsi="Palatino Linotype"/>
        </w:rPr>
        <w:t>, única y exclusivamente la coordinación sectorial.</w:t>
      </w:r>
    </w:p>
    <w:p w:rsidR="00E454DE" w:rsidRDefault="00E454DE" w:rsidP="00AE2973">
      <w:pPr>
        <w:pStyle w:val="Prrafodelista"/>
        <w:autoSpaceDE w:val="0"/>
        <w:autoSpaceDN w:val="0"/>
        <w:adjustRightInd w:val="0"/>
        <w:spacing w:line="360" w:lineRule="auto"/>
        <w:ind w:left="0"/>
        <w:jc w:val="both"/>
        <w:rPr>
          <w:rFonts w:ascii="Palatino Linotype" w:hAnsi="Palatino Linotype"/>
        </w:rPr>
      </w:pPr>
    </w:p>
    <w:p w:rsidR="00B32A6D" w:rsidRDefault="00E454DE" w:rsidP="00AE297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Es así como llegamos a la conclusión de que la Secretaria de Salud, no le corresponde el despacho de los asuntos que le competen a otras instituciones p</w:t>
      </w:r>
      <w:r w:rsidR="00B32A6D">
        <w:rPr>
          <w:rFonts w:ascii="Palatino Linotype" w:hAnsi="Palatino Linotype"/>
        </w:rPr>
        <w:t>úblicas.</w:t>
      </w:r>
    </w:p>
    <w:p w:rsidR="00B32A6D" w:rsidRDefault="00B32A6D" w:rsidP="00AE2973">
      <w:pPr>
        <w:pStyle w:val="Prrafodelista"/>
        <w:autoSpaceDE w:val="0"/>
        <w:autoSpaceDN w:val="0"/>
        <w:adjustRightInd w:val="0"/>
        <w:spacing w:line="360" w:lineRule="auto"/>
        <w:ind w:left="0"/>
        <w:jc w:val="both"/>
        <w:rPr>
          <w:rFonts w:ascii="Palatino Linotype" w:hAnsi="Palatino Linotype"/>
        </w:rPr>
      </w:pPr>
    </w:p>
    <w:p w:rsidR="00E454DE" w:rsidRDefault="00B32A6D" w:rsidP="00AE297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t>Ahora bien, de acuerdo al requerimiento del particular, es necesario indicar que de acuerdo a la información inmersa en el expediente del SAIMEX, se aprecia un catálogo de hospitales psiquiátricos pertenecientes a cada estado, en donde podemos visualizar la siguiente información:</w:t>
      </w:r>
    </w:p>
    <w:p w:rsidR="00B32A6D" w:rsidRDefault="00B32A6D" w:rsidP="00AE2973">
      <w:pPr>
        <w:pStyle w:val="Prrafodelista"/>
        <w:autoSpaceDE w:val="0"/>
        <w:autoSpaceDN w:val="0"/>
        <w:adjustRightInd w:val="0"/>
        <w:spacing w:line="360" w:lineRule="auto"/>
        <w:ind w:left="0"/>
        <w:jc w:val="both"/>
        <w:rPr>
          <w:rFonts w:ascii="Palatino Linotype" w:hAnsi="Palatino Linotype"/>
        </w:rPr>
        <w:sectPr w:rsidR="00B32A6D" w:rsidSect="00DF6006">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pPr>
      <w:r>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215927</wp:posOffset>
                </wp:positionH>
                <wp:positionV relativeFrom="paragraph">
                  <wp:posOffset>3264452</wp:posOffset>
                </wp:positionV>
                <wp:extent cx="5359179" cy="222637"/>
                <wp:effectExtent l="0" t="0" r="13335" b="25400"/>
                <wp:wrapNone/>
                <wp:docPr id="5" name="Rectángulo 5"/>
                <wp:cNvGraphicFramePr/>
                <a:graphic xmlns:a="http://schemas.openxmlformats.org/drawingml/2006/main">
                  <a:graphicData uri="http://schemas.microsoft.com/office/word/2010/wordprocessingShape">
                    <wps:wsp>
                      <wps:cNvSpPr/>
                      <wps:spPr>
                        <a:xfrm>
                          <a:off x="0" y="0"/>
                          <a:ext cx="5359179" cy="222637"/>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E4A970E" id="Rectángulo 5" o:spid="_x0000_s1026" style="position:absolute;margin-left:17pt;margin-top:257.05pt;width:422pt;height:17.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" filled="f" strokecolor="red" strokeweight="1.5pt"/>
            </w:pict>
          </mc:Fallback>
        </mc:AlternateContent>
      </w: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-418974</wp:posOffset>
                </wp:positionH>
                <wp:positionV relativeFrom="paragraph">
                  <wp:posOffset>2563895</wp:posOffset>
                </wp:positionV>
                <wp:extent cx="469127" cy="1033669"/>
                <wp:effectExtent l="0" t="206058" r="0" b="144462"/>
                <wp:wrapNone/>
                <wp:docPr id="4" name="Flecha abajo 4"/>
                <wp:cNvGraphicFramePr/>
                <a:graphic xmlns:a="http://schemas.openxmlformats.org/drawingml/2006/main">
                  <a:graphicData uri="http://schemas.microsoft.com/office/word/2010/wordprocessingShape">
                    <wps:wsp>
                      <wps:cNvSpPr/>
                      <wps:spPr>
                        <a:xfrm rot="18464860">
                          <a:off x="0" y="0"/>
                          <a:ext cx="469127" cy="1033669"/>
                        </a:xfrm>
                        <a:prstGeom prst="down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B00844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4" o:spid="_x0000_s1026" type="#_x0000_t67" style="position:absolute;margin-left:-33pt;margin-top:201.9pt;width:36.95pt;height:81.4pt;rotation:-3424409fd;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" adj="16698" fillcolor="red" strokecolor="red" strokeweight="1pt"/>
            </w:pict>
          </mc:Fallback>
        </mc:AlternateContent>
      </w:r>
    </w:p>
    <w:p w:rsidR="00B32A6D" w:rsidRDefault="00B32A6D" w:rsidP="00B32A6D">
      <w:pPr>
        <w:pStyle w:val="Prrafodelista"/>
        <w:autoSpaceDE w:val="0"/>
        <w:autoSpaceDN w:val="0"/>
        <w:adjustRightInd w:val="0"/>
        <w:spacing w:line="360" w:lineRule="auto"/>
        <w:ind w:left="0"/>
        <w:jc w:val="center"/>
        <w:rPr>
          <w:rFonts w:ascii="Palatino Linotype" w:hAnsi="Palatino Linotype"/>
        </w:rPr>
        <w:sectPr w:rsidR="00B32A6D" w:rsidSect="00B32A6D">
          <w:pgSz w:w="15840" w:h="12240" w:orient="landscape"/>
          <w:pgMar w:top="1469" w:right="1418" w:bottom="1701" w:left="1418" w:header="709" w:footer="709" w:gutter="0"/>
          <w:cols w:space="708"/>
          <w:titlePg/>
          <w:docGrid w:linePitch="360"/>
        </w:sectPr>
      </w:pPr>
      <w:r>
        <w:rPr>
          <w:noProof/>
          <w:lang w:val="es-MX" w:eastAsia="es-MX"/>
        </w:rPr>
        <w:lastRenderedPageBreak/>
        <mc:AlternateContent>
          <mc:Choice Requires="wps">
            <w:drawing>
              <wp:anchor distT="0" distB="0" distL="114300" distR="114300" simplePos="0" relativeHeight="251662336" behindDoc="0" locked="0" layoutInCell="1" allowOverlap="1">
                <wp:simplePos x="0" y="0"/>
                <wp:positionH relativeFrom="column">
                  <wp:posOffset>394335</wp:posOffset>
                </wp:positionH>
                <wp:positionV relativeFrom="paragraph">
                  <wp:posOffset>4306901</wp:posOffset>
                </wp:positionV>
                <wp:extent cx="7545787" cy="294198"/>
                <wp:effectExtent l="0" t="0" r="17145" b="10795"/>
                <wp:wrapNone/>
                <wp:docPr id="7" name="Rectángulo 7"/>
                <wp:cNvGraphicFramePr/>
                <a:graphic xmlns:a="http://schemas.openxmlformats.org/drawingml/2006/main">
                  <a:graphicData uri="http://schemas.microsoft.com/office/word/2010/wordprocessingShape">
                    <wps:wsp>
                      <wps:cNvSpPr/>
                      <wps:spPr>
                        <a:xfrm>
                          <a:off x="0" y="0"/>
                          <a:ext cx="7545787" cy="294198"/>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1B7B9B" id="Rectángulo 7" o:spid="_x0000_s1026" style="position:absolute;margin-left:31.05pt;margin-top:339.15pt;width:594.15pt;height:23.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" filled="f" strokecolor="red" strokeweight="1.5pt"/>
            </w:pict>
          </mc:Fallback>
        </mc:AlternateContent>
      </w:r>
      <w:r>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-279649</wp:posOffset>
                </wp:positionH>
                <wp:positionV relativeFrom="paragraph">
                  <wp:posOffset>4092685</wp:posOffset>
                </wp:positionV>
                <wp:extent cx="659958" cy="747422"/>
                <wp:effectExtent l="0" t="19050" r="45085" b="33655"/>
                <wp:wrapNone/>
                <wp:docPr id="6" name="Flecha derecha 6"/>
                <wp:cNvGraphicFramePr/>
                <a:graphic xmlns:a="http://schemas.openxmlformats.org/drawingml/2006/main">
                  <a:graphicData uri="http://schemas.microsoft.com/office/word/2010/wordprocessingShape">
                    <wps:wsp>
                      <wps:cNvSpPr/>
                      <wps:spPr>
                        <a:xfrm>
                          <a:off x="0" y="0"/>
                          <a:ext cx="659958" cy="747422"/>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DB7965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6" o:spid="_x0000_s1026" type="#_x0000_t13" style="position:absolute;margin-left:-22pt;margin-top:322.25pt;width:51.95pt;height:58.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" adj="10800" fillcolor="red" strokecolor="red" strokeweight="1pt"/>
            </w:pict>
          </mc:Fallback>
        </mc:AlternateContent>
      </w:r>
      <w:r>
        <w:rPr>
          <w:noProof/>
          <w:lang w:val="es-MX" w:eastAsia="es-MX"/>
        </w:rPr>
        <w:drawing>
          <wp:inline distT="0" distB="0" distL="0" distR="0" wp14:anchorId="60F7472C" wp14:editId="71A73982">
            <wp:extent cx="7808180" cy="5314950"/>
            <wp:effectExtent l="190500" t="190500" r="193040" b="1905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20428" t="10306" r="22009" b="14845"/>
                    <a:stretch/>
                  </pic:blipFill>
                  <pic:spPr bwMode="auto">
                    <a:xfrm>
                      <a:off x="0" y="0"/>
                      <a:ext cx="7834159" cy="5332633"/>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B32A6D" w:rsidRDefault="00B32A6D" w:rsidP="00AE2973">
      <w:pPr>
        <w:pStyle w:val="Prrafodelista"/>
        <w:autoSpaceDE w:val="0"/>
        <w:autoSpaceDN w:val="0"/>
        <w:adjustRightInd w:val="0"/>
        <w:spacing w:line="360" w:lineRule="auto"/>
        <w:ind w:left="0"/>
        <w:jc w:val="both"/>
        <w:rPr>
          <w:rFonts w:ascii="Palatino Linotype" w:hAnsi="Palatino Linotype"/>
        </w:rPr>
      </w:pPr>
      <w:r>
        <w:rPr>
          <w:rFonts w:ascii="Palatino Linotype" w:hAnsi="Palatino Linotype"/>
        </w:rPr>
        <w:lastRenderedPageBreak/>
        <w:t xml:space="preserve">De la imagen </w:t>
      </w:r>
      <w:r w:rsidR="00170388">
        <w:rPr>
          <w:rFonts w:ascii="Palatino Linotype" w:hAnsi="Palatino Linotype"/>
        </w:rPr>
        <w:t>inserta podemos apreciar que únicamente</w:t>
      </w:r>
      <w:r w:rsidR="00CF25EA">
        <w:rPr>
          <w:rFonts w:ascii="Palatino Linotype" w:hAnsi="Palatino Linotype"/>
        </w:rPr>
        <w:t xml:space="preserve"> se señalan</w:t>
      </w:r>
      <w:r w:rsidR="00170388">
        <w:rPr>
          <w:rFonts w:ascii="Palatino Linotype" w:hAnsi="Palatino Linotype"/>
        </w:rPr>
        <w:t xml:space="preserve"> tres </w:t>
      </w:r>
      <w:r w:rsidR="00CF25EA">
        <w:rPr>
          <w:rFonts w:ascii="Palatino Linotype" w:hAnsi="Palatino Linotype"/>
        </w:rPr>
        <w:t>hospitales los cuales se encuentra a cargo del Instituto de Seguridad del Estado de México, para ello analicemos lo que establece el Reglamento interno de los Hospitales psiquiátricos que se encuentran a cargo del ISEM.</w:t>
      </w:r>
    </w:p>
    <w:p w:rsidR="00B32A6D" w:rsidRDefault="00B32A6D" w:rsidP="00AE2973">
      <w:pPr>
        <w:pStyle w:val="Prrafodelista"/>
        <w:autoSpaceDE w:val="0"/>
        <w:autoSpaceDN w:val="0"/>
        <w:adjustRightInd w:val="0"/>
        <w:spacing w:line="360" w:lineRule="auto"/>
        <w:ind w:left="0"/>
        <w:jc w:val="both"/>
        <w:rPr>
          <w:rFonts w:ascii="Palatino Linotype" w:hAnsi="Palatino Linotype"/>
        </w:rPr>
      </w:pPr>
    </w:p>
    <w:p w:rsidR="00B32A6D" w:rsidRPr="00B32A6D" w:rsidRDefault="00B32A6D" w:rsidP="00AE2973">
      <w:pPr>
        <w:pStyle w:val="Prrafodelista"/>
        <w:autoSpaceDE w:val="0"/>
        <w:autoSpaceDN w:val="0"/>
        <w:adjustRightInd w:val="0"/>
        <w:spacing w:line="360" w:lineRule="auto"/>
        <w:ind w:left="0"/>
        <w:jc w:val="both"/>
        <w:rPr>
          <w:rFonts w:ascii="Palatino Linotype" w:hAnsi="Palatino Linotype"/>
        </w:rPr>
      </w:pPr>
      <w:r>
        <w:t>REGLAMENTO INTERNO DE LOS HOSPITALES PSIQUIÁTRICOS DEL INSTITUTO DE SALUD DEL ESTADO DE MÉXICO</w:t>
      </w:r>
    </w:p>
    <w:p w:rsidR="00AE1EE3" w:rsidRDefault="00AE1EE3" w:rsidP="00AE2973">
      <w:pPr>
        <w:pStyle w:val="Prrafodelista"/>
        <w:autoSpaceDE w:val="0"/>
        <w:autoSpaceDN w:val="0"/>
        <w:adjustRightInd w:val="0"/>
        <w:spacing w:line="360" w:lineRule="auto"/>
        <w:ind w:left="0"/>
        <w:jc w:val="both"/>
        <w:rPr>
          <w:rFonts w:ascii="Palatino Linotype" w:hAnsi="Palatino Linotype" w:cs="Arial"/>
        </w:rPr>
      </w:pPr>
    </w:p>
    <w:p w:rsidR="00CF25EA" w:rsidRPr="00F71088" w:rsidRDefault="00CF25EA"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Artículo 1. El presente reglamento tiene por objeto regular la organización y funcionamiento de los </w:t>
      </w:r>
      <w:r w:rsidRPr="00F71088">
        <w:rPr>
          <w:rFonts w:ascii="Palatino Linotype" w:hAnsi="Palatino Linotype"/>
          <w:b/>
          <w:i/>
          <w:sz w:val="22"/>
          <w:szCs w:val="22"/>
          <w:u w:val="single"/>
        </w:rPr>
        <w:t xml:space="preserve">Hospitales Psiquiátricos: “José </w:t>
      </w:r>
      <w:proofErr w:type="spellStart"/>
      <w:r w:rsidRPr="00F71088">
        <w:rPr>
          <w:rFonts w:ascii="Palatino Linotype" w:hAnsi="Palatino Linotype"/>
          <w:b/>
          <w:i/>
          <w:sz w:val="22"/>
          <w:szCs w:val="22"/>
          <w:u w:val="single"/>
        </w:rPr>
        <w:t>Sáyago</w:t>
      </w:r>
      <w:proofErr w:type="spellEnd"/>
      <w:r w:rsidRPr="00F71088">
        <w:rPr>
          <w:rFonts w:ascii="Palatino Linotype" w:hAnsi="Palatino Linotype"/>
          <w:b/>
          <w:i/>
          <w:sz w:val="22"/>
          <w:szCs w:val="22"/>
          <w:u w:val="single"/>
        </w:rPr>
        <w:t xml:space="preserve">”, “Dr. Adolfo M. Nieto” y “Granjas La Salud </w:t>
      </w:r>
      <w:proofErr w:type="spellStart"/>
      <w:r w:rsidRPr="00F71088">
        <w:rPr>
          <w:rFonts w:ascii="Palatino Linotype" w:hAnsi="Palatino Linotype"/>
          <w:b/>
          <w:i/>
          <w:sz w:val="22"/>
          <w:szCs w:val="22"/>
          <w:u w:val="single"/>
        </w:rPr>
        <w:t>Tlazolteotl</w:t>
      </w:r>
      <w:proofErr w:type="spellEnd"/>
      <w:r w:rsidRPr="00F71088">
        <w:rPr>
          <w:rFonts w:ascii="Palatino Linotype" w:hAnsi="Palatino Linotype"/>
          <w:b/>
          <w:i/>
          <w:sz w:val="22"/>
          <w:szCs w:val="22"/>
          <w:u w:val="single"/>
        </w:rPr>
        <w:t xml:space="preserve">”. </w:t>
      </w:r>
    </w:p>
    <w:p w:rsidR="00CF25EA" w:rsidRPr="00F71088" w:rsidRDefault="00CF25EA" w:rsidP="00CF25EA">
      <w:pPr>
        <w:pStyle w:val="Prrafodelista"/>
        <w:autoSpaceDE w:val="0"/>
        <w:autoSpaceDN w:val="0"/>
        <w:adjustRightInd w:val="0"/>
        <w:ind w:left="851" w:right="850"/>
        <w:jc w:val="both"/>
        <w:rPr>
          <w:rFonts w:ascii="Palatino Linotype" w:hAnsi="Palatino Linotype"/>
          <w:i/>
          <w:sz w:val="22"/>
          <w:szCs w:val="22"/>
        </w:rPr>
      </w:pPr>
    </w:p>
    <w:p w:rsidR="00AE1EE3" w:rsidRPr="00F71088" w:rsidRDefault="00CF25EA"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Artículo 2. Para los efectos del presente Reglamento, cuando se haga referencia a la Secretaría, el Instituto, la Ley, al Reglamento de la Ley, Reglamento de Salud, la Norma y los hospitales, se entenderá a la Secretaría de Salud, al Instituto de Salud del Estado de México, a la Ley General de Salud, al Reglamento de la Ley General de Salud en materia de Prestación de Servicios de Atención Médica, al Reglamento de Salud del Estado de México, la Norma Oficial Mexicana NOM-025-SSA2- 1994 para la prestación de servicios de salud en unidades de atención integral hospitalaria </w:t>
      </w:r>
      <w:proofErr w:type="spellStart"/>
      <w:r w:rsidRPr="00F71088">
        <w:rPr>
          <w:rFonts w:ascii="Palatino Linotype" w:hAnsi="Palatino Linotype"/>
          <w:i/>
          <w:sz w:val="22"/>
          <w:szCs w:val="22"/>
        </w:rPr>
        <w:t>médicopsiquiátrica</w:t>
      </w:r>
      <w:proofErr w:type="spellEnd"/>
      <w:r w:rsidRPr="00F71088">
        <w:rPr>
          <w:rFonts w:ascii="Palatino Linotype" w:hAnsi="Palatino Linotype"/>
          <w:i/>
          <w:sz w:val="22"/>
          <w:szCs w:val="22"/>
        </w:rPr>
        <w:t xml:space="preserve">, y los Hospitales Psiquiátricos: “José </w:t>
      </w:r>
      <w:proofErr w:type="spellStart"/>
      <w:r w:rsidRPr="00F71088">
        <w:rPr>
          <w:rFonts w:ascii="Palatino Linotype" w:hAnsi="Palatino Linotype"/>
          <w:i/>
          <w:sz w:val="22"/>
          <w:szCs w:val="22"/>
        </w:rPr>
        <w:t>Sáyago</w:t>
      </w:r>
      <w:proofErr w:type="spellEnd"/>
      <w:r w:rsidRPr="00F71088">
        <w:rPr>
          <w:rFonts w:ascii="Palatino Linotype" w:hAnsi="Palatino Linotype"/>
          <w:i/>
          <w:sz w:val="22"/>
          <w:szCs w:val="22"/>
        </w:rPr>
        <w:t xml:space="preserve">”, “Dr. Adolfo M. Nieto” y “Granjas La Salud </w:t>
      </w:r>
      <w:proofErr w:type="spellStart"/>
      <w:r w:rsidRPr="00F71088">
        <w:rPr>
          <w:rFonts w:ascii="Palatino Linotype" w:hAnsi="Palatino Linotype"/>
          <w:i/>
          <w:sz w:val="22"/>
          <w:szCs w:val="22"/>
        </w:rPr>
        <w:t>Tlazolteotl</w:t>
      </w:r>
      <w:proofErr w:type="spellEnd"/>
      <w:r w:rsidRPr="00F71088">
        <w:rPr>
          <w:rFonts w:ascii="Palatino Linotype" w:hAnsi="Palatino Linotype"/>
          <w:i/>
          <w:sz w:val="22"/>
          <w:szCs w:val="22"/>
        </w:rPr>
        <w:t>”.</w:t>
      </w:r>
    </w:p>
    <w:p w:rsidR="00F71088" w:rsidRDefault="00F71088" w:rsidP="00CF25EA">
      <w:pPr>
        <w:pStyle w:val="Prrafodelista"/>
        <w:autoSpaceDE w:val="0"/>
        <w:autoSpaceDN w:val="0"/>
        <w:adjustRightInd w:val="0"/>
        <w:ind w:left="851" w:right="850"/>
        <w:jc w:val="both"/>
        <w:rPr>
          <w:rFonts w:ascii="Palatino Linotype" w:hAnsi="Palatino Linotype"/>
          <w:i/>
          <w:sz w:val="22"/>
          <w:szCs w:val="22"/>
        </w:rPr>
      </w:pPr>
    </w:p>
    <w:p w:rsidR="00CF25EA" w:rsidRPr="00F71088" w:rsidRDefault="00CF25EA"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Artículo 3. Los hospitales son unidades médicas de segundo nivel que prestan servicios de atención integral hospitalaria médico-psiquiátrica a usuarios que padezcan un trastorno mental.</w:t>
      </w:r>
    </w:p>
    <w:p w:rsidR="00F71088" w:rsidRDefault="00F71088" w:rsidP="00CF25EA">
      <w:pPr>
        <w:pStyle w:val="Prrafodelista"/>
        <w:autoSpaceDE w:val="0"/>
        <w:autoSpaceDN w:val="0"/>
        <w:adjustRightInd w:val="0"/>
        <w:ind w:left="851" w:right="850"/>
        <w:jc w:val="both"/>
        <w:rPr>
          <w:rFonts w:ascii="Palatino Linotype" w:hAnsi="Palatino Linotype"/>
          <w:i/>
          <w:sz w:val="22"/>
          <w:szCs w:val="22"/>
        </w:rPr>
      </w:pPr>
    </w:p>
    <w:p w:rsidR="00457E41" w:rsidRPr="00F71088" w:rsidRDefault="00CF25EA"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Artículo 5. Los hospitales proporcionarán servicios médicos a toda persona que lo solicite, en primera instancia, en los términos del presente Reglamento, sin distinción de raza, clase o condición social; pero para el internamiento de pacientes se atenderá a los siguientes: </w:t>
      </w:r>
    </w:p>
    <w:p w:rsidR="00457E41" w:rsidRPr="00F71088" w:rsidRDefault="00CF25EA"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I. En Hospital Psiquiátrico “José </w:t>
      </w:r>
      <w:proofErr w:type="spellStart"/>
      <w:r w:rsidRPr="00F71088">
        <w:rPr>
          <w:rFonts w:ascii="Palatino Linotype" w:hAnsi="Palatino Linotype"/>
          <w:i/>
          <w:sz w:val="22"/>
          <w:szCs w:val="22"/>
        </w:rPr>
        <w:t>Sáyago</w:t>
      </w:r>
      <w:proofErr w:type="spellEnd"/>
      <w:r w:rsidRPr="00F71088">
        <w:rPr>
          <w:rFonts w:ascii="Palatino Linotype" w:hAnsi="Palatino Linotype"/>
          <w:i/>
          <w:sz w:val="22"/>
          <w:szCs w:val="22"/>
        </w:rPr>
        <w:t xml:space="preserve">” a pacientes femeninos mayores de 18 años, </w:t>
      </w:r>
    </w:p>
    <w:p w:rsidR="00457E41" w:rsidRPr="00F71088" w:rsidRDefault="00CF25EA"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II. En Hospital Psiquiátrico “Dr. Adolfo M. Nieto” a pacientes femeninos mayores de 18 años; y </w:t>
      </w:r>
    </w:p>
    <w:p w:rsidR="00CF25EA" w:rsidRPr="00F71088" w:rsidRDefault="00CF25EA"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III. En Hospital Psiquiátrico “Granjas la Salud </w:t>
      </w:r>
      <w:proofErr w:type="spellStart"/>
      <w:r w:rsidRPr="00F71088">
        <w:rPr>
          <w:rFonts w:ascii="Palatino Linotype" w:hAnsi="Palatino Linotype"/>
          <w:i/>
          <w:sz w:val="22"/>
          <w:szCs w:val="22"/>
        </w:rPr>
        <w:t>Tlazolteotl</w:t>
      </w:r>
      <w:proofErr w:type="spellEnd"/>
      <w:r w:rsidRPr="00F71088">
        <w:rPr>
          <w:rFonts w:ascii="Palatino Linotype" w:hAnsi="Palatino Linotype"/>
          <w:i/>
          <w:sz w:val="22"/>
          <w:szCs w:val="22"/>
        </w:rPr>
        <w:t>” a pacientes masculinos mayores de 18 años.</w:t>
      </w:r>
    </w:p>
    <w:p w:rsidR="00F71088" w:rsidRDefault="00F71088" w:rsidP="00CF25EA">
      <w:pPr>
        <w:pStyle w:val="Prrafodelista"/>
        <w:autoSpaceDE w:val="0"/>
        <w:autoSpaceDN w:val="0"/>
        <w:adjustRightInd w:val="0"/>
        <w:ind w:left="851" w:right="850"/>
        <w:jc w:val="both"/>
        <w:rPr>
          <w:rFonts w:ascii="Palatino Linotype" w:hAnsi="Palatino Linotype"/>
          <w:i/>
          <w:sz w:val="22"/>
          <w:szCs w:val="22"/>
        </w:rPr>
      </w:pPr>
    </w:p>
    <w:p w:rsidR="00F71088"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lastRenderedPageBreak/>
        <w:t xml:space="preserve">Artículo 7. Para el cumplimiento de sus fines, los hospitales tendrán las siguientes funciones: </w:t>
      </w:r>
    </w:p>
    <w:p w:rsidR="00F71088"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I. Prestar servicios de salud en aspectos preventivos, curativos y de rehabilitación en el área de psiquiatría; </w:t>
      </w:r>
    </w:p>
    <w:p w:rsidR="00F71088"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II. Proporcionar consulta externa, atención hospitalaria y servicios de urgencias a la población que requiera en el área de psiquiatría, hasta el límite de su capacidad instalada; </w:t>
      </w:r>
    </w:p>
    <w:p w:rsidR="00F71088"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III. Contribuir al desarrollo de los programas prioritarios en materia de salud mental; </w:t>
      </w:r>
    </w:p>
    <w:p w:rsidR="00F71088"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IV. Operar los recursos inherentes a la prestación de los servicios referidos en las fracciones anteriores, de conformidad con las normas, políticas y procedimientos aplicables; </w:t>
      </w:r>
    </w:p>
    <w:p w:rsidR="00F71088"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V. Establecer y mantener congruencia y racionalidad en acciones y programas, de acuerdo a los lineamientos que establezca el Instituto; </w:t>
      </w:r>
    </w:p>
    <w:p w:rsidR="00F71088"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VI. Desarrollar en coordinación con las unidades competentes del Instituto las acciones relativas a las tareas de investigación en el campo de la salud mental; </w:t>
      </w:r>
    </w:p>
    <w:p w:rsidR="00F71088"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VII. Coadyuvar a la formación de recursos humanos en el campo de la salud mental; </w:t>
      </w:r>
    </w:p>
    <w:p w:rsidR="00F71088"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 xml:space="preserve">VIII. Formar parte del sistema escalonado de atención y de los programas de referencia y </w:t>
      </w:r>
      <w:proofErr w:type="spellStart"/>
      <w:r w:rsidRPr="00F71088">
        <w:rPr>
          <w:rFonts w:ascii="Palatino Linotype" w:hAnsi="Palatino Linotype"/>
          <w:i/>
          <w:sz w:val="22"/>
          <w:szCs w:val="22"/>
        </w:rPr>
        <w:t>contrarreferencia</w:t>
      </w:r>
      <w:proofErr w:type="spellEnd"/>
      <w:r w:rsidRPr="00F71088">
        <w:rPr>
          <w:rFonts w:ascii="Palatino Linotype" w:hAnsi="Palatino Linotype"/>
          <w:i/>
          <w:sz w:val="22"/>
          <w:szCs w:val="22"/>
        </w:rPr>
        <w:t xml:space="preserve"> de pacientes de población abierta; y </w:t>
      </w:r>
    </w:p>
    <w:p w:rsidR="00457E41" w:rsidRPr="00F71088" w:rsidRDefault="00F71088" w:rsidP="00CF25EA">
      <w:pPr>
        <w:pStyle w:val="Prrafodelista"/>
        <w:autoSpaceDE w:val="0"/>
        <w:autoSpaceDN w:val="0"/>
        <w:adjustRightInd w:val="0"/>
        <w:ind w:left="851" w:right="850"/>
        <w:jc w:val="both"/>
        <w:rPr>
          <w:rFonts w:ascii="Palatino Linotype" w:hAnsi="Palatino Linotype"/>
          <w:i/>
          <w:sz w:val="22"/>
          <w:szCs w:val="22"/>
        </w:rPr>
      </w:pPr>
      <w:r w:rsidRPr="00F71088">
        <w:rPr>
          <w:rFonts w:ascii="Palatino Linotype" w:hAnsi="Palatino Linotype"/>
          <w:i/>
          <w:sz w:val="22"/>
          <w:szCs w:val="22"/>
        </w:rPr>
        <w:t>IX. Las demás que les correspondan conforme al presente reglamento y otras disposiciones aplicables.</w:t>
      </w:r>
    </w:p>
    <w:p w:rsidR="00B406E2" w:rsidRPr="00CF25EA" w:rsidRDefault="00B406E2" w:rsidP="00CF25EA">
      <w:pPr>
        <w:pStyle w:val="Prrafodelista"/>
        <w:autoSpaceDE w:val="0"/>
        <w:autoSpaceDN w:val="0"/>
        <w:adjustRightInd w:val="0"/>
        <w:ind w:left="851" w:right="850"/>
        <w:jc w:val="both"/>
        <w:rPr>
          <w:rFonts w:ascii="Palatino Linotype" w:hAnsi="Palatino Linotype"/>
          <w:i/>
        </w:rPr>
      </w:pPr>
    </w:p>
    <w:p w:rsidR="00B406E2" w:rsidRDefault="00B406E2" w:rsidP="00AE2973">
      <w:pPr>
        <w:pStyle w:val="Prrafodelista"/>
        <w:autoSpaceDE w:val="0"/>
        <w:autoSpaceDN w:val="0"/>
        <w:adjustRightInd w:val="0"/>
        <w:spacing w:line="360" w:lineRule="auto"/>
        <w:ind w:left="0"/>
        <w:jc w:val="both"/>
        <w:rPr>
          <w:rFonts w:ascii="Palatino Linotype" w:hAnsi="Palatino Linotype" w:cs="Arial"/>
        </w:rPr>
      </w:pPr>
    </w:p>
    <w:p w:rsidR="00B406E2" w:rsidRDefault="003F49D3" w:rsidP="00AE2973">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Acorde a lo anterior, podemos advertir, que el Instituto de Seguridad Social del Estado de México es el Sujeto Obligado competente para informar procedimientos y asuntos de su competencia, siempre y cuando así se encuentre establecido en la normatividad en la materia.</w:t>
      </w:r>
    </w:p>
    <w:p w:rsidR="003F49D3" w:rsidRDefault="003F49D3" w:rsidP="00AE2973">
      <w:pPr>
        <w:pStyle w:val="Prrafodelista"/>
        <w:autoSpaceDE w:val="0"/>
        <w:autoSpaceDN w:val="0"/>
        <w:adjustRightInd w:val="0"/>
        <w:spacing w:line="360" w:lineRule="auto"/>
        <w:ind w:left="0"/>
        <w:jc w:val="both"/>
        <w:rPr>
          <w:rFonts w:ascii="Palatino Linotype" w:hAnsi="Palatino Linotype" w:cs="Arial"/>
        </w:rPr>
      </w:pPr>
    </w:p>
    <w:p w:rsidR="00C50242" w:rsidRPr="00377223" w:rsidRDefault="00B10C5A" w:rsidP="00C50242">
      <w:pPr>
        <w:spacing w:after="0" w:line="360" w:lineRule="auto"/>
        <w:jc w:val="both"/>
        <w:rPr>
          <w:rFonts w:ascii="Palatino Linotype" w:eastAsia="Times New Roman" w:hAnsi="Palatino Linotype" w:cs="Times New Roman"/>
          <w:sz w:val="24"/>
          <w:szCs w:val="24"/>
          <w:lang w:eastAsia="es-MX"/>
        </w:rPr>
      </w:pPr>
      <w:r>
        <w:rPr>
          <w:rFonts w:ascii="Palatino Linotype" w:eastAsia="Times New Roman" w:hAnsi="Palatino Linotype" w:cs="Times New Roman"/>
          <w:sz w:val="24"/>
          <w:szCs w:val="24"/>
          <w:lang w:eastAsia="es-MX"/>
        </w:rPr>
        <w:t xml:space="preserve">Así entonces, </w:t>
      </w:r>
      <w:r w:rsidR="00C50242" w:rsidRPr="00377223">
        <w:rPr>
          <w:rFonts w:ascii="Palatino Linotype" w:eastAsia="Times New Roman" w:hAnsi="Palatino Linotype" w:cs="Times New Roman"/>
          <w:sz w:val="24"/>
          <w:szCs w:val="24"/>
          <w:lang w:eastAsia="es-MX"/>
        </w:rPr>
        <w:t>se dejan a salvo los derechos del particular, si es que así lo desea, podrá suscribir una nueva solicitud de información.</w:t>
      </w:r>
    </w:p>
    <w:p w:rsidR="00C50242" w:rsidRDefault="00C50242" w:rsidP="00C50242"/>
    <w:p w:rsidR="005E202E" w:rsidRPr="00377223" w:rsidRDefault="005E202E" w:rsidP="005E202E">
      <w:pPr>
        <w:pStyle w:val="Prrafodelista"/>
        <w:spacing w:line="360" w:lineRule="auto"/>
        <w:ind w:left="0"/>
        <w:jc w:val="both"/>
        <w:rPr>
          <w:rFonts w:ascii="Palatino Linotype" w:hAnsi="Palatino Linotype" w:cs="Arial"/>
        </w:rPr>
      </w:pPr>
      <w:r w:rsidRPr="00377223">
        <w:rPr>
          <w:rFonts w:ascii="Palatino Linotype" w:hAnsi="Palatino Linotype"/>
          <w:color w:val="000000"/>
        </w:rPr>
        <w:t xml:space="preserve">Por último, </w:t>
      </w:r>
      <w:r w:rsidRPr="00377223">
        <w:rPr>
          <w:rFonts w:ascii="Palatino Linotype" w:hAnsi="Palatino Linotype"/>
          <w:lang w:eastAsia="es-MX"/>
        </w:rPr>
        <w:t xml:space="preserve">ante el pronunciamiento por parte del Sujeto Obligado, es dable señalar que los actos que realicen los servidores públicos, se realizan apegados a la atribuciones conferidas en los manuales y reglamentos que al efecto se expidan por lo </w:t>
      </w:r>
      <w:r w:rsidRPr="00377223">
        <w:rPr>
          <w:rFonts w:ascii="Palatino Linotype" w:hAnsi="Palatino Linotype"/>
          <w:lang w:eastAsia="es-MX"/>
        </w:rPr>
        <w:lastRenderedPageBreak/>
        <w:t>tanto</w:t>
      </w:r>
      <w:r w:rsidRPr="00377223">
        <w:rPr>
          <w:rFonts w:ascii="Palatino Linotype" w:hAnsi="Palatino Linotype"/>
          <w:color w:val="000000"/>
        </w:rPr>
        <w:t>, este</w:t>
      </w:r>
      <w:r w:rsidRPr="00377223">
        <w:rPr>
          <w:rFonts w:ascii="Palatino Linotype" w:hAnsi="Palatino Linotype"/>
        </w:rPr>
        <w:t xml:space="preserve"> Órgano de Transparencia no cuenta con las facultades para dudar de la veracidad de la información que manifiesta el Sujeto Obligado, </w:t>
      </w:r>
      <w:r w:rsidRPr="00377223">
        <w:rPr>
          <w:rFonts w:ascii="Palatino Linotype" w:hAnsi="Palatino Linotype" w:cs="Arial"/>
        </w:rPr>
        <w:t xml:space="preserve">por analogía el criterio </w:t>
      </w:r>
      <w:r w:rsidRPr="00377223">
        <w:rPr>
          <w:rFonts w:ascii="Palatino Linotype" w:hAnsi="Palatino Linotype" w:cs="Arial"/>
          <w:b/>
        </w:rPr>
        <w:t>31/10</w:t>
      </w:r>
      <w:r w:rsidRPr="00377223">
        <w:rPr>
          <w:rFonts w:ascii="Palatino Linotype" w:hAnsi="Palatino Linotype" w:cs="Arial"/>
        </w:rPr>
        <w:t xml:space="preserve"> emitido por el entonces Instituto Federal de Acceso a la Información y Protección de Datos ahora Instituto Federal de Acceso a la Información y Protección de Datos que establece:</w:t>
      </w:r>
    </w:p>
    <w:p w:rsidR="005E202E" w:rsidRPr="00377223" w:rsidRDefault="005E202E" w:rsidP="005E202E">
      <w:pPr>
        <w:spacing w:after="0" w:line="360" w:lineRule="auto"/>
        <w:jc w:val="both"/>
        <w:rPr>
          <w:rFonts w:ascii="Palatino Linotype" w:hAnsi="Palatino Linotype" w:cs="Arial"/>
          <w:sz w:val="12"/>
        </w:rPr>
      </w:pPr>
    </w:p>
    <w:p w:rsidR="005E202E" w:rsidRPr="00377223" w:rsidRDefault="005E202E" w:rsidP="005E202E">
      <w:pPr>
        <w:spacing w:after="0" w:line="240" w:lineRule="auto"/>
        <w:ind w:left="567" w:right="567"/>
        <w:jc w:val="both"/>
        <w:rPr>
          <w:rFonts w:ascii="Palatino Linotype" w:hAnsi="Palatino Linotype" w:cs="Arial"/>
          <w:i/>
        </w:rPr>
      </w:pPr>
      <w:r w:rsidRPr="00377223">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377223">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377223">
        <w:rPr>
          <w:rFonts w:ascii="Palatino Linotype" w:hAnsi="Palatino Linotype" w:cs="Arial"/>
          <w:i/>
          <w:u w:val="single"/>
        </w:rPr>
        <w:t>no está facultado para pronunciarse sobre la veracidad de la información proporcionada por las autoridades</w:t>
      </w:r>
      <w:r w:rsidRPr="00377223">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5E202E" w:rsidRPr="00377223" w:rsidRDefault="005E202E" w:rsidP="005E202E">
      <w:pPr>
        <w:spacing w:after="0" w:line="360" w:lineRule="auto"/>
        <w:rPr>
          <w:sz w:val="24"/>
        </w:rPr>
      </w:pPr>
    </w:p>
    <w:p w:rsidR="005E202E" w:rsidRDefault="005E202E" w:rsidP="005E202E">
      <w:pPr>
        <w:spacing w:after="0" w:line="360" w:lineRule="auto"/>
        <w:jc w:val="both"/>
        <w:rPr>
          <w:rFonts w:ascii="Palatino Linotype" w:hAnsi="Palatino Linotype" w:cs="Arial"/>
          <w:color w:val="000000" w:themeColor="text1"/>
          <w:sz w:val="24"/>
          <w:szCs w:val="24"/>
        </w:rPr>
      </w:pPr>
      <w:r w:rsidRPr="00377223">
        <w:rPr>
          <w:rFonts w:ascii="Palatino Linotype" w:hAnsi="Palatino Linotype" w:cs="Arial"/>
          <w:color w:val="000000" w:themeColor="text1"/>
          <w:sz w:val="24"/>
          <w:szCs w:val="24"/>
        </w:rPr>
        <w:t xml:space="preserve">En conclusión la información </w:t>
      </w:r>
      <w:r>
        <w:rPr>
          <w:rFonts w:ascii="Palatino Linotype" w:hAnsi="Palatino Linotype" w:cs="Arial"/>
          <w:color w:val="000000" w:themeColor="text1"/>
          <w:sz w:val="24"/>
          <w:szCs w:val="24"/>
        </w:rPr>
        <w:t>solicitada, compete a otro Dependencia, por lo tanto, el Sujeto Obligado al informar dentro del término que establece el artículo 167</w:t>
      </w:r>
      <w:r>
        <w:rPr>
          <w:rStyle w:val="Refdenotaalpie"/>
          <w:rFonts w:ascii="Palatino Linotype" w:hAnsi="Palatino Linotype" w:cs="Arial"/>
          <w:color w:val="000000" w:themeColor="text1"/>
          <w:sz w:val="24"/>
          <w:szCs w:val="24"/>
        </w:rPr>
        <w:footnoteReference w:id="1"/>
      </w:r>
      <w:r w:rsidR="006110F4">
        <w:rPr>
          <w:rFonts w:ascii="Palatino Linotype" w:hAnsi="Palatino Linotype" w:cs="Arial"/>
          <w:color w:val="000000" w:themeColor="text1"/>
          <w:sz w:val="24"/>
          <w:szCs w:val="24"/>
        </w:rPr>
        <w:t xml:space="preserve">, de la Ley de Transparencia, Acceso a la Información Pública del Estado de México y Municipios, se encuentra actuando bajo las normas establecidas en las Leyes que rigen </w:t>
      </w:r>
      <w:r w:rsidR="00A02150">
        <w:rPr>
          <w:rFonts w:ascii="Palatino Linotype" w:hAnsi="Palatino Linotype" w:cs="Arial"/>
          <w:color w:val="000000" w:themeColor="text1"/>
          <w:sz w:val="24"/>
          <w:szCs w:val="24"/>
        </w:rPr>
        <w:t>el derecho de Acceso</w:t>
      </w:r>
      <w:r w:rsidR="006110F4">
        <w:rPr>
          <w:rFonts w:ascii="Palatino Linotype" w:hAnsi="Palatino Linotype" w:cs="Arial"/>
          <w:color w:val="000000" w:themeColor="text1"/>
          <w:sz w:val="24"/>
          <w:szCs w:val="24"/>
        </w:rPr>
        <w:t xml:space="preserve"> a la Información.</w:t>
      </w:r>
    </w:p>
    <w:p w:rsidR="005E202E" w:rsidRDefault="005E202E" w:rsidP="005E202E">
      <w:pPr>
        <w:spacing w:after="0" w:line="360" w:lineRule="auto"/>
        <w:jc w:val="both"/>
        <w:rPr>
          <w:rFonts w:ascii="Palatino Linotype" w:hAnsi="Palatino Linotype" w:cs="Arial"/>
          <w:color w:val="000000" w:themeColor="text1"/>
          <w:sz w:val="24"/>
          <w:szCs w:val="24"/>
        </w:rPr>
      </w:pPr>
    </w:p>
    <w:p w:rsidR="00C50242" w:rsidRPr="00377223" w:rsidRDefault="00C50242" w:rsidP="00C50242">
      <w:pPr>
        <w:spacing w:after="0" w:line="360" w:lineRule="auto"/>
        <w:jc w:val="both"/>
        <w:rPr>
          <w:rFonts w:ascii="Palatino Linotype" w:hAnsi="Palatino Linotype"/>
          <w:sz w:val="24"/>
          <w:szCs w:val="24"/>
        </w:rPr>
      </w:pPr>
      <w:r w:rsidRPr="00377223">
        <w:rPr>
          <w:rFonts w:ascii="Palatino Linotype" w:hAnsi="Palatino Linotype" w:cs="Arial"/>
          <w:sz w:val="24"/>
          <w:szCs w:val="24"/>
          <w:lang w:eastAsia="es-MX"/>
        </w:rPr>
        <w:lastRenderedPageBreak/>
        <w:t>Final</w:t>
      </w:r>
      <w:r w:rsidRPr="00377223">
        <w:rPr>
          <w:rFonts w:ascii="Palatino Linotype" w:hAnsi="Palatino Linotype"/>
          <w:sz w:val="24"/>
          <w:szCs w:val="24"/>
        </w:rPr>
        <w:t xml:space="preserve">mente y en mérito de lo expuesto en líneas anteriores, resultan infundados los motivos de inconformidad vertidos por el Recurrente, por ello con fundamento en el artículo 186 fracción II de la Ley de Transparencia y Acceso a la Información Pública del Estado de México y Municipios, se CONFIRMA la respuesta a la solicitud de información </w:t>
      </w:r>
      <w:r w:rsidR="00A02150" w:rsidRPr="00DC233F">
        <w:rPr>
          <w:rFonts w:ascii="Palatino Linotype" w:hAnsi="Palatino Linotype" w:cs="Arial"/>
          <w:b/>
          <w:sz w:val="24"/>
          <w:szCs w:val="24"/>
        </w:rPr>
        <w:t>00291/SSALUD/IP/2019</w:t>
      </w:r>
      <w:r w:rsidRPr="00377223">
        <w:rPr>
          <w:rFonts w:ascii="Palatino Linotype" w:hAnsi="Palatino Linotype" w:cs="Arial"/>
          <w:b/>
          <w:sz w:val="24"/>
          <w:szCs w:val="24"/>
        </w:rPr>
        <w:t xml:space="preserve">, </w:t>
      </w:r>
      <w:r w:rsidRPr="00377223">
        <w:rPr>
          <w:rFonts w:ascii="Palatino Linotype" w:hAnsi="Palatino Linotype"/>
          <w:sz w:val="24"/>
          <w:szCs w:val="24"/>
        </w:rPr>
        <w:t>que han sido materia del presente fallo.</w:t>
      </w:r>
    </w:p>
    <w:p w:rsidR="00C50242" w:rsidRPr="00377223" w:rsidRDefault="00C50242" w:rsidP="00C50242">
      <w:pPr>
        <w:spacing w:after="0" w:line="360" w:lineRule="auto"/>
        <w:jc w:val="both"/>
        <w:rPr>
          <w:rFonts w:ascii="Palatino Linotype" w:hAnsi="Palatino Linotype"/>
          <w:sz w:val="24"/>
          <w:szCs w:val="24"/>
        </w:rPr>
      </w:pPr>
    </w:p>
    <w:p w:rsidR="00C50242" w:rsidRPr="00377223" w:rsidRDefault="00C50242" w:rsidP="00C50242">
      <w:pPr>
        <w:spacing w:after="0" w:line="360" w:lineRule="auto"/>
        <w:jc w:val="both"/>
        <w:rPr>
          <w:rFonts w:ascii="Palatino Linotype" w:hAnsi="Palatino Linotype"/>
          <w:sz w:val="24"/>
          <w:szCs w:val="24"/>
        </w:rPr>
      </w:pPr>
      <w:r w:rsidRPr="00377223">
        <w:rPr>
          <w:rFonts w:ascii="Palatino Linotype" w:hAnsi="Palatino Linotype"/>
          <w:sz w:val="24"/>
          <w:szCs w:val="24"/>
        </w:rPr>
        <w:t xml:space="preserve">Por lo antes expuesto y fundado. </w:t>
      </w:r>
    </w:p>
    <w:p w:rsidR="00C50242" w:rsidRPr="00377223" w:rsidRDefault="00C50242" w:rsidP="00C50242">
      <w:pPr>
        <w:spacing w:after="0" w:line="360" w:lineRule="auto"/>
        <w:jc w:val="both"/>
        <w:rPr>
          <w:rFonts w:ascii="Palatino Linotype" w:hAnsi="Palatino Linotype"/>
          <w:sz w:val="24"/>
          <w:szCs w:val="24"/>
        </w:rPr>
      </w:pPr>
    </w:p>
    <w:p w:rsidR="00C50242" w:rsidRPr="00377223" w:rsidRDefault="00C50242" w:rsidP="00C50242">
      <w:pPr>
        <w:spacing w:after="0" w:line="360" w:lineRule="auto"/>
        <w:jc w:val="center"/>
        <w:rPr>
          <w:rFonts w:ascii="Palatino Linotype" w:eastAsia="Times New Roman" w:hAnsi="Palatino Linotype"/>
          <w:b/>
          <w:bCs/>
          <w:spacing w:val="60"/>
          <w:sz w:val="24"/>
          <w:szCs w:val="24"/>
          <w:lang w:val="es-ES_tradnl"/>
        </w:rPr>
      </w:pPr>
      <w:r w:rsidRPr="00377223">
        <w:rPr>
          <w:rFonts w:ascii="Palatino Linotype" w:eastAsia="Times New Roman" w:hAnsi="Palatino Linotype"/>
          <w:b/>
          <w:bCs/>
          <w:spacing w:val="60"/>
          <w:sz w:val="24"/>
          <w:szCs w:val="24"/>
          <w:lang w:val="es-ES_tradnl"/>
        </w:rPr>
        <w:t>SE    RESUELVE</w:t>
      </w:r>
    </w:p>
    <w:p w:rsidR="00C50242" w:rsidRPr="00377223" w:rsidRDefault="00C50242" w:rsidP="00C50242">
      <w:pPr>
        <w:spacing w:after="0" w:line="360" w:lineRule="auto"/>
        <w:jc w:val="center"/>
        <w:rPr>
          <w:rFonts w:ascii="Palatino Linotype" w:eastAsia="Times New Roman" w:hAnsi="Palatino Linotype"/>
          <w:b/>
          <w:bCs/>
          <w:spacing w:val="60"/>
          <w:sz w:val="12"/>
          <w:szCs w:val="24"/>
          <w:lang w:val="es-ES_tradnl"/>
        </w:rPr>
      </w:pPr>
    </w:p>
    <w:p w:rsidR="00C50242" w:rsidRPr="00377223" w:rsidRDefault="00C50242" w:rsidP="00C50242">
      <w:pPr>
        <w:autoSpaceDE w:val="0"/>
        <w:autoSpaceDN w:val="0"/>
        <w:adjustRightInd w:val="0"/>
        <w:spacing w:after="0" w:line="360" w:lineRule="auto"/>
        <w:ind w:right="49"/>
        <w:jc w:val="both"/>
        <w:rPr>
          <w:rFonts w:ascii="Palatino Linotype" w:hAnsi="Palatino Linotype" w:cs="Arial"/>
          <w:sz w:val="24"/>
          <w:szCs w:val="24"/>
        </w:rPr>
      </w:pPr>
      <w:r w:rsidRPr="00377223">
        <w:rPr>
          <w:rFonts w:ascii="Palatino Linotype" w:hAnsi="Palatino Linotype" w:cs="Arial"/>
          <w:b/>
          <w:sz w:val="28"/>
          <w:szCs w:val="28"/>
          <w:lang w:val="es-ES_tradnl"/>
        </w:rPr>
        <w:t>PRIMERO</w:t>
      </w:r>
      <w:r w:rsidRPr="00377223">
        <w:rPr>
          <w:rFonts w:ascii="Palatino Linotype" w:hAnsi="Palatino Linotype" w:cs="Arial"/>
          <w:sz w:val="24"/>
          <w:szCs w:val="24"/>
        </w:rPr>
        <w:t xml:space="preserve"> Se</w:t>
      </w:r>
      <w:r w:rsidRPr="00377223">
        <w:rPr>
          <w:rFonts w:ascii="Palatino Linotype" w:hAnsi="Palatino Linotype" w:cs="Arial"/>
          <w:b/>
          <w:sz w:val="24"/>
          <w:szCs w:val="24"/>
        </w:rPr>
        <w:t xml:space="preserve"> confirma </w:t>
      </w:r>
      <w:r w:rsidRPr="00377223">
        <w:rPr>
          <w:rFonts w:ascii="Palatino Linotype" w:hAnsi="Palatino Linotype" w:cs="Arial"/>
          <w:sz w:val="24"/>
          <w:szCs w:val="24"/>
        </w:rPr>
        <w:t>la respuesta del Sujeto Obligado, por resultar infundados los motivos de inconformidad vertidos por la Recurrente, en términos del Considerando Cuarto de ésta resolución.</w:t>
      </w:r>
    </w:p>
    <w:p w:rsidR="00C50242" w:rsidRPr="00377223" w:rsidRDefault="00C50242" w:rsidP="00C50242">
      <w:pPr>
        <w:autoSpaceDE w:val="0"/>
        <w:autoSpaceDN w:val="0"/>
        <w:adjustRightInd w:val="0"/>
        <w:spacing w:after="0" w:line="360" w:lineRule="auto"/>
        <w:ind w:left="360" w:right="49"/>
        <w:jc w:val="both"/>
        <w:rPr>
          <w:rFonts w:ascii="Palatino Linotype" w:hAnsi="Palatino Linotype" w:cs="Arial"/>
          <w:sz w:val="24"/>
        </w:rPr>
      </w:pPr>
    </w:p>
    <w:p w:rsidR="00C50242" w:rsidRPr="00377223" w:rsidRDefault="00C50242" w:rsidP="00C50242">
      <w:pPr>
        <w:spacing w:after="0" w:line="360" w:lineRule="auto"/>
        <w:jc w:val="both"/>
        <w:rPr>
          <w:rFonts w:ascii="Palatino Linotype" w:hAnsi="Palatino Linotype" w:cs="Arial"/>
          <w:sz w:val="24"/>
          <w:szCs w:val="24"/>
        </w:rPr>
      </w:pPr>
      <w:r w:rsidRPr="00377223">
        <w:rPr>
          <w:rFonts w:ascii="Palatino Linotype" w:hAnsi="Palatino Linotype" w:cs="Arial"/>
          <w:b/>
          <w:sz w:val="28"/>
          <w:szCs w:val="24"/>
        </w:rPr>
        <w:t>SEGUNDO.</w:t>
      </w:r>
      <w:r w:rsidRPr="00377223">
        <w:rPr>
          <w:rFonts w:ascii="Palatino Linotype" w:hAnsi="Palatino Linotype"/>
          <w:noProof/>
          <w:sz w:val="24"/>
          <w:szCs w:val="24"/>
          <w:lang w:eastAsia="es-MX"/>
        </w:rPr>
        <w:t xml:space="preserve"> Notifiquese la presente resolución </w:t>
      </w:r>
      <w:r w:rsidRPr="00377223">
        <w:rPr>
          <w:rFonts w:ascii="Palatino Linotype" w:hAnsi="Palatino Linotype" w:cs="Arial"/>
          <w:sz w:val="24"/>
          <w:szCs w:val="24"/>
        </w:rPr>
        <w:t>al Titular de la Unidad de Transparencia del</w:t>
      </w:r>
      <w:r w:rsidRPr="00377223">
        <w:rPr>
          <w:rFonts w:ascii="Palatino Linotype" w:hAnsi="Palatino Linotype" w:cs="Arial"/>
          <w:b/>
          <w:sz w:val="24"/>
          <w:szCs w:val="24"/>
        </w:rPr>
        <w:t xml:space="preserve"> </w:t>
      </w:r>
      <w:r w:rsidRPr="00377223">
        <w:rPr>
          <w:rFonts w:ascii="Palatino Linotype" w:hAnsi="Palatino Linotype" w:cs="Arial"/>
          <w:sz w:val="24"/>
          <w:szCs w:val="24"/>
        </w:rPr>
        <w:t>Sujeto Obligado</w:t>
      </w:r>
      <w:r w:rsidR="00C524C4">
        <w:rPr>
          <w:rFonts w:ascii="Palatino Linotype" w:hAnsi="Palatino Linotype" w:cs="Arial"/>
          <w:sz w:val="24"/>
          <w:szCs w:val="24"/>
        </w:rPr>
        <w:t>, mediante el SAIMEX.</w:t>
      </w:r>
      <w:bookmarkStart w:id="0" w:name="_GoBack"/>
      <w:bookmarkEnd w:id="0"/>
    </w:p>
    <w:p w:rsidR="00C50242" w:rsidRPr="00377223" w:rsidRDefault="00C50242" w:rsidP="00C50242">
      <w:pPr>
        <w:spacing w:after="0" w:line="360" w:lineRule="auto"/>
        <w:jc w:val="both"/>
        <w:rPr>
          <w:rFonts w:ascii="Palatino Linotype" w:hAnsi="Palatino Linotype"/>
          <w:sz w:val="24"/>
          <w:szCs w:val="24"/>
          <w:lang w:val="es-ES_tradnl"/>
        </w:rPr>
      </w:pPr>
    </w:p>
    <w:p w:rsidR="00B406E2" w:rsidRDefault="00C50242" w:rsidP="00C50242">
      <w:pPr>
        <w:pStyle w:val="Prrafodelista"/>
        <w:autoSpaceDE w:val="0"/>
        <w:autoSpaceDN w:val="0"/>
        <w:adjustRightInd w:val="0"/>
        <w:spacing w:line="360" w:lineRule="auto"/>
        <w:ind w:left="0"/>
        <w:jc w:val="both"/>
        <w:rPr>
          <w:rFonts w:ascii="Palatino Linotype" w:hAnsi="Palatino Linotype" w:cs="Arial"/>
        </w:rPr>
      </w:pPr>
      <w:r w:rsidRPr="00377223">
        <w:rPr>
          <w:rFonts w:ascii="Palatino Linotype" w:hAnsi="Palatino Linotype" w:cs="Arial"/>
          <w:b/>
          <w:sz w:val="28"/>
          <w:szCs w:val="28"/>
        </w:rPr>
        <w:t>TERCERO.</w:t>
      </w:r>
      <w:r w:rsidRPr="00377223">
        <w:rPr>
          <w:rFonts w:ascii="Palatino Linotype" w:hAnsi="Palatino Linotype" w:cs="Arial"/>
          <w:b/>
        </w:rPr>
        <w:t xml:space="preserve"> </w:t>
      </w:r>
      <w:r w:rsidRPr="00377223">
        <w:rPr>
          <w:rFonts w:ascii="Palatino Linotype" w:hAnsi="Palatino Linotype" w:cs="Arial"/>
        </w:rPr>
        <w:t>Notifíquese al Recurrente</w:t>
      </w:r>
      <w:r w:rsidR="00FF1860">
        <w:rPr>
          <w:rFonts w:ascii="Palatino Linotype" w:hAnsi="Palatino Linotype" w:cs="Arial"/>
        </w:rPr>
        <w:t xml:space="preserve"> mediante </w:t>
      </w:r>
      <w:r w:rsidR="00C524C4">
        <w:rPr>
          <w:rFonts w:ascii="Palatino Linotype" w:hAnsi="Palatino Linotype" w:cs="Arial"/>
        </w:rPr>
        <w:t xml:space="preserve">el sistema SAIMEX y </w:t>
      </w:r>
      <w:r w:rsidR="00FF1860">
        <w:rPr>
          <w:rFonts w:ascii="Palatino Linotype" w:hAnsi="Palatino Linotype" w:cs="Arial"/>
        </w:rPr>
        <w:t>correo electrónico</w:t>
      </w:r>
      <w:r w:rsidR="00C524C4">
        <w:rPr>
          <w:rFonts w:ascii="Palatino Linotype" w:hAnsi="Palatino Linotype" w:cs="Arial"/>
        </w:rPr>
        <w:t xml:space="preserve">, así mismo </w:t>
      </w:r>
      <w:r w:rsidRPr="00377223">
        <w:rPr>
          <w:rFonts w:ascii="Palatino Linotype" w:hAnsi="Palatino Linotype" w:cs="Arial"/>
        </w:rPr>
        <w:t>hágase del conocimiento que en caso de considerar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B406E2" w:rsidRDefault="00B406E2" w:rsidP="00AE2973">
      <w:pPr>
        <w:pStyle w:val="Prrafodelista"/>
        <w:autoSpaceDE w:val="0"/>
        <w:autoSpaceDN w:val="0"/>
        <w:adjustRightInd w:val="0"/>
        <w:spacing w:line="360" w:lineRule="auto"/>
        <w:ind w:left="0"/>
        <w:jc w:val="both"/>
        <w:rPr>
          <w:rFonts w:ascii="Palatino Linotype" w:hAnsi="Palatino Linotype" w:cs="Arial"/>
        </w:rPr>
      </w:pPr>
    </w:p>
    <w:p w:rsidR="00CC4075" w:rsidRDefault="00981B92" w:rsidP="00AE2973">
      <w:pPr>
        <w:autoSpaceDE w:val="0"/>
        <w:autoSpaceDN w:val="0"/>
        <w:adjustRightInd w:val="0"/>
        <w:spacing w:after="0" w:line="360" w:lineRule="auto"/>
        <w:jc w:val="both"/>
        <w:rPr>
          <w:rFonts w:ascii="Palatino Linotype" w:hAnsi="Palatino Linotype" w:cs="Arial"/>
          <w:sz w:val="24"/>
          <w:szCs w:val="24"/>
          <w:lang w:eastAsia="es-MX"/>
        </w:rPr>
      </w:pPr>
      <w:r w:rsidRPr="00D05C83">
        <w:rPr>
          <w:rFonts w:ascii="Palatino Linotype" w:hAnsi="Palatino Linotype" w:cs="Arial"/>
          <w:sz w:val="24"/>
          <w:szCs w:val="24"/>
        </w:rPr>
        <w:lastRenderedPageBreak/>
        <w:t>ASÍ LO RESUELVE, POR UNANIMIDAD DE VOTOS EL PLENO DEL</w:t>
      </w:r>
      <w:r w:rsidRPr="00D05C83">
        <w:rPr>
          <w:rFonts w:ascii="Palatino Linotype" w:eastAsia="Arial Unicode MS" w:hAnsi="Palatino Linotype" w:cs="Arial"/>
          <w:sz w:val="24"/>
          <w:szCs w:val="24"/>
        </w:rPr>
        <w:t xml:space="preserve"> INSTITUTO </w:t>
      </w:r>
      <w:r w:rsidRPr="006C6A05">
        <w:rPr>
          <w:rFonts w:ascii="Palatino Linotype" w:eastAsia="Arial Unicode MS" w:hAnsi="Palatino Linotype" w:cs="Arial"/>
          <w:sz w:val="24"/>
          <w:szCs w:val="24"/>
        </w:rPr>
        <w:t>DE TRANSPARENCIA, ACCESO A LA INFORMACIÓN PÚBLICA Y PROTECCIÓN DE DATOS PERSONALES DEL ESTADO DE MÉXICO Y MUNICIPIOS</w:t>
      </w:r>
      <w:r w:rsidRPr="006C6A05">
        <w:rPr>
          <w:rFonts w:ascii="Palatino Linotype" w:hAnsi="Palatino Linotype" w:cs="Arial"/>
          <w:sz w:val="24"/>
          <w:szCs w:val="24"/>
        </w:rPr>
        <w:t xml:space="preserve">, </w:t>
      </w:r>
      <w:r w:rsidRPr="00BB7E9B">
        <w:rPr>
          <w:rFonts w:ascii="Palatino Linotype" w:hAnsi="Palatino Linotype" w:cs="Arial"/>
          <w:sz w:val="24"/>
          <w:szCs w:val="24"/>
        </w:rPr>
        <w:t>CONFORMADO POR LOS COMISIONADOS</w:t>
      </w:r>
      <w:r w:rsidR="00CC4075">
        <w:rPr>
          <w:rFonts w:ascii="Palatino Linotype" w:hAnsi="Palatino Linotype" w:cs="Arial"/>
          <w:sz w:val="24"/>
          <w:szCs w:val="24"/>
        </w:rPr>
        <w:t>:</w:t>
      </w:r>
      <w:r w:rsidRPr="00BB7E9B">
        <w:rPr>
          <w:rFonts w:ascii="Palatino Linotype" w:hAnsi="Palatino Linotype" w:cs="Arial"/>
          <w:sz w:val="24"/>
          <w:szCs w:val="24"/>
        </w:rPr>
        <w:t xml:space="preserve"> ZULEMA MARTÍNEZ SÁNCHEZ, EVA ABAID YAPUR</w:t>
      </w:r>
      <w:r>
        <w:rPr>
          <w:rFonts w:ascii="Palatino Linotype" w:hAnsi="Palatino Linotype" w:cs="Arial"/>
          <w:sz w:val="24"/>
          <w:szCs w:val="24"/>
        </w:rPr>
        <w:t xml:space="preserve">, </w:t>
      </w:r>
      <w:r w:rsidRPr="00BB7E9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BB7E9B">
        <w:rPr>
          <w:rFonts w:ascii="Palatino Linotype" w:hAnsi="Palatino Linotype" w:cs="Arial"/>
          <w:sz w:val="24"/>
          <w:szCs w:val="24"/>
        </w:rPr>
        <w:t>JAVIER MARTÍNEZ CRUZ Y LUIS GUSTAVO PARRA NORIEGA</w:t>
      </w:r>
      <w:r w:rsidR="002B0F9E">
        <w:rPr>
          <w:rFonts w:ascii="Palatino Linotype" w:hAnsi="Palatino Linotype" w:cs="Arial"/>
          <w:sz w:val="24"/>
          <w:szCs w:val="24"/>
        </w:rPr>
        <w:t>,</w:t>
      </w:r>
      <w:r w:rsidRPr="00BB7E9B">
        <w:rPr>
          <w:rFonts w:ascii="Palatino Linotype" w:hAnsi="Palatino Linotype" w:cs="Arial"/>
          <w:sz w:val="24"/>
          <w:szCs w:val="24"/>
        </w:rPr>
        <w:t xml:space="preserve"> EN LA </w:t>
      </w:r>
      <w:r w:rsidR="002B0F9E">
        <w:rPr>
          <w:rFonts w:ascii="Palatino Linotype" w:hAnsi="Palatino Linotype" w:cs="Arial"/>
          <w:sz w:val="24"/>
          <w:szCs w:val="24"/>
        </w:rPr>
        <w:t>CUADRAGÉSIMA SÉPTIMA</w:t>
      </w:r>
      <w:r w:rsidR="00CC4075">
        <w:rPr>
          <w:rFonts w:ascii="Palatino Linotype" w:hAnsi="Palatino Linotype" w:cs="Arial"/>
          <w:sz w:val="24"/>
          <w:szCs w:val="24"/>
        </w:rPr>
        <w:t xml:space="preserve"> </w:t>
      </w:r>
      <w:r w:rsidRPr="00BB7E9B">
        <w:rPr>
          <w:rFonts w:ascii="Palatino Linotype" w:hAnsi="Palatino Linotype" w:cs="Arial"/>
          <w:sz w:val="24"/>
          <w:szCs w:val="24"/>
        </w:rPr>
        <w:t>SESIÓN ORDINARIA CELEBRADA EL</w:t>
      </w:r>
      <w:r w:rsidR="002B0F9E">
        <w:rPr>
          <w:rFonts w:ascii="Palatino Linotype" w:hAnsi="Palatino Linotype" w:cs="Arial"/>
          <w:sz w:val="24"/>
          <w:szCs w:val="24"/>
        </w:rPr>
        <w:t xml:space="preserve"> DIECIOCHO DE DICIEMBRE</w:t>
      </w:r>
      <w:r w:rsidRPr="00BB7E9B">
        <w:rPr>
          <w:rFonts w:ascii="Palatino Linotype" w:hAnsi="Palatino Linotype" w:cs="Arial"/>
          <w:sz w:val="24"/>
          <w:szCs w:val="24"/>
        </w:rPr>
        <w:t xml:space="preserve"> DE DOS MIL DIECINUEVE, ANTE EL SECRETARIO TÉCNICO DEL PLENO, ALEXIS TAPIA RAMÍREZ.</w:t>
      </w:r>
      <w:r>
        <w:rPr>
          <w:rFonts w:ascii="Palatino Linotype" w:hAnsi="Palatino Linotype" w:cs="Arial"/>
          <w:sz w:val="24"/>
          <w:szCs w:val="24"/>
        </w:rPr>
        <w:t xml:space="preserve">  </w:t>
      </w:r>
      <w:r w:rsidR="00CC4075">
        <w:rPr>
          <w:rFonts w:ascii="Palatino Linotype" w:hAnsi="Palatino Linotype" w:cs="Arial"/>
          <w:sz w:val="24"/>
          <w:szCs w:val="24"/>
        </w:rPr>
        <w:t xml:space="preserve"> --------</w:t>
      </w:r>
      <w:r w:rsidR="002B0F9E">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C4075" w:rsidTr="00F16AD1">
        <w:trPr>
          <w:jc w:val="center"/>
        </w:trPr>
        <w:tc>
          <w:tcPr>
            <w:tcW w:w="9062" w:type="dxa"/>
            <w:gridSpan w:val="2"/>
          </w:tcPr>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2B0F9E" w:rsidRDefault="002B0F9E"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r>
              <w:rPr>
                <w:rFonts w:ascii="Palatino Linotype" w:hAnsi="Palatino Linotype"/>
                <w:b/>
              </w:rPr>
              <w:t>Zulema Martínez Sánchez</w:t>
            </w:r>
          </w:p>
          <w:p w:rsidR="00CC4075" w:rsidRDefault="00CC4075" w:rsidP="00F16AD1">
            <w:pPr>
              <w:pStyle w:val="Sinespaciado"/>
              <w:jc w:val="center"/>
              <w:rPr>
                <w:rFonts w:ascii="Palatino Linotype" w:hAnsi="Palatino Linotype"/>
              </w:rPr>
            </w:pPr>
            <w:r>
              <w:rPr>
                <w:rFonts w:ascii="Palatino Linotype" w:hAnsi="Palatino Linotype"/>
              </w:rPr>
              <w:t>Comisionada Presidenta</w:t>
            </w:r>
          </w:p>
          <w:p w:rsidR="00CC4075" w:rsidRDefault="00CC4075" w:rsidP="00F16AD1">
            <w:pPr>
              <w:pStyle w:val="Sinespaciado"/>
              <w:jc w:val="center"/>
              <w:rPr>
                <w:rFonts w:ascii="Palatino Linotype" w:hAnsi="Palatino Linotype"/>
              </w:rPr>
            </w:pPr>
            <w:r>
              <w:rPr>
                <w:rFonts w:ascii="Palatino Linotype" w:hAnsi="Palatino Linotype"/>
              </w:rPr>
              <w:t>(Rúbrica)</w:t>
            </w:r>
          </w:p>
          <w:p w:rsidR="00CC4075" w:rsidRDefault="00CC4075" w:rsidP="00F16AD1">
            <w:pPr>
              <w:pStyle w:val="Sinespaciado"/>
              <w:jc w:val="center"/>
              <w:rPr>
                <w:rFonts w:ascii="Palatino Linotype" w:hAnsi="Palatino Linotype"/>
              </w:rPr>
            </w:pPr>
            <w:r>
              <w:rPr>
                <w:rFonts w:ascii="Palatino Linotype" w:hAnsi="Palatino Linotype"/>
                <w:color w:val="FFFFFF" w:themeColor="background1"/>
              </w:rPr>
              <w:t>(Rúbrica)</w:t>
            </w:r>
          </w:p>
        </w:tc>
      </w:tr>
      <w:tr w:rsidR="00CC4075" w:rsidTr="00F16AD1">
        <w:trPr>
          <w:jc w:val="center"/>
        </w:trPr>
        <w:tc>
          <w:tcPr>
            <w:tcW w:w="4531" w:type="dxa"/>
          </w:tcPr>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w:t>
            </w:r>
            <w:proofErr w:type="spellStart"/>
            <w:r>
              <w:rPr>
                <w:rFonts w:ascii="Palatino Linotype" w:hAnsi="Palatino Linotype"/>
                <w:b/>
              </w:rPr>
              <w:t>Yapur</w:t>
            </w:r>
            <w:proofErr w:type="spellEnd"/>
          </w:p>
          <w:p w:rsidR="00CC4075" w:rsidRDefault="00CC4075" w:rsidP="00F16AD1">
            <w:pPr>
              <w:pStyle w:val="Sinespaciado"/>
              <w:jc w:val="center"/>
              <w:rPr>
                <w:rFonts w:ascii="Palatino Linotype" w:hAnsi="Palatino Linotype"/>
              </w:rPr>
            </w:pPr>
            <w:r>
              <w:rPr>
                <w:rFonts w:ascii="Palatino Linotype" w:hAnsi="Palatino Linotype"/>
              </w:rPr>
              <w:t>Comisionada</w:t>
            </w:r>
          </w:p>
          <w:p w:rsidR="00CC4075" w:rsidRDefault="00CC4075" w:rsidP="00F16AD1">
            <w:pPr>
              <w:pStyle w:val="Sinespaciado"/>
              <w:jc w:val="center"/>
              <w:rPr>
                <w:rFonts w:ascii="Palatino Linotype" w:hAnsi="Palatino Linotype"/>
              </w:rPr>
            </w:pPr>
            <w:r>
              <w:rPr>
                <w:rFonts w:ascii="Palatino Linotype" w:hAnsi="Palatino Linotype"/>
              </w:rPr>
              <w:t>(Rúbrica)</w:t>
            </w:r>
          </w:p>
          <w:p w:rsidR="00CC4075" w:rsidRDefault="00CC4075" w:rsidP="00F16AD1">
            <w:pPr>
              <w:pStyle w:val="Sinespaciado"/>
              <w:spacing w:line="276" w:lineRule="auto"/>
              <w:jc w:val="center"/>
              <w:rPr>
                <w:rFonts w:ascii="Palatino Linotype" w:hAnsi="Palatino Linotype"/>
              </w:rPr>
            </w:pPr>
          </w:p>
          <w:p w:rsidR="00CC4075" w:rsidRDefault="00CC4075" w:rsidP="00F16AD1">
            <w:pPr>
              <w:pStyle w:val="Sinespaciado"/>
              <w:spacing w:line="276" w:lineRule="auto"/>
              <w:jc w:val="center"/>
              <w:rPr>
                <w:rFonts w:ascii="Palatino Linotype" w:hAnsi="Palatino Linotype"/>
              </w:rPr>
            </w:pPr>
          </w:p>
          <w:p w:rsidR="00CC4075" w:rsidRDefault="00CC4075" w:rsidP="00F16AD1">
            <w:pPr>
              <w:pStyle w:val="Sinespaciado"/>
              <w:spacing w:line="276" w:lineRule="auto"/>
              <w:jc w:val="center"/>
              <w:rPr>
                <w:rFonts w:ascii="Palatino Linotype" w:hAnsi="Palatino Linotype"/>
              </w:rPr>
            </w:pPr>
          </w:p>
          <w:p w:rsidR="00CC4075" w:rsidRDefault="00CC4075" w:rsidP="00F16AD1">
            <w:pPr>
              <w:pStyle w:val="Sinespaciado"/>
              <w:spacing w:line="276" w:lineRule="auto"/>
              <w:jc w:val="center"/>
              <w:rPr>
                <w:rFonts w:ascii="Palatino Linotype" w:hAnsi="Palatino Linotype"/>
              </w:rPr>
            </w:pPr>
          </w:p>
          <w:p w:rsidR="00CC4075" w:rsidRDefault="00CC4075" w:rsidP="00F16AD1">
            <w:pPr>
              <w:pStyle w:val="Sinespaciado"/>
              <w:spacing w:line="276" w:lineRule="auto"/>
              <w:jc w:val="center"/>
              <w:rPr>
                <w:rFonts w:ascii="Palatino Linotype" w:hAnsi="Palatino Linotype"/>
              </w:rPr>
            </w:pPr>
          </w:p>
          <w:p w:rsidR="00CC4075" w:rsidRDefault="00CC4075" w:rsidP="00F16AD1">
            <w:pPr>
              <w:pStyle w:val="Sinespaciado"/>
              <w:spacing w:line="276" w:lineRule="auto"/>
              <w:jc w:val="center"/>
              <w:rPr>
                <w:rFonts w:ascii="Palatino Linotype" w:hAnsi="Palatino Linotype"/>
                <w:b/>
              </w:rPr>
            </w:pPr>
            <w:r>
              <w:rPr>
                <w:rFonts w:ascii="Palatino Linotype" w:hAnsi="Palatino Linotype"/>
                <w:b/>
              </w:rPr>
              <w:t>Javier Martínez Cruz</w:t>
            </w:r>
          </w:p>
          <w:p w:rsidR="00CC4075" w:rsidRDefault="00CC4075" w:rsidP="00F16AD1">
            <w:pPr>
              <w:pStyle w:val="Sinespaciado"/>
              <w:spacing w:line="276" w:lineRule="auto"/>
              <w:jc w:val="center"/>
              <w:rPr>
                <w:rFonts w:ascii="Palatino Linotype" w:hAnsi="Palatino Linotype"/>
              </w:rPr>
            </w:pPr>
            <w:r>
              <w:rPr>
                <w:rFonts w:ascii="Palatino Linotype" w:hAnsi="Palatino Linotype"/>
              </w:rPr>
              <w:t>Comisionado</w:t>
            </w:r>
          </w:p>
          <w:p w:rsidR="00CC4075" w:rsidRDefault="00CC4075" w:rsidP="00F16AD1">
            <w:pPr>
              <w:pStyle w:val="Sinespaciado"/>
              <w:spacing w:line="276" w:lineRule="auto"/>
              <w:jc w:val="center"/>
              <w:rPr>
                <w:rFonts w:ascii="Palatino Linotype" w:hAnsi="Palatino Linotype"/>
              </w:rPr>
            </w:pPr>
            <w:r>
              <w:rPr>
                <w:rFonts w:ascii="Palatino Linotype" w:hAnsi="Palatino Linotype"/>
              </w:rPr>
              <w:t>(Rúbrica)</w:t>
            </w:r>
          </w:p>
          <w:p w:rsidR="00CC4075" w:rsidRDefault="00CC4075" w:rsidP="00F16AD1">
            <w:pPr>
              <w:pStyle w:val="Sinespaciado"/>
              <w:spacing w:line="276" w:lineRule="auto"/>
              <w:jc w:val="center"/>
              <w:rPr>
                <w:rFonts w:ascii="Palatino Linotype" w:hAnsi="Palatino Linotype"/>
              </w:rPr>
            </w:pPr>
          </w:p>
          <w:p w:rsidR="00CC4075" w:rsidRDefault="00CC4075" w:rsidP="00F16AD1">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r>
              <w:rPr>
                <w:rFonts w:ascii="Palatino Linotype" w:hAnsi="Palatino Linotype"/>
                <w:b/>
              </w:rPr>
              <w:t>José Guadalupe Luna Hernández</w:t>
            </w:r>
          </w:p>
          <w:p w:rsidR="00CC4075" w:rsidRDefault="00CC4075" w:rsidP="00F16AD1">
            <w:pPr>
              <w:pStyle w:val="Sinespaciado"/>
              <w:jc w:val="center"/>
              <w:rPr>
                <w:rFonts w:ascii="Palatino Linotype" w:hAnsi="Palatino Linotype"/>
              </w:rPr>
            </w:pPr>
            <w:r>
              <w:rPr>
                <w:rFonts w:ascii="Palatino Linotype" w:hAnsi="Palatino Linotype"/>
              </w:rPr>
              <w:t>Comisionado</w:t>
            </w:r>
          </w:p>
          <w:p w:rsidR="00E93A97" w:rsidRDefault="00E93A97" w:rsidP="00E93A97">
            <w:pPr>
              <w:pStyle w:val="Sinespaciado"/>
              <w:jc w:val="center"/>
              <w:rPr>
                <w:rFonts w:ascii="Palatino Linotype" w:hAnsi="Palatino Linotype"/>
              </w:rPr>
            </w:pPr>
            <w:r>
              <w:rPr>
                <w:rFonts w:ascii="Palatino Linotype" w:hAnsi="Palatino Linotype"/>
              </w:rPr>
              <w:t>(Rúbrica)</w:t>
            </w:r>
          </w:p>
          <w:p w:rsidR="00CC4075" w:rsidRDefault="00CC4075" w:rsidP="00F16AD1">
            <w:pPr>
              <w:pStyle w:val="Sinespaciado"/>
              <w:jc w:val="center"/>
              <w:rPr>
                <w:rFonts w:ascii="Palatino Linotype" w:hAnsi="Palatino Linotype"/>
              </w:rPr>
            </w:pPr>
          </w:p>
          <w:p w:rsidR="00CC4075" w:rsidRDefault="00CC4075" w:rsidP="00F16AD1">
            <w:pPr>
              <w:pStyle w:val="Sinespaciado"/>
              <w:jc w:val="center"/>
              <w:rPr>
                <w:rFonts w:ascii="Palatino Linotype" w:hAnsi="Palatino Linotype"/>
              </w:rPr>
            </w:pPr>
          </w:p>
          <w:p w:rsidR="00CC4075" w:rsidRDefault="00CC4075" w:rsidP="00F16AD1">
            <w:pPr>
              <w:pStyle w:val="Sinespaciado"/>
              <w:jc w:val="center"/>
              <w:rPr>
                <w:rFonts w:ascii="Palatino Linotype" w:hAnsi="Palatino Linotype"/>
              </w:rPr>
            </w:pPr>
          </w:p>
          <w:p w:rsidR="00CC4075" w:rsidRDefault="00CC4075" w:rsidP="00F16AD1">
            <w:pPr>
              <w:pStyle w:val="Sinespaciado"/>
              <w:jc w:val="center"/>
              <w:rPr>
                <w:rFonts w:ascii="Palatino Linotype" w:hAnsi="Palatino Linotype"/>
              </w:rPr>
            </w:pPr>
          </w:p>
          <w:p w:rsidR="00CC4075" w:rsidRDefault="00CC4075" w:rsidP="00F16AD1">
            <w:pPr>
              <w:pStyle w:val="Sinespaciado"/>
              <w:jc w:val="center"/>
              <w:rPr>
                <w:rFonts w:ascii="Palatino Linotype" w:hAnsi="Palatino Linotype"/>
              </w:rPr>
            </w:pPr>
          </w:p>
          <w:p w:rsidR="00CC4075" w:rsidRDefault="00CC4075" w:rsidP="00F16AD1">
            <w:pPr>
              <w:pStyle w:val="Sinespaciado"/>
              <w:jc w:val="center"/>
              <w:rPr>
                <w:rFonts w:ascii="Palatino Linotype" w:hAnsi="Palatino Linotype"/>
              </w:rPr>
            </w:pPr>
          </w:p>
          <w:p w:rsidR="00CC4075" w:rsidRDefault="00CC4075" w:rsidP="00F16AD1">
            <w:pPr>
              <w:pStyle w:val="Sinespaciado"/>
              <w:spacing w:line="276" w:lineRule="auto"/>
              <w:jc w:val="center"/>
              <w:rPr>
                <w:rFonts w:ascii="Palatino Linotype" w:hAnsi="Palatino Linotype"/>
                <w:b/>
              </w:rPr>
            </w:pPr>
            <w:r>
              <w:rPr>
                <w:rFonts w:ascii="Palatino Linotype" w:hAnsi="Palatino Linotype"/>
                <w:b/>
              </w:rPr>
              <w:t>Luis Gustavo Parra Noriega</w:t>
            </w:r>
          </w:p>
          <w:p w:rsidR="00CC4075" w:rsidRDefault="00CC4075" w:rsidP="00F16AD1">
            <w:pPr>
              <w:pStyle w:val="Sinespaciado"/>
              <w:spacing w:line="276" w:lineRule="auto"/>
              <w:jc w:val="center"/>
              <w:rPr>
                <w:rFonts w:ascii="Palatino Linotype" w:hAnsi="Palatino Linotype"/>
              </w:rPr>
            </w:pPr>
            <w:r>
              <w:rPr>
                <w:rFonts w:ascii="Palatino Linotype" w:hAnsi="Palatino Linotype"/>
              </w:rPr>
              <w:t xml:space="preserve">Comisionado </w:t>
            </w:r>
          </w:p>
          <w:p w:rsidR="00CC4075" w:rsidRDefault="00CC4075" w:rsidP="00F16AD1">
            <w:pPr>
              <w:pStyle w:val="Sinespaciado"/>
              <w:spacing w:line="276" w:lineRule="auto"/>
              <w:jc w:val="center"/>
              <w:rPr>
                <w:rFonts w:ascii="Palatino Linotype" w:hAnsi="Palatino Linotype"/>
              </w:rPr>
            </w:pPr>
            <w:r>
              <w:rPr>
                <w:rFonts w:ascii="Palatino Linotype" w:hAnsi="Palatino Linotype"/>
              </w:rPr>
              <w:t>(Rúbrica)</w:t>
            </w:r>
          </w:p>
        </w:tc>
      </w:tr>
      <w:tr w:rsidR="00CC4075" w:rsidTr="00F16AD1">
        <w:trPr>
          <w:jc w:val="center"/>
        </w:trPr>
        <w:tc>
          <w:tcPr>
            <w:tcW w:w="9062" w:type="dxa"/>
            <w:gridSpan w:val="2"/>
          </w:tcPr>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p>
          <w:p w:rsidR="00CC4075" w:rsidRDefault="00CC4075" w:rsidP="00F16AD1">
            <w:pPr>
              <w:pStyle w:val="Sinespaciado"/>
              <w:jc w:val="center"/>
              <w:rPr>
                <w:rFonts w:ascii="Palatino Linotype" w:hAnsi="Palatino Linotype"/>
                <w:b/>
              </w:rPr>
            </w:pPr>
            <w:r>
              <w:rPr>
                <w:rFonts w:ascii="Palatino Linotype" w:hAnsi="Palatino Linotype"/>
                <w:b/>
              </w:rPr>
              <w:t xml:space="preserve"> </w:t>
            </w:r>
          </w:p>
          <w:p w:rsidR="00CC4075" w:rsidRDefault="00CC4075" w:rsidP="00F16AD1">
            <w:pPr>
              <w:pStyle w:val="Sinespaciado"/>
              <w:jc w:val="center"/>
              <w:rPr>
                <w:rFonts w:ascii="Palatino Linotype" w:hAnsi="Palatino Linotype"/>
                <w:b/>
              </w:rPr>
            </w:pPr>
            <w:r>
              <w:rPr>
                <w:rFonts w:ascii="Palatino Linotype" w:hAnsi="Palatino Linotype"/>
                <w:b/>
              </w:rPr>
              <w:t>Alexis Tapia Ramírez</w:t>
            </w:r>
          </w:p>
          <w:p w:rsidR="00CC4075" w:rsidRDefault="00CC4075" w:rsidP="00F16AD1">
            <w:pPr>
              <w:pStyle w:val="Sinespaciado"/>
              <w:jc w:val="center"/>
              <w:rPr>
                <w:rFonts w:ascii="Palatino Linotype" w:hAnsi="Palatino Linotype"/>
              </w:rPr>
            </w:pPr>
            <w:r>
              <w:rPr>
                <w:rFonts w:ascii="Palatino Linotype" w:hAnsi="Palatino Linotype"/>
              </w:rPr>
              <w:t>Secretario Técnico del Pleno</w:t>
            </w:r>
          </w:p>
          <w:p w:rsidR="00CC4075" w:rsidRDefault="00CC4075" w:rsidP="00F16AD1">
            <w:pPr>
              <w:pStyle w:val="Sinespaciado"/>
              <w:spacing w:line="276" w:lineRule="auto"/>
              <w:jc w:val="center"/>
              <w:rPr>
                <w:rFonts w:ascii="Palatino Linotype" w:hAnsi="Palatino Linotype"/>
              </w:rPr>
            </w:pPr>
            <w:r>
              <w:rPr>
                <w:rFonts w:ascii="Palatino Linotype" w:hAnsi="Palatino Linotype"/>
                <w:color w:val="FFFFFF" w:themeColor="background1"/>
              </w:rPr>
              <w:t>)</w:t>
            </w:r>
            <w:r>
              <w:rPr>
                <w:rFonts w:ascii="Palatino Linotype" w:hAnsi="Palatino Linotype"/>
              </w:rPr>
              <w:t>(Rúbrica)</w:t>
            </w:r>
          </w:p>
        </w:tc>
      </w:tr>
    </w:tbl>
    <w:p w:rsidR="00CC4075" w:rsidRDefault="00CC4075" w:rsidP="00CC4075">
      <w:pPr>
        <w:spacing w:after="0" w:line="276" w:lineRule="auto"/>
        <w:jc w:val="both"/>
        <w:rPr>
          <w:rFonts w:ascii="Palatino Linotype" w:hAnsi="Palatino Linotype" w:cs="Arial"/>
          <w:sz w:val="10"/>
          <w:szCs w:val="24"/>
        </w:rPr>
      </w:pPr>
    </w:p>
    <w:p w:rsidR="00CC4075" w:rsidRDefault="00CC4075" w:rsidP="00CC4075">
      <w:pPr>
        <w:spacing w:after="0" w:line="276" w:lineRule="auto"/>
        <w:jc w:val="both"/>
        <w:rPr>
          <w:rFonts w:ascii="Palatino Linotype" w:hAnsi="Palatino Linotype" w:cs="Arial"/>
          <w:sz w:val="16"/>
          <w:szCs w:val="16"/>
        </w:rPr>
      </w:pPr>
      <w:r>
        <w:rPr>
          <w:rFonts w:ascii="Palatino Linotype" w:hAnsi="Palatino Linotype" w:cs="Arial"/>
          <w:sz w:val="16"/>
          <w:szCs w:val="16"/>
        </w:rPr>
        <w:t xml:space="preserve">Esta hoja corresponde a la resolución de fecha </w:t>
      </w:r>
      <w:r w:rsidR="002B0F9E">
        <w:rPr>
          <w:rFonts w:ascii="Palatino Linotype" w:hAnsi="Palatino Linotype" w:cs="Arial"/>
          <w:sz w:val="16"/>
          <w:szCs w:val="16"/>
        </w:rPr>
        <w:t>dieciocho de diciembre</w:t>
      </w:r>
      <w:r>
        <w:rPr>
          <w:rFonts w:ascii="Palatino Linotype" w:hAnsi="Palatino Linotype" w:cs="Arial"/>
          <w:sz w:val="16"/>
          <w:szCs w:val="16"/>
        </w:rPr>
        <w:t xml:space="preserve"> de dos mil diecinueve, emitida en el recurso de revisión 0</w:t>
      </w:r>
      <w:r w:rsidR="00A02150">
        <w:rPr>
          <w:rFonts w:ascii="Palatino Linotype" w:hAnsi="Palatino Linotype" w:cs="Arial"/>
          <w:sz w:val="16"/>
          <w:szCs w:val="16"/>
        </w:rPr>
        <w:t>798</w:t>
      </w:r>
      <w:r>
        <w:rPr>
          <w:rFonts w:ascii="Palatino Linotype" w:hAnsi="Palatino Linotype" w:cs="Arial"/>
          <w:sz w:val="16"/>
          <w:szCs w:val="16"/>
        </w:rPr>
        <w:t>5/INFOEM/IP/RR/2019.</w:t>
      </w:r>
    </w:p>
    <w:p w:rsidR="006C15F1" w:rsidRPr="00CC4075" w:rsidRDefault="00CC4075" w:rsidP="00CC4075">
      <w:pPr>
        <w:spacing w:after="0" w:line="276" w:lineRule="auto"/>
        <w:jc w:val="both"/>
      </w:pPr>
      <w:r>
        <w:rPr>
          <w:rFonts w:ascii="Palatino Linotype" w:hAnsi="Palatino Linotype" w:cs="Arial"/>
          <w:sz w:val="16"/>
          <w:szCs w:val="16"/>
        </w:rPr>
        <w:t>ZMS/OSAM/MOC</w:t>
      </w:r>
    </w:p>
    <w:sectPr w:rsidR="006C15F1" w:rsidRPr="00CC4075" w:rsidSect="00DF600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DAE" w:rsidRDefault="00E92DAE" w:rsidP="00F2498E">
      <w:pPr>
        <w:spacing w:after="0" w:line="240" w:lineRule="auto"/>
      </w:pPr>
      <w:r>
        <w:separator/>
      </w:r>
    </w:p>
  </w:endnote>
  <w:endnote w:type="continuationSeparator" w:id="0">
    <w:p w:rsidR="00E92DAE" w:rsidRDefault="00E92DAE"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08F6">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08F6">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Pr="000B69FA" w:rsidRDefault="00EC6ABB" w:rsidP="00F5642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A08F6">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A08F6">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DAE" w:rsidRDefault="00E92DAE" w:rsidP="00F2498E">
      <w:pPr>
        <w:spacing w:after="0" w:line="240" w:lineRule="auto"/>
      </w:pPr>
      <w:r>
        <w:separator/>
      </w:r>
    </w:p>
  </w:footnote>
  <w:footnote w:type="continuationSeparator" w:id="0">
    <w:p w:rsidR="00E92DAE" w:rsidRDefault="00E92DAE" w:rsidP="00F2498E">
      <w:pPr>
        <w:spacing w:after="0" w:line="240" w:lineRule="auto"/>
      </w:pPr>
      <w:r>
        <w:continuationSeparator/>
      </w:r>
    </w:p>
  </w:footnote>
  <w:footnote w:id="1">
    <w:p w:rsidR="006110F4" w:rsidRDefault="005E202E" w:rsidP="006110F4">
      <w:pPr>
        <w:spacing w:after="0" w:line="360" w:lineRule="auto"/>
        <w:jc w:val="both"/>
        <w:rPr>
          <w:rFonts w:ascii="Palatino Linotype" w:hAnsi="Palatino Linotype" w:cs="Arial"/>
          <w:color w:val="000000" w:themeColor="text1"/>
          <w:sz w:val="24"/>
          <w:szCs w:val="24"/>
        </w:rPr>
      </w:pPr>
      <w:r>
        <w:rPr>
          <w:rStyle w:val="Refdenotaalpie"/>
        </w:rPr>
        <w:footnoteRef/>
      </w:r>
      <w:r>
        <w:t xml:space="preserve"> </w:t>
      </w:r>
      <w:r w:rsidR="006110F4">
        <w:t>Artículo 167.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5E202E" w:rsidRDefault="005E202E">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6ABB" w:rsidRDefault="00EC6ABB">
    <w:pPr>
      <w:pStyle w:val="Encabezado"/>
    </w:pPr>
  </w:p>
  <w:tbl>
    <w:tblPr>
      <w:tblW w:w="9640" w:type="dxa"/>
      <w:tblInd w:w="-851" w:type="dxa"/>
      <w:tblLayout w:type="fixed"/>
      <w:tblCellMar>
        <w:left w:w="70" w:type="dxa"/>
        <w:right w:w="70" w:type="dxa"/>
      </w:tblCellMar>
      <w:tblLook w:val="04A0" w:firstRow="1" w:lastRow="0" w:firstColumn="1" w:lastColumn="0" w:noHBand="0" w:noVBand="1"/>
    </w:tblPr>
    <w:tblGrid>
      <w:gridCol w:w="5529"/>
      <w:gridCol w:w="4111"/>
    </w:tblGrid>
    <w:tr w:rsidR="00A15E74" w:rsidRPr="00B4142F" w:rsidTr="00671320">
      <w:trPr>
        <w:trHeight w:val="227"/>
      </w:trPr>
      <w:tc>
        <w:tcPr>
          <w:tcW w:w="5529" w:type="dxa"/>
          <w:hideMark/>
        </w:tcPr>
        <w:p w:rsidR="00A15E74" w:rsidRDefault="00A15E74" w:rsidP="00671320">
          <w:pPr>
            <w:spacing w:after="0" w:line="256"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4111" w:type="dxa"/>
          <w:hideMark/>
        </w:tcPr>
        <w:p w:rsidR="00A15E74" w:rsidRPr="00B5524D" w:rsidRDefault="00A15E74" w:rsidP="006961B9">
          <w:pPr>
            <w:spacing w:after="0"/>
            <w:jc w:val="right"/>
          </w:pPr>
          <w:r w:rsidRPr="00B5524D">
            <w:rPr>
              <w:rFonts w:ascii="Palatino Linotype" w:hAnsi="Palatino Linotype" w:cs="Arial"/>
              <w:bCs/>
              <w:sz w:val="24"/>
              <w:lang w:eastAsia="es-MX"/>
            </w:rPr>
            <w:t>0</w:t>
          </w:r>
          <w:r w:rsidR="00C355A6">
            <w:rPr>
              <w:rFonts w:ascii="Palatino Linotype" w:hAnsi="Palatino Linotype" w:cs="Arial"/>
              <w:bCs/>
              <w:sz w:val="24"/>
              <w:lang w:eastAsia="es-MX"/>
            </w:rPr>
            <w:t>7</w:t>
          </w:r>
          <w:r w:rsidR="006961B9">
            <w:rPr>
              <w:rFonts w:ascii="Palatino Linotype" w:hAnsi="Palatino Linotype" w:cs="Arial"/>
              <w:bCs/>
              <w:sz w:val="24"/>
              <w:lang w:eastAsia="es-MX"/>
            </w:rPr>
            <w:t>98</w:t>
          </w:r>
          <w:r w:rsidR="00C355A6">
            <w:rPr>
              <w:rFonts w:ascii="Palatino Linotype" w:hAnsi="Palatino Linotype" w:cs="Arial"/>
              <w:bCs/>
              <w:sz w:val="24"/>
              <w:lang w:eastAsia="es-MX"/>
            </w:rPr>
            <w:t>5</w:t>
          </w:r>
          <w:r w:rsidRPr="00B5524D">
            <w:rPr>
              <w:rFonts w:ascii="Palatino Linotype" w:hAnsi="Palatino Linotype" w:cs="Arial"/>
              <w:bCs/>
              <w:sz w:val="24"/>
              <w:lang w:eastAsia="es-MX"/>
            </w:rPr>
            <w:t>/INFOEM/IP/RR/201</w:t>
          </w:r>
          <w:r w:rsidR="006B64AA">
            <w:rPr>
              <w:rFonts w:ascii="Palatino Linotype" w:hAnsi="Palatino Linotype" w:cs="Arial"/>
              <w:bCs/>
              <w:sz w:val="24"/>
              <w:lang w:eastAsia="es-MX"/>
            </w:rPr>
            <w:t>9</w:t>
          </w:r>
        </w:p>
      </w:tc>
    </w:tr>
    <w:tr w:rsidR="00A15E74" w:rsidTr="00671320">
      <w:trPr>
        <w:trHeight w:val="242"/>
      </w:trPr>
      <w:tc>
        <w:tcPr>
          <w:tcW w:w="5529" w:type="dxa"/>
          <w:vAlign w:val="center"/>
          <w:hideMark/>
        </w:tcPr>
        <w:p w:rsidR="00A15E74" w:rsidRDefault="00A15E74" w:rsidP="00671320">
          <w:pPr>
            <w:spacing w:after="0" w:line="256"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4111" w:type="dxa"/>
          <w:hideMark/>
        </w:tcPr>
        <w:p w:rsidR="00A15E74" w:rsidRPr="00B5524D" w:rsidRDefault="00804B07" w:rsidP="00671320">
          <w:pPr>
            <w:spacing w:after="0"/>
            <w:jc w:val="right"/>
          </w:pPr>
          <w:r>
            <w:rPr>
              <w:rFonts w:ascii="Palatino Linotype" w:hAnsi="Palatino Linotype"/>
            </w:rPr>
            <w:t>Secretarí</w:t>
          </w:r>
          <w:r w:rsidR="006961B9">
            <w:rPr>
              <w:rFonts w:ascii="Palatino Linotype" w:hAnsi="Palatino Linotype"/>
            </w:rPr>
            <w:t>a de Salud</w:t>
          </w:r>
        </w:p>
      </w:tc>
    </w:tr>
    <w:tr w:rsidR="00CF0AE0" w:rsidTr="00671320">
      <w:trPr>
        <w:trHeight w:val="342"/>
      </w:trPr>
      <w:tc>
        <w:tcPr>
          <w:tcW w:w="5529" w:type="dxa"/>
          <w:hideMark/>
        </w:tcPr>
        <w:p w:rsidR="00CF0AE0" w:rsidRDefault="00CF0AE0" w:rsidP="00671320">
          <w:pPr>
            <w:tabs>
              <w:tab w:val="left" w:pos="4892"/>
            </w:tabs>
            <w:spacing w:after="0" w:line="256"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4111" w:type="dxa"/>
          <w:hideMark/>
        </w:tcPr>
        <w:p w:rsidR="00CF0AE0" w:rsidRDefault="00CF0AE0" w:rsidP="00671320">
          <w:pPr>
            <w:spacing w:after="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rsidP="0067132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Layout w:type="fixed"/>
      <w:tblCellMar>
        <w:left w:w="70" w:type="dxa"/>
        <w:right w:w="70" w:type="dxa"/>
      </w:tblCellMar>
      <w:tblLook w:val="04A0" w:firstRow="1" w:lastRow="0" w:firstColumn="1" w:lastColumn="0" w:noHBand="0" w:noVBand="1"/>
    </w:tblPr>
    <w:tblGrid>
      <w:gridCol w:w="5949"/>
      <w:gridCol w:w="3974"/>
    </w:tblGrid>
    <w:tr w:rsidR="00EC6ABB" w:rsidTr="000C2D59">
      <w:trPr>
        <w:trHeight w:val="227"/>
      </w:trPr>
      <w:tc>
        <w:tcPr>
          <w:tcW w:w="5949" w:type="dxa"/>
          <w:hideMark/>
        </w:tcPr>
        <w:p w:rsidR="00EC6ABB" w:rsidRDefault="00EC6ABB" w:rsidP="00671320">
          <w:pPr>
            <w:spacing w:after="0" w:line="240" w:lineRule="auto"/>
            <w:ind w:right="-70"/>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rsidR="00EC6ABB" w:rsidRPr="00B4142F" w:rsidRDefault="00EC6ABB" w:rsidP="009C24BC">
          <w:pPr>
            <w:spacing w:after="0" w:line="240" w:lineRule="auto"/>
            <w:ind w:left="-486" w:firstLine="558"/>
            <w:jc w:val="right"/>
            <w:rPr>
              <w:rFonts w:ascii="Palatino Linotype" w:hAnsi="Palatino Linotype" w:cs="Arial"/>
              <w:szCs w:val="20"/>
            </w:rPr>
          </w:pPr>
          <w:r>
            <w:rPr>
              <w:rFonts w:ascii="Palatino Linotype" w:hAnsi="Palatino Linotype" w:cs="Arial"/>
              <w:bCs/>
              <w:sz w:val="24"/>
              <w:lang w:eastAsia="es-MX"/>
            </w:rPr>
            <w:t>0</w:t>
          </w:r>
          <w:r w:rsidR="00C355A6">
            <w:rPr>
              <w:rFonts w:ascii="Palatino Linotype" w:hAnsi="Palatino Linotype" w:cs="Arial"/>
              <w:bCs/>
              <w:sz w:val="24"/>
              <w:lang w:eastAsia="es-MX"/>
            </w:rPr>
            <w:t>7</w:t>
          </w:r>
          <w:r w:rsidR="009C24BC">
            <w:rPr>
              <w:rFonts w:ascii="Palatino Linotype" w:hAnsi="Palatino Linotype" w:cs="Arial"/>
              <w:bCs/>
              <w:sz w:val="24"/>
              <w:lang w:eastAsia="es-MX"/>
            </w:rPr>
            <w:t>98</w:t>
          </w:r>
          <w:r w:rsidR="00C355A6">
            <w:rPr>
              <w:rFonts w:ascii="Palatino Linotype" w:hAnsi="Palatino Linotype" w:cs="Arial"/>
              <w:bCs/>
              <w:sz w:val="24"/>
              <w:lang w:eastAsia="es-MX"/>
            </w:rPr>
            <w:t>5</w:t>
          </w:r>
          <w:r>
            <w:rPr>
              <w:rFonts w:ascii="Palatino Linotype" w:hAnsi="Palatino Linotype" w:cs="Arial"/>
              <w:bCs/>
              <w:sz w:val="24"/>
              <w:lang w:eastAsia="es-MX"/>
            </w:rPr>
            <w:t>/INFOEM/IP/RR/201</w:t>
          </w:r>
          <w:r w:rsidR="006B64AA">
            <w:rPr>
              <w:rFonts w:ascii="Palatino Linotype" w:hAnsi="Palatino Linotype" w:cs="Arial"/>
              <w:bCs/>
              <w:sz w:val="24"/>
              <w:lang w:eastAsia="es-MX"/>
            </w:rPr>
            <w:t>9</w:t>
          </w:r>
        </w:p>
      </w:tc>
    </w:tr>
    <w:tr w:rsidR="00EC6ABB" w:rsidTr="000C2D59">
      <w:trPr>
        <w:trHeight w:val="196"/>
      </w:trPr>
      <w:tc>
        <w:tcPr>
          <w:tcW w:w="5949" w:type="dxa"/>
          <w:hideMark/>
        </w:tcPr>
        <w:p w:rsidR="00EC6ABB" w:rsidRDefault="00EC6ABB" w:rsidP="00671320">
          <w:pPr>
            <w:spacing w:after="0" w:line="240" w:lineRule="auto"/>
            <w:ind w:right="-70"/>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rsidR="00EC6ABB" w:rsidRPr="00F06FED" w:rsidRDefault="001A08F6" w:rsidP="001A08F6">
          <w:pPr>
            <w:spacing w:after="0" w:line="240" w:lineRule="auto"/>
            <w:ind w:left="-486" w:firstLine="486"/>
            <w:jc w:val="right"/>
            <w:rPr>
              <w:rFonts w:ascii="Palatino Linotype" w:hAnsi="Palatino Linotype" w:cs="Arial"/>
            </w:rPr>
          </w:pPr>
          <w:r>
            <w:rPr>
              <w:rFonts w:ascii="Palatino Linotype" w:hAnsi="Palatino Linotype" w:cs="Arial"/>
            </w:rPr>
            <w:t xml:space="preserve">XXXXX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p>
      </w:tc>
    </w:tr>
    <w:tr w:rsidR="00EC6ABB" w:rsidTr="000C2D59">
      <w:trPr>
        <w:trHeight w:val="242"/>
      </w:trPr>
      <w:tc>
        <w:tcPr>
          <w:tcW w:w="5949" w:type="dxa"/>
          <w:vAlign w:val="center"/>
          <w:hideMark/>
        </w:tcPr>
        <w:p w:rsidR="00EC6ABB" w:rsidRDefault="00EC6ABB" w:rsidP="00671320">
          <w:pPr>
            <w:spacing w:after="0" w:line="240" w:lineRule="auto"/>
            <w:ind w:right="-70"/>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rsidR="00EC6ABB" w:rsidRPr="00FA4DC7" w:rsidRDefault="00804B07" w:rsidP="00671320">
          <w:pPr>
            <w:spacing w:after="0" w:line="240" w:lineRule="auto"/>
            <w:jc w:val="right"/>
            <w:rPr>
              <w:rFonts w:ascii="Palatino Linotype" w:hAnsi="Palatino Linotype"/>
            </w:rPr>
          </w:pPr>
          <w:r>
            <w:rPr>
              <w:rFonts w:ascii="Palatino Linotype" w:hAnsi="Palatino Linotype"/>
            </w:rPr>
            <w:t>Secretarí</w:t>
          </w:r>
          <w:r w:rsidR="009C24BC">
            <w:rPr>
              <w:rFonts w:ascii="Palatino Linotype" w:hAnsi="Palatino Linotype"/>
            </w:rPr>
            <w:t>a de Salud</w:t>
          </w:r>
        </w:p>
      </w:tc>
    </w:tr>
    <w:tr w:rsidR="00EC6ABB" w:rsidTr="000C2D59">
      <w:trPr>
        <w:trHeight w:val="342"/>
      </w:trPr>
      <w:tc>
        <w:tcPr>
          <w:tcW w:w="5949" w:type="dxa"/>
          <w:hideMark/>
        </w:tcPr>
        <w:p w:rsidR="00EC6ABB" w:rsidRDefault="00EC6ABB" w:rsidP="00671320">
          <w:pPr>
            <w:tabs>
              <w:tab w:val="left" w:pos="4892"/>
            </w:tabs>
            <w:spacing w:after="0" w:line="240" w:lineRule="auto"/>
            <w:ind w:right="-70"/>
            <w:jc w:val="right"/>
            <w:rPr>
              <w:rFonts w:ascii="Palatino Linotype" w:hAnsi="Palatino Linotype" w:cs="Arial"/>
              <w:b/>
              <w:szCs w:val="20"/>
            </w:rPr>
          </w:pPr>
          <w:r>
            <w:rPr>
              <w:rFonts w:ascii="Palatino Linotype" w:hAnsi="Palatino Linotype" w:cs="Arial"/>
              <w:b/>
              <w:szCs w:val="20"/>
            </w:rPr>
            <w:t>Comisionada Ponente:</w:t>
          </w:r>
        </w:p>
      </w:tc>
      <w:tc>
        <w:tcPr>
          <w:tcW w:w="3974" w:type="dxa"/>
          <w:hideMark/>
        </w:tcPr>
        <w:p w:rsidR="00EC6ABB" w:rsidRDefault="00082E5D" w:rsidP="00671320">
          <w:pPr>
            <w:spacing w:after="0" w:line="240"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EC6ABB" w:rsidRDefault="00EC6A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F052E"/>
    <w:multiLevelType w:val="hybridMultilevel"/>
    <w:tmpl w:val="E6003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EB3DBE"/>
    <w:multiLevelType w:val="hybridMultilevel"/>
    <w:tmpl w:val="7638B346"/>
    <w:lvl w:ilvl="0" w:tplc="057A55A8">
      <w:start w:val="1"/>
      <w:numFmt w:val="decimal"/>
      <w:lvlText w:val="%1."/>
      <w:lvlJc w:val="left"/>
      <w:pPr>
        <w:ind w:left="1080" w:hanging="360"/>
      </w:pPr>
      <w:rPr>
        <w:rFonts w:cs="Arial"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EB278AA"/>
    <w:multiLevelType w:val="hybridMultilevel"/>
    <w:tmpl w:val="AEE04E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9047F6"/>
    <w:multiLevelType w:val="hybridMultilevel"/>
    <w:tmpl w:val="162E67D0"/>
    <w:lvl w:ilvl="0" w:tplc="0864677E">
      <w:start w:val="1"/>
      <w:numFmt w:val="decimal"/>
      <w:lvlText w:val="%1."/>
      <w:lvlJc w:val="left"/>
      <w:pPr>
        <w:ind w:left="502"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470604"/>
    <w:multiLevelType w:val="hybridMultilevel"/>
    <w:tmpl w:val="56A8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03097E"/>
    <w:multiLevelType w:val="hybridMultilevel"/>
    <w:tmpl w:val="D2360E7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5E33969"/>
    <w:multiLevelType w:val="hybridMultilevel"/>
    <w:tmpl w:val="645443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FC72BE0"/>
    <w:multiLevelType w:val="hybridMultilevel"/>
    <w:tmpl w:val="F606D8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D15AEF"/>
    <w:multiLevelType w:val="hybridMultilevel"/>
    <w:tmpl w:val="0986D160"/>
    <w:lvl w:ilvl="0" w:tplc="CE2030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E26D99"/>
    <w:multiLevelType w:val="hybridMultilevel"/>
    <w:tmpl w:val="CA104CAE"/>
    <w:lvl w:ilvl="0" w:tplc="4252C95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36DE3363"/>
    <w:multiLevelType w:val="hybridMultilevel"/>
    <w:tmpl w:val="76D8D2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6F9336C"/>
    <w:multiLevelType w:val="hybridMultilevel"/>
    <w:tmpl w:val="E940F6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AED5BC2"/>
    <w:multiLevelType w:val="hybridMultilevel"/>
    <w:tmpl w:val="95B82C5A"/>
    <w:lvl w:ilvl="0" w:tplc="D648126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47070F43"/>
    <w:multiLevelType w:val="hybridMultilevel"/>
    <w:tmpl w:val="C302A374"/>
    <w:lvl w:ilvl="0" w:tplc="1D7A3CF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EBD6032"/>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0076C73"/>
    <w:multiLevelType w:val="hybridMultilevel"/>
    <w:tmpl w:val="809097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98A5002"/>
    <w:multiLevelType w:val="hybridMultilevel"/>
    <w:tmpl w:val="5D98FB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A2E638E"/>
    <w:multiLevelType w:val="hybridMultilevel"/>
    <w:tmpl w:val="F03277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57A26"/>
    <w:multiLevelType w:val="multilevel"/>
    <w:tmpl w:val="A06CC37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665A5835"/>
    <w:multiLevelType w:val="multilevel"/>
    <w:tmpl w:val="F20420CA"/>
    <w:lvl w:ilvl="0">
      <w:start w:val="3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7F26E0A"/>
    <w:multiLevelType w:val="hybridMultilevel"/>
    <w:tmpl w:val="8D3223D2"/>
    <w:lvl w:ilvl="0" w:tplc="A2E0D7C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527C03"/>
    <w:multiLevelType w:val="hybridMultilevel"/>
    <w:tmpl w:val="3E92B26A"/>
    <w:lvl w:ilvl="0" w:tplc="AC7A3838">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70EA062F"/>
    <w:multiLevelType w:val="multilevel"/>
    <w:tmpl w:val="9F700FA8"/>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13A06F0"/>
    <w:multiLevelType w:val="hybridMultilevel"/>
    <w:tmpl w:val="A79EC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AD10385"/>
    <w:multiLevelType w:val="hybridMultilevel"/>
    <w:tmpl w:val="35A214D2"/>
    <w:lvl w:ilvl="0" w:tplc="2AECE8F2">
      <w:start w:val="1"/>
      <w:numFmt w:val="decimal"/>
      <w:lvlText w:val="%1."/>
      <w:lvlJc w:val="left"/>
      <w:pPr>
        <w:ind w:left="786" w:hanging="360"/>
      </w:pPr>
      <w:rPr>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F27B7E"/>
    <w:multiLevelType w:val="hybridMultilevel"/>
    <w:tmpl w:val="62023D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22"/>
  </w:num>
  <w:num w:numId="3">
    <w:abstractNumId w:val="17"/>
  </w:num>
  <w:num w:numId="4">
    <w:abstractNumId w:val="0"/>
  </w:num>
  <w:num w:numId="5">
    <w:abstractNumId w:val="12"/>
  </w:num>
  <w:num w:numId="6">
    <w:abstractNumId w:val="13"/>
  </w:num>
  <w:num w:numId="7">
    <w:abstractNumId w:val="25"/>
  </w:num>
  <w:num w:numId="8">
    <w:abstractNumId w:val="19"/>
  </w:num>
  <w:num w:numId="9">
    <w:abstractNumId w:val="15"/>
  </w:num>
  <w:num w:numId="10">
    <w:abstractNumId w:val="10"/>
  </w:num>
  <w:num w:numId="11">
    <w:abstractNumId w:val="14"/>
  </w:num>
  <w:num w:numId="12">
    <w:abstractNumId w:val="11"/>
  </w:num>
  <w:num w:numId="13">
    <w:abstractNumId w:val="23"/>
  </w:num>
  <w:num w:numId="14">
    <w:abstractNumId w:val="24"/>
  </w:num>
  <w:num w:numId="15">
    <w:abstractNumId w:val="21"/>
  </w:num>
  <w:num w:numId="16">
    <w:abstractNumId w:val="18"/>
  </w:num>
  <w:num w:numId="17">
    <w:abstractNumId w:val="27"/>
  </w:num>
  <w:num w:numId="18">
    <w:abstractNumId w:val="5"/>
  </w:num>
  <w:num w:numId="19">
    <w:abstractNumId w:val="16"/>
  </w:num>
  <w:num w:numId="20">
    <w:abstractNumId w:val="4"/>
  </w:num>
  <w:num w:numId="21">
    <w:abstractNumId w:val="28"/>
  </w:num>
  <w:num w:numId="22">
    <w:abstractNumId w:val="7"/>
  </w:num>
  <w:num w:numId="23">
    <w:abstractNumId w:val="2"/>
  </w:num>
  <w:num w:numId="24">
    <w:abstractNumId w:val="26"/>
  </w:num>
  <w:num w:numId="25">
    <w:abstractNumId w:val="3"/>
  </w:num>
  <w:num w:numId="26">
    <w:abstractNumId w:val="1"/>
  </w:num>
  <w:num w:numId="27">
    <w:abstractNumId w:val="20"/>
  </w:num>
  <w:num w:numId="28">
    <w:abstractNumId w:val="9"/>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34AA"/>
    <w:rsid w:val="00015487"/>
    <w:rsid w:val="00021165"/>
    <w:rsid w:val="00024A6D"/>
    <w:rsid w:val="00033562"/>
    <w:rsid w:val="00036D5F"/>
    <w:rsid w:val="00041670"/>
    <w:rsid w:val="00054F6A"/>
    <w:rsid w:val="00055C90"/>
    <w:rsid w:val="00060716"/>
    <w:rsid w:val="000666B3"/>
    <w:rsid w:val="000677A8"/>
    <w:rsid w:val="0007107B"/>
    <w:rsid w:val="00075D5E"/>
    <w:rsid w:val="00077A55"/>
    <w:rsid w:val="000802BA"/>
    <w:rsid w:val="00082E5D"/>
    <w:rsid w:val="0008737D"/>
    <w:rsid w:val="00092D82"/>
    <w:rsid w:val="000A3F41"/>
    <w:rsid w:val="000C2D59"/>
    <w:rsid w:val="000C51AF"/>
    <w:rsid w:val="000D5634"/>
    <w:rsid w:val="000E1FD4"/>
    <w:rsid w:val="000F2057"/>
    <w:rsid w:val="001050A9"/>
    <w:rsid w:val="00116F6B"/>
    <w:rsid w:val="00131F2D"/>
    <w:rsid w:val="00142D35"/>
    <w:rsid w:val="00144BA8"/>
    <w:rsid w:val="001509C0"/>
    <w:rsid w:val="00155F53"/>
    <w:rsid w:val="001568D5"/>
    <w:rsid w:val="0016339A"/>
    <w:rsid w:val="00165898"/>
    <w:rsid w:val="00170388"/>
    <w:rsid w:val="00176115"/>
    <w:rsid w:val="00176522"/>
    <w:rsid w:val="001877F3"/>
    <w:rsid w:val="001957E6"/>
    <w:rsid w:val="00195845"/>
    <w:rsid w:val="0019584A"/>
    <w:rsid w:val="001A08F6"/>
    <w:rsid w:val="001A0AFD"/>
    <w:rsid w:val="001A0E96"/>
    <w:rsid w:val="001A116B"/>
    <w:rsid w:val="001A3C5F"/>
    <w:rsid w:val="001A6849"/>
    <w:rsid w:val="001B6C2D"/>
    <w:rsid w:val="001C2C72"/>
    <w:rsid w:val="001C7697"/>
    <w:rsid w:val="001D3EE2"/>
    <w:rsid w:val="001E23FB"/>
    <w:rsid w:val="001E5453"/>
    <w:rsid w:val="001F408E"/>
    <w:rsid w:val="00201765"/>
    <w:rsid w:val="00205FAC"/>
    <w:rsid w:val="0021327B"/>
    <w:rsid w:val="002135AD"/>
    <w:rsid w:val="0023118D"/>
    <w:rsid w:val="00232A7A"/>
    <w:rsid w:val="0023573F"/>
    <w:rsid w:val="00240046"/>
    <w:rsid w:val="002432E1"/>
    <w:rsid w:val="00256CE0"/>
    <w:rsid w:val="002710B5"/>
    <w:rsid w:val="002729A0"/>
    <w:rsid w:val="00273F7C"/>
    <w:rsid w:val="00293F85"/>
    <w:rsid w:val="00296E92"/>
    <w:rsid w:val="002A5ADD"/>
    <w:rsid w:val="002A6FCE"/>
    <w:rsid w:val="002B04B4"/>
    <w:rsid w:val="002B0F9E"/>
    <w:rsid w:val="002B317E"/>
    <w:rsid w:val="002B47C6"/>
    <w:rsid w:val="002C4718"/>
    <w:rsid w:val="002C7EC4"/>
    <w:rsid w:val="002D4953"/>
    <w:rsid w:val="002E1484"/>
    <w:rsid w:val="002E72F0"/>
    <w:rsid w:val="002F368E"/>
    <w:rsid w:val="002F40FF"/>
    <w:rsid w:val="00302BF3"/>
    <w:rsid w:val="0031492F"/>
    <w:rsid w:val="00331513"/>
    <w:rsid w:val="00341178"/>
    <w:rsid w:val="00344766"/>
    <w:rsid w:val="00345708"/>
    <w:rsid w:val="003467CD"/>
    <w:rsid w:val="0036188D"/>
    <w:rsid w:val="003839F9"/>
    <w:rsid w:val="00392022"/>
    <w:rsid w:val="003A0B24"/>
    <w:rsid w:val="003A3A32"/>
    <w:rsid w:val="003A59A6"/>
    <w:rsid w:val="003B1752"/>
    <w:rsid w:val="003E468A"/>
    <w:rsid w:val="003E6E17"/>
    <w:rsid w:val="003E7CF5"/>
    <w:rsid w:val="003F2491"/>
    <w:rsid w:val="003F49D3"/>
    <w:rsid w:val="003F5D5C"/>
    <w:rsid w:val="00400915"/>
    <w:rsid w:val="004176BF"/>
    <w:rsid w:val="004232C6"/>
    <w:rsid w:val="00445853"/>
    <w:rsid w:val="00447A90"/>
    <w:rsid w:val="00453687"/>
    <w:rsid w:val="00457E41"/>
    <w:rsid w:val="004728C4"/>
    <w:rsid w:val="00474C35"/>
    <w:rsid w:val="004750A1"/>
    <w:rsid w:val="00480D99"/>
    <w:rsid w:val="00483EC9"/>
    <w:rsid w:val="00484C7F"/>
    <w:rsid w:val="004933FC"/>
    <w:rsid w:val="004B0090"/>
    <w:rsid w:val="004B05C6"/>
    <w:rsid w:val="004B3514"/>
    <w:rsid w:val="004C09C8"/>
    <w:rsid w:val="004C3C1C"/>
    <w:rsid w:val="004C43C9"/>
    <w:rsid w:val="004C45FA"/>
    <w:rsid w:val="004C6779"/>
    <w:rsid w:val="004C6E25"/>
    <w:rsid w:val="004D66AD"/>
    <w:rsid w:val="004E1B3C"/>
    <w:rsid w:val="004E3F86"/>
    <w:rsid w:val="004E4AD1"/>
    <w:rsid w:val="004F32D0"/>
    <w:rsid w:val="004F78C4"/>
    <w:rsid w:val="005025C7"/>
    <w:rsid w:val="00510870"/>
    <w:rsid w:val="00526627"/>
    <w:rsid w:val="005367E7"/>
    <w:rsid w:val="00542CDB"/>
    <w:rsid w:val="005449D0"/>
    <w:rsid w:val="0056402C"/>
    <w:rsid w:val="00564DDB"/>
    <w:rsid w:val="00566380"/>
    <w:rsid w:val="005701EF"/>
    <w:rsid w:val="00572C2A"/>
    <w:rsid w:val="00587E84"/>
    <w:rsid w:val="00597018"/>
    <w:rsid w:val="005A2F92"/>
    <w:rsid w:val="005A7E33"/>
    <w:rsid w:val="005B10CC"/>
    <w:rsid w:val="005B6FFD"/>
    <w:rsid w:val="005C5501"/>
    <w:rsid w:val="005C7AFE"/>
    <w:rsid w:val="005E202E"/>
    <w:rsid w:val="005E24C2"/>
    <w:rsid w:val="0060244C"/>
    <w:rsid w:val="006110F4"/>
    <w:rsid w:val="00613401"/>
    <w:rsid w:val="006168EB"/>
    <w:rsid w:val="00616DEB"/>
    <w:rsid w:val="006263D3"/>
    <w:rsid w:val="0062694E"/>
    <w:rsid w:val="00630030"/>
    <w:rsid w:val="00636EB3"/>
    <w:rsid w:val="00640E61"/>
    <w:rsid w:val="00642A8B"/>
    <w:rsid w:val="00665A8F"/>
    <w:rsid w:val="00671320"/>
    <w:rsid w:val="0067157E"/>
    <w:rsid w:val="006838C7"/>
    <w:rsid w:val="006914D2"/>
    <w:rsid w:val="00691C06"/>
    <w:rsid w:val="006961B9"/>
    <w:rsid w:val="006A7CE2"/>
    <w:rsid w:val="006B4CA4"/>
    <w:rsid w:val="006B6498"/>
    <w:rsid w:val="006B64AA"/>
    <w:rsid w:val="006C15F1"/>
    <w:rsid w:val="006C277A"/>
    <w:rsid w:val="006C52D3"/>
    <w:rsid w:val="006C5A6F"/>
    <w:rsid w:val="006D1EC8"/>
    <w:rsid w:val="006D3F59"/>
    <w:rsid w:val="006D69CA"/>
    <w:rsid w:val="006E20F9"/>
    <w:rsid w:val="006E6076"/>
    <w:rsid w:val="006F04A3"/>
    <w:rsid w:val="00704693"/>
    <w:rsid w:val="007054D8"/>
    <w:rsid w:val="007264EA"/>
    <w:rsid w:val="00732AB3"/>
    <w:rsid w:val="00736F47"/>
    <w:rsid w:val="00752886"/>
    <w:rsid w:val="0075799A"/>
    <w:rsid w:val="00762151"/>
    <w:rsid w:val="00764010"/>
    <w:rsid w:val="0077455A"/>
    <w:rsid w:val="00781849"/>
    <w:rsid w:val="00781B6F"/>
    <w:rsid w:val="00791C7A"/>
    <w:rsid w:val="00791D59"/>
    <w:rsid w:val="007938AE"/>
    <w:rsid w:val="007A061D"/>
    <w:rsid w:val="007A5B2E"/>
    <w:rsid w:val="007B46BF"/>
    <w:rsid w:val="007B54D0"/>
    <w:rsid w:val="007B73AA"/>
    <w:rsid w:val="007C0FF7"/>
    <w:rsid w:val="007C14EE"/>
    <w:rsid w:val="007D07B3"/>
    <w:rsid w:val="007D1B1E"/>
    <w:rsid w:val="007F1538"/>
    <w:rsid w:val="007F5E4F"/>
    <w:rsid w:val="007F7965"/>
    <w:rsid w:val="00800EF1"/>
    <w:rsid w:val="00802AC9"/>
    <w:rsid w:val="00804B07"/>
    <w:rsid w:val="00810E97"/>
    <w:rsid w:val="00816C5A"/>
    <w:rsid w:val="00817C10"/>
    <w:rsid w:val="0082049D"/>
    <w:rsid w:val="00831D6C"/>
    <w:rsid w:val="008341ED"/>
    <w:rsid w:val="00841963"/>
    <w:rsid w:val="008523FA"/>
    <w:rsid w:val="008529E6"/>
    <w:rsid w:val="00852CDD"/>
    <w:rsid w:val="008575E1"/>
    <w:rsid w:val="00863328"/>
    <w:rsid w:val="00864D6E"/>
    <w:rsid w:val="0086690B"/>
    <w:rsid w:val="008710F8"/>
    <w:rsid w:val="00871B94"/>
    <w:rsid w:val="0087279E"/>
    <w:rsid w:val="008755C2"/>
    <w:rsid w:val="00882C01"/>
    <w:rsid w:val="008853EC"/>
    <w:rsid w:val="008A0C9F"/>
    <w:rsid w:val="008A1645"/>
    <w:rsid w:val="008A2BE9"/>
    <w:rsid w:val="008A7EF2"/>
    <w:rsid w:val="008C442E"/>
    <w:rsid w:val="008C5658"/>
    <w:rsid w:val="008D41FC"/>
    <w:rsid w:val="008E2654"/>
    <w:rsid w:val="008F47DC"/>
    <w:rsid w:val="008F61AA"/>
    <w:rsid w:val="00914986"/>
    <w:rsid w:val="00914DFE"/>
    <w:rsid w:val="00916442"/>
    <w:rsid w:val="00933540"/>
    <w:rsid w:val="00941D0E"/>
    <w:rsid w:val="00946522"/>
    <w:rsid w:val="0094785E"/>
    <w:rsid w:val="0095183B"/>
    <w:rsid w:val="009520FE"/>
    <w:rsid w:val="00960C91"/>
    <w:rsid w:val="00961AEB"/>
    <w:rsid w:val="0096624D"/>
    <w:rsid w:val="00970C38"/>
    <w:rsid w:val="00971511"/>
    <w:rsid w:val="00971614"/>
    <w:rsid w:val="00972340"/>
    <w:rsid w:val="00981B92"/>
    <w:rsid w:val="00982494"/>
    <w:rsid w:val="009845F3"/>
    <w:rsid w:val="009A3604"/>
    <w:rsid w:val="009A473C"/>
    <w:rsid w:val="009B41F0"/>
    <w:rsid w:val="009B7FFD"/>
    <w:rsid w:val="009C248F"/>
    <w:rsid w:val="009C24BC"/>
    <w:rsid w:val="009C4284"/>
    <w:rsid w:val="009C5DC4"/>
    <w:rsid w:val="009D0BC2"/>
    <w:rsid w:val="009E7F49"/>
    <w:rsid w:val="009F0B98"/>
    <w:rsid w:val="00A02150"/>
    <w:rsid w:val="00A120EF"/>
    <w:rsid w:val="00A14320"/>
    <w:rsid w:val="00A15E74"/>
    <w:rsid w:val="00A300A7"/>
    <w:rsid w:val="00A30821"/>
    <w:rsid w:val="00A31101"/>
    <w:rsid w:val="00A42629"/>
    <w:rsid w:val="00A4524B"/>
    <w:rsid w:val="00A45454"/>
    <w:rsid w:val="00A50EE4"/>
    <w:rsid w:val="00A60841"/>
    <w:rsid w:val="00A63700"/>
    <w:rsid w:val="00A67625"/>
    <w:rsid w:val="00A73076"/>
    <w:rsid w:val="00A80C68"/>
    <w:rsid w:val="00A855BE"/>
    <w:rsid w:val="00A9222E"/>
    <w:rsid w:val="00A92DD2"/>
    <w:rsid w:val="00A94751"/>
    <w:rsid w:val="00A95B2A"/>
    <w:rsid w:val="00AA1BBB"/>
    <w:rsid w:val="00AA7316"/>
    <w:rsid w:val="00AB0C12"/>
    <w:rsid w:val="00AB5F3B"/>
    <w:rsid w:val="00AC6797"/>
    <w:rsid w:val="00AD1EAE"/>
    <w:rsid w:val="00AD2280"/>
    <w:rsid w:val="00AD76EF"/>
    <w:rsid w:val="00AE19D1"/>
    <w:rsid w:val="00AE1EE3"/>
    <w:rsid w:val="00AE2973"/>
    <w:rsid w:val="00AE5D09"/>
    <w:rsid w:val="00B0036F"/>
    <w:rsid w:val="00B04F50"/>
    <w:rsid w:val="00B10C5A"/>
    <w:rsid w:val="00B11CD7"/>
    <w:rsid w:val="00B23256"/>
    <w:rsid w:val="00B24CF5"/>
    <w:rsid w:val="00B269CE"/>
    <w:rsid w:val="00B32A6D"/>
    <w:rsid w:val="00B32B21"/>
    <w:rsid w:val="00B406E2"/>
    <w:rsid w:val="00B40DF9"/>
    <w:rsid w:val="00B435F8"/>
    <w:rsid w:val="00B50517"/>
    <w:rsid w:val="00B57348"/>
    <w:rsid w:val="00B63420"/>
    <w:rsid w:val="00B63807"/>
    <w:rsid w:val="00B67741"/>
    <w:rsid w:val="00B75683"/>
    <w:rsid w:val="00B7667D"/>
    <w:rsid w:val="00B8179C"/>
    <w:rsid w:val="00B934BE"/>
    <w:rsid w:val="00B962BB"/>
    <w:rsid w:val="00BA6707"/>
    <w:rsid w:val="00BA7C0B"/>
    <w:rsid w:val="00BB1940"/>
    <w:rsid w:val="00BB5301"/>
    <w:rsid w:val="00BB7349"/>
    <w:rsid w:val="00BC219A"/>
    <w:rsid w:val="00BD034D"/>
    <w:rsid w:val="00BD780A"/>
    <w:rsid w:val="00BE635E"/>
    <w:rsid w:val="00BE6364"/>
    <w:rsid w:val="00BE73B3"/>
    <w:rsid w:val="00BF6362"/>
    <w:rsid w:val="00C06182"/>
    <w:rsid w:val="00C07B7F"/>
    <w:rsid w:val="00C07EC8"/>
    <w:rsid w:val="00C13C38"/>
    <w:rsid w:val="00C14933"/>
    <w:rsid w:val="00C235D5"/>
    <w:rsid w:val="00C238FB"/>
    <w:rsid w:val="00C25B3F"/>
    <w:rsid w:val="00C355A6"/>
    <w:rsid w:val="00C36B0D"/>
    <w:rsid w:val="00C50242"/>
    <w:rsid w:val="00C524C4"/>
    <w:rsid w:val="00C536D2"/>
    <w:rsid w:val="00C559CD"/>
    <w:rsid w:val="00C72F35"/>
    <w:rsid w:val="00C92443"/>
    <w:rsid w:val="00CA39B7"/>
    <w:rsid w:val="00CB2149"/>
    <w:rsid w:val="00CB4BBD"/>
    <w:rsid w:val="00CC4075"/>
    <w:rsid w:val="00CD30FC"/>
    <w:rsid w:val="00CD4B87"/>
    <w:rsid w:val="00CE49B6"/>
    <w:rsid w:val="00CE4A28"/>
    <w:rsid w:val="00CF0AE0"/>
    <w:rsid w:val="00CF25EA"/>
    <w:rsid w:val="00CF6431"/>
    <w:rsid w:val="00D01DCF"/>
    <w:rsid w:val="00D20EF6"/>
    <w:rsid w:val="00D2237A"/>
    <w:rsid w:val="00D24BD1"/>
    <w:rsid w:val="00D278F0"/>
    <w:rsid w:val="00D30206"/>
    <w:rsid w:val="00D3511F"/>
    <w:rsid w:val="00D42CE0"/>
    <w:rsid w:val="00D4515E"/>
    <w:rsid w:val="00D52933"/>
    <w:rsid w:val="00D636CA"/>
    <w:rsid w:val="00D65159"/>
    <w:rsid w:val="00D66CBB"/>
    <w:rsid w:val="00D71BF7"/>
    <w:rsid w:val="00D71F81"/>
    <w:rsid w:val="00D731D0"/>
    <w:rsid w:val="00D738D2"/>
    <w:rsid w:val="00D90C1B"/>
    <w:rsid w:val="00D92668"/>
    <w:rsid w:val="00D94F27"/>
    <w:rsid w:val="00D95B37"/>
    <w:rsid w:val="00DA1F2A"/>
    <w:rsid w:val="00DB0D6D"/>
    <w:rsid w:val="00DC233F"/>
    <w:rsid w:val="00DC4957"/>
    <w:rsid w:val="00DC63B3"/>
    <w:rsid w:val="00DE1DEE"/>
    <w:rsid w:val="00DE3218"/>
    <w:rsid w:val="00DF06C4"/>
    <w:rsid w:val="00DF2CB0"/>
    <w:rsid w:val="00DF451B"/>
    <w:rsid w:val="00DF6006"/>
    <w:rsid w:val="00DF7B01"/>
    <w:rsid w:val="00E120FC"/>
    <w:rsid w:val="00E14BA9"/>
    <w:rsid w:val="00E245A1"/>
    <w:rsid w:val="00E34A4E"/>
    <w:rsid w:val="00E41D0D"/>
    <w:rsid w:val="00E454DE"/>
    <w:rsid w:val="00E701AC"/>
    <w:rsid w:val="00E730F3"/>
    <w:rsid w:val="00E75386"/>
    <w:rsid w:val="00E77015"/>
    <w:rsid w:val="00E807E8"/>
    <w:rsid w:val="00E8267D"/>
    <w:rsid w:val="00E8653F"/>
    <w:rsid w:val="00E86C05"/>
    <w:rsid w:val="00E9149A"/>
    <w:rsid w:val="00E92DAE"/>
    <w:rsid w:val="00E93A97"/>
    <w:rsid w:val="00E93F35"/>
    <w:rsid w:val="00EA4C1F"/>
    <w:rsid w:val="00EB2BE8"/>
    <w:rsid w:val="00EB4897"/>
    <w:rsid w:val="00EC1362"/>
    <w:rsid w:val="00EC291E"/>
    <w:rsid w:val="00EC2EEA"/>
    <w:rsid w:val="00EC6ABB"/>
    <w:rsid w:val="00ED10D9"/>
    <w:rsid w:val="00ED30A9"/>
    <w:rsid w:val="00ED43C6"/>
    <w:rsid w:val="00ED5476"/>
    <w:rsid w:val="00EE1465"/>
    <w:rsid w:val="00EE2C69"/>
    <w:rsid w:val="00EE34DD"/>
    <w:rsid w:val="00EE47C6"/>
    <w:rsid w:val="00EE4D84"/>
    <w:rsid w:val="00EF1196"/>
    <w:rsid w:val="00EF2B23"/>
    <w:rsid w:val="00EF6F58"/>
    <w:rsid w:val="00EF7935"/>
    <w:rsid w:val="00F12FB0"/>
    <w:rsid w:val="00F16039"/>
    <w:rsid w:val="00F2498E"/>
    <w:rsid w:val="00F34068"/>
    <w:rsid w:val="00F56426"/>
    <w:rsid w:val="00F71088"/>
    <w:rsid w:val="00F74FB9"/>
    <w:rsid w:val="00F97B3C"/>
    <w:rsid w:val="00FA00A8"/>
    <w:rsid w:val="00FA1F4B"/>
    <w:rsid w:val="00FA4DC7"/>
    <w:rsid w:val="00FA5D15"/>
    <w:rsid w:val="00FC54A4"/>
    <w:rsid w:val="00FD0A58"/>
    <w:rsid w:val="00FD160B"/>
    <w:rsid w:val="00FD4378"/>
    <w:rsid w:val="00FF1860"/>
    <w:rsid w:val="00FF299D"/>
    <w:rsid w:val="00FF32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3A8E71-34BA-45B5-B825-80033E45B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498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uiPriority w:val="22"/>
    <w:qFormat/>
    <w:rsid w:val="00981B92"/>
    <w:rPr>
      <w:b/>
      <w:bCs/>
    </w:rPr>
  </w:style>
  <w:style w:type="character" w:customStyle="1" w:styleId="subtiparrafo">
    <w:name w:val="subti_parrafo"/>
    <w:basedOn w:val="Fuentedeprrafopredeter"/>
    <w:rsid w:val="00067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692732295">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50396549">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omex.org.mx/ipo/portal/salud/marcoJuridico/10.web"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javascript:AbrirModal(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ED1DE-04FE-46A8-B7FB-BAC6B02F5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20</Pages>
  <Words>5036</Words>
  <Characters>27704</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Edgar</cp:lastModifiedBy>
  <cp:revision>46</cp:revision>
  <cp:lastPrinted>2020-01-08T20:45:00Z</cp:lastPrinted>
  <dcterms:created xsi:type="dcterms:W3CDTF">2018-09-18T22:45:00Z</dcterms:created>
  <dcterms:modified xsi:type="dcterms:W3CDTF">2020-04-14T22:49:00Z</dcterms:modified>
</cp:coreProperties>
</file>