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1" w:rightFromText="141" w:vertAnchor="page" w:horzAnchor="page" w:tblpX="4212" w:tblpY="556"/>
        <w:tblW w:w="68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2835"/>
        <w:gridCol w:w="3969"/>
      </w:tblGrid>
      <w:tr w:rsidR="00264223" w:rsidRPr="00E13258" w14:paraId="3A7FAAA1" w14:textId="77777777" w:rsidTr="000A24C9">
        <w:trPr>
          <w:trHeight w:val="144"/>
        </w:trPr>
        <w:tc>
          <w:tcPr>
            <w:tcW w:w="2835" w:type="dxa"/>
          </w:tcPr>
          <w:p w14:paraId="47DB03F7" w14:textId="77777777" w:rsidR="00264223" w:rsidRPr="00E13258" w:rsidRDefault="00264223" w:rsidP="00DE5256">
            <w:pPr>
              <w:tabs>
                <w:tab w:val="right" w:pos="8838"/>
              </w:tabs>
              <w:spacing w:line="360" w:lineRule="auto"/>
              <w:ind w:right="-105"/>
              <w:rPr>
                <w:rFonts w:ascii="Palatino Linotype" w:eastAsia="Calibri" w:hAnsi="Palatino Linotype" w:cs="Tahoma"/>
                <w:b/>
                <w:sz w:val="22"/>
                <w:szCs w:val="22"/>
                <w:lang w:val="es-MX" w:eastAsia="en-US"/>
              </w:rPr>
            </w:pPr>
            <w:r w:rsidRPr="00E13258">
              <w:rPr>
                <w:rFonts w:ascii="Palatino Linotype" w:eastAsia="Calibri" w:hAnsi="Palatino Linotype" w:cs="Tahoma"/>
                <w:b/>
                <w:sz w:val="22"/>
                <w:szCs w:val="22"/>
                <w:lang w:val="es-MX" w:eastAsia="en-US"/>
              </w:rPr>
              <w:t>Recurso de Revisión:</w:t>
            </w:r>
          </w:p>
        </w:tc>
        <w:tc>
          <w:tcPr>
            <w:tcW w:w="3969" w:type="dxa"/>
          </w:tcPr>
          <w:p w14:paraId="3833E908" w14:textId="77777777" w:rsidR="00264223" w:rsidRPr="00E13258" w:rsidRDefault="000C766E" w:rsidP="00DE5256">
            <w:pPr>
              <w:tabs>
                <w:tab w:val="right" w:pos="8838"/>
              </w:tabs>
              <w:spacing w:line="360" w:lineRule="auto"/>
              <w:ind w:left="-28" w:right="171"/>
              <w:jc w:val="both"/>
              <w:rPr>
                <w:rFonts w:ascii="Palatino Linotype" w:eastAsia="Calibri" w:hAnsi="Palatino Linotype" w:cs="Tahoma"/>
                <w:bCs/>
                <w:sz w:val="22"/>
                <w:szCs w:val="22"/>
                <w:lang w:eastAsia="en-US"/>
              </w:rPr>
            </w:pPr>
            <w:r w:rsidRPr="00E13258">
              <w:rPr>
                <w:rFonts w:ascii="Palatino Linotype" w:eastAsia="Calibri" w:hAnsi="Palatino Linotype" w:cs="Tahoma"/>
                <w:bCs/>
                <w:sz w:val="22"/>
                <w:szCs w:val="22"/>
                <w:lang w:eastAsia="en-US"/>
              </w:rPr>
              <w:t>00</w:t>
            </w:r>
            <w:r w:rsidR="00E95BD6" w:rsidRPr="00E13258">
              <w:rPr>
                <w:rFonts w:ascii="Palatino Linotype" w:eastAsia="Calibri" w:hAnsi="Palatino Linotype" w:cs="Tahoma"/>
                <w:bCs/>
                <w:sz w:val="22"/>
                <w:szCs w:val="22"/>
                <w:lang w:eastAsia="en-US"/>
              </w:rPr>
              <w:t>6</w:t>
            </w:r>
            <w:r w:rsidR="009B1279" w:rsidRPr="00E13258">
              <w:rPr>
                <w:rFonts w:ascii="Palatino Linotype" w:eastAsia="Calibri" w:hAnsi="Palatino Linotype" w:cs="Tahoma"/>
                <w:bCs/>
                <w:sz w:val="22"/>
                <w:szCs w:val="22"/>
                <w:lang w:eastAsia="en-US"/>
              </w:rPr>
              <w:t>01</w:t>
            </w:r>
            <w:r w:rsidRPr="00E13258">
              <w:rPr>
                <w:rFonts w:ascii="Palatino Linotype" w:eastAsia="Calibri" w:hAnsi="Palatino Linotype" w:cs="Tahoma"/>
                <w:bCs/>
                <w:sz w:val="22"/>
                <w:szCs w:val="22"/>
                <w:lang w:eastAsia="en-US"/>
              </w:rPr>
              <w:t>/INFOEM/IP/RR/2019</w:t>
            </w:r>
          </w:p>
        </w:tc>
      </w:tr>
      <w:tr w:rsidR="00264223" w:rsidRPr="00E13258" w14:paraId="78A42911" w14:textId="77777777" w:rsidTr="000A24C9">
        <w:trPr>
          <w:trHeight w:val="144"/>
        </w:trPr>
        <w:tc>
          <w:tcPr>
            <w:tcW w:w="2835" w:type="dxa"/>
          </w:tcPr>
          <w:p w14:paraId="4EC1AA58" w14:textId="77777777" w:rsidR="00264223" w:rsidRPr="00E13258" w:rsidRDefault="00264223" w:rsidP="00DE5256">
            <w:pPr>
              <w:tabs>
                <w:tab w:val="right" w:pos="8838"/>
              </w:tabs>
              <w:spacing w:line="360" w:lineRule="auto"/>
              <w:ind w:right="-105"/>
              <w:rPr>
                <w:rFonts w:ascii="Palatino Linotype" w:eastAsia="Calibri" w:hAnsi="Palatino Linotype" w:cs="Tahoma"/>
                <w:b/>
                <w:sz w:val="22"/>
                <w:szCs w:val="22"/>
                <w:lang w:val="es-MX" w:eastAsia="en-US"/>
              </w:rPr>
            </w:pPr>
            <w:r w:rsidRPr="00E13258">
              <w:rPr>
                <w:rFonts w:ascii="Palatino Linotype" w:eastAsia="Calibri" w:hAnsi="Palatino Linotype" w:cs="Tahoma"/>
                <w:b/>
                <w:sz w:val="22"/>
                <w:szCs w:val="22"/>
                <w:lang w:eastAsia="en-US"/>
              </w:rPr>
              <w:t>Recurrente:</w:t>
            </w:r>
          </w:p>
        </w:tc>
        <w:tc>
          <w:tcPr>
            <w:tcW w:w="3969" w:type="dxa"/>
          </w:tcPr>
          <w:p w14:paraId="76B0D339" w14:textId="2B65215B" w:rsidR="00264223" w:rsidRPr="00E13258" w:rsidRDefault="001B08C6" w:rsidP="00DE5256">
            <w:pPr>
              <w:tabs>
                <w:tab w:val="right" w:pos="8838"/>
              </w:tabs>
              <w:spacing w:line="360" w:lineRule="auto"/>
              <w:ind w:right="171"/>
              <w:jc w:val="both"/>
              <w:rPr>
                <w:rFonts w:ascii="Palatino Linotype" w:eastAsia="Calibri" w:hAnsi="Palatino Linotype" w:cs="Tahoma"/>
                <w:sz w:val="22"/>
                <w:szCs w:val="22"/>
                <w:lang w:val="es-MX" w:eastAsia="en-US"/>
              </w:rPr>
            </w:pPr>
            <w:bookmarkStart w:id="0" w:name="_GoBack"/>
            <w:bookmarkEnd w:id="0"/>
            <w:r w:rsidRPr="001B08C6">
              <w:rPr>
                <w:rFonts w:ascii="Palatino Linotype" w:eastAsia="Calibri" w:hAnsi="Palatino Linotype" w:cs="Tahoma"/>
                <w:bCs/>
                <w:sz w:val="22"/>
                <w:szCs w:val="22"/>
                <w:highlight w:val="black"/>
                <w:lang w:val="es-MX" w:eastAsia="en-US"/>
              </w:rPr>
              <w:t>XXXXXXXXXXXXXXXX</w:t>
            </w:r>
          </w:p>
        </w:tc>
      </w:tr>
      <w:tr w:rsidR="00264223" w:rsidRPr="00E13258" w14:paraId="70878EFC" w14:textId="77777777" w:rsidTr="000A24C9">
        <w:trPr>
          <w:trHeight w:val="283"/>
        </w:trPr>
        <w:tc>
          <w:tcPr>
            <w:tcW w:w="2835" w:type="dxa"/>
          </w:tcPr>
          <w:p w14:paraId="4CC858A7" w14:textId="77777777" w:rsidR="00264223" w:rsidRPr="00E13258" w:rsidRDefault="00386A93" w:rsidP="00DE5256">
            <w:pPr>
              <w:tabs>
                <w:tab w:val="right" w:pos="8838"/>
              </w:tabs>
              <w:spacing w:line="360" w:lineRule="auto"/>
              <w:ind w:right="-105"/>
              <w:rPr>
                <w:rFonts w:ascii="Palatino Linotype" w:eastAsia="Calibri" w:hAnsi="Palatino Linotype" w:cs="Tahoma"/>
                <w:b/>
                <w:sz w:val="22"/>
                <w:szCs w:val="22"/>
                <w:lang w:val="es-MX" w:eastAsia="en-US"/>
              </w:rPr>
            </w:pPr>
            <w:r w:rsidRPr="00E13258">
              <w:rPr>
                <w:rFonts w:ascii="Palatino Linotype" w:eastAsia="Calibri" w:hAnsi="Palatino Linotype" w:cs="Tahoma"/>
                <w:b/>
                <w:sz w:val="22"/>
                <w:szCs w:val="22"/>
                <w:lang w:eastAsia="en-US"/>
              </w:rPr>
              <w:t>Sujeto Obligado</w:t>
            </w:r>
            <w:r w:rsidR="00264223" w:rsidRPr="00E13258">
              <w:rPr>
                <w:rFonts w:ascii="Palatino Linotype" w:eastAsia="Calibri" w:hAnsi="Palatino Linotype" w:cs="Tahoma"/>
                <w:b/>
                <w:sz w:val="22"/>
                <w:szCs w:val="22"/>
                <w:lang w:eastAsia="en-US"/>
              </w:rPr>
              <w:t>:</w:t>
            </w:r>
          </w:p>
        </w:tc>
        <w:tc>
          <w:tcPr>
            <w:tcW w:w="3969" w:type="dxa"/>
          </w:tcPr>
          <w:p w14:paraId="3CFDD2AA" w14:textId="77777777" w:rsidR="00264223" w:rsidRPr="00E13258" w:rsidRDefault="009B1279" w:rsidP="00DE5256">
            <w:pPr>
              <w:tabs>
                <w:tab w:val="right" w:pos="8838"/>
              </w:tabs>
              <w:spacing w:line="360" w:lineRule="auto"/>
              <w:ind w:right="171"/>
              <w:jc w:val="both"/>
              <w:rPr>
                <w:rFonts w:ascii="Palatino Linotype" w:eastAsia="Calibri" w:hAnsi="Palatino Linotype" w:cs="Tahoma"/>
                <w:sz w:val="22"/>
                <w:szCs w:val="22"/>
                <w:lang w:val="es-MX" w:eastAsia="en-US"/>
              </w:rPr>
            </w:pPr>
            <w:r w:rsidRPr="00E13258">
              <w:rPr>
                <w:rFonts w:ascii="Palatino Linotype" w:eastAsia="Calibri" w:hAnsi="Palatino Linotype" w:cs="Tahoma"/>
                <w:bCs/>
                <w:sz w:val="22"/>
                <w:szCs w:val="22"/>
                <w:lang w:val="es-MX" w:eastAsia="en-US"/>
              </w:rPr>
              <w:t>Ayuntamiento de Tlalnepantla de Baz</w:t>
            </w:r>
          </w:p>
        </w:tc>
      </w:tr>
      <w:tr w:rsidR="00264223" w:rsidRPr="00E13258" w14:paraId="09EF9FEC" w14:textId="77777777" w:rsidTr="000A24C9">
        <w:trPr>
          <w:trHeight w:val="283"/>
        </w:trPr>
        <w:tc>
          <w:tcPr>
            <w:tcW w:w="2835" w:type="dxa"/>
          </w:tcPr>
          <w:p w14:paraId="1B85417A" w14:textId="77777777" w:rsidR="00264223" w:rsidRPr="00E13258" w:rsidRDefault="00264223" w:rsidP="00DE5256">
            <w:pPr>
              <w:tabs>
                <w:tab w:val="right" w:pos="8838"/>
              </w:tabs>
              <w:spacing w:line="360" w:lineRule="auto"/>
              <w:ind w:right="-105"/>
              <w:rPr>
                <w:rFonts w:ascii="Palatino Linotype" w:eastAsia="Calibri" w:hAnsi="Palatino Linotype" w:cs="Tahoma"/>
                <w:b/>
                <w:sz w:val="22"/>
                <w:szCs w:val="22"/>
                <w:lang w:val="es-MX" w:eastAsia="en-US"/>
              </w:rPr>
            </w:pPr>
            <w:r w:rsidRPr="00E13258">
              <w:rPr>
                <w:rFonts w:ascii="Palatino Linotype" w:eastAsia="Calibri" w:hAnsi="Palatino Linotype" w:cs="Tahoma"/>
                <w:b/>
                <w:sz w:val="22"/>
                <w:szCs w:val="22"/>
                <w:lang w:eastAsia="en-US"/>
              </w:rPr>
              <w:t>Comisionado Ponente:</w:t>
            </w:r>
          </w:p>
        </w:tc>
        <w:tc>
          <w:tcPr>
            <w:tcW w:w="3969" w:type="dxa"/>
          </w:tcPr>
          <w:p w14:paraId="622D9666" w14:textId="77777777" w:rsidR="00264223" w:rsidRPr="00E13258" w:rsidRDefault="00264223" w:rsidP="00DE5256">
            <w:pPr>
              <w:tabs>
                <w:tab w:val="right" w:pos="8838"/>
              </w:tabs>
              <w:spacing w:line="360" w:lineRule="auto"/>
              <w:ind w:right="171"/>
              <w:jc w:val="both"/>
              <w:rPr>
                <w:rFonts w:ascii="Palatino Linotype" w:eastAsia="Calibri" w:hAnsi="Palatino Linotype" w:cs="Tahoma"/>
                <w:b/>
                <w:sz w:val="22"/>
                <w:szCs w:val="22"/>
                <w:lang w:val="es-MX" w:eastAsia="en-US"/>
              </w:rPr>
            </w:pPr>
            <w:r w:rsidRPr="00E13258">
              <w:rPr>
                <w:rFonts w:ascii="Palatino Linotype" w:eastAsia="Calibri" w:hAnsi="Palatino Linotype" w:cs="Tahoma"/>
                <w:sz w:val="22"/>
                <w:szCs w:val="22"/>
                <w:lang w:eastAsia="en-US"/>
              </w:rPr>
              <w:t>Luis Gustavo Parra Noriega</w:t>
            </w:r>
          </w:p>
        </w:tc>
      </w:tr>
    </w:tbl>
    <w:p w14:paraId="48D6E48B" w14:textId="77777777" w:rsidR="000A24C9" w:rsidRPr="00E13258" w:rsidRDefault="000A24C9" w:rsidP="00DE5256">
      <w:pPr>
        <w:spacing w:line="360" w:lineRule="auto"/>
        <w:jc w:val="both"/>
        <w:rPr>
          <w:rFonts w:ascii="Palatino Linotype" w:hAnsi="Palatino Linotype" w:cs="Tahoma"/>
          <w:bCs/>
          <w:sz w:val="22"/>
          <w:szCs w:val="22"/>
        </w:rPr>
      </w:pPr>
    </w:p>
    <w:p w14:paraId="770A9118" w14:textId="77777777" w:rsidR="00E95BD6" w:rsidRPr="00E13258" w:rsidRDefault="00E95BD6" w:rsidP="00DE5256">
      <w:pPr>
        <w:spacing w:line="360" w:lineRule="auto"/>
        <w:jc w:val="both"/>
        <w:rPr>
          <w:rFonts w:ascii="Palatino Linotype" w:hAnsi="Palatino Linotype" w:cs="Tahoma"/>
          <w:bCs/>
          <w:sz w:val="22"/>
          <w:szCs w:val="22"/>
        </w:rPr>
      </w:pPr>
    </w:p>
    <w:p w14:paraId="6B6D356F" w14:textId="77777777" w:rsidR="0074285B" w:rsidRPr="00E13258" w:rsidRDefault="00D22B6A" w:rsidP="00DE5256">
      <w:pPr>
        <w:spacing w:line="360" w:lineRule="auto"/>
        <w:jc w:val="both"/>
        <w:rPr>
          <w:rFonts w:ascii="Palatino Linotype" w:hAnsi="Palatino Linotype"/>
          <w:noProof/>
          <w:sz w:val="22"/>
          <w:szCs w:val="22"/>
          <w:lang w:val="es-ES"/>
        </w:rPr>
      </w:pPr>
      <w:r w:rsidRPr="00E13258">
        <w:rPr>
          <w:rFonts w:ascii="Palatino Linotype" w:hAnsi="Palatino Linotype" w:cs="Tahoma"/>
          <w:bCs/>
          <w:sz w:val="22"/>
          <w:szCs w:val="22"/>
        </w:rPr>
        <w:t xml:space="preserve">Resolución del Pleno del Instituto de Transparencia, Acceso a la Información Pública y Protección de Datos Personales del Estado de México y Municipios, con domicilio en Metepec, Estado de México, de fecha </w:t>
      </w:r>
      <w:r w:rsidR="009B1279" w:rsidRPr="00E13258">
        <w:rPr>
          <w:rFonts w:ascii="Palatino Linotype" w:hAnsi="Palatino Linotype" w:cs="Tahoma"/>
          <w:bCs/>
          <w:sz w:val="22"/>
          <w:szCs w:val="22"/>
        </w:rPr>
        <w:t xml:space="preserve">veinticuatro </w:t>
      </w:r>
      <w:r w:rsidR="00E95BD6" w:rsidRPr="00E13258">
        <w:rPr>
          <w:rFonts w:ascii="Palatino Linotype" w:hAnsi="Palatino Linotype" w:cs="Tahoma"/>
          <w:bCs/>
          <w:sz w:val="22"/>
          <w:szCs w:val="22"/>
        </w:rPr>
        <w:t xml:space="preserve">de abril </w:t>
      </w:r>
      <w:r w:rsidRPr="00E13258">
        <w:rPr>
          <w:rFonts w:ascii="Palatino Linotype" w:hAnsi="Palatino Linotype" w:cs="Tahoma"/>
          <w:bCs/>
          <w:sz w:val="22"/>
          <w:szCs w:val="22"/>
        </w:rPr>
        <w:t>de dos mil dieci</w:t>
      </w:r>
      <w:r w:rsidR="006B112B" w:rsidRPr="00E13258">
        <w:rPr>
          <w:rFonts w:ascii="Palatino Linotype" w:hAnsi="Palatino Linotype" w:cs="Tahoma"/>
          <w:bCs/>
          <w:sz w:val="22"/>
          <w:szCs w:val="22"/>
        </w:rPr>
        <w:t>nueve</w:t>
      </w:r>
      <w:r w:rsidRPr="00E13258">
        <w:rPr>
          <w:rFonts w:ascii="Palatino Linotype" w:hAnsi="Palatino Linotype" w:cs="Tahoma"/>
          <w:bCs/>
          <w:sz w:val="22"/>
          <w:szCs w:val="22"/>
        </w:rPr>
        <w:t>.</w:t>
      </w:r>
    </w:p>
    <w:p w14:paraId="57A7DCEF" w14:textId="77777777" w:rsidR="00492DCA" w:rsidRPr="00E13258" w:rsidRDefault="00492DCA" w:rsidP="00DE5256">
      <w:pPr>
        <w:spacing w:line="360" w:lineRule="auto"/>
        <w:jc w:val="both"/>
        <w:rPr>
          <w:rFonts w:ascii="Palatino Linotype" w:hAnsi="Palatino Linotype"/>
          <w:noProof/>
          <w:sz w:val="22"/>
          <w:szCs w:val="22"/>
          <w:lang w:val="es-ES"/>
        </w:rPr>
      </w:pPr>
    </w:p>
    <w:p w14:paraId="5DD38F2B" w14:textId="3E0411A2" w:rsidR="00400FDE" w:rsidRPr="00E13258" w:rsidRDefault="00575DE3" w:rsidP="00DE5256">
      <w:pPr>
        <w:spacing w:line="360" w:lineRule="auto"/>
        <w:jc w:val="both"/>
        <w:rPr>
          <w:rFonts w:ascii="Palatino Linotype" w:hAnsi="Palatino Linotype" w:cs="Tahoma"/>
          <w:bCs/>
          <w:sz w:val="22"/>
          <w:szCs w:val="22"/>
        </w:rPr>
      </w:pPr>
      <w:r w:rsidRPr="00E13258">
        <w:rPr>
          <w:rFonts w:ascii="Palatino Linotype" w:hAnsi="Palatino Linotype" w:cs="Tahoma"/>
          <w:b/>
          <w:bCs/>
          <w:color w:val="0D0D0D" w:themeColor="text1" w:themeTint="F2"/>
          <w:sz w:val="22"/>
          <w:szCs w:val="22"/>
        </w:rPr>
        <w:t>VISTO</w:t>
      </w:r>
      <w:r w:rsidR="0019389B" w:rsidRPr="00E13258">
        <w:rPr>
          <w:rFonts w:ascii="Palatino Linotype" w:hAnsi="Palatino Linotype" w:cs="Tahoma"/>
          <w:bCs/>
          <w:color w:val="0D0D0D" w:themeColor="text1" w:themeTint="F2"/>
          <w:sz w:val="22"/>
          <w:szCs w:val="22"/>
        </w:rPr>
        <w:t xml:space="preserve"> el expediente conformado </w:t>
      </w:r>
      <w:r w:rsidR="00422869" w:rsidRPr="00E13258">
        <w:rPr>
          <w:rFonts w:ascii="Palatino Linotype" w:hAnsi="Palatino Linotype" w:cs="Tahoma"/>
          <w:bCs/>
          <w:color w:val="0D0D0D" w:themeColor="text1" w:themeTint="F2"/>
          <w:sz w:val="22"/>
          <w:szCs w:val="22"/>
        </w:rPr>
        <w:t xml:space="preserve">con motivo del Recurso de Revisión </w:t>
      </w:r>
      <w:r w:rsidR="0050449E" w:rsidRPr="00E13258">
        <w:rPr>
          <w:rFonts w:ascii="Palatino Linotype" w:hAnsi="Palatino Linotype" w:cs="Tahoma"/>
          <w:b/>
          <w:bCs/>
          <w:color w:val="0D0D0D" w:themeColor="text1" w:themeTint="F2"/>
          <w:sz w:val="22"/>
          <w:szCs w:val="22"/>
        </w:rPr>
        <w:t>0</w:t>
      </w:r>
      <w:r w:rsidR="002459FB" w:rsidRPr="00E13258">
        <w:rPr>
          <w:rFonts w:ascii="Palatino Linotype" w:hAnsi="Palatino Linotype" w:cs="Tahoma"/>
          <w:b/>
          <w:bCs/>
          <w:color w:val="0D0D0D" w:themeColor="text1" w:themeTint="F2"/>
          <w:sz w:val="22"/>
          <w:szCs w:val="22"/>
        </w:rPr>
        <w:t>0</w:t>
      </w:r>
      <w:r w:rsidR="000A24C9" w:rsidRPr="00E13258">
        <w:rPr>
          <w:rFonts w:ascii="Palatino Linotype" w:hAnsi="Palatino Linotype" w:cs="Tahoma"/>
          <w:b/>
          <w:bCs/>
          <w:color w:val="0D0D0D" w:themeColor="text1" w:themeTint="F2"/>
          <w:sz w:val="22"/>
          <w:szCs w:val="22"/>
        </w:rPr>
        <w:t>6</w:t>
      </w:r>
      <w:r w:rsidR="009B1279" w:rsidRPr="00E13258">
        <w:rPr>
          <w:rFonts w:ascii="Palatino Linotype" w:hAnsi="Palatino Linotype" w:cs="Tahoma"/>
          <w:b/>
          <w:bCs/>
          <w:color w:val="0D0D0D" w:themeColor="text1" w:themeTint="F2"/>
          <w:sz w:val="22"/>
          <w:szCs w:val="22"/>
        </w:rPr>
        <w:t>01</w:t>
      </w:r>
      <w:r w:rsidR="0050449E" w:rsidRPr="00E13258">
        <w:rPr>
          <w:rFonts w:ascii="Palatino Linotype" w:hAnsi="Palatino Linotype" w:cs="Tahoma"/>
          <w:b/>
          <w:bCs/>
          <w:color w:val="0D0D0D" w:themeColor="text1" w:themeTint="F2"/>
          <w:sz w:val="22"/>
          <w:szCs w:val="22"/>
        </w:rPr>
        <w:t>/INFOEM/IP/RR/201</w:t>
      </w:r>
      <w:r w:rsidR="002459FB" w:rsidRPr="00E13258">
        <w:rPr>
          <w:rFonts w:ascii="Palatino Linotype" w:hAnsi="Palatino Linotype" w:cs="Tahoma"/>
          <w:b/>
          <w:bCs/>
          <w:color w:val="0D0D0D" w:themeColor="text1" w:themeTint="F2"/>
          <w:sz w:val="22"/>
          <w:szCs w:val="22"/>
        </w:rPr>
        <w:t>9</w:t>
      </w:r>
      <w:r w:rsidR="00A37B60" w:rsidRPr="00E13258">
        <w:rPr>
          <w:rFonts w:ascii="Palatino Linotype" w:hAnsi="Palatino Linotype" w:cs="Tahoma"/>
          <w:b/>
          <w:bCs/>
          <w:color w:val="0D0D0D" w:themeColor="text1" w:themeTint="F2"/>
          <w:sz w:val="22"/>
          <w:szCs w:val="22"/>
        </w:rPr>
        <w:t>,</w:t>
      </w:r>
      <w:r w:rsidR="004E1AD9" w:rsidRPr="00E13258">
        <w:rPr>
          <w:rFonts w:ascii="Palatino Linotype" w:hAnsi="Palatino Linotype" w:cs="Tahoma"/>
          <w:b/>
          <w:bCs/>
          <w:color w:val="0D0D0D" w:themeColor="text1" w:themeTint="F2"/>
          <w:sz w:val="22"/>
          <w:szCs w:val="22"/>
        </w:rPr>
        <w:t xml:space="preserve"> </w:t>
      </w:r>
      <w:r w:rsidR="00127757" w:rsidRPr="00E13258">
        <w:rPr>
          <w:rFonts w:ascii="Palatino Linotype" w:hAnsi="Palatino Linotype" w:cs="Tahoma"/>
          <w:bCs/>
          <w:color w:val="0D0D0D" w:themeColor="text1" w:themeTint="F2"/>
          <w:sz w:val="22"/>
          <w:szCs w:val="22"/>
        </w:rPr>
        <w:t>interpuesto por</w:t>
      </w:r>
      <w:r w:rsidR="00E70503" w:rsidRPr="00E13258">
        <w:rPr>
          <w:rFonts w:ascii="Palatino Linotype" w:hAnsi="Palatino Linotype" w:cs="Tahoma"/>
          <w:bCs/>
          <w:color w:val="0D0D0D" w:themeColor="text1" w:themeTint="F2"/>
          <w:sz w:val="22"/>
          <w:szCs w:val="22"/>
        </w:rPr>
        <w:t xml:space="preserve"> </w:t>
      </w:r>
      <w:r w:rsidR="001B08C6" w:rsidRPr="001B08C6">
        <w:rPr>
          <w:rFonts w:ascii="Palatino Linotype" w:hAnsi="Palatino Linotype" w:cs="Tahoma"/>
          <w:b/>
          <w:bCs/>
          <w:color w:val="0D0D0D" w:themeColor="text1" w:themeTint="F2"/>
          <w:sz w:val="22"/>
          <w:szCs w:val="22"/>
          <w:highlight w:val="black"/>
        </w:rPr>
        <w:t>XXXXXXXXXXXXXXXX</w:t>
      </w:r>
      <w:r w:rsidR="000A238F" w:rsidRPr="001B08C6">
        <w:rPr>
          <w:rFonts w:ascii="Palatino Linotype" w:hAnsi="Palatino Linotype" w:cs="Tahoma"/>
          <w:bCs/>
          <w:color w:val="0D0D0D" w:themeColor="text1" w:themeTint="F2"/>
          <w:sz w:val="22"/>
          <w:szCs w:val="22"/>
        </w:rPr>
        <w:t>,</w:t>
      </w:r>
      <w:r w:rsidR="000A238F" w:rsidRPr="00E13258">
        <w:rPr>
          <w:rFonts w:ascii="Palatino Linotype" w:hAnsi="Palatino Linotype" w:cs="Tahoma"/>
          <w:bCs/>
          <w:color w:val="0D0D0D" w:themeColor="text1" w:themeTint="F2"/>
          <w:sz w:val="22"/>
          <w:szCs w:val="22"/>
        </w:rPr>
        <w:t xml:space="preserve"> en lo sucesivo </w:t>
      </w:r>
      <w:r w:rsidR="00EC7187" w:rsidRPr="00E13258">
        <w:rPr>
          <w:rFonts w:ascii="Palatino Linotype" w:hAnsi="Palatino Linotype" w:cs="Tahoma"/>
          <w:bCs/>
          <w:color w:val="0D0D0D" w:themeColor="text1" w:themeTint="F2"/>
          <w:sz w:val="22"/>
          <w:szCs w:val="22"/>
        </w:rPr>
        <w:t xml:space="preserve">el </w:t>
      </w:r>
      <w:r w:rsidR="00470619" w:rsidRPr="00E13258">
        <w:rPr>
          <w:rFonts w:ascii="Palatino Linotype" w:hAnsi="Palatino Linotype" w:cs="Tahoma"/>
          <w:bCs/>
          <w:color w:val="0D0D0D" w:themeColor="text1" w:themeTint="F2"/>
          <w:sz w:val="22"/>
          <w:szCs w:val="22"/>
        </w:rPr>
        <w:t xml:space="preserve">Recurrente </w:t>
      </w:r>
      <w:r w:rsidR="000A238F" w:rsidRPr="00E13258">
        <w:rPr>
          <w:rFonts w:ascii="Palatino Linotype" w:hAnsi="Palatino Linotype" w:cs="Tahoma"/>
          <w:bCs/>
          <w:color w:val="0D0D0D" w:themeColor="text1" w:themeTint="F2"/>
          <w:sz w:val="22"/>
          <w:szCs w:val="22"/>
        </w:rPr>
        <w:t xml:space="preserve">o </w:t>
      </w:r>
      <w:r w:rsidR="00470619" w:rsidRPr="00E13258">
        <w:rPr>
          <w:rFonts w:ascii="Palatino Linotype" w:hAnsi="Palatino Linotype" w:cs="Tahoma"/>
          <w:bCs/>
          <w:color w:val="0D0D0D" w:themeColor="text1" w:themeTint="F2"/>
          <w:sz w:val="22"/>
          <w:szCs w:val="22"/>
        </w:rPr>
        <w:t>P</w:t>
      </w:r>
      <w:r w:rsidR="000A238F" w:rsidRPr="00E13258">
        <w:rPr>
          <w:rFonts w:ascii="Palatino Linotype" w:hAnsi="Palatino Linotype" w:cs="Tahoma"/>
          <w:bCs/>
          <w:color w:val="0D0D0D" w:themeColor="text1" w:themeTint="F2"/>
          <w:sz w:val="22"/>
          <w:szCs w:val="22"/>
        </w:rPr>
        <w:t>articular,</w:t>
      </w:r>
      <w:r w:rsidR="00A9024A" w:rsidRPr="00E13258">
        <w:rPr>
          <w:rFonts w:ascii="Palatino Linotype" w:hAnsi="Palatino Linotype" w:cs="Tahoma"/>
          <w:bCs/>
          <w:color w:val="0D0D0D" w:themeColor="text1" w:themeTint="F2"/>
          <w:sz w:val="22"/>
          <w:szCs w:val="22"/>
        </w:rPr>
        <w:t xml:space="preserve"> </w:t>
      </w:r>
      <w:r w:rsidR="00DC1594" w:rsidRPr="00E13258">
        <w:rPr>
          <w:rFonts w:ascii="Palatino Linotype" w:hAnsi="Palatino Linotype" w:cs="Tahoma"/>
          <w:bCs/>
          <w:color w:val="0D0D0D" w:themeColor="text1" w:themeTint="F2"/>
          <w:sz w:val="22"/>
          <w:szCs w:val="22"/>
        </w:rPr>
        <w:t xml:space="preserve">en contra de la respuesta del </w:t>
      </w:r>
      <w:r w:rsidR="00956793" w:rsidRPr="00E13258">
        <w:rPr>
          <w:rFonts w:ascii="Palatino Linotype" w:hAnsi="Palatino Linotype" w:cs="Tahoma"/>
          <w:b/>
          <w:bCs/>
          <w:color w:val="0D0D0D" w:themeColor="text1" w:themeTint="F2"/>
          <w:sz w:val="22"/>
          <w:szCs w:val="22"/>
        </w:rPr>
        <w:t>Sujeto Obligado</w:t>
      </w:r>
      <w:r w:rsidR="002A0FB8" w:rsidRPr="00E13258">
        <w:rPr>
          <w:rFonts w:ascii="Palatino Linotype" w:hAnsi="Palatino Linotype" w:cs="Tahoma"/>
          <w:b/>
          <w:bCs/>
          <w:color w:val="0D0D0D" w:themeColor="text1" w:themeTint="F2"/>
          <w:sz w:val="22"/>
          <w:szCs w:val="22"/>
        </w:rPr>
        <w:t xml:space="preserve"> </w:t>
      </w:r>
      <w:r w:rsidR="009B1279" w:rsidRPr="00E13258">
        <w:rPr>
          <w:rFonts w:ascii="Palatino Linotype" w:hAnsi="Palatino Linotype" w:cs="Tahoma"/>
          <w:b/>
          <w:bCs/>
          <w:color w:val="0D0D0D" w:themeColor="text1" w:themeTint="F2"/>
          <w:sz w:val="22"/>
          <w:szCs w:val="22"/>
        </w:rPr>
        <w:t>Ayuntamiento de Tlalnepantla de Baz</w:t>
      </w:r>
      <w:r w:rsidR="00DC1594" w:rsidRPr="00E13258">
        <w:rPr>
          <w:rFonts w:ascii="Palatino Linotype" w:hAnsi="Palatino Linotype" w:cs="Tahoma"/>
          <w:bCs/>
          <w:color w:val="0D0D0D" w:themeColor="text1" w:themeTint="F2"/>
          <w:sz w:val="22"/>
          <w:szCs w:val="22"/>
        </w:rPr>
        <w:t xml:space="preserve">, </w:t>
      </w:r>
      <w:r w:rsidR="00422869" w:rsidRPr="00E13258">
        <w:rPr>
          <w:rFonts w:ascii="Palatino Linotype" w:hAnsi="Palatino Linotype" w:cs="Tahoma"/>
          <w:bCs/>
          <w:color w:val="0D0D0D" w:themeColor="text1" w:themeTint="F2"/>
          <w:sz w:val="22"/>
          <w:szCs w:val="22"/>
        </w:rPr>
        <w:t xml:space="preserve">se emite la presente Resolución, </w:t>
      </w:r>
      <w:r w:rsidR="00DC1594" w:rsidRPr="00E13258">
        <w:rPr>
          <w:rFonts w:ascii="Palatino Linotype" w:hAnsi="Palatino Linotype" w:cs="Tahoma"/>
          <w:bCs/>
          <w:color w:val="0D0D0D" w:themeColor="text1" w:themeTint="F2"/>
          <w:sz w:val="22"/>
          <w:szCs w:val="22"/>
        </w:rPr>
        <w:t>con base en</w:t>
      </w:r>
      <w:r w:rsidR="0098795A" w:rsidRPr="00E13258">
        <w:rPr>
          <w:rFonts w:ascii="Palatino Linotype" w:hAnsi="Palatino Linotype" w:cs="Tahoma"/>
          <w:bCs/>
          <w:color w:val="0D0D0D" w:themeColor="text1" w:themeTint="F2"/>
          <w:sz w:val="22"/>
          <w:szCs w:val="22"/>
        </w:rPr>
        <w:t xml:space="preserve"> </w:t>
      </w:r>
      <w:r w:rsidR="00DC1594" w:rsidRPr="00E13258">
        <w:rPr>
          <w:rFonts w:ascii="Palatino Linotype" w:hAnsi="Palatino Linotype" w:cs="Tahoma"/>
          <w:bCs/>
          <w:color w:val="0D0D0D" w:themeColor="text1" w:themeTint="F2"/>
          <w:sz w:val="22"/>
          <w:szCs w:val="22"/>
        </w:rPr>
        <w:t xml:space="preserve">los </w:t>
      </w:r>
      <w:r w:rsidR="006C1B1D" w:rsidRPr="00E13258">
        <w:rPr>
          <w:rFonts w:ascii="Palatino Linotype" w:hAnsi="Palatino Linotype" w:cs="Tahoma"/>
          <w:bCs/>
          <w:color w:val="0D0D0D" w:themeColor="text1" w:themeTint="F2"/>
          <w:sz w:val="22"/>
          <w:szCs w:val="22"/>
        </w:rPr>
        <w:t>A</w:t>
      </w:r>
      <w:r w:rsidR="00DC1594" w:rsidRPr="00E13258">
        <w:rPr>
          <w:rFonts w:ascii="Palatino Linotype" w:hAnsi="Palatino Linotype" w:cs="Tahoma"/>
          <w:bCs/>
          <w:color w:val="0D0D0D" w:themeColor="text1" w:themeTint="F2"/>
          <w:sz w:val="22"/>
          <w:szCs w:val="22"/>
        </w:rPr>
        <w:t xml:space="preserve">ntecedentes y </w:t>
      </w:r>
      <w:r w:rsidR="002A0FB8" w:rsidRPr="00E13258">
        <w:rPr>
          <w:rFonts w:ascii="Palatino Linotype" w:hAnsi="Palatino Linotype" w:cs="Tahoma"/>
          <w:bCs/>
          <w:color w:val="0D0D0D" w:themeColor="text1" w:themeTint="F2"/>
          <w:sz w:val="22"/>
          <w:szCs w:val="22"/>
        </w:rPr>
        <w:t>C</w:t>
      </w:r>
      <w:r w:rsidR="002A0FB8" w:rsidRPr="00E13258">
        <w:rPr>
          <w:rFonts w:ascii="Palatino Linotype" w:hAnsi="Palatino Linotype" w:cs="Tahoma"/>
          <w:bCs/>
          <w:sz w:val="22"/>
          <w:szCs w:val="22"/>
        </w:rPr>
        <w:t xml:space="preserve">onsiderandos </w:t>
      </w:r>
      <w:r w:rsidR="00DC1594" w:rsidRPr="00E13258">
        <w:rPr>
          <w:rFonts w:ascii="Palatino Linotype" w:hAnsi="Palatino Linotype" w:cs="Tahoma"/>
          <w:bCs/>
          <w:sz w:val="22"/>
          <w:szCs w:val="22"/>
        </w:rPr>
        <w:t>que a continuación se exponen</w:t>
      </w:r>
      <w:r w:rsidR="00B31222" w:rsidRPr="00E13258">
        <w:rPr>
          <w:rFonts w:ascii="Palatino Linotype" w:hAnsi="Palatino Linotype" w:cs="Tahoma"/>
          <w:bCs/>
          <w:sz w:val="22"/>
          <w:szCs w:val="22"/>
        </w:rPr>
        <w:t>:</w:t>
      </w:r>
    </w:p>
    <w:p w14:paraId="1828565D" w14:textId="77777777" w:rsidR="00634CEB" w:rsidRPr="00E13258" w:rsidRDefault="00634CEB" w:rsidP="00DE5256">
      <w:pPr>
        <w:tabs>
          <w:tab w:val="center" w:pos="4522"/>
          <w:tab w:val="left" w:pos="7245"/>
          <w:tab w:val="right" w:pos="9044"/>
        </w:tabs>
        <w:spacing w:line="360" w:lineRule="auto"/>
        <w:rPr>
          <w:rFonts w:ascii="Palatino Linotype" w:hAnsi="Palatino Linotype" w:cs="Tahoma"/>
          <w:b/>
          <w:sz w:val="22"/>
          <w:szCs w:val="22"/>
        </w:rPr>
      </w:pPr>
    </w:p>
    <w:p w14:paraId="5E85FD48" w14:textId="77777777" w:rsidR="00B31222" w:rsidRPr="00E13258" w:rsidRDefault="00E46195" w:rsidP="00DE5256">
      <w:pPr>
        <w:tabs>
          <w:tab w:val="center" w:pos="4522"/>
          <w:tab w:val="left" w:pos="7245"/>
          <w:tab w:val="right" w:pos="9044"/>
        </w:tabs>
        <w:spacing w:line="360" w:lineRule="auto"/>
        <w:jc w:val="center"/>
        <w:rPr>
          <w:rFonts w:ascii="Palatino Linotype" w:hAnsi="Palatino Linotype" w:cs="Tahoma"/>
          <w:b/>
          <w:sz w:val="22"/>
          <w:szCs w:val="22"/>
        </w:rPr>
      </w:pPr>
      <w:r w:rsidRPr="00E13258">
        <w:rPr>
          <w:rFonts w:ascii="Palatino Linotype" w:hAnsi="Palatino Linotype" w:cs="Tahoma"/>
          <w:b/>
          <w:sz w:val="22"/>
          <w:szCs w:val="22"/>
        </w:rPr>
        <w:t>A</w:t>
      </w:r>
      <w:r w:rsidR="002459FB" w:rsidRPr="00E13258">
        <w:rPr>
          <w:rFonts w:ascii="Palatino Linotype" w:hAnsi="Palatino Linotype" w:cs="Tahoma"/>
          <w:b/>
          <w:sz w:val="22"/>
          <w:szCs w:val="22"/>
        </w:rPr>
        <w:t xml:space="preserve"> </w:t>
      </w:r>
      <w:r w:rsidRPr="00E13258">
        <w:rPr>
          <w:rFonts w:ascii="Palatino Linotype" w:hAnsi="Palatino Linotype" w:cs="Tahoma"/>
          <w:b/>
          <w:sz w:val="22"/>
          <w:szCs w:val="22"/>
        </w:rPr>
        <w:t>N</w:t>
      </w:r>
      <w:r w:rsidR="002459FB" w:rsidRPr="00E13258">
        <w:rPr>
          <w:rFonts w:ascii="Palatino Linotype" w:hAnsi="Palatino Linotype" w:cs="Tahoma"/>
          <w:b/>
          <w:sz w:val="22"/>
          <w:szCs w:val="22"/>
        </w:rPr>
        <w:t xml:space="preserve"> </w:t>
      </w:r>
      <w:r w:rsidRPr="00E13258">
        <w:rPr>
          <w:rFonts w:ascii="Palatino Linotype" w:hAnsi="Palatino Linotype" w:cs="Tahoma"/>
          <w:b/>
          <w:sz w:val="22"/>
          <w:szCs w:val="22"/>
        </w:rPr>
        <w:t>T</w:t>
      </w:r>
      <w:r w:rsidR="002459FB" w:rsidRPr="00E13258">
        <w:rPr>
          <w:rFonts w:ascii="Palatino Linotype" w:hAnsi="Palatino Linotype" w:cs="Tahoma"/>
          <w:b/>
          <w:sz w:val="22"/>
          <w:szCs w:val="22"/>
        </w:rPr>
        <w:t xml:space="preserve"> </w:t>
      </w:r>
      <w:r w:rsidRPr="00E13258">
        <w:rPr>
          <w:rFonts w:ascii="Palatino Linotype" w:hAnsi="Palatino Linotype" w:cs="Tahoma"/>
          <w:b/>
          <w:sz w:val="22"/>
          <w:szCs w:val="22"/>
        </w:rPr>
        <w:t>E</w:t>
      </w:r>
      <w:r w:rsidR="002459FB" w:rsidRPr="00E13258">
        <w:rPr>
          <w:rFonts w:ascii="Palatino Linotype" w:hAnsi="Palatino Linotype" w:cs="Tahoma"/>
          <w:b/>
          <w:sz w:val="22"/>
          <w:szCs w:val="22"/>
        </w:rPr>
        <w:t xml:space="preserve"> </w:t>
      </w:r>
      <w:r w:rsidRPr="00E13258">
        <w:rPr>
          <w:rFonts w:ascii="Palatino Linotype" w:hAnsi="Palatino Linotype" w:cs="Tahoma"/>
          <w:b/>
          <w:sz w:val="22"/>
          <w:szCs w:val="22"/>
        </w:rPr>
        <w:t>C</w:t>
      </w:r>
      <w:r w:rsidR="002459FB" w:rsidRPr="00E13258">
        <w:rPr>
          <w:rFonts w:ascii="Palatino Linotype" w:hAnsi="Palatino Linotype" w:cs="Tahoma"/>
          <w:b/>
          <w:sz w:val="22"/>
          <w:szCs w:val="22"/>
        </w:rPr>
        <w:t xml:space="preserve"> </w:t>
      </w:r>
      <w:r w:rsidRPr="00E13258">
        <w:rPr>
          <w:rFonts w:ascii="Palatino Linotype" w:hAnsi="Palatino Linotype" w:cs="Tahoma"/>
          <w:b/>
          <w:sz w:val="22"/>
          <w:szCs w:val="22"/>
        </w:rPr>
        <w:t>E</w:t>
      </w:r>
      <w:r w:rsidR="002459FB" w:rsidRPr="00E13258">
        <w:rPr>
          <w:rFonts w:ascii="Palatino Linotype" w:hAnsi="Palatino Linotype" w:cs="Tahoma"/>
          <w:b/>
          <w:sz w:val="22"/>
          <w:szCs w:val="22"/>
        </w:rPr>
        <w:t xml:space="preserve"> </w:t>
      </w:r>
      <w:r w:rsidRPr="00E13258">
        <w:rPr>
          <w:rFonts w:ascii="Palatino Linotype" w:hAnsi="Palatino Linotype" w:cs="Tahoma"/>
          <w:b/>
          <w:sz w:val="22"/>
          <w:szCs w:val="22"/>
        </w:rPr>
        <w:t>D</w:t>
      </w:r>
      <w:r w:rsidR="002459FB" w:rsidRPr="00E13258">
        <w:rPr>
          <w:rFonts w:ascii="Palatino Linotype" w:hAnsi="Palatino Linotype" w:cs="Tahoma"/>
          <w:b/>
          <w:sz w:val="22"/>
          <w:szCs w:val="22"/>
        </w:rPr>
        <w:t xml:space="preserve"> </w:t>
      </w:r>
      <w:r w:rsidRPr="00E13258">
        <w:rPr>
          <w:rFonts w:ascii="Palatino Linotype" w:hAnsi="Palatino Linotype" w:cs="Tahoma"/>
          <w:b/>
          <w:sz w:val="22"/>
          <w:szCs w:val="22"/>
        </w:rPr>
        <w:t>E</w:t>
      </w:r>
      <w:r w:rsidR="002459FB" w:rsidRPr="00E13258">
        <w:rPr>
          <w:rFonts w:ascii="Palatino Linotype" w:hAnsi="Palatino Linotype" w:cs="Tahoma"/>
          <w:b/>
          <w:sz w:val="22"/>
          <w:szCs w:val="22"/>
        </w:rPr>
        <w:t xml:space="preserve"> </w:t>
      </w:r>
      <w:r w:rsidRPr="00E13258">
        <w:rPr>
          <w:rFonts w:ascii="Palatino Linotype" w:hAnsi="Palatino Linotype" w:cs="Tahoma"/>
          <w:b/>
          <w:sz w:val="22"/>
          <w:szCs w:val="22"/>
        </w:rPr>
        <w:t>N</w:t>
      </w:r>
      <w:r w:rsidR="002459FB" w:rsidRPr="00E13258">
        <w:rPr>
          <w:rFonts w:ascii="Palatino Linotype" w:hAnsi="Palatino Linotype" w:cs="Tahoma"/>
          <w:b/>
          <w:sz w:val="22"/>
          <w:szCs w:val="22"/>
        </w:rPr>
        <w:t xml:space="preserve"> </w:t>
      </w:r>
      <w:r w:rsidRPr="00E13258">
        <w:rPr>
          <w:rFonts w:ascii="Palatino Linotype" w:hAnsi="Palatino Linotype" w:cs="Tahoma"/>
          <w:b/>
          <w:sz w:val="22"/>
          <w:szCs w:val="22"/>
        </w:rPr>
        <w:t>T</w:t>
      </w:r>
      <w:r w:rsidR="002459FB" w:rsidRPr="00E13258">
        <w:rPr>
          <w:rFonts w:ascii="Palatino Linotype" w:hAnsi="Palatino Linotype" w:cs="Tahoma"/>
          <w:b/>
          <w:sz w:val="22"/>
          <w:szCs w:val="22"/>
        </w:rPr>
        <w:t xml:space="preserve"> </w:t>
      </w:r>
      <w:r w:rsidRPr="00E13258">
        <w:rPr>
          <w:rFonts w:ascii="Palatino Linotype" w:hAnsi="Palatino Linotype" w:cs="Tahoma"/>
          <w:b/>
          <w:sz w:val="22"/>
          <w:szCs w:val="22"/>
        </w:rPr>
        <w:t>E</w:t>
      </w:r>
      <w:r w:rsidR="002459FB" w:rsidRPr="00E13258">
        <w:rPr>
          <w:rFonts w:ascii="Palatino Linotype" w:hAnsi="Palatino Linotype" w:cs="Tahoma"/>
          <w:b/>
          <w:sz w:val="22"/>
          <w:szCs w:val="22"/>
        </w:rPr>
        <w:t xml:space="preserve"> </w:t>
      </w:r>
      <w:r w:rsidRPr="00E13258">
        <w:rPr>
          <w:rFonts w:ascii="Palatino Linotype" w:hAnsi="Palatino Linotype" w:cs="Tahoma"/>
          <w:b/>
          <w:sz w:val="22"/>
          <w:szCs w:val="22"/>
        </w:rPr>
        <w:t>S</w:t>
      </w:r>
    </w:p>
    <w:p w14:paraId="5552A8A5" w14:textId="77777777" w:rsidR="00683CB5" w:rsidRPr="00E13258" w:rsidRDefault="00683CB5" w:rsidP="00DE5256">
      <w:pPr>
        <w:tabs>
          <w:tab w:val="center" w:pos="4522"/>
          <w:tab w:val="left" w:pos="7245"/>
          <w:tab w:val="right" w:pos="9044"/>
        </w:tabs>
        <w:spacing w:line="360" w:lineRule="auto"/>
        <w:rPr>
          <w:rFonts w:ascii="Palatino Linotype" w:hAnsi="Palatino Linotype" w:cs="Tahoma"/>
          <w:b/>
          <w:sz w:val="22"/>
          <w:szCs w:val="22"/>
        </w:rPr>
      </w:pPr>
    </w:p>
    <w:p w14:paraId="5F1C9496" w14:textId="77777777" w:rsidR="00DC1594" w:rsidRPr="00E13258" w:rsidRDefault="00B31222" w:rsidP="00DE5256">
      <w:pPr>
        <w:pStyle w:val="Prrafodelista"/>
        <w:tabs>
          <w:tab w:val="left" w:pos="567"/>
        </w:tabs>
        <w:spacing w:line="360" w:lineRule="auto"/>
        <w:ind w:left="0"/>
        <w:contextualSpacing w:val="0"/>
        <w:jc w:val="both"/>
        <w:rPr>
          <w:rFonts w:ascii="Palatino Linotype" w:hAnsi="Palatino Linotype" w:cs="Tahoma"/>
          <w:b/>
          <w:szCs w:val="22"/>
        </w:rPr>
      </w:pPr>
      <w:r w:rsidRPr="00E13258">
        <w:rPr>
          <w:rFonts w:ascii="Palatino Linotype" w:hAnsi="Palatino Linotype" w:cs="Tahoma"/>
          <w:b/>
          <w:szCs w:val="22"/>
        </w:rPr>
        <w:t xml:space="preserve">I. Presentación de la solicitud de información. </w:t>
      </w:r>
    </w:p>
    <w:p w14:paraId="667D25BE" w14:textId="77777777" w:rsidR="00DC1594" w:rsidRPr="00E13258" w:rsidRDefault="00DC1594" w:rsidP="00DE5256">
      <w:pPr>
        <w:pStyle w:val="Prrafodelista"/>
        <w:tabs>
          <w:tab w:val="left" w:pos="1050"/>
        </w:tabs>
        <w:spacing w:line="360" w:lineRule="auto"/>
        <w:ind w:left="0"/>
        <w:contextualSpacing w:val="0"/>
        <w:jc w:val="both"/>
        <w:rPr>
          <w:rFonts w:ascii="Palatino Linotype" w:hAnsi="Palatino Linotype" w:cs="Tahoma"/>
          <w:szCs w:val="22"/>
        </w:rPr>
      </w:pPr>
    </w:p>
    <w:p w14:paraId="6A1DCF66" w14:textId="77777777" w:rsidR="00637179" w:rsidRPr="00E13258" w:rsidRDefault="00AA417B" w:rsidP="00DE5256">
      <w:pPr>
        <w:pStyle w:val="Prrafodelista"/>
        <w:tabs>
          <w:tab w:val="left" w:pos="567"/>
        </w:tabs>
        <w:spacing w:line="360" w:lineRule="auto"/>
        <w:ind w:left="0"/>
        <w:contextualSpacing w:val="0"/>
        <w:jc w:val="both"/>
        <w:rPr>
          <w:rFonts w:ascii="Palatino Linotype" w:hAnsi="Palatino Linotype" w:cs="Tahoma"/>
          <w:szCs w:val="22"/>
        </w:rPr>
      </w:pPr>
      <w:r w:rsidRPr="00E13258">
        <w:rPr>
          <w:rFonts w:ascii="Palatino Linotype" w:hAnsi="Palatino Linotype" w:cs="Tahoma"/>
          <w:szCs w:val="22"/>
        </w:rPr>
        <w:t>Con fecha</w:t>
      </w:r>
      <w:r w:rsidR="00A9024A" w:rsidRPr="00E13258">
        <w:rPr>
          <w:rFonts w:ascii="Palatino Linotype" w:hAnsi="Palatino Linotype" w:cs="Tahoma"/>
          <w:szCs w:val="22"/>
        </w:rPr>
        <w:t xml:space="preserve"> </w:t>
      </w:r>
      <w:r w:rsidR="009B1279" w:rsidRPr="00E13258">
        <w:rPr>
          <w:rFonts w:ascii="Palatino Linotype" w:hAnsi="Palatino Linotype" w:cs="Tahoma"/>
          <w:szCs w:val="22"/>
        </w:rPr>
        <w:t>diecisiete</w:t>
      </w:r>
      <w:r w:rsidR="00E95BD6" w:rsidRPr="00E13258">
        <w:rPr>
          <w:rFonts w:ascii="Palatino Linotype" w:hAnsi="Palatino Linotype" w:cs="Tahoma"/>
          <w:szCs w:val="22"/>
        </w:rPr>
        <w:t xml:space="preserve"> </w:t>
      </w:r>
      <w:r w:rsidR="00896DC7" w:rsidRPr="00E13258">
        <w:rPr>
          <w:rFonts w:ascii="Palatino Linotype" w:hAnsi="Palatino Linotype" w:cs="Tahoma"/>
          <w:szCs w:val="22"/>
        </w:rPr>
        <w:t xml:space="preserve">de enero </w:t>
      </w:r>
      <w:r w:rsidRPr="00E13258">
        <w:rPr>
          <w:rFonts w:ascii="Palatino Linotype" w:hAnsi="Palatino Linotype" w:cs="Tahoma"/>
          <w:szCs w:val="22"/>
        </w:rPr>
        <w:t>de</w:t>
      </w:r>
      <w:r w:rsidR="00B31222" w:rsidRPr="00E13258">
        <w:rPr>
          <w:rFonts w:ascii="Palatino Linotype" w:hAnsi="Palatino Linotype" w:cs="Tahoma"/>
          <w:szCs w:val="22"/>
        </w:rPr>
        <w:t xml:space="preserve"> dos mil dieci</w:t>
      </w:r>
      <w:r w:rsidR="00E95BD6" w:rsidRPr="00E13258">
        <w:rPr>
          <w:rFonts w:ascii="Palatino Linotype" w:hAnsi="Palatino Linotype" w:cs="Tahoma"/>
          <w:szCs w:val="22"/>
        </w:rPr>
        <w:t>nueve</w:t>
      </w:r>
      <w:r w:rsidR="00B31222" w:rsidRPr="00E13258">
        <w:rPr>
          <w:rFonts w:ascii="Palatino Linotype" w:hAnsi="Palatino Linotype" w:cs="Tahoma"/>
          <w:szCs w:val="22"/>
        </w:rPr>
        <w:t xml:space="preserve">, </w:t>
      </w:r>
      <w:r w:rsidR="00E573C6" w:rsidRPr="00E13258">
        <w:rPr>
          <w:rFonts w:ascii="Palatino Linotype" w:hAnsi="Palatino Linotype" w:cs="Tahoma"/>
          <w:szCs w:val="22"/>
        </w:rPr>
        <w:t>el</w:t>
      </w:r>
      <w:r w:rsidR="00A9024A" w:rsidRPr="00E13258">
        <w:rPr>
          <w:rFonts w:ascii="Palatino Linotype" w:hAnsi="Palatino Linotype" w:cs="Tahoma"/>
          <w:szCs w:val="22"/>
        </w:rPr>
        <w:t xml:space="preserve"> </w:t>
      </w:r>
      <w:r w:rsidR="002459FB" w:rsidRPr="00E13258">
        <w:rPr>
          <w:rFonts w:ascii="Palatino Linotype" w:hAnsi="Palatino Linotype" w:cs="Tahoma"/>
          <w:szCs w:val="22"/>
        </w:rPr>
        <w:t xml:space="preserve">Particular </w:t>
      </w:r>
      <w:r w:rsidR="00EA68DA" w:rsidRPr="00E13258">
        <w:rPr>
          <w:rFonts w:ascii="Palatino Linotype" w:hAnsi="Palatino Linotype" w:cs="Tahoma"/>
          <w:szCs w:val="22"/>
        </w:rPr>
        <w:t xml:space="preserve">presentó </w:t>
      </w:r>
      <w:r w:rsidR="00B31222" w:rsidRPr="00E13258">
        <w:rPr>
          <w:rFonts w:ascii="Palatino Linotype" w:hAnsi="Palatino Linotype" w:cs="Tahoma"/>
          <w:szCs w:val="22"/>
        </w:rPr>
        <w:t>solicitud de acceso a la información</w:t>
      </w:r>
      <w:r w:rsidR="00C55151" w:rsidRPr="00E13258">
        <w:rPr>
          <w:rFonts w:ascii="Palatino Linotype" w:hAnsi="Palatino Linotype" w:cs="Tahoma"/>
          <w:szCs w:val="22"/>
        </w:rPr>
        <w:t xml:space="preserve"> pública a través d</w:t>
      </w:r>
      <w:r w:rsidR="000C27CA" w:rsidRPr="00E13258">
        <w:rPr>
          <w:rFonts w:ascii="Palatino Linotype" w:hAnsi="Palatino Linotype" w:cs="Tahoma"/>
          <w:szCs w:val="22"/>
          <w:lang w:val="es-ES"/>
        </w:rPr>
        <w:t>el Sistema de Acceso a la Información Mexiquense</w:t>
      </w:r>
      <w:r w:rsidR="004100AA" w:rsidRPr="00E13258">
        <w:rPr>
          <w:rFonts w:ascii="Palatino Linotype" w:hAnsi="Palatino Linotype" w:cs="Tahoma"/>
          <w:szCs w:val="22"/>
          <w:lang w:val="es-ES"/>
        </w:rPr>
        <w:t xml:space="preserve"> (SAIMEX)</w:t>
      </w:r>
      <w:r w:rsidR="00B31222" w:rsidRPr="00E13258">
        <w:rPr>
          <w:rFonts w:ascii="Palatino Linotype" w:hAnsi="Palatino Linotype" w:cs="Tahoma"/>
          <w:szCs w:val="22"/>
        </w:rPr>
        <w:t xml:space="preserve">, </w:t>
      </w:r>
      <w:r w:rsidR="00C55151" w:rsidRPr="00E13258">
        <w:rPr>
          <w:rFonts w:ascii="Palatino Linotype" w:hAnsi="Palatino Linotype" w:cs="Tahoma"/>
          <w:szCs w:val="22"/>
        </w:rPr>
        <w:t>ante</w:t>
      </w:r>
      <w:r w:rsidR="00896DC7" w:rsidRPr="00E13258">
        <w:rPr>
          <w:rFonts w:ascii="Palatino Linotype" w:hAnsi="Palatino Linotype" w:cs="Tahoma"/>
          <w:szCs w:val="22"/>
        </w:rPr>
        <w:t xml:space="preserve"> el</w:t>
      </w:r>
      <w:r w:rsidR="00C55151" w:rsidRPr="00E13258">
        <w:rPr>
          <w:rFonts w:ascii="Palatino Linotype" w:hAnsi="Palatino Linotype" w:cs="Tahoma"/>
          <w:szCs w:val="22"/>
        </w:rPr>
        <w:t xml:space="preserve"> </w:t>
      </w:r>
      <w:r w:rsidR="009B1279" w:rsidRPr="00E13258">
        <w:rPr>
          <w:rFonts w:ascii="Palatino Linotype" w:eastAsia="Calibri" w:hAnsi="Palatino Linotype" w:cs="Tahoma"/>
          <w:bCs/>
          <w:szCs w:val="22"/>
          <w:lang w:eastAsia="en-US"/>
        </w:rPr>
        <w:t>Ayuntamiento de Tlalnepantla de Baz</w:t>
      </w:r>
      <w:r w:rsidR="00B31222" w:rsidRPr="00E13258">
        <w:rPr>
          <w:rFonts w:ascii="Palatino Linotype" w:hAnsi="Palatino Linotype" w:cs="Tahoma"/>
          <w:szCs w:val="22"/>
        </w:rPr>
        <w:t xml:space="preserve">, </w:t>
      </w:r>
      <w:r w:rsidR="00C55151" w:rsidRPr="00E13258">
        <w:rPr>
          <w:rFonts w:ascii="Palatino Linotype" w:hAnsi="Palatino Linotype" w:cs="Tahoma"/>
          <w:szCs w:val="22"/>
        </w:rPr>
        <w:t>mediante la cual requirió</w:t>
      </w:r>
      <w:r w:rsidR="00A37B60" w:rsidRPr="00E13258">
        <w:rPr>
          <w:rFonts w:ascii="Palatino Linotype" w:hAnsi="Palatino Linotype" w:cs="Tahoma"/>
          <w:szCs w:val="22"/>
        </w:rPr>
        <w:t xml:space="preserve"> lo siguiente</w:t>
      </w:r>
      <w:r w:rsidR="00B31222" w:rsidRPr="00E13258">
        <w:rPr>
          <w:rFonts w:ascii="Palatino Linotype" w:hAnsi="Palatino Linotype" w:cs="Tahoma"/>
          <w:szCs w:val="22"/>
        </w:rPr>
        <w:t>:</w:t>
      </w:r>
    </w:p>
    <w:p w14:paraId="14AA730B" w14:textId="77777777" w:rsidR="0048505E" w:rsidRPr="00E13258" w:rsidRDefault="0048505E" w:rsidP="00DE5256">
      <w:pPr>
        <w:tabs>
          <w:tab w:val="left" w:pos="567"/>
        </w:tabs>
        <w:spacing w:line="360" w:lineRule="auto"/>
        <w:jc w:val="both"/>
        <w:rPr>
          <w:rFonts w:ascii="Palatino Linotype" w:hAnsi="Palatino Linotype" w:cs="Tahoma"/>
          <w:szCs w:val="22"/>
        </w:rPr>
      </w:pPr>
    </w:p>
    <w:p w14:paraId="6A0C318E" w14:textId="77777777" w:rsidR="00031B16" w:rsidRPr="00E13258" w:rsidRDefault="00031B16" w:rsidP="00DE5256">
      <w:pPr>
        <w:tabs>
          <w:tab w:val="left" w:pos="4667"/>
        </w:tabs>
        <w:spacing w:line="360" w:lineRule="auto"/>
        <w:ind w:left="567" w:right="567"/>
        <w:jc w:val="both"/>
        <w:rPr>
          <w:rFonts w:ascii="Palatino Linotype" w:hAnsi="Palatino Linotype" w:cs="Tahoma"/>
          <w:b/>
          <w:bCs/>
        </w:rPr>
      </w:pPr>
      <w:r w:rsidRPr="00E13258">
        <w:rPr>
          <w:rFonts w:ascii="Palatino Linotype" w:hAnsi="Palatino Linotype" w:cs="Tahoma"/>
          <w:b/>
          <w:bCs/>
        </w:rPr>
        <w:t>“DESCRIPCIÓN CLARA Y PRECISA DE LA INFORMACIÓN SOLICITADA</w:t>
      </w:r>
    </w:p>
    <w:p w14:paraId="70D5F624" w14:textId="74B86A25" w:rsidR="00026EBB" w:rsidRPr="00E13258" w:rsidRDefault="009B1279" w:rsidP="00DE5256">
      <w:pPr>
        <w:tabs>
          <w:tab w:val="left" w:pos="4667"/>
        </w:tabs>
        <w:spacing w:line="360" w:lineRule="auto"/>
        <w:ind w:left="567" w:right="567"/>
        <w:jc w:val="both"/>
        <w:rPr>
          <w:rFonts w:ascii="Palatino Linotype" w:hAnsi="Palatino Linotype" w:cs="Tahoma"/>
          <w:bCs/>
        </w:rPr>
      </w:pPr>
      <w:r w:rsidRPr="00E13258">
        <w:rPr>
          <w:rFonts w:ascii="Palatino Linotype" w:hAnsi="Palatino Linotype" w:cs="Tahoma"/>
          <w:bCs/>
        </w:rPr>
        <w:t xml:space="preserve">SE ME ENVIÉ VÍA SAIMEX LA INFORMACIÓN PÚBLICA y/o la Documentación comprobatoria y justificativa de los ingresos y los egresos, QUE CADA MES SE ENVÍA AL OSFEM EN EL DISCO DENOMINADO 5, CORRESPONDIENTE AL MES DE NOVIEMBRE DEL AÑO 2018, DEL AYUNTAMIENTO MUNICIPAL DE TLALNEPANTLA DE BAZ Y QUE CONSISTE EN LO SIGUIENTE; 1.- Pólizas de Diario con su respectivo soporte </w:t>
      </w:r>
      <w:r w:rsidR="005E72B7" w:rsidRPr="00E13258">
        <w:rPr>
          <w:rFonts w:ascii="Palatino Linotype" w:hAnsi="Palatino Linotype" w:cs="Tahoma"/>
          <w:bCs/>
        </w:rPr>
        <w:t>documental;</w:t>
      </w:r>
      <w:r w:rsidR="00ED669A" w:rsidRPr="00E13258">
        <w:rPr>
          <w:rFonts w:ascii="Palatino Linotype" w:hAnsi="Palatino Linotype" w:cs="Tahoma"/>
          <w:bCs/>
        </w:rPr>
        <w:t xml:space="preserve"> (</w:t>
      </w:r>
      <w:r w:rsidR="00ED669A" w:rsidRPr="00E13258">
        <w:rPr>
          <w:rFonts w:ascii="Palatino Linotype" w:hAnsi="Palatino Linotype" w:cs="Tahoma"/>
          <w:bCs/>
          <w:i/>
        </w:rPr>
        <w:t>Sic.</w:t>
      </w:r>
      <w:r w:rsidR="00ED669A" w:rsidRPr="00E13258">
        <w:rPr>
          <w:rFonts w:ascii="Palatino Linotype" w:hAnsi="Palatino Linotype" w:cs="Tahoma"/>
          <w:bCs/>
        </w:rPr>
        <w:t>)</w:t>
      </w:r>
    </w:p>
    <w:p w14:paraId="5B50AFF3" w14:textId="77777777" w:rsidR="00E95BD6" w:rsidRPr="00E13258" w:rsidRDefault="00E95BD6" w:rsidP="00DE5256">
      <w:pPr>
        <w:tabs>
          <w:tab w:val="left" w:pos="4667"/>
        </w:tabs>
        <w:spacing w:line="360" w:lineRule="auto"/>
        <w:ind w:left="567" w:right="567"/>
        <w:jc w:val="both"/>
        <w:rPr>
          <w:rFonts w:ascii="Palatino Linotype" w:hAnsi="Palatino Linotype" w:cs="Tahoma"/>
          <w:bCs/>
          <w:szCs w:val="22"/>
        </w:rPr>
      </w:pPr>
    </w:p>
    <w:p w14:paraId="417AD445" w14:textId="77777777" w:rsidR="00031B16" w:rsidRPr="00E13258" w:rsidRDefault="00031B16" w:rsidP="00DE5256">
      <w:pPr>
        <w:tabs>
          <w:tab w:val="left" w:pos="4667"/>
        </w:tabs>
        <w:spacing w:line="360" w:lineRule="auto"/>
        <w:ind w:left="567" w:right="567"/>
        <w:jc w:val="both"/>
        <w:rPr>
          <w:rFonts w:ascii="Palatino Linotype" w:hAnsi="Palatino Linotype" w:cs="Tahoma"/>
          <w:bCs/>
        </w:rPr>
      </w:pPr>
      <w:r w:rsidRPr="00E13258">
        <w:rPr>
          <w:rFonts w:ascii="Palatino Linotype" w:hAnsi="Palatino Linotype" w:cs="Tahoma"/>
          <w:b/>
          <w:bCs/>
        </w:rPr>
        <w:t>“MODALIDAD DE ENTREGA</w:t>
      </w:r>
    </w:p>
    <w:p w14:paraId="202E307D" w14:textId="77777777" w:rsidR="00031B16" w:rsidRPr="00E13258" w:rsidRDefault="00031B16" w:rsidP="00DE5256">
      <w:pPr>
        <w:spacing w:line="360" w:lineRule="auto"/>
        <w:ind w:left="567" w:right="567"/>
        <w:jc w:val="both"/>
        <w:rPr>
          <w:rFonts w:ascii="Palatino Linotype" w:hAnsi="Palatino Linotype" w:cs="Arial"/>
          <w:bCs/>
        </w:rPr>
      </w:pPr>
      <w:r w:rsidRPr="00E13258">
        <w:rPr>
          <w:rFonts w:ascii="Palatino Linotype" w:hAnsi="Palatino Linotype" w:cs="Arial"/>
          <w:bCs/>
        </w:rPr>
        <w:t>A través del SAIMEX”</w:t>
      </w:r>
    </w:p>
    <w:p w14:paraId="2706E196" w14:textId="77777777" w:rsidR="002459FB" w:rsidRPr="00E13258" w:rsidRDefault="002459FB" w:rsidP="00DE5256">
      <w:pPr>
        <w:spacing w:line="360" w:lineRule="auto"/>
        <w:ind w:left="567" w:right="567"/>
        <w:jc w:val="both"/>
        <w:rPr>
          <w:rFonts w:ascii="Palatino Linotype" w:hAnsi="Palatino Linotype" w:cs="Tahoma"/>
          <w:bCs/>
        </w:rPr>
      </w:pPr>
    </w:p>
    <w:p w14:paraId="4E08F77B" w14:textId="77777777" w:rsidR="00AA5A86" w:rsidRPr="00E13258" w:rsidRDefault="0045478C" w:rsidP="00DE5256">
      <w:pPr>
        <w:spacing w:line="360" w:lineRule="auto"/>
        <w:rPr>
          <w:rFonts w:ascii="Palatino Linotype" w:hAnsi="Palatino Linotype" w:cs="Tahoma"/>
          <w:b/>
          <w:sz w:val="22"/>
          <w:szCs w:val="22"/>
        </w:rPr>
      </w:pPr>
      <w:r w:rsidRPr="00E13258">
        <w:rPr>
          <w:rFonts w:ascii="Palatino Linotype" w:hAnsi="Palatino Linotype" w:cs="Tahoma"/>
          <w:b/>
          <w:bCs/>
          <w:sz w:val="22"/>
          <w:szCs w:val="22"/>
        </w:rPr>
        <w:t>II.</w:t>
      </w:r>
      <w:r w:rsidRPr="00E13258">
        <w:rPr>
          <w:rFonts w:ascii="Palatino Linotype" w:hAnsi="Palatino Linotype" w:cs="Tahoma"/>
          <w:bCs/>
          <w:sz w:val="22"/>
          <w:szCs w:val="22"/>
        </w:rPr>
        <w:t xml:space="preserve">  </w:t>
      </w:r>
      <w:r w:rsidR="00AA5A86" w:rsidRPr="00E13258">
        <w:rPr>
          <w:rFonts w:ascii="Palatino Linotype" w:hAnsi="Palatino Linotype" w:cs="Tahoma"/>
          <w:b/>
          <w:sz w:val="22"/>
          <w:szCs w:val="22"/>
        </w:rPr>
        <w:t xml:space="preserve">Respuesta del </w:t>
      </w:r>
      <w:r w:rsidR="00386A93" w:rsidRPr="00E13258">
        <w:rPr>
          <w:rFonts w:ascii="Palatino Linotype" w:hAnsi="Palatino Linotype" w:cs="Tahoma"/>
          <w:b/>
          <w:sz w:val="22"/>
          <w:szCs w:val="22"/>
        </w:rPr>
        <w:t>Sujeto Obligado</w:t>
      </w:r>
      <w:r w:rsidR="00AA5A86" w:rsidRPr="00E13258">
        <w:rPr>
          <w:rFonts w:ascii="Palatino Linotype" w:hAnsi="Palatino Linotype" w:cs="Tahoma"/>
          <w:b/>
          <w:sz w:val="22"/>
          <w:szCs w:val="22"/>
        </w:rPr>
        <w:t>.</w:t>
      </w:r>
    </w:p>
    <w:p w14:paraId="490B082B" w14:textId="77777777" w:rsidR="00264223" w:rsidRPr="00E13258" w:rsidRDefault="00264223" w:rsidP="00DE5256">
      <w:pPr>
        <w:pStyle w:val="Prrafodelista"/>
        <w:tabs>
          <w:tab w:val="left" w:pos="567"/>
        </w:tabs>
        <w:spacing w:line="360" w:lineRule="auto"/>
        <w:ind w:left="0"/>
        <w:contextualSpacing w:val="0"/>
        <w:jc w:val="both"/>
        <w:rPr>
          <w:rFonts w:ascii="Palatino Linotype" w:hAnsi="Palatino Linotype" w:cs="Tahoma"/>
          <w:b/>
          <w:szCs w:val="22"/>
        </w:rPr>
      </w:pPr>
    </w:p>
    <w:p w14:paraId="47453555" w14:textId="77777777" w:rsidR="004B017A" w:rsidRPr="00E13258" w:rsidRDefault="00FB5FC7" w:rsidP="00DE5256">
      <w:pPr>
        <w:autoSpaceDE w:val="0"/>
        <w:autoSpaceDN w:val="0"/>
        <w:adjustRightInd w:val="0"/>
        <w:spacing w:line="360" w:lineRule="auto"/>
        <w:jc w:val="both"/>
        <w:rPr>
          <w:rFonts w:ascii="Palatino Linotype" w:hAnsi="Palatino Linotype" w:cs="Tahoma"/>
          <w:sz w:val="22"/>
          <w:szCs w:val="22"/>
        </w:rPr>
      </w:pPr>
      <w:r w:rsidRPr="00E13258">
        <w:rPr>
          <w:rFonts w:ascii="Palatino Linotype" w:hAnsi="Palatino Linotype" w:cs="Tahoma"/>
          <w:sz w:val="22"/>
          <w:szCs w:val="22"/>
        </w:rPr>
        <w:t xml:space="preserve">El </w:t>
      </w:r>
      <w:r w:rsidR="009B1279" w:rsidRPr="00E13258">
        <w:rPr>
          <w:rFonts w:ascii="Palatino Linotype" w:hAnsi="Palatino Linotype" w:cs="Tahoma"/>
          <w:sz w:val="22"/>
          <w:szCs w:val="22"/>
        </w:rPr>
        <w:t xml:space="preserve">ocho de febrero </w:t>
      </w:r>
      <w:r w:rsidR="00E95BD6" w:rsidRPr="00E13258">
        <w:rPr>
          <w:rFonts w:ascii="Palatino Linotype" w:hAnsi="Palatino Linotype" w:cs="Tahoma"/>
          <w:sz w:val="22"/>
          <w:szCs w:val="22"/>
        </w:rPr>
        <w:t xml:space="preserve">de </w:t>
      </w:r>
      <w:r w:rsidRPr="00E13258">
        <w:rPr>
          <w:rFonts w:ascii="Palatino Linotype" w:hAnsi="Palatino Linotype" w:cs="Tahoma"/>
          <w:sz w:val="22"/>
          <w:szCs w:val="22"/>
        </w:rPr>
        <w:t>dos mil dieci</w:t>
      </w:r>
      <w:r w:rsidR="00E95BD6" w:rsidRPr="00E13258">
        <w:rPr>
          <w:rFonts w:ascii="Palatino Linotype" w:hAnsi="Palatino Linotype" w:cs="Tahoma"/>
          <w:sz w:val="22"/>
          <w:szCs w:val="22"/>
        </w:rPr>
        <w:t>nueve</w:t>
      </w:r>
      <w:r w:rsidRPr="00E13258">
        <w:rPr>
          <w:rFonts w:ascii="Palatino Linotype" w:hAnsi="Palatino Linotype" w:cs="Tahoma"/>
          <w:sz w:val="22"/>
          <w:szCs w:val="22"/>
        </w:rPr>
        <w:t>, el Sujeto Obligado dio respuesta a la solicitud de acceso a la información a través del Sistema de Acceso a la Información Mexiquense (SAIMEX) en l</w:t>
      </w:r>
      <w:r w:rsidR="0048505E" w:rsidRPr="00E13258">
        <w:rPr>
          <w:rFonts w:ascii="Palatino Linotype" w:hAnsi="Palatino Linotype" w:cs="Tahoma"/>
          <w:sz w:val="22"/>
          <w:szCs w:val="22"/>
        </w:rPr>
        <w:t xml:space="preserve">os siguientes términos: </w:t>
      </w:r>
    </w:p>
    <w:p w14:paraId="451BE44E" w14:textId="77777777" w:rsidR="00BC11E7" w:rsidRPr="00E13258" w:rsidRDefault="00BC11E7" w:rsidP="00DE5256">
      <w:pPr>
        <w:autoSpaceDE w:val="0"/>
        <w:autoSpaceDN w:val="0"/>
        <w:adjustRightInd w:val="0"/>
        <w:spacing w:line="360" w:lineRule="auto"/>
        <w:ind w:left="567" w:right="539"/>
        <w:jc w:val="both"/>
        <w:rPr>
          <w:rFonts w:ascii="Palatino Linotype" w:hAnsi="Palatino Linotype" w:cs="Tahoma"/>
          <w:szCs w:val="22"/>
        </w:rPr>
      </w:pPr>
    </w:p>
    <w:p w14:paraId="5A1269CA" w14:textId="77777777" w:rsidR="00AF34D0" w:rsidRPr="00E13258" w:rsidRDefault="00AF34D0" w:rsidP="00DE5256">
      <w:pPr>
        <w:autoSpaceDE w:val="0"/>
        <w:autoSpaceDN w:val="0"/>
        <w:adjustRightInd w:val="0"/>
        <w:spacing w:line="360" w:lineRule="auto"/>
        <w:ind w:left="567" w:right="539"/>
        <w:jc w:val="both"/>
        <w:rPr>
          <w:rFonts w:ascii="Palatino Linotype" w:hAnsi="Palatino Linotype" w:cs="Tahoma"/>
          <w:szCs w:val="22"/>
        </w:rPr>
      </w:pPr>
      <w:r w:rsidRPr="00E13258">
        <w:rPr>
          <w:rFonts w:ascii="Palatino Linotype" w:hAnsi="Palatino Linotype" w:cs="Tahoma"/>
          <w:szCs w:val="22"/>
        </w:rPr>
        <w:t>“…</w:t>
      </w:r>
    </w:p>
    <w:p w14:paraId="0F7141FA" w14:textId="77777777" w:rsidR="009B1279" w:rsidRPr="00E13258" w:rsidRDefault="009B1279" w:rsidP="00DE5256">
      <w:pPr>
        <w:autoSpaceDE w:val="0"/>
        <w:autoSpaceDN w:val="0"/>
        <w:adjustRightInd w:val="0"/>
        <w:spacing w:line="360" w:lineRule="auto"/>
        <w:ind w:left="567" w:right="567"/>
        <w:jc w:val="both"/>
        <w:rPr>
          <w:rFonts w:ascii="Palatino Linotype" w:hAnsi="Palatino Linotype" w:cs="Tahoma"/>
          <w:szCs w:val="22"/>
        </w:rPr>
      </w:pPr>
      <w:r w:rsidRPr="00E13258">
        <w:rPr>
          <w:rFonts w:ascii="Palatino Linotype" w:hAnsi="Palatino Linotype" w:cs="Tahoma"/>
          <w:szCs w:val="22"/>
        </w:rPr>
        <w:t>Con fundamento en los artículos 164 y 174 de la Ley de Transparencia y Acceso a la Información Pública del Estado de México y Municipios, se pone a disposición la información en versión pública, en el domicilio de la Unidad de Transparencia y Acceso a la Información Pública Municipal, ubicada en Plaza Cívica Dr. Gustavo Baz Prada, S/N, Tlalnepantla de Baz, C.P. 5400, Estado de México, bajo la modalidad CD, previo pago.</w:t>
      </w:r>
    </w:p>
    <w:p w14:paraId="06FCD443" w14:textId="77777777" w:rsidR="00896DC7" w:rsidRPr="00E13258" w:rsidRDefault="00E95BD6" w:rsidP="00DE5256">
      <w:pPr>
        <w:autoSpaceDE w:val="0"/>
        <w:autoSpaceDN w:val="0"/>
        <w:adjustRightInd w:val="0"/>
        <w:spacing w:line="360" w:lineRule="auto"/>
        <w:ind w:left="567" w:right="567"/>
        <w:jc w:val="both"/>
        <w:rPr>
          <w:rFonts w:ascii="Palatino Linotype" w:hAnsi="Palatino Linotype" w:cs="Tahoma"/>
          <w:szCs w:val="22"/>
        </w:rPr>
      </w:pPr>
      <w:r w:rsidRPr="00E13258">
        <w:rPr>
          <w:rFonts w:ascii="Palatino Linotype" w:hAnsi="Palatino Linotype" w:cs="Tahoma"/>
          <w:szCs w:val="22"/>
        </w:rPr>
        <w:t>.</w:t>
      </w:r>
    </w:p>
    <w:p w14:paraId="2C67C9E9" w14:textId="77777777" w:rsidR="00AF34D0" w:rsidRPr="00E13258" w:rsidRDefault="00417D45" w:rsidP="00DE5256">
      <w:pPr>
        <w:autoSpaceDE w:val="0"/>
        <w:autoSpaceDN w:val="0"/>
        <w:adjustRightInd w:val="0"/>
        <w:spacing w:line="360" w:lineRule="auto"/>
        <w:ind w:left="567" w:right="567"/>
        <w:jc w:val="both"/>
        <w:rPr>
          <w:rFonts w:ascii="Palatino Linotype" w:hAnsi="Palatino Linotype" w:cs="Tahoma"/>
          <w:szCs w:val="22"/>
        </w:rPr>
      </w:pPr>
      <w:r w:rsidRPr="00E13258">
        <w:rPr>
          <w:rFonts w:ascii="Palatino Linotype" w:hAnsi="Palatino Linotype" w:cs="Tahoma"/>
          <w:szCs w:val="22"/>
        </w:rPr>
        <w:t>…”</w:t>
      </w:r>
    </w:p>
    <w:p w14:paraId="24B9B2A2" w14:textId="77777777" w:rsidR="00056128" w:rsidRPr="00E13258" w:rsidRDefault="00056128" w:rsidP="00DE5256">
      <w:pPr>
        <w:autoSpaceDE w:val="0"/>
        <w:autoSpaceDN w:val="0"/>
        <w:adjustRightInd w:val="0"/>
        <w:spacing w:line="360" w:lineRule="auto"/>
        <w:jc w:val="both"/>
        <w:rPr>
          <w:rFonts w:ascii="Palatino Linotype" w:hAnsi="Palatino Linotype" w:cs="Tahoma"/>
          <w:sz w:val="22"/>
          <w:szCs w:val="24"/>
        </w:rPr>
      </w:pPr>
    </w:p>
    <w:p w14:paraId="0306B32B" w14:textId="77777777" w:rsidR="00E95BD6" w:rsidRPr="00E13258" w:rsidRDefault="00056128" w:rsidP="00DE5256">
      <w:pPr>
        <w:autoSpaceDE w:val="0"/>
        <w:autoSpaceDN w:val="0"/>
        <w:adjustRightInd w:val="0"/>
        <w:spacing w:line="360" w:lineRule="auto"/>
        <w:jc w:val="both"/>
        <w:rPr>
          <w:rFonts w:ascii="Palatino Linotype" w:hAnsi="Palatino Linotype" w:cs="Tahoma"/>
          <w:sz w:val="22"/>
          <w:szCs w:val="24"/>
        </w:rPr>
      </w:pPr>
      <w:r w:rsidRPr="00E13258">
        <w:rPr>
          <w:rFonts w:ascii="Palatino Linotype" w:hAnsi="Palatino Linotype" w:cs="Tahoma"/>
          <w:sz w:val="22"/>
          <w:szCs w:val="24"/>
        </w:rPr>
        <w:t xml:space="preserve">De igual manera, </w:t>
      </w:r>
      <w:r w:rsidR="009B5F8C" w:rsidRPr="00E13258">
        <w:rPr>
          <w:rFonts w:ascii="Palatino Linotype" w:hAnsi="Palatino Linotype" w:cs="Tahoma"/>
          <w:sz w:val="22"/>
          <w:szCs w:val="24"/>
        </w:rPr>
        <w:t xml:space="preserve">el Sujeto Obligado </w:t>
      </w:r>
      <w:r w:rsidRPr="00E13258">
        <w:rPr>
          <w:rFonts w:ascii="Palatino Linotype" w:hAnsi="Palatino Linotype" w:cs="Tahoma"/>
          <w:sz w:val="22"/>
          <w:szCs w:val="24"/>
        </w:rPr>
        <w:t xml:space="preserve">en la respuesta adjuntó </w:t>
      </w:r>
      <w:proofErr w:type="gramStart"/>
      <w:r w:rsidR="009B1279" w:rsidRPr="00E13258">
        <w:rPr>
          <w:rFonts w:ascii="Palatino Linotype" w:hAnsi="Palatino Linotype" w:cs="Tahoma"/>
          <w:sz w:val="22"/>
          <w:szCs w:val="24"/>
        </w:rPr>
        <w:t xml:space="preserve">un </w:t>
      </w:r>
      <w:r w:rsidR="00E95BD6" w:rsidRPr="00E13258">
        <w:rPr>
          <w:rFonts w:ascii="Palatino Linotype" w:hAnsi="Palatino Linotype" w:cs="Tahoma"/>
          <w:sz w:val="22"/>
          <w:szCs w:val="24"/>
        </w:rPr>
        <w:t xml:space="preserve"> </w:t>
      </w:r>
      <w:r w:rsidR="00AC0ABB" w:rsidRPr="00E13258">
        <w:rPr>
          <w:rFonts w:ascii="Palatino Linotype" w:hAnsi="Palatino Linotype" w:cs="Tahoma"/>
          <w:sz w:val="22"/>
          <w:szCs w:val="24"/>
        </w:rPr>
        <w:t>archivo</w:t>
      </w:r>
      <w:proofErr w:type="gramEnd"/>
      <w:r w:rsidR="009B1279" w:rsidRPr="00E13258">
        <w:rPr>
          <w:rFonts w:ascii="Palatino Linotype" w:hAnsi="Palatino Linotype" w:cs="Tahoma"/>
          <w:sz w:val="22"/>
          <w:szCs w:val="24"/>
        </w:rPr>
        <w:t xml:space="preserve"> en formato zip denominado</w:t>
      </w:r>
      <w:r w:rsidR="009B1279" w:rsidRPr="00E13258">
        <w:t xml:space="preserve"> </w:t>
      </w:r>
      <w:r w:rsidR="009B1279" w:rsidRPr="00E13258">
        <w:rPr>
          <w:rFonts w:ascii="Palatino Linotype" w:hAnsi="Palatino Linotype" w:cs="Tahoma"/>
          <w:b/>
          <w:sz w:val="22"/>
          <w:szCs w:val="24"/>
        </w:rPr>
        <w:t>SAIMEX 00046 CAMBIO MODALIDAD.zip</w:t>
      </w:r>
      <w:r w:rsidR="00AC0ABB" w:rsidRPr="00E13258">
        <w:rPr>
          <w:rFonts w:ascii="Palatino Linotype" w:hAnsi="Palatino Linotype" w:cs="Tahoma"/>
          <w:sz w:val="22"/>
          <w:szCs w:val="24"/>
        </w:rPr>
        <w:t xml:space="preserve"> </w:t>
      </w:r>
      <w:r w:rsidR="009B1279" w:rsidRPr="00E13258">
        <w:rPr>
          <w:rFonts w:ascii="Palatino Linotype" w:hAnsi="Palatino Linotype" w:cs="Tahoma"/>
          <w:sz w:val="22"/>
          <w:szCs w:val="24"/>
        </w:rPr>
        <w:t xml:space="preserve">el cual contiene tres archivos en formato </w:t>
      </w:r>
      <w:proofErr w:type="spellStart"/>
      <w:r w:rsidR="009B1279" w:rsidRPr="00E13258">
        <w:rPr>
          <w:rFonts w:ascii="Palatino Linotype" w:hAnsi="Palatino Linotype" w:cs="Tahoma"/>
          <w:sz w:val="22"/>
          <w:szCs w:val="24"/>
        </w:rPr>
        <w:t>pdf</w:t>
      </w:r>
      <w:proofErr w:type="spellEnd"/>
      <w:r w:rsidR="009B1279" w:rsidRPr="00E13258">
        <w:rPr>
          <w:rFonts w:ascii="Palatino Linotype" w:hAnsi="Palatino Linotype" w:cs="Tahoma"/>
          <w:sz w:val="22"/>
          <w:szCs w:val="24"/>
        </w:rPr>
        <w:t xml:space="preserve"> </w:t>
      </w:r>
      <w:r w:rsidRPr="00E13258">
        <w:rPr>
          <w:rFonts w:ascii="Palatino Linotype" w:hAnsi="Palatino Linotype" w:cs="Tahoma"/>
          <w:sz w:val="22"/>
          <w:szCs w:val="24"/>
        </w:rPr>
        <w:t>denominado</w:t>
      </w:r>
      <w:r w:rsidR="00E95BD6" w:rsidRPr="00E13258">
        <w:rPr>
          <w:rFonts w:ascii="Palatino Linotype" w:hAnsi="Palatino Linotype" w:cs="Tahoma"/>
          <w:sz w:val="22"/>
          <w:szCs w:val="24"/>
        </w:rPr>
        <w:t>s:</w:t>
      </w:r>
    </w:p>
    <w:p w14:paraId="33142295" w14:textId="77777777" w:rsidR="00ED669A" w:rsidRPr="00E13258" w:rsidRDefault="00ED669A" w:rsidP="00DE5256">
      <w:pPr>
        <w:autoSpaceDE w:val="0"/>
        <w:autoSpaceDN w:val="0"/>
        <w:adjustRightInd w:val="0"/>
        <w:spacing w:line="360" w:lineRule="auto"/>
        <w:jc w:val="both"/>
        <w:rPr>
          <w:rFonts w:ascii="Palatino Linotype" w:hAnsi="Palatino Linotype" w:cs="Tahoma"/>
          <w:sz w:val="22"/>
          <w:szCs w:val="24"/>
        </w:rPr>
      </w:pPr>
    </w:p>
    <w:p w14:paraId="267F7D2F" w14:textId="77777777" w:rsidR="00BA1037" w:rsidRPr="00E13258" w:rsidRDefault="00BA1037" w:rsidP="00DE5256">
      <w:pPr>
        <w:pStyle w:val="Prrafodelista"/>
        <w:numPr>
          <w:ilvl w:val="0"/>
          <w:numId w:val="9"/>
        </w:numPr>
        <w:autoSpaceDE w:val="0"/>
        <w:autoSpaceDN w:val="0"/>
        <w:adjustRightInd w:val="0"/>
        <w:spacing w:line="360" w:lineRule="auto"/>
        <w:jc w:val="both"/>
        <w:rPr>
          <w:rFonts w:ascii="Palatino Linotype" w:hAnsi="Palatino Linotype" w:cs="Tahoma"/>
        </w:rPr>
      </w:pPr>
      <w:r w:rsidRPr="00E13258">
        <w:rPr>
          <w:rFonts w:ascii="Palatino Linotype" w:hAnsi="Palatino Linotype" w:cs="Tahoma"/>
        </w:rPr>
        <w:t xml:space="preserve">OFICIO.PDF </w:t>
      </w:r>
    </w:p>
    <w:p w14:paraId="03F23065" w14:textId="77777777" w:rsidR="00BA1037" w:rsidRPr="00E13258" w:rsidRDefault="00BA1037" w:rsidP="00DE5256">
      <w:pPr>
        <w:pStyle w:val="Prrafodelista"/>
        <w:numPr>
          <w:ilvl w:val="0"/>
          <w:numId w:val="9"/>
        </w:numPr>
        <w:autoSpaceDE w:val="0"/>
        <w:autoSpaceDN w:val="0"/>
        <w:adjustRightInd w:val="0"/>
        <w:spacing w:line="360" w:lineRule="auto"/>
        <w:jc w:val="both"/>
        <w:rPr>
          <w:rFonts w:ascii="Palatino Linotype" w:hAnsi="Palatino Linotype" w:cs="Tahoma"/>
        </w:rPr>
      </w:pPr>
      <w:proofErr w:type="gramStart"/>
      <w:r w:rsidRPr="00E13258">
        <w:rPr>
          <w:rFonts w:ascii="Palatino Linotype" w:hAnsi="Palatino Linotype" w:cs="Tahoma"/>
        </w:rPr>
        <w:t>Actas segunda</w:t>
      </w:r>
      <w:proofErr w:type="gramEnd"/>
      <w:r w:rsidRPr="00E13258">
        <w:rPr>
          <w:rFonts w:ascii="Palatino Linotype" w:hAnsi="Palatino Linotype" w:cs="Tahoma"/>
        </w:rPr>
        <w:t xml:space="preserve"> </w:t>
      </w:r>
      <w:proofErr w:type="spellStart"/>
      <w:r w:rsidRPr="00E13258">
        <w:rPr>
          <w:rFonts w:ascii="Palatino Linotype" w:hAnsi="Palatino Linotype" w:cs="Tahoma"/>
        </w:rPr>
        <w:t>sesion</w:t>
      </w:r>
      <w:proofErr w:type="spellEnd"/>
      <w:r w:rsidRPr="00E13258">
        <w:rPr>
          <w:rFonts w:ascii="Palatino Linotype" w:hAnsi="Palatino Linotype" w:cs="Tahoma"/>
        </w:rPr>
        <w:t xml:space="preserve"> extraordinaria_02052019182338.PDF</w:t>
      </w:r>
    </w:p>
    <w:p w14:paraId="7D374EA1" w14:textId="77777777" w:rsidR="00BA1037" w:rsidRPr="00E13258" w:rsidRDefault="00BA1037" w:rsidP="00DE5256">
      <w:pPr>
        <w:pStyle w:val="Prrafodelista"/>
        <w:numPr>
          <w:ilvl w:val="0"/>
          <w:numId w:val="9"/>
        </w:numPr>
        <w:autoSpaceDE w:val="0"/>
        <w:autoSpaceDN w:val="0"/>
        <w:adjustRightInd w:val="0"/>
        <w:spacing w:line="360" w:lineRule="auto"/>
        <w:jc w:val="both"/>
        <w:rPr>
          <w:rFonts w:ascii="Palatino Linotype" w:hAnsi="Palatino Linotype" w:cs="Tahoma"/>
        </w:rPr>
      </w:pPr>
      <w:r w:rsidRPr="00E13258">
        <w:rPr>
          <w:rFonts w:ascii="Palatino Linotype" w:hAnsi="Palatino Linotype" w:cs="Tahoma"/>
        </w:rPr>
        <w:t xml:space="preserve">OFICIO DEL INFOEM.PDF </w:t>
      </w:r>
    </w:p>
    <w:p w14:paraId="4DD082AE" w14:textId="77777777" w:rsidR="00015DB5" w:rsidRPr="00E13258" w:rsidRDefault="00015DB5" w:rsidP="00DE5256">
      <w:pPr>
        <w:autoSpaceDE w:val="0"/>
        <w:autoSpaceDN w:val="0"/>
        <w:adjustRightInd w:val="0"/>
        <w:spacing w:line="360" w:lineRule="auto"/>
        <w:jc w:val="both"/>
        <w:rPr>
          <w:rFonts w:ascii="Palatino Linotype" w:hAnsi="Palatino Linotype" w:cs="Tahoma"/>
          <w:sz w:val="22"/>
          <w:szCs w:val="24"/>
        </w:rPr>
      </w:pPr>
    </w:p>
    <w:p w14:paraId="5332215B" w14:textId="77777777" w:rsidR="00AC0ABB" w:rsidRPr="00E13258" w:rsidRDefault="00E95BD6" w:rsidP="00DE5256">
      <w:pPr>
        <w:autoSpaceDE w:val="0"/>
        <w:autoSpaceDN w:val="0"/>
        <w:adjustRightInd w:val="0"/>
        <w:spacing w:line="360" w:lineRule="auto"/>
        <w:jc w:val="both"/>
        <w:rPr>
          <w:rFonts w:ascii="Palatino Linotype" w:hAnsi="Palatino Linotype" w:cs="Tahoma"/>
          <w:bCs/>
          <w:sz w:val="22"/>
          <w:szCs w:val="22"/>
        </w:rPr>
      </w:pPr>
      <w:r w:rsidRPr="00E13258">
        <w:rPr>
          <w:rFonts w:ascii="Palatino Linotype" w:hAnsi="Palatino Linotype" w:cs="Tahoma"/>
          <w:sz w:val="22"/>
          <w:szCs w:val="24"/>
        </w:rPr>
        <w:lastRenderedPageBreak/>
        <w:t xml:space="preserve">El primero de ellos </w:t>
      </w:r>
      <w:r w:rsidR="00896DC7" w:rsidRPr="00E13258">
        <w:rPr>
          <w:rFonts w:ascii="Palatino Linotype" w:hAnsi="Palatino Linotype" w:cs="Tahoma"/>
          <w:sz w:val="22"/>
          <w:szCs w:val="24"/>
        </w:rPr>
        <w:t xml:space="preserve">consiste en el </w:t>
      </w:r>
      <w:r w:rsidR="00015DB5" w:rsidRPr="00E13258">
        <w:rPr>
          <w:rFonts w:ascii="Palatino Linotype" w:hAnsi="Palatino Linotype" w:cs="Tahoma"/>
          <w:sz w:val="22"/>
          <w:szCs w:val="24"/>
        </w:rPr>
        <w:t>oficio</w:t>
      </w:r>
      <w:r w:rsidR="00AD5489" w:rsidRPr="00E13258">
        <w:rPr>
          <w:rFonts w:ascii="Palatino Linotype" w:hAnsi="Palatino Linotype" w:cs="Tahoma"/>
          <w:sz w:val="22"/>
          <w:szCs w:val="24"/>
        </w:rPr>
        <w:t xml:space="preserve"> número</w:t>
      </w:r>
      <w:r w:rsidR="00AC0ABB" w:rsidRPr="00E13258">
        <w:rPr>
          <w:rFonts w:ascii="Palatino Linotype" w:hAnsi="Palatino Linotype" w:cs="Tahoma"/>
          <w:b/>
          <w:bCs/>
          <w:sz w:val="22"/>
          <w:szCs w:val="22"/>
        </w:rPr>
        <w:t xml:space="preserve">, </w:t>
      </w:r>
      <w:r w:rsidR="00015DB5" w:rsidRPr="00E13258">
        <w:rPr>
          <w:rFonts w:ascii="Palatino Linotype" w:hAnsi="Palatino Linotype" w:cs="Tahoma"/>
          <w:b/>
          <w:bCs/>
          <w:sz w:val="22"/>
          <w:szCs w:val="22"/>
        </w:rPr>
        <w:t>TM/00434</w:t>
      </w:r>
      <w:r w:rsidR="00896DC7" w:rsidRPr="00E13258">
        <w:rPr>
          <w:rFonts w:ascii="Palatino Linotype" w:hAnsi="Palatino Linotype" w:cs="Tahoma"/>
          <w:b/>
          <w:bCs/>
          <w:sz w:val="22"/>
          <w:szCs w:val="22"/>
        </w:rPr>
        <w:t>/2019</w:t>
      </w:r>
      <w:r w:rsidR="00896DC7" w:rsidRPr="00E13258">
        <w:rPr>
          <w:rFonts w:ascii="Palatino Linotype" w:hAnsi="Palatino Linotype" w:cs="Tahoma"/>
          <w:bCs/>
          <w:sz w:val="22"/>
          <w:szCs w:val="22"/>
        </w:rPr>
        <w:t xml:space="preserve"> </w:t>
      </w:r>
      <w:r w:rsidR="00AC0ABB" w:rsidRPr="00E13258">
        <w:rPr>
          <w:rFonts w:ascii="Palatino Linotype" w:hAnsi="Palatino Linotype" w:cs="Tahoma"/>
          <w:b/>
          <w:bCs/>
          <w:sz w:val="22"/>
          <w:szCs w:val="22"/>
        </w:rPr>
        <w:t xml:space="preserve">signado por </w:t>
      </w:r>
      <w:r w:rsidR="00896DC7" w:rsidRPr="00E13258">
        <w:rPr>
          <w:rFonts w:ascii="Palatino Linotype" w:hAnsi="Palatino Linotype" w:cs="Tahoma"/>
          <w:b/>
          <w:bCs/>
          <w:sz w:val="22"/>
          <w:szCs w:val="22"/>
        </w:rPr>
        <w:t>e</w:t>
      </w:r>
      <w:r w:rsidR="00AC0ABB" w:rsidRPr="00E13258">
        <w:rPr>
          <w:rFonts w:ascii="Palatino Linotype" w:hAnsi="Palatino Linotype" w:cs="Tahoma"/>
          <w:b/>
          <w:bCs/>
          <w:sz w:val="22"/>
          <w:szCs w:val="22"/>
        </w:rPr>
        <w:t xml:space="preserve">l </w:t>
      </w:r>
      <w:r w:rsidR="00015DB5" w:rsidRPr="00E13258">
        <w:rPr>
          <w:rFonts w:ascii="Palatino Linotype" w:hAnsi="Palatino Linotype" w:cs="Tahoma"/>
          <w:b/>
          <w:bCs/>
          <w:sz w:val="22"/>
          <w:szCs w:val="22"/>
        </w:rPr>
        <w:t xml:space="preserve">Tesorero Municipal </w:t>
      </w:r>
      <w:r w:rsidR="00AC0ABB" w:rsidRPr="00E13258">
        <w:rPr>
          <w:rFonts w:ascii="Palatino Linotype" w:hAnsi="Palatino Linotype" w:cs="Tahoma"/>
          <w:bCs/>
          <w:sz w:val="22"/>
          <w:szCs w:val="22"/>
        </w:rPr>
        <w:t>del</w:t>
      </w:r>
      <w:r w:rsidR="00AC0ABB" w:rsidRPr="00E13258">
        <w:rPr>
          <w:rFonts w:ascii="Palatino Linotype" w:hAnsi="Palatino Linotype" w:cs="Tahoma"/>
          <w:b/>
          <w:bCs/>
          <w:sz w:val="22"/>
          <w:szCs w:val="22"/>
        </w:rPr>
        <w:t xml:space="preserve"> </w:t>
      </w:r>
      <w:r w:rsidR="00AC0ABB" w:rsidRPr="00E13258">
        <w:rPr>
          <w:rFonts w:ascii="Palatino Linotype" w:hAnsi="Palatino Linotype" w:cs="Tahoma"/>
          <w:bCs/>
          <w:sz w:val="22"/>
          <w:szCs w:val="22"/>
        </w:rPr>
        <w:t>Sujeto Obligado, que en su parte medular señala lo siguiente:</w:t>
      </w:r>
    </w:p>
    <w:p w14:paraId="45367939" w14:textId="77777777" w:rsidR="00896DC7" w:rsidRPr="00E13258" w:rsidRDefault="00896DC7" w:rsidP="00DE5256">
      <w:pPr>
        <w:autoSpaceDE w:val="0"/>
        <w:autoSpaceDN w:val="0"/>
        <w:adjustRightInd w:val="0"/>
        <w:spacing w:line="360" w:lineRule="auto"/>
        <w:jc w:val="both"/>
        <w:rPr>
          <w:rFonts w:ascii="Palatino Linotype" w:hAnsi="Palatino Linotype" w:cs="Tahoma"/>
          <w:bCs/>
          <w:sz w:val="22"/>
          <w:szCs w:val="22"/>
        </w:rPr>
      </w:pPr>
    </w:p>
    <w:p w14:paraId="55D55F64" w14:textId="77777777" w:rsidR="0006419A" w:rsidRPr="00E13258" w:rsidRDefault="0006419A" w:rsidP="00DE5256">
      <w:pPr>
        <w:autoSpaceDE w:val="0"/>
        <w:autoSpaceDN w:val="0"/>
        <w:adjustRightInd w:val="0"/>
        <w:spacing w:line="360" w:lineRule="auto"/>
        <w:ind w:left="567" w:right="539"/>
        <w:jc w:val="both"/>
        <w:rPr>
          <w:rFonts w:ascii="Palatino Linotype" w:hAnsi="Palatino Linotype" w:cs="Tahoma"/>
          <w:bCs/>
        </w:rPr>
      </w:pPr>
      <w:r w:rsidRPr="00E13258">
        <w:rPr>
          <w:rFonts w:ascii="Palatino Linotype" w:hAnsi="Palatino Linotype" w:cs="Tahoma"/>
          <w:bCs/>
        </w:rPr>
        <w:t>“…</w:t>
      </w:r>
      <w:r w:rsidR="00015DB5" w:rsidRPr="00E13258">
        <w:rPr>
          <w:rFonts w:ascii="Palatino Linotype" w:hAnsi="Palatino Linotype" w:cs="Tahoma"/>
          <w:bCs/>
        </w:rPr>
        <w:t xml:space="preserve"> en base a los archivos que obran en esta Tesorería Municipal, adjunto a la presente encontrará la siguiente información de manea magnética y/o CD:</w:t>
      </w:r>
    </w:p>
    <w:p w14:paraId="75B95771" w14:textId="77777777" w:rsidR="00015DB5" w:rsidRPr="00E13258" w:rsidRDefault="00015DB5" w:rsidP="00DE5256">
      <w:pPr>
        <w:autoSpaceDE w:val="0"/>
        <w:autoSpaceDN w:val="0"/>
        <w:adjustRightInd w:val="0"/>
        <w:spacing w:line="360" w:lineRule="auto"/>
        <w:ind w:left="567" w:right="539"/>
        <w:jc w:val="both"/>
        <w:rPr>
          <w:rFonts w:ascii="Palatino Linotype" w:hAnsi="Palatino Linotype" w:cs="Tahoma"/>
          <w:bCs/>
        </w:rPr>
      </w:pPr>
    </w:p>
    <w:p w14:paraId="625C7B44" w14:textId="77777777" w:rsidR="00015DB5" w:rsidRPr="00E13258" w:rsidRDefault="00015DB5" w:rsidP="00DE5256">
      <w:pPr>
        <w:pStyle w:val="Prrafodelista"/>
        <w:numPr>
          <w:ilvl w:val="0"/>
          <w:numId w:val="15"/>
        </w:numPr>
        <w:autoSpaceDE w:val="0"/>
        <w:autoSpaceDN w:val="0"/>
        <w:adjustRightInd w:val="0"/>
        <w:spacing w:line="360" w:lineRule="auto"/>
        <w:ind w:right="539"/>
        <w:jc w:val="both"/>
        <w:rPr>
          <w:rFonts w:ascii="Palatino Linotype" w:hAnsi="Palatino Linotype" w:cs="Tahoma"/>
          <w:b/>
          <w:bCs/>
          <w:sz w:val="20"/>
          <w:szCs w:val="20"/>
        </w:rPr>
      </w:pPr>
      <w:r w:rsidRPr="00E13258">
        <w:rPr>
          <w:rFonts w:ascii="Palatino Linotype" w:hAnsi="Palatino Linotype" w:cs="Tahoma"/>
          <w:b/>
          <w:bCs/>
          <w:sz w:val="20"/>
          <w:szCs w:val="20"/>
        </w:rPr>
        <w:t>Póliza de diario con su respectivo soporte documental: Información en versión Pública clasificada como confidencial mediante el acuerdo con número: 0012/CT/2-EXT/2019 de la 2ª Sesión Extraordinaria del Comité de Transparencia del H. Ayuntamiento de Tlalnepantla de Baz 2019-2021, de fecha 05 de febrero 2019.</w:t>
      </w:r>
    </w:p>
    <w:p w14:paraId="10F1CB3A" w14:textId="77777777" w:rsidR="00015DB5" w:rsidRPr="00E13258" w:rsidRDefault="00015DB5" w:rsidP="00DE5256">
      <w:pPr>
        <w:autoSpaceDE w:val="0"/>
        <w:autoSpaceDN w:val="0"/>
        <w:adjustRightInd w:val="0"/>
        <w:spacing w:line="360" w:lineRule="auto"/>
        <w:ind w:left="567" w:right="539"/>
        <w:jc w:val="both"/>
        <w:rPr>
          <w:rFonts w:ascii="Palatino Linotype" w:hAnsi="Palatino Linotype" w:cs="Tahoma"/>
          <w:b/>
          <w:bCs/>
        </w:rPr>
      </w:pPr>
      <w:r w:rsidRPr="00E13258">
        <w:rPr>
          <w:rFonts w:ascii="Palatino Linotype" w:hAnsi="Palatino Linotype" w:cs="Tahoma"/>
          <w:b/>
          <w:bCs/>
        </w:rPr>
        <w:t>…”</w:t>
      </w:r>
    </w:p>
    <w:p w14:paraId="270E3CA6" w14:textId="77777777" w:rsidR="00AD5489" w:rsidRPr="00E13258" w:rsidRDefault="00AD5489" w:rsidP="00DE5256">
      <w:pPr>
        <w:autoSpaceDE w:val="0"/>
        <w:autoSpaceDN w:val="0"/>
        <w:adjustRightInd w:val="0"/>
        <w:spacing w:line="360" w:lineRule="auto"/>
        <w:ind w:right="539"/>
        <w:jc w:val="both"/>
        <w:rPr>
          <w:rFonts w:ascii="Palatino Linotype" w:hAnsi="Palatino Linotype" w:cs="Tahoma"/>
          <w:bCs/>
          <w:sz w:val="22"/>
          <w:szCs w:val="22"/>
        </w:rPr>
      </w:pPr>
    </w:p>
    <w:p w14:paraId="68397834" w14:textId="75814269" w:rsidR="00720AB6" w:rsidRPr="00E13258" w:rsidRDefault="002B6A09" w:rsidP="00DE5256">
      <w:pPr>
        <w:autoSpaceDE w:val="0"/>
        <w:autoSpaceDN w:val="0"/>
        <w:adjustRightInd w:val="0"/>
        <w:spacing w:line="360" w:lineRule="auto"/>
        <w:ind w:right="-28"/>
        <w:jc w:val="both"/>
        <w:rPr>
          <w:rFonts w:ascii="Palatino Linotype" w:hAnsi="Palatino Linotype" w:cs="Tahoma"/>
          <w:bCs/>
          <w:sz w:val="22"/>
          <w:szCs w:val="22"/>
        </w:rPr>
      </w:pPr>
      <w:r w:rsidRPr="00E13258">
        <w:rPr>
          <w:rFonts w:ascii="Palatino Linotype" w:hAnsi="Palatino Linotype" w:cs="Tahoma"/>
          <w:bCs/>
          <w:sz w:val="22"/>
          <w:szCs w:val="22"/>
        </w:rPr>
        <w:t xml:space="preserve">Por lo que respecta </w:t>
      </w:r>
      <w:r w:rsidR="00015DB5" w:rsidRPr="00E13258">
        <w:rPr>
          <w:rFonts w:ascii="Palatino Linotype" w:hAnsi="Palatino Linotype" w:cs="Tahoma"/>
          <w:bCs/>
          <w:sz w:val="22"/>
          <w:szCs w:val="22"/>
        </w:rPr>
        <w:t>a</w:t>
      </w:r>
      <w:r w:rsidRPr="00E13258">
        <w:rPr>
          <w:rFonts w:ascii="Palatino Linotype" w:hAnsi="Palatino Linotype" w:cs="Tahoma"/>
          <w:bCs/>
          <w:sz w:val="22"/>
          <w:szCs w:val="22"/>
        </w:rPr>
        <w:t xml:space="preserve">l archivo identificado como </w:t>
      </w:r>
      <w:r w:rsidR="00015DB5" w:rsidRPr="00E13258">
        <w:rPr>
          <w:rFonts w:ascii="Palatino Linotype" w:hAnsi="Palatino Linotype" w:cs="Tahoma"/>
          <w:b/>
          <w:bCs/>
          <w:sz w:val="22"/>
          <w:szCs w:val="22"/>
        </w:rPr>
        <w:t>Actas segunda sesi</w:t>
      </w:r>
      <w:r w:rsidR="008C34B9" w:rsidRPr="00E13258">
        <w:rPr>
          <w:rFonts w:ascii="Palatino Linotype" w:hAnsi="Palatino Linotype" w:cs="Tahoma"/>
          <w:b/>
          <w:bCs/>
          <w:sz w:val="22"/>
          <w:szCs w:val="22"/>
        </w:rPr>
        <w:t>ó</w:t>
      </w:r>
      <w:r w:rsidR="00015DB5" w:rsidRPr="00E13258">
        <w:rPr>
          <w:rFonts w:ascii="Palatino Linotype" w:hAnsi="Palatino Linotype" w:cs="Tahoma"/>
          <w:b/>
          <w:bCs/>
          <w:sz w:val="22"/>
          <w:szCs w:val="22"/>
        </w:rPr>
        <w:t>n extraordinaria_02052019182338.PDF</w:t>
      </w:r>
      <w:r w:rsidR="00325D31" w:rsidRPr="00E13258">
        <w:rPr>
          <w:rFonts w:ascii="Palatino Linotype" w:hAnsi="Palatino Linotype" w:cs="Tahoma"/>
          <w:bCs/>
          <w:sz w:val="22"/>
          <w:szCs w:val="22"/>
        </w:rPr>
        <w:t xml:space="preserve">, </w:t>
      </w:r>
      <w:r w:rsidR="004D40B9" w:rsidRPr="00E13258">
        <w:rPr>
          <w:rFonts w:ascii="Palatino Linotype" w:hAnsi="Palatino Linotype" w:cs="Tahoma"/>
          <w:bCs/>
          <w:sz w:val="22"/>
          <w:szCs w:val="22"/>
        </w:rPr>
        <w:t>corresponde al Acta de la Segunda Sesión Extraordinaria del Comité de Transparencia H. Ayuntamiento Constitucional de Tlalnepantla de Baz Estado de México, en la cual se aprueba la versión pública de la información solicitada.</w:t>
      </w:r>
    </w:p>
    <w:p w14:paraId="7FC5632A" w14:textId="77777777" w:rsidR="004D40B9" w:rsidRPr="00E13258" w:rsidRDefault="004D40B9" w:rsidP="00DE5256">
      <w:pPr>
        <w:autoSpaceDE w:val="0"/>
        <w:autoSpaceDN w:val="0"/>
        <w:adjustRightInd w:val="0"/>
        <w:spacing w:line="360" w:lineRule="auto"/>
        <w:ind w:right="-28"/>
        <w:jc w:val="both"/>
        <w:rPr>
          <w:rFonts w:ascii="Palatino Linotype" w:hAnsi="Palatino Linotype" w:cs="Tahoma"/>
          <w:bCs/>
          <w:sz w:val="22"/>
          <w:szCs w:val="22"/>
        </w:rPr>
      </w:pPr>
    </w:p>
    <w:p w14:paraId="527A4143" w14:textId="77777777" w:rsidR="004D40B9" w:rsidRPr="00E13258" w:rsidRDefault="004D40B9" w:rsidP="00DE5256">
      <w:pPr>
        <w:autoSpaceDE w:val="0"/>
        <w:autoSpaceDN w:val="0"/>
        <w:adjustRightInd w:val="0"/>
        <w:spacing w:line="360" w:lineRule="auto"/>
        <w:ind w:right="-28"/>
        <w:jc w:val="both"/>
        <w:rPr>
          <w:rFonts w:ascii="Palatino Linotype" w:hAnsi="Palatino Linotype" w:cs="Tahoma"/>
          <w:bCs/>
          <w:sz w:val="22"/>
          <w:szCs w:val="22"/>
        </w:rPr>
      </w:pPr>
      <w:r w:rsidRPr="00E13258">
        <w:rPr>
          <w:rFonts w:ascii="Palatino Linotype" w:hAnsi="Palatino Linotype" w:cs="Tahoma"/>
          <w:bCs/>
          <w:sz w:val="22"/>
          <w:szCs w:val="22"/>
        </w:rPr>
        <w:t xml:space="preserve">Por último, el documento identificado como </w:t>
      </w:r>
      <w:r w:rsidRPr="00E13258">
        <w:rPr>
          <w:rFonts w:ascii="Palatino Linotype" w:hAnsi="Palatino Linotype" w:cs="Tahoma"/>
          <w:b/>
          <w:bCs/>
          <w:sz w:val="22"/>
          <w:szCs w:val="22"/>
        </w:rPr>
        <w:t xml:space="preserve">OFICIO DEL INFOEM.PDF, </w:t>
      </w:r>
      <w:r w:rsidRPr="00E13258">
        <w:rPr>
          <w:rFonts w:ascii="Palatino Linotype" w:hAnsi="Palatino Linotype" w:cs="Tahoma"/>
          <w:bCs/>
          <w:sz w:val="22"/>
          <w:szCs w:val="22"/>
        </w:rPr>
        <w:t xml:space="preserve">corresponde al oficio número </w:t>
      </w:r>
      <w:r w:rsidRPr="00E13258">
        <w:rPr>
          <w:rFonts w:ascii="Palatino Linotype" w:hAnsi="Palatino Linotype" w:cs="Tahoma"/>
          <w:b/>
          <w:bCs/>
          <w:sz w:val="22"/>
          <w:szCs w:val="22"/>
        </w:rPr>
        <w:t xml:space="preserve">INFOEM/DI/090/2019, </w:t>
      </w:r>
      <w:r w:rsidRPr="00E13258">
        <w:rPr>
          <w:rFonts w:ascii="Palatino Linotype" w:hAnsi="Palatino Linotype" w:cs="Tahoma"/>
          <w:bCs/>
          <w:sz w:val="22"/>
          <w:szCs w:val="22"/>
        </w:rPr>
        <w:t xml:space="preserve">signado por la Directora de Informática del Instituto de Transparencia, Acceso a la Información Pública y Protección de Datos Personales del Estado de México y Municipios, que en su parte medular señala lo siguiente: </w:t>
      </w:r>
    </w:p>
    <w:p w14:paraId="37267CAF" w14:textId="77777777" w:rsidR="004D40B9" w:rsidRPr="00E13258" w:rsidRDefault="004D40B9" w:rsidP="00DE5256">
      <w:pPr>
        <w:autoSpaceDE w:val="0"/>
        <w:autoSpaceDN w:val="0"/>
        <w:adjustRightInd w:val="0"/>
        <w:spacing w:line="360" w:lineRule="auto"/>
        <w:ind w:right="-28"/>
        <w:jc w:val="both"/>
        <w:rPr>
          <w:rFonts w:ascii="Palatino Linotype" w:hAnsi="Palatino Linotype" w:cs="Tahoma"/>
          <w:bCs/>
          <w:sz w:val="22"/>
          <w:szCs w:val="22"/>
        </w:rPr>
      </w:pPr>
    </w:p>
    <w:p w14:paraId="5A8A1B24" w14:textId="77777777" w:rsidR="004D40B9" w:rsidRPr="00E13258" w:rsidRDefault="004D40B9" w:rsidP="00DE5256">
      <w:pPr>
        <w:autoSpaceDE w:val="0"/>
        <w:autoSpaceDN w:val="0"/>
        <w:adjustRightInd w:val="0"/>
        <w:spacing w:line="360" w:lineRule="auto"/>
        <w:ind w:left="567" w:right="539"/>
        <w:jc w:val="both"/>
        <w:rPr>
          <w:rFonts w:ascii="Palatino Linotype" w:hAnsi="Palatino Linotype" w:cs="Tahoma"/>
          <w:bCs/>
        </w:rPr>
      </w:pPr>
      <w:r w:rsidRPr="00E13258">
        <w:rPr>
          <w:rFonts w:ascii="Palatino Linotype" w:hAnsi="Palatino Linotype" w:cs="Tahoma"/>
          <w:bCs/>
        </w:rPr>
        <w:t>“…</w:t>
      </w:r>
    </w:p>
    <w:p w14:paraId="7F401E8C" w14:textId="77777777" w:rsidR="004D40B9" w:rsidRPr="00E13258" w:rsidRDefault="004D40B9" w:rsidP="00DE5256">
      <w:pPr>
        <w:autoSpaceDE w:val="0"/>
        <w:autoSpaceDN w:val="0"/>
        <w:adjustRightInd w:val="0"/>
        <w:spacing w:line="360" w:lineRule="auto"/>
        <w:ind w:left="567" w:right="539"/>
        <w:jc w:val="both"/>
        <w:rPr>
          <w:rFonts w:ascii="Palatino Linotype" w:hAnsi="Palatino Linotype" w:cs="Tahoma"/>
          <w:bCs/>
        </w:rPr>
      </w:pPr>
      <w:r w:rsidRPr="00E13258">
        <w:rPr>
          <w:rFonts w:ascii="Palatino Linotype" w:hAnsi="Palatino Linotype" w:cs="Tahoma"/>
          <w:bCs/>
        </w:rPr>
        <w:tab/>
        <w:t xml:space="preserve">En atención a su oficio con número </w:t>
      </w:r>
      <w:r w:rsidRPr="00E13258">
        <w:rPr>
          <w:rFonts w:ascii="Palatino Linotype" w:hAnsi="Palatino Linotype" w:cs="Tahoma"/>
          <w:b/>
          <w:bCs/>
        </w:rPr>
        <w:t xml:space="preserve">UTAIM/00326/2019 </w:t>
      </w:r>
      <w:r w:rsidRPr="00E13258">
        <w:rPr>
          <w:rFonts w:ascii="Palatino Linotype" w:hAnsi="Palatino Linotype" w:cs="Tahoma"/>
          <w:bCs/>
        </w:rPr>
        <w:t xml:space="preserve">de fecha 06 de febrero del año en curso, mediante el cual solicita se autorice el cambio de modalidad para dar contestación a la solicitud de información con folio </w:t>
      </w:r>
      <w:r w:rsidRPr="00E13258">
        <w:rPr>
          <w:rFonts w:ascii="Palatino Linotype" w:hAnsi="Palatino Linotype" w:cs="Tahoma"/>
          <w:bCs/>
          <w:i/>
        </w:rPr>
        <w:t xml:space="preserve">00046/TLALNEPA/IP/2019, </w:t>
      </w:r>
      <w:r w:rsidRPr="00E13258">
        <w:rPr>
          <w:rFonts w:ascii="Palatino Linotype" w:hAnsi="Palatino Linotype" w:cs="Tahoma"/>
          <w:bCs/>
        </w:rPr>
        <w:t xml:space="preserve">al respecto me permito comunicarle a Usted que dicha solicitud ha quedado registrada en la bitácora de incidencias, toda vez que, trata de un peso aproximado de 1.26 GB de información, lo cual </w:t>
      </w:r>
      <w:r w:rsidRPr="00E13258">
        <w:rPr>
          <w:rFonts w:ascii="Palatino Linotype" w:hAnsi="Palatino Linotype" w:cs="Tahoma"/>
          <w:bCs/>
        </w:rPr>
        <w:lastRenderedPageBreak/>
        <w:t xml:space="preserve">sobrepasa las capacidades técnicas del sistema </w:t>
      </w:r>
      <w:proofErr w:type="spellStart"/>
      <w:r w:rsidRPr="00E13258">
        <w:rPr>
          <w:rFonts w:ascii="Palatino Linotype" w:hAnsi="Palatino Linotype" w:cs="Tahoma"/>
          <w:b/>
          <w:bCs/>
        </w:rPr>
        <w:t>Saimex</w:t>
      </w:r>
      <w:proofErr w:type="spellEnd"/>
      <w:r w:rsidRPr="00E13258">
        <w:rPr>
          <w:rFonts w:ascii="Palatino Linotype" w:hAnsi="Palatino Linotype" w:cs="Tahoma"/>
          <w:b/>
          <w:bCs/>
        </w:rPr>
        <w:t xml:space="preserve">. </w:t>
      </w:r>
      <w:r w:rsidRPr="00E13258">
        <w:rPr>
          <w:rFonts w:ascii="Palatino Linotype" w:hAnsi="Palatino Linotype" w:cs="Tahoma"/>
          <w:bCs/>
        </w:rPr>
        <w:t>Sin embargo, atendiendo el número de fojas (2,398 hojas) se recomienda para el escaneo de las mismas, utilizar una resolución máxima de 100Dpi´s, escala de grises y formato “PDF” extraído directamente del escáner.</w:t>
      </w:r>
    </w:p>
    <w:p w14:paraId="59E0E555" w14:textId="77777777" w:rsidR="00D36AA4" w:rsidRPr="00E13258" w:rsidRDefault="00D36AA4" w:rsidP="00DE5256">
      <w:pPr>
        <w:autoSpaceDE w:val="0"/>
        <w:autoSpaceDN w:val="0"/>
        <w:adjustRightInd w:val="0"/>
        <w:spacing w:line="360" w:lineRule="auto"/>
        <w:ind w:left="567" w:right="539"/>
        <w:jc w:val="both"/>
        <w:rPr>
          <w:rFonts w:ascii="Palatino Linotype" w:hAnsi="Palatino Linotype" w:cs="Tahoma"/>
          <w:bCs/>
        </w:rPr>
      </w:pPr>
    </w:p>
    <w:p w14:paraId="23CACD1D" w14:textId="77777777" w:rsidR="00D36AA4" w:rsidRPr="00E13258" w:rsidRDefault="00D36AA4" w:rsidP="00DE5256">
      <w:pPr>
        <w:autoSpaceDE w:val="0"/>
        <w:autoSpaceDN w:val="0"/>
        <w:adjustRightInd w:val="0"/>
        <w:spacing w:line="360" w:lineRule="auto"/>
        <w:ind w:left="567" w:right="539"/>
        <w:jc w:val="both"/>
        <w:rPr>
          <w:rFonts w:ascii="Palatino Linotype" w:hAnsi="Palatino Linotype" w:cs="Tahoma"/>
          <w:bCs/>
        </w:rPr>
      </w:pPr>
      <w:r w:rsidRPr="00E13258">
        <w:rPr>
          <w:rFonts w:ascii="Palatino Linotype" w:hAnsi="Palatino Linotype" w:cs="Tahoma"/>
          <w:bCs/>
        </w:rPr>
        <w:tab/>
        <w:t>Es importante hacer mención que el peso referido de acuerdo al cúmulo de fojas mencionadas en el párrafo anterior es responsabilidad del Sujeto Obligado.</w:t>
      </w:r>
    </w:p>
    <w:p w14:paraId="362BA634" w14:textId="77777777" w:rsidR="00B54BBD" w:rsidRPr="00E13258" w:rsidRDefault="00B54BBD" w:rsidP="00DE5256">
      <w:pPr>
        <w:autoSpaceDE w:val="0"/>
        <w:autoSpaceDN w:val="0"/>
        <w:adjustRightInd w:val="0"/>
        <w:spacing w:line="360" w:lineRule="auto"/>
        <w:ind w:left="567" w:right="539"/>
        <w:jc w:val="both"/>
        <w:rPr>
          <w:rFonts w:ascii="Palatino Linotype" w:hAnsi="Palatino Linotype" w:cs="Tahoma"/>
          <w:bCs/>
        </w:rPr>
      </w:pPr>
      <w:r w:rsidRPr="00E13258">
        <w:rPr>
          <w:rFonts w:ascii="Palatino Linotype" w:hAnsi="Palatino Linotype" w:cs="Tahoma"/>
          <w:bCs/>
        </w:rPr>
        <w:t>…”</w:t>
      </w:r>
    </w:p>
    <w:p w14:paraId="4393FC78" w14:textId="77777777" w:rsidR="00B54BBD" w:rsidRPr="00E13258" w:rsidRDefault="00B54BBD" w:rsidP="00DE5256">
      <w:pPr>
        <w:autoSpaceDE w:val="0"/>
        <w:autoSpaceDN w:val="0"/>
        <w:adjustRightInd w:val="0"/>
        <w:spacing w:line="360" w:lineRule="auto"/>
        <w:jc w:val="both"/>
        <w:rPr>
          <w:rFonts w:ascii="Palatino Linotype" w:hAnsi="Palatino Linotype" w:cs="Tahoma"/>
          <w:b/>
          <w:sz w:val="22"/>
          <w:szCs w:val="22"/>
        </w:rPr>
      </w:pPr>
    </w:p>
    <w:p w14:paraId="1F4970CC" w14:textId="77777777" w:rsidR="00587F23" w:rsidRPr="00E13258" w:rsidRDefault="00D95C7A" w:rsidP="00DE5256">
      <w:pPr>
        <w:autoSpaceDE w:val="0"/>
        <w:autoSpaceDN w:val="0"/>
        <w:adjustRightInd w:val="0"/>
        <w:spacing w:line="360" w:lineRule="auto"/>
        <w:jc w:val="both"/>
        <w:rPr>
          <w:rFonts w:ascii="Palatino Linotype" w:hAnsi="Palatino Linotype" w:cs="Tahoma"/>
          <w:b/>
          <w:sz w:val="22"/>
          <w:szCs w:val="22"/>
        </w:rPr>
      </w:pPr>
      <w:r w:rsidRPr="00E13258">
        <w:rPr>
          <w:rFonts w:ascii="Palatino Linotype" w:hAnsi="Palatino Linotype" w:cs="Tahoma"/>
          <w:b/>
          <w:sz w:val="22"/>
          <w:szCs w:val="22"/>
        </w:rPr>
        <w:t>I</w:t>
      </w:r>
      <w:r w:rsidR="00A558CA" w:rsidRPr="00E13258">
        <w:rPr>
          <w:rFonts w:ascii="Palatino Linotype" w:hAnsi="Palatino Linotype" w:cs="Tahoma"/>
          <w:b/>
          <w:sz w:val="22"/>
          <w:szCs w:val="22"/>
        </w:rPr>
        <w:t>II</w:t>
      </w:r>
      <w:r w:rsidR="00AA5A86" w:rsidRPr="00E13258">
        <w:rPr>
          <w:rFonts w:ascii="Palatino Linotype" w:hAnsi="Palatino Linotype" w:cs="Tahoma"/>
          <w:b/>
          <w:sz w:val="22"/>
          <w:szCs w:val="22"/>
        </w:rPr>
        <w:t xml:space="preserve">. </w:t>
      </w:r>
      <w:r w:rsidR="004100AA" w:rsidRPr="00E13258">
        <w:rPr>
          <w:rFonts w:ascii="Palatino Linotype" w:hAnsi="Palatino Linotype" w:cs="Tahoma"/>
          <w:b/>
          <w:sz w:val="22"/>
          <w:szCs w:val="22"/>
        </w:rPr>
        <w:t>Interposición</w:t>
      </w:r>
      <w:r w:rsidR="00C459A9" w:rsidRPr="00E13258">
        <w:rPr>
          <w:rFonts w:ascii="Palatino Linotype" w:hAnsi="Palatino Linotype" w:cs="Tahoma"/>
          <w:b/>
          <w:sz w:val="22"/>
          <w:szCs w:val="22"/>
        </w:rPr>
        <w:t xml:space="preserve"> del Recurso de R</w:t>
      </w:r>
      <w:r w:rsidR="00C25238" w:rsidRPr="00E13258">
        <w:rPr>
          <w:rFonts w:ascii="Palatino Linotype" w:hAnsi="Palatino Linotype" w:cs="Tahoma"/>
          <w:b/>
          <w:sz w:val="22"/>
          <w:szCs w:val="22"/>
        </w:rPr>
        <w:t xml:space="preserve">evisión. </w:t>
      </w:r>
    </w:p>
    <w:p w14:paraId="5F78F67C" w14:textId="77777777" w:rsidR="0006419A" w:rsidRPr="00E13258" w:rsidRDefault="0006419A" w:rsidP="00DE5256">
      <w:pPr>
        <w:autoSpaceDE w:val="0"/>
        <w:autoSpaceDN w:val="0"/>
        <w:adjustRightInd w:val="0"/>
        <w:spacing w:line="360" w:lineRule="auto"/>
        <w:jc w:val="both"/>
        <w:rPr>
          <w:rFonts w:ascii="Palatino Linotype" w:hAnsi="Palatino Linotype" w:cs="Tahoma"/>
          <w:b/>
          <w:sz w:val="22"/>
          <w:szCs w:val="22"/>
        </w:rPr>
      </w:pPr>
    </w:p>
    <w:p w14:paraId="3E94CB9D" w14:textId="77777777" w:rsidR="00264223" w:rsidRPr="00E13258" w:rsidRDefault="006C1B1D" w:rsidP="00DE5256">
      <w:pPr>
        <w:autoSpaceDE w:val="0"/>
        <w:autoSpaceDN w:val="0"/>
        <w:adjustRightInd w:val="0"/>
        <w:spacing w:line="360" w:lineRule="auto"/>
        <w:jc w:val="both"/>
        <w:rPr>
          <w:rFonts w:ascii="Palatino Linotype" w:hAnsi="Palatino Linotype" w:cs="Tahoma"/>
          <w:sz w:val="22"/>
          <w:szCs w:val="22"/>
        </w:rPr>
      </w:pPr>
      <w:r w:rsidRPr="00E13258">
        <w:rPr>
          <w:rFonts w:ascii="Palatino Linotype" w:hAnsi="Palatino Linotype" w:cs="Tahoma"/>
          <w:sz w:val="22"/>
          <w:szCs w:val="22"/>
        </w:rPr>
        <w:t xml:space="preserve">Con </w:t>
      </w:r>
      <w:r w:rsidR="00A9024A" w:rsidRPr="00E13258">
        <w:rPr>
          <w:rFonts w:ascii="Palatino Linotype" w:hAnsi="Palatino Linotype" w:cs="Tahoma"/>
          <w:sz w:val="22"/>
          <w:szCs w:val="22"/>
        </w:rPr>
        <w:t xml:space="preserve">fecha </w:t>
      </w:r>
      <w:r w:rsidR="003F6E47" w:rsidRPr="00E13258">
        <w:rPr>
          <w:rFonts w:ascii="Palatino Linotype" w:hAnsi="Palatino Linotype" w:cs="Tahoma"/>
          <w:sz w:val="22"/>
          <w:szCs w:val="22"/>
        </w:rPr>
        <w:t xml:space="preserve">once de febrero </w:t>
      </w:r>
      <w:r w:rsidR="00593A79" w:rsidRPr="00E13258">
        <w:rPr>
          <w:rFonts w:ascii="Palatino Linotype" w:hAnsi="Palatino Linotype" w:cs="Tahoma"/>
          <w:sz w:val="22"/>
          <w:szCs w:val="22"/>
        </w:rPr>
        <w:t>de dos mil diecinueve</w:t>
      </w:r>
      <w:r w:rsidR="00C25238" w:rsidRPr="00E13258">
        <w:rPr>
          <w:rFonts w:ascii="Palatino Linotype" w:hAnsi="Palatino Linotype" w:cs="Tahoma"/>
          <w:sz w:val="22"/>
          <w:szCs w:val="22"/>
        </w:rPr>
        <w:t xml:space="preserve">, se recibió en este </w:t>
      </w:r>
      <w:r w:rsidR="00C25238" w:rsidRPr="00E13258">
        <w:rPr>
          <w:rFonts w:ascii="Palatino Linotype" w:eastAsia="Calibri" w:hAnsi="Palatino Linotype" w:cs="Tahoma"/>
          <w:sz w:val="22"/>
          <w:szCs w:val="22"/>
          <w:lang w:eastAsia="en-US"/>
        </w:rPr>
        <w:t xml:space="preserve">Instituto, a través del </w:t>
      </w:r>
      <w:r w:rsidR="000313A7" w:rsidRPr="00E13258">
        <w:rPr>
          <w:rFonts w:ascii="Palatino Linotype" w:hAnsi="Palatino Linotype" w:cs="Tahoma"/>
          <w:sz w:val="22"/>
          <w:szCs w:val="22"/>
          <w:lang w:val="es-ES"/>
        </w:rPr>
        <w:t>Sistema de Acceso a la Información Mexiquense (SAIMEX)</w:t>
      </w:r>
      <w:r w:rsidRPr="00E13258">
        <w:rPr>
          <w:rFonts w:ascii="Palatino Linotype" w:hAnsi="Palatino Linotype" w:cs="Tahoma"/>
          <w:sz w:val="22"/>
          <w:szCs w:val="22"/>
        </w:rPr>
        <w:t xml:space="preserve">, </w:t>
      </w:r>
      <w:r w:rsidR="00593A79" w:rsidRPr="00E13258">
        <w:rPr>
          <w:rFonts w:ascii="Palatino Linotype" w:hAnsi="Palatino Linotype" w:cs="Tahoma"/>
          <w:sz w:val="22"/>
          <w:szCs w:val="22"/>
        </w:rPr>
        <w:t>e</w:t>
      </w:r>
      <w:r w:rsidR="00DD2303" w:rsidRPr="00E13258">
        <w:rPr>
          <w:rFonts w:ascii="Palatino Linotype" w:hAnsi="Palatino Linotype" w:cs="Tahoma"/>
          <w:sz w:val="22"/>
          <w:szCs w:val="22"/>
        </w:rPr>
        <w:t>l</w:t>
      </w:r>
      <w:r w:rsidRPr="00E13258">
        <w:rPr>
          <w:rFonts w:ascii="Palatino Linotype" w:hAnsi="Palatino Linotype" w:cs="Tahoma"/>
          <w:sz w:val="22"/>
          <w:szCs w:val="22"/>
        </w:rPr>
        <w:t xml:space="preserve"> Recurso</w:t>
      </w:r>
      <w:r w:rsidR="00593A79" w:rsidRPr="00E13258">
        <w:rPr>
          <w:rFonts w:ascii="Palatino Linotype" w:hAnsi="Palatino Linotype" w:cs="Tahoma"/>
          <w:sz w:val="22"/>
          <w:szCs w:val="22"/>
        </w:rPr>
        <w:t xml:space="preserve"> </w:t>
      </w:r>
      <w:r w:rsidRPr="00E13258">
        <w:rPr>
          <w:rFonts w:ascii="Palatino Linotype" w:hAnsi="Palatino Linotype" w:cs="Tahoma"/>
          <w:sz w:val="22"/>
          <w:szCs w:val="22"/>
        </w:rPr>
        <w:t>de R</w:t>
      </w:r>
      <w:r w:rsidR="00C25238" w:rsidRPr="00E13258">
        <w:rPr>
          <w:rFonts w:ascii="Palatino Linotype" w:hAnsi="Palatino Linotype" w:cs="Tahoma"/>
          <w:sz w:val="22"/>
          <w:szCs w:val="22"/>
        </w:rPr>
        <w:t xml:space="preserve">evisión </w:t>
      </w:r>
      <w:r w:rsidR="00DD2303" w:rsidRPr="00E13258">
        <w:rPr>
          <w:rFonts w:ascii="Palatino Linotype" w:hAnsi="Palatino Linotype" w:cs="Tahoma"/>
          <w:b/>
          <w:sz w:val="22"/>
          <w:szCs w:val="22"/>
        </w:rPr>
        <w:t>0</w:t>
      </w:r>
      <w:r w:rsidR="00593A79" w:rsidRPr="00E13258">
        <w:rPr>
          <w:rFonts w:ascii="Palatino Linotype" w:hAnsi="Palatino Linotype" w:cs="Tahoma"/>
          <w:b/>
          <w:sz w:val="22"/>
          <w:szCs w:val="22"/>
        </w:rPr>
        <w:t>0</w:t>
      </w:r>
      <w:r w:rsidR="00984F18" w:rsidRPr="00E13258">
        <w:rPr>
          <w:rFonts w:ascii="Palatino Linotype" w:hAnsi="Palatino Linotype" w:cs="Tahoma"/>
          <w:b/>
          <w:sz w:val="22"/>
          <w:szCs w:val="22"/>
        </w:rPr>
        <w:t>6</w:t>
      </w:r>
      <w:r w:rsidR="003F6E47" w:rsidRPr="00E13258">
        <w:rPr>
          <w:rFonts w:ascii="Palatino Linotype" w:hAnsi="Palatino Linotype" w:cs="Tahoma"/>
          <w:b/>
          <w:sz w:val="22"/>
          <w:szCs w:val="22"/>
        </w:rPr>
        <w:t>01</w:t>
      </w:r>
      <w:r w:rsidR="00DD2303" w:rsidRPr="00E13258">
        <w:rPr>
          <w:rFonts w:ascii="Palatino Linotype" w:hAnsi="Palatino Linotype" w:cs="Tahoma"/>
          <w:b/>
          <w:sz w:val="22"/>
          <w:szCs w:val="22"/>
        </w:rPr>
        <w:t>/INFOEM/IP/RR/201</w:t>
      </w:r>
      <w:r w:rsidR="00593A79" w:rsidRPr="00E13258">
        <w:rPr>
          <w:rFonts w:ascii="Palatino Linotype" w:hAnsi="Palatino Linotype" w:cs="Tahoma"/>
          <w:b/>
          <w:sz w:val="22"/>
          <w:szCs w:val="22"/>
        </w:rPr>
        <w:t>9</w:t>
      </w:r>
      <w:r w:rsidR="00DD2303" w:rsidRPr="00E13258">
        <w:rPr>
          <w:rFonts w:ascii="Palatino Linotype" w:hAnsi="Palatino Linotype" w:cs="Tahoma"/>
          <w:b/>
          <w:sz w:val="22"/>
          <w:szCs w:val="22"/>
        </w:rPr>
        <w:t>,</w:t>
      </w:r>
      <w:r w:rsidR="00DD2303" w:rsidRPr="00E13258">
        <w:rPr>
          <w:rFonts w:ascii="Palatino Linotype" w:hAnsi="Palatino Linotype" w:cs="Tahoma"/>
          <w:sz w:val="22"/>
          <w:szCs w:val="22"/>
        </w:rPr>
        <w:t xml:space="preserve"> </w:t>
      </w:r>
      <w:r w:rsidR="00C25238" w:rsidRPr="00E13258">
        <w:rPr>
          <w:rFonts w:ascii="Palatino Linotype" w:hAnsi="Palatino Linotype" w:cs="Tahoma"/>
          <w:sz w:val="22"/>
          <w:szCs w:val="22"/>
        </w:rPr>
        <w:t xml:space="preserve">interpuesto por </w:t>
      </w:r>
      <w:r w:rsidR="00E573C6" w:rsidRPr="00E13258">
        <w:rPr>
          <w:rFonts w:ascii="Palatino Linotype" w:hAnsi="Palatino Linotype" w:cs="Tahoma"/>
          <w:sz w:val="22"/>
          <w:szCs w:val="22"/>
        </w:rPr>
        <w:t xml:space="preserve">el </w:t>
      </w:r>
      <w:r w:rsidR="008C357C" w:rsidRPr="00E13258">
        <w:rPr>
          <w:rFonts w:ascii="Palatino Linotype" w:hAnsi="Palatino Linotype" w:cs="Tahoma"/>
          <w:sz w:val="22"/>
          <w:szCs w:val="22"/>
        </w:rPr>
        <w:t>P</w:t>
      </w:r>
      <w:r w:rsidR="00E573C6" w:rsidRPr="00E13258">
        <w:rPr>
          <w:rFonts w:ascii="Palatino Linotype" w:hAnsi="Palatino Linotype" w:cs="Tahoma"/>
          <w:sz w:val="22"/>
          <w:szCs w:val="22"/>
        </w:rPr>
        <w:t>articular</w:t>
      </w:r>
      <w:r w:rsidR="00C25238" w:rsidRPr="00E13258">
        <w:rPr>
          <w:rFonts w:ascii="Palatino Linotype" w:hAnsi="Palatino Linotype" w:cs="Tahoma"/>
          <w:sz w:val="22"/>
          <w:szCs w:val="22"/>
        </w:rPr>
        <w:t xml:space="preserve">, en contra de la respuesta </w:t>
      </w:r>
      <w:r w:rsidR="00587F23" w:rsidRPr="00E13258">
        <w:rPr>
          <w:rFonts w:ascii="Palatino Linotype" w:hAnsi="Palatino Linotype" w:cs="Tahoma"/>
          <w:sz w:val="22"/>
          <w:szCs w:val="22"/>
        </w:rPr>
        <w:t xml:space="preserve">del </w:t>
      </w:r>
      <w:r w:rsidR="00956793" w:rsidRPr="00E13258">
        <w:rPr>
          <w:rFonts w:ascii="Palatino Linotype" w:hAnsi="Palatino Linotype" w:cs="Tahoma"/>
          <w:sz w:val="22"/>
          <w:szCs w:val="22"/>
        </w:rPr>
        <w:t>Sujeto Obligado</w:t>
      </w:r>
      <w:r w:rsidR="00C25238" w:rsidRPr="00E13258">
        <w:rPr>
          <w:rFonts w:ascii="Palatino Linotype" w:hAnsi="Palatino Linotype" w:cs="Tahoma"/>
          <w:sz w:val="22"/>
          <w:szCs w:val="22"/>
        </w:rPr>
        <w:t xml:space="preserve">, en </w:t>
      </w:r>
      <w:r w:rsidR="00DD2303" w:rsidRPr="00E13258">
        <w:rPr>
          <w:rFonts w:ascii="Palatino Linotype" w:hAnsi="Palatino Linotype" w:cs="Tahoma"/>
          <w:sz w:val="22"/>
          <w:szCs w:val="22"/>
        </w:rPr>
        <w:t xml:space="preserve">los </w:t>
      </w:r>
      <w:r w:rsidR="00593A79" w:rsidRPr="00E13258">
        <w:rPr>
          <w:rFonts w:ascii="Palatino Linotype" w:hAnsi="Palatino Linotype" w:cs="Tahoma"/>
          <w:sz w:val="22"/>
          <w:szCs w:val="22"/>
        </w:rPr>
        <w:t xml:space="preserve">siguientes </w:t>
      </w:r>
      <w:r w:rsidR="00626F66" w:rsidRPr="00E13258">
        <w:rPr>
          <w:rFonts w:ascii="Palatino Linotype" w:hAnsi="Palatino Linotype" w:cs="Tahoma"/>
          <w:sz w:val="22"/>
          <w:szCs w:val="22"/>
        </w:rPr>
        <w:t>términos</w:t>
      </w:r>
      <w:r w:rsidR="00C25238" w:rsidRPr="00E13258">
        <w:rPr>
          <w:rFonts w:ascii="Palatino Linotype" w:hAnsi="Palatino Linotype" w:cs="Tahoma"/>
          <w:sz w:val="22"/>
          <w:szCs w:val="22"/>
        </w:rPr>
        <w:t>:</w:t>
      </w:r>
    </w:p>
    <w:p w14:paraId="6D541455" w14:textId="77777777" w:rsidR="00DD2303" w:rsidRPr="00E13258" w:rsidRDefault="00DD2303" w:rsidP="00DE5256">
      <w:pPr>
        <w:tabs>
          <w:tab w:val="left" w:pos="4667"/>
        </w:tabs>
        <w:spacing w:line="360" w:lineRule="auto"/>
        <w:ind w:left="567" w:right="567"/>
        <w:jc w:val="both"/>
        <w:rPr>
          <w:rFonts w:ascii="Palatino Linotype" w:hAnsi="Palatino Linotype" w:cs="Tahoma"/>
          <w:b/>
          <w:bCs/>
          <w:sz w:val="22"/>
          <w:szCs w:val="22"/>
        </w:rPr>
      </w:pPr>
    </w:p>
    <w:p w14:paraId="4D9CF9F6" w14:textId="77777777" w:rsidR="00DD2303" w:rsidRPr="00E13258" w:rsidRDefault="00DD2303" w:rsidP="00DE5256">
      <w:pPr>
        <w:tabs>
          <w:tab w:val="left" w:pos="4667"/>
        </w:tabs>
        <w:spacing w:line="360" w:lineRule="auto"/>
        <w:ind w:left="567" w:right="567"/>
        <w:jc w:val="both"/>
        <w:rPr>
          <w:rFonts w:ascii="Palatino Linotype" w:hAnsi="Palatino Linotype" w:cs="Tahoma"/>
          <w:bCs/>
          <w:szCs w:val="22"/>
        </w:rPr>
      </w:pPr>
      <w:r w:rsidRPr="00E13258">
        <w:rPr>
          <w:rFonts w:ascii="Palatino Linotype" w:hAnsi="Palatino Linotype" w:cs="Tahoma"/>
          <w:b/>
          <w:bCs/>
          <w:szCs w:val="22"/>
        </w:rPr>
        <w:t>“ACTO IMPUGNADO</w:t>
      </w:r>
    </w:p>
    <w:p w14:paraId="1A2E4097" w14:textId="77777777" w:rsidR="00DD2303" w:rsidRPr="00E13258" w:rsidRDefault="003F6E47" w:rsidP="00DE5256">
      <w:pPr>
        <w:autoSpaceDE w:val="0"/>
        <w:autoSpaceDN w:val="0"/>
        <w:adjustRightInd w:val="0"/>
        <w:spacing w:line="360" w:lineRule="auto"/>
        <w:ind w:left="567" w:right="567"/>
        <w:jc w:val="both"/>
        <w:rPr>
          <w:rFonts w:ascii="Palatino Linotype" w:hAnsi="Palatino Linotype" w:cs="Tahoma"/>
          <w:szCs w:val="22"/>
        </w:rPr>
      </w:pPr>
      <w:r w:rsidRPr="00E13258">
        <w:rPr>
          <w:rFonts w:ascii="Palatino Linotype" w:hAnsi="Palatino Linotype" w:cs="Tahoma"/>
          <w:szCs w:val="22"/>
        </w:rPr>
        <w:t>LA ENTREGA DE INFORMACIÓN INCOMPLETA</w:t>
      </w:r>
      <w:r w:rsidR="00DD2303" w:rsidRPr="00E13258">
        <w:rPr>
          <w:rFonts w:ascii="Palatino Linotype" w:hAnsi="Palatino Linotype" w:cs="Tahoma"/>
          <w:szCs w:val="22"/>
        </w:rPr>
        <w:t>”</w:t>
      </w:r>
    </w:p>
    <w:p w14:paraId="7B709BBF" w14:textId="77777777" w:rsidR="00DD2303" w:rsidRPr="00E13258" w:rsidRDefault="00DD2303" w:rsidP="00DE5256">
      <w:pPr>
        <w:autoSpaceDE w:val="0"/>
        <w:autoSpaceDN w:val="0"/>
        <w:adjustRightInd w:val="0"/>
        <w:spacing w:line="360" w:lineRule="auto"/>
        <w:ind w:left="567" w:right="567"/>
        <w:jc w:val="both"/>
        <w:rPr>
          <w:rFonts w:ascii="Palatino Linotype" w:hAnsi="Palatino Linotype" w:cs="Tahoma"/>
          <w:szCs w:val="22"/>
        </w:rPr>
      </w:pPr>
    </w:p>
    <w:p w14:paraId="2A13E5C0" w14:textId="77777777" w:rsidR="00DD2303" w:rsidRPr="00E13258" w:rsidRDefault="00DD2303" w:rsidP="00DE5256">
      <w:pPr>
        <w:autoSpaceDE w:val="0"/>
        <w:autoSpaceDN w:val="0"/>
        <w:adjustRightInd w:val="0"/>
        <w:spacing w:line="360" w:lineRule="auto"/>
        <w:ind w:left="567" w:right="567"/>
        <w:jc w:val="both"/>
        <w:rPr>
          <w:rFonts w:ascii="Palatino Linotype" w:hAnsi="Palatino Linotype" w:cs="Tahoma"/>
          <w:b/>
          <w:szCs w:val="22"/>
        </w:rPr>
      </w:pPr>
      <w:r w:rsidRPr="00E13258">
        <w:rPr>
          <w:rFonts w:ascii="Palatino Linotype" w:hAnsi="Palatino Linotype" w:cs="Tahoma"/>
          <w:b/>
          <w:szCs w:val="22"/>
        </w:rPr>
        <w:t>“RAZONES O MOTIVOS DE LA INCONFORMIDAD</w:t>
      </w:r>
    </w:p>
    <w:p w14:paraId="5861B7DD" w14:textId="77777777" w:rsidR="00DD2303" w:rsidRPr="00E13258" w:rsidRDefault="003F6E47" w:rsidP="00DE5256">
      <w:pPr>
        <w:autoSpaceDE w:val="0"/>
        <w:autoSpaceDN w:val="0"/>
        <w:adjustRightInd w:val="0"/>
        <w:spacing w:line="360" w:lineRule="auto"/>
        <w:ind w:left="567" w:right="567"/>
        <w:jc w:val="both"/>
        <w:rPr>
          <w:rFonts w:ascii="Palatino Linotype" w:hAnsi="Palatino Linotype" w:cs="Tahoma"/>
          <w:szCs w:val="22"/>
        </w:rPr>
      </w:pPr>
      <w:r w:rsidRPr="00E13258">
        <w:rPr>
          <w:rFonts w:ascii="Palatino Linotype" w:hAnsi="Palatino Linotype" w:cs="Tahoma"/>
          <w:szCs w:val="22"/>
        </w:rPr>
        <w:t>No se me entrega la información solicitada a pesar de que la Tesorería y el comité de transparencia hacerme entrega de la versión publica de la información solicitada</w:t>
      </w:r>
      <w:r w:rsidR="00DD2303" w:rsidRPr="00E13258">
        <w:rPr>
          <w:rFonts w:ascii="Palatino Linotype" w:hAnsi="Palatino Linotype" w:cs="Tahoma"/>
          <w:szCs w:val="22"/>
        </w:rPr>
        <w:t>”</w:t>
      </w:r>
      <w:r w:rsidR="00593A79" w:rsidRPr="00E13258">
        <w:rPr>
          <w:rFonts w:ascii="Palatino Linotype" w:hAnsi="Palatino Linotype" w:cs="Tahoma"/>
          <w:szCs w:val="22"/>
        </w:rPr>
        <w:t xml:space="preserve"> (</w:t>
      </w:r>
      <w:r w:rsidR="00593A79" w:rsidRPr="00E13258">
        <w:rPr>
          <w:rFonts w:ascii="Palatino Linotype" w:hAnsi="Palatino Linotype" w:cs="Tahoma"/>
          <w:i/>
          <w:szCs w:val="22"/>
        </w:rPr>
        <w:t>Sic</w:t>
      </w:r>
      <w:r w:rsidR="002513F4" w:rsidRPr="00E13258">
        <w:rPr>
          <w:rFonts w:ascii="Palatino Linotype" w:hAnsi="Palatino Linotype" w:cs="Tahoma"/>
          <w:i/>
          <w:szCs w:val="22"/>
        </w:rPr>
        <w:t>.</w:t>
      </w:r>
      <w:r w:rsidR="00593A79" w:rsidRPr="00E13258">
        <w:rPr>
          <w:rFonts w:ascii="Palatino Linotype" w:hAnsi="Palatino Linotype" w:cs="Tahoma"/>
          <w:szCs w:val="22"/>
        </w:rPr>
        <w:t>)</w:t>
      </w:r>
    </w:p>
    <w:p w14:paraId="37D76D35" w14:textId="77777777" w:rsidR="00DD2303" w:rsidRPr="00E13258" w:rsidRDefault="00DD2303" w:rsidP="00DE5256">
      <w:pPr>
        <w:autoSpaceDE w:val="0"/>
        <w:autoSpaceDN w:val="0"/>
        <w:adjustRightInd w:val="0"/>
        <w:spacing w:line="360" w:lineRule="auto"/>
        <w:ind w:left="567" w:right="567"/>
        <w:jc w:val="both"/>
        <w:rPr>
          <w:rFonts w:ascii="Palatino Linotype" w:hAnsi="Palatino Linotype" w:cs="Tahoma"/>
          <w:sz w:val="22"/>
          <w:szCs w:val="22"/>
        </w:rPr>
      </w:pPr>
    </w:p>
    <w:p w14:paraId="5E854E83" w14:textId="77777777" w:rsidR="00B31222" w:rsidRPr="00E13258" w:rsidRDefault="00F1692B" w:rsidP="00DE5256">
      <w:pPr>
        <w:spacing w:line="360" w:lineRule="auto"/>
        <w:jc w:val="both"/>
        <w:rPr>
          <w:rFonts w:ascii="Palatino Linotype" w:eastAsia="Batang" w:hAnsi="Palatino Linotype" w:cs="Tahoma"/>
          <w:b/>
          <w:bCs/>
          <w:sz w:val="22"/>
          <w:szCs w:val="22"/>
        </w:rPr>
      </w:pPr>
      <w:r w:rsidRPr="00E13258">
        <w:rPr>
          <w:rFonts w:ascii="Palatino Linotype" w:hAnsi="Palatino Linotype" w:cs="Tahoma"/>
          <w:b/>
          <w:sz w:val="22"/>
          <w:szCs w:val="22"/>
        </w:rPr>
        <w:t>I</w:t>
      </w:r>
      <w:r w:rsidR="0096693C" w:rsidRPr="00E13258">
        <w:rPr>
          <w:rFonts w:ascii="Palatino Linotype" w:hAnsi="Palatino Linotype" w:cs="Tahoma"/>
          <w:b/>
          <w:sz w:val="22"/>
          <w:szCs w:val="22"/>
        </w:rPr>
        <w:t>V</w:t>
      </w:r>
      <w:r w:rsidR="00B31222" w:rsidRPr="00E13258">
        <w:rPr>
          <w:rFonts w:ascii="Palatino Linotype" w:hAnsi="Palatino Linotype" w:cs="Tahoma"/>
          <w:b/>
          <w:sz w:val="22"/>
          <w:szCs w:val="22"/>
        </w:rPr>
        <w:t xml:space="preserve">. </w:t>
      </w:r>
      <w:r w:rsidR="00B31222" w:rsidRPr="00E13258">
        <w:rPr>
          <w:rFonts w:ascii="Palatino Linotype" w:eastAsia="Batang" w:hAnsi="Palatino Linotype" w:cs="Tahoma"/>
          <w:b/>
          <w:bCs/>
          <w:sz w:val="22"/>
          <w:szCs w:val="22"/>
        </w:rPr>
        <w:t xml:space="preserve">Trámite del </w:t>
      </w:r>
      <w:r w:rsidR="00C459A9" w:rsidRPr="00E13258">
        <w:rPr>
          <w:rFonts w:ascii="Palatino Linotype" w:hAnsi="Palatino Linotype" w:cs="Tahoma"/>
          <w:b/>
          <w:sz w:val="22"/>
          <w:szCs w:val="22"/>
        </w:rPr>
        <w:t>Recurso de Revisión</w:t>
      </w:r>
      <w:r w:rsidR="00B73823" w:rsidRPr="00E13258">
        <w:rPr>
          <w:rFonts w:ascii="Palatino Linotype" w:hAnsi="Palatino Linotype" w:cs="Tahoma"/>
          <w:b/>
          <w:sz w:val="22"/>
          <w:szCs w:val="22"/>
        </w:rPr>
        <w:t xml:space="preserve"> </w:t>
      </w:r>
      <w:r w:rsidR="00B31222" w:rsidRPr="00E13258">
        <w:rPr>
          <w:rFonts w:ascii="Palatino Linotype" w:eastAsia="Batang" w:hAnsi="Palatino Linotype" w:cs="Tahoma"/>
          <w:b/>
          <w:bCs/>
          <w:sz w:val="22"/>
          <w:szCs w:val="22"/>
        </w:rPr>
        <w:t>ante el Instituto</w:t>
      </w:r>
      <w:r w:rsidR="00E445DA" w:rsidRPr="00E13258">
        <w:rPr>
          <w:rFonts w:ascii="Palatino Linotype" w:eastAsia="Batang" w:hAnsi="Palatino Linotype" w:cs="Tahoma"/>
          <w:b/>
          <w:bCs/>
          <w:sz w:val="22"/>
          <w:szCs w:val="22"/>
        </w:rPr>
        <w:t>.</w:t>
      </w:r>
    </w:p>
    <w:p w14:paraId="3B21E3A3" w14:textId="77777777" w:rsidR="00E445DA" w:rsidRPr="00E13258" w:rsidRDefault="00E445DA" w:rsidP="00DE5256">
      <w:pPr>
        <w:spacing w:line="360" w:lineRule="auto"/>
        <w:jc w:val="both"/>
        <w:rPr>
          <w:rFonts w:ascii="Palatino Linotype" w:eastAsia="Batang" w:hAnsi="Palatino Linotype" w:cs="Tahoma"/>
          <w:b/>
          <w:bCs/>
          <w:sz w:val="22"/>
          <w:szCs w:val="22"/>
        </w:rPr>
      </w:pPr>
    </w:p>
    <w:p w14:paraId="1E26BB35" w14:textId="77777777" w:rsidR="00B31222" w:rsidRPr="00E13258" w:rsidRDefault="00A90F9B" w:rsidP="00DE5256">
      <w:pPr>
        <w:spacing w:line="360" w:lineRule="auto"/>
        <w:jc w:val="both"/>
        <w:rPr>
          <w:rFonts w:ascii="Palatino Linotype" w:eastAsia="Batang" w:hAnsi="Palatino Linotype" w:cs="Tahoma"/>
          <w:bCs/>
          <w:sz w:val="22"/>
          <w:szCs w:val="22"/>
        </w:rPr>
      </w:pPr>
      <w:r w:rsidRPr="00E13258">
        <w:rPr>
          <w:rFonts w:ascii="Palatino Linotype" w:eastAsia="Batang" w:hAnsi="Palatino Linotype" w:cs="Tahoma"/>
          <w:b/>
          <w:bCs/>
          <w:sz w:val="22"/>
          <w:szCs w:val="22"/>
        </w:rPr>
        <w:t xml:space="preserve">a) </w:t>
      </w:r>
      <w:r w:rsidR="00B31222" w:rsidRPr="00E13258">
        <w:rPr>
          <w:rFonts w:ascii="Palatino Linotype" w:eastAsia="Batang" w:hAnsi="Palatino Linotype" w:cs="Tahoma"/>
          <w:b/>
          <w:bCs/>
          <w:sz w:val="22"/>
          <w:szCs w:val="22"/>
        </w:rPr>
        <w:t xml:space="preserve">Turno del </w:t>
      </w:r>
      <w:r w:rsidR="00C459A9" w:rsidRPr="00E13258">
        <w:rPr>
          <w:rFonts w:ascii="Palatino Linotype" w:hAnsi="Palatino Linotype" w:cs="Tahoma"/>
          <w:b/>
          <w:sz w:val="22"/>
          <w:szCs w:val="22"/>
        </w:rPr>
        <w:t>Recurso de Revisión</w:t>
      </w:r>
      <w:r w:rsidRPr="00E13258">
        <w:rPr>
          <w:rFonts w:ascii="Palatino Linotype" w:eastAsia="Batang" w:hAnsi="Palatino Linotype" w:cs="Tahoma"/>
          <w:b/>
          <w:bCs/>
          <w:sz w:val="22"/>
          <w:szCs w:val="22"/>
        </w:rPr>
        <w:t>.</w:t>
      </w:r>
      <w:r w:rsidR="00A9024A" w:rsidRPr="00E13258">
        <w:rPr>
          <w:rFonts w:ascii="Palatino Linotype" w:eastAsia="Batang" w:hAnsi="Palatino Linotype" w:cs="Tahoma"/>
          <w:b/>
          <w:bCs/>
          <w:sz w:val="22"/>
          <w:szCs w:val="22"/>
        </w:rPr>
        <w:t xml:space="preserve"> </w:t>
      </w:r>
      <w:r w:rsidR="00E573C6" w:rsidRPr="00E13258">
        <w:rPr>
          <w:rFonts w:ascii="Palatino Linotype" w:eastAsia="Batang" w:hAnsi="Palatino Linotype" w:cs="Tahoma"/>
          <w:bCs/>
          <w:sz w:val="22"/>
          <w:szCs w:val="22"/>
        </w:rPr>
        <w:t>Con fecha</w:t>
      </w:r>
      <w:r w:rsidR="00A9024A" w:rsidRPr="00E13258">
        <w:rPr>
          <w:rFonts w:ascii="Palatino Linotype" w:eastAsia="Batang" w:hAnsi="Palatino Linotype" w:cs="Tahoma"/>
          <w:bCs/>
          <w:sz w:val="22"/>
          <w:szCs w:val="22"/>
        </w:rPr>
        <w:t xml:space="preserve"> </w:t>
      </w:r>
      <w:r w:rsidR="003F6E47" w:rsidRPr="00E13258">
        <w:rPr>
          <w:rFonts w:ascii="Palatino Linotype" w:eastAsia="Batang" w:hAnsi="Palatino Linotype" w:cs="Tahoma"/>
          <w:bCs/>
          <w:sz w:val="22"/>
          <w:szCs w:val="22"/>
        </w:rPr>
        <w:t xml:space="preserve">once de febrero </w:t>
      </w:r>
      <w:r w:rsidR="00593A79" w:rsidRPr="00E13258">
        <w:rPr>
          <w:rFonts w:ascii="Palatino Linotype" w:eastAsia="Batang" w:hAnsi="Palatino Linotype" w:cs="Tahoma"/>
          <w:bCs/>
          <w:sz w:val="22"/>
          <w:szCs w:val="22"/>
        </w:rPr>
        <w:t>de dos mil diecinueve</w:t>
      </w:r>
      <w:r w:rsidR="00B31222" w:rsidRPr="00E13258">
        <w:rPr>
          <w:rFonts w:ascii="Palatino Linotype" w:eastAsia="Batang" w:hAnsi="Palatino Linotype" w:cs="Tahoma"/>
          <w:bCs/>
          <w:sz w:val="22"/>
          <w:szCs w:val="22"/>
        </w:rPr>
        <w:t>, e</w:t>
      </w:r>
      <w:r w:rsidR="001F78D9" w:rsidRPr="00E13258">
        <w:rPr>
          <w:rFonts w:ascii="Palatino Linotype" w:eastAsia="Batang" w:hAnsi="Palatino Linotype" w:cs="Tahoma"/>
          <w:bCs/>
          <w:sz w:val="22"/>
          <w:szCs w:val="22"/>
        </w:rPr>
        <w:t>l</w:t>
      </w:r>
      <w:r w:rsidR="00A9024A" w:rsidRPr="00E13258">
        <w:rPr>
          <w:rFonts w:ascii="Palatino Linotype" w:eastAsia="Batang" w:hAnsi="Palatino Linotype" w:cs="Tahoma"/>
          <w:bCs/>
          <w:sz w:val="22"/>
          <w:szCs w:val="22"/>
        </w:rPr>
        <w:t xml:space="preserve"> </w:t>
      </w:r>
      <w:r w:rsidR="001F78D9" w:rsidRPr="00E13258">
        <w:rPr>
          <w:rFonts w:ascii="Palatino Linotype" w:hAnsi="Palatino Linotype" w:cs="Tahoma"/>
          <w:sz w:val="22"/>
          <w:szCs w:val="22"/>
          <w:lang w:val="es-ES"/>
        </w:rPr>
        <w:t>Sistema de Acceso a la Información Mexiquense (SAIMEX),</w:t>
      </w:r>
      <w:r w:rsidR="00B31222" w:rsidRPr="00E13258">
        <w:rPr>
          <w:rFonts w:ascii="Palatino Linotype" w:eastAsia="Batang" w:hAnsi="Palatino Linotype" w:cs="Tahoma"/>
          <w:bCs/>
          <w:sz w:val="22"/>
          <w:szCs w:val="22"/>
        </w:rPr>
        <w:t xml:space="preserve"> asignó </w:t>
      </w:r>
      <w:r w:rsidR="00593A79" w:rsidRPr="00E13258">
        <w:rPr>
          <w:rFonts w:ascii="Palatino Linotype" w:eastAsia="Batang" w:hAnsi="Palatino Linotype" w:cs="Tahoma"/>
          <w:bCs/>
          <w:sz w:val="22"/>
          <w:szCs w:val="22"/>
        </w:rPr>
        <w:t>e</w:t>
      </w:r>
      <w:r w:rsidR="00B31222" w:rsidRPr="00E13258">
        <w:rPr>
          <w:rFonts w:ascii="Palatino Linotype" w:eastAsia="Batang" w:hAnsi="Palatino Linotype" w:cs="Tahoma"/>
          <w:bCs/>
          <w:sz w:val="22"/>
          <w:szCs w:val="22"/>
        </w:rPr>
        <w:t xml:space="preserve">l número de expediente </w:t>
      </w:r>
      <w:r w:rsidR="00A9024A" w:rsidRPr="00E13258">
        <w:rPr>
          <w:rFonts w:ascii="Palatino Linotype" w:eastAsia="Batang" w:hAnsi="Palatino Linotype" w:cs="Tahoma"/>
          <w:b/>
          <w:bCs/>
          <w:sz w:val="22"/>
          <w:szCs w:val="22"/>
        </w:rPr>
        <w:t>0</w:t>
      </w:r>
      <w:r w:rsidR="00593A79" w:rsidRPr="00E13258">
        <w:rPr>
          <w:rFonts w:ascii="Palatino Linotype" w:eastAsia="Batang" w:hAnsi="Palatino Linotype" w:cs="Tahoma"/>
          <w:b/>
          <w:bCs/>
          <w:sz w:val="22"/>
          <w:szCs w:val="22"/>
        </w:rPr>
        <w:t>0</w:t>
      </w:r>
      <w:r w:rsidR="00984F18" w:rsidRPr="00E13258">
        <w:rPr>
          <w:rFonts w:ascii="Palatino Linotype" w:eastAsia="Batang" w:hAnsi="Palatino Linotype" w:cs="Tahoma"/>
          <w:b/>
          <w:bCs/>
          <w:sz w:val="22"/>
          <w:szCs w:val="22"/>
        </w:rPr>
        <w:t>6</w:t>
      </w:r>
      <w:r w:rsidR="003F6E47" w:rsidRPr="00E13258">
        <w:rPr>
          <w:rFonts w:ascii="Palatino Linotype" w:eastAsia="Batang" w:hAnsi="Palatino Linotype" w:cs="Tahoma"/>
          <w:b/>
          <w:bCs/>
          <w:sz w:val="22"/>
          <w:szCs w:val="22"/>
        </w:rPr>
        <w:t>01</w:t>
      </w:r>
      <w:r w:rsidR="00E46195" w:rsidRPr="00E13258">
        <w:rPr>
          <w:rFonts w:ascii="Palatino Linotype" w:eastAsia="Batang" w:hAnsi="Palatino Linotype" w:cs="Tahoma"/>
          <w:b/>
          <w:bCs/>
          <w:sz w:val="22"/>
          <w:szCs w:val="22"/>
        </w:rPr>
        <w:t>/</w:t>
      </w:r>
      <w:r w:rsidR="000313A7" w:rsidRPr="00E13258">
        <w:rPr>
          <w:rFonts w:ascii="Palatino Linotype" w:eastAsia="Batang" w:hAnsi="Palatino Linotype" w:cs="Tahoma"/>
          <w:b/>
          <w:bCs/>
          <w:sz w:val="22"/>
          <w:szCs w:val="22"/>
        </w:rPr>
        <w:t>INFOEM/IP/RR/201</w:t>
      </w:r>
      <w:r w:rsidR="00593A79" w:rsidRPr="00E13258">
        <w:rPr>
          <w:rFonts w:ascii="Palatino Linotype" w:eastAsia="Batang" w:hAnsi="Palatino Linotype" w:cs="Tahoma"/>
          <w:b/>
          <w:bCs/>
          <w:sz w:val="22"/>
          <w:szCs w:val="22"/>
        </w:rPr>
        <w:t>9</w:t>
      </w:r>
      <w:r w:rsidR="00CA39B2" w:rsidRPr="00E13258">
        <w:rPr>
          <w:rFonts w:ascii="Palatino Linotype" w:eastAsia="Batang" w:hAnsi="Palatino Linotype" w:cs="Tahoma"/>
          <w:b/>
          <w:bCs/>
          <w:sz w:val="22"/>
          <w:szCs w:val="22"/>
        </w:rPr>
        <w:t>,</w:t>
      </w:r>
      <w:r w:rsidR="00593A79" w:rsidRPr="00E13258">
        <w:rPr>
          <w:rFonts w:ascii="Palatino Linotype" w:eastAsia="Batang" w:hAnsi="Palatino Linotype" w:cs="Tahoma"/>
          <w:bCs/>
          <w:sz w:val="22"/>
          <w:szCs w:val="22"/>
        </w:rPr>
        <w:t xml:space="preserve"> al medio de impugnación que nos ocupa, con base en el sistema </w:t>
      </w:r>
      <w:r w:rsidR="00593A79" w:rsidRPr="00E13258">
        <w:rPr>
          <w:rFonts w:ascii="Palatino Linotype" w:eastAsia="Batang" w:hAnsi="Palatino Linotype" w:cs="Tahoma"/>
          <w:bCs/>
          <w:sz w:val="22"/>
          <w:szCs w:val="22"/>
        </w:rPr>
        <w:lastRenderedPageBreak/>
        <w:t>aprobado por el Pleno de este Órgano Garante y lo turnó al Comisionado Ponente Luis Gustavo Parra Noriega, para los efectos del artículo 185, fracción I, de la Ley de Transparencia y Acceso a la Información Pública del Estado de México y Municipios.</w:t>
      </w:r>
    </w:p>
    <w:p w14:paraId="4EE8B5AC" w14:textId="77777777" w:rsidR="00593A79" w:rsidRPr="00E13258" w:rsidRDefault="00593A79" w:rsidP="00DE5256">
      <w:pPr>
        <w:spacing w:line="360" w:lineRule="auto"/>
        <w:jc w:val="both"/>
        <w:rPr>
          <w:rFonts w:ascii="Palatino Linotype" w:eastAsia="Batang" w:hAnsi="Palatino Linotype" w:cs="Tahoma"/>
          <w:b/>
          <w:bCs/>
          <w:sz w:val="22"/>
          <w:szCs w:val="22"/>
        </w:rPr>
      </w:pPr>
    </w:p>
    <w:p w14:paraId="508E6405" w14:textId="77777777" w:rsidR="00257903" w:rsidRPr="00E13258" w:rsidRDefault="00625DFB" w:rsidP="00DE5256">
      <w:pPr>
        <w:spacing w:line="360" w:lineRule="auto"/>
        <w:jc w:val="both"/>
        <w:rPr>
          <w:rFonts w:ascii="Palatino Linotype" w:eastAsia="Calibri" w:hAnsi="Palatino Linotype" w:cs="Tahoma"/>
          <w:sz w:val="22"/>
          <w:szCs w:val="22"/>
          <w:lang w:eastAsia="en-US"/>
        </w:rPr>
      </w:pPr>
      <w:r w:rsidRPr="00E13258">
        <w:rPr>
          <w:rFonts w:ascii="Palatino Linotype" w:eastAsia="Batang" w:hAnsi="Palatino Linotype" w:cs="Tahoma"/>
          <w:b/>
          <w:bCs/>
          <w:sz w:val="22"/>
          <w:szCs w:val="22"/>
        </w:rPr>
        <w:t>b</w:t>
      </w:r>
      <w:r w:rsidR="009F46DC" w:rsidRPr="00E13258">
        <w:rPr>
          <w:rFonts w:ascii="Palatino Linotype" w:eastAsia="Batang" w:hAnsi="Palatino Linotype" w:cs="Tahoma"/>
          <w:b/>
          <w:bCs/>
          <w:sz w:val="22"/>
          <w:szCs w:val="22"/>
        </w:rPr>
        <w:t xml:space="preserve">) </w:t>
      </w:r>
      <w:r w:rsidR="00B31222" w:rsidRPr="00E13258">
        <w:rPr>
          <w:rFonts w:ascii="Palatino Linotype" w:eastAsia="Batang" w:hAnsi="Palatino Linotype" w:cs="Tahoma"/>
          <w:b/>
          <w:bCs/>
          <w:sz w:val="22"/>
          <w:szCs w:val="22"/>
        </w:rPr>
        <w:t xml:space="preserve">Admisión del </w:t>
      </w:r>
      <w:r w:rsidR="00C459A9" w:rsidRPr="00E13258">
        <w:rPr>
          <w:rFonts w:ascii="Palatino Linotype" w:hAnsi="Palatino Linotype" w:cs="Tahoma"/>
          <w:b/>
          <w:sz w:val="22"/>
          <w:szCs w:val="22"/>
        </w:rPr>
        <w:t>Recurso de Revisión</w:t>
      </w:r>
      <w:r w:rsidR="00B31222" w:rsidRPr="00E13258">
        <w:rPr>
          <w:rFonts w:ascii="Palatino Linotype" w:eastAsia="Batang" w:hAnsi="Palatino Linotype" w:cs="Tahoma"/>
          <w:b/>
          <w:bCs/>
          <w:sz w:val="22"/>
          <w:szCs w:val="22"/>
          <w:lang w:val="es-ES_tradnl"/>
        </w:rPr>
        <w:t xml:space="preserve">. </w:t>
      </w:r>
      <w:r w:rsidR="00E573C6" w:rsidRPr="00E13258">
        <w:rPr>
          <w:rFonts w:ascii="Palatino Linotype" w:eastAsia="Batang" w:hAnsi="Palatino Linotype" w:cs="Tahoma"/>
          <w:bCs/>
          <w:sz w:val="22"/>
          <w:szCs w:val="22"/>
          <w:lang w:val="es-ES_tradnl"/>
        </w:rPr>
        <w:t>Con fecha</w:t>
      </w:r>
      <w:r w:rsidR="00A9024A" w:rsidRPr="00E13258">
        <w:rPr>
          <w:rFonts w:ascii="Palatino Linotype" w:eastAsia="Batang" w:hAnsi="Palatino Linotype" w:cs="Tahoma"/>
          <w:bCs/>
          <w:sz w:val="22"/>
          <w:szCs w:val="22"/>
          <w:lang w:val="es-ES_tradnl"/>
        </w:rPr>
        <w:t xml:space="preserve"> </w:t>
      </w:r>
      <w:r w:rsidR="003F6E47" w:rsidRPr="00E13258">
        <w:rPr>
          <w:rFonts w:ascii="Palatino Linotype" w:eastAsia="Batang" w:hAnsi="Palatino Linotype" w:cs="Tahoma"/>
          <w:bCs/>
          <w:sz w:val="22"/>
          <w:szCs w:val="22"/>
          <w:lang w:val="es-ES_tradnl"/>
        </w:rPr>
        <w:t xml:space="preserve">quince </w:t>
      </w:r>
      <w:r w:rsidR="007C76D2" w:rsidRPr="00E13258">
        <w:rPr>
          <w:rFonts w:ascii="Palatino Linotype" w:eastAsia="Batang" w:hAnsi="Palatino Linotype" w:cs="Tahoma"/>
          <w:bCs/>
          <w:sz w:val="22"/>
          <w:szCs w:val="22"/>
          <w:lang w:val="es-ES_tradnl"/>
        </w:rPr>
        <w:t xml:space="preserve">de febrero </w:t>
      </w:r>
      <w:r w:rsidR="00593A79" w:rsidRPr="00E13258">
        <w:rPr>
          <w:rFonts w:ascii="Palatino Linotype" w:eastAsia="Batang" w:hAnsi="Palatino Linotype" w:cs="Tahoma"/>
          <w:bCs/>
          <w:sz w:val="22"/>
          <w:szCs w:val="22"/>
          <w:lang w:val="es-ES_tradnl"/>
        </w:rPr>
        <w:t>de dos mil diecinueve</w:t>
      </w:r>
      <w:r w:rsidR="00B31222" w:rsidRPr="00E13258">
        <w:rPr>
          <w:rFonts w:ascii="Palatino Linotype" w:eastAsia="Batang" w:hAnsi="Palatino Linotype" w:cs="Tahoma"/>
          <w:bCs/>
          <w:sz w:val="22"/>
          <w:szCs w:val="22"/>
          <w:lang w:val="es-ES_tradnl"/>
        </w:rPr>
        <w:t xml:space="preserve">, </w:t>
      </w:r>
      <w:r w:rsidR="009F46DC" w:rsidRPr="00E13258">
        <w:rPr>
          <w:rFonts w:ascii="Palatino Linotype" w:hAnsi="Palatino Linotype" w:cs="Tahoma"/>
          <w:sz w:val="22"/>
          <w:szCs w:val="22"/>
        </w:rPr>
        <w:t>se</w:t>
      </w:r>
      <w:r w:rsidR="00A9024A" w:rsidRPr="00E13258">
        <w:rPr>
          <w:rFonts w:ascii="Palatino Linotype" w:hAnsi="Palatino Linotype" w:cs="Tahoma"/>
          <w:sz w:val="22"/>
          <w:szCs w:val="22"/>
        </w:rPr>
        <w:t xml:space="preserve"> </w:t>
      </w:r>
      <w:r w:rsidR="009F46DC" w:rsidRPr="00E13258">
        <w:rPr>
          <w:rFonts w:ascii="Palatino Linotype" w:eastAsia="Calibri" w:hAnsi="Palatino Linotype" w:cs="Tahoma"/>
          <w:sz w:val="22"/>
          <w:szCs w:val="22"/>
          <w:lang w:eastAsia="en-US"/>
        </w:rPr>
        <w:t xml:space="preserve">acordó la admisión </w:t>
      </w:r>
      <w:r w:rsidR="00593A79" w:rsidRPr="00E13258">
        <w:rPr>
          <w:rFonts w:ascii="Palatino Linotype" w:eastAsia="Calibri" w:hAnsi="Palatino Linotype" w:cs="Tahoma"/>
          <w:sz w:val="22"/>
          <w:szCs w:val="22"/>
          <w:lang w:eastAsia="en-US"/>
        </w:rPr>
        <w:t>del Recurso de Revisión interpuesto por el Recurrente en contra de</w:t>
      </w:r>
      <w:r w:rsidR="007C76D2" w:rsidRPr="00E13258">
        <w:rPr>
          <w:rFonts w:ascii="Palatino Linotype" w:eastAsia="Calibri" w:hAnsi="Palatino Linotype" w:cs="Tahoma"/>
          <w:sz w:val="22"/>
          <w:szCs w:val="22"/>
          <w:lang w:eastAsia="en-US"/>
        </w:rPr>
        <w:t>l</w:t>
      </w:r>
      <w:r w:rsidR="00593A79" w:rsidRPr="00E13258">
        <w:rPr>
          <w:rFonts w:ascii="Palatino Linotype" w:eastAsia="Calibri" w:hAnsi="Palatino Linotype" w:cs="Tahoma"/>
          <w:sz w:val="22"/>
          <w:szCs w:val="22"/>
          <w:lang w:eastAsia="en-US"/>
        </w:rPr>
        <w:t xml:space="preserve"> </w:t>
      </w:r>
      <w:r w:rsidR="003F6E47" w:rsidRPr="00E13258">
        <w:rPr>
          <w:rFonts w:ascii="Palatino Linotype" w:eastAsia="Calibri" w:hAnsi="Palatino Linotype" w:cs="Tahoma"/>
          <w:sz w:val="22"/>
          <w:szCs w:val="22"/>
          <w:lang w:eastAsia="en-US"/>
        </w:rPr>
        <w:t>Ayuntamiento de Tlalnepantla de Baz</w:t>
      </w:r>
      <w:r w:rsidR="00593A79" w:rsidRPr="00E13258">
        <w:rPr>
          <w:rFonts w:ascii="Palatino Linotype" w:eastAsia="Calibri" w:hAnsi="Palatino Linotype" w:cs="Tahoma"/>
          <w:sz w:val="22"/>
          <w:szCs w:val="22"/>
          <w:lang w:eastAsia="en-US"/>
        </w:rPr>
        <w:t>, la integración del expediente y su puesta a disposición de las partes, en términos del artículo 185, fracciones I y II, de la Ley de Transparencia y Acceso a la Información Pública del Estado de México y Municipios; acto que fue notificado el mismo día, a través del Sistema de Acceso a la Información Mexiquense (SAIMEX)</w:t>
      </w:r>
      <w:r w:rsidR="002E75A1" w:rsidRPr="00E13258">
        <w:rPr>
          <w:rFonts w:ascii="Palatino Linotype" w:eastAsia="Calibri" w:hAnsi="Palatino Linotype" w:cs="Tahoma"/>
          <w:sz w:val="22"/>
          <w:szCs w:val="22"/>
          <w:lang w:eastAsia="en-US"/>
        </w:rPr>
        <w:t xml:space="preserve"> y</w:t>
      </w:r>
      <w:r w:rsidR="00593A79" w:rsidRPr="00E13258">
        <w:rPr>
          <w:rFonts w:ascii="Palatino Linotype" w:eastAsia="Calibri" w:hAnsi="Palatino Linotype" w:cs="Tahoma"/>
          <w:sz w:val="22"/>
          <w:szCs w:val="22"/>
          <w:lang w:eastAsia="en-US"/>
        </w:rPr>
        <w:t>,</w:t>
      </w:r>
      <w:r w:rsidR="002E75A1" w:rsidRPr="00E13258">
        <w:rPr>
          <w:rFonts w:ascii="Palatino Linotype" w:eastAsia="Calibri" w:hAnsi="Palatino Linotype" w:cs="Tahoma"/>
          <w:sz w:val="22"/>
          <w:szCs w:val="22"/>
          <w:lang w:eastAsia="en-US"/>
        </w:rPr>
        <w:t xml:space="preserve"> se les </w:t>
      </w:r>
      <w:r w:rsidR="00593A79" w:rsidRPr="00E13258">
        <w:rPr>
          <w:rFonts w:ascii="Palatino Linotype" w:eastAsia="Calibri" w:hAnsi="Palatino Linotype" w:cs="Tahoma"/>
          <w:sz w:val="22"/>
          <w:szCs w:val="22"/>
          <w:lang w:eastAsia="en-US"/>
        </w:rPr>
        <w:t>otorg</w:t>
      </w:r>
      <w:r w:rsidR="002E75A1" w:rsidRPr="00E13258">
        <w:rPr>
          <w:rFonts w:ascii="Palatino Linotype" w:eastAsia="Calibri" w:hAnsi="Palatino Linotype" w:cs="Tahoma"/>
          <w:sz w:val="22"/>
          <w:szCs w:val="22"/>
          <w:lang w:eastAsia="en-US"/>
        </w:rPr>
        <w:t>ó</w:t>
      </w:r>
      <w:r w:rsidR="00593A79" w:rsidRPr="00E13258">
        <w:rPr>
          <w:rFonts w:ascii="Palatino Linotype" w:eastAsia="Calibri" w:hAnsi="Palatino Linotype" w:cs="Tahoma"/>
          <w:sz w:val="22"/>
          <w:szCs w:val="22"/>
          <w:lang w:eastAsia="en-US"/>
        </w:rPr>
        <w:t xml:space="preserve"> un plazo de siete días hábiles posteriores a dicha </w:t>
      </w:r>
      <w:r w:rsidR="003916E4" w:rsidRPr="00E13258">
        <w:rPr>
          <w:rFonts w:ascii="Palatino Linotype" w:eastAsia="Calibri" w:hAnsi="Palatino Linotype" w:cs="Tahoma"/>
          <w:sz w:val="22"/>
          <w:szCs w:val="22"/>
          <w:lang w:eastAsia="en-US"/>
        </w:rPr>
        <w:t xml:space="preserve">notificación </w:t>
      </w:r>
      <w:r w:rsidR="00593A79" w:rsidRPr="00E13258">
        <w:rPr>
          <w:rFonts w:ascii="Palatino Linotype" w:eastAsia="Calibri" w:hAnsi="Palatino Linotype" w:cs="Tahoma"/>
          <w:sz w:val="22"/>
          <w:szCs w:val="22"/>
          <w:lang w:eastAsia="en-US"/>
        </w:rPr>
        <w:t>para que manifestaran lo que a su derecho conviniera y formularan alegatos, en términos del artículo 185, fracción IV, de la Ley de Transparencia y Acceso a la Información Pública del Estado de México y Municipios.</w:t>
      </w:r>
    </w:p>
    <w:p w14:paraId="019FFA2C" w14:textId="77777777" w:rsidR="00593A79" w:rsidRPr="00E13258" w:rsidRDefault="00593A79" w:rsidP="00DE5256">
      <w:pPr>
        <w:spacing w:line="360" w:lineRule="auto"/>
        <w:jc w:val="both"/>
        <w:rPr>
          <w:rFonts w:ascii="Palatino Linotype" w:hAnsi="Palatino Linotype" w:cs="Tahoma"/>
          <w:bCs/>
          <w:sz w:val="22"/>
          <w:szCs w:val="22"/>
        </w:rPr>
      </w:pPr>
    </w:p>
    <w:p w14:paraId="714D221A" w14:textId="77777777" w:rsidR="007C4BDC" w:rsidRPr="00E13258" w:rsidRDefault="00E46195" w:rsidP="00DE5256">
      <w:pPr>
        <w:spacing w:line="360" w:lineRule="auto"/>
        <w:jc w:val="both"/>
        <w:rPr>
          <w:rFonts w:ascii="Palatino Linotype" w:hAnsi="Palatino Linotype" w:cs="Tahoma"/>
          <w:bCs/>
          <w:iCs/>
          <w:sz w:val="22"/>
          <w:szCs w:val="22"/>
          <w:lang w:val="es-ES_tradnl"/>
        </w:rPr>
      </w:pPr>
      <w:r w:rsidRPr="00E13258">
        <w:rPr>
          <w:rFonts w:ascii="Palatino Linotype" w:hAnsi="Palatino Linotype" w:cs="Tahoma"/>
          <w:b/>
          <w:bCs/>
          <w:sz w:val="22"/>
          <w:szCs w:val="22"/>
        </w:rPr>
        <w:t>c</w:t>
      </w:r>
      <w:r w:rsidR="00A13D97" w:rsidRPr="00E13258">
        <w:rPr>
          <w:rFonts w:ascii="Palatino Linotype" w:hAnsi="Palatino Linotype" w:cs="Tahoma"/>
          <w:b/>
          <w:sz w:val="22"/>
          <w:szCs w:val="22"/>
        </w:rPr>
        <w:t>)</w:t>
      </w:r>
      <w:r w:rsidR="00A13D97" w:rsidRPr="00E13258">
        <w:rPr>
          <w:rFonts w:ascii="Palatino Linotype" w:hAnsi="Palatino Linotype" w:cs="Tahoma"/>
          <w:sz w:val="22"/>
          <w:szCs w:val="22"/>
        </w:rPr>
        <w:t xml:space="preserve"> </w:t>
      </w:r>
      <w:r w:rsidR="00A13D97" w:rsidRPr="00E13258">
        <w:rPr>
          <w:rFonts w:ascii="Palatino Linotype" w:hAnsi="Palatino Linotype" w:cs="Tahoma"/>
          <w:b/>
          <w:bCs/>
          <w:sz w:val="22"/>
          <w:szCs w:val="22"/>
        </w:rPr>
        <w:t>Informe Justificado.</w:t>
      </w:r>
      <w:r w:rsidR="00A13D97" w:rsidRPr="00E13258">
        <w:rPr>
          <w:rFonts w:ascii="Palatino Linotype" w:hAnsi="Palatino Linotype" w:cs="Tahoma"/>
          <w:bCs/>
          <w:sz w:val="22"/>
          <w:szCs w:val="22"/>
        </w:rPr>
        <w:t xml:space="preserve"> </w:t>
      </w:r>
      <w:r w:rsidR="00A13D97" w:rsidRPr="00E13258">
        <w:rPr>
          <w:rFonts w:ascii="Palatino Linotype" w:hAnsi="Palatino Linotype" w:cs="Tahoma"/>
          <w:bCs/>
          <w:sz w:val="22"/>
          <w:szCs w:val="22"/>
          <w:lang w:val="es-ES_tradnl"/>
        </w:rPr>
        <w:t xml:space="preserve">El </w:t>
      </w:r>
      <w:r w:rsidR="003F6E47" w:rsidRPr="00E13258">
        <w:rPr>
          <w:rFonts w:ascii="Palatino Linotype" w:hAnsi="Palatino Linotype" w:cs="Tahoma"/>
          <w:bCs/>
          <w:sz w:val="22"/>
          <w:szCs w:val="22"/>
          <w:lang w:val="es-ES_tradnl"/>
        </w:rPr>
        <w:t>die</w:t>
      </w:r>
      <w:r w:rsidR="008B17AB" w:rsidRPr="00E13258">
        <w:rPr>
          <w:rFonts w:ascii="Palatino Linotype" w:hAnsi="Palatino Linotype" w:cs="Tahoma"/>
          <w:bCs/>
          <w:sz w:val="22"/>
          <w:szCs w:val="22"/>
          <w:lang w:val="es-ES_tradnl"/>
        </w:rPr>
        <w:t xml:space="preserve">ciocho </w:t>
      </w:r>
      <w:r w:rsidR="007C76D2" w:rsidRPr="00E13258">
        <w:rPr>
          <w:rFonts w:ascii="Palatino Linotype" w:hAnsi="Palatino Linotype" w:cs="Tahoma"/>
          <w:bCs/>
          <w:sz w:val="22"/>
          <w:szCs w:val="22"/>
          <w:lang w:val="es-ES_tradnl"/>
        </w:rPr>
        <w:t xml:space="preserve">de febrero </w:t>
      </w:r>
      <w:r w:rsidR="00A13D97" w:rsidRPr="00E13258">
        <w:rPr>
          <w:rFonts w:ascii="Palatino Linotype" w:hAnsi="Palatino Linotype" w:cs="Tahoma"/>
          <w:bCs/>
          <w:sz w:val="22"/>
          <w:szCs w:val="22"/>
          <w:lang w:val="es-ES_tradnl"/>
        </w:rPr>
        <w:t>de dos mil dieci</w:t>
      </w:r>
      <w:r w:rsidR="00BA1A16" w:rsidRPr="00E13258">
        <w:rPr>
          <w:rFonts w:ascii="Palatino Linotype" w:hAnsi="Palatino Linotype" w:cs="Tahoma"/>
          <w:bCs/>
          <w:sz w:val="22"/>
          <w:szCs w:val="22"/>
          <w:lang w:val="es-ES_tradnl"/>
        </w:rPr>
        <w:t>nueve</w:t>
      </w:r>
      <w:r w:rsidR="00A13D97" w:rsidRPr="00E13258">
        <w:rPr>
          <w:rFonts w:ascii="Palatino Linotype" w:hAnsi="Palatino Linotype" w:cs="Tahoma"/>
          <w:bCs/>
          <w:sz w:val="22"/>
          <w:szCs w:val="22"/>
          <w:lang w:val="es-ES_tradnl"/>
        </w:rPr>
        <w:t xml:space="preserve">, </w:t>
      </w:r>
      <w:r w:rsidR="007C4BDC" w:rsidRPr="00E13258">
        <w:rPr>
          <w:rFonts w:ascii="Palatino Linotype" w:hAnsi="Palatino Linotype" w:cs="Tahoma"/>
          <w:sz w:val="22"/>
          <w:szCs w:val="22"/>
        </w:rPr>
        <w:t xml:space="preserve">se recibió a través del Sistema de Acceso a la Información Mexiquense (SAIMEX), </w:t>
      </w:r>
      <w:r w:rsidR="007C4BDC" w:rsidRPr="00E13258">
        <w:rPr>
          <w:rFonts w:ascii="Palatino Linotype" w:hAnsi="Palatino Linotype" w:cs="Tahoma"/>
          <w:bCs/>
          <w:iCs/>
          <w:sz w:val="22"/>
          <w:szCs w:val="22"/>
        </w:rPr>
        <w:t xml:space="preserve">el Informe Justificado </w:t>
      </w:r>
      <w:r w:rsidR="007C4BDC" w:rsidRPr="00E13258">
        <w:rPr>
          <w:rFonts w:ascii="Palatino Linotype" w:hAnsi="Palatino Linotype" w:cs="Tahoma"/>
          <w:bCs/>
          <w:iCs/>
          <w:sz w:val="22"/>
          <w:szCs w:val="22"/>
          <w:lang w:val="es-ES"/>
        </w:rPr>
        <w:t xml:space="preserve">emitido por la Unidad de Transparencia </w:t>
      </w:r>
      <w:r w:rsidR="007C76D2" w:rsidRPr="00E13258">
        <w:rPr>
          <w:rFonts w:ascii="Palatino Linotype" w:hAnsi="Palatino Linotype" w:cs="Tahoma"/>
          <w:bCs/>
          <w:iCs/>
          <w:sz w:val="22"/>
          <w:szCs w:val="22"/>
          <w:lang w:val="es-ES"/>
        </w:rPr>
        <w:t xml:space="preserve">del </w:t>
      </w:r>
      <w:r w:rsidR="00487AE9" w:rsidRPr="00E13258">
        <w:rPr>
          <w:rFonts w:ascii="Palatino Linotype" w:hAnsi="Palatino Linotype" w:cs="Tahoma"/>
          <w:bCs/>
          <w:iCs/>
          <w:sz w:val="22"/>
          <w:szCs w:val="22"/>
          <w:lang w:val="es-ES"/>
        </w:rPr>
        <w:t>Ayuntamiento</w:t>
      </w:r>
      <w:r w:rsidR="007C76D2" w:rsidRPr="00E13258">
        <w:rPr>
          <w:rFonts w:ascii="Palatino Linotype" w:hAnsi="Palatino Linotype" w:cs="Tahoma"/>
          <w:bCs/>
          <w:iCs/>
          <w:sz w:val="22"/>
          <w:szCs w:val="22"/>
          <w:lang w:val="es-ES"/>
        </w:rPr>
        <w:t xml:space="preserve"> de </w:t>
      </w:r>
      <w:r w:rsidR="008B17AB" w:rsidRPr="00E13258">
        <w:rPr>
          <w:rFonts w:ascii="Palatino Linotype" w:hAnsi="Palatino Linotype" w:cs="Tahoma"/>
          <w:bCs/>
          <w:iCs/>
          <w:sz w:val="22"/>
          <w:szCs w:val="22"/>
          <w:lang w:val="es-ES"/>
        </w:rPr>
        <w:t>Tlalnepantla de Baz</w:t>
      </w:r>
      <w:r w:rsidR="007C4BDC" w:rsidRPr="00E13258">
        <w:rPr>
          <w:rFonts w:ascii="Palatino Linotype" w:hAnsi="Palatino Linotype" w:cs="Tahoma"/>
          <w:sz w:val="22"/>
          <w:szCs w:val="22"/>
          <w:lang w:val="es-ES"/>
        </w:rPr>
        <w:t xml:space="preserve">, en el cual </w:t>
      </w:r>
      <w:r w:rsidR="00C753AA" w:rsidRPr="00E13258">
        <w:rPr>
          <w:rFonts w:ascii="Palatino Linotype" w:hAnsi="Palatino Linotype" w:cs="Tahoma"/>
          <w:sz w:val="22"/>
          <w:szCs w:val="22"/>
          <w:lang w:val="es-ES"/>
        </w:rPr>
        <w:t xml:space="preserve">adjunto el archivo identificado como </w:t>
      </w:r>
      <w:r w:rsidR="00C753AA" w:rsidRPr="00E13258">
        <w:rPr>
          <w:rFonts w:ascii="Palatino Linotype" w:hAnsi="Palatino Linotype" w:cs="Tahoma"/>
          <w:b/>
          <w:sz w:val="22"/>
          <w:szCs w:val="22"/>
          <w:lang w:val="es-ES"/>
        </w:rPr>
        <w:t>Informe de Justificación 00336-00050.pdf</w:t>
      </w:r>
      <w:r w:rsidR="00C753AA" w:rsidRPr="00E13258">
        <w:rPr>
          <w:rFonts w:ascii="Palatino Linotype" w:hAnsi="Palatino Linotype" w:cs="Tahoma"/>
          <w:sz w:val="22"/>
          <w:szCs w:val="22"/>
          <w:lang w:val="es-ES"/>
        </w:rPr>
        <w:t xml:space="preserve"> en el que </w:t>
      </w:r>
      <w:r w:rsidR="00A9748C" w:rsidRPr="00E13258">
        <w:rPr>
          <w:rFonts w:ascii="Palatino Linotype" w:hAnsi="Palatino Linotype" w:cs="Tahoma"/>
          <w:sz w:val="22"/>
          <w:szCs w:val="22"/>
          <w:lang w:val="es-ES"/>
        </w:rPr>
        <w:t xml:space="preserve">en su parte medular </w:t>
      </w:r>
      <w:r w:rsidR="00BA454D" w:rsidRPr="00E13258">
        <w:rPr>
          <w:rFonts w:ascii="Palatino Linotype" w:hAnsi="Palatino Linotype" w:cs="Tahoma"/>
          <w:sz w:val="22"/>
          <w:szCs w:val="22"/>
          <w:lang w:val="es-ES"/>
        </w:rPr>
        <w:t>señaló</w:t>
      </w:r>
      <w:r w:rsidR="00BA454D" w:rsidRPr="00E13258">
        <w:rPr>
          <w:rFonts w:ascii="Palatino Linotype" w:hAnsi="Palatino Linotype" w:cs="Tahoma"/>
          <w:bCs/>
          <w:iCs/>
          <w:sz w:val="22"/>
          <w:szCs w:val="22"/>
          <w:lang w:val="es-ES_tradnl"/>
        </w:rPr>
        <w:t xml:space="preserve"> </w:t>
      </w:r>
      <w:r w:rsidR="007C4BDC" w:rsidRPr="00E13258">
        <w:rPr>
          <w:rFonts w:ascii="Palatino Linotype" w:hAnsi="Palatino Linotype" w:cs="Tahoma"/>
          <w:bCs/>
          <w:iCs/>
          <w:sz w:val="22"/>
          <w:szCs w:val="22"/>
          <w:lang w:val="es-ES_tradnl"/>
        </w:rPr>
        <w:t>lo siguiente:</w:t>
      </w:r>
    </w:p>
    <w:p w14:paraId="37224186" w14:textId="77777777" w:rsidR="00BA1A16" w:rsidRPr="00E13258" w:rsidRDefault="00BA1A16" w:rsidP="00DE5256">
      <w:pPr>
        <w:spacing w:line="360" w:lineRule="auto"/>
        <w:jc w:val="both"/>
        <w:rPr>
          <w:rFonts w:ascii="Palatino Linotype" w:hAnsi="Palatino Linotype" w:cs="Tahoma"/>
          <w:b/>
          <w:sz w:val="18"/>
          <w:szCs w:val="22"/>
        </w:rPr>
      </w:pPr>
    </w:p>
    <w:p w14:paraId="38387D48" w14:textId="77777777" w:rsidR="00487AE9" w:rsidRPr="00E13258" w:rsidRDefault="000C0C9E" w:rsidP="00DE5256">
      <w:pPr>
        <w:spacing w:line="360" w:lineRule="auto"/>
        <w:ind w:left="567" w:right="539"/>
        <w:jc w:val="both"/>
        <w:rPr>
          <w:rFonts w:ascii="Palatino Linotype" w:hAnsi="Palatino Linotype" w:cs="Tahoma"/>
          <w:b/>
        </w:rPr>
      </w:pPr>
      <w:r w:rsidRPr="00E13258">
        <w:rPr>
          <w:rFonts w:ascii="Palatino Linotype" w:hAnsi="Palatino Linotype" w:cs="Tahoma"/>
          <w:b/>
        </w:rPr>
        <w:t>“…</w:t>
      </w:r>
    </w:p>
    <w:p w14:paraId="6A2B178F" w14:textId="77777777" w:rsidR="002E287D" w:rsidRPr="00E13258" w:rsidRDefault="008B17AB" w:rsidP="00DE5256">
      <w:pPr>
        <w:spacing w:line="360" w:lineRule="auto"/>
        <w:ind w:left="567" w:right="539"/>
        <w:jc w:val="both"/>
        <w:rPr>
          <w:rFonts w:ascii="Palatino Linotype" w:hAnsi="Palatino Linotype" w:cs="Tahoma"/>
        </w:rPr>
      </w:pPr>
      <w:r w:rsidRPr="00E13258">
        <w:rPr>
          <w:rFonts w:ascii="Palatino Linotype" w:hAnsi="Palatino Linotype" w:cs="Tahoma"/>
        </w:rPr>
        <w:t xml:space="preserve">En esa tesitura, queda en evidencia que se justificó la imposibilidad de la entrega de la información bajo la modalidad elegida por el solicitante anexando los oficios </w:t>
      </w:r>
      <w:r w:rsidRPr="00E13258">
        <w:rPr>
          <w:rFonts w:ascii="Palatino Linotype" w:hAnsi="Palatino Linotype" w:cs="Tahoma"/>
          <w:i/>
        </w:rPr>
        <w:t>No INFOEM/DI/090/2019 emitido por la Directora de Informática del Instituto de Transparencia, acceso a la Información Pública y Protección de Catos Personales del Estado de México y Municipios</w:t>
      </w:r>
      <w:r w:rsidR="002E287D" w:rsidRPr="00E13258">
        <w:rPr>
          <w:rFonts w:ascii="Palatino Linotype" w:hAnsi="Palatino Linotype" w:cs="Tahoma"/>
          <w:i/>
        </w:rPr>
        <w:t xml:space="preserve"> y oficio No TM/00434/2019 de fecha 5 de febrero del presente año, </w:t>
      </w:r>
      <w:r w:rsidR="002E287D" w:rsidRPr="00E13258">
        <w:rPr>
          <w:rFonts w:ascii="Palatino Linotype" w:hAnsi="Palatino Linotype" w:cs="Tahoma"/>
        </w:rPr>
        <w:t xml:space="preserve">de los cuales se advierte la imposibilidad técnica para la carga de la información; asimismo se le notificó al solicitante </w:t>
      </w:r>
      <w:r w:rsidR="002E287D" w:rsidRPr="00E13258">
        <w:rPr>
          <w:rFonts w:ascii="Palatino Linotype" w:hAnsi="Palatino Linotype" w:cs="Tahoma"/>
        </w:rPr>
        <w:lastRenderedPageBreak/>
        <w:t>que la información se encontraba disponible en el domicilio de la Unidad de transparencia en CD, rediciendo con ello los costos, en virtud de la cantidad de información requerida.</w:t>
      </w:r>
    </w:p>
    <w:p w14:paraId="1233B214" w14:textId="77777777" w:rsidR="002E287D" w:rsidRPr="00E13258" w:rsidRDefault="002E287D" w:rsidP="00DE5256">
      <w:pPr>
        <w:spacing w:line="360" w:lineRule="auto"/>
        <w:ind w:left="567" w:right="539"/>
        <w:jc w:val="both"/>
        <w:rPr>
          <w:rFonts w:ascii="Palatino Linotype" w:hAnsi="Palatino Linotype" w:cs="Tahoma"/>
        </w:rPr>
      </w:pPr>
    </w:p>
    <w:p w14:paraId="644356AC" w14:textId="77777777" w:rsidR="002E287D" w:rsidRPr="00E13258" w:rsidRDefault="002E287D" w:rsidP="00DE5256">
      <w:pPr>
        <w:spacing w:line="360" w:lineRule="auto"/>
        <w:ind w:left="567" w:right="539"/>
        <w:jc w:val="both"/>
        <w:rPr>
          <w:rFonts w:ascii="Palatino Linotype" w:hAnsi="Palatino Linotype" w:cs="Tahoma"/>
        </w:rPr>
      </w:pPr>
      <w:r w:rsidRPr="00E13258">
        <w:rPr>
          <w:rFonts w:ascii="Palatino Linotype" w:hAnsi="Palatino Linotype" w:cs="Tahoma"/>
        </w:rPr>
        <w:t>Por todo lo anteriormente expuesto, solicito en términos del artículo 186 fracción I de la Ley de transparencia y Acceso a la Información Pública del Estado de México y Municipios, el sobreseimiento del presente recurso de revisión, atendiendo a las consideraciones de hecho y de derecho ante expuestas; mediante el cual se ratifica o rectifica en su caso, la respuesta inicialmente dada al peticionario lo que se hace de su conocimiento para los efectos legales a que haya lugar.</w:t>
      </w:r>
    </w:p>
    <w:p w14:paraId="0660E12D" w14:textId="77777777" w:rsidR="00487AE9" w:rsidRPr="00E13258" w:rsidRDefault="002E287D" w:rsidP="00DE5256">
      <w:pPr>
        <w:spacing w:line="360" w:lineRule="auto"/>
        <w:ind w:left="567" w:right="539"/>
        <w:jc w:val="both"/>
        <w:rPr>
          <w:rFonts w:ascii="Palatino Linotype" w:hAnsi="Palatino Linotype" w:cs="Tahoma"/>
          <w:i/>
        </w:rPr>
      </w:pPr>
      <w:r w:rsidRPr="00E13258">
        <w:rPr>
          <w:rFonts w:ascii="Palatino Linotype" w:hAnsi="Palatino Linotype" w:cs="Tahoma"/>
        </w:rPr>
        <w:t>…”</w:t>
      </w:r>
      <w:r w:rsidR="008B17AB" w:rsidRPr="00E13258">
        <w:rPr>
          <w:rFonts w:ascii="Palatino Linotype" w:hAnsi="Palatino Linotype" w:cs="Tahoma"/>
          <w:i/>
        </w:rPr>
        <w:t xml:space="preserve"> </w:t>
      </w:r>
    </w:p>
    <w:p w14:paraId="4DAB22E9" w14:textId="77777777" w:rsidR="00487AE9" w:rsidRPr="00E13258" w:rsidRDefault="00487AE9" w:rsidP="00DE5256">
      <w:pPr>
        <w:spacing w:line="360" w:lineRule="auto"/>
        <w:ind w:left="567" w:right="539"/>
        <w:jc w:val="both"/>
        <w:rPr>
          <w:rFonts w:ascii="Palatino Linotype" w:hAnsi="Palatino Linotype" w:cs="Tahoma"/>
        </w:rPr>
      </w:pPr>
    </w:p>
    <w:p w14:paraId="39671AE3" w14:textId="77777777" w:rsidR="00487AE9" w:rsidRPr="00E13258" w:rsidRDefault="00487AE9" w:rsidP="00DE5256">
      <w:pPr>
        <w:spacing w:line="360" w:lineRule="auto"/>
        <w:ind w:left="567" w:right="539"/>
        <w:jc w:val="both"/>
        <w:rPr>
          <w:rFonts w:ascii="Palatino Linotype" w:hAnsi="Palatino Linotype" w:cs="Tahoma"/>
        </w:rPr>
      </w:pPr>
      <w:r w:rsidRPr="00E13258">
        <w:rPr>
          <w:rFonts w:ascii="Palatino Linotype" w:hAnsi="Palatino Linotype" w:cs="Tahoma"/>
        </w:rPr>
        <w:t>Así mismo como complemento a la información solicitada, se anexa el oficio número DB/EJ/495/2019, emitido por la Dirección de Bienestar.</w:t>
      </w:r>
    </w:p>
    <w:p w14:paraId="437F52ED" w14:textId="77777777" w:rsidR="00DF12BC" w:rsidRPr="00E13258" w:rsidRDefault="00DF12BC" w:rsidP="00DE5256">
      <w:pPr>
        <w:spacing w:line="360" w:lineRule="auto"/>
        <w:ind w:left="567" w:right="539"/>
        <w:jc w:val="both"/>
        <w:rPr>
          <w:rFonts w:ascii="Palatino Linotype" w:hAnsi="Palatino Linotype" w:cs="Tahoma"/>
        </w:rPr>
      </w:pPr>
      <w:r w:rsidRPr="00E13258">
        <w:rPr>
          <w:rFonts w:ascii="Palatino Linotype" w:hAnsi="Palatino Linotype" w:cs="Tahoma"/>
        </w:rPr>
        <w:t>…”</w:t>
      </w:r>
    </w:p>
    <w:p w14:paraId="069D2D7C" w14:textId="77777777" w:rsidR="00C753AA" w:rsidRPr="00E13258" w:rsidRDefault="00C753AA" w:rsidP="00DE5256">
      <w:pPr>
        <w:spacing w:line="360" w:lineRule="auto"/>
        <w:ind w:right="-28"/>
        <w:jc w:val="both"/>
        <w:rPr>
          <w:rFonts w:ascii="Palatino Linotype" w:hAnsi="Palatino Linotype" w:cs="Tahoma"/>
          <w:sz w:val="22"/>
        </w:rPr>
      </w:pPr>
    </w:p>
    <w:p w14:paraId="56E6AA4A" w14:textId="7255B68F" w:rsidR="002E287D" w:rsidRPr="00E13258" w:rsidRDefault="007C4BDC" w:rsidP="00DE5256">
      <w:pPr>
        <w:spacing w:line="360" w:lineRule="auto"/>
        <w:jc w:val="both"/>
        <w:rPr>
          <w:rFonts w:ascii="Palatino Linotype" w:hAnsi="Palatino Linotype" w:cs="Tahoma"/>
          <w:bCs/>
          <w:iCs/>
          <w:sz w:val="22"/>
          <w:szCs w:val="22"/>
          <w:lang w:val="es-ES_tradnl"/>
        </w:rPr>
      </w:pPr>
      <w:r w:rsidRPr="00E13258">
        <w:rPr>
          <w:rFonts w:ascii="Palatino Linotype" w:hAnsi="Palatino Linotype" w:cs="Tahoma"/>
          <w:b/>
          <w:sz w:val="22"/>
          <w:szCs w:val="22"/>
        </w:rPr>
        <w:t xml:space="preserve">d) Vista de Informe Justificado: </w:t>
      </w:r>
      <w:r w:rsidRPr="00E13258">
        <w:rPr>
          <w:rFonts w:ascii="Palatino Linotype" w:hAnsi="Palatino Linotype" w:cs="Tahoma"/>
          <w:sz w:val="22"/>
          <w:szCs w:val="22"/>
        </w:rPr>
        <w:t xml:space="preserve">El </w:t>
      </w:r>
      <w:r w:rsidR="002E287D" w:rsidRPr="00E13258">
        <w:rPr>
          <w:rFonts w:ascii="Palatino Linotype" w:hAnsi="Palatino Linotype" w:cs="Tahoma"/>
          <w:sz w:val="22"/>
          <w:szCs w:val="22"/>
        </w:rPr>
        <w:t xml:space="preserve">veintinueve </w:t>
      </w:r>
      <w:r w:rsidR="007C76D2" w:rsidRPr="00E13258">
        <w:rPr>
          <w:rFonts w:ascii="Palatino Linotype" w:hAnsi="Palatino Linotype" w:cs="Tahoma"/>
          <w:sz w:val="22"/>
          <w:szCs w:val="22"/>
        </w:rPr>
        <w:t xml:space="preserve">de marzo </w:t>
      </w:r>
      <w:r w:rsidRPr="00E13258">
        <w:rPr>
          <w:rFonts w:ascii="Palatino Linotype" w:hAnsi="Palatino Linotype" w:cs="Tahoma"/>
          <w:sz w:val="22"/>
          <w:szCs w:val="22"/>
        </w:rPr>
        <w:t xml:space="preserve">del dos mil diecinueve, se dictó acuerdo mediante el cual se puso a la vista del </w:t>
      </w:r>
      <w:r w:rsidR="00D266B9" w:rsidRPr="00E13258">
        <w:rPr>
          <w:rFonts w:ascii="Palatino Linotype" w:hAnsi="Palatino Linotype" w:cs="Tahoma"/>
          <w:sz w:val="22"/>
          <w:szCs w:val="22"/>
        </w:rPr>
        <w:t>P</w:t>
      </w:r>
      <w:r w:rsidRPr="00E13258">
        <w:rPr>
          <w:rFonts w:ascii="Palatino Linotype" w:hAnsi="Palatino Linotype" w:cs="Tahoma"/>
          <w:sz w:val="22"/>
          <w:szCs w:val="22"/>
        </w:rPr>
        <w:t xml:space="preserve">articular, el Informe Justificado entregado por el Sujeto Obligado, el cual fue notificado a las partes, en esa misma fecha, a través del Sistema de Acceso a la Información Mexiquense (SAIMEX). </w:t>
      </w:r>
      <w:r w:rsidR="002E287D" w:rsidRPr="00E13258">
        <w:rPr>
          <w:rFonts w:ascii="Palatino Linotype" w:hAnsi="Palatino Linotype" w:cs="Tahoma"/>
          <w:sz w:val="22"/>
          <w:szCs w:val="22"/>
        </w:rPr>
        <w:t>Atento lo anterior, el mismo día,</w:t>
      </w:r>
      <w:r w:rsidRPr="00E13258">
        <w:rPr>
          <w:rFonts w:ascii="Palatino Linotype" w:hAnsi="Palatino Linotype" w:cs="Tahoma"/>
          <w:bCs/>
          <w:iCs/>
          <w:sz w:val="22"/>
          <w:szCs w:val="22"/>
          <w:lang w:val="es-ES_tradnl"/>
        </w:rPr>
        <w:t xml:space="preserve"> el </w:t>
      </w:r>
      <w:r w:rsidR="00D266B9" w:rsidRPr="00E13258">
        <w:rPr>
          <w:rFonts w:ascii="Palatino Linotype" w:hAnsi="Palatino Linotype" w:cs="Tahoma"/>
          <w:bCs/>
          <w:iCs/>
          <w:sz w:val="22"/>
          <w:szCs w:val="22"/>
          <w:lang w:val="es-ES_tradnl"/>
        </w:rPr>
        <w:t xml:space="preserve">Recurrente </w:t>
      </w:r>
      <w:r w:rsidR="002E287D" w:rsidRPr="00E13258">
        <w:rPr>
          <w:rFonts w:ascii="Palatino Linotype" w:hAnsi="Palatino Linotype" w:cs="Tahoma"/>
          <w:bCs/>
          <w:iCs/>
          <w:sz w:val="22"/>
          <w:szCs w:val="22"/>
          <w:lang w:val="es-ES_tradnl"/>
        </w:rPr>
        <w:t xml:space="preserve">señaló que la responsable de la Unidad de Información del </w:t>
      </w:r>
      <w:r w:rsidR="008C34B9" w:rsidRPr="00E13258">
        <w:rPr>
          <w:rFonts w:ascii="Palatino Linotype" w:hAnsi="Palatino Linotype" w:cs="Tahoma"/>
          <w:bCs/>
          <w:iCs/>
          <w:sz w:val="22"/>
          <w:szCs w:val="22"/>
          <w:lang w:val="es-ES_tradnl"/>
        </w:rPr>
        <w:t>S</w:t>
      </w:r>
      <w:r w:rsidR="002E287D" w:rsidRPr="00E13258">
        <w:rPr>
          <w:rFonts w:ascii="Palatino Linotype" w:hAnsi="Palatino Linotype" w:cs="Tahoma"/>
          <w:bCs/>
          <w:iCs/>
          <w:sz w:val="22"/>
          <w:szCs w:val="22"/>
          <w:lang w:val="es-ES_tradnl"/>
        </w:rPr>
        <w:t xml:space="preserve">ujeto </w:t>
      </w:r>
      <w:r w:rsidR="008C34B9" w:rsidRPr="00E13258">
        <w:rPr>
          <w:rFonts w:ascii="Palatino Linotype" w:hAnsi="Palatino Linotype" w:cs="Tahoma"/>
          <w:bCs/>
          <w:iCs/>
          <w:sz w:val="22"/>
          <w:szCs w:val="22"/>
          <w:lang w:val="es-ES_tradnl"/>
        </w:rPr>
        <w:t>O</w:t>
      </w:r>
      <w:r w:rsidR="002E287D" w:rsidRPr="00E13258">
        <w:rPr>
          <w:rFonts w:ascii="Palatino Linotype" w:hAnsi="Palatino Linotype" w:cs="Tahoma"/>
          <w:bCs/>
          <w:iCs/>
          <w:sz w:val="22"/>
          <w:szCs w:val="22"/>
          <w:lang w:val="es-ES_tradnl"/>
        </w:rPr>
        <w:t xml:space="preserve">bligado, en el numeral No. 4, mencionó un oficio del cual no </w:t>
      </w:r>
      <w:r w:rsidR="008C34B9" w:rsidRPr="00E13258">
        <w:rPr>
          <w:rFonts w:ascii="Palatino Linotype" w:hAnsi="Palatino Linotype" w:cs="Tahoma"/>
          <w:bCs/>
          <w:iCs/>
          <w:sz w:val="22"/>
          <w:szCs w:val="22"/>
          <w:lang w:val="es-ES_tradnl"/>
        </w:rPr>
        <w:t xml:space="preserve">se </w:t>
      </w:r>
      <w:r w:rsidR="002E287D" w:rsidRPr="00E13258">
        <w:rPr>
          <w:rFonts w:ascii="Palatino Linotype" w:hAnsi="Palatino Linotype" w:cs="Tahoma"/>
          <w:bCs/>
          <w:iCs/>
          <w:sz w:val="22"/>
          <w:szCs w:val="22"/>
          <w:lang w:val="es-ES_tradnl"/>
        </w:rPr>
        <w:t>tuv</w:t>
      </w:r>
      <w:r w:rsidR="008C34B9" w:rsidRPr="00E13258">
        <w:rPr>
          <w:rFonts w:ascii="Palatino Linotype" w:hAnsi="Palatino Linotype" w:cs="Tahoma"/>
          <w:bCs/>
          <w:iCs/>
          <w:sz w:val="22"/>
          <w:szCs w:val="22"/>
          <w:lang w:val="es-ES_tradnl"/>
        </w:rPr>
        <w:t>o</w:t>
      </w:r>
      <w:r w:rsidR="002E287D" w:rsidRPr="00E13258">
        <w:rPr>
          <w:rFonts w:ascii="Palatino Linotype" w:hAnsi="Palatino Linotype" w:cs="Tahoma"/>
          <w:bCs/>
          <w:iCs/>
          <w:sz w:val="22"/>
          <w:szCs w:val="22"/>
          <w:lang w:val="es-ES_tradnl"/>
        </w:rPr>
        <w:t xml:space="preserve"> conocimiento</w:t>
      </w:r>
      <w:r w:rsidR="00945D89" w:rsidRPr="00E13258">
        <w:rPr>
          <w:rFonts w:ascii="Palatino Linotype" w:hAnsi="Palatino Linotype" w:cs="Tahoma"/>
          <w:bCs/>
          <w:iCs/>
          <w:sz w:val="22"/>
          <w:szCs w:val="22"/>
          <w:lang w:val="es-ES_tradnl"/>
        </w:rPr>
        <w:t xml:space="preserve"> y</w:t>
      </w:r>
      <w:r w:rsidR="002E287D" w:rsidRPr="00E13258">
        <w:rPr>
          <w:rFonts w:ascii="Palatino Linotype" w:hAnsi="Palatino Linotype" w:cs="Tahoma"/>
          <w:bCs/>
          <w:iCs/>
          <w:sz w:val="22"/>
          <w:szCs w:val="22"/>
          <w:lang w:val="es-ES_tradnl"/>
        </w:rPr>
        <w:t xml:space="preserve"> adjunt</w:t>
      </w:r>
      <w:r w:rsidR="00945D89" w:rsidRPr="00E13258">
        <w:rPr>
          <w:rFonts w:ascii="Palatino Linotype" w:hAnsi="Palatino Linotype" w:cs="Tahoma"/>
          <w:bCs/>
          <w:iCs/>
          <w:sz w:val="22"/>
          <w:szCs w:val="22"/>
          <w:lang w:val="es-ES_tradnl"/>
        </w:rPr>
        <w:t>ó</w:t>
      </w:r>
      <w:r w:rsidR="002E287D" w:rsidRPr="00E13258">
        <w:rPr>
          <w:rFonts w:ascii="Palatino Linotype" w:hAnsi="Palatino Linotype" w:cs="Tahoma"/>
          <w:bCs/>
          <w:iCs/>
          <w:sz w:val="22"/>
          <w:szCs w:val="22"/>
          <w:lang w:val="es-ES_tradnl"/>
        </w:rPr>
        <w:t xml:space="preserve"> el oficio TM/00434/2019 enunciado en líneas anteriores.</w:t>
      </w:r>
    </w:p>
    <w:p w14:paraId="6A1FB438" w14:textId="77777777" w:rsidR="002E287D" w:rsidRPr="00E13258" w:rsidRDefault="002E287D" w:rsidP="00DE5256">
      <w:pPr>
        <w:spacing w:line="360" w:lineRule="auto"/>
        <w:jc w:val="both"/>
        <w:rPr>
          <w:rFonts w:ascii="Palatino Linotype" w:hAnsi="Palatino Linotype" w:cs="Tahoma"/>
          <w:b/>
          <w:sz w:val="22"/>
          <w:szCs w:val="22"/>
        </w:rPr>
      </w:pPr>
    </w:p>
    <w:p w14:paraId="5D51B24A" w14:textId="77777777" w:rsidR="00755EC9" w:rsidRPr="00E13258" w:rsidRDefault="007C4BDC" w:rsidP="00DE5256">
      <w:pPr>
        <w:spacing w:line="360" w:lineRule="auto"/>
        <w:jc w:val="both"/>
        <w:rPr>
          <w:rFonts w:ascii="Palatino Linotype" w:hAnsi="Palatino Linotype" w:cs="Tahoma"/>
          <w:sz w:val="22"/>
          <w:szCs w:val="22"/>
        </w:rPr>
      </w:pPr>
      <w:r w:rsidRPr="00E13258">
        <w:rPr>
          <w:rFonts w:ascii="Palatino Linotype" w:hAnsi="Palatino Linotype" w:cs="Tahoma"/>
          <w:b/>
          <w:sz w:val="22"/>
          <w:szCs w:val="22"/>
        </w:rPr>
        <w:t>e</w:t>
      </w:r>
      <w:r w:rsidR="00515CEB" w:rsidRPr="00E13258">
        <w:rPr>
          <w:rFonts w:ascii="Palatino Linotype" w:hAnsi="Palatino Linotype" w:cs="Tahoma"/>
          <w:b/>
          <w:sz w:val="22"/>
          <w:szCs w:val="22"/>
        </w:rPr>
        <w:t xml:space="preserve">) </w:t>
      </w:r>
      <w:r w:rsidR="00755EC9" w:rsidRPr="00E13258">
        <w:rPr>
          <w:rFonts w:ascii="Palatino Linotype" w:hAnsi="Palatino Linotype" w:cs="Tahoma"/>
          <w:b/>
          <w:sz w:val="22"/>
          <w:szCs w:val="22"/>
        </w:rPr>
        <w:t xml:space="preserve">Cierre de instrucción. </w:t>
      </w:r>
      <w:r w:rsidR="00755EC9" w:rsidRPr="00E13258">
        <w:rPr>
          <w:rFonts w:ascii="Palatino Linotype" w:hAnsi="Palatino Linotype" w:cs="Tahoma"/>
          <w:sz w:val="22"/>
          <w:szCs w:val="22"/>
        </w:rPr>
        <w:t xml:space="preserve">Con fecha </w:t>
      </w:r>
      <w:r w:rsidR="00902D75" w:rsidRPr="00E13258">
        <w:rPr>
          <w:rFonts w:ascii="Palatino Linotype" w:hAnsi="Palatino Linotype" w:cs="Tahoma"/>
          <w:sz w:val="22"/>
          <w:szCs w:val="22"/>
        </w:rPr>
        <w:t>diez</w:t>
      </w:r>
      <w:r w:rsidR="005801C7" w:rsidRPr="00E13258">
        <w:rPr>
          <w:rFonts w:ascii="Palatino Linotype" w:hAnsi="Palatino Linotype" w:cs="Tahoma"/>
          <w:sz w:val="22"/>
          <w:szCs w:val="22"/>
        </w:rPr>
        <w:t xml:space="preserve"> de abril </w:t>
      </w:r>
      <w:r w:rsidR="00755EC9" w:rsidRPr="00E13258">
        <w:rPr>
          <w:rFonts w:ascii="Palatino Linotype" w:hAnsi="Palatino Linotype" w:cs="Tahoma"/>
          <w:sz w:val="22"/>
          <w:szCs w:val="22"/>
        </w:rPr>
        <w:t xml:space="preserve">de dos mil diecinueve, al no existir diligencias pendientes por desahogar, se emitió el acuerdo por medio del cual se declaró cerrada la instrucción y se determinó pasar el expediente a resolución, en términos de lo dispuesto en el artículo 185, fracciones VI y VIII, de la Ley de Transparencia y Acceso a la Información Pública </w:t>
      </w:r>
      <w:r w:rsidR="00755EC9" w:rsidRPr="00E13258">
        <w:rPr>
          <w:rFonts w:ascii="Palatino Linotype" w:hAnsi="Palatino Linotype" w:cs="Tahoma"/>
          <w:sz w:val="22"/>
          <w:szCs w:val="22"/>
        </w:rPr>
        <w:lastRenderedPageBreak/>
        <w:t xml:space="preserve">del Estado de México y Municipios, mismo que fue notificado a las partes el mismo día, a través del </w:t>
      </w:r>
      <w:r w:rsidR="00755EC9" w:rsidRPr="00E13258">
        <w:rPr>
          <w:rFonts w:ascii="Palatino Linotype" w:hAnsi="Palatino Linotype" w:cs="Tahoma"/>
          <w:sz w:val="22"/>
          <w:szCs w:val="22"/>
          <w:lang w:val="es-ES"/>
        </w:rPr>
        <w:t>Sistema de Acceso a la Información Mexiquense (SAIMEX)</w:t>
      </w:r>
      <w:r w:rsidR="00755EC9" w:rsidRPr="00E13258">
        <w:rPr>
          <w:rFonts w:ascii="Palatino Linotype" w:hAnsi="Palatino Linotype" w:cs="Tahoma"/>
          <w:sz w:val="22"/>
          <w:szCs w:val="22"/>
        </w:rPr>
        <w:t>.</w:t>
      </w:r>
    </w:p>
    <w:p w14:paraId="2231BAF1" w14:textId="77777777" w:rsidR="00755EC9" w:rsidRPr="00E13258" w:rsidRDefault="00755EC9" w:rsidP="00DE5256">
      <w:pPr>
        <w:spacing w:line="360" w:lineRule="auto"/>
        <w:jc w:val="both"/>
        <w:rPr>
          <w:rFonts w:ascii="Palatino Linotype" w:hAnsi="Palatino Linotype" w:cs="Tahoma"/>
          <w:sz w:val="22"/>
          <w:szCs w:val="22"/>
          <w:lang w:val="es-ES"/>
        </w:rPr>
      </w:pPr>
    </w:p>
    <w:p w14:paraId="68DD8544" w14:textId="77777777" w:rsidR="004F2D88" w:rsidRPr="00E13258" w:rsidRDefault="004F2D88" w:rsidP="00DE5256">
      <w:pPr>
        <w:spacing w:line="360" w:lineRule="auto"/>
        <w:jc w:val="both"/>
        <w:rPr>
          <w:rFonts w:ascii="Palatino Linotype" w:hAnsi="Palatino Linotype" w:cs="Tahoma"/>
          <w:color w:val="000000"/>
          <w:sz w:val="22"/>
          <w:szCs w:val="22"/>
        </w:rPr>
      </w:pPr>
      <w:r w:rsidRPr="00E13258">
        <w:rPr>
          <w:rFonts w:ascii="Palatino Linotype" w:hAnsi="Palatino Linotype" w:cs="Tahoma"/>
          <w:color w:val="000000"/>
          <w:sz w:val="22"/>
          <w:szCs w:val="22"/>
        </w:rPr>
        <w:t xml:space="preserve">En </w:t>
      </w:r>
      <w:r w:rsidR="00367F82" w:rsidRPr="00E13258">
        <w:rPr>
          <w:rFonts w:ascii="Palatino Linotype" w:hAnsi="Palatino Linotype" w:cs="Tahoma"/>
          <w:color w:val="000000"/>
          <w:sz w:val="22"/>
          <w:szCs w:val="22"/>
        </w:rPr>
        <w:t>razón de que fue debidamente su</w:t>
      </w:r>
      <w:r w:rsidRPr="00E13258">
        <w:rPr>
          <w:rFonts w:ascii="Palatino Linotype" w:hAnsi="Palatino Linotype" w:cs="Tahoma"/>
          <w:color w:val="000000"/>
          <w:sz w:val="22"/>
          <w:szCs w:val="22"/>
        </w:rPr>
        <w:t xml:space="preserve">stanciado el expediente </w:t>
      </w:r>
      <w:r w:rsidR="00367F82" w:rsidRPr="00E13258">
        <w:rPr>
          <w:rFonts w:ascii="Palatino Linotype" w:hAnsi="Palatino Linotype" w:cs="Tahoma"/>
          <w:color w:val="000000"/>
          <w:sz w:val="22"/>
          <w:szCs w:val="22"/>
        </w:rPr>
        <w:t xml:space="preserve">electrónico </w:t>
      </w:r>
      <w:r w:rsidRPr="00E13258">
        <w:rPr>
          <w:rFonts w:ascii="Palatino Linotype" w:hAnsi="Palatino Linotype" w:cs="Tahoma"/>
          <w:color w:val="000000"/>
          <w:sz w:val="22"/>
          <w:szCs w:val="22"/>
        </w:rPr>
        <w:t>y no exist</w:t>
      </w:r>
      <w:r w:rsidR="00367F82" w:rsidRPr="00E13258">
        <w:rPr>
          <w:rFonts w:ascii="Palatino Linotype" w:hAnsi="Palatino Linotype" w:cs="Tahoma"/>
          <w:color w:val="000000"/>
          <w:sz w:val="22"/>
          <w:szCs w:val="22"/>
        </w:rPr>
        <w:t>e</w:t>
      </w:r>
      <w:r w:rsidRPr="00E13258">
        <w:rPr>
          <w:rFonts w:ascii="Palatino Linotype" w:hAnsi="Palatino Linotype" w:cs="Tahoma"/>
          <w:color w:val="000000"/>
          <w:sz w:val="22"/>
          <w:szCs w:val="22"/>
        </w:rPr>
        <w:t xml:space="preserve"> dilige</w:t>
      </w:r>
      <w:r w:rsidR="00367F82" w:rsidRPr="00E13258">
        <w:rPr>
          <w:rFonts w:ascii="Palatino Linotype" w:hAnsi="Palatino Linotype" w:cs="Tahoma"/>
          <w:color w:val="000000"/>
          <w:sz w:val="22"/>
          <w:szCs w:val="22"/>
        </w:rPr>
        <w:t xml:space="preserve">ncia pendiente de desahogo, se </w:t>
      </w:r>
      <w:r w:rsidRPr="00E13258">
        <w:rPr>
          <w:rFonts w:ascii="Palatino Linotype" w:hAnsi="Palatino Linotype" w:cs="Tahoma"/>
          <w:color w:val="000000"/>
          <w:sz w:val="22"/>
          <w:szCs w:val="22"/>
        </w:rPr>
        <w:t>emit</w:t>
      </w:r>
      <w:r w:rsidR="00367F82" w:rsidRPr="00E13258">
        <w:rPr>
          <w:rFonts w:ascii="Palatino Linotype" w:hAnsi="Palatino Linotype" w:cs="Tahoma"/>
          <w:color w:val="000000"/>
          <w:sz w:val="22"/>
          <w:szCs w:val="22"/>
        </w:rPr>
        <w:t>e</w:t>
      </w:r>
      <w:r w:rsidRPr="00E13258">
        <w:rPr>
          <w:rFonts w:ascii="Palatino Linotype" w:hAnsi="Palatino Linotype" w:cs="Tahoma"/>
          <w:color w:val="000000"/>
          <w:sz w:val="22"/>
          <w:szCs w:val="22"/>
        </w:rPr>
        <w:t xml:space="preserve"> la resolución que conforme a Derecho proceda, de acuerdo a l</w:t>
      </w:r>
      <w:r w:rsidR="009A620E" w:rsidRPr="00E13258">
        <w:rPr>
          <w:rFonts w:ascii="Palatino Linotype" w:hAnsi="Palatino Linotype" w:cs="Tahoma"/>
          <w:color w:val="000000"/>
          <w:sz w:val="22"/>
          <w:szCs w:val="22"/>
        </w:rPr>
        <w:t>o</w:t>
      </w:r>
      <w:r w:rsidR="007C4BDC" w:rsidRPr="00E13258">
        <w:rPr>
          <w:rFonts w:ascii="Palatino Linotype" w:hAnsi="Palatino Linotype" w:cs="Tahoma"/>
          <w:color w:val="000000"/>
          <w:sz w:val="22"/>
          <w:szCs w:val="22"/>
        </w:rPr>
        <w:t>s siguientes:</w:t>
      </w:r>
    </w:p>
    <w:p w14:paraId="154E7A1E" w14:textId="77777777" w:rsidR="00264223" w:rsidRPr="00E13258" w:rsidRDefault="00264223" w:rsidP="00DE5256">
      <w:pPr>
        <w:spacing w:line="360" w:lineRule="auto"/>
        <w:jc w:val="center"/>
        <w:rPr>
          <w:rFonts w:ascii="Palatino Linotype" w:hAnsi="Palatino Linotype" w:cs="Tahoma"/>
          <w:b/>
          <w:sz w:val="22"/>
          <w:szCs w:val="22"/>
        </w:rPr>
      </w:pPr>
    </w:p>
    <w:p w14:paraId="7EAF8066" w14:textId="77777777" w:rsidR="00264223" w:rsidRPr="00E13258" w:rsidRDefault="009A620E" w:rsidP="00DE5256">
      <w:pPr>
        <w:spacing w:line="360" w:lineRule="auto"/>
        <w:jc w:val="center"/>
        <w:rPr>
          <w:rFonts w:ascii="Palatino Linotype" w:hAnsi="Palatino Linotype" w:cs="Tahoma"/>
          <w:b/>
          <w:sz w:val="22"/>
          <w:szCs w:val="22"/>
          <w:lang w:val="es-ES"/>
        </w:rPr>
      </w:pPr>
      <w:r w:rsidRPr="00E13258">
        <w:rPr>
          <w:rFonts w:ascii="Palatino Linotype" w:hAnsi="Palatino Linotype" w:cs="Tahoma"/>
          <w:b/>
          <w:sz w:val="22"/>
          <w:szCs w:val="22"/>
          <w:lang w:val="es-ES"/>
        </w:rPr>
        <w:t>C</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O</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N</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S</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I</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D</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E</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R</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A</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N</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D</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O</w:t>
      </w:r>
      <w:r w:rsidR="007C4BDC" w:rsidRPr="00E13258">
        <w:rPr>
          <w:rFonts w:ascii="Palatino Linotype" w:hAnsi="Palatino Linotype" w:cs="Tahoma"/>
          <w:b/>
          <w:sz w:val="22"/>
          <w:szCs w:val="22"/>
          <w:lang w:val="es-ES"/>
        </w:rPr>
        <w:t xml:space="preserve"> </w:t>
      </w:r>
      <w:r w:rsidRPr="00E13258">
        <w:rPr>
          <w:rFonts w:ascii="Palatino Linotype" w:hAnsi="Palatino Linotype" w:cs="Tahoma"/>
          <w:b/>
          <w:sz w:val="22"/>
          <w:szCs w:val="22"/>
          <w:lang w:val="es-ES"/>
        </w:rPr>
        <w:t>S</w:t>
      </w:r>
    </w:p>
    <w:p w14:paraId="2DDDCF67" w14:textId="77777777" w:rsidR="00264223" w:rsidRPr="00E13258" w:rsidRDefault="00264223" w:rsidP="00DE5256">
      <w:pPr>
        <w:spacing w:line="360" w:lineRule="auto"/>
        <w:jc w:val="center"/>
        <w:rPr>
          <w:rFonts w:ascii="Palatino Linotype" w:hAnsi="Palatino Linotype" w:cs="Tahoma"/>
          <w:b/>
          <w:sz w:val="22"/>
          <w:szCs w:val="22"/>
          <w:lang w:val="es-ES"/>
        </w:rPr>
      </w:pPr>
    </w:p>
    <w:p w14:paraId="316A701F" w14:textId="77777777" w:rsidR="00B64641" w:rsidRPr="00E13258" w:rsidRDefault="0096693C" w:rsidP="00DE5256">
      <w:pPr>
        <w:autoSpaceDE w:val="0"/>
        <w:autoSpaceDN w:val="0"/>
        <w:adjustRightInd w:val="0"/>
        <w:spacing w:line="360" w:lineRule="auto"/>
        <w:jc w:val="both"/>
        <w:rPr>
          <w:rFonts w:ascii="Palatino Linotype" w:hAnsi="Palatino Linotype" w:cs="Tahoma"/>
          <w:b/>
          <w:sz w:val="22"/>
          <w:szCs w:val="22"/>
          <w:lang w:val="es-ES"/>
        </w:rPr>
      </w:pPr>
      <w:r w:rsidRPr="00E13258">
        <w:rPr>
          <w:rFonts w:ascii="Palatino Linotype" w:eastAsia="Calibri" w:hAnsi="Palatino Linotype" w:cs="Tahoma"/>
          <w:b/>
          <w:color w:val="000000"/>
          <w:sz w:val="22"/>
          <w:szCs w:val="22"/>
          <w:lang w:val="es-ES" w:eastAsia="es-MX"/>
        </w:rPr>
        <w:t>PRIMERO</w:t>
      </w:r>
      <w:r w:rsidR="00B64641" w:rsidRPr="00E13258">
        <w:rPr>
          <w:rFonts w:ascii="Palatino Linotype" w:eastAsia="Calibri" w:hAnsi="Palatino Linotype" w:cs="Tahoma"/>
          <w:color w:val="000000"/>
          <w:sz w:val="22"/>
          <w:szCs w:val="22"/>
          <w:lang w:val="es-ES" w:eastAsia="es-MX"/>
        </w:rPr>
        <w:t xml:space="preserve">. </w:t>
      </w:r>
      <w:r w:rsidR="00B64641" w:rsidRPr="00E13258">
        <w:rPr>
          <w:rFonts w:ascii="Palatino Linotype" w:hAnsi="Palatino Linotype" w:cs="Tahoma"/>
          <w:b/>
          <w:sz w:val="22"/>
          <w:szCs w:val="22"/>
          <w:lang w:val="es-ES"/>
        </w:rPr>
        <w:t>Competencia.</w:t>
      </w:r>
    </w:p>
    <w:p w14:paraId="5B5C1699" w14:textId="77777777" w:rsidR="00BA454D" w:rsidRPr="00E13258" w:rsidRDefault="00BA454D" w:rsidP="00DE5256">
      <w:pPr>
        <w:autoSpaceDE w:val="0"/>
        <w:autoSpaceDN w:val="0"/>
        <w:adjustRightInd w:val="0"/>
        <w:spacing w:line="360" w:lineRule="auto"/>
        <w:jc w:val="both"/>
        <w:rPr>
          <w:rFonts w:ascii="Palatino Linotype" w:hAnsi="Palatino Linotype" w:cs="Tahoma"/>
          <w:b/>
          <w:sz w:val="22"/>
          <w:szCs w:val="22"/>
          <w:lang w:val="es-ES"/>
        </w:rPr>
      </w:pPr>
    </w:p>
    <w:p w14:paraId="76DBD467" w14:textId="77777777" w:rsidR="004F2D88" w:rsidRPr="00E13258" w:rsidRDefault="009C4081" w:rsidP="00DE5256">
      <w:pPr>
        <w:spacing w:line="360" w:lineRule="auto"/>
        <w:jc w:val="both"/>
        <w:rPr>
          <w:rFonts w:ascii="Palatino Linotype" w:hAnsi="Palatino Linotype" w:cs="Tahoma"/>
          <w:sz w:val="22"/>
          <w:szCs w:val="22"/>
          <w:shd w:val="clear" w:color="auto" w:fill="FFFFFF"/>
        </w:rPr>
      </w:pPr>
      <w:r w:rsidRPr="00E13258">
        <w:rPr>
          <w:rFonts w:ascii="Palatino Linotype" w:hAnsi="Palatino Linotype" w:cs="Tahoma"/>
          <w:sz w:val="22"/>
          <w:szCs w:val="22"/>
          <w:shd w:val="clear" w:color="auto" w:fill="FFFFFF"/>
        </w:rPr>
        <w:t xml:space="preserve">El Instituto de Transparencia, Acceso a la Información Pública y Protección de Datos Personales del Estado de México y Municipios, es competente para conocer y resolver el presente </w:t>
      </w:r>
      <w:r w:rsidR="00A55CDF" w:rsidRPr="00E13258">
        <w:rPr>
          <w:rFonts w:ascii="Palatino Linotype" w:hAnsi="Palatino Linotype" w:cs="Tahoma"/>
          <w:sz w:val="22"/>
          <w:szCs w:val="22"/>
          <w:shd w:val="clear" w:color="auto" w:fill="FFFFFF"/>
        </w:rPr>
        <w:t xml:space="preserve">Recurso </w:t>
      </w:r>
      <w:r w:rsidRPr="00E13258">
        <w:rPr>
          <w:rFonts w:ascii="Palatino Linotype" w:hAnsi="Palatino Linotype" w:cs="Tahoma"/>
          <w:sz w:val="22"/>
          <w:szCs w:val="22"/>
          <w:shd w:val="clear" w:color="auto" w:fill="FFFFFF"/>
        </w:rPr>
        <w:t xml:space="preserve">de </w:t>
      </w:r>
      <w:r w:rsidR="00A55CDF" w:rsidRPr="00E13258">
        <w:rPr>
          <w:rFonts w:ascii="Palatino Linotype" w:hAnsi="Palatino Linotype" w:cs="Tahoma"/>
          <w:sz w:val="22"/>
          <w:szCs w:val="22"/>
          <w:shd w:val="clear" w:color="auto" w:fill="FFFFFF"/>
        </w:rPr>
        <w:t xml:space="preserve">Revisión </w:t>
      </w:r>
      <w:r w:rsidRPr="00E13258">
        <w:rPr>
          <w:rFonts w:ascii="Palatino Linotype" w:hAnsi="Palatino Linotype" w:cs="Tahoma"/>
          <w:sz w:val="22"/>
          <w:szCs w:val="22"/>
          <w:shd w:val="clear" w:color="auto" w:fill="FFFFFF"/>
        </w:rPr>
        <w:t>interpuesto por la parte recurrente, conforme a lo dispuesto en los artículos 6</w:t>
      </w:r>
      <w:r w:rsidR="00973FDF" w:rsidRPr="00E13258">
        <w:rPr>
          <w:rFonts w:ascii="Palatino Linotype" w:hAnsi="Palatino Linotype" w:cs="Tahoma"/>
          <w:sz w:val="22"/>
          <w:szCs w:val="22"/>
          <w:shd w:val="clear" w:color="auto" w:fill="FFFFFF"/>
        </w:rPr>
        <w:t>º</w:t>
      </w:r>
      <w:r w:rsidRPr="00E13258">
        <w:rPr>
          <w:rFonts w:ascii="Palatino Linotype" w:hAnsi="Palatino Linotype" w:cs="Tahoma"/>
          <w:sz w:val="22"/>
          <w:szCs w:val="22"/>
          <w:shd w:val="clear" w:color="auto" w:fill="FFFFFF"/>
        </w:rPr>
        <w:t>, apartado A de la Constitución Política de los Estados Unidos Mexicanos; 5</w:t>
      </w:r>
      <w:r w:rsidR="00973FDF" w:rsidRPr="00E13258">
        <w:rPr>
          <w:rFonts w:ascii="Palatino Linotype" w:hAnsi="Palatino Linotype" w:cs="Tahoma"/>
          <w:sz w:val="22"/>
          <w:szCs w:val="22"/>
          <w:shd w:val="clear" w:color="auto" w:fill="FFFFFF"/>
        </w:rPr>
        <w:t>º</w:t>
      </w:r>
      <w:r w:rsidRPr="00E13258">
        <w:rPr>
          <w:rFonts w:ascii="Palatino Linotype" w:hAnsi="Palatino Linotype" w:cs="Tahoma"/>
          <w:sz w:val="22"/>
          <w:szCs w:val="22"/>
          <w:shd w:val="clear" w:color="auto" w:fill="FFFFFF"/>
        </w:rPr>
        <w:t>, párrafos vigésimo, vigésimo primero y vigésimo segundo, fracciones I, II, III, IV y V de la Constitución Política del Estado Libre y Soberano de México; 1°, 8°, 9°, 10, 37 y 42, fracciones I, II y III, de la Ley General de Transparencia y Acceso a la Información Pública; 1°, 2°, fracciones II y IV; 13,  29, 36, fracciones I y II; 176, 178, 179, 181 párrafo tercero, 185, 188 y 189 de la Ley Transparencia y Acceso a la Información Pública del Estado de México y Municipios; 7°, 9, fracciones I y XXIV y 11 del Reglamento Interior del Instituto de Transparencia, Acceso a la Información Pública y Protección de Datos Personales del Estado de México y Municipios.</w:t>
      </w:r>
    </w:p>
    <w:p w14:paraId="6A70780A" w14:textId="77777777" w:rsidR="00E70503" w:rsidRPr="00E13258" w:rsidRDefault="00E70503" w:rsidP="00DE5256">
      <w:pPr>
        <w:spacing w:line="360" w:lineRule="auto"/>
        <w:jc w:val="both"/>
        <w:rPr>
          <w:rFonts w:ascii="Palatino Linotype" w:eastAsia="Calibri" w:hAnsi="Palatino Linotype" w:cs="Tahoma"/>
          <w:bCs/>
          <w:color w:val="000000"/>
          <w:sz w:val="22"/>
          <w:szCs w:val="22"/>
          <w:lang w:val="es-ES" w:eastAsia="es-ES_tradnl"/>
        </w:rPr>
      </w:pPr>
    </w:p>
    <w:p w14:paraId="77BA04F3" w14:textId="77777777" w:rsidR="00D90C9D" w:rsidRPr="00E13258" w:rsidRDefault="0096693C" w:rsidP="00DE5256">
      <w:pPr>
        <w:autoSpaceDE w:val="0"/>
        <w:autoSpaceDN w:val="0"/>
        <w:adjustRightInd w:val="0"/>
        <w:spacing w:line="360" w:lineRule="auto"/>
        <w:jc w:val="both"/>
        <w:rPr>
          <w:rFonts w:ascii="Palatino Linotype" w:eastAsia="Calibri" w:hAnsi="Palatino Linotype" w:cs="Tahoma"/>
          <w:b/>
          <w:color w:val="000000"/>
          <w:sz w:val="22"/>
          <w:szCs w:val="22"/>
          <w:lang w:val="es-ES" w:eastAsia="es-MX"/>
        </w:rPr>
      </w:pPr>
      <w:r w:rsidRPr="00E13258">
        <w:rPr>
          <w:rFonts w:ascii="Palatino Linotype" w:eastAsia="Calibri" w:hAnsi="Palatino Linotype" w:cs="Tahoma"/>
          <w:b/>
          <w:color w:val="000000"/>
          <w:sz w:val="22"/>
          <w:szCs w:val="22"/>
          <w:lang w:val="es-ES" w:eastAsia="es-MX"/>
        </w:rPr>
        <w:t>SEGUNDO</w:t>
      </w:r>
      <w:r w:rsidR="009C4081" w:rsidRPr="00E13258">
        <w:rPr>
          <w:rFonts w:ascii="Palatino Linotype" w:eastAsia="Calibri" w:hAnsi="Palatino Linotype" w:cs="Tahoma"/>
          <w:b/>
          <w:color w:val="000000"/>
          <w:sz w:val="22"/>
          <w:szCs w:val="22"/>
          <w:lang w:val="es-ES" w:eastAsia="es-MX"/>
        </w:rPr>
        <w:t>. Causales de improcedencia y sobreseimiento.</w:t>
      </w:r>
    </w:p>
    <w:p w14:paraId="365CDF01" w14:textId="77777777" w:rsidR="009C4081" w:rsidRPr="00E13258" w:rsidRDefault="009C4081" w:rsidP="00DE5256">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p>
    <w:p w14:paraId="23E4059A" w14:textId="77777777" w:rsidR="00CF4012" w:rsidRPr="00E13258" w:rsidRDefault="00FE5410" w:rsidP="00DE5256">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r w:rsidRPr="00E13258">
        <w:rPr>
          <w:rFonts w:ascii="Palatino Linotype" w:eastAsia="Calibri" w:hAnsi="Palatino Linotype" w:cs="Tahoma"/>
          <w:color w:val="000000"/>
          <w:sz w:val="22"/>
          <w:szCs w:val="22"/>
          <w:lang w:val="es-ES" w:eastAsia="es-MX"/>
        </w:rPr>
        <w:t>Previo al análisis de fondo del asunto que no ocupa, e</w:t>
      </w:r>
      <w:r w:rsidR="00683CB5" w:rsidRPr="00E13258">
        <w:rPr>
          <w:rFonts w:ascii="Palatino Linotype" w:eastAsia="Calibri" w:hAnsi="Palatino Linotype" w:cs="Tahoma"/>
          <w:color w:val="000000"/>
          <w:sz w:val="22"/>
          <w:szCs w:val="22"/>
          <w:lang w:val="es-ES" w:eastAsia="es-MX"/>
        </w:rPr>
        <w:t>ste Instituto realiza</w:t>
      </w:r>
      <w:r w:rsidRPr="00E13258">
        <w:rPr>
          <w:rFonts w:ascii="Palatino Linotype" w:eastAsia="Calibri" w:hAnsi="Palatino Linotype" w:cs="Tahoma"/>
          <w:color w:val="000000"/>
          <w:sz w:val="22"/>
          <w:szCs w:val="22"/>
          <w:lang w:val="es-ES" w:eastAsia="es-MX"/>
        </w:rPr>
        <w:t>rá</w:t>
      </w:r>
      <w:r w:rsidR="00683CB5" w:rsidRPr="00E13258">
        <w:rPr>
          <w:rFonts w:ascii="Palatino Linotype" w:eastAsia="Calibri" w:hAnsi="Palatino Linotype" w:cs="Tahoma"/>
          <w:color w:val="000000"/>
          <w:sz w:val="22"/>
          <w:szCs w:val="22"/>
          <w:lang w:val="es-ES" w:eastAsia="es-MX"/>
        </w:rPr>
        <w:t xml:space="preserve"> el estudio oficioso de las causales de improcedencia, por tratarse de una cuestión de orden público y de estudio </w:t>
      </w:r>
      <w:r w:rsidR="00683CB5" w:rsidRPr="00E13258">
        <w:rPr>
          <w:rFonts w:ascii="Palatino Linotype" w:eastAsia="Calibri" w:hAnsi="Palatino Linotype" w:cs="Tahoma"/>
          <w:color w:val="000000"/>
          <w:sz w:val="22"/>
          <w:szCs w:val="22"/>
          <w:lang w:val="es-ES" w:eastAsia="es-MX"/>
        </w:rPr>
        <w:lastRenderedPageBreak/>
        <w:t>preferente (acorde con el Criterio orientador en la Tesis de Jurisprudencia “IMPROCEDENCIA.” (Semanario Judicial de la Federación, Quinta Época, 1985, pág. 262), el cual establece que debe examinarse previamente la procedencia del juicio de amparo, sea que las partes lo soliciten o no, por ser una cuestión de orden público; de tal suerte, deberá ser desechado cualquier Recurso de Revisión que actualice alguno de los supuestos establecidos en el artículo 191 de la Ley de Transparencia y Acceso a la Información Pública del Estado de México y Municipios, por ser improcedente.</w:t>
      </w:r>
    </w:p>
    <w:p w14:paraId="7DB7AF6C" w14:textId="77777777" w:rsidR="002E12B1" w:rsidRPr="00E13258" w:rsidRDefault="002E12B1" w:rsidP="00DE5256">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p>
    <w:p w14:paraId="0AD1B135" w14:textId="77777777" w:rsidR="00E46195" w:rsidRPr="00E13258" w:rsidRDefault="00E46195" w:rsidP="00DE5256">
      <w:pPr>
        <w:autoSpaceDE w:val="0"/>
        <w:autoSpaceDN w:val="0"/>
        <w:adjustRightInd w:val="0"/>
        <w:spacing w:line="360" w:lineRule="auto"/>
        <w:jc w:val="both"/>
        <w:rPr>
          <w:rFonts w:ascii="Palatino Linotype" w:eastAsia="Calibri" w:hAnsi="Palatino Linotype" w:cs="Tahoma"/>
          <w:color w:val="000000"/>
          <w:sz w:val="22"/>
          <w:szCs w:val="22"/>
          <w:lang w:val="es-ES" w:eastAsia="es-MX"/>
        </w:rPr>
      </w:pPr>
      <w:r w:rsidRPr="00E13258">
        <w:rPr>
          <w:rFonts w:ascii="Palatino Linotype" w:eastAsia="Calibri" w:hAnsi="Palatino Linotype" w:cs="Tahoma"/>
          <w:color w:val="000000"/>
          <w:sz w:val="22"/>
          <w:szCs w:val="22"/>
          <w:lang w:val="es-ES" w:eastAsia="es-MX"/>
        </w:rPr>
        <w:t xml:space="preserve">En el presente caso, </w:t>
      </w:r>
      <w:r w:rsidRPr="00E13258">
        <w:rPr>
          <w:rFonts w:ascii="Palatino Linotype" w:eastAsia="Calibri" w:hAnsi="Palatino Linotype" w:cs="Tahoma"/>
          <w:b/>
          <w:color w:val="000000"/>
          <w:sz w:val="22"/>
          <w:szCs w:val="22"/>
          <w:lang w:val="es-ES" w:eastAsia="es-MX"/>
        </w:rPr>
        <w:t>no se actualiza ninguna de las causales de improcedencia</w:t>
      </w:r>
      <w:r w:rsidRPr="00E13258">
        <w:rPr>
          <w:rFonts w:ascii="Palatino Linotype" w:eastAsia="Calibri" w:hAnsi="Palatino Linotype" w:cs="Tahoma"/>
          <w:color w:val="000000"/>
          <w:sz w:val="22"/>
          <w:szCs w:val="22"/>
          <w:lang w:val="es-ES" w:eastAsia="es-MX"/>
        </w:rPr>
        <w:t xml:space="preserve"> establecidas en el ordenamiento jurídico previamente señalado, toda vez que: el </w:t>
      </w:r>
      <w:r w:rsidR="00ED669A" w:rsidRPr="00E13258">
        <w:rPr>
          <w:rFonts w:ascii="Palatino Linotype" w:eastAsia="Calibri" w:hAnsi="Palatino Linotype" w:cs="Tahoma"/>
          <w:color w:val="000000"/>
          <w:sz w:val="22"/>
          <w:szCs w:val="22"/>
          <w:lang w:val="es-ES" w:eastAsia="es-MX"/>
        </w:rPr>
        <w:t xml:space="preserve">Recurso de Revisión </w:t>
      </w:r>
      <w:r w:rsidRPr="00E13258">
        <w:rPr>
          <w:rFonts w:ascii="Palatino Linotype" w:eastAsia="Calibri" w:hAnsi="Palatino Linotype" w:cs="Tahoma"/>
          <w:color w:val="000000"/>
          <w:sz w:val="22"/>
          <w:szCs w:val="22"/>
          <w:lang w:val="es-ES" w:eastAsia="es-MX"/>
        </w:rPr>
        <w:t>fue presentado dentro del plazo establecido en el artículo 178 de la Ley de Transparencia y Acceso a la Información Pública del Estado de México y Municipios; este Instituto no tiene conocimiento de que se encuentre en trámite algún medio de defensa presentado por el recurrente ante otra instancia; no existió prevención alguna; la veracidad de la respuesta no formó parte del agravio; ni se realizó una consulta o ampliación a los alcances del requerimiento informativo.</w:t>
      </w:r>
    </w:p>
    <w:p w14:paraId="2987F22E" w14:textId="77777777" w:rsidR="009C6FAD" w:rsidRPr="00E13258" w:rsidRDefault="009C6FAD" w:rsidP="00DE5256">
      <w:pPr>
        <w:spacing w:line="360" w:lineRule="auto"/>
        <w:jc w:val="both"/>
        <w:rPr>
          <w:rFonts w:ascii="Palatino Linotype" w:eastAsia="Calibri" w:hAnsi="Palatino Linotype" w:cs="Tahoma"/>
          <w:sz w:val="22"/>
          <w:szCs w:val="22"/>
          <w:lang w:val="es-ES" w:eastAsia="es-ES_tradnl"/>
        </w:rPr>
      </w:pPr>
    </w:p>
    <w:p w14:paraId="5F62A3D4" w14:textId="5D498734" w:rsidR="007A5D3E" w:rsidRPr="00E13258" w:rsidRDefault="007A5D3E" w:rsidP="00DE5256">
      <w:pPr>
        <w:spacing w:line="360" w:lineRule="auto"/>
        <w:jc w:val="both"/>
        <w:rPr>
          <w:rFonts w:ascii="Palatino Linotype" w:eastAsia="Calibri" w:hAnsi="Palatino Linotype" w:cs="Tahoma"/>
          <w:b/>
          <w:sz w:val="22"/>
          <w:szCs w:val="22"/>
          <w:lang w:val="es-ES" w:eastAsia="es-ES_tradnl"/>
        </w:rPr>
      </w:pPr>
      <w:r w:rsidRPr="00E13258">
        <w:rPr>
          <w:rFonts w:ascii="Palatino Linotype" w:eastAsia="Calibri" w:hAnsi="Palatino Linotype" w:cs="Tahoma"/>
          <w:b/>
          <w:sz w:val="22"/>
          <w:szCs w:val="22"/>
          <w:lang w:val="es-ES" w:eastAsia="es-ES_tradnl"/>
        </w:rPr>
        <w:t>Causales de sobreseimiento.</w:t>
      </w:r>
    </w:p>
    <w:p w14:paraId="68D4CE73" w14:textId="77777777" w:rsidR="00945D89" w:rsidRPr="00E13258" w:rsidRDefault="00945D89" w:rsidP="00DE5256">
      <w:pPr>
        <w:spacing w:line="360" w:lineRule="auto"/>
        <w:jc w:val="both"/>
        <w:rPr>
          <w:rFonts w:ascii="Palatino Linotype" w:eastAsia="Calibri" w:hAnsi="Palatino Linotype" w:cs="Tahoma"/>
          <w:sz w:val="22"/>
          <w:szCs w:val="22"/>
          <w:lang w:val="es-ES" w:eastAsia="es-ES_tradnl"/>
        </w:rPr>
      </w:pPr>
    </w:p>
    <w:p w14:paraId="6633E30A" w14:textId="77777777" w:rsidR="007A5D3E" w:rsidRPr="00E13258" w:rsidRDefault="007A5D3E" w:rsidP="00DE5256">
      <w:pPr>
        <w:spacing w:line="360" w:lineRule="auto"/>
        <w:jc w:val="both"/>
        <w:rPr>
          <w:rFonts w:ascii="Palatino Linotype" w:hAnsi="Palatino Linotype" w:cs="Tahoma"/>
          <w:sz w:val="22"/>
          <w:szCs w:val="22"/>
          <w:lang w:val="es-ES"/>
        </w:rPr>
      </w:pPr>
      <w:r w:rsidRPr="00E13258">
        <w:rPr>
          <w:rFonts w:ascii="Palatino Linotype" w:eastAsia="Calibri" w:hAnsi="Palatino Linotype" w:cs="Tahoma"/>
          <w:sz w:val="22"/>
          <w:szCs w:val="22"/>
          <w:lang w:val="es-ES" w:eastAsia="es-ES_tradnl"/>
        </w:rPr>
        <w:t>Por lo que hace a las causales de sobreseimiento, del análisis realizado por este Instituto, se advierte que</w:t>
      </w:r>
      <w:r w:rsidRPr="00E13258">
        <w:rPr>
          <w:rFonts w:ascii="Palatino Linotype" w:eastAsia="Calibri" w:hAnsi="Palatino Linotype" w:cs="Tahoma"/>
          <w:b/>
          <w:sz w:val="22"/>
          <w:szCs w:val="22"/>
          <w:lang w:val="es-ES" w:eastAsia="es-ES_tradnl"/>
        </w:rPr>
        <w:t xml:space="preserve"> no se actualiza ninguna de las previstas por el artículo 192 de la Ley de Transparencia y Acceso a la Información Pública del Estado de México y Municipios; </w:t>
      </w:r>
      <w:r w:rsidRPr="00E13258">
        <w:rPr>
          <w:rFonts w:ascii="Palatino Linotype" w:hAnsi="Palatino Linotype" w:cs="Tahoma"/>
          <w:sz w:val="22"/>
          <w:szCs w:val="22"/>
          <w:lang w:val="es-ES"/>
        </w:rPr>
        <w:t>lo anterior, en virtud de que no existe constancia en el expediente en que se actúa, de que la recurrente se hubiera desistido del recurso, hubiera fallecido, que sobreviniera alguna causal de improcedencia, que el Sujeto Obligado hubiese modificado o revocado el acto impugnado, o bien que el recurso de revisión hubiera quedado sin materia.</w:t>
      </w:r>
    </w:p>
    <w:p w14:paraId="6F99ED77" w14:textId="77777777" w:rsidR="007A5D3E" w:rsidRPr="00E13258" w:rsidRDefault="007A5D3E" w:rsidP="00DE5256">
      <w:pPr>
        <w:spacing w:line="360" w:lineRule="auto"/>
        <w:jc w:val="both"/>
        <w:rPr>
          <w:rFonts w:ascii="Palatino Linotype" w:hAnsi="Palatino Linotype" w:cs="Tahoma"/>
          <w:sz w:val="14"/>
          <w:szCs w:val="22"/>
          <w:lang w:val="es-ES"/>
        </w:rPr>
      </w:pPr>
    </w:p>
    <w:p w14:paraId="7F37F194" w14:textId="77777777" w:rsidR="007A5D3E" w:rsidRPr="00E13258" w:rsidRDefault="007A5D3E" w:rsidP="00DE5256">
      <w:pPr>
        <w:spacing w:line="360" w:lineRule="auto"/>
        <w:jc w:val="both"/>
        <w:rPr>
          <w:rFonts w:ascii="Palatino Linotype" w:eastAsia="Calibri" w:hAnsi="Palatino Linotype" w:cs="Tahoma"/>
          <w:sz w:val="22"/>
          <w:szCs w:val="22"/>
          <w:lang w:val="es-ES" w:eastAsia="es-ES_tradnl"/>
        </w:rPr>
      </w:pPr>
      <w:r w:rsidRPr="00E13258">
        <w:rPr>
          <w:rFonts w:ascii="Palatino Linotype" w:eastAsia="Calibri" w:hAnsi="Palatino Linotype" w:cs="Tahoma"/>
          <w:bCs/>
          <w:sz w:val="22"/>
          <w:szCs w:val="22"/>
          <w:lang w:val="es-ES" w:eastAsia="es-ES_tradnl"/>
        </w:rPr>
        <w:lastRenderedPageBreak/>
        <w:t xml:space="preserve">Por tales motivos, </w:t>
      </w:r>
      <w:r w:rsidRPr="00E13258">
        <w:rPr>
          <w:rFonts w:ascii="Palatino Linotype" w:eastAsia="Calibri" w:hAnsi="Palatino Linotype" w:cs="Tahoma"/>
          <w:sz w:val="22"/>
          <w:szCs w:val="22"/>
          <w:lang w:val="es-ES" w:eastAsia="es-ES_tradnl"/>
        </w:rPr>
        <w:t xml:space="preserve">se considera procedente entrar al fondo del presente asunto. </w:t>
      </w:r>
    </w:p>
    <w:p w14:paraId="203BA4A4" w14:textId="77777777" w:rsidR="009C6FAD" w:rsidRPr="00E13258" w:rsidRDefault="009C6FAD" w:rsidP="00DE5256">
      <w:pPr>
        <w:spacing w:line="360" w:lineRule="auto"/>
        <w:jc w:val="both"/>
        <w:rPr>
          <w:rFonts w:ascii="Palatino Linotype" w:hAnsi="Palatino Linotype" w:cs="Tahoma"/>
          <w:b/>
          <w:szCs w:val="22"/>
          <w:lang w:val="es-ES"/>
        </w:rPr>
      </w:pPr>
    </w:p>
    <w:p w14:paraId="2B27F462" w14:textId="77777777" w:rsidR="0025469C" w:rsidRPr="00E13258" w:rsidRDefault="0096693C" w:rsidP="00DE5256">
      <w:pPr>
        <w:tabs>
          <w:tab w:val="left" w:pos="4962"/>
        </w:tabs>
        <w:spacing w:line="360" w:lineRule="auto"/>
        <w:jc w:val="both"/>
        <w:rPr>
          <w:rFonts w:ascii="Palatino Linotype" w:eastAsia="Calibri" w:hAnsi="Palatino Linotype" w:cs="Tahoma"/>
          <w:b/>
          <w:iCs/>
          <w:sz w:val="22"/>
          <w:szCs w:val="22"/>
          <w:lang w:val="es-ES" w:eastAsia="es-ES_tradnl"/>
        </w:rPr>
      </w:pPr>
      <w:r w:rsidRPr="00E13258">
        <w:rPr>
          <w:rFonts w:ascii="Palatino Linotype" w:eastAsia="Calibri" w:hAnsi="Palatino Linotype" w:cs="Tahoma"/>
          <w:b/>
          <w:iCs/>
          <w:sz w:val="22"/>
          <w:szCs w:val="22"/>
          <w:lang w:val="es-ES" w:eastAsia="es-ES_tradnl"/>
        </w:rPr>
        <w:t>TERCERO</w:t>
      </w:r>
      <w:r w:rsidR="00F02171" w:rsidRPr="00E13258">
        <w:rPr>
          <w:rFonts w:ascii="Palatino Linotype" w:eastAsia="Calibri" w:hAnsi="Palatino Linotype" w:cs="Tahoma"/>
          <w:b/>
          <w:iCs/>
          <w:sz w:val="22"/>
          <w:szCs w:val="22"/>
          <w:lang w:val="es-ES" w:eastAsia="es-ES_tradnl"/>
        </w:rPr>
        <w:t xml:space="preserve">. </w:t>
      </w:r>
      <w:r w:rsidR="0025469C" w:rsidRPr="00E13258">
        <w:rPr>
          <w:rFonts w:ascii="Palatino Linotype" w:eastAsia="Calibri" w:hAnsi="Palatino Linotype" w:cs="Tahoma"/>
          <w:b/>
          <w:iCs/>
          <w:sz w:val="22"/>
          <w:szCs w:val="22"/>
          <w:lang w:val="es-ES" w:eastAsia="es-ES_tradnl"/>
        </w:rPr>
        <w:t xml:space="preserve">Determinación </w:t>
      </w:r>
      <w:r w:rsidR="009617D3" w:rsidRPr="00E13258">
        <w:rPr>
          <w:rFonts w:ascii="Palatino Linotype" w:eastAsia="Calibri" w:hAnsi="Palatino Linotype" w:cs="Tahoma"/>
          <w:b/>
          <w:iCs/>
          <w:sz w:val="22"/>
          <w:szCs w:val="22"/>
          <w:lang w:val="es-ES" w:eastAsia="es-ES_tradnl"/>
        </w:rPr>
        <w:t xml:space="preserve">de la </w:t>
      </w:r>
      <w:r w:rsidR="00CF4012" w:rsidRPr="00E13258">
        <w:rPr>
          <w:rFonts w:ascii="Palatino Linotype" w:eastAsia="Calibri" w:hAnsi="Palatino Linotype" w:cs="Tahoma"/>
          <w:b/>
          <w:iCs/>
          <w:sz w:val="22"/>
          <w:szCs w:val="22"/>
          <w:lang w:val="es-ES" w:eastAsia="es-ES_tradnl"/>
        </w:rPr>
        <w:t>Controversia</w:t>
      </w:r>
      <w:r w:rsidR="00F02171" w:rsidRPr="00E13258">
        <w:rPr>
          <w:rFonts w:ascii="Palatino Linotype" w:eastAsia="Calibri" w:hAnsi="Palatino Linotype" w:cs="Tahoma"/>
          <w:b/>
          <w:iCs/>
          <w:sz w:val="22"/>
          <w:szCs w:val="22"/>
          <w:lang w:val="es-ES" w:eastAsia="es-ES_tradnl"/>
        </w:rPr>
        <w:t xml:space="preserve">. </w:t>
      </w:r>
    </w:p>
    <w:p w14:paraId="36D70E0C" w14:textId="77777777" w:rsidR="0025469C" w:rsidRPr="00E13258" w:rsidRDefault="0025469C" w:rsidP="00DE5256">
      <w:pPr>
        <w:tabs>
          <w:tab w:val="left" w:pos="4962"/>
        </w:tabs>
        <w:spacing w:line="360" w:lineRule="auto"/>
        <w:jc w:val="both"/>
        <w:rPr>
          <w:rFonts w:ascii="Palatino Linotype" w:eastAsia="Calibri" w:hAnsi="Palatino Linotype" w:cs="Tahoma"/>
          <w:b/>
          <w:iCs/>
          <w:sz w:val="22"/>
          <w:szCs w:val="22"/>
          <w:lang w:val="es-ES" w:eastAsia="es-ES_tradnl"/>
        </w:rPr>
      </w:pPr>
    </w:p>
    <w:p w14:paraId="7342AFE8" w14:textId="77777777" w:rsidR="00390ABC" w:rsidRPr="00E13258" w:rsidRDefault="00753ABF" w:rsidP="00DE5256">
      <w:pPr>
        <w:tabs>
          <w:tab w:val="left" w:pos="4962"/>
        </w:tabs>
        <w:spacing w:line="360" w:lineRule="auto"/>
        <w:jc w:val="both"/>
        <w:rPr>
          <w:rFonts w:ascii="Palatino Linotype" w:eastAsia="Calibri" w:hAnsi="Palatino Linotype" w:cs="Tahoma"/>
          <w:iCs/>
          <w:sz w:val="22"/>
          <w:szCs w:val="22"/>
          <w:lang w:val="es-ES" w:eastAsia="es-ES_tradnl"/>
        </w:rPr>
      </w:pPr>
      <w:r w:rsidRPr="00E13258">
        <w:rPr>
          <w:rFonts w:ascii="Palatino Linotype" w:eastAsia="Calibri" w:hAnsi="Palatino Linotype" w:cs="Tahoma"/>
          <w:iCs/>
          <w:sz w:val="22"/>
          <w:szCs w:val="22"/>
          <w:lang w:val="es-ES" w:eastAsia="es-ES_tradnl"/>
        </w:rPr>
        <w:t xml:space="preserve">Una vez realizado el estudio de las constancias que integran el expediente en que se actúa, se desprende </w:t>
      </w:r>
      <w:r w:rsidR="00284CB1" w:rsidRPr="00E13258">
        <w:rPr>
          <w:rFonts w:ascii="Palatino Linotype" w:eastAsia="Calibri" w:hAnsi="Palatino Linotype" w:cs="Tahoma"/>
          <w:iCs/>
          <w:sz w:val="22"/>
          <w:szCs w:val="22"/>
          <w:lang w:val="es-ES" w:eastAsia="es-ES_tradnl"/>
        </w:rPr>
        <w:t>que el Recurrente solicitó</w:t>
      </w:r>
      <w:r w:rsidR="00321A39" w:rsidRPr="00E13258">
        <w:rPr>
          <w:rFonts w:ascii="Palatino Linotype" w:eastAsia="Calibri" w:hAnsi="Palatino Linotype" w:cs="Tahoma"/>
          <w:iCs/>
          <w:sz w:val="22"/>
          <w:szCs w:val="22"/>
          <w:lang w:val="es-ES" w:eastAsia="es-ES_tradnl"/>
        </w:rPr>
        <w:t xml:space="preserve"> </w:t>
      </w:r>
      <w:r w:rsidR="008A4950" w:rsidRPr="00E13258">
        <w:rPr>
          <w:rFonts w:ascii="Palatino Linotype" w:eastAsia="Calibri" w:hAnsi="Palatino Linotype" w:cs="Tahoma"/>
          <w:iCs/>
          <w:sz w:val="22"/>
          <w:szCs w:val="22"/>
          <w:lang w:val="es-ES" w:eastAsia="es-ES_tradnl"/>
        </w:rPr>
        <w:t>al</w:t>
      </w:r>
      <w:r w:rsidR="004D34F2" w:rsidRPr="00E13258">
        <w:rPr>
          <w:rFonts w:ascii="Palatino Linotype" w:eastAsia="Calibri" w:hAnsi="Palatino Linotype" w:cs="Tahoma"/>
          <w:iCs/>
          <w:sz w:val="22"/>
          <w:szCs w:val="22"/>
          <w:lang w:val="es-ES" w:eastAsia="es-ES_tradnl"/>
        </w:rPr>
        <w:t xml:space="preserve"> Sujeto Obligado las Pólizas de Diario con su respectivo soporte documental </w:t>
      </w:r>
      <w:r w:rsidR="00CA435C" w:rsidRPr="00E13258">
        <w:rPr>
          <w:rFonts w:ascii="Palatino Linotype" w:eastAsia="Calibri" w:hAnsi="Palatino Linotype" w:cs="Tahoma"/>
          <w:iCs/>
          <w:sz w:val="22"/>
          <w:szCs w:val="22"/>
          <w:lang w:val="es-ES" w:eastAsia="es-ES_tradnl"/>
        </w:rPr>
        <w:t>del mes de noviembre del año do</w:t>
      </w:r>
      <w:r w:rsidR="004D34F2" w:rsidRPr="00E13258">
        <w:rPr>
          <w:rFonts w:ascii="Palatino Linotype" w:eastAsia="Calibri" w:hAnsi="Palatino Linotype" w:cs="Tahoma"/>
          <w:iCs/>
          <w:sz w:val="22"/>
          <w:szCs w:val="22"/>
          <w:lang w:val="es-ES" w:eastAsia="es-ES_tradnl"/>
        </w:rPr>
        <w:t>s</w:t>
      </w:r>
      <w:r w:rsidR="00CA435C" w:rsidRPr="00E13258">
        <w:rPr>
          <w:rFonts w:ascii="Palatino Linotype" w:eastAsia="Calibri" w:hAnsi="Palatino Linotype" w:cs="Tahoma"/>
          <w:iCs/>
          <w:sz w:val="22"/>
          <w:szCs w:val="22"/>
          <w:lang w:val="es-ES" w:eastAsia="es-ES_tradnl"/>
        </w:rPr>
        <w:t xml:space="preserve"> m</w:t>
      </w:r>
      <w:r w:rsidR="004D34F2" w:rsidRPr="00E13258">
        <w:rPr>
          <w:rFonts w:ascii="Palatino Linotype" w:eastAsia="Calibri" w:hAnsi="Palatino Linotype" w:cs="Tahoma"/>
          <w:iCs/>
          <w:sz w:val="22"/>
          <w:szCs w:val="22"/>
          <w:lang w:val="es-ES" w:eastAsia="es-ES_tradnl"/>
        </w:rPr>
        <w:t>il dieciocho.</w:t>
      </w:r>
    </w:p>
    <w:p w14:paraId="60635768" w14:textId="77777777" w:rsidR="00F538C9" w:rsidRPr="00E13258" w:rsidRDefault="00F538C9" w:rsidP="00DE5256">
      <w:pPr>
        <w:tabs>
          <w:tab w:val="left" w:pos="4962"/>
        </w:tabs>
        <w:spacing w:line="360" w:lineRule="auto"/>
        <w:jc w:val="both"/>
        <w:rPr>
          <w:rFonts w:ascii="Palatino Linotype" w:eastAsia="Calibri" w:hAnsi="Palatino Linotype" w:cs="Tahoma"/>
          <w:iCs/>
          <w:szCs w:val="22"/>
          <w:lang w:val="es-ES" w:eastAsia="es-ES_tradnl"/>
        </w:rPr>
      </w:pPr>
    </w:p>
    <w:p w14:paraId="5E1D21FF" w14:textId="77777777" w:rsidR="004D34F2" w:rsidRPr="00E13258" w:rsidRDefault="004D34F2" w:rsidP="00DE5256">
      <w:pPr>
        <w:tabs>
          <w:tab w:val="left" w:pos="4962"/>
        </w:tabs>
        <w:spacing w:line="360" w:lineRule="auto"/>
        <w:jc w:val="both"/>
        <w:rPr>
          <w:rFonts w:ascii="Palatino Linotype" w:eastAsia="Calibri" w:hAnsi="Palatino Linotype" w:cs="Tahoma"/>
          <w:iCs/>
          <w:sz w:val="22"/>
          <w:szCs w:val="22"/>
          <w:lang w:val="es-ES" w:eastAsia="es-ES_tradnl"/>
        </w:rPr>
      </w:pPr>
      <w:r w:rsidRPr="00E13258">
        <w:rPr>
          <w:rFonts w:ascii="Palatino Linotype" w:eastAsia="Calibri" w:hAnsi="Palatino Linotype" w:cs="Tahoma"/>
          <w:iCs/>
          <w:sz w:val="22"/>
          <w:szCs w:val="22"/>
          <w:lang w:val="es-ES" w:eastAsia="es-ES_tradnl"/>
        </w:rPr>
        <w:t>En respuesta, el Sujeto Obligado puso a disposición la información en versión pública, en el domicilio de la Unidad de Transparencia y Acceso a la Información Pública Municipal, ubicada en Plaza Cívica Dr. Gustavo Baz Prada, S/N, Tlalnepantla de Baz, C.P. 5400, Estado de México, bajo la modalidad CD, previo pago.</w:t>
      </w:r>
    </w:p>
    <w:p w14:paraId="1EAE1F16" w14:textId="77777777" w:rsidR="00465AC6" w:rsidRPr="00E13258" w:rsidRDefault="00465AC6" w:rsidP="00DE5256">
      <w:pPr>
        <w:tabs>
          <w:tab w:val="left" w:pos="4962"/>
        </w:tabs>
        <w:spacing w:line="360" w:lineRule="auto"/>
        <w:jc w:val="both"/>
        <w:rPr>
          <w:rFonts w:ascii="Palatino Linotype" w:eastAsia="Calibri" w:hAnsi="Palatino Linotype" w:cs="Tahoma"/>
          <w:iCs/>
          <w:sz w:val="22"/>
          <w:szCs w:val="22"/>
          <w:lang w:val="es-ES" w:eastAsia="es-ES_tradnl"/>
        </w:rPr>
      </w:pPr>
    </w:p>
    <w:p w14:paraId="18EB549A" w14:textId="77777777" w:rsidR="004D34F2" w:rsidRPr="00E13258" w:rsidRDefault="004D34F2" w:rsidP="00DE5256">
      <w:pPr>
        <w:tabs>
          <w:tab w:val="left" w:pos="4962"/>
        </w:tabs>
        <w:spacing w:line="360" w:lineRule="auto"/>
        <w:jc w:val="both"/>
        <w:rPr>
          <w:rFonts w:ascii="Palatino Linotype" w:eastAsia="Calibri" w:hAnsi="Palatino Linotype" w:cs="Tahoma"/>
          <w:iCs/>
          <w:sz w:val="22"/>
          <w:szCs w:val="22"/>
          <w:lang w:val="es-ES" w:eastAsia="es-ES_tradnl"/>
        </w:rPr>
      </w:pPr>
      <w:r w:rsidRPr="00E13258">
        <w:rPr>
          <w:rFonts w:ascii="Palatino Linotype" w:eastAsia="Calibri" w:hAnsi="Palatino Linotype" w:cs="Tahoma"/>
          <w:iCs/>
          <w:sz w:val="22"/>
          <w:szCs w:val="22"/>
          <w:lang w:val="es-ES" w:eastAsia="es-ES_tradnl"/>
        </w:rPr>
        <w:t xml:space="preserve">Ante tal circunstancia, el ahora Recurrente se inconformó al considerar que la información no le fue entregada, motivo por el cual se actualiza el supuesto previsto en el artículo 179, fracción </w:t>
      </w:r>
    </w:p>
    <w:p w14:paraId="171967F9" w14:textId="61CD022E" w:rsidR="004D34F2" w:rsidRPr="00E13258" w:rsidRDefault="004D34F2" w:rsidP="00DE5256">
      <w:pPr>
        <w:tabs>
          <w:tab w:val="left" w:pos="4962"/>
        </w:tabs>
        <w:spacing w:line="360" w:lineRule="auto"/>
        <w:jc w:val="both"/>
        <w:rPr>
          <w:rFonts w:ascii="Palatino Linotype" w:eastAsia="Calibri" w:hAnsi="Palatino Linotype" w:cs="Tahoma"/>
          <w:iCs/>
          <w:sz w:val="22"/>
          <w:szCs w:val="22"/>
          <w:lang w:val="es-ES" w:eastAsia="es-ES_tradnl"/>
        </w:rPr>
      </w:pPr>
      <w:r w:rsidRPr="00E13258">
        <w:rPr>
          <w:rFonts w:ascii="Palatino Linotype" w:eastAsia="Calibri" w:hAnsi="Palatino Linotype" w:cs="Tahoma"/>
          <w:iCs/>
          <w:sz w:val="22"/>
          <w:szCs w:val="22"/>
          <w:lang w:val="es-ES" w:eastAsia="es-ES_tradnl"/>
        </w:rPr>
        <w:t>I, de la Ley de Transparencia y Acceso a la Información Pública del Estado de México y Municipios</w:t>
      </w:r>
      <w:r w:rsidR="00F74324" w:rsidRPr="00E13258">
        <w:rPr>
          <w:rFonts w:ascii="Palatino Linotype" w:eastAsia="Calibri" w:hAnsi="Palatino Linotype" w:cs="Tahoma"/>
          <w:iCs/>
          <w:sz w:val="22"/>
          <w:szCs w:val="22"/>
          <w:lang w:val="es-ES" w:eastAsia="es-ES_tradnl"/>
        </w:rPr>
        <w:t xml:space="preserve">; sin embargo, se advierte que sí hubo respuesta, pero el Sujeto Obligado cambió la modalidad de acceso </w:t>
      </w:r>
      <w:r w:rsidR="00D77BDB" w:rsidRPr="00E13258">
        <w:rPr>
          <w:rFonts w:ascii="Palatino Linotype" w:eastAsia="Calibri" w:hAnsi="Palatino Linotype" w:cs="Tahoma"/>
          <w:iCs/>
          <w:sz w:val="22"/>
          <w:szCs w:val="22"/>
          <w:lang w:val="es-ES" w:eastAsia="es-ES_tradnl"/>
        </w:rPr>
        <w:t xml:space="preserve">a entrega en CD, previo pago de los derechos correspondientes, por lo que, se aplica la suplencia de la queja prevista en el artículo </w:t>
      </w:r>
      <w:r w:rsidR="000D6F62" w:rsidRPr="00E13258">
        <w:rPr>
          <w:rFonts w:ascii="Palatino Linotype" w:eastAsia="Calibri" w:hAnsi="Palatino Linotype" w:cs="Tahoma"/>
          <w:iCs/>
          <w:sz w:val="22"/>
          <w:szCs w:val="22"/>
          <w:lang w:val="es-ES" w:eastAsia="es-ES_tradnl"/>
        </w:rPr>
        <w:t>181, párrafo cuarto de la Ley de Transparencia y Acceso a la Información Pública del Estado de México y Municipios.</w:t>
      </w:r>
    </w:p>
    <w:p w14:paraId="44B66EA2" w14:textId="77777777" w:rsidR="004D34F2" w:rsidRPr="00E13258" w:rsidRDefault="004D34F2" w:rsidP="00DE5256">
      <w:pPr>
        <w:tabs>
          <w:tab w:val="left" w:pos="4962"/>
        </w:tabs>
        <w:spacing w:line="360" w:lineRule="auto"/>
        <w:jc w:val="both"/>
        <w:rPr>
          <w:rFonts w:ascii="Palatino Linotype" w:eastAsia="Calibri" w:hAnsi="Palatino Linotype" w:cs="Tahoma"/>
          <w:iCs/>
          <w:sz w:val="22"/>
          <w:szCs w:val="22"/>
          <w:lang w:val="es-ES" w:eastAsia="es-ES_tradnl"/>
        </w:rPr>
      </w:pPr>
    </w:p>
    <w:p w14:paraId="25BF1904" w14:textId="77777777" w:rsidR="00D47A95" w:rsidRPr="00E13258" w:rsidRDefault="00D47A95" w:rsidP="00DE5256">
      <w:pPr>
        <w:tabs>
          <w:tab w:val="left" w:pos="4962"/>
        </w:tabs>
        <w:spacing w:line="360" w:lineRule="auto"/>
        <w:jc w:val="both"/>
        <w:rPr>
          <w:rFonts w:ascii="Palatino Linotype" w:eastAsia="Calibri" w:hAnsi="Palatino Linotype" w:cs="Tahoma"/>
          <w:iCs/>
          <w:sz w:val="22"/>
          <w:szCs w:val="22"/>
          <w:lang w:val="es-ES" w:eastAsia="es-ES_tradnl"/>
        </w:rPr>
      </w:pPr>
      <w:r w:rsidRPr="00E13258">
        <w:rPr>
          <w:rFonts w:ascii="Palatino Linotype" w:eastAsia="Calibri" w:hAnsi="Palatino Linotype" w:cs="Tahoma"/>
          <w:iCs/>
          <w:sz w:val="22"/>
          <w:szCs w:val="22"/>
          <w:lang w:val="es-ES" w:eastAsia="es-ES_tradnl"/>
        </w:rPr>
        <w:t xml:space="preserve">Aclarado lo anterior, lo consecuente es analizar la legalidad de la respuesta emitida por el Ayuntamiento de </w:t>
      </w:r>
      <w:r w:rsidR="00241163" w:rsidRPr="00E13258">
        <w:rPr>
          <w:rFonts w:ascii="Palatino Linotype" w:eastAsia="Calibri" w:hAnsi="Palatino Linotype" w:cs="Tahoma"/>
          <w:iCs/>
          <w:sz w:val="22"/>
          <w:szCs w:val="22"/>
          <w:lang w:val="es-ES" w:eastAsia="es-ES_tradnl"/>
        </w:rPr>
        <w:t xml:space="preserve">Tlalnepantla de Baz </w:t>
      </w:r>
      <w:r w:rsidRPr="00E13258">
        <w:rPr>
          <w:rFonts w:ascii="Palatino Linotype" w:eastAsia="Calibri" w:hAnsi="Palatino Linotype" w:cs="Tahoma"/>
          <w:iCs/>
          <w:sz w:val="22"/>
          <w:szCs w:val="22"/>
          <w:lang w:val="es-ES" w:eastAsia="es-ES_tradnl"/>
        </w:rPr>
        <w:t xml:space="preserve">a la luz de los agravios manifestados por el ahora </w:t>
      </w:r>
      <w:r w:rsidR="00B571CD" w:rsidRPr="00E13258">
        <w:rPr>
          <w:rFonts w:ascii="Palatino Linotype" w:eastAsia="Calibri" w:hAnsi="Palatino Linotype" w:cs="Tahoma"/>
          <w:iCs/>
          <w:sz w:val="22"/>
          <w:szCs w:val="22"/>
          <w:lang w:val="es-ES" w:eastAsia="es-ES_tradnl"/>
        </w:rPr>
        <w:t>Recurrente</w:t>
      </w:r>
      <w:r w:rsidRPr="00E13258">
        <w:rPr>
          <w:rFonts w:ascii="Palatino Linotype" w:eastAsia="Calibri" w:hAnsi="Palatino Linotype" w:cs="Tahoma"/>
          <w:iCs/>
          <w:sz w:val="22"/>
          <w:szCs w:val="22"/>
          <w:lang w:val="es-ES" w:eastAsia="es-ES_tradnl"/>
        </w:rPr>
        <w:t>, de conformidad con lo dispuesto por la Ley de Transparencia y Acceso a la Información Pública del Estado de México y Municipios, y demás disposiciones legales aplicables a la materia que se resuelve.</w:t>
      </w:r>
    </w:p>
    <w:p w14:paraId="2F2F71F7" w14:textId="77777777" w:rsidR="00D47A95" w:rsidRPr="00E13258" w:rsidRDefault="00D47A95" w:rsidP="00DE5256">
      <w:pPr>
        <w:spacing w:line="360" w:lineRule="auto"/>
        <w:ind w:right="-93"/>
        <w:jc w:val="both"/>
        <w:rPr>
          <w:rFonts w:ascii="Palatino Linotype" w:hAnsi="Palatino Linotype" w:cs="Tahoma"/>
          <w:b/>
          <w:sz w:val="22"/>
          <w:szCs w:val="22"/>
          <w:lang w:val="es-ES"/>
        </w:rPr>
      </w:pPr>
    </w:p>
    <w:p w14:paraId="4A33DD75" w14:textId="77777777" w:rsidR="00B37CF8" w:rsidRPr="00E13258" w:rsidRDefault="00B37CF8" w:rsidP="00DE5256">
      <w:pPr>
        <w:spacing w:line="360" w:lineRule="auto"/>
        <w:ind w:right="-93"/>
        <w:jc w:val="both"/>
        <w:rPr>
          <w:rFonts w:ascii="Palatino Linotype" w:hAnsi="Palatino Linotype" w:cs="Tahoma"/>
          <w:b/>
          <w:sz w:val="22"/>
          <w:szCs w:val="22"/>
        </w:rPr>
      </w:pPr>
      <w:r w:rsidRPr="00E13258">
        <w:rPr>
          <w:rFonts w:ascii="Palatino Linotype" w:hAnsi="Palatino Linotype" w:cs="Tahoma"/>
          <w:b/>
          <w:sz w:val="22"/>
          <w:szCs w:val="22"/>
          <w:lang w:val="es-ES"/>
        </w:rPr>
        <w:lastRenderedPageBreak/>
        <w:t xml:space="preserve">CUARTO. </w:t>
      </w:r>
      <w:r w:rsidRPr="00E13258">
        <w:rPr>
          <w:rFonts w:ascii="Palatino Linotype" w:hAnsi="Palatino Linotype" w:cs="Tahoma"/>
          <w:b/>
          <w:sz w:val="22"/>
          <w:szCs w:val="22"/>
        </w:rPr>
        <w:t>Marco normativo aplicable en materia de transparencia y acceso a la información pública.</w:t>
      </w:r>
    </w:p>
    <w:p w14:paraId="42C3AB58" w14:textId="77777777" w:rsidR="00B37CF8" w:rsidRPr="00E13258" w:rsidRDefault="00B37CF8" w:rsidP="00DE5256">
      <w:pPr>
        <w:spacing w:line="360" w:lineRule="auto"/>
        <w:ind w:right="-93"/>
        <w:jc w:val="both"/>
        <w:rPr>
          <w:rFonts w:ascii="Palatino Linotype" w:hAnsi="Palatino Linotype" w:cs="Tahoma"/>
          <w:b/>
          <w:sz w:val="22"/>
          <w:szCs w:val="22"/>
        </w:rPr>
      </w:pPr>
    </w:p>
    <w:p w14:paraId="679120A3" w14:textId="77777777" w:rsidR="004B6A23" w:rsidRPr="00E13258" w:rsidRDefault="00B37CF8" w:rsidP="00DE5256">
      <w:pPr>
        <w:spacing w:line="360" w:lineRule="auto"/>
        <w:contextualSpacing/>
        <w:jc w:val="both"/>
        <w:rPr>
          <w:rFonts w:ascii="Palatino Linotype" w:hAnsi="Palatino Linotype" w:cs="Tahoma"/>
          <w:sz w:val="22"/>
          <w:szCs w:val="22"/>
        </w:rPr>
      </w:pPr>
      <w:r w:rsidRPr="00E13258">
        <w:rPr>
          <w:rFonts w:ascii="Palatino Linotype" w:hAnsi="Palatino Linotype" w:cs="Tahoma"/>
          <w:sz w:val="22"/>
          <w:szCs w:val="22"/>
        </w:rPr>
        <w:t>El artículo 6°, Apartado A), fracción I de la Constitución Política de los Estados Unidos Mexicanos, establece que toda la información en posesión de cualquier autoridad, es pública y sólo podrá ser reservada temporalmente por razones de interés público.</w:t>
      </w:r>
      <w:r w:rsidR="004B6A23" w:rsidRPr="00E13258">
        <w:rPr>
          <w:rFonts w:ascii="Palatino Linotype" w:hAnsi="Palatino Linotype" w:cs="Tahoma"/>
          <w:sz w:val="22"/>
          <w:szCs w:val="22"/>
        </w:rPr>
        <w:t xml:space="preserve"> </w:t>
      </w:r>
    </w:p>
    <w:p w14:paraId="459E0CF8" w14:textId="77777777" w:rsidR="004B6A23" w:rsidRPr="00E13258" w:rsidRDefault="004B6A23" w:rsidP="00DE5256">
      <w:pPr>
        <w:spacing w:line="360" w:lineRule="auto"/>
        <w:contextualSpacing/>
        <w:jc w:val="both"/>
        <w:rPr>
          <w:rFonts w:ascii="Palatino Linotype" w:hAnsi="Palatino Linotype" w:cs="Tahoma"/>
          <w:sz w:val="22"/>
          <w:szCs w:val="22"/>
        </w:rPr>
      </w:pPr>
    </w:p>
    <w:p w14:paraId="5B645451" w14:textId="77777777" w:rsidR="00B37CF8" w:rsidRPr="00E13258" w:rsidRDefault="00B37CF8" w:rsidP="00DE5256">
      <w:pPr>
        <w:spacing w:line="360" w:lineRule="auto"/>
        <w:contextualSpacing/>
        <w:jc w:val="both"/>
        <w:rPr>
          <w:rFonts w:ascii="Palatino Linotype" w:hAnsi="Palatino Linotype" w:cs="Tahoma"/>
          <w:sz w:val="22"/>
          <w:szCs w:val="22"/>
        </w:rPr>
      </w:pPr>
      <w:r w:rsidRPr="00E13258">
        <w:rPr>
          <w:rFonts w:ascii="Palatino Linotype" w:hAnsi="Palatino Linotype" w:cs="Tahoma"/>
          <w:sz w:val="22"/>
          <w:szCs w:val="22"/>
        </w:rPr>
        <w:t>La Ley General de Transparencia y Acceso a la Información Pública, publicada en el Diario Oficial de la Federación el 4 de mayo de 2015, dispone en su artículo 70, la información que se considera corresponde a las Obligaciones de Transparencia, la cual debe estar disponible para cualquier persona de manera permanente y actualizada.</w:t>
      </w:r>
    </w:p>
    <w:p w14:paraId="3303998B" w14:textId="77777777" w:rsidR="00B37CF8" w:rsidRPr="00E13258" w:rsidRDefault="00B37CF8" w:rsidP="00DE5256">
      <w:pPr>
        <w:spacing w:line="360" w:lineRule="auto"/>
        <w:jc w:val="both"/>
        <w:rPr>
          <w:rFonts w:ascii="Palatino Linotype" w:hAnsi="Palatino Linotype" w:cs="Tahoma"/>
          <w:sz w:val="22"/>
          <w:szCs w:val="22"/>
        </w:rPr>
      </w:pPr>
    </w:p>
    <w:p w14:paraId="2C26357A" w14:textId="77777777" w:rsidR="00B37CF8" w:rsidRPr="00E13258" w:rsidRDefault="00B37CF8" w:rsidP="00DE5256">
      <w:pPr>
        <w:spacing w:line="360" w:lineRule="auto"/>
        <w:jc w:val="both"/>
        <w:rPr>
          <w:rFonts w:ascii="Palatino Linotype" w:hAnsi="Palatino Linotype" w:cs="Tahoma"/>
          <w:sz w:val="22"/>
          <w:szCs w:val="22"/>
        </w:rPr>
      </w:pPr>
      <w:r w:rsidRPr="00E13258">
        <w:rPr>
          <w:rFonts w:ascii="Palatino Linotype" w:hAnsi="Palatino Linotype" w:cs="Tahoma"/>
          <w:sz w:val="22"/>
          <w:szCs w:val="22"/>
        </w:rPr>
        <w:t xml:space="preserve">En este sentido,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de difundir los sujetos </w:t>
      </w:r>
      <w:r w:rsidR="00956793" w:rsidRPr="00E13258">
        <w:rPr>
          <w:rFonts w:ascii="Palatino Linotype" w:hAnsi="Palatino Linotype" w:cs="Tahoma"/>
          <w:sz w:val="22"/>
          <w:szCs w:val="22"/>
        </w:rPr>
        <w:t>Obligado</w:t>
      </w:r>
      <w:r w:rsidRPr="00E13258">
        <w:rPr>
          <w:rFonts w:ascii="Palatino Linotype" w:hAnsi="Palatino Linotype" w:cs="Tahoma"/>
          <w:sz w:val="22"/>
          <w:szCs w:val="22"/>
        </w:rPr>
        <w:t>s en los portales de Internet y en la Plataforma Nacional de Transparencia, establecen los formatos para dar cumplimiento a las Obligaciones de Transparencia, así como los plazos de actualización.</w:t>
      </w:r>
    </w:p>
    <w:p w14:paraId="50DE43D7" w14:textId="77777777" w:rsidR="00B37CF8" w:rsidRPr="00E13258" w:rsidRDefault="00B37CF8" w:rsidP="00DE5256">
      <w:pPr>
        <w:spacing w:line="360" w:lineRule="auto"/>
        <w:jc w:val="both"/>
        <w:rPr>
          <w:rFonts w:ascii="Palatino Linotype" w:hAnsi="Palatino Linotype" w:cs="Tahoma"/>
          <w:sz w:val="22"/>
          <w:szCs w:val="22"/>
        </w:rPr>
      </w:pPr>
    </w:p>
    <w:p w14:paraId="79DD639F" w14:textId="77777777" w:rsidR="00B37CF8" w:rsidRPr="00E13258" w:rsidRDefault="00B37CF8" w:rsidP="00DE5256">
      <w:pPr>
        <w:spacing w:line="360" w:lineRule="auto"/>
        <w:jc w:val="both"/>
        <w:rPr>
          <w:rFonts w:ascii="Palatino Linotype" w:hAnsi="Palatino Linotype" w:cs="Tahoma"/>
          <w:sz w:val="22"/>
          <w:szCs w:val="22"/>
        </w:rPr>
      </w:pPr>
      <w:r w:rsidRPr="00E13258">
        <w:rPr>
          <w:rFonts w:ascii="Palatino Linotype" w:hAnsi="Palatino Linotype" w:cs="Tahoma"/>
          <w:sz w:val="22"/>
          <w:szCs w:val="22"/>
        </w:rPr>
        <w:t>Por su parte, en materia local, el artículo 5°, fracción I de la Constitución Política del Estado Libre y Soberano de México, es coincidente con la Constitución Federal, en el sentido de la publicidad de toda la información, con la única restricción de proteger el interés público, así como la información referente a la intimidad de la vida privada y la imagen de las personas, con las excepciones que establezca la ley reglamentaria.</w:t>
      </w:r>
    </w:p>
    <w:p w14:paraId="3D43C6C5" w14:textId="77777777" w:rsidR="00B37CF8" w:rsidRPr="00E13258" w:rsidRDefault="00B37CF8" w:rsidP="00DE5256">
      <w:pPr>
        <w:spacing w:line="360" w:lineRule="auto"/>
        <w:jc w:val="both"/>
        <w:rPr>
          <w:rFonts w:ascii="Palatino Linotype" w:hAnsi="Palatino Linotype" w:cs="Tahoma"/>
          <w:sz w:val="22"/>
          <w:szCs w:val="22"/>
        </w:rPr>
      </w:pPr>
    </w:p>
    <w:p w14:paraId="6C2D3EB8" w14:textId="77777777" w:rsidR="00B37CF8" w:rsidRPr="00E13258" w:rsidRDefault="00B37CF8" w:rsidP="00DE5256">
      <w:pPr>
        <w:spacing w:line="360" w:lineRule="auto"/>
        <w:jc w:val="both"/>
        <w:rPr>
          <w:rFonts w:ascii="Palatino Linotype" w:hAnsi="Palatino Linotype" w:cs="Tahoma"/>
          <w:sz w:val="22"/>
          <w:szCs w:val="22"/>
        </w:rPr>
      </w:pPr>
      <w:r w:rsidRPr="00E13258">
        <w:rPr>
          <w:rFonts w:ascii="Palatino Linotype" w:hAnsi="Palatino Linotype" w:cs="Tahoma"/>
          <w:sz w:val="22"/>
          <w:szCs w:val="22"/>
        </w:rPr>
        <w:t>Por su parte, la Ley de Transparencia y Acceso a la Información Pública del Estado de México y Municipios (Reglamentaria del artículo 5° de la Constitución Local), establece lo siguiente:</w:t>
      </w:r>
    </w:p>
    <w:p w14:paraId="1ECBF9CE" w14:textId="77777777" w:rsidR="00B37CF8" w:rsidRPr="00E13258" w:rsidRDefault="00B37CF8" w:rsidP="00DE5256">
      <w:pPr>
        <w:spacing w:line="360" w:lineRule="auto"/>
        <w:jc w:val="both"/>
        <w:rPr>
          <w:rFonts w:ascii="Palatino Linotype" w:hAnsi="Palatino Linotype" w:cs="Tahoma"/>
          <w:sz w:val="22"/>
          <w:szCs w:val="22"/>
        </w:rPr>
      </w:pPr>
    </w:p>
    <w:p w14:paraId="123B091D" w14:textId="77777777" w:rsidR="00B37CF8" w:rsidRPr="00E13258" w:rsidRDefault="00B37CF8" w:rsidP="00DE5256">
      <w:pPr>
        <w:spacing w:line="360" w:lineRule="auto"/>
        <w:jc w:val="both"/>
        <w:rPr>
          <w:rFonts w:ascii="Palatino Linotype" w:hAnsi="Palatino Linotype" w:cs="Tahoma"/>
          <w:sz w:val="22"/>
          <w:szCs w:val="22"/>
        </w:rPr>
      </w:pPr>
      <w:r w:rsidRPr="00E13258">
        <w:rPr>
          <w:rFonts w:ascii="Palatino Linotype" w:hAnsi="Palatino Linotype" w:cs="Tahoma"/>
          <w:sz w:val="22"/>
          <w:szCs w:val="22"/>
        </w:rPr>
        <w:t>El artículo 12, que, quienes generen, recopilen, administren, manejen, procesen, archiven o conserven información pública serán responsables de la misma.</w:t>
      </w:r>
    </w:p>
    <w:p w14:paraId="7DD956A1" w14:textId="77777777" w:rsidR="00B37CF8" w:rsidRPr="00E13258" w:rsidRDefault="00B37CF8" w:rsidP="00DE5256">
      <w:pPr>
        <w:spacing w:line="360" w:lineRule="auto"/>
        <w:jc w:val="both"/>
        <w:rPr>
          <w:rFonts w:ascii="Palatino Linotype" w:hAnsi="Palatino Linotype" w:cs="Tahoma"/>
          <w:sz w:val="22"/>
          <w:szCs w:val="22"/>
        </w:rPr>
      </w:pPr>
    </w:p>
    <w:p w14:paraId="15DD4811" w14:textId="77777777" w:rsidR="00B37CF8" w:rsidRPr="00E13258" w:rsidRDefault="00B37CF8" w:rsidP="00DE5256">
      <w:pPr>
        <w:spacing w:line="360" w:lineRule="auto"/>
        <w:jc w:val="both"/>
        <w:rPr>
          <w:rFonts w:ascii="Palatino Linotype" w:hAnsi="Palatino Linotype" w:cs="Tahoma"/>
          <w:sz w:val="22"/>
          <w:szCs w:val="22"/>
        </w:rPr>
      </w:pPr>
      <w:r w:rsidRPr="00E13258">
        <w:rPr>
          <w:rFonts w:ascii="Palatino Linotype" w:hAnsi="Palatino Linotype" w:cs="Tahoma"/>
          <w:sz w:val="22"/>
          <w:szCs w:val="22"/>
        </w:rPr>
        <w:t xml:space="preserve">El artículo 18, que, los Sujetos </w:t>
      </w:r>
      <w:r w:rsidR="00956793" w:rsidRPr="00E13258">
        <w:rPr>
          <w:rFonts w:ascii="Palatino Linotype" w:hAnsi="Palatino Linotype" w:cs="Tahoma"/>
          <w:sz w:val="22"/>
          <w:szCs w:val="22"/>
        </w:rPr>
        <w:t>Obligado</w:t>
      </w:r>
      <w:r w:rsidRPr="00E13258">
        <w:rPr>
          <w:rFonts w:ascii="Palatino Linotype" w:hAnsi="Palatino Linotype" w:cs="Tahoma"/>
          <w:sz w:val="22"/>
          <w:szCs w:val="22"/>
        </w:rPr>
        <w:t>s deberán documentar todo acto que derive del ejercicio de sus facultades, competencias o funciones, considerando desde su origen la eventual publicidad y reutilización de la información que generen.</w:t>
      </w:r>
    </w:p>
    <w:p w14:paraId="6522651A" w14:textId="77777777" w:rsidR="004B6A23" w:rsidRPr="00E13258" w:rsidRDefault="004B6A23" w:rsidP="00DE5256">
      <w:pPr>
        <w:spacing w:line="360" w:lineRule="auto"/>
        <w:jc w:val="both"/>
        <w:rPr>
          <w:rFonts w:ascii="Palatino Linotype" w:hAnsi="Palatino Linotype" w:cs="Tahoma"/>
          <w:sz w:val="22"/>
          <w:szCs w:val="22"/>
        </w:rPr>
      </w:pPr>
    </w:p>
    <w:p w14:paraId="738D87BC" w14:textId="77777777" w:rsidR="00B37CF8" w:rsidRPr="00E13258" w:rsidRDefault="00B37CF8" w:rsidP="00DE5256">
      <w:pPr>
        <w:spacing w:line="360" w:lineRule="auto"/>
        <w:jc w:val="both"/>
        <w:rPr>
          <w:rFonts w:ascii="Palatino Linotype" w:hAnsi="Palatino Linotype" w:cs="Tahoma"/>
          <w:sz w:val="22"/>
          <w:szCs w:val="22"/>
        </w:rPr>
      </w:pPr>
      <w:r w:rsidRPr="00E13258">
        <w:rPr>
          <w:rFonts w:ascii="Palatino Linotype" w:hAnsi="Palatino Linotype" w:cs="Tahoma"/>
          <w:sz w:val="22"/>
          <w:szCs w:val="22"/>
        </w:rPr>
        <w:t xml:space="preserve">El artículo 19, que, se presume que la información debe existir si se refiere a las facultades, competencias y funciones que los ordenamientos jurídicos aplicables otorgan a los sujetos </w:t>
      </w:r>
      <w:r w:rsidR="00956793" w:rsidRPr="00E13258">
        <w:rPr>
          <w:rFonts w:ascii="Palatino Linotype" w:hAnsi="Palatino Linotype" w:cs="Tahoma"/>
          <w:sz w:val="22"/>
          <w:szCs w:val="22"/>
        </w:rPr>
        <w:t>Obligado</w:t>
      </w:r>
      <w:r w:rsidRPr="00E13258">
        <w:rPr>
          <w:rFonts w:ascii="Palatino Linotype" w:hAnsi="Palatino Linotype" w:cs="Tahoma"/>
          <w:sz w:val="22"/>
          <w:szCs w:val="22"/>
        </w:rPr>
        <w:t>s y en caso de que dichas facultades no se hayan ejercido, se deberá motivar la respuesta en función de las causas que motivaron tal circunstancia.</w:t>
      </w:r>
    </w:p>
    <w:p w14:paraId="179D29B7" w14:textId="77777777" w:rsidR="00B37CF8" w:rsidRPr="00E13258" w:rsidRDefault="00B37CF8" w:rsidP="00DE5256">
      <w:pPr>
        <w:spacing w:line="360" w:lineRule="auto"/>
        <w:jc w:val="both"/>
        <w:rPr>
          <w:rFonts w:ascii="Palatino Linotype" w:hAnsi="Palatino Linotype" w:cs="Tahoma"/>
          <w:sz w:val="22"/>
          <w:szCs w:val="22"/>
        </w:rPr>
      </w:pPr>
    </w:p>
    <w:p w14:paraId="0356130C" w14:textId="77777777" w:rsidR="00237D0D" w:rsidRPr="00E13258" w:rsidRDefault="00B37CF8" w:rsidP="00DE5256">
      <w:pPr>
        <w:spacing w:line="360" w:lineRule="auto"/>
        <w:ind w:right="-93"/>
        <w:jc w:val="both"/>
        <w:rPr>
          <w:rFonts w:ascii="Palatino Linotype" w:hAnsi="Palatino Linotype" w:cs="Tahoma"/>
          <w:b/>
          <w:sz w:val="22"/>
          <w:szCs w:val="22"/>
          <w:lang w:val="es-ES"/>
        </w:rPr>
      </w:pPr>
      <w:r w:rsidRPr="00E13258">
        <w:rPr>
          <w:rFonts w:ascii="Palatino Linotype" w:hAnsi="Palatino Linotype" w:cs="Tahoma"/>
          <w:b/>
          <w:sz w:val="22"/>
          <w:szCs w:val="22"/>
          <w:lang w:val="es-ES"/>
        </w:rPr>
        <w:t>QUINTO</w:t>
      </w:r>
      <w:r w:rsidR="009617D3" w:rsidRPr="00E13258">
        <w:rPr>
          <w:rFonts w:ascii="Palatino Linotype" w:hAnsi="Palatino Linotype" w:cs="Tahoma"/>
          <w:b/>
          <w:sz w:val="22"/>
          <w:szCs w:val="22"/>
          <w:lang w:val="es-ES"/>
        </w:rPr>
        <w:t>. Estudio de Fondo.</w:t>
      </w:r>
    </w:p>
    <w:p w14:paraId="1825645E" w14:textId="77777777" w:rsidR="00703B8D" w:rsidRPr="00E13258" w:rsidRDefault="00703B8D" w:rsidP="00DE5256">
      <w:pPr>
        <w:spacing w:line="360" w:lineRule="auto"/>
        <w:ind w:right="-93"/>
        <w:jc w:val="both"/>
        <w:rPr>
          <w:rFonts w:ascii="Palatino Linotype" w:hAnsi="Palatino Linotype" w:cs="Tahoma"/>
          <w:b/>
          <w:sz w:val="22"/>
          <w:szCs w:val="22"/>
          <w:lang w:val="es-ES"/>
        </w:rPr>
      </w:pPr>
    </w:p>
    <w:p w14:paraId="6D8815AE" w14:textId="77777777" w:rsidR="00D47A95" w:rsidRPr="00E13258" w:rsidRDefault="00D47A95" w:rsidP="00DE5256">
      <w:pPr>
        <w:spacing w:line="360" w:lineRule="auto"/>
        <w:ind w:right="-93"/>
        <w:jc w:val="both"/>
        <w:rPr>
          <w:rFonts w:ascii="Palatino Linotype" w:eastAsia="Calibri" w:hAnsi="Palatino Linotype" w:cs="Tahoma"/>
          <w:bCs/>
          <w:sz w:val="22"/>
          <w:szCs w:val="22"/>
          <w:lang w:eastAsia="en-US"/>
        </w:rPr>
      </w:pPr>
      <w:r w:rsidRPr="00E13258">
        <w:rPr>
          <w:rFonts w:ascii="Palatino Linotype" w:eastAsia="Calibri" w:hAnsi="Palatino Linotype" w:cs="Tahoma"/>
          <w:bCs/>
          <w:sz w:val="22"/>
          <w:szCs w:val="22"/>
          <w:lang w:eastAsia="en-US"/>
        </w:rPr>
        <w:t xml:space="preserve">Expuesta la controversia, se procede al análisis del agravio hecho valer por el ahora Recurrente, concerniente a la respuesta del Ayuntamiento de </w:t>
      </w:r>
      <w:r w:rsidR="0010500B" w:rsidRPr="00E13258">
        <w:rPr>
          <w:rFonts w:ascii="Palatino Linotype" w:eastAsia="Calibri" w:hAnsi="Palatino Linotype" w:cs="Tahoma"/>
          <w:bCs/>
          <w:sz w:val="22"/>
          <w:szCs w:val="22"/>
          <w:lang w:eastAsia="en-US"/>
        </w:rPr>
        <w:t>Tlalnepantla de Baz</w:t>
      </w:r>
      <w:r w:rsidRPr="00E13258">
        <w:rPr>
          <w:rFonts w:ascii="Palatino Linotype" w:eastAsia="Calibri" w:hAnsi="Palatino Linotype" w:cs="Tahoma"/>
          <w:bCs/>
          <w:sz w:val="22"/>
          <w:szCs w:val="22"/>
          <w:lang w:eastAsia="en-US"/>
        </w:rPr>
        <w:t xml:space="preserve"> al requerimiento informativo.</w:t>
      </w:r>
    </w:p>
    <w:p w14:paraId="18B4A282" w14:textId="77777777" w:rsidR="00D47A95" w:rsidRPr="00E13258" w:rsidRDefault="00D47A95" w:rsidP="00DE5256">
      <w:pPr>
        <w:spacing w:line="360" w:lineRule="auto"/>
        <w:ind w:right="-93"/>
        <w:jc w:val="both"/>
        <w:rPr>
          <w:rFonts w:ascii="Palatino Linotype" w:eastAsia="Calibri" w:hAnsi="Palatino Linotype" w:cs="Tahoma"/>
          <w:bCs/>
          <w:sz w:val="22"/>
          <w:szCs w:val="22"/>
          <w:lang w:eastAsia="en-US"/>
        </w:rPr>
      </w:pPr>
    </w:p>
    <w:p w14:paraId="64CB1716" w14:textId="77777777" w:rsidR="00D47A95" w:rsidRPr="00E13258" w:rsidRDefault="00D47A95" w:rsidP="00DE5256">
      <w:pPr>
        <w:spacing w:line="360" w:lineRule="auto"/>
        <w:ind w:right="-93"/>
        <w:jc w:val="both"/>
        <w:rPr>
          <w:rFonts w:ascii="Palatino Linotype" w:eastAsia="Calibri" w:hAnsi="Palatino Linotype" w:cs="Tahoma"/>
          <w:bCs/>
          <w:sz w:val="22"/>
          <w:szCs w:val="22"/>
          <w:lang w:eastAsia="en-US"/>
        </w:rPr>
      </w:pPr>
      <w:r w:rsidRPr="00E13258">
        <w:rPr>
          <w:rFonts w:ascii="Palatino Linotype" w:eastAsia="Calibri" w:hAnsi="Palatino Linotype" w:cs="Tahoma"/>
          <w:bCs/>
          <w:sz w:val="22"/>
          <w:szCs w:val="22"/>
          <w:lang w:eastAsia="en-US"/>
        </w:rPr>
        <w:t>En principio, es de suma importancia señalar los objetivos de la Ley de Transparencia y Acceso a la Información Pública del Estado de México y Municipios, en relación con la obligación de acceso por parte de los Sujetos Obligados, los cuales se encuentran establecidos en el artículo 2° de dicho ordenamiento jurídico y son los siguientes:</w:t>
      </w:r>
    </w:p>
    <w:p w14:paraId="5E419A3B" w14:textId="77777777" w:rsidR="00D47A95" w:rsidRPr="00E13258" w:rsidRDefault="00D47A95" w:rsidP="00DE5256">
      <w:pPr>
        <w:spacing w:line="360" w:lineRule="auto"/>
        <w:ind w:right="-93"/>
        <w:jc w:val="both"/>
        <w:rPr>
          <w:rFonts w:ascii="Palatino Linotype" w:eastAsia="Calibri" w:hAnsi="Palatino Linotype" w:cs="Tahoma"/>
          <w:bCs/>
          <w:sz w:val="22"/>
          <w:szCs w:val="22"/>
          <w:lang w:eastAsia="en-US"/>
        </w:rPr>
      </w:pPr>
    </w:p>
    <w:p w14:paraId="15C6B136" w14:textId="77777777" w:rsidR="00D47A95" w:rsidRPr="00E13258" w:rsidRDefault="00D47A95" w:rsidP="00DE5256">
      <w:pPr>
        <w:pStyle w:val="Prrafodelista"/>
        <w:numPr>
          <w:ilvl w:val="0"/>
          <w:numId w:val="2"/>
        </w:numPr>
        <w:spacing w:line="360" w:lineRule="auto"/>
        <w:ind w:right="-93"/>
        <w:jc w:val="both"/>
        <w:rPr>
          <w:rFonts w:ascii="Palatino Linotype" w:eastAsia="Calibri" w:hAnsi="Palatino Linotype" w:cs="Tahoma"/>
          <w:bCs/>
          <w:szCs w:val="22"/>
          <w:lang w:eastAsia="en-US"/>
        </w:rPr>
      </w:pPr>
      <w:r w:rsidRPr="00E13258">
        <w:rPr>
          <w:rFonts w:ascii="Palatino Linotype" w:eastAsia="Calibri" w:hAnsi="Palatino Linotype" w:cs="Tahoma"/>
          <w:bCs/>
          <w:szCs w:val="22"/>
          <w:lang w:eastAsia="en-US"/>
        </w:rPr>
        <w:t>Proveer lo necesario para garantizar a toda persona el derecho de acceso a la información pública, a través de procedimientos sencillos, expeditos, oportunos y gratuitos;</w:t>
      </w:r>
    </w:p>
    <w:p w14:paraId="02892E0D" w14:textId="77777777" w:rsidR="00D47A95" w:rsidRPr="00E13258" w:rsidRDefault="00D47A95" w:rsidP="00DE5256">
      <w:pPr>
        <w:spacing w:line="360" w:lineRule="auto"/>
        <w:ind w:left="360" w:right="-93"/>
        <w:jc w:val="both"/>
        <w:rPr>
          <w:rFonts w:ascii="Palatino Linotype" w:eastAsia="Calibri" w:hAnsi="Palatino Linotype" w:cs="Tahoma"/>
          <w:bCs/>
          <w:sz w:val="22"/>
          <w:szCs w:val="22"/>
          <w:lang w:eastAsia="en-US"/>
        </w:rPr>
      </w:pPr>
    </w:p>
    <w:p w14:paraId="63B85C7F" w14:textId="77777777" w:rsidR="00D47A95" w:rsidRPr="00E13258" w:rsidRDefault="00D47A95" w:rsidP="00DE5256">
      <w:pPr>
        <w:pStyle w:val="Prrafodelista"/>
        <w:numPr>
          <w:ilvl w:val="0"/>
          <w:numId w:val="2"/>
        </w:numPr>
        <w:spacing w:line="360" w:lineRule="auto"/>
        <w:ind w:right="-93"/>
        <w:jc w:val="both"/>
        <w:rPr>
          <w:rFonts w:ascii="Palatino Linotype" w:eastAsia="Calibri" w:hAnsi="Palatino Linotype" w:cs="Tahoma"/>
          <w:bCs/>
          <w:szCs w:val="22"/>
          <w:lang w:eastAsia="en-US"/>
        </w:rPr>
      </w:pPr>
      <w:r w:rsidRPr="00E13258">
        <w:rPr>
          <w:rFonts w:ascii="Palatino Linotype" w:eastAsia="Calibri" w:hAnsi="Palatino Linotype" w:cs="Tahoma"/>
          <w:bCs/>
          <w:szCs w:val="22"/>
          <w:lang w:eastAsia="en-US"/>
        </w:rPr>
        <w:t>Transparentar la gestión pública, mediante la difusión de la información generada por los Sujetos Obligados, y</w:t>
      </w:r>
    </w:p>
    <w:p w14:paraId="32C161AF" w14:textId="77777777" w:rsidR="00D47A95" w:rsidRPr="00E13258" w:rsidRDefault="00D47A95" w:rsidP="00DE5256">
      <w:pPr>
        <w:pStyle w:val="Prrafodelista"/>
        <w:spacing w:line="360" w:lineRule="auto"/>
        <w:rPr>
          <w:rFonts w:ascii="Palatino Linotype" w:eastAsia="Calibri" w:hAnsi="Palatino Linotype" w:cs="Tahoma"/>
          <w:bCs/>
          <w:szCs w:val="22"/>
          <w:lang w:eastAsia="en-US"/>
        </w:rPr>
      </w:pPr>
    </w:p>
    <w:p w14:paraId="3FCD567C" w14:textId="77777777" w:rsidR="00D47A95" w:rsidRPr="00E13258" w:rsidRDefault="00D47A95" w:rsidP="00DE5256">
      <w:pPr>
        <w:pStyle w:val="Prrafodelista"/>
        <w:numPr>
          <w:ilvl w:val="0"/>
          <w:numId w:val="2"/>
        </w:numPr>
        <w:spacing w:line="360" w:lineRule="auto"/>
        <w:ind w:right="-93"/>
        <w:jc w:val="both"/>
        <w:rPr>
          <w:rFonts w:ascii="Palatino Linotype" w:eastAsia="Calibri" w:hAnsi="Palatino Linotype" w:cs="Tahoma"/>
          <w:bCs/>
          <w:szCs w:val="22"/>
          <w:lang w:eastAsia="en-US"/>
        </w:rPr>
      </w:pPr>
      <w:r w:rsidRPr="00E13258">
        <w:rPr>
          <w:rFonts w:ascii="Palatino Linotype" w:eastAsia="Calibri" w:hAnsi="Palatino Linotype" w:cs="Tahoma"/>
          <w:bCs/>
          <w:szCs w:val="22"/>
          <w:lang w:eastAsia="en-US"/>
        </w:rPr>
        <w:t>Promover, fomentar y difundir la cultura de la transparencia en el ejercicio de la función pública, el acceso a la información y la participación ciudadana, así como, la rendición de cuentas.</w:t>
      </w:r>
    </w:p>
    <w:p w14:paraId="437B99B4" w14:textId="77777777" w:rsidR="00D47A95" w:rsidRPr="00E13258" w:rsidRDefault="00D47A95" w:rsidP="00DE5256">
      <w:pPr>
        <w:spacing w:line="360" w:lineRule="auto"/>
        <w:ind w:right="-93"/>
        <w:jc w:val="both"/>
        <w:rPr>
          <w:rFonts w:ascii="Palatino Linotype" w:eastAsia="Calibri" w:hAnsi="Palatino Linotype" w:cs="Tahoma"/>
          <w:bCs/>
          <w:sz w:val="22"/>
          <w:szCs w:val="22"/>
          <w:lang w:eastAsia="en-US"/>
        </w:rPr>
      </w:pPr>
    </w:p>
    <w:p w14:paraId="77C4733E" w14:textId="77777777" w:rsidR="00D47A95" w:rsidRPr="00E13258" w:rsidRDefault="00D47A95" w:rsidP="00DE5256">
      <w:pPr>
        <w:spacing w:line="360" w:lineRule="auto"/>
        <w:ind w:right="-93"/>
        <w:jc w:val="both"/>
        <w:rPr>
          <w:rFonts w:ascii="Palatino Linotype" w:eastAsia="Calibri" w:hAnsi="Palatino Linotype" w:cs="Tahoma"/>
          <w:bCs/>
          <w:sz w:val="22"/>
          <w:szCs w:val="22"/>
          <w:lang w:eastAsia="en-US"/>
        </w:rPr>
      </w:pPr>
      <w:r w:rsidRPr="00E13258">
        <w:rPr>
          <w:rFonts w:ascii="Palatino Linotype" w:eastAsia="Calibri" w:hAnsi="Palatino Linotype" w:cs="Tahoma"/>
          <w:bCs/>
          <w:sz w:val="22"/>
          <w:szCs w:val="22"/>
          <w:lang w:eastAsia="en-US"/>
        </w:rPr>
        <w:t xml:space="preserve">Conforme a lo anterior, se deprende que </w:t>
      </w:r>
      <w:r w:rsidRPr="00E13258">
        <w:rPr>
          <w:rFonts w:ascii="Palatino Linotype" w:eastAsia="Calibri" w:hAnsi="Palatino Linotype" w:cs="Tahoma"/>
          <w:b/>
          <w:bCs/>
          <w:sz w:val="22"/>
          <w:szCs w:val="22"/>
          <w:lang w:eastAsia="en-US"/>
        </w:rPr>
        <w:t>los objetivos de la Ley de la materia,</w:t>
      </w:r>
      <w:r w:rsidRPr="00E13258">
        <w:rPr>
          <w:rFonts w:ascii="Palatino Linotype" w:eastAsia="Calibri" w:hAnsi="Palatino Linotype" w:cs="Tahoma"/>
          <w:bCs/>
          <w:sz w:val="22"/>
          <w:szCs w:val="22"/>
          <w:lang w:eastAsia="en-US"/>
        </w:rPr>
        <w:t xml:space="preserve"> son establecer las bases que regirán las formas para garantizar el derecho de acceso a la información, mediante procesos sencillos y expeditos, la promoción, fomento y difusión de la cultura de transparencia y la rendición de cuentas, a través del establecimiento de políticas públicas y mecanismos que garanticen la publicidad de información oportuna, verificable, comprensible, actualizada y completa.</w:t>
      </w:r>
    </w:p>
    <w:p w14:paraId="4685FE18" w14:textId="77777777" w:rsidR="00D47A95" w:rsidRPr="00E13258" w:rsidRDefault="00D47A95" w:rsidP="00DE5256">
      <w:pPr>
        <w:spacing w:line="360" w:lineRule="auto"/>
        <w:ind w:right="-93"/>
        <w:jc w:val="both"/>
        <w:rPr>
          <w:rFonts w:ascii="Palatino Linotype" w:eastAsia="Calibri" w:hAnsi="Palatino Linotype" w:cs="Tahoma"/>
          <w:bCs/>
          <w:sz w:val="22"/>
          <w:szCs w:val="22"/>
          <w:lang w:eastAsia="en-US"/>
        </w:rPr>
      </w:pPr>
    </w:p>
    <w:p w14:paraId="1D71C034" w14:textId="77777777" w:rsidR="00D47A95" w:rsidRPr="00E13258" w:rsidRDefault="00D47A95" w:rsidP="00DE5256">
      <w:pPr>
        <w:spacing w:line="360" w:lineRule="auto"/>
        <w:ind w:right="-93"/>
        <w:jc w:val="both"/>
        <w:rPr>
          <w:rFonts w:ascii="Palatino Linotype" w:eastAsia="Calibri" w:hAnsi="Palatino Linotype" w:cs="Tahoma"/>
          <w:bCs/>
          <w:sz w:val="22"/>
          <w:szCs w:val="22"/>
          <w:lang w:eastAsia="en-US"/>
        </w:rPr>
      </w:pPr>
      <w:r w:rsidRPr="00E13258">
        <w:rPr>
          <w:rFonts w:ascii="Palatino Linotype" w:eastAsia="Calibri" w:hAnsi="Palatino Linotype" w:cs="Tahoma"/>
          <w:bCs/>
          <w:sz w:val="22"/>
          <w:szCs w:val="22"/>
          <w:lang w:eastAsia="en-US"/>
        </w:rPr>
        <w:t xml:space="preserve">En ese orden de ideas, para la atención de las solicitudes de acceso a la información, debe privilegiarse el </w:t>
      </w:r>
      <w:r w:rsidRPr="00E13258">
        <w:rPr>
          <w:rFonts w:ascii="Palatino Linotype" w:eastAsia="Calibri" w:hAnsi="Palatino Linotype" w:cs="Tahoma"/>
          <w:b/>
          <w:bCs/>
          <w:sz w:val="22"/>
          <w:szCs w:val="22"/>
          <w:lang w:eastAsia="en-US"/>
        </w:rPr>
        <w:t>principio de máxima publicidad</w:t>
      </w:r>
      <w:r w:rsidRPr="00E13258">
        <w:rPr>
          <w:rFonts w:ascii="Palatino Linotype" w:eastAsia="Calibri" w:hAnsi="Palatino Linotype" w:cs="Tahoma"/>
          <w:bCs/>
          <w:sz w:val="22"/>
          <w:szCs w:val="22"/>
          <w:lang w:eastAsia="en-US"/>
        </w:rPr>
        <w:t xml:space="preserve"> el cual dispone que toda la información en posesión de los Sujetos Obligados será pública, completa, oportuna y accesible, sujeta a un claro régimen de excepciones que deberán estar definidas y ser legítimas y estrictamente necesarias en una sociedad democrática.</w:t>
      </w:r>
    </w:p>
    <w:p w14:paraId="2FE74A6E" w14:textId="77777777" w:rsidR="00D47A95" w:rsidRPr="00E13258" w:rsidRDefault="00D47A95" w:rsidP="00DE5256">
      <w:pPr>
        <w:spacing w:line="360" w:lineRule="auto"/>
        <w:ind w:right="-93"/>
        <w:jc w:val="both"/>
        <w:rPr>
          <w:rFonts w:ascii="Palatino Linotype" w:eastAsia="Calibri" w:hAnsi="Palatino Linotype" w:cs="Tahoma"/>
          <w:bCs/>
          <w:sz w:val="22"/>
          <w:szCs w:val="22"/>
          <w:lang w:eastAsia="en-US"/>
        </w:rPr>
      </w:pPr>
    </w:p>
    <w:p w14:paraId="571F38FF" w14:textId="77777777" w:rsidR="00D47A95" w:rsidRPr="00E13258" w:rsidRDefault="00D47A95" w:rsidP="00DE5256">
      <w:pPr>
        <w:spacing w:line="360" w:lineRule="auto"/>
        <w:ind w:right="-93"/>
        <w:jc w:val="both"/>
        <w:rPr>
          <w:rFonts w:ascii="Palatino Linotype" w:eastAsia="Calibri" w:hAnsi="Palatino Linotype" w:cs="Tahoma"/>
          <w:bCs/>
          <w:sz w:val="22"/>
          <w:szCs w:val="22"/>
          <w:lang w:eastAsia="en-US"/>
        </w:rPr>
      </w:pPr>
      <w:r w:rsidRPr="00E13258">
        <w:rPr>
          <w:rFonts w:ascii="Palatino Linotype" w:eastAsia="Calibri" w:hAnsi="Palatino Linotype" w:cs="Tahoma"/>
          <w:bCs/>
          <w:sz w:val="22"/>
          <w:szCs w:val="22"/>
          <w:lang w:eastAsia="en-US"/>
        </w:rPr>
        <w:t>Para lograr lo precisado, los Sujetos Obligados deben seguir el procedimiento para la atención a las solicitudes de acceso a la información, establecido en los artículos 151, 160, 162, 163, 164, 165 y 166, de la Ley de Transparencia y Acceso a la Información Pública del Estado de México y Municipios, el cual es el siguiente:</w:t>
      </w:r>
    </w:p>
    <w:p w14:paraId="63DA8313" w14:textId="77777777" w:rsidR="00D47A95" w:rsidRPr="00E13258" w:rsidRDefault="00D47A95" w:rsidP="00DE5256">
      <w:pPr>
        <w:spacing w:line="360" w:lineRule="auto"/>
        <w:ind w:right="-93"/>
        <w:jc w:val="both"/>
        <w:rPr>
          <w:rFonts w:ascii="Palatino Linotype" w:eastAsia="Calibri" w:hAnsi="Palatino Linotype" w:cs="Tahoma"/>
          <w:bCs/>
          <w:sz w:val="22"/>
          <w:szCs w:val="22"/>
          <w:lang w:eastAsia="en-US"/>
        </w:rPr>
      </w:pPr>
    </w:p>
    <w:p w14:paraId="50E35415" w14:textId="77777777" w:rsidR="00D47A95" w:rsidRPr="00E13258" w:rsidRDefault="00D47A95" w:rsidP="00DE5256">
      <w:pPr>
        <w:pStyle w:val="Prrafodelista"/>
        <w:numPr>
          <w:ilvl w:val="0"/>
          <w:numId w:val="3"/>
        </w:numPr>
        <w:spacing w:line="360" w:lineRule="auto"/>
        <w:ind w:right="-93"/>
        <w:jc w:val="both"/>
        <w:rPr>
          <w:rFonts w:ascii="Palatino Linotype" w:eastAsia="Calibri" w:hAnsi="Palatino Linotype" w:cs="Tahoma"/>
          <w:bCs/>
          <w:szCs w:val="22"/>
          <w:lang w:eastAsia="en-US"/>
        </w:rPr>
      </w:pPr>
      <w:r w:rsidRPr="00E13258">
        <w:rPr>
          <w:rFonts w:ascii="Palatino Linotype" w:eastAsia="Calibri" w:hAnsi="Palatino Linotype" w:cs="Tahoma"/>
          <w:bCs/>
          <w:szCs w:val="22"/>
          <w:lang w:eastAsia="en-US"/>
        </w:rPr>
        <w:lastRenderedPageBreak/>
        <w:t>Las Unidades de Transparencia de los sujetos obligados deben garantizar las medidas y condiciones de accesibilidad para que toda persona pueda ejercer el derecho de acceso a la información; por lo que, son las responsables de hacer las notificaciones correspondientes, además de llevar a cabo todas las gestiones necesarias para facilitar el acceso de la información;</w:t>
      </w:r>
    </w:p>
    <w:p w14:paraId="3C1D7DD9" w14:textId="77777777" w:rsidR="00D47A95" w:rsidRPr="00E13258" w:rsidRDefault="00D47A95" w:rsidP="00DE5256">
      <w:pPr>
        <w:pStyle w:val="Prrafodelista"/>
        <w:spacing w:line="360" w:lineRule="auto"/>
        <w:ind w:right="-93"/>
        <w:jc w:val="both"/>
        <w:rPr>
          <w:rFonts w:ascii="Palatino Linotype" w:eastAsia="Calibri" w:hAnsi="Palatino Linotype" w:cs="Tahoma"/>
          <w:bCs/>
          <w:szCs w:val="22"/>
          <w:lang w:eastAsia="en-US"/>
        </w:rPr>
      </w:pPr>
    </w:p>
    <w:p w14:paraId="5271CDF7" w14:textId="77777777" w:rsidR="00D47A95" w:rsidRPr="00E13258" w:rsidRDefault="00D47A95" w:rsidP="00DE5256">
      <w:pPr>
        <w:pStyle w:val="Prrafodelista"/>
        <w:numPr>
          <w:ilvl w:val="0"/>
          <w:numId w:val="3"/>
        </w:numPr>
        <w:spacing w:line="360" w:lineRule="auto"/>
        <w:ind w:right="-93"/>
        <w:jc w:val="both"/>
        <w:rPr>
          <w:rFonts w:ascii="Palatino Linotype" w:eastAsia="Calibri" w:hAnsi="Palatino Linotype" w:cs="Tahoma"/>
          <w:bCs/>
          <w:szCs w:val="22"/>
          <w:lang w:eastAsia="en-US"/>
        </w:rPr>
      </w:pPr>
      <w:r w:rsidRPr="00E13258">
        <w:rPr>
          <w:rFonts w:ascii="Palatino Linotype" w:eastAsia="Calibri" w:hAnsi="Palatino Linotype" w:cs="Tahoma"/>
          <w:bCs/>
          <w:szCs w:val="22"/>
          <w:lang w:eastAsia="en-US"/>
        </w:rPr>
        <w:t xml:space="preserve">La respuesta a los requerimientos informativos, deberá notificarse al interesado en el menor tiempo posible, que no podrá exceder de </w:t>
      </w:r>
      <w:r w:rsidRPr="00E13258">
        <w:rPr>
          <w:rFonts w:ascii="Palatino Linotype" w:eastAsia="Calibri" w:hAnsi="Palatino Linotype" w:cs="Tahoma"/>
          <w:b/>
          <w:bCs/>
          <w:szCs w:val="22"/>
          <w:lang w:eastAsia="en-US"/>
        </w:rPr>
        <w:t>quince días hábiles, contados a partir del día siguiente a la presentación de esta.</w:t>
      </w:r>
      <w:r w:rsidRPr="00E13258">
        <w:rPr>
          <w:rFonts w:ascii="Palatino Linotype" w:eastAsia="Calibri" w:hAnsi="Palatino Linotype" w:cs="Tahoma"/>
          <w:bCs/>
          <w:szCs w:val="22"/>
          <w:lang w:eastAsia="en-US"/>
        </w:rPr>
        <w:t xml:space="preserve"> Excepcionalmente, el plazo referido podrá ampliarse por siete días hábiles más, cuando existan razones fundadas y motivadas, a través del Comité de Transparencia;</w:t>
      </w:r>
    </w:p>
    <w:p w14:paraId="72F7584A" w14:textId="77777777" w:rsidR="00D47A95" w:rsidRPr="00E13258" w:rsidRDefault="00D47A95" w:rsidP="00DE5256">
      <w:pPr>
        <w:pStyle w:val="Prrafodelista"/>
        <w:spacing w:line="360" w:lineRule="auto"/>
        <w:rPr>
          <w:rFonts w:ascii="Palatino Linotype" w:eastAsia="Calibri" w:hAnsi="Palatino Linotype" w:cs="Tahoma"/>
          <w:bCs/>
          <w:szCs w:val="22"/>
          <w:lang w:eastAsia="en-US"/>
        </w:rPr>
      </w:pPr>
    </w:p>
    <w:p w14:paraId="16030DBD" w14:textId="77777777" w:rsidR="00D47A95" w:rsidRPr="00E13258" w:rsidRDefault="00D47A95" w:rsidP="00DE5256">
      <w:pPr>
        <w:pStyle w:val="Prrafodelista"/>
        <w:numPr>
          <w:ilvl w:val="0"/>
          <w:numId w:val="3"/>
        </w:numPr>
        <w:spacing w:line="360" w:lineRule="auto"/>
        <w:ind w:right="-93"/>
        <w:jc w:val="both"/>
        <w:rPr>
          <w:rFonts w:ascii="Palatino Linotype" w:eastAsia="Calibri" w:hAnsi="Palatino Linotype" w:cs="Tahoma"/>
          <w:b/>
          <w:bCs/>
          <w:szCs w:val="22"/>
          <w:lang w:eastAsia="en-US"/>
        </w:rPr>
      </w:pPr>
      <w:r w:rsidRPr="00E13258">
        <w:rPr>
          <w:rFonts w:ascii="Palatino Linotype" w:eastAsia="Calibri" w:hAnsi="Palatino Linotype" w:cs="Tahoma"/>
          <w:bCs/>
          <w:szCs w:val="22"/>
          <w:lang w:eastAsia="en-US"/>
        </w:rPr>
        <w:t xml:space="preserve">Las Unidades de Transparencia garantizarán que las solicitudes se turnen a todas las áreas competentes que cuenten con la información o deban tenerla de acuerdo a sus facultades, funciones y atribuciones, para que realicen una búsqueda exhaustiva y razonable de la documentación solicitada, con el fin de que proporcionen las expresiones documentales </w:t>
      </w:r>
      <w:r w:rsidRPr="00E13258">
        <w:rPr>
          <w:rFonts w:ascii="Palatino Linotype" w:eastAsia="Calibri" w:hAnsi="Palatino Linotype" w:cs="Tahoma"/>
          <w:b/>
          <w:bCs/>
          <w:szCs w:val="22"/>
          <w:lang w:eastAsia="en-US"/>
        </w:rPr>
        <w:t>que se encuentren en sus archivos o que estén constreñidos a elaborar;</w:t>
      </w:r>
    </w:p>
    <w:p w14:paraId="0E32D312" w14:textId="77777777" w:rsidR="00D47A95" w:rsidRPr="00E13258" w:rsidRDefault="00D47A95" w:rsidP="00DE5256">
      <w:pPr>
        <w:pStyle w:val="Prrafodelista"/>
        <w:spacing w:line="360" w:lineRule="auto"/>
        <w:rPr>
          <w:rFonts w:ascii="Palatino Linotype" w:eastAsia="Calibri" w:hAnsi="Palatino Linotype" w:cs="Tahoma"/>
          <w:b/>
          <w:bCs/>
          <w:szCs w:val="22"/>
          <w:lang w:eastAsia="en-US"/>
        </w:rPr>
      </w:pPr>
    </w:p>
    <w:p w14:paraId="4ED810FC" w14:textId="77777777" w:rsidR="00D47A95" w:rsidRPr="00E13258" w:rsidRDefault="00D47A95" w:rsidP="00DE5256">
      <w:pPr>
        <w:pStyle w:val="Prrafodelista"/>
        <w:numPr>
          <w:ilvl w:val="0"/>
          <w:numId w:val="3"/>
        </w:numPr>
        <w:spacing w:line="360" w:lineRule="auto"/>
        <w:ind w:right="-93"/>
        <w:jc w:val="both"/>
        <w:rPr>
          <w:rFonts w:ascii="Palatino Linotype" w:eastAsia="Calibri" w:hAnsi="Palatino Linotype" w:cs="Tahoma"/>
          <w:b/>
          <w:bCs/>
          <w:szCs w:val="22"/>
          <w:lang w:eastAsia="en-US"/>
        </w:rPr>
      </w:pPr>
      <w:r w:rsidRPr="00E13258">
        <w:rPr>
          <w:rFonts w:ascii="Palatino Linotype" w:eastAsia="Calibri" w:hAnsi="Palatino Linotype" w:cs="Tahoma"/>
          <w:bCs/>
          <w:szCs w:val="22"/>
          <w:lang w:eastAsia="en-US"/>
        </w:rPr>
        <w:t>El acceso se dará en la modalidad de entrega y en su caso, de envío elegido por la solicitante, cuando no pueda entregarse en dicha modalidad, el Sujeto Obligado deberá ofrecer otras; por lo cual, deberá fundar y motivar la necesidad de modificar el medio de entrega, y</w:t>
      </w:r>
    </w:p>
    <w:p w14:paraId="52107D45" w14:textId="77777777" w:rsidR="00D47A95" w:rsidRPr="00E13258" w:rsidRDefault="00D47A95" w:rsidP="00DE5256">
      <w:pPr>
        <w:pStyle w:val="Prrafodelista"/>
        <w:spacing w:line="360" w:lineRule="auto"/>
        <w:rPr>
          <w:rFonts w:ascii="Palatino Linotype" w:eastAsia="Calibri" w:hAnsi="Palatino Linotype" w:cs="Tahoma"/>
          <w:b/>
          <w:bCs/>
          <w:szCs w:val="22"/>
          <w:lang w:eastAsia="en-US"/>
        </w:rPr>
      </w:pPr>
    </w:p>
    <w:p w14:paraId="5DA2A538" w14:textId="77777777" w:rsidR="00D47A95" w:rsidRPr="00E13258" w:rsidRDefault="00D47A95" w:rsidP="00DE5256">
      <w:pPr>
        <w:pStyle w:val="Prrafodelista"/>
        <w:numPr>
          <w:ilvl w:val="0"/>
          <w:numId w:val="3"/>
        </w:numPr>
        <w:spacing w:line="360" w:lineRule="auto"/>
        <w:ind w:right="-28"/>
        <w:jc w:val="both"/>
        <w:rPr>
          <w:rFonts w:ascii="Palatino Linotype" w:eastAsia="Calibri" w:hAnsi="Palatino Linotype" w:cs="Tahoma"/>
          <w:b/>
          <w:bCs/>
          <w:szCs w:val="22"/>
          <w:lang w:eastAsia="en-US"/>
        </w:rPr>
      </w:pPr>
      <w:r w:rsidRPr="00E13258">
        <w:rPr>
          <w:rFonts w:ascii="Palatino Linotype" w:eastAsia="Calibri" w:hAnsi="Palatino Linotype" w:cs="Tahoma"/>
          <w:bCs/>
          <w:szCs w:val="22"/>
          <w:lang w:eastAsia="en-US"/>
        </w:rPr>
        <w:t xml:space="preserve">Las Unidades de Transparencia, tendrán disponible la información requerida durante un plazo mínimo de sesenta días hábiles, contados a partir de que la solicitante hubiere realizado, en su caso, el pago respectivo, el cual deberá efectuarse en un plazo no </w:t>
      </w:r>
      <w:r w:rsidRPr="00E13258">
        <w:rPr>
          <w:rFonts w:ascii="Palatino Linotype" w:eastAsia="Calibri" w:hAnsi="Palatino Linotype" w:cs="Tahoma"/>
          <w:bCs/>
          <w:szCs w:val="22"/>
          <w:lang w:eastAsia="en-US"/>
        </w:rPr>
        <w:lastRenderedPageBreak/>
        <w:t>mayor a treinta días hábiles; por lo que, una vez trascurrida dicha temporalidad, los Sujetos Obligados darán por concluida la solicitud y procederán de ser el caso, a la destrucción del material;</w:t>
      </w:r>
    </w:p>
    <w:p w14:paraId="43A9376D" w14:textId="77777777" w:rsidR="00D47A95" w:rsidRPr="00E13258" w:rsidRDefault="00D47A95" w:rsidP="00DE5256">
      <w:pPr>
        <w:spacing w:line="360" w:lineRule="auto"/>
        <w:jc w:val="both"/>
        <w:rPr>
          <w:rFonts w:ascii="Palatino Linotype" w:hAnsi="Palatino Linotype" w:cs="Tahoma"/>
          <w:sz w:val="22"/>
          <w:szCs w:val="24"/>
          <w:lang w:val="es-ES"/>
        </w:rPr>
      </w:pPr>
    </w:p>
    <w:p w14:paraId="4DC02185" w14:textId="77777777" w:rsidR="00D47A95" w:rsidRPr="00E13258" w:rsidRDefault="00D47A95" w:rsidP="00DE5256">
      <w:pPr>
        <w:tabs>
          <w:tab w:val="left" w:pos="4962"/>
        </w:tabs>
        <w:spacing w:line="360" w:lineRule="auto"/>
        <w:jc w:val="both"/>
        <w:rPr>
          <w:rFonts w:ascii="Palatino Linotype" w:eastAsia="Calibri" w:hAnsi="Palatino Linotype" w:cs="Tahoma"/>
          <w:bCs/>
          <w:sz w:val="22"/>
          <w:szCs w:val="22"/>
          <w:lang w:val="es-ES" w:eastAsia="en-US"/>
        </w:rPr>
      </w:pPr>
      <w:r w:rsidRPr="00E13258">
        <w:rPr>
          <w:rFonts w:ascii="Palatino Linotype" w:eastAsia="Calibri" w:hAnsi="Palatino Linotype" w:cs="Tahoma"/>
          <w:bCs/>
          <w:sz w:val="22"/>
          <w:szCs w:val="22"/>
          <w:lang w:eastAsia="en-US"/>
        </w:rPr>
        <w:t xml:space="preserve">Una vez establecido lo anterior, es de precisar </w:t>
      </w:r>
      <w:r w:rsidRPr="00E13258">
        <w:rPr>
          <w:rFonts w:ascii="Palatino Linotype" w:eastAsia="Calibri" w:hAnsi="Palatino Linotype" w:cs="Tahoma"/>
          <w:bCs/>
          <w:sz w:val="22"/>
          <w:szCs w:val="22"/>
          <w:lang w:val="es-ES" w:eastAsia="en-US"/>
        </w:rPr>
        <w:t>que el Recurrente solicitó</w:t>
      </w:r>
      <w:r w:rsidR="00A06C4B" w:rsidRPr="00E13258">
        <w:rPr>
          <w:rFonts w:ascii="Palatino Linotype" w:eastAsia="Calibri" w:hAnsi="Palatino Linotype" w:cs="Tahoma"/>
          <w:bCs/>
          <w:sz w:val="22"/>
          <w:szCs w:val="22"/>
          <w:lang w:val="es-ES" w:eastAsia="en-US"/>
        </w:rPr>
        <w:t xml:space="preserve"> las Pólizas de Diario con su respectivo soporte documental del mes de noviembre del año do sil dieciocho.</w:t>
      </w:r>
    </w:p>
    <w:p w14:paraId="5ED2CBBF" w14:textId="77777777" w:rsidR="00A06C4B" w:rsidRPr="00E13258" w:rsidRDefault="00A06C4B" w:rsidP="00DE5256">
      <w:pPr>
        <w:tabs>
          <w:tab w:val="left" w:pos="4962"/>
        </w:tabs>
        <w:spacing w:line="360" w:lineRule="auto"/>
        <w:jc w:val="both"/>
        <w:rPr>
          <w:rFonts w:ascii="Palatino Linotype" w:eastAsia="Calibri" w:hAnsi="Palatino Linotype" w:cs="Tahoma"/>
          <w:iCs/>
          <w:sz w:val="22"/>
          <w:szCs w:val="22"/>
          <w:lang w:val="es-ES" w:eastAsia="es-ES_tradnl"/>
        </w:rPr>
      </w:pPr>
    </w:p>
    <w:p w14:paraId="57DF55D2" w14:textId="77777777" w:rsidR="00A06C4B" w:rsidRPr="00E13258" w:rsidRDefault="00A06C4B" w:rsidP="00DE5256">
      <w:pPr>
        <w:spacing w:line="360" w:lineRule="auto"/>
        <w:jc w:val="both"/>
        <w:rPr>
          <w:rFonts w:ascii="Palatino Linotype" w:eastAsia="Calibri" w:hAnsi="Palatino Linotype" w:cs="Tahoma"/>
          <w:sz w:val="22"/>
          <w:szCs w:val="22"/>
          <w:lang w:eastAsia="es-ES_tradnl"/>
        </w:rPr>
      </w:pPr>
      <w:r w:rsidRPr="00E13258">
        <w:rPr>
          <w:rFonts w:ascii="Palatino Linotype" w:eastAsia="Calibri" w:hAnsi="Palatino Linotype" w:cs="Tahoma"/>
          <w:sz w:val="22"/>
          <w:szCs w:val="22"/>
          <w:lang w:eastAsia="es-ES_tradnl"/>
        </w:rPr>
        <w:t>En respuesta, el Sujeto Obligado puso a disposición la información en versión pública, en el domicilio de la Unidad de Transparencia y Acceso a la Información Pública Municipal, ubicada en Plaza Cívica Dr. Gustavo Baz Prada, S/N, Tlalnepantla de Baz, C.P. 5400, Estado de México, bajo la modalidad CD, previo pago.</w:t>
      </w:r>
    </w:p>
    <w:p w14:paraId="2DEC47A9" w14:textId="77777777" w:rsidR="00D47A95" w:rsidRPr="00E13258" w:rsidRDefault="00D47A95" w:rsidP="00DE5256">
      <w:pPr>
        <w:spacing w:line="360" w:lineRule="auto"/>
        <w:jc w:val="both"/>
        <w:rPr>
          <w:rFonts w:ascii="Palatino Linotype" w:hAnsi="Palatino Linotype" w:cs="Tahoma"/>
          <w:sz w:val="22"/>
          <w:szCs w:val="22"/>
          <w:lang w:val="es-ES"/>
        </w:rPr>
      </w:pPr>
    </w:p>
    <w:p w14:paraId="5C85E739" w14:textId="50C74C95" w:rsidR="007562FC" w:rsidRPr="00E13258" w:rsidRDefault="007562FC" w:rsidP="00DE5256">
      <w:pPr>
        <w:spacing w:line="360" w:lineRule="auto"/>
        <w:ind w:right="-93"/>
        <w:jc w:val="both"/>
        <w:rPr>
          <w:rFonts w:ascii="Palatino Linotype" w:hAnsi="Palatino Linotype" w:cs="Tahoma"/>
          <w:bCs/>
          <w:sz w:val="22"/>
          <w:szCs w:val="22"/>
        </w:rPr>
      </w:pPr>
      <w:r w:rsidRPr="00E13258">
        <w:rPr>
          <w:rFonts w:ascii="Palatino Linotype" w:hAnsi="Palatino Linotype" w:cs="Tahoma"/>
          <w:sz w:val="22"/>
          <w:szCs w:val="22"/>
          <w:lang w:val="es-ES"/>
        </w:rPr>
        <w:t xml:space="preserve">Ante tal circunstancia, el ahora Recurrente se inconformó al considerar que la información no le fue entregada, </w:t>
      </w:r>
      <w:r w:rsidR="00F87295" w:rsidRPr="00E13258">
        <w:rPr>
          <w:rFonts w:ascii="Palatino Linotype" w:hAnsi="Palatino Linotype" w:cs="Tahoma"/>
          <w:sz w:val="22"/>
          <w:szCs w:val="22"/>
          <w:lang w:val="es-ES"/>
        </w:rPr>
        <w:t xml:space="preserve">sin embargo su entrega se ofreció en una modalidad distinta, </w:t>
      </w:r>
      <w:r w:rsidRPr="00E13258">
        <w:rPr>
          <w:rFonts w:ascii="Palatino Linotype" w:hAnsi="Palatino Linotype" w:cs="Tahoma"/>
          <w:sz w:val="22"/>
          <w:szCs w:val="22"/>
          <w:lang w:val="es-ES"/>
        </w:rPr>
        <w:t xml:space="preserve">por lo que el Sujeto Obligado adjuntó su </w:t>
      </w:r>
      <w:r w:rsidR="00356EB4" w:rsidRPr="00E13258">
        <w:rPr>
          <w:rFonts w:ascii="Palatino Linotype" w:hAnsi="Palatino Linotype" w:cs="Tahoma"/>
          <w:sz w:val="22"/>
          <w:szCs w:val="22"/>
          <w:lang w:val="es-ES"/>
        </w:rPr>
        <w:t xml:space="preserve">Informe Justificado, en el que ratificó </w:t>
      </w:r>
      <w:r w:rsidRPr="00E13258">
        <w:rPr>
          <w:rFonts w:ascii="Palatino Linotype" w:hAnsi="Palatino Linotype" w:cs="Tahoma"/>
          <w:sz w:val="22"/>
          <w:szCs w:val="22"/>
          <w:lang w:val="es-ES"/>
        </w:rPr>
        <w:t xml:space="preserve">su respuesta inicial mismo que fue puesto a la vista del Recurrente a lo que manifestó que el oficio </w:t>
      </w:r>
      <w:r w:rsidRPr="00E13258">
        <w:rPr>
          <w:rFonts w:ascii="Palatino Linotype" w:hAnsi="Palatino Linotype" w:cs="Tahoma"/>
          <w:b/>
          <w:bCs/>
          <w:sz w:val="22"/>
          <w:szCs w:val="22"/>
        </w:rPr>
        <w:t xml:space="preserve">INFOEM/DI/090/2019, </w:t>
      </w:r>
      <w:r w:rsidRPr="00E13258">
        <w:rPr>
          <w:rFonts w:ascii="Palatino Linotype" w:hAnsi="Palatino Linotype" w:cs="Tahoma"/>
          <w:bCs/>
          <w:sz w:val="22"/>
          <w:szCs w:val="22"/>
        </w:rPr>
        <w:t>no había sido de su conocimiento, situación que no resulta cierta, ya que como se señaló en apartado II de Antecedentes el mismo fue adjuntado en respuesta por el Sujeto Obligado y por lo tanto es del conocimiento del Particular.</w:t>
      </w:r>
    </w:p>
    <w:p w14:paraId="180464D4" w14:textId="77777777" w:rsidR="007562FC" w:rsidRPr="00E13258" w:rsidRDefault="007562FC" w:rsidP="00DE5256">
      <w:pPr>
        <w:spacing w:line="360" w:lineRule="auto"/>
        <w:ind w:right="-93"/>
        <w:jc w:val="both"/>
        <w:rPr>
          <w:rFonts w:ascii="Palatino Linotype" w:hAnsi="Palatino Linotype" w:cs="Tahoma"/>
          <w:bCs/>
          <w:sz w:val="22"/>
          <w:szCs w:val="22"/>
        </w:rPr>
      </w:pPr>
    </w:p>
    <w:p w14:paraId="7B9CDACD" w14:textId="08D1BE5C" w:rsidR="007562FC" w:rsidRPr="00E13258" w:rsidRDefault="007562FC" w:rsidP="00DE5256">
      <w:pPr>
        <w:spacing w:line="360" w:lineRule="auto"/>
        <w:ind w:right="-93"/>
        <w:jc w:val="both"/>
        <w:rPr>
          <w:rFonts w:ascii="Palatino Linotype" w:hAnsi="Palatino Linotype" w:cs="Tahoma"/>
          <w:bCs/>
          <w:sz w:val="22"/>
          <w:szCs w:val="22"/>
        </w:rPr>
      </w:pPr>
      <w:r w:rsidRPr="00E13258">
        <w:rPr>
          <w:rFonts w:ascii="Palatino Linotype" w:hAnsi="Palatino Linotype" w:cs="Tahoma"/>
          <w:bCs/>
          <w:sz w:val="22"/>
          <w:szCs w:val="22"/>
        </w:rPr>
        <w:t xml:space="preserve">Precisado lo anterior, se obvia el análisis de la competencia por parte del Sujeto Obligado para generar, administrar o poseer la información solicitada, dado que </w:t>
      </w:r>
      <w:r w:rsidR="00356EB4" w:rsidRPr="00E13258">
        <w:rPr>
          <w:rFonts w:ascii="Palatino Linotype" w:hAnsi="Palatino Linotype" w:cs="Tahoma"/>
          <w:bCs/>
          <w:sz w:val="22"/>
          <w:szCs w:val="22"/>
        </w:rPr>
        <w:t xml:space="preserve">este </w:t>
      </w:r>
      <w:r w:rsidRPr="00E13258">
        <w:rPr>
          <w:rFonts w:ascii="Palatino Linotype" w:hAnsi="Palatino Linotype" w:cs="Tahoma"/>
          <w:bCs/>
          <w:sz w:val="22"/>
          <w:szCs w:val="22"/>
        </w:rPr>
        <w:t xml:space="preserve">asumió contar con la misma, en razón de </w:t>
      </w:r>
      <w:proofErr w:type="gramStart"/>
      <w:r w:rsidRPr="00E13258">
        <w:rPr>
          <w:rFonts w:ascii="Palatino Linotype" w:hAnsi="Palatino Linotype" w:cs="Tahoma"/>
          <w:bCs/>
          <w:sz w:val="22"/>
          <w:szCs w:val="22"/>
        </w:rPr>
        <w:t>que</w:t>
      </w:r>
      <w:proofErr w:type="gramEnd"/>
      <w:r w:rsidRPr="00E13258">
        <w:rPr>
          <w:rFonts w:ascii="Palatino Linotype" w:hAnsi="Palatino Linotype" w:cs="Tahoma"/>
          <w:bCs/>
          <w:sz w:val="22"/>
          <w:szCs w:val="22"/>
        </w:rPr>
        <w:t xml:space="preserve"> en respuesta inicial e Informe Justificado, se le comunicó al Recurrente que contaba con la información requerida, la cual puso a su disposición bajo la modalidad de CD, previo pago.</w:t>
      </w:r>
    </w:p>
    <w:p w14:paraId="4B82D6BE" w14:textId="77777777" w:rsidR="007562FC" w:rsidRPr="00E13258" w:rsidRDefault="007562FC" w:rsidP="00DE5256">
      <w:pPr>
        <w:spacing w:line="360" w:lineRule="auto"/>
        <w:ind w:right="-93"/>
        <w:jc w:val="both"/>
        <w:rPr>
          <w:rFonts w:ascii="Palatino Linotype" w:hAnsi="Palatino Linotype" w:cs="Tahoma"/>
          <w:sz w:val="22"/>
          <w:szCs w:val="22"/>
          <w:lang w:val="es-ES"/>
        </w:rPr>
      </w:pPr>
    </w:p>
    <w:p w14:paraId="757522FE" w14:textId="77777777" w:rsidR="007562FC" w:rsidRPr="00E13258" w:rsidRDefault="007562FC"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lastRenderedPageBreak/>
        <w:t>En ese sentido, el estudio de la naturaleza jurídica de la información pública solicitada, tiene por objeto determinar si ésta la genera, posee o administra el Sujeto Obligado; sin embargo, el hecho de que haya asumido contar con la información pública solicitada, aceptó expresamente que la genera, posee y administra, en ejercicio de sus funciones de derecho público; motivo por el cual se actualiza el supuesto jurídico previsto en el artículo 12 de la Ley de Transparencia y Acceso a la Información Pública del Estado de México y Municipios.</w:t>
      </w:r>
    </w:p>
    <w:p w14:paraId="29CC60A9" w14:textId="77777777" w:rsidR="007562FC" w:rsidRPr="00E13258" w:rsidRDefault="007562FC" w:rsidP="00DE5256">
      <w:pPr>
        <w:spacing w:line="360" w:lineRule="auto"/>
        <w:ind w:right="-93"/>
        <w:jc w:val="both"/>
        <w:rPr>
          <w:rFonts w:ascii="Palatino Linotype" w:hAnsi="Palatino Linotype" w:cs="Tahoma"/>
          <w:sz w:val="22"/>
          <w:szCs w:val="22"/>
          <w:lang w:val="es-ES"/>
        </w:rPr>
      </w:pPr>
    </w:p>
    <w:p w14:paraId="20A50CF0" w14:textId="77777777" w:rsidR="00B95291" w:rsidRPr="00E13258" w:rsidRDefault="007562FC"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t xml:space="preserve">Establecido lo anterior, el Sujeto Obligado </w:t>
      </w:r>
      <w:r w:rsidR="00B95291" w:rsidRPr="00E13258">
        <w:rPr>
          <w:rFonts w:ascii="Palatino Linotype" w:hAnsi="Palatino Linotype" w:cs="Tahoma"/>
          <w:sz w:val="22"/>
          <w:szCs w:val="22"/>
          <w:lang w:val="es-ES"/>
        </w:rPr>
        <w:t>derivado de la cantidad de documentos que se deben entregar</w:t>
      </w:r>
      <w:r w:rsidR="00454F47" w:rsidRPr="00E13258">
        <w:rPr>
          <w:rFonts w:ascii="Palatino Linotype" w:hAnsi="Palatino Linotype" w:cs="Tahoma"/>
          <w:sz w:val="22"/>
          <w:szCs w:val="22"/>
          <w:lang w:val="es-ES"/>
        </w:rPr>
        <w:t xml:space="preserve"> y el peso de la información</w:t>
      </w:r>
      <w:r w:rsidR="00B95291" w:rsidRPr="00E13258">
        <w:rPr>
          <w:rFonts w:ascii="Palatino Linotype" w:hAnsi="Palatino Linotype" w:cs="Tahoma"/>
          <w:sz w:val="22"/>
          <w:szCs w:val="22"/>
          <w:lang w:val="es-ES"/>
        </w:rPr>
        <w:t>, solicitó el cambio de modalidad para la entrega de la información, del Sistema de Acceso a la Información Mexiquense (SAIMEX) a medio magnético.</w:t>
      </w:r>
    </w:p>
    <w:p w14:paraId="76EE08FC" w14:textId="77777777" w:rsidR="00B95291" w:rsidRPr="00E13258" w:rsidRDefault="00B95291" w:rsidP="00DE5256">
      <w:pPr>
        <w:rPr>
          <w:rFonts w:ascii="Palatino Linotype" w:hAnsi="Palatino Linotype" w:cs="Tahoma"/>
          <w:sz w:val="22"/>
          <w:szCs w:val="22"/>
          <w:lang w:val="es-ES"/>
        </w:rPr>
      </w:pPr>
    </w:p>
    <w:p w14:paraId="24DB956C" w14:textId="3852939A" w:rsidR="002050A8" w:rsidRPr="00E13258" w:rsidRDefault="00B95291"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t xml:space="preserve">No </w:t>
      </w:r>
      <w:proofErr w:type="gramStart"/>
      <w:r w:rsidRPr="00E13258">
        <w:rPr>
          <w:rFonts w:ascii="Palatino Linotype" w:hAnsi="Palatino Linotype" w:cs="Tahoma"/>
          <w:sz w:val="22"/>
          <w:szCs w:val="22"/>
          <w:lang w:val="es-ES"/>
        </w:rPr>
        <w:t>obstante</w:t>
      </w:r>
      <w:proofErr w:type="gramEnd"/>
      <w:r w:rsidRPr="00E13258">
        <w:rPr>
          <w:rFonts w:ascii="Palatino Linotype" w:hAnsi="Palatino Linotype" w:cs="Tahoma"/>
          <w:sz w:val="22"/>
          <w:szCs w:val="22"/>
          <w:lang w:val="es-ES"/>
        </w:rPr>
        <w:t xml:space="preserve"> lo anterior el Sujeto Obligado debió proporcionar al Particular otros medios de obtener l</w:t>
      </w:r>
      <w:r w:rsidR="002050A8" w:rsidRPr="00E13258">
        <w:rPr>
          <w:rFonts w:ascii="Palatino Linotype" w:hAnsi="Palatino Linotype" w:cs="Tahoma"/>
          <w:sz w:val="22"/>
          <w:szCs w:val="22"/>
          <w:lang w:val="es-ES"/>
        </w:rPr>
        <w:t>a</w:t>
      </w:r>
      <w:r w:rsidRPr="00E13258">
        <w:rPr>
          <w:rFonts w:ascii="Palatino Linotype" w:hAnsi="Palatino Linotype" w:cs="Tahoma"/>
          <w:sz w:val="22"/>
          <w:szCs w:val="22"/>
          <w:lang w:val="es-ES"/>
        </w:rPr>
        <w:t xml:space="preserve"> información tal como consulta directa </w:t>
      </w:r>
      <w:r w:rsidR="00356EB4" w:rsidRPr="00E13258">
        <w:rPr>
          <w:rFonts w:ascii="Palatino Linotype" w:hAnsi="Palatino Linotype" w:cs="Tahoma"/>
          <w:sz w:val="22"/>
          <w:szCs w:val="22"/>
          <w:lang w:val="es-ES"/>
        </w:rPr>
        <w:t xml:space="preserve">por resultar gratuitos </w:t>
      </w:r>
      <w:r w:rsidR="002050A8" w:rsidRPr="00E13258">
        <w:rPr>
          <w:rFonts w:ascii="Palatino Linotype" w:hAnsi="Palatino Linotype" w:cs="Tahoma"/>
          <w:sz w:val="22"/>
          <w:szCs w:val="22"/>
          <w:lang w:val="es-ES"/>
        </w:rPr>
        <w:t>e informarle el día, hora y lugar en el que podía consultar la información que es de su interés.</w:t>
      </w:r>
    </w:p>
    <w:p w14:paraId="17001D0A" w14:textId="77777777" w:rsidR="002050A8" w:rsidRPr="00E13258" w:rsidRDefault="002050A8" w:rsidP="00DE5256">
      <w:pPr>
        <w:spacing w:line="360" w:lineRule="auto"/>
        <w:ind w:right="-93"/>
        <w:jc w:val="both"/>
        <w:rPr>
          <w:rFonts w:ascii="Palatino Linotype" w:hAnsi="Palatino Linotype" w:cs="Tahoma"/>
          <w:sz w:val="22"/>
          <w:szCs w:val="22"/>
          <w:lang w:val="es-ES"/>
        </w:rPr>
      </w:pPr>
    </w:p>
    <w:p w14:paraId="7A66C313" w14:textId="77777777" w:rsidR="002050A8" w:rsidRPr="00E13258" w:rsidRDefault="002050A8"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t>Sirve de sustento lo señalado por</w:t>
      </w:r>
      <w:r w:rsidR="00B95291" w:rsidRPr="00E13258">
        <w:rPr>
          <w:rFonts w:ascii="Palatino Linotype" w:hAnsi="Palatino Linotype" w:cs="Tahoma"/>
          <w:sz w:val="22"/>
          <w:szCs w:val="22"/>
          <w:lang w:val="es-ES"/>
        </w:rPr>
        <w:t xml:space="preserve"> </w:t>
      </w:r>
      <w:r w:rsidRPr="00E13258">
        <w:rPr>
          <w:rFonts w:ascii="Palatino Linotype" w:hAnsi="Palatino Linotype" w:cs="Tahoma"/>
          <w:sz w:val="22"/>
          <w:szCs w:val="22"/>
          <w:lang w:val="es-ES"/>
        </w:rPr>
        <w:t>el artículo 155, fracción V, de la Ley de Transparencia y Acceso a la Información Pública del Estado de México y Municipios, en el cual se precisa que para presentar una solicitud, el particular podrá señalar la modalidad en la que prefiere se otorgue el acceso a la información, la cual podrá ser verbal, siempre y cuando sea para fines de orientación, mediante consulta directa, mediante la expedición de copias simples o certificadas o la reproducción en cualquier otro medio, incluidos los electrónicos.</w:t>
      </w:r>
    </w:p>
    <w:p w14:paraId="5356A3D1" w14:textId="77777777" w:rsidR="002050A8" w:rsidRPr="00E13258" w:rsidRDefault="002050A8" w:rsidP="00DE5256">
      <w:pPr>
        <w:spacing w:line="360" w:lineRule="auto"/>
        <w:ind w:right="-93"/>
        <w:jc w:val="both"/>
        <w:rPr>
          <w:rFonts w:ascii="Palatino Linotype" w:hAnsi="Palatino Linotype" w:cs="Tahoma"/>
          <w:sz w:val="22"/>
          <w:szCs w:val="22"/>
          <w:lang w:val="es-ES"/>
        </w:rPr>
      </w:pPr>
    </w:p>
    <w:p w14:paraId="3DD762C4" w14:textId="77777777" w:rsidR="002050A8" w:rsidRPr="00E13258" w:rsidRDefault="002050A8"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t xml:space="preserve">Por su parte, el artículo 158, dispone </w:t>
      </w:r>
      <w:proofErr w:type="gramStart"/>
      <w:r w:rsidRPr="00E13258">
        <w:rPr>
          <w:rFonts w:ascii="Palatino Linotype" w:hAnsi="Palatino Linotype" w:cs="Tahoma"/>
          <w:sz w:val="22"/>
          <w:szCs w:val="22"/>
          <w:lang w:val="es-ES"/>
        </w:rPr>
        <w:t>que</w:t>
      </w:r>
      <w:proofErr w:type="gramEnd"/>
      <w:r w:rsidRPr="00E13258">
        <w:rPr>
          <w:rFonts w:ascii="Palatino Linotype" w:hAnsi="Palatino Linotype" w:cs="Tahoma"/>
          <w:sz w:val="22"/>
          <w:szCs w:val="22"/>
          <w:lang w:val="es-ES"/>
        </w:rPr>
        <w:t xml:space="preserve"> de manera excepcional, cuando de manera fundada y motivada lo determine el Sujeto Obligado, en los casos en que la entrega de la información que se encuentre a su disposición, sobre pase las capacidades técnicas del Sujeto Obligado para </w:t>
      </w:r>
      <w:r w:rsidRPr="00E13258">
        <w:rPr>
          <w:rFonts w:ascii="Palatino Linotype" w:hAnsi="Palatino Linotype" w:cs="Tahoma"/>
          <w:sz w:val="22"/>
          <w:szCs w:val="22"/>
          <w:lang w:val="es-ES"/>
        </w:rPr>
        <w:lastRenderedPageBreak/>
        <w:t>cumplir con la solicitud, se podrá poner a disposición del solicitante la información en consulta directa.</w:t>
      </w:r>
    </w:p>
    <w:p w14:paraId="0AF4CAE1" w14:textId="77777777" w:rsidR="002050A8" w:rsidRPr="00E13258" w:rsidRDefault="002050A8" w:rsidP="00DE5256">
      <w:pPr>
        <w:spacing w:line="360" w:lineRule="auto"/>
        <w:ind w:right="-93"/>
        <w:jc w:val="both"/>
        <w:rPr>
          <w:rFonts w:ascii="Palatino Linotype" w:hAnsi="Palatino Linotype" w:cs="Tahoma"/>
          <w:sz w:val="22"/>
          <w:szCs w:val="22"/>
          <w:lang w:val="es-ES"/>
        </w:rPr>
      </w:pPr>
    </w:p>
    <w:p w14:paraId="6C17CCC3" w14:textId="77777777" w:rsidR="002050A8" w:rsidRPr="00E13258" w:rsidRDefault="002050A8"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t>En ese orden de ideas, el artículo 164 de dicho ordenamiento jurídico, prevé que el acceso se dará en la modalidad de entrega y, en su caso, de envío elegidos por al solicitante. Cuando la información no pueda entregarse o enviarse en la modalidad elegida, el sujeto obligado deberá ofrecer otra u otras modalidades de entrega. En cualquier caso, se deberá fundar y motivar la necesidad de ofrecer otras modalidades.</w:t>
      </w:r>
    </w:p>
    <w:p w14:paraId="6817496D" w14:textId="77777777" w:rsidR="002050A8" w:rsidRPr="00E13258" w:rsidRDefault="002050A8" w:rsidP="00DE5256">
      <w:pPr>
        <w:spacing w:line="360" w:lineRule="auto"/>
        <w:ind w:right="-93"/>
        <w:jc w:val="both"/>
        <w:rPr>
          <w:rFonts w:ascii="Palatino Linotype" w:hAnsi="Palatino Linotype" w:cs="Tahoma"/>
          <w:sz w:val="22"/>
          <w:szCs w:val="22"/>
          <w:lang w:val="es-ES"/>
        </w:rPr>
      </w:pPr>
    </w:p>
    <w:p w14:paraId="6068CCB6" w14:textId="6B8093D6" w:rsidR="00B95291" w:rsidRPr="00E13258" w:rsidRDefault="00356EB4"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t>Así</w:t>
      </w:r>
      <w:r w:rsidR="002050A8" w:rsidRPr="00E13258">
        <w:rPr>
          <w:rFonts w:ascii="Palatino Linotype" w:hAnsi="Palatino Linotype" w:cs="Tahoma"/>
          <w:sz w:val="22"/>
          <w:szCs w:val="22"/>
          <w:lang w:val="es-ES"/>
        </w:rPr>
        <w:t>, conforme al artículo 174 de la Ley de la materia, los costos de reproducción y, en su caso, de envío para la obtención de la información deberán ser cubiertos por el solicitante de manera previa a la entrega por parte del Sujeto Obligado. En tales consideraciones, la entrega deberá hacerse, en la medida de lo posible, en la forma solicitada por el interesado, salvo que exista un impedimento justificado para atenderla, en cuyo caso, deberán exponerse las razones por las cuales no es posible utilizar el medio de reproducción solicitado; en este sentido, la entrega de la información en una modalidad distinta a la elegida por la particular sólo procede, en caso de que se acredite la imposibilidad de atenderla.</w:t>
      </w:r>
    </w:p>
    <w:p w14:paraId="2F825476" w14:textId="77777777" w:rsidR="002050A8" w:rsidRPr="00E13258" w:rsidRDefault="002050A8" w:rsidP="00DE5256">
      <w:pPr>
        <w:spacing w:line="360" w:lineRule="auto"/>
        <w:ind w:right="-93"/>
        <w:jc w:val="both"/>
        <w:rPr>
          <w:rFonts w:ascii="Palatino Linotype" w:hAnsi="Palatino Linotype" w:cs="Tahoma"/>
          <w:sz w:val="22"/>
          <w:szCs w:val="22"/>
          <w:lang w:val="es-ES"/>
        </w:rPr>
      </w:pPr>
    </w:p>
    <w:p w14:paraId="35EEED63" w14:textId="77777777" w:rsidR="002050A8" w:rsidRPr="00E13258" w:rsidRDefault="002050A8"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t>Así, cuando se justifique el impedimento, los Sujetos Obligados deberán ofrecer al particular otras modalidades de entrega que permita la información, como consulta directa en las oficinas de la Unidad de Transparencia; lo anterior, es robustecido con el Criterio 08/17, emitido por el Pleno del Instituto Nacional de Transparencia, Acceso a la Información y Protección de Datos Personales, el cual establece lo siguiente:</w:t>
      </w:r>
    </w:p>
    <w:p w14:paraId="2A15C37C" w14:textId="77777777" w:rsidR="002050A8" w:rsidRPr="00E13258" w:rsidRDefault="002050A8" w:rsidP="00DE5256">
      <w:pPr>
        <w:spacing w:line="360" w:lineRule="auto"/>
        <w:ind w:right="-93"/>
        <w:jc w:val="both"/>
        <w:rPr>
          <w:rFonts w:ascii="Palatino Linotype" w:hAnsi="Palatino Linotype" w:cs="Tahoma"/>
          <w:sz w:val="22"/>
          <w:szCs w:val="22"/>
          <w:lang w:val="es-ES"/>
        </w:rPr>
      </w:pPr>
    </w:p>
    <w:p w14:paraId="1FF941B1" w14:textId="77777777" w:rsidR="002050A8" w:rsidRPr="00E13258" w:rsidRDefault="002050A8" w:rsidP="00DE5256">
      <w:pPr>
        <w:spacing w:line="360" w:lineRule="auto"/>
        <w:ind w:left="567" w:right="539"/>
        <w:jc w:val="both"/>
        <w:rPr>
          <w:rFonts w:ascii="Palatino Linotype" w:hAnsi="Palatino Linotype" w:cs="Tahoma"/>
          <w:lang w:val="es-ES"/>
        </w:rPr>
      </w:pPr>
      <w:r w:rsidRPr="00E13258">
        <w:rPr>
          <w:rFonts w:ascii="Palatino Linotype" w:hAnsi="Palatino Linotype" w:cs="Tahoma"/>
          <w:b/>
          <w:lang w:val="es-ES"/>
        </w:rPr>
        <w:t>“Modalidad de entrega. Procedencia de proporcionar la información solicitada en una diversa a la elegida por el solicitante</w:t>
      </w:r>
      <w:r w:rsidRPr="00E13258">
        <w:rPr>
          <w:rFonts w:ascii="Palatino Linotype" w:hAnsi="Palatino Linotype" w:cs="Tahoma"/>
          <w:lang w:val="es-ES"/>
        </w:rPr>
        <w:t xml:space="preserve">. De una interpretación a los artículos 133 de la Ley General de Transparencia y Acceso a la Información Pública y 136 de la Ley Federal de </w:t>
      </w:r>
      <w:r w:rsidRPr="00E13258">
        <w:rPr>
          <w:rFonts w:ascii="Palatino Linotype" w:hAnsi="Palatino Linotype" w:cs="Tahoma"/>
          <w:lang w:val="es-ES"/>
        </w:rPr>
        <w:lastRenderedPageBreak/>
        <w:t>Transparencia y Acceso a la Información Pública, cuando no sea posible atender la modalidad elegida, la obligación de acceso a la información se tendrá por cumplida cuando el sujeto obligado: a) justifique el impedimento para atender la misma y b) se notifique al particular la disposición de la información en todas las modalidades que permita el documento de que se trate, procurando reducir, en todo momento, los costos de entrega.”</w:t>
      </w:r>
    </w:p>
    <w:p w14:paraId="3859EE61" w14:textId="77777777" w:rsidR="002050A8" w:rsidRPr="00E13258" w:rsidRDefault="002050A8" w:rsidP="00DE5256">
      <w:pPr>
        <w:spacing w:line="360" w:lineRule="auto"/>
        <w:ind w:right="-93"/>
        <w:jc w:val="both"/>
        <w:rPr>
          <w:rFonts w:ascii="Palatino Linotype" w:hAnsi="Palatino Linotype" w:cs="Tahoma"/>
          <w:sz w:val="22"/>
          <w:szCs w:val="22"/>
          <w:lang w:val="es-ES"/>
        </w:rPr>
      </w:pPr>
    </w:p>
    <w:p w14:paraId="6D1AD93A" w14:textId="77777777" w:rsidR="002050A8" w:rsidRPr="00E13258" w:rsidRDefault="002050A8"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t>Del citado criterio, se desprende que cuando no sea posible atener la modalidad elegida por los solicitantes, la obligación de acceso a la información se tendrá por cumplida cuando el Sujeto Obligado justifique el impedimento para atender la misma y se notifique al particular la puesta a disposición de la información en todas las modalidades que lo permitan, procurando reducir los costos de entrega.</w:t>
      </w:r>
    </w:p>
    <w:p w14:paraId="3A0C65AE" w14:textId="77777777" w:rsidR="002050A8" w:rsidRPr="00E13258" w:rsidRDefault="002050A8" w:rsidP="00DE5256">
      <w:pPr>
        <w:spacing w:line="360" w:lineRule="auto"/>
        <w:ind w:right="-93"/>
        <w:jc w:val="both"/>
        <w:rPr>
          <w:rFonts w:ascii="Palatino Linotype" w:hAnsi="Palatino Linotype" w:cs="Tahoma"/>
          <w:sz w:val="22"/>
          <w:szCs w:val="22"/>
          <w:lang w:val="es-ES"/>
        </w:rPr>
      </w:pPr>
    </w:p>
    <w:p w14:paraId="08A5955D" w14:textId="163A2325" w:rsidR="005A7A4E" w:rsidRPr="00E13258" w:rsidRDefault="005A7A4E"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t xml:space="preserve">Es así que, para la procedencia de un cambio de modalidad, debe fundarse y motivarse la necesidad de ofrecer otras modalidades, así resulta necesario llevar a cabo el procedimiento previsto en los artículos mencionados; situación que, en el caso concreto, la realizó el Sujeto Obligado, lo cual fue dado a conocer al Recurrente, a través de respuesta e Informe Justificado, con el objeto de reportar la imposibilidad técnica para entregar la información en la vía elegida por el Recurrente, es decir, </w:t>
      </w:r>
      <w:r w:rsidR="007511AE" w:rsidRPr="00E13258">
        <w:rPr>
          <w:rFonts w:ascii="Palatino Linotype" w:hAnsi="Palatino Linotype" w:cs="Tahoma"/>
          <w:sz w:val="22"/>
          <w:szCs w:val="22"/>
          <w:lang w:val="es-ES"/>
        </w:rPr>
        <w:t>Sistema de Acceso a la Información Mexiquense (</w:t>
      </w:r>
      <w:r w:rsidRPr="00E13258">
        <w:rPr>
          <w:rFonts w:ascii="Palatino Linotype" w:hAnsi="Palatino Linotype" w:cs="Tahoma"/>
          <w:sz w:val="22"/>
          <w:szCs w:val="22"/>
          <w:lang w:val="es-ES"/>
        </w:rPr>
        <w:t>SAIMEX</w:t>
      </w:r>
      <w:r w:rsidR="007511AE" w:rsidRPr="00E13258">
        <w:rPr>
          <w:rFonts w:ascii="Palatino Linotype" w:hAnsi="Palatino Linotype" w:cs="Tahoma"/>
          <w:sz w:val="22"/>
          <w:szCs w:val="22"/>
          <w:lang w:val="es-ES"/>
        </w:rPr>
        <w:t>)</w:t>
      </w:r>
      <w:r w:rsidRPr="00E13258">
        <w:rPr>
          <w:rFonts w:ascii="Palatino Linotype" w:hAnsi="Palatino Linotype" w:cs="Tahoma"/>
          <w:sz w:val="22"/>
          <w:szCs w:val="22"/>
          <w:lang w:val="es-ES"/>
        </w:rPr>
        <w:t xml:space="preserve">; situación que fue corroborada mediante oficio número </w:t>
      </w:r>
      <w:r w:rsidRPr="00E13258">
        <w:rPr>
          <w:rFonts w:ascii="Palatino Linotype" w:hAnsi="Palatino Linotype" w:cs="Tahoma"/>
          <w:b/>
          <w:sz w:val="22"/>
          <w:szCs w:val="22"/>
          <w:lang w:val="es-ES"/>
        </w:rPr>
        <w:t>INFOEM/DI/090/2019</w:t>
      </w:r>
      <w:r w:rsidRPr="00E13258">
        <w:rPr>
          <w:rFonts w:ascii="Palatino Linotype" w:hAnsi="Palatino Linotype" w:cs="Tahoma"/>
          <w:sz w:val="22"/>
          <w:szCs w:val="22"/>
          <w:lang w:val="es-ES"/>
        </w:rPr>
        <w:t>, en respuesta al requerimiento del Sujeto Obligado, para constatar la existencia de registros de incidencias, tal y como se observa en la siguiente imagen:</w:t>
      </w:r>
    </w:p>
    <w:p w14:paraId="535FB965" w14:textId="77777777" w:rsidR="005A7A4E" w:rsidRPr="00E13258" w:rsidRDefault="005A7A4E" w:rsidP="00DE5256">
      <w:pPr>
        <w:spacing w:line="360" w:lineRule="auto"/>
        <w:ind w:right="-93"/>
        <w:jc w:val="center"/>
        <w:rPr>
          <w:rFonts w:ascii="Palatino Linotype" w:hAnsi="Palatino Linotype" w:cs="Tahoma"/>
          <w:sz w:val="22"/>
          <w:szCs w:val="22"/>
          <w:lang w:val="es-ES"/>
        </w:rPr>
      </w:pPr>
      <w:r w:rsidRPr="00E13258">
        <w:rPr>
          <w:noProof/>
          <w:lang w:eastAsia="es-MX"/>
        </w:rPr>
        <w:lastRenderedPageBreak/>
        <w:drawing>
          <wp:inline distT="0" distB="0" distL="0" distR="0" wp14:anchorId="6D3DFFB4" wp14:editId="65E2EBB4">
            <wp:extent cx="5076879" cy="37147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215" t="8257" r="24867" b="25507"/>
                    <a:stretch/>
                  </pic:blipFill>
                  <pic:spPr bwMode="auto">
                    <a:xfrm>
                      <a:off x="0" y="0"/>
                      <a:ext cx="5085289" cy="3720904"/>
                    </a:xfrm>
                    <a:prstGeom prst="rect">
                      <a:avLst/>
                    </a:prstGeom>
                    <a:ln>
                      <a:noFill/>
                    </a:ln>
                    <a:extLst>
                      <a:ext uri="{53640926-AAD7-44D8-BBD7-CCE9431645EC}">
                        <a14:shadowObscured xmlns:a14="http://schemas.microsoft.com/office/drawing/2010/main"/>
                      </a:ext>
                    </a:extLst>
                  </pic:spPr>
                </pic:pic>
              </a:graphicData>
            </a:graphic>
          </wp:inline>
        </w:drawing>
      </w:r>
    </w:p>
    <w:p w14:paraId="1A5842C4" w14:textId="77777777" w:rsidR="005A7A4E" w:rsidRPr="00E13258" w:rsidRDefault="005A7A4E" w:rsidP="00DE5256">
      <w:pPr>
        <w:spacing w:line="360" w:lineRule="auto"/>
        <w:ind w:right="-93"/>
        <w:jc w:val="both"/>
        <w:rPr>
          <w:rFonts w:ascii="Palatino Linotype" w:hAnsi="Palatino Linotype" w:cs="Tahoma"/>
          <w:sz w:val="22"/>
          <w:szCs w:val="22"/>
          <w:lang w:val="es-ES"/>
        </w:rPr>
      </w:pPr>
    </w:p>
    <w:p w14:paraId="658F1C71" w14:textId="408290D6" w:rsidR="00C7762E" w:rsidRDefault="002050A8"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t xml:space="preserve">Ahora bien, tal como se precisó, el Sujeto Obligado, fundó, motivo y justificó la imposibilidad de entregar documentos a través de nuestra plataforma digital; sin embargo concedió entregar los documentos que correspondan para atender el Recurso de Revisión que nos ocupa, mediante medio magnético, </w:t>
      </w:r>
      <w:r w:rsidR="00C7762E">
        <w:rPr>
          <w:rFonts w:ascii="Palatino Linotype" w:hAnsi="Palatino Linotype" w:cs="Tahoma"/>
          <w:sz w:val="22"/>
          <w:szCs w:val="22"/>
          <w:lang w:val="es-ES"/>
        </w:rPr>
        <w:t>no obstante,</w:t>
      </w:r>
      <w:r w:rsidRPr="00E13258">
        <w:rPr>
          <w:rFonts w:ascii="Palatino Linotype" w:hAnsi="Palatino Linotype" w:cs="Tahoma"/>
          <w:sz w:val="22"/>
          <w:szCs w:val="22"/>
          <w:lang w:val="es-ES"/>
        </w:rPr>
        <w:t xml:space="preserve"> </w:t>
      </w:r>
      <w:r w:rsidR="00C7762E">
        <w:rPr>
          <w:rFonts w:ascii="Palatino Linotype" w:hAnsi="Palatino Linotype" w:cs="Tahoma"/>
          <w:sz w:val="22"/>
          <w:szCs w:val="22"/>
          <w:lang w:val="es-ES"/>
        </w:rPr>
        <w:t xml:space="preserve">en el oficio </w:t>
      </w:r>
      <w:r w:rsidR="00C7762E" w:rsidRPr="00E13258">
        <w:rPr>
          <w:rFonts w:ascii="Palatino Linotype" w:hAnsi="Palatino Linotype" w:cs="Tahoma"/>
          <w:b/>
          <w:sz w:val="22"/>
          <w:szCs w:val="22"/>
          <w:lang w:val="es-ES"/>
        </w:rPr>
        <w:t>INFOEM/DI/090/2019</w:t>
      </w:r>
      <w:r w:rsidR="00C7762E">
        <w:rPr>
          <w:rFonts w:ascii="Palatino Linotype" w:hAnsi="Palatino Linotype" w:cs="Tahoma"/>
          <w:b/>
          <w:sz w:val="22"/>
          <w:szCs w:val="22"/>
          <w:lang w:val="es-ES"/>
        </w:rPr>
        <w:t xml:space="preserve"> </w:t>
      </w:r>
      <w:r w:rsidR="00C7762E">
        <w:rPr>
          <w:rFonts w:ascii="Palatino Linotype" w:hAnsi="Palatino Linotype" w:cs="Tahoma"/>
          <w:sz w:val="22"/>
          <w:szCs w:val="22"/>
          <w:lang w:val="es-ES"/>
        </w:rPr>
        <w:t xml:space="preserve">se le recomendó al Sujeto Obligado escanear la información con una resolución máxima de 100 </w:t>
      </w:r>
      <w:proofErr w:type="spellStart"/>
      <w:r w:rsidR="00C7762E">
        <w:rPr>
          <w:rFonts w:ascii="Palatino Linotype" w:hAnsi="Palatino Linotype" w:cs="Tahoma"/>
          <w:sz w:val="22"/>
          <w:szCs w:val="22"/>
          <w:lang w:val="es-ES"/>
        </w:rPr>
        <w:t>Dpi´s</w:t>
      </w:r>
      <w:proofErr w:type="spellEnd"/>
      <w:r w:rsidR="00C7762E">
        <w:rPr>
          <w:rFonts w:ascii="Palatino Linotype" w:hAnsi="Palatino Linotype" w:cs="Tahoma"/>
          <w:sz w:val="22"/>
          <w:szCs w:val="22"/>
          <w:lang w:val="es-ES"/>
        </w:rPr>
        <w:t>, escala de grises y formato “PDF”, por lo que existe la posibilidad de que la información también pueda caber a través del Sistema de Acceso a la Información Mexiquense (SAIMEX)</w:t>
      </w:r>
      <w:r w:rsidR="00C7762E" w:rsidRPr="00E13258">
        <w:rPr>
          <w:rFonts w:ascii="Palatino Linotype" w:hAnsi="Palatino Linotype" w:cs="Tahoma"/>
          <w:sz w:val="22"/>
          <w:szCs w:val="22"/>
          <w:lang w:val="es-ES"/>
        </w:rPr>
        <w:t>.</w:t>
      </w:r>
    </w:p>
    <w:p w14:paraId="2F11E2F1" w14:textId="77777777" w:rsidR="00C7762E" w:rsidRDefault="00C7762E" w:rsidP="00DE5256">
      <w:pPr>
        <w:spacing w:line="360" w:lineRule="auto"/>
        <w:ind w:right="-93"/>
        <w:jc w:val="both"/>
        <w:rPr>
          <w:rFonts w:ascii="Palatino Linotype" w:hAnsi="Palatino Linotype" w:cs="Tahoma"/>
          <w:sz w:val="22"/>
          <w:szCs w:val="22"/>
          <w:lang w:val="es-ES"/>
        </w:rPr>
      </w:pPr>
    </w:p>
    <w:p w14:paraId="6BFB2939" w14:textId="2E7EC063" w:rsidR="00C7762E" w:rsidRDefault="00C7762E" w:rsidP="00DE5256">
      <w:pPr>
        <w:spacing w:line="360" w:lineRule="auto"/>
        <w:ind w:right="-93"/>
        <w:jc w:val="both"/>
        <w:rPr>
          <w:rFonts w:ascii="Palatino Linotype" w:hAnsi="Palatino Linotype" w:cs="Tahoma"/>
          <w:sz w:val="22"/>
          <w:szCs w:val="22"/>
          <w:lang w:val="es-ES"/>
        </w:rPr>
      </w:pPr>
      <w:r>
        <w:rPr>
          <w:rFonts w:ascii="Palatino Linotype" w:hAnsi="Palatino Linotype" w:cs="Tahoma"/>
          <w:sz w:val="22"/>
          <w:szCs w:val="22"/>
          <w:lang w:val="es-ES"/>
        </w:rPr>
        <w:t xml:space="preserve">De tal suerte que lo procedente es favorecer la entrega de la información primero en la modalidad elegida por el Recurrente, que fue el Sistema de Acceso a la Información Mexiquense (SAIMEX) y si, una vez que se realizó este nuevo escaneo con una resolución menor, no se obtiene la reducción del peso del archivo en menos de 500 MB, procede ofrecer un cambio de modalidad en la entrega de la información de acuerdo a lo señalado en los </w:t>
      </w:r>
      <w:r>
        <w:rPr>
          <w:rFonts w:ascii="Palatino Linotype" w:hAnsi="Palatino Linotype" w:cs="Tahoma"/>
          <w:sz w:val="22"/>
          <w:szCs w:val="22"/>
          <w:lang w:val="es-ES"/>
        </w:rPr>
        <w:lastRenderedPageBreak/>
        <w:t>art</w:t>
      </w:r>
      <w:r w:rsidR="00F51DDB">
        <w:rPr>
          <w:rFonts w:ascii="Palatino Linotype" w:hAnsi="Palatino Linotype" w:cs="Tahoma"/>
          <w:sz w:val="22"/>
          <w:szCs w:val="22"/>
          <w:lang w:val="es-ES"/>
        </w:rPr>
        <w:t>ículos 158,</w:t>
      </w:r>
      <w:r>
        <w:rPr>
          <w:rFonts w:ascii="Palatino Linotype" w:hAnsi="Palatino Linotype" w:cs="Tahoma"/>
          <w:sz w:val="22"/>
          <w:szCs w:val="22"/>
          <w:lang w:val="es-ES"/>
        </w:rPr>
        <w:t xml:space="preserve"> 160</w:t>
      </w:r>
      <w:r w:rsidR="00F51DDB">
        <w:rPr>
          <w:rFonts w:ascii="Palatino Linotype" w:hAnsi="Palatino Linotype" w:cs="Tahoma"/>
          <w:sz w:val="22"/>
          <w:szCs w:val="22"/>
          <w:lang w:val="es-ES"/>
        </w:rPr>
        <w:t xml:space="preserve"> y 164</w:t>
      </w:r>
      <w:r>
        <w:rPr>
          <w:rFonts w:ascii="Palatino Linotype" w:hAnsi="Palatino Linotype" w:cs="Tahoma"/>
          <w:sz w:val="22"/>
          <w:szCs w:val="22"/>
          <w:lang w:val="es-ES"/>
        </w:rPr>
        <w:t xml:space="preserve"> de la Ley de Transparencia y Acceso a la Información Pública del Estado de México y Municipios.</w:t>
      </w:r>
    </w:p>
    <w:p w14:paraId="5C3C0BD8" w14:textId="77777777" w:rsidR="00C7762E" w:rsidRDefault="00C7762E" w:rsidP="00DE5256">
      <w:pPr>
        <w:spacing w:line="360" w:lineRule="auto"/>
        <w:ind w:right="-93"/>
        <w:jc w:val="both"/>
        <w:rPr>
          <w:rFonts w:ascii="Palatino Linotype" w:hAnsi="Palatino Linotype" w:cs="Tahoma"/>
          <w:sz w:val="22"/>
          <w:szCs w:val="22"/>
          <w:lang w:val="es-ES"/>
        </w:rPr>
      </w:pPr>
    </w:p>
    <w:p w14:paraId="322A7D66" w14:textId="2CFEF345" w:rsidR="00C7762E" w:rsidRPr="00E13258" w:rsidRDefault="00C7762E" w:rsidP="00DE5256">
      <w:pPr>
        <w:spacing w:line="360" w:lineRule="auto"/>
        <w:ind w:right="-93"/>
        <w:jc w:val="both"/>
        <w:rPr>
          <w:rFonts w:ascii="Palatino Linotype" w:hAnsi="Palatino Linotype" w:cs="Tahoma"/>
          <w:sz w:val="22"/>
          <w:szCs w:val="22"/>
          <w:lang w:val="es-ES"/>
        </w:rPr>
      </w:pPr>
      <w:r>
        <w:rPr>
          <w:rFonts w:ascii="Palatino Linotype" w:hAnsi="Palatino Linotype" w:cs="Tahoma"/>
          <w:sz w:val="22"/>
          <w:szCs w:val="22"/>
          <w:lang w:val="es-ES"/>
        </w:rPr>
        <w:t>No se deja de lado que</w:t>
      </w:r>
      <w:r w:rsidR="00DF74A5" w:rsidRPr="00E13258">
        <w:rPr>
          <w:rFonts w:ascii="Palatino Linotype" w:hAnsi="Palatino Linotype" w:cs="Tahoma"/>
          <w:sz w:val="22"/>
          <w:szCs w:val="22"/>
          <w:lang w:val="es-ES"/>
        </w:rPr>
        <w:t xml:space="preserve">, </w:t>
      </w:r>
      <w:r w:rsidR="002D0CE8" w:rsidRPr="00E13258">
        <w:rPr>
          <w:rFonts w:ascii="Palatino Linotype" w:hAnsi="Palatino Linotype" w:cs="Tahoma"/>
          <w:sz w:val="22"/>
          <w:szCs w:val="22"/>
          <w:lang w:val="es-ES"/>
        </w:rPr>
        <w:t xml:space="preserve">el cambio de modalidad </w:t>
      </w:r>
      <w:r w:rsidR="00DF74A5" w:rsidRPr="00E13258">
        <w:rPr>
          <w:rFonts w:ascii="Palatino Linotype" w:hAnsi="Palatino Linotype" w:cs="Tahoma"/>
          <w:sz w:val="22"/>
          <w:szCs w:val="22"/>
          <w:lang w:val="es-ES"/>
        </w:rPr>
        <w:t>se encuentra debidamente fundado y motivado</w:t>
      </w:r>
      <w:r>
        <w:rPr>
          <w:rFonts w:ascii="Palatino Linotype" w:hAnsi="Palatino Linotype" w:cs="Tahoma"/>
          <w:sz w:val="22"/>
          <w:szCs w:val="22"/>
          <w:lang w:val="es-ES"/>
        </w:rPr>
        <w:t>;</w:t>
      </w:r>
      <w:r w:rsidR="00DF74A5" w:rsidRPr="00E13258">
        <w:rPr>
          <w:rFonts w:ascii="Palatino Linotype" w:hAnsi="Palatino Linotype" w:cs="Tahoma"/>
          <w:sz w:val="22"/>
          <w:szCs w:val="22"/>
          <w:lang w:val="es-ES"/>
        </w:rPr>
        <w:t xml:space="preserve"> </w:t>
      </w:r>
      <w:r w:rsidR="002D0CE8" w:rsidRPr="00E13258">
        <w:rPr>
          <w:rFonts w:ascii="Palatino Linotype" w:hAnsi="Palatino Linotype" w:cs="Tahoma"/>
          <w:sz w:val="22"/>
          <w:szCs w:val="22"/>
          <w:lang w:val="es-ES"/>
        </w:rPr>
        <w:t>sin embargo</w:t>
      </w:r>
      <w:r w:rsidR="00975DC0" w:rsidRPr="00E13258">
        <w:rPr>
          <w:rFonts w:ascii="Palatino Linotype" w:hAnsi="Palatino Linotype" w:cs="Tahoma"/>
          <w:sz w:val="22"/>
          <w:szCs w:val="22"/>
          <w:lang w:val="es-ES"/>
        </w:rPr>
        <w:t>, se considera que es viable</w:t>
      </w:r>
      <w:r w:rsidR="002D0CE8" w:rsidRPr="00E13258">
        <w:rPr>
          <w:rFonts w:ascii="Palatino Linotype" w:hAnsi="Palatino Linotype" w:cs="Tahoma"/>
          <w:sz w:val="22"/>
          <w:szCs w:val="22"/>
          <w:lang w:val="es-ES"/>
        </w:rPr>
        <w:t xml:space="preserve"> </w:t>
      </w:r>
      <w:r w:rsidR="00975DC0" w:rsidRPr="00E13258">
        <w:rPr>
          <w:rFonts w:ascii="Palatino Linotype" w:hAnsi="Palatino Linotype" w:cs="Tahoma"/>
          <w:sz w:val="22"/>
          <w:szCs w:val="22"/>
          <w:lang w:val="es-ES"/>
        </w:rPr>
        <w:t>ofrecer el acceso</w:t>
      </w:r>
      <w:r>
        <w:rPr>
          <w:rFonts w:ascii="Palatino Linotype" w:hAnsi="Palatino Linotype" w:cs="Tahoma"/>
          <w:sz w:val="22"/>
          <w:szCs w:val="22"/>
          <w:lang w:val="es-ES"/>
        </w:rPr>
        <w:t>, primero por el Sistema de Acceso a la Información Mexiquense (SAIMEX), mediante un nuevo escaneo y en caso de que esto no sea posible, ofrecer adicional al CD, la</w:t>
      </w:r>
      <w:r w:rsidR="002D0CE8" w:rsidRPr="00E13258">
        <w:rPr>
          <w:rFonts w:ascii="Palatino Linotype" w:hAnsi="Palatino Linotype" w:cs="Tahoma"/>
          <w:sz w:val="22"/>
          <w:szCs w:val="22"/>
          <w:lang w:val="es-ES"/>
        </w:rPr>
        <w:t xml:space="preserve"> consulta directa</w:t>
      </w:r>
      <w:r w:rsidR="00DF74A5" w:rsidRPr="00E13258">
        <w:rPr>
          <w:rFonts w:ascii="Palatino Linotype" w:hAnsi="Palatino Linotype" w:cs="Tahoma"/>
          <w:sz w:val="22"/>
          <w:szCs w:val="22"/>
          <w:lang w:val="es-ES"/>
        </w:rPr>
        <w:t>, en términos de la normatividad aplicable previamente citada, da</w:t>
      </w:r>
      <w:r w:rsidR="002D0CE8" w:rsidRPr="00E13258">
        <w:rPr>
          <w:rFonts w:ascii="Palatino Linotype" w:hAnsi="Palatino Linotype" w:cs="Tahoma"/>
          <w:sz w:val="22"/>
          <w:szCs w:val="22"/>
          <w:lang w:val="es-ES"/>
        </w:rPr>
        <w:t>n</w:t>
      </w:r>
      <w:r w:rsidR="00DF74A5" w:rsidRPr="00E13258">
        <w:rPr>
          <w:rFonts w:ascii="Palatino Linotype" w:hAnsi="Palatino Linotype" w:cs="Tahoma"/>
          <w:sz w:val="22"/>
          <w:szCs w:val="22"/>
          <w:lang w:val="es-ES"/>
        </w:rPr>
        <w:t xml:space="preserve">do a conocer </w:t>
      </w:r>
      <w:r w:rsidR="002D0CE8" w:rsidRPr="00E13258">
        <w:rPr>
          <w:rFonts w:ascii="Palatino Linotype" w:hAnsi="Palatino Linotype" w:cs="Tahoma"/>
          <w:sz w:val="22"/>
          <w:szCs w:val="22"/>
          <w:lang w:val="es-ES"/>
        </w:rPr>
        <w:t>al Particular el lugar, día y hora en la que puede asistir y obtener la i</w:t>
      </w:r>
      <w:r>
        <w:rPr>
          <w:rFonts w:ascii="Palatino Linotype" w:hAnsi="Palatino Linotype" w:cs="Tahoma"/>
          <w:sz w:val="22"/>
          <w:szCs w:val="22"/>
          <w:lang w:val="es-ES"/>
        </w:rPr>
        <w:t>nformación que es de su interés.</w:t>
      </w:r>
    </w:p>
    <w:p w14:paraId="2FB1AE9E" w14:textId="4E77BD67" w:rsidR="00567A56" w:rsidRPr="00E13258" w:rsidRDefault="00567A56" w:rsidP="00DE5256">
      <w:pPr>
        <w:spacing w:line="360" w:lineRule="auto"/>
        <w:ind w:right="-93"/>
        <w:jc w:val="both"/>
        <w:rPr>
          <w:rFonts w:ascii="Palatino Linotype" w:hAnsi="Palatino Linotype" w:cs="Tahoma"/>
          <w:sz w:val="22"/>
          <w:szCs w:val="22"/>
          <w:lang w:val="es-ES"/>
        </w:rPr>
      </w:pPr>
    </w:p>
    <w:p w14:paraId="43B1CC64" w14:textId="61B71D24" w:rsidR="00981ED0" w:rsidRPr="00E13258" w:rsidRDefault="00981ED0" w:rsidP="00DE5256">
      <w:pPr>
        <w:spacing w:line="360" w:lineRule="auto"/>
        <w:jc w:val="both"/>
        <w:rPr>
          <w:rFonts w:ascii="Palatino Linotype" w:hAnsi="Palatino Linotype"/>
          <w:noProof/>
          <w:sz w:val="22"/>
          <w:szCs w:val="22"/>
          <w:lang w:eastAsia="es-MX"/>
        </w:rPr>
      </w:pPr>
      <w:r w:rsidRPr="00E13258">
        <w:rPr>
          <w:rFonts w:ascii="Palatino Linotype" w:hAnsi="Palatino Linotype"/>
          <w:noProof/>
          <w:sz w:val="22"/>
          <w:szCs w:val="22"/>
          <w:lang w:eastAsia="es-MX"/>
        </w:rPr>
        <w:t xml:space="preserve">Ahora, si bien es cierto el Sujeto Obligado atendió la solicitud de acceso a la información </w:t>
      </w:r>
      <w:r w:rsidR="002D0CE8" w:rsidRPr="00E13258">
        <w:rPr>
          <w:rFonts w:ascii="Palatino Linotype" w:hAnsi="Palatino Linotype"/>
          <w:noProof/>
          <w:sz w:val="22"/>
          <w:szCs w:val="22"/>
          <w:lang w:eastAsia="es-MX"/>
        </w:rPr>
        <w:t xml:space="preserve">optando por el cambio de modalidad, </w:t>
      </w:r>
      <w:r w:rsidRPr="00E13258">
        <w:rPr>
          <w:rFonts w:ascii="Palatino Linotype" w:hAnsi="Palatino Linotype"/>
          <w:noProof/>
          <w:sz w:val="22"/>
          <w:szCs w:val="22"/>
          <w:lang w:eastAsia="es-MX"/>
        </w:rPr>
        <w:t xml:space="preserve">también lo es, que para la entrega en versión publica, se realizó el Acuerdo 012/CT/2-EXT/2019 por medio del cual se </w:t>
      </w:r>
      <w:r w:rsidR="00A36A06" w:rsidRPr="00E13258">
        <w:rPr>
          <w:rFonts w:ascii="Palatino Linotype" w:hAnsi="Palatino Linotype"/>
          <w:noProof/>
          <w:sz w:val="22"/>
          <w:szCs w:val="22"/>
          <w:lang w:eastAsia="es-MX"/>
        </w:rPr>
        <w:t xml:space="preserve">autorizó </w:t>
      </w:r>
      <w:r w:rsidRPr="00E13258">
        <w:rPr>
          <w:rFonts w:ascii="Palatino Linotype" w:hAnsi="Palatino Linotype"/>
          <w:noProof/>
          <w:sz w:val="22"/>
          <w:szCs w:val="22"/>
          <w:lang w:eastAsia="es-MX"/>
        </w:rPr>
        <w:t>que se testen el folio fiscal, número de serie CSD, sello digital CFDI, sello digital del SAT, código QR, número de certificado del SAT, firma del prestador de servicios o proveedor y número de cuentas bancarias del Municipio de Tlalnepantla de Baz; atento a ellos se analizarán si fueron correctamente testados los datos mencionados.</w:t>
      </w:r>
    </w:p>
    <w:p w14:paraId="16FB020E" w14:textId="77777777" w:rsidR="00981ED0" w:rsidRPr="00E13258" w:rsidRDefault="00981ED0" w:rsidP="00DE5256">
      <w:pPr>
        <w:spacing w:line="360" w:lineRule="auto"/>
        <w:jc w:val="both"/>
        <w:rPr>
          <w:rFonts w:ascii="Palatino Linotype" w:hAnsi="Palatino Linotype"/>
          <w:b/>
          <w:caps/>
          <w:noProof/>
          <w:szCs w:val="22"/>
          <w:lang w:eastAsia="es-MX"/>
        </w:rPr>
      </w:pPr>
    </w:p>
    <w:p w14:paraId="368A91E0" w14:textId="77777777" w:rsidR="00981ED0" w:rsidRPr="00E13258" w:rsidRDefault="00981ED0" w:rsidP="00DE5256">
      <w:pPr>
        <w:spacing w:line="360" w:lineRule="auto"/>
        <w:jc w:val="both"/>
        <w:rPr>
          <w:rFonts w:ascii="Palatino Linotype" w:hAnsi="Palatino Linotype"/>
          <w:b/>
          <w:caps/>
          <w:noProof/>
          <w:szCs w:val="22"/>
          <w:lang w:eastAsia="es-MX"/>
        </w:rPr>
      </w:pPr>
      <w:r w:rsidRPr="00E13258">
        <w:rPr>
          <w:rFonts w:ascii="Palatino Linotype" w:hAnsi="Palatino Linotype"/>
          <w:b/>
          <w:caps/>
          <w:noProof/>
          <w:szCs w:val="22"/>
          <w:lang w:eastAsia="es-MX"/>
        </w:rPr>
        <w:t>Análisis de los datos personales eliminados en las versiones públicas.</w:t>
      </w:r>
    </w:p>
    <w:p w14:paraId="7D0B2074" w14:textId="77777777" w:rsidR="00981ED0" w:rsidRPr="00E13258" w:rsidRDefault="00981ED0" w:rsidP="00DE5256">
      <w:pPr>
        <w:spacing w:line="360" w:lineRule="auto"/>
        <w:jc w:val="both"/>
        <w:rPr>
          <w:rFonts w:ascii="Palatino Linotype" w:hAnsi="Palatino Linotype"/>
          <w:b/>
          <w:caps/>
          <w:noProof/>
          <w:szCs w:val="22"/>
          <w:lang w:eastAsia="es-MX"/>
        </w:rPr>
      </w:pPr>
    </w:p>
    <w:p w14:paraId="2EE8F96E"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 xml:space="preserve">Para determinar la publicidad o clasificación de datos personales, resulta conveniente traer a colación el artículo 6°, Apartado A), fracción II, de la Constitución Política de los Estados Unidos Mexicanos, prevé que la información que se refiere a la vida privada y los datos personales, será protegida en los términos y con las excepciones que fijen las leyes. Igualmente, el segundo párrafo del artículo 16 de la Carta Magna dispone que toda persona tiene derecho a la protección de sus datos personales, al acceso, rectificación y cancelación de los mismos; así como, a manifestar su oposición, en los términos que fije la ley, la cual establecerá los supuestos </w:t>
      </w:r>
      <w:r w:rsidRPr="00E13258">
        <w:rPr>
          <w:rFonts w:ascii="Palatino Linotype" w:hAnsi="Palatino Linotype" w:cs="Tahoma"/>
          <w:bCs/>
          <w:iCs/>
          <w:sz w:val="22"/>
          <w:szCs w:val="22"/>
        </w:rPr>
        <w:lastRenderedPageBreak/>
        <w:t>de excepción a los principios que rijan el tratamiento de datos, por razones de seguridad nacional, disposiciones de orden público, seguridad y salud públicas o para proteger los derechos de terceros.</w:t>
      </w:r>
    </w:p>
    <w:p w14:paraId="3AB5AB08"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666F22FA"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Acorde con lo anterior, la Ley General de Transparencia y Acceso a la Información Pública, en su artículo 116, dispone que se considera información confidencial la que contenga datos personales concernientes a una persona física identificada o identificable.</w:t>
      </w:r>
    </w:p>
    <w:p w14:paraId="509DBF30"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4EBC83A1"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De la misma manera, el artículo 5°, fracciones I y II de la Constitución Política del Estado Libre y Soberano de México, prevé que toda la información en posesión de los Sujetos Obligados será pública; no obstante, aquella referente a la intimidad de la vida privada y la imagen de las personas, será protegida a través de un marco jurídico rígido, de tratamiento y manejo de datos personales.</w:t>
      </w:r>
    </w:p>
    <w:p w14:paraId="3112A69C"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338E7076"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Por su parte, el artículo 24, fracción VI, de la Ley de Transparencia y Acceso a la Información Pública del Estado de México y Municipios, precisa que los Sujetos Obligados serán los responsables de proteger y resguardar la información clasificada como reservada o confidencial.</w:t>
      </w:r>
    </w:p>
    <w:p w14:paraId="7A7D24C6"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2DF8ABD4"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En concordancia con lo previo, el artículo 143, fracción I, de la Ley previamente citada, establece que la información privada y los datos personales, concernientes a una persona física o jurídica colectiva identificada o identificable son confidenciales.</w:t>
      </w:r>
    </w:p>
    <w:p w14:paraId="37E4AD12"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5AD06933" w14:textId="77777777" w:rsidR="00981ED0" w:rsidRPr="00E13258" w:rsidRDefault="00981ED0" w:rsidP="00DE5256">
      <w:pPr>
        <w:spacing w:line="360" w:lineRule="auto"/>
        <w:ind w:right="-93"/>
        <w:jc w:val="both"/>
        <w:rPr>
          <w:rFonts w:ascii="Palatino Linotype" w:hAnsi="Palatino Linotype" w:cs="Tahoma"/>
          <w:bCs/>
          <w:iCs/>
          <w:sz w:val="22"/>
          <w:szCs w:val="22"/>
          <w:lang w:val="es-ES"/>
        </w:rPr>
      </w:pPr>
      <w:r w:rsidRPr="00E13258">
        <w:rPr>
          <w:rFonts w:ascii="Palatino Linotype" w:hAnsi="Palatino Linotype" w:cs="Tahoma"/>
          <w:bCs/>
          <w:iCs/>
          <w:sz w:val="22"/>
          <w:szCs w:val="22"/>
        </w:rPr>
        <w:t xml:space="preserve">Asimismo, en el artículo 145 de la Ley de Transparencia y Acceso a la Información Pública del Estado de México y Municipios, prevé que para que los Sujetos Obligados </w:t>
      </w:r>
      <w:r w:rsidRPr="00E13258">
        <w:rPr>
          <w:rFonts w:ascii="Palatino Linotype" w:hAnsi="Palatino Linotype" w:cs="Tahoma"/>
          <w:bCs/>
          <w:iCs/>
          <w:sz w:val="22"/>
          <w:szCs w:val="22"/>
          <w:lang w:val="es-ES"/>
        </w:rPr>
        <w:t xml:space="preserve">puedan permitir el acceso a la información confidencial, requieren obtener el consentimiento de los particulares titulares de la información, excepto cuando i) la información se encuentre en registros públicos </w:t>
      </w:r>
      <w:r w:rsidRPr="00E13258">
        <w:rPr>
          <w:rFonts w:ascii="Palatino Linotype" w:hAnsi="Palatino Linotype" w:cs="Tahoma"/>
          <w:bCs/>
          <w:iCs/>
          <w:sz w:val="22"/>
          <w:szCs w:val="22"/>
          <w:lang w:val="es-ES"/>
        </w:rPr>
        <w:lastRenderedPageBreak/>
        <w:t xml:space="preserve">o fuentes de acceso público, </w:t>
      </w:r>
      <w:proofErr w:type="spellStart"/>
      <w:r w:rsidRPr="00E13258">
        <w:rPr>
          <w:rFonts w:ascii="Palatino Linotype" w:hAnsi="Palatino Linotype" w:cs="Tahoma"/>
          <w:bCs/>
          <w:iCs/>
          <w:sz w:val="22"/>
          <w:szCs w:val="22"/>
          <w:lang w:val="es-ES"/>
        </w:rPr>
        <w:t>ii</w:t>
      </w:r>
      <w:proofErr w:type="spellEnd"/>
      <w:r w:rsidRPr="00E13258">
        <w:rPr>
          <w:rFonts w:ascii="Palatino Linotype" w:hAnsi="Palatino Linotype" w:cs="Tahoma"/>
          <w:bCs/>
          <w:iCs/>
          <w:sz w:val="22"/>
          <w:szCs w:val="22"/>
          <w:lang w:val="es-ES"/>
        </w:rPr>
        <w:t xml:space="preserve">) por ley tenga el carácter de pública, </w:t>
      </w:r>
      <w:proofErr w:type="spellStart"/>
      <w:r w:rsidRPr="00E13258">
        <w:rPr>
          <w:rFonts w:ascii="Palatino Linotype" w:hAnsi="Palatino Linotype" w:cs="Tahoma"/>
          <w:bCs/>
          <w:iCs/>
          <w:sz w:val="22"/>
          <w:szCs w:val="22"/>
          <w:lang w:val="es-ES"/>
        </w:rPr>
        <w:t>iii</w:t>
      </w:r>
      <w:proofErr w:type="spellEnd"/>
      <w:r w:rsidRPr="00E13258">
        <w:rPr>
          <w:rFonts w:ascii="Palatino Linotype" w:hAnsi="Palatino Linotype" w:cs="Tahoma"/>
          <w:bCs/>
          <w:iCs/>
          <w:sz w:val="22"/>
          <w:szCs w:val="22"/>
          <w:lang w:val="es-ES"/>
        </w:rPr>
        <w:t xml:space="preserve">) exista una orden judicial, </w:t>
      </w:r>
      <w:proofErr w:type="spellStart"/>
      <w:r w:rsidRPr="00E13258">
        <w:rPr>
          <w:rFonts w:ascii="Palatino Linotype" w:hAnsi="Palatino Linotype" w:cs="Tahoma"/>
          <w:bCs/>
          <w:iCs/>
          <w:sz w:val="22"/>
          <w:szCs w:val="22"/>
          <w:lang w:val="es-ES"/>
        </w:rPr>
        <w:t>iv</w:t>
      </w:r>
      <w:proofErr w:type="spellEnd"/>
      <w:r w:rsidRPr="00E13258">
        <w:rPr>
          <w:rFonts w:ascii="Palatino Linotype" w:hAnsi="Palatino Linotype" w:cs="Tahoma"/>
          <w:bCs/>
          <w:iCs/>
          <w:sz w:val="22"/>
          <w:szCs w:val="22"/>
          <w:lang w:val="es-ES"/>
        </w:rPr>
        <w:t>) por razones de seguridad nacional y salubridad general o v) para proteger los derechos de terceros o cuando se transmita entre sujetos obligados en términos de los tratados y los acuerdos interinstitucionales.</w:t>
      </w:r>
    </w:p>
    <w:p w14:paraId="0860A551"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7EB2DB74" w14:textId="77777777" w:rsidR="00981ED0" w:rsidRPr="00E13258" w:rsidRDefault="00981ED0" w:rsidP="00DE5256">
      <w:pPr>
        <w:spacing w:line="360" w:lineRule="auto"/>
        <w:ind w:right="-93"/>
        <w:jc w:val="both"/>
        <w:rPr>
          <w:rFonts w:ascii="Palatino Linotype" w:hAnsi="Palatino Linotype" w:cs="Tahoma"/>
          <w:bCs/>
          <w:iCs/>
          <w:sz w:val="22"/>
          <w:szCs w:val="22"/>
          <w:lang w:val="es-ES"/>
        </w:rPr>
      </w:pPr>
      <w:r w:rsidRPr="00E13258">
        <w:rPr>
          <w:rFonts w:ascii="Palatino Linotype" w:hAnsi="Palatino Linotype" w:cs="Tahoma"/>
          <w:bCs/>
          <w:iCs/>
          <w:sz w:val="22"/>
          <w:szCs w:val="22"/>
          <w:lang w:val="es-ES"/>
        </w:rPr>
        <w:t>En términos de lo expuesto, la documentación y aquellos datos que se consideren confidenciales, serán una limitante del derecho de acceso a la información, siempre y cuando:</w:t>
      </w:r>
    </w:p>
    <w:p w14:paraId="2E99F8D6" w14:textId="77777777" w:rsidR="00981ED0" w:rsidRPr="00E13258" w:rsidRDefault="00981ED0" w:rsidP="00DE5256">
      <w:pPr>
        <w:spacing w:line="360" w:lineRule="auto"/>
        <w:ind w:right="-93"/>
        <w:jc w:val="both"/>
        <w:rPr>
          <w:rFonts w:ascii="Palatino Linotype" w:hAnsi="Palatino Linotype" w:cs="Tahoma"/>
          <w:bCs/>
          <w:iCs/>
          <w:sz w:val="22"/>
          <w:szCs w:val="22"/>
          <w:lang w:val="es-ES"/>
        </w:rPr>
      </w:pPr>
    </w:p>
    <w:p w14:paraId="63EC01C8" w14:textId="77777777" w:rsidR="00981ED0" w:rsidRPr="00E13258" w:rsidRDefault="00981ED0" w:rsidP="00DE5256">
      <w:pPr>
        <w:numPr>
          <w:ilvl w:val="0"/>
          <w:numId w:val="4"/>
        </w:numPr>
        <w:spacing w:line="360" w:lineRule="auto"/>
        <w:ind w:right="-93"/>
        <w:jc w:val="both"/>
        <w:rPr>
          <w:rFonts w:ascii="Palatino Linotype" w:hAnsi="Palatino Linotype" w:cs="Tahoma"/>
          <w:bCs/>
          <w:iCs/>
          <w:sz w:val="22"/>
          <w:szCs w:val="22"/>
          <w:lang w:val="es-ES"/>
        </w:rPr>
      </w:pPr>
      <w:r w:rsidRPr="00E13258">
        <w:rPr>
          <w:rFonts w:ascii="Palatino Linotype" w:hAnsi="Palatino Linotype" w:cs="Tahoma"/>
          <w:bCs/>
          <w:iCs/>
          <w:sz w:val="22"/>
          <w:szCs w:val="22"/>
          <w:lang w:val="es-ES"/>
        </w:rPr>
        <w:t xml:space="preserve">Se trate de datos personales o información privada; esto es, información concerniente a una persona física o jurídico colectiva y que esta sea identificada o identificable. </w:t>
      </w:r>
    </w:p>
    <w:p w14:paraId="700D3FE7" w14:textId="77777777" w:rsidR="00981ED0" w:rsidRPr="00E13258" w:rsidRDefault="00981ED0" w:rsidP="00DE5256">
      <w:pPr>
        <w:spacing w:line="360" w:lineRule="auto"/>
        <w:ind w:right="-93"/>
        <w:jc w:val="both"/>
        <w:rPr>
          <w:rFonts w:ascii="Palatino Linotype" w:hAnsi="Palatino Linotype" w:cs="Tahoma"/>
          <w:bCs/>
          <w:iCs/>
          <w:sz w:val="22"/>
          <w:szCs w:val="22"/>
          <w:lang w:val="es-ES"/>
        </w:rPr>
      </w:pPr>
    </w:p>
    <w:p w14:paraId="4759707C" w14:textId="77777777" w:rsidR="00981ED0" w:rsidRPr="00E13258" w:rsidRDefault="00981ED0" w:rsidP="00DE5256">
      <w:pPr>
        <w:numPr>
          <w:ilvl w:val="0"/>
          <w:numId w:val="4"/>
        </w:numPr>
        <w:spacing w:line="360" w:lineRule="auto"/>
        <w:ind w:right="-93"/>
        <w:jc w:val="both"/>
        <w:rPr>
          <w:rFonts w:ascii="Palatino Linotype" w:hAnsi="Palatino Linotype" w:cs="Tahoma"/>
          <w:bCs/>
          <w:iCs/>
          <w:sz w:val="22"/>
          <w:szCs w:val="22"/>
          <w:lang w:val="es-ES"/>
        </w:rPr>
      </w:pPr>
      <w:r w:rsidRPr="00E13258">
        <w:rPr>
          <w:rFonts w:ascii="Palatino Linotype" w:hAnsi="Palatino Linotype" w:cs="Tahoma"/>
          <w:bCs/>
          <w:iCs/>
          <w:sz w:val="22"/>
          <w:szCs w:val="22"/>
          <w:lang w:val="es-ES"/>
        </w:rPr>
        <w:t xml:space="preserve">Para la difusión de los datos, se requiera el consentimiento del titular. </w:t>
      </w:r>
    </w:p>
    <w:p w14:paraId="4D3D30B8"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3F82DD5C"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 xml:space="preserve">En ese orden de ideas, de conformidad con el artículo 3°, fracción IX, de la Ley de Transparencia y Acceso a la Información Pública del Estado de México y Municipios, con relación el diverso 4°, fracciones XI y XII, de la Ley de Protección de Datos Personales en Posesión de Sujetos Obligados del Estado de México y Municipios, se advierte que son datos personales, la información concerniente a una persona física identificada o identificable (cuando su identidad pueda determinarse directa o indirectamente a través de cualquier documento informativo físico o electrónico), establecida en cualquier formato o modalidad. </w:t>
      </w:r>
    </w:p>
    <w:p w14:paraId="1A72D616"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428BBE4B"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Además, en el artículo 5° de dicho ordenamiento jurídico, establece que es la Ley aplicable para todo tratamiento de datos personales.</w:t>
      </w:r>
    </w:p>
    <w:p w14:paraId="061014D9"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31FC74E4"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 xml:space="preserve">En ese orden de ideas, los artículos 6°, 7°, 8° y 14 de la Ley de Protección de Datos Personales en Posesión de Sujetos Obligados del Estado de México y Municipios, disponen que los responsables del tratamiento de datos personales, deben observar los principios de licitud, </w:t>
      </w:r>
      <w:r w:rsidRPr="00E13258">
        <w:rPr>
          <w:rFonts w:ascii="Palatino Linotype" w:hAnsi="Palatino Linotype" w:cs="Tahoma"/>
          <w:bCs/>
          <w:iCs/>
          <w:sz w:val="22"/>
          <w:szCs w:val="22"/>
        </w:rPr>
        <w:lastRenderedPageBreak/>
        <w:t>consentimiento, información, calidad, lealtad, finalidad, proporcionalidad y responsabilidad; además, que dicho tratamiento deberá obedecer exclusivamente a sus atribuciones legales y con el consentimiento de su titular, además de que debe estar justificado en ley (principio de finalidad).</w:t>
      </w:r>
    </w:p>
    <w:p w14:paraId="3D1D212D"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218E86BA"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 xml:space="preserve">Por tales situaciones, un dato personal es cualquier información que pueda hacer a una persona física identificada e identificable, </w:t>
      </w:r>
      <w:r w:rsidRPr="00E13258">
        <w:rPr>
          <w:rFonts w:ascii="Palatino Linotype" w:hAnsi="Palatino Linotype" w:cs="Tahoma"/>
          <w:b/>
          <w:bCs/>
          <w:iCs/>
          <w:sz w:val="22"/>
          <w:szCs w:val="22"/>
        </w:rPr>
        <w:t>como su nombre</w:t>
      </w:r>
      <w:r w:rsidRPr="00E13258">
        <w:rPr>
          <w:rFonts w:ascii="Palatino Linotype" w:hAnsi="Palatino Linotype" w:cs="Tahoma"/>
          <w:bCs/>
          <w:iCs/>
          <w:sz w:val="22"/>
          <w:szCs w:val="22"/>
        </w:rPr>
        <w:t xml:space="preserve"> o imagen. Asimismo, la doctrina desarrollada a nivel internacional, respecto del tema de datos personales, establece que también las preferencias, gustos, cualidades, opiniones y creencias, constituyen datos personales. En este sentido, cualquier información que por sí sola o relacionada con otra permita hacer identificable a una persona, es un dato personal, susceptible de ser clasificado.</w:t>
      </w:r>
    </w:p>
    <w:p w14:paraId="73D35D11"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0EA64AAB"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En este contexto, la confidencialidad de los datos personales, tiene por objetivo establecer el límite del derecho de acceso a la información a partir del derecho a la intimidad y la vida privada de los individuos. Sobre el particular, el legislador realizó un análisis en donde se ponderaban dos derechos: el derecho a la intimidad y la protección de los datos personales versus el interés público de conocer el ejercicio de atribuciones y de recursos públicos de las instituciones y es a partir de ahí, en donde las instituciones públicas deben determinar la publicidad de su información.</w:t>
      </w:r>
    </w:p>
    <w:p w14:paraId="1C8B2E68"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22800CAC"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De tal suerte, las instituciones públicas tienen la doble responsabilidad, por un lado, de proteger los datos personales y por otro, darles publicidad cuando la relevancia de esos datos sea de interés público.</w:t>
      </w:r>
    </w:p>
    <w:p w14:paraId="2572E180"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4341BC1F" w14:textId="77777777" w:rsidR="00981ED0" w:rsidRPr="00E13258" w:rsidRDefault="00981ED0" w:rsidP="00DE5256">
      <w:pPr>
        <w:spacing w:line="360" w:lineRule="auto"/>
        <w:ind w:right="-93"/>
        <w:jc w:val="both"/>
        <w:rPr>
          <w:rFonts w:ascii="Palatino Linotype" w:hAnsi="Palatino Linotype" w:cs="Tahoma"/>
          <w:bCs/>
          <w:iCs/>
          <w:sz w:val="22"/>
          <w:szCs w:val="22"/>
        </w:rPr>
      </w:pPr>
      <w:r w:rsidRPr="00E13258">
        <w:rPr>
          <w:rFonts w:ascii="Palatino Linotype" w:hAnsi="Palatino Linotype" w:cs="Tahoma"/>
          <w:bCs/>
          <w:iCs/>
          <w:sz w:val="22"/>
          <w:szCs w:val="22"/>
        </w:rPr>
        <w:t xml:space="preserve">En este orden de ideas, toda la información que transparente la gestión pública, favorezca la rendición de cuentas y contribuya a la democratización del Estado Mexicano es, sin excepción, de naturaleza pública; tal es el caso de los salarios de todos los servidores públicos, la entrega </w:t>
      </w:r>
      <w:r w:rsidRPr="00E13258">
        <w:rPr>
          <w:rFonts w:ascii="Palatino Linotype" w:hAnsi="Palatino Linotype" w:cs="Tahoma"/>
          <w:bCs/>
          <w:iCs/>
          <w:sz w:val="22"/>
          <w:szCs w:val="22"/>
        </w:rPr>
        <w:lastRenderedPageBreak/>
        <w:t>de recursos públicos bajo cualquier esquema, el cumplimiento de requisitos legales, entre otros; información que necesariamente está vinculada con datos personales, que pierden la protección en beneficio del interés público (no por eso dejan de ser datos personales, sólo que no están protegidos en la confidencialidad).</w:t>
      </w:r>
    </w:p>
    <w:p w14:paraId="4BDADC2F" w14:textId="77777777" w:rsidR="00981ED0" w:rsidRPr="00E13258" w:rsidRDefault="00981ED0" w:rsidP="00DE5256">
      <w:pPr>
        <w:spacing w:line="360" w:lineRule="auto"/>
        <w:ind w:right="-93"/>
        <w:jc w:val="both"/>
        <w:rPr>
          <w:rFonts w:ascii="Palatino Linotype" w:hAnsi="Palatino Linotype" w:cs="Tahoma"/>
          <w:bCs/>
          <w:iCs/>
          <w:sz w:val="22"/>
          <w:szCs w:val="22"/>
        </w:rPr>
      </w:pPr>
    </w:p>
    <w:p w14:paraId="263DD8A2" w14:textId="77777777" w:rsidR="00981ED0" w:rsidRPr="00E13258" w:rsidRDefault="00981ED0" w:rsidP="00DE5256">
      <w:pPr>
        <w:spacing w:line="360" w:lineRule="auto"/>
        <w:ind w:right="-93"/>
        <w:jc w:val="both"/>
        <w:rPr>
          <w:rFonts w:ascii="Palatino Linotype" w:hAnsi="Palatino Linotype" w:cs="Tahoma"/>
          <w:sz w:val="22"/>
          <w:szCs w:val="22"/>
        </w:rPr>
      </w:pPr>
      <w:r w:rsidRPr="00E13258">
        <w:rPr>
          <w:rFonts w:ascii="Palatino Linotype" w:hAnsi="Palatino Linotype" w:cs="Tahoma"/>
          <w:bCs/>
          <w:iCs/>
          <w:sz w:val="22"/>
          <w:szCs w:val="22"/>
        </w:rPr>
        <w:t>Bajo este esquema,</w:t>
      </w:r>
      <w:r w:rsidRPr="00E13258">
        <w:rPr>
          <w:rFonts w:ascii="Palatino Linotype" w:hAnsi="Palatino Linotype"/>
          <w:sz w:val="22"/>
          <w:szCs w:val="22"/>
        </w:rPr>
        <w:t xml:space="preserve"> se analizan los datos personales eliminados </w:t>
      </w:r>
      <w:r w:rsidR="005660FF" w:rsidRPr="00E13258">
        <w:rPr>
          <w:rFonts w:ascii="Palatino Linotype" w:hAnsi="Palatino Linotype"/>
          <w:sz w:val="22"/>
          <w:szCs w:val="22"/>
        </w:rPr>
        <w:t xml:space="preserve">por el Sujeto Obligado </w:t>
      </w:r>
      <w:r w:rsidRPr="00E13258">
        <w:rPr>
          <w:rFonts w:ascii="Palatino Linotype" w:hAnsi="Palatino Linotype"/>
          <w:sz w:val="22"/>
          <w:szCs w:val="22"/>
        </w:rPr>
        <w:t>mediante Acuerdo 012/CT/2-EXT/2019</w:t>
      </w:r>
      <w:r w:rsidRPr="00E13258">
        <w:rPr>
          <w:rFonts w:ascii="Palatino Linotype" w:hAnsi="Palatino Linotype" w:cs="Tahoma"/>
          <w:bCs/>
          <w:iCs/>
          <w:sz w:val="22"/>
          <w:szCs w:val="22"/>
        </w:rPr>
        <w:t xml:space="preserve">: </w:t>
      </w:r>
    </w:p>
    <w:p w14:paraId="2DAC855C" w14:textId="77777777" w:rsidR="00981ED0" w:rsidRPr="00E13258" w:rsidRDefault="00981ED0" w:rsidP="00DE5256">
      <w:pPr>
        <w:spacing w:line="360" w:lineRule="auto"/>
        <w:jc w:val="both"/>
        <w:rPr>
          <w:rFonts w:ascii="Palatino Linotype" w:hAnsi="Palatino Linotype"/>
          <w:b/>
          <w:caps/>
          <w:noProof/>
          <w:sz w:val="22"/>
          <w:szCs w:val="22"/>
          <w:lang w:eastAsia="es-MX"/>
        </w:rPr>
      </w:pPr>
    </w:p>
    <w:p w14:paraId="4E84F157" w14:textId="77777777" w:rsidR="00981ED0" w:rsidRPr="00E13258" w:rsidRDefault="00615BA8" w:rsidP="00DE5256">
      <w:pPr>
        <w:pStyle w:val="Prrafodelista"/>
        <w:numPr>
          <w:ilvl w:val="0"/>
          <w:numId w:val="16"/>
        </w:numPr>
        <w:spacing w:line="360" w:lineRule="auto"/>
        <w:jc w:val="both"/>
        <w:rPr>
          <w:rFonts w:ascii="Palatino Linotype" w:hAnsi="Palatino Linotype"/>
          <w:b/>
          <w:noProof/>
          <w:szCs w:val="22"/>
          <w:lang w:eastAsia="es-MX"/>
        </w:rPr>
      </w:pPr>
      <w:r w:rsidRPr="00E13258">
        <w:rPr>
          <w:rFonts w:ascii="Palatino Linotype" w:hAnsi="Palatino Linotype"/>
          <w:b/>
          <w:noProof/>
          <w:szCs w:val="22"/>
          <w:lang w:eastAsia="es-MX"/>
        </w:rPr>
        <w:t>Folio fiscal, número de serie CSD, sello digital CFDI, sello digital del SAT, código QR, número de certificado del SAT, y número de cuentas bancarias del Municipio de Tlalnepantla de Baz</w:t>
      </w:r>
      <w:r w:rsidR="00981ED0" w:rsidRPr="00E13258">
        <w:rPr>
          <w:rFonts w:ascii="Palatino Linotype" w:hAnsi="Palatino Linotype"/>
          <w:b/>
          <w:noProof/>
          <w:szCs w:val="22"/>
          <w:lang w:eastAsia="es-MX"/>
        </w:rPr>
        <w:t>.</w:t>
      </w:r>
    </w:p>
    <w:p w14:paraId="5D2B650E" w14:textId="77777777" w:rsidR="0073132C" w:rsidRPr="00E13258" w:rsidRDefault="0073132C" w:rsidP="00DE5256">
      <w:pPr>
        <w:spacing w:line="360" w:lineRule="auto"/>
        <w:ind w:right="-91"/>
        <w:jc w:val="both"/>
        <w:rPr>
          <w:rFonts w:ascii="Palatino Linotype" w:eastAsia="Calibri" w:hAnsi="Palatino Linotype" w:cs="Tahoma"/>
          <w:bCs/>
          <w:sz w:val="22"/>
          <w:szCs w:val="22"/>
          <w:lang w:val="es-ES" w:eastAsia="en-US"/>
        </w:rPr>
      </w:pPr>
    </w:p>
    <w:p w14:paraId="64D0AABE" w14:textId="77777777" w:rsidR="00615BA8" w:rsidRPr="00E13258" w:rsidRDefault="00615BA8" w:rsidP="00DE5256">
      <w:pPr>
        <w:spacing w:line="360" w:lineRule="auto"/>
        <w:ind w:right="-91"/>
        <w:jc w:val="both"/>
        <w:rPr>
          <w:rFonts w:ascii="Palatino Linotype" w:eastAsia="Calibri" w:hAnsi="Palatino Linotype" w:cs="Tahoma"/>
          <w:bCs/>
          <w:sz w:val="22"/>
          <w:szCs w:val="22"/>
          <w:lang w:val="es-ES" w:eastAsia="en-US"/>
        </w:rPr>
      </w:pPr>
      <w:r w:rsidRPr="00E13258">
        <w:rPr>
          <w:rFonts w:ascii="Palatino Linotype" w:eastAsia="Calibri" w:hAnsi="Palatino Linotype" w:cs="Tahoma"/>
          <w:bCs/>
          <w:sz w:val="22"/>
          <w:szCs w:val="22"/>
          <w:lang w:val="es-ES" w:eastAsia="en-US"/>
        </w:rPr>
        <w:t>Cuando, de la secuencia de números y letras, no se advierta un Registro Federal de Contribuyentes o una Clave Única de Registro de Población, que pueda hacer identificable al titular del dato personal, no puede tenerse como dato personal y por ende información confidencial. Por el contrario, debe considerarse que esta información incluida en los documentos fiscales, constituyen un elemento adicional que permite a cualquier persona verificar la legitimidad del documento entregado en una solicitud de acceso a la información y, por sí solos no contienen datos personales susceptibles de clasificación, ya que no hacen identificado o identificable a su titular, pues dichos datos sólo son de utilidad de manera directa a la Secretaría de Hacienda y Crédito Público y si bien, dichas cadenas sí derivan de la información personal de los contribuyentes, esta se encuentra encriptada como se verá a continuación.</w:t>
      </w:r>
    </w:p>
    <w:p w14:paraId="34332100" w14:textId="77777777" w:rsidR="0073132C" w:rsidRPr="00E13258" w:rsidRDefault="0073132C" w:rsidP="00DE5256">
      <w:pPr>
        <w:spacing w:line="360" w:lineRule="auto"/>
        <w:ind w:right="-91"/>
        <w:jc w:val="both"/>
        <w:rPr>
          <w:rFonts w:ascii="Palatino Linotype" w:eastAsia="Calibri" w:hAnsi="Palatino Linotype" w:cs="Tahoma"/>
          <w:bCs/>
          <w:sz w:val="22"/>
          <w:szCs w:val="22"/>
          <w:lang w:val="es-ES" w:eastAsia="en-US"/>
        </w:rPr>
      </w:pPr>
    </w:p>
    <w:p w14:paraId="2885DF02" w14:textId="77777777" w:rsidR="00615BA8" w:rsidRDefault="0073132C" w:rsidP="00DE5256">
      <w:pPr>
        <w:pStyle w:val="Prrafodelista"/>
        <w:numPr>
          <w:ilvl w:val="0"/>
          <w:numId w:val="16"/>
        </w:numPr>
        <w:spacing w:line="360" w:lineRule="auto"/>
        <w:ind w:right="-91"/>
        <w:jc w:val="both"/>
        <w:rPr>
          <w:rFonts w:ascii="Palatino Linotype" w:eastAsia="Calibri" w:hAnsi="Palatino Linotype" w:cs="Tahoma"/>
          <w:b/>
          <w:bCs/>
          <w:szCs w:val="22"/>
          <w:lang w:val="es-ES" w:eastAsia="en-US"/>
        </w:rPr>
      </w:pPr>
      <w:r w:rsidRPr="00E13258">
        <w:rPr>
          <w:rFonts w:ascii="Palatino Linotype" w:eastAsia="Calibri" w:hAnsi="Palatino Linotype" w:cs="Tahoma"/>
          <w:b/>
          <w:bCs/>
          <w:szCs w:val="22"/>
          <w:lang w:val="es-ES" w:eastAsia="en-US"/>
        </w:rPr>
        <w:t>Folio Fiscal</w:t>
      </w:r>
    </w:p>
    <w:p w14:paraId="3D3F5A3A" w14:textId="77777777" w:rsidR="00D00AC4" w:rsidRPr="00E13258" w:rsidRDefault="00D00AC4" w:rsidP="00DE5256">
      <w:pPr>
        <w:pStyle w:val="Prrafodelista"/>
        <w:spacing w:line="360" w:lineRule="auto"/>
        <w:ind w:right="-91"/>
        <w:jc w:val="both"/>
        <w:rPr>
          <w:rFonts w:ascii="Palatino Linotype" w:eastAsia="Calibri" w:hAnsi="Palatino Linotype" w:cs="Tahoma"/>
          <w:b/>
          <w:bCs/>
          <w:szCs w:val="22"/>
          <w:lang w:val="es-ES" w:eastAsia="en-US"/>
        </w:rPr>
      </w:pPr>
    </w:p>
    <w:p w14:paraId="32C919AF" w14:textId="77777777" w:rsidR="0073132C" w:rsidRPr="00E13258" w:rsidRDefault="002D0CE8" w:rsidP="00DE5256">
      <w:pPr>
        <w:spacing w:line="360" w:lineRule="auto"/>
        <w:jc w:val="both"/>
        <w:rPr>
          <w:rFonts w:ascii="Palatino Linotype" w:eastAsia="Calibri" w:hAnsi="Palatino Linotype" w:cs="Tahoma"/>
          <w:bCs/>
          <w:sz w:val="22"/>
          <w:szCs w:val="22"/>
          <w:lang w:val="es-ES" w:eastAsia="en-US"/>
        </w:rPr>
      </w:pPr>
      <w:r w:rsidRPr="00E13258">
        <w:rPr>
          <w:rFonts w:ascii="Palatino Linotype" w:eastAsia="Calibri" w:hAnsi="Palatino Linotype" w:cs="Tahoma"/>
          <w:bCs/>
          <w:sz w:val="22"/>
          <w:szCs w:val="22"/>
          <w:lang w:val="es-ES" w:eastAsia="en-US"/>
        </w:rPr>
        <w:lastRenderedPageBreak/>
        <w:t>P</w:t>
      </w:r>
      <w:r w:rsidR="0073132C" w:rsidRPr="00E13258">
        <w:rPr>
          <w:rFonts w:ascii="Palatino Linotype" w:eastAsia="Calibri" w:hAnsi="Palatino Linotype" w:cs="Tahoma"/>
          <w:bCs/>
          <w:sz w:val="22"/>
          <w:szCs w:val="22"/>
          <w:lang w:val="es-ES" w:eastAsia="en-US"/>
        </w:rPr>
        <w:t xml:space="preserve">or lo que hace Folio Fiscal, cabe precisar que conforme al ANEXO 20 de la Segunda Resolución de modificaciones a la Resolución Miscelánea Fiscal para dos </w:t>
      </w:r>
      <w:proofErr w:type="gramStart"/>
      <w:r w:rsidR="0073132C" w:rsidRPr="00E13258">
        <w:rPr>
          <w:rFonts w:ascii="Palatino Linotype" w:eastAsia="Calibri" w:hAnsi="Palatino Linotype" w:cs="Tahoma"/>
          <w:bCs/>
          <w:sz w:val="22"/>
          <w:szCs w:val="22"/>
          <w:lang w:val="es-ES" w:eastAsia="en-US"/>
        </w:rPr>
        <w:t>mil  diecisiete</w:t>
      </w:r>
      <w:proofErr w:type="gramEnd"/>
      <w:r w:rsidR="0073132C" w:rsidRPr="00E13258">
        <w:rPr>
          <w:rFonts w:ascii="Palatino Linotype" w:eastAsia="Calibri" w:hAnsi="Palatino Linotype" w:cs="Tahoma"/>
          <w:bCs/>
          <w:sz w:val="22"/>
          <w:szCs w:val="22"/>
          <w:lang w:val="es-ES" w:eastAsia="en-US"/>
        </w:rPr>
        <w:t>, el folio fiscal se conforma de treinta seis caracteres alfanuméricos; además, que conforme al  documento denominado “Cómo ubicar el Folio Fiscal en una factura”, el dato se ubica dentro de los datos del emisor o en el recuadro de los datos de identificación del comprobante fiscal. Es un número consecutivo contenido en los comprobantes fiscales digitales, compuesto por 5 grupos de números y letras separados por guiones, tal como se muestra a continuación:</w:t>
      </w:r>
    </w:p>
    <w:p w14:paraId="67EB0CC3" w14:textId="77777777" w:rsidR="0073132C" w:rsidRPr="00E13258" w:rsidRDefault="0073132C" w:rsidP="00DE5256">
      <w:pPr>
        <w:spacing w:line="360" w:lineRule="auto"/>
        <w:jc w:val="center"/>
        <w:rPr>
          <w:rFonts w:ascii="Palatino Linotype" w:eastAsia="Calibri" w:hAnsi="Palatino Linotype" w:cs="Tahoma"/>
          <w:bCs/>
          <w:sz w:val="22"/>
          <w:szCs w:val="22"/>
          <w:lang w:val="es-ES" w:eastAsia="en-US"/>
        </w:rPr>
      </w:pPr>
      <w:r w:rsidRPr="00E13258">
        <w:rPr>
          <w:noProof/>
          <w:lang w:eastAsia="es-MX"/>
        </w:rPr>
        <w:drawing>
          <wp:inline distT="0" distB="0" distL="0" distR="0" wp14:anchorId="33DA019B" wp14:editId="4D7C5952">
            <wp:extent cx="4667250" cy="1335827"/>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32787"/>
                    <a:stretch/>
                  </pic:blipFill>
                  <pic:spPr bwMode="auto">
                    <a:xfrm>
                      <a:off x="0" y="0"/>
                      <a:ext cx="4717354" cy="1350168"/>
                    </a:xfrm>
                    <a:prstGeom prst="rect">
                      <a:avLst/>
                    </a:prstGeom>
                    <a:ln>
                      <a:noFill/>
                    </a:ln>
                    <a:extLst>
                      <a:ext uri="{53640926-AAD7-44D8-BBD7-CCE9431645EC}">
                        <a14:shadowObscured xmlns:a14="http://schemas.microsoft.com/office/drawing/2010/main"/>
                      </a:ext>
                    </a:extLst>
                  </pic:spPr>
                </pic:pic>
              </a:graphicData>
            </a:graphic>
          </wp:inline>
        </w:drawing>
      </w:r>
    </w:p>
    <w:p w14:paraId="3F558BE7" w14:textId="77777777" w:rsidR="0073132C" w:rsidRPr="00E13258" w:rsidRDefault="0073132C" w:rsidP="00DE5256">
      <w:pPr>
        <w:spacing w:line="360" w:lineRule="auto"/>
        <w:jc w:val="both"/>
        <w:rPr>
          <w:rFonts w:ascii="Palatino Linotype" w:hAnsi="Palatino Linotype"/>
          <w:b/>
          <w:sz w:val="22"/>
          <w:szCs w:val="22"/>
          <w:u w:val="single"/>
          <w:lang w:val="es-ES"/>
        </w:rPr>
      </w:pPr>
    </w:p>
    <w:p w14:paraId="4FE4E872" w14:textId="77777777" w:rsidR="0073132C" w:rsidRPr="00E13258" w:rsidRDefault="0073132C" w:rsidP="00DE5256">
      <w:pPr>
        <w:spacing w:line="360" w:lineRule="auto"/>
        <w:jc w:val="both"/>
        <w:rPr>
          <w:rFonts w:ascii="Palatino Linotype" w:hAnsi="Palatino Linotype"/>
          <w:sz w:val="22"/>
          <w:szCs w:val="22"/>
          <w:lang w:val="es-ES"/>
        </w:rPr>
      </w:pPr>
      <w:r w:rsidRPr="00E13258">
        <w:rPr>
          <w:rFonts w:ascii="Palatino Linotype" w:hAnsi="Palatino Linotype"/>
          <w:sz w:val="22"/>
          <w:szCs w:val="22"/>
          <w:lang w:val="es-ES"/>
        </w:rPr>
        <w:t xml:space="preserve">En ese contexto, el folio fiscal, no contiene datos personales del emisor y tampoco se puede obtener información confidencial con el mismo, pues solamente es un identificador del emisor, del cual su transparencia ayuda a legitimar que el documento cumple con todos los requisitos establecidos en la normatividad aplicable, sin necesidad algún dato personal, por lo que, </w:t>
      </w:r>
      <w:r w:rsidR="002D0CE8" w:rsidRPr="00E13258">
        <w:rPr>
          <w:rFonts w:ascii="Palatino Linotype" w:hAnsi="Palatino Linotype"/>
          <w:b/>
          <w:sz w:val="22"/>
          <w:szCs w:val="22"/>
          <w:lang w:val="es-ES"/>
        </w:rPr>
        <w:t>no se actualiza</w:t>
      </w:r>
      <w:r w:rsidRPr="00E13258">
        <w:rPr>
          <w:rFonts w:ascii="Palatino Linotype" w:hAnsi="Palatino Linotype"/>
          <w:b/>
          <w:sz w:val="22"/>
          <w:szCs w:val="22"/>
          <w:lang w:val="es-ES"/>
        </w:rPr>
        <w:t xml:space="preserve"> la clasificación</w:t>
      </w:r>
      <w:r w:rsidRPr="00E13258">
        <w:rPr>
          <w:rFonts w:ascii="Palatino Linotype" w:hAnsi="Palatino Linotype"/>
          <w:sz w:val="22"/>
          <w:szCs w:val="22"/>
          <w:lang w:val="es-ES"/>
        </w:rPr>
        <w:t>, en términos del artículo 143, fracción I de la Ley de la materia.</w:t>
      </w:r>
    </w:p>
    <w:p w14:paraId="1BB63ADA" w14:textId="77777777" w:rsidR="0073132C" w:rsidRPr="00E13258" w:rsidRDefault="0073132C" w:rsidP="00DE5256">
      <w:pPr>
        <w:spacing w:line="360" w:lineRule="auto"/>
        <w:ind w:right="-91"/>
        <w:jc w:val="both"/>
        <w:rPr>
          <w:rFonts w:ascii="Palatino Linotype" w:eastAsia="Calibri" w:hAnsi="Palatino Linotype" w:cs="Tahoma"/>
          <w:bCs/>
          <w:sz w:val="22"/>
          <w:szCs w:val="22"/>
          <w:lang w:val="es-ES" w:eastAsia="en-US"/>
        </w:rPr>
      </w:pPr>
    </w:p>
    <w:p w14:paraId="38FC8414" w14:textId="77777777" w:rsidR="0073132C" w:rsidRPr="00E13258" w:rsidRDefault="0073132C" w:rsidP="00DE5256">
      <w:pPr>
        <w:pStyle w:val="Prrafodelista"/>
        <w:numPr>
          <w:ilvl w:val="0"/>
          <w:numId w:val="16"/>
        </w:numPr>
        <w:spacing w:line="360" w:lineRule="auto"/>
        <w:ind w:right="-91"/>
        <w:jc w:val="both"/>
        <w:rPr>
          <w:rFonts w:ascii="Palatino Linotype" w:eastAsia="Calibri" w:hAnsi="Palatino Linotype" w:cs="Tahoma"/>
          <w:b/>
          <w:bCs/>
          <w:szCs w:val="22"/>
          <w:lang w:val="es-ES" w:eastAsia="en-US"/>
        </w:rPr>
      </w:pPr>
      <w:r w:rsidRPr="00E13258">
        <w:rPr>
          <w:rFonts w:ascii="Palatino Linotype" w:eastAsia="Calibri" w:hAnsi="Palatino Linotype" w:cs="Tahoma"/>
          <w:b/>
          <w:bCs/>
          <w:szCs w:val="22"/>
          <w:lang w:val="es-ES" w:eastAsia="en-US"/>
        </w:rPr>
        <w:t>Cadenas originales y sellos</w:t>
      </w:r>
    </w:p>
    <w:p w14:paraId="4A63C6A9" w14:textId="77777777" w:rsidR="00615BA8" w:rsidRPr="00E13258" w:rsidRDefault="00615BA8" w:rsidP="00DE5256">
      <w:pPr>
        <w:spacing w:line="360" w:lineRule="auto"/>
        <w:ind w:right="-91"/>
        <w:jc w:val="both"/>
        <w:rPr>
          <w:rFonts w:ascii="Palatino Linotype" w:eastAsia="Calibri" w:hAnsi="Palatino Linotype" w:cs="Tahoma"/>
          <w:bCs/>
          <w:sz w:val="22"/>
          <w:szCs w:val="22"/>
          <w:lang w:val="es-ES" w:eastAsia="en-US"/>
        </w:rPr>
      </w:pPr>
      <w:r w:rsidRPr="00E13258">
        <w:rPr>
          <w:rFonts w:ascii="Palatino Linotype" w:eastAsia="Calibri" w:hAnsi="Palatino Linotype" w:cs="Tahoma"/>
          <w:b/>
          <w:bCs/>
          <w:sz w:val="22"/>
          <w:szCs w:val="22"/>
          <w:lang w:val="es-ES" w:eastAsia="en-US"/>
        </w:rPr>
        <w:t>Las cadenas originales y sellos</w:t>
      </w:r>
      <w:r w:rsidRPr="00E13258">
        <w:rPr>
          <w:rFonts w:ascii="Palatino Linotype" w:eastAsia="Calibri" w:hAnsi="Palatino Linotype" w:cs="Tahoma"/>
          <w:bCs/>
          <w:sz w:val="22"/>
          <w:szCs w:val="22"/>
          <w:lang w:val="es-ES" w:eastAsia="en-US"/>
        </w:rPr>
        <w:t xml:space="preserve"> que se agregan a las facturas, tienen una secuencia de generación, determinados con base en el ANEXO 20 de la Segunda Resolución de modificaciones a la Resolución Miscelánea Fiscal para dos </w:t>
      </w:r>
      <w:proofErr w:type="gramStart"/>
      <w:r w:rsidRPr="00E13258">
        <w:rPr>
          <w:rFonts w:ascii="Palatino Linotype" w:eastAsia="Calibri" w:hAnsi="Palatino Linotype" w:cs="Tahoma"/>
          <w:bCs/>
          <w:sz w:val="22"/>
          <w:szCs w:val="22"/>
          <w:lang w:val="es-ES" w:eastAsia="en-US"/>
        </w:rPr>
        <w:t>mil  diecisiete</w:t>
      </w:r>
      <w:proofErr w:type="gramEnd"/>
      <w:r w:rsidRPr="00E13258">
        <w:rPr>
          <w:rFonts w:ascii="Palatino Linotype" w:eastAsia="Calibri" w:hAnsi="Palatino Linotype" w:cs="Tahoma"/>
          <w:bCs/>
          <w:sz w:val="22"/>
          <w:szCs w:val="22"/>
          <w:lang w:val="es-ES" w:eastAsia="en-US"/>
        </w:rPr>
        <w:t>, publicada en el Diario Oficial de la Federación el dieciocho de julio de dos mil diecisiete, que precisa los datos de los que se componen los elementos de seguridad y se puntualiza que dicha información está encriptada.</w:t>
      </w:r>
    </w:p>
    <w:p w14:paraId="70C9219A" w14:textId="77777777" w:rsidR="00615BA8" w:rsidRPr="00E13258" w:rsidRDefault="00615BA8" w:rsidP="00DE5256">
      <w:pPr>
        <w:spacing w:line="360" w:lineRule="auto"/>
        <w:ind w:right="-91"/>
        <w:jc w:val="both"/>
        <w:rPr>
          <w:rFonts w:ascii="Palatino Linotype" w:eastAsia="Calibri" w:hAnsi="Palatino Linotype" w:cs="Tahoma"/>
          <w:bCs/>
          <w:sz w:val="22"/>
          <w:szCs w:val="22"/>
          <w:lang w:val="es-ES" w:eastAsia="en-US"/>
        </w:rPr>
      </w:pPr>
    </w:p>
    <w:p w14:paraId="6F1AF379" w14:textId="77777777" w:rsidR="00615BA8" w:rsidRPr="00E13258" w:rsidRDefault="00615BA8" w:rsidP="00DE5256">
      <w:pPr>
        <w:spacing w:line="360" w:lineRule="auto"/>
        <w:ind w:left="567" w:right="539"/>
        <w:jc w:val="both"/>
        <w:rPr>
          <w:rFonts w:ascii="Palatino Linotype" w:eastAsia="Calibri" w:hAnsi="Palatino Linotype" w:cs="Tahoma"/>
          <w:bCs/>
          <w:lang w:val="es-ES" w:eastAsia="en-US"/>
        </w:rPr>
      </w:pPr>
      <w:r w:rsidRPr="00E13258">
        <w:rPr>
          <w:rFonts w:ascii="Palatino Linotype" w:eastAsia="Calibri" w:hAnsi="Palatino Linotype" w:cs="Tahoma"/>
          <w:bCs/>
          <w:lang w:val="es-ES" w:eastAsia="en-US"/>
        </w:rPr>
        <w:lastRenderedPageBreak/>
        <w:t>“Elementos utilizados en la generación de Sellos Digitales:</w:t>
      </w:r>
    </w:p>
    <w:p w14:paraId="77FB63C3" w14:textId="77777777" w:rsidR="00615BA8" w:rsidRPr="00E13258" w:rsidRDefault="00615BA8" w:rsidP="00DE5256">
      <w:pPr>
        <w:spacing w:line="360" w:lineRule="auto"/>
        <w:ind w:left="567" w:right="539"/>
        <w:jc w:val="both"/>
        <w:rPr>
          <w:rFonts w:ascii="Palatino Linotype" w:eastAsia="Calibri" w:hAnsi="Palatino Linotype" w:cs="Tahoma"/>
          <w:bCs/>
          <w:lang w:val="es-ES" w:eastAsia="en-US"/>
        </w:rPr>
      </w:pPr>
      <w:r w:rsidRPr="00E13258">
        <w:rPr>
          <w:rFonts w:ascii="Palatino Linotype" w:eastAsia="Calibri" w:hAnsi="Palatino Linotype" w:cs="Tahoma"/>
          <w:bCs/>
          <w:lang w:val="es-ES" w:eastAsia="en-US"/>
        </w:rPr>
        <w:t>•</w:t>
      </w:r>
      <w:r w:rsidRPr="00E13258">
        <w:rPr>
          <w:rFonts w:ascii="Palatino Linotype" w:eastAsia="Calibri" w:hAnsi="Palatino Linotype" w:cs="Tahoma"/>
          <w:bCs/>
          <w:lang w:val="es-ES" w:eastAsia="en-US"/>
        </w:rPr>
        <w:tab/>
        <w:t>Cadena Original, el elemento a sellar, en este caso de un comprobante fiscal digital a través de Internet.</w:t>
      </w:r>
    </w:p>
    <w:p w14:paraId="022F24F5" w14:textId="77777777" w:rsidR="00615BA8" w:rsidRPr="00E13258" w:rsidRDefault="00615BA8" w:rsidP="00DE5256">
      <w:pPr>
        <w:spacing w:line="360" w:lineRule="auto"/>
        <w:ind w:left="567" w:right="539"/>
        <w:jc w:val="both"/>
        <w:rPr>
          <w:rFonts w:ascii="Palatino Linotype" w:eastAsia="Calibri" w:hAnsi="Palatino Linotype" w:cs="Tahoma"/>
          <w:bCs/>
          <w:lang w:val="es-ES" w:eastAsia="en-US"/>
        </w:rPr>
      </w:pPr>
      <w:r w:rsidRPr="00E13258">
        <w:rPr>
          <w:rFonts w:ascii="Palatino Linotype" w:eastAsia="Calibri" w:hAnsi="Palatino Linotype" w:cs="Tahoma"/>
          <w:bCs/>
          <w:lang w:val="es-ES" w:eastAsia="en-US"/>
        </w:rPr>
        <w:t>•</w:t>
      </w:r>
      <w:r w:rsidRPr="00E13258">
        <w:rPr>
          <w:rFonts w:ascii="Palatino Linotype" w:eastAsia="Calibri" w:hAnsi="Palatino Linotype" w:cs="Tahoma"/>
          <w:bCs/>
          <w:lang w:val="es-ES" w:eastAsia="en-US"/>
        </w:rPr>
        <w:tab/>
        <w:t>Certificado de Sello Digital y su correspondiente clave privada.</w:t>
      </w:r>
    </w:p>
    <w:p w14:paraId="65A97AE2" w14:textId="77777777" w:rsidR="00615BA8" w:rsidRPr="00E13258" w:rsidRDefault="00615BA8" w:rsidP="00DE5256">
      <w:pPr>
        <w:spacing w:line="360" w:lineRule="auto"/>
        <w:ind w:left="567" w:right="539"/>
        <w:jc w:val="both"/>
        <w:rPr>
          <w:rFonts w:ascii="Palatino Linotype" w:eastAsia="Calibri" w:hAnsi="Palatino Linotype" w:cs="Tahoma"/>
          <w:bCs/>
          <w:lang w:val="es-ES" w:eastAsia="en-US"/>
        </w:rPr>
      </w:pPr>
      <w:r w:rsidRPr="00E13258">
        <w:rPr>
          <w:rFonts w:ascii="Palatino Linotype" w:eastAsia="Calibri" w:hAnsi="Palatino Linotype" w:cs="Tahoma"/>
          <w:bCs/>
          <w:lang w:val="es-ES" w:eastAsia="en-US"/>
        </w:rPr>
        <w:t>•</w:t>
      </w:r>
      <w:r w:rsidRPr="00E13258">
        <w:rPr>
          <w:rFonts w:ascii="Palatino Linotype" w:eastAsia="Calibri" w:hAnsi="Palatino Linotype" w:cs="Tahoma"/>
          <w:bCs/>
          <w:lang w:val="es-ES" w:eastAsia="en-US"/>
        </w:rPr>
        <w:tab/>
        <w:t>Algoritmos de criptografía de clave pública para firma electrónica avanzada.</w:t>
      </w:r>
    </w:p>
    <w:p w14:paraId="31DC0C91" w14:textId="77777777" w:rsidR="00615BA8" w:rsidRPr="00E13258" w:rsidRDefault="00615BA8" w:rsidP="00DE5256">
      <w:pPr>
        <w:spacing w:line="360" w:lineRule="auto"/>
        <w:ind w:left="567" w:right="539"/>
        <w:jc w:val="both"/>
        <w:rPr>
          <w:rFonts w:ascii="Palatino Linotype" w:eastAsia="Calibri" w:hAnsi="Palatino Linotype" w:cs="Tahoma"/>
          <w:bCs/>
          <w:lang w:val="es-ES" w:eastAsia="en-US"/>
        </w:rPr>
      </w:pPr>
      <w:r w:rsidRPr="00E13258">
        <w:rPr>
          <w:rFonts w:ascii="Palatino Linotype" w:eastAsia="Calibri" w:hAnsi="Palatino Linotype" w:cs="Tahoma"/>
          <w:bCs/>
          <w:lang w:val="es-ES" w:eastAsia="en-US"/>
        </w:rPr>
        <w:t>•</w:t>
      </w:r>
      <w:r w:rsidRPr="00E13258">
        <w:rPr>
          <w:rFonts w:ascii="Palatino Linotype" w:eastAsia="Calibri" w:hAnsi="Palatino Linotype" w:cs="Tahoma"/>
          <w:bCs/>
          <w:lang w:val="es-ES" w:eastAsia="en-US"/>
        </w:rPr>
        <w:tab/>
        <w:t>Especificaciones de conversión de la firma electrónica avanzada a Base 64.</w:t>
      </w:r>
    </w:p>
    <w:p w14:paraId="61DAE6B3" w14:textId="77777777" w:rsidR="00615BA8" w:rsidRPr="00E13258" w:rsidRDefault="00615BA8" w:rsidP="00DE5256">
      <w:pPr>
        <w:spacing w:line="360" w:lineRule="auto"/>
        <w:ind w:left="567" w:right="539"/>
        <w:jc w:val="both"/>
        <w:rPr>
          <w:rFonts w:ascii="Palatino Linotype" w:eastAsia="Calibri" w:hAnsi="Palatino Linotype" w:cs="Tahoma"/>
          <w:bCs/>
          <w:lang w:val="es-ES" w:eastAsia="en-US"/>
        </w:rPr>
      </w:pPr>
      <w:r w:rsidRPr="00E13258">
        <w:rPr>
          <w:rFonts w:ascii="Palatino Linotype" w:eastAsia="Calibri" w:hAnsi="Palatino Linotype" w:cs="Tahoma"/>
          <w:bCs/>
          <w:lang w:val="es-ES" w:eastAsia="en-US"/>
        </w:rPr>
        <w:t>Para la generación de sellos digitales se utiliza criptografía de clave pública aplicada a una cadena original.</w:t>
      </w:r>
    </w:p>
    <w:p w14:paraId="25D13A92" w14:textId="77777777" w:rsidR="00615BA8" w:rsidRPr="00E13258" w:rsidRDefault="00615BA8" w:rsidP="00DE5256">
      <w:pPr>
        <w:spacing w:line="360" w:lineRule="auto"/>
        <w:ind w:left="567" w:right="539"/>
        <w:jc w:val="both"/>
        <w:rPr>
          <w:rFonts w:ascii="Palatino Linotype" w:eastAsia="Calibri" w:hAnsi="Palatino Linotype" w:cs="Tahoma"/>
          <w:bCs/>
          <w:sz w:val="24"/>
          <w:lang w:val="es-ES" w:eastAsia="en-US"/>
        </w:rPr>
      </w:pPr>
    </w:p>
    <w:p w14:paraId="66C0A8D6" w14:textId="77777777" w:rsidR="00615BA8" w:rsidRPr="00E13258" w:rsidRDefault="00615BA8" w:rsidP="00DE5256">
      <w:pPr>
        <w:spacing w:line="360" w:lineRule="auto"/>
        <w:ind w:left="567" w:right="539"/>
        <w:jc w:val="both"/>
        <w:rPr>
          <w:rFonts w:ascii="Palatino Linotype" w:eastAsia="Calibri" w:hAnsi="Palatino Linotype" w:cs="Tahoma"/>
          <w:bCs/>
          <w:lang w:val="es-ES" w:eastAsia="en-US"/>
        </w:rPr>
      </w:pPr>
      <w:r w:rsidRPr="00E13258">
        <w:rPr>
          <w:rFonts w:ascii="Palatino Linotype" w:eastAsia="Calibri" w:hAnsi="Palatino Linotype" w:cs="Tahoma"/>
          <w:bCs/>
          <w:lang w:val="es-ES" w:eastAsia="en-US"/>
        </w:rPr>
        <w:t>Criptografía de la Clave Pública</w:t>
      </w:r>
    </w:p>
    <w:p w14:paraId="081A039F" w14:textId="77777777" w:rsidR="00615BA8" w:rsidRPr="00E13258" w:rsidRDefault="00615BA8" w:rsidP="00DE5256">
      <w:pPr>
        <w:spacing w:line="360" w:lineRule="auto"/>
        <w:ind w:left="567" w:right="539"/>
        <w:jc w:val="both"/>
        <w:rPr>
          <w:rFonts w:ascii="Palatino Linotype" w:eastAsia="Calibri" w:hAnsi="Palatino Linotype" w:cs="Tahoma"/>
          <w:bCs/>
          <w:lang w:val="es-ES" w:eastAsia="en-US"/>
        </w:rPr>
      </w:pPr>
      <w:r w:rsidRPr="00E13258">
        <w:rPr>
          <w:rFonts w:ascii="Palatino Linotype" w:eastAsia="Calibri" w:hAnsi="Palatino Linotype" w:cs="Tahoma"/>
          <w:bCs/>
          <w:lang w:val="es-ES" w:eastAsia="en-US"/>
        </w:rPr>
        <w:t xml:space="preserve">La criptografía de Clave Pública se basa en la generación de una pareja de números muy grandes relacionados íntimamente entre sí, de tal manera que una operación de </w:t>
      </w:r>
      <w:proofErr w:type="spellStart"/>
      <w:r w:rsidRPr="00E13258">
        <w:rPr>
          <w:rFonts w:ascii="Palatino Linotype" w:eastAsia="Calibri" w:hAnsi="Palatino Linotype" w:cs="Tahoma"/>
          <w:bCs/>
          <w:lang w:val="es-ES" w:eastAsia="en-US"/>
        </w:rPr>
        <w:t>encripción</w:t>
      </w:r>
      <w:proofErr w:type="spellEnd"/>
      <w:r w:rsidRPr="00E13258">
        <w:rPr>
          <w:rFonts w:ascii="Palatino Linotype" w:eastAsia="Calibri" w:hAnsi="Palatino Linotype" w:cs="Tahoma"/>
          <w:bCs/>
          <w:lang w:val="es-ES" w:eastAsia="en-US"/>
        </w:rPr>
        <w:t xml:space="preserve"> sobre un mensaje tomando como clave de </w:t>
      </w:r>
      <w:proofErr w:type="spellStart"/>
      <w:r w:rsidRPr="00E13258">
        <w:rPr>
          <w:rFonts w:ascii="Palatino Linotype" w:eastAsia="Calibri" w:hAnsi="Palatino Linotype" w:cs="Tahoma"/>
          <w:bCs/>
          <w:lang w:val="es-ES" w:eastAsia="en-US"/>
        </w:rPr>
        <w:t>encripción</w:t>
      </w:r>
      <w:proofErr w:type="spellEnd"/>
      <w:r w:rsidRPr="00E13258">
        <w:rPr>
          <w:rFonts w:ascii="Palatino Linotype" w:eastAsia="Calibri" w:hAnsi="Palatino Linotype" w:cs="Tahoma"/>
          <w:bCs/>
          <w:lang w:val="es-ES" w:eastAsia="en-US"/>
        </w:rPr>
        <w:t xml:space="preserve"> a uno de los dos números, produce un mensaje alterado en su significado que solo puede ser devuelto a su estado original mediante la operación de </w:t>
      </w:r>
      <w:proofErr w:type="spellStart"/>
      <w:r w:rsidRPr="00E13258">
        <w:rPr>
          <w:rFonts w:ascii="Palatino Linotype" w:eastAsia="Calibri" w:hAnsi="Palatino Linotype" w:cs="Tahoma"/>
          <w:bCs/>
          <w:lang w:val="es-ES" w:eastAsia="en-US"/>
        </w:rPr>
        <w:t>desencripción</w:t>
      </w:r>
      <w:proofErr w:type="spellEnd"/>
      <w:r w:rsidRPr="00E13258">
        <w:rPr>
          <w:rFonts w:ascii="Palatino Linotype" w:eastAsia="Calibri" w:hAnsi="Palatino Linotype" w:cs="Tahoma"/>
          <w:bCs/>
          <w:lang w:val="es-ES" w:eastAsia="en-US"/>
        </w:rPr>
        <w:t xml:space="preserve"> correspondiente tomando como clave de </w:t>
      </w:r>
      <w:proofErr w:type="spellStart"/>
      <w:r w:rsidRPr="00E13258">
        <w:rPr>
          <w:rFonts w:ascii="Palatino Linotype" w:eastAsia="Calibri" w:hAnsi="Palatino Linotype" w:cs="Tahoma"/>
          <w:bCs/>
          <w:lang w:val="es-ES" w:eastAsia="en-US"/>
        </w:rPr>
        <w:t>desencripción</w:t>
      </w:r>
      <w:proofErr w:type="spellEnd"/>
      <w:r w:rsidRPr="00E13258">
        <w:rPr>
          <w:rFonts w:ascii="Palatino Linotype" w:eastAsia="Calibri" w:hAnsi="Palatino Linotype" w:cs="Tahoma"/>
          <w:bCs/>
          <w:lang w:val="es-ES" w:eastAsia="en-US"/>
        </w:rPr>
        <w:t xml:space="preserve"> al otro número de la pareja.”</w:t>
      </w:r>
    </w:p>
    <w:p w14:paraId="6909911F" w14:textId="77777777" w:rsidR="00615BA8" w:rsidRPr="00E13258" w:rsidRDefault="00615BA8" w:rsidP="00DE5256">
      <w:pPr>
        <w:spacing w:line="360" w:lineRule="auto"/>
        <w:ind w:right="-91"/>
        <w:jc w:val="both"/>
        <w:rPr>
          <w:rFonts w:ascii="Palatino Linotype" w:eastAsia="Calibri" w:hAnsi="Palatino Linotype" w:cs="Tahoma"/>
          <w:bCs/>
          <w:sz w:val="22"/>
          <w:szCs w:val="22"/>
          <w:lang w:val="es-ES" w:eastAsia="en-US"/>
        </w:rPr>
      </w:pPr>
    </w:p>
    <w:p w14:paraId="2F115277" w14:textId="77777777" w:rsidR="00615BA8" w:rsidRPr="00E13258" w:rsidRDefault="00615BA8" w:rsidP="00DE5256">
      <w:pPr>
        <w:spacing w:line="360" w:lineRule="auto"/>
        <w:jc w:val="both"/>
        <w:rPr>
          <w:rFonts w:ascii="Palatino Linotype" w:eastAsia="Calibri" w:hAnsi="Palatino Linotype" w:cs="Tahoma"/>
          <w:bCs/>
          <w:sz w:val="22"/>
          <w:szCs w:val="22"/>
          <w:lang w:val="es-ES" w:eastAsia="en-US"/>
        </w:rPr>
      </w:pPr>
      <w:r w:rsidRPr="00E13258">
        <w:rPr>
          <w:rFonts w:ascii="Palatino Linotype" w:eastAsia="Calibri" w:hAnsi="Palatino Linotype" w:cs="Tahoma"/>
          <w:bCs/>
          <w:sz w:val="22"/>
          <w:szCs w:val="22"/>
          <w:lang w:val="es-ES" w:eastAsia="en-US"/>
        </w:rPr>
        <w:t xml:space="preserve">Es decir, por sí solos las cadenas originales y los sellos originales no contienen datos personales confidenciales, por lo que se considera que </w:t>
      </w:r>
      <w:r w:rsidRPr="00E13258">
        <w:rPr>
          <w:rFonts w:ascii="Palatino Linotype" w:eastAsia="Calibri" w:hAnsi="Palatino Linotype" w:cs="Tahoma"/>
          <w:b/>
          <w:bCs/>
          <w:sz w:val="22"/>
          <w:szCs w:val="22"/>
          <w:lang w:val="es-ES" w:eastAsia="en-US"/>
        </w:rPr>
        <w:t>no actualizan en supuesto de confidencialidad</w:t>
      </w:r>
      <w:r w:rsidRPr="00E13258">
        <w:rPr>
          <w:rFonts w:ascii="Palatino Linotype" w:eastAsia="Calibri" w:hAnsi="Palatino Linotype" w:cs="Tahoma"/>
          <w:bCs/>
          <w:sz w:val="22"/>
          <w:szCs w:val="22"/>
          <w:lang w:val="es-ES" w:eastAsia="en-US"/>
        </w:rPr>
        <w:t xml:space="preserve"> previsto en el artículo 143, fracción I, de la Ley de Transparencia y Acceso a la Información Pública del Estado de México y Municipios y, por el contrario, son información que permite corroborar la legitimidad de la factura, de ser el caso, por lo que guardan el carácter de público.</w:t>
      </w:r>
    </w:p>
    <w:p w14:paraId="469570E7" w14:textId="77777777" w:rsidR="00615BA8" w:rsidRPr="00E13258" w:rsidRDefault="00615BA8" w:rsidP="00DE5256">
      <w:pPr>
        <w:spacing w:line="360" w:lineRule="auto"/>
        <w:jc w:val="both"/>
        <w:rPr>
          <w:rFonts w:ascii="Palatino Linotype" w:eastAsia="Calibri" w:hAnsi="Palatino Linotype" w:cs="Tahoma"/>
          <w:bCs/>
          <w:sz w:val="22"/>
          <w:szCs w:val="22"/>
          <w:lang w:val="es-ES" w:eastAsia="en-US"/>
        </w:rPr>
      </w:pPr>
    </w:p>
    <w:p w14:paraId="6E19274E" w14:textId="77777777" w:rsidR="0073132C" w:rsidRPr="00D00AC4" w:rsidRDefault="0073132C" w:rsidP="00DE5256">
      <w:pPr>
        <w:pStyle w:val="Prrafodelista"/>
        <w:numPr>
          <w:ilvl w:val="0"/>
          <w:numId w:val="16"/>
        </w:numPr>
        <w:spacing w:line="360" w:lineRule="auto"/>
        <w:jc w:val="both"/>
        <w:rPr>
          <w:rFonts w:ascii="Palatino Linotype" w:eastAsia="Calibri" w:hAnsi="Palatino Linotype" w:cs="Tahoma"/>
          <w:b/>
          <w:bCs/>
          <w:szCs w:val="22"/>
          <w:lang w:val="es-ES" w:eastAsia="en-US"/>
        </w:rPr>
      </w:pPr>
      <w:r w:rsidRPr="00E13258">
        <w:rPr>
          <w:rFonts w:ascii="Palatino Linotype" w:eastAsia="Calibri" w:hAnsi="Palatino Linotype" w:cs="Tahoma"/>
          <w:b/>
          <w:bCs/>
          <w:szCs w:val="22"/>
          <w:lang w:val="es-ES" w:eastAsia="en-US"/>
        </w:rPr>
        <w:t xml:space="preserve">Número de serie </w:t>
      </w:r>
      <w:r w:rsidR="00DC1074" w:rsidRPr="00E13258">
        <w:rPr>
          <w:rFonts w:ascii="Palatino Linotype" w:eastAsia="Calibri" w:hAnsi="Palatino Linotype" w:cs="Tahoma"/>
          <w:b/>
          <w:bCs/>
          <w:szCs w:val="22"/>
          <w:lang w:val="es-ES" w:eastAsia="en-US"/>
        </w:rPr>
        <w:t xml:space="preserve">CSD y </w:t>
      </w:r>
      <w:r w:rsidR="00DC1074" w:rsidRPr="00E13258">
        <w:rPr>
          <w:rFonts w:ascii="Palatino Linotype" w:hAnsi="Palatino Linotype"/>
          <w:b/>
          <w:noProof/>
          <w:szCs w:val="22"/>
          <w:lang w:eastAsia="es-MX"/>
        </w:rPr>
        <w:t>número de certificado del SAT</w:t>
      </w:r>
    </w:p>
    <w:p w14:paraId="42753F88" w14:textId="77777777" w:rsidR="00D00AC4" w:rsidRPr="00E13258" w:rsidRDefault="00D00AC4" w:rsidP="00DE5256">
      <w:pPr>
        <w:pStyle w:val="Prrafodelista"/>
        <w:spacing w:line="360" w:lineRule="auto"/>
        <w:jc w:val="both"/>
        <w:rPr>
          <w:rFonts w:ascii="Palatino Linotype" w:eastAsia="Calibri" w:hAnsi="Palatino Linotype" w:cs="Tahoma"/>
          <w:b/>
          <w:bCs/>
          <w:szCs w:val="22"/>
          <w:lang w:val="es-ES" w:eastAsia="en-US"/>
        </w:rPr>
      </w:pPr>
    </w:p>
    <w:p w14:paraId="5605CFEC" w14:textId="77777777" w:rsidR="00615BA8" w:rsidRPr="00E13258" w:rsidRDefault="00615BA8" w:rsidP="00DE5256">
      <w:pPr>
        <w:spacing w:line="360" w:lineRule="auto"/>
        <w:jc w:val="both"/>
        <w:rPr>
          <w:rFonts w:ascii="Palatino Linotype" w:eastAsia="Calibri" w:hAnsi="Palatino Linotype" w:cs="Tahoma"/>
          <w:bCs/>
          <w:sz w:val="22"/>
          <w:szCs w:val="22"/>
          <w:lang w:val="es-ES" w:eastAsia="en-US"/>
        </w:rPr>
      </w:pPr>
      <w:r w:rsidRPr="00E13258">
        <w:rPr>
          <w:rFonts w:ascii="Palatino Linotype" w:eastAsia="Calibri" w:hAnsi="Palatino Linotype" w:cs="Tahoma"/>
          <w:bCs/>
          <w:sz w:val="22"/>
          <w:szCs w:val="22"/>
          <w:lang w:val="es-ES" w:eastAsia="en-US"/>
        </w:rPr>
        <w:t xml:space="preserve">Por otra parte, por lo que hace </w:t>
      </w:r>
      <w:r w:rsidRPr="00E13258">
        <w:rPr>
          <w:rFonts w:ascii="Palatino Linotype" w:eastAsia="Calibri" w:hAnsi="Palatino Linotype" w:cs="Tahoma"/>
          <w:b/>
          <w:bCs/>
          <w:sz w:val="22"/>
          <w:szCs w:val="22"/>
          <w:lang w:val="es-ES" w:eastAsia="en-US"/>
        </w:rPr>
        <w:t>al número de serie de los certificados de Sello Digitales del emisor y del Servicio de Administración Tributaria,</w:t>
      </w:r>
      <w:r w:rsidRPr="00E13258">
        <w:rPr>
          <w:rFonts w:ascii="Palatino Linotype" w:eastAsia="Calibri" w:hAnsi="Palatino Linotype" w:cs="Tahoma"/>
          <w:bCs/>
          <w:sz w:val="22"/>
          <w:szCs w:val="22"/>
          <w:lang w:val="es-ES" w:eastAsia="en-US"/>
        </w:rPr>
        <w:t xml:space="preserve"> el ANEXO 20 de la Segunda Resolución de modificaciones a la Resolución Miscelánea Fiscal para dos mil  diecisiete, precisa que dichos </w:t>
      </w:r>
      <w:r w:rsidRPr="00E13258">
        <w:rPr>
          <w:rFonts w:ascii="Palatino Linotype" w:eastAsia="Calibri" w:hAnsi="Palatino Linotype" w:cs="Tahoma"/>
          <w:bCs/>
          <w:sz w:val="22"/>
          <w:szCs w:val="22"/>
          <w:lang w:val="es-ES" w:eastAsia="en-US"/>
        </w:rPr>
        <w:lastRenderedPageBreak/>
        <w:t xml:space="preserve">datos se conforman por veinte caracteres numéricos; dicha situación se robustece con el ejemplo localizado en el documento denominado “Cómo ubicar el Folio Fiscal en una factura”, emitido por el Instituto Nacional electoral (consultado el </w:t>
      </w:r>
      <w:r w:rsidR="0073132C" w:rsidRPr="00E13258">
        <w:rPr>
          <w:rFonts w:ascii="Palatino Linotype" w:eastAsia="Calibri" w:hAnsi="Palatino Linotype" w:cs="Tahoma"/>
          <w:bCs/>
          <w:sz w:val="22"/>
          <w:szCs w:val="22"/>
          <w:lang w:val="es-ES" w:eastAsia="en-US"/>
        </w:rPr>
        <w:t xml:space="preserve">nueve de abril </w:t>
      </w:r>
      <w:r w:rsidRPr="00E13258">
        <w:rPr>
          <w:rFonts w:ascii="Palatino Linotype" w:eastAsia="Calibri" w:hAnsi="Palatino Linotype" w:cs="Tahoma"/>
          <w:bCs/>
          <w:sz w:val="22"/>
          <w:szCs w:val="22"/>
          <w:lang w:val="es-ES" w:eastAsia="en-US"/>
        </w:rPr>
        <w:t xml:space="preserve">de dos mil diecinueve, a las </w:t>
      </w:r>
      <w:r w:rsidR="0073132C" w:rsidRPr="00E13258">
        <w:rPr>
          <w:rFonts w:ascii="Palatino Linotype" w:eastAsia="Calibri" w:hAnsi="Palatino Linotype" w:cs="Tahoma"/>
          <w:bCs/>
          <w:sz w:val="22"/>
          <w:szCs w:val="22"/>
          <w:lang w:val="es-ES" w:eastAsia="en-US"/>
        </w:rPr>
        <w:t xml:space="preserve">dieciséis </w:t>
      </w:r>
      <w:r w:rsidRPr="00E13258">
        <w:rPr>
          <w:rFonts w:ascii="Palatino Linotype" w:eastAsia="Calibri" w:hAnsi="Palatino Linotype" w:cs="Tahoma"/>
          <w:bCs/>
          <w:sz w:val="22"/>
          <w:szCs w:val="22"/>
          <w:lang w:val="es-ES" w:eastAsia="en-US"/>
        </w:rPr>
        <w:t xml:space="preserve">horas con diez minutos, en la página electrónica </w:t>
      </w:r>
      <w:hyperlink r:id="rId10" w:history="1">
        <w:r w:rsidRPr="00E13258">
          <w:rPr>
            <w:rStyle w:val="Hipervnculo"/>
            <w:rFonts w:ascii="Palatino Linotype" w:eastAsia="Calibri" w:hAnsi="Palatino Linotype" w:cs="Tahoma"/>
            <w:bCs/>
            <w:sz w:val="22"/>
            <w:szCs w:val="22"/>
            <w:lang w:eastAsia="en-US"/>
          </w:rPr>
          <w:t>https://portalanterior.ine.mx/archivos2/tutoriales/sistemas/ApoyoInstitucional/SIF/docs/candidatos/folioFiscalFactura.pdf</w:t>
        </w:r>
      </w:hyperlink>
      <w:r w:rsidRPr="00E13258">
        <w:rPr>
          <w:rFonts w:ascii="Palatino Linotype" w:eastAsia="Calibri" w:hAnsi="Palatino Linotype" w:cs="Tahoma"/>
          <w:bCs/>
          <w:sz w:val="22"/>
          <w:szCs w:val="22"/>
          <w:lang w:val="es-ES" w:eastAsia="en-US"/>
        </w:rPr>
        <w:t>), en la cual se advierte que únicamente se encuentra conformado por números, se muestra a continuación:</w:t>
      </w:r>
    </w:p>
    <w:p w14:paraId="380682DA" w14:textId="77777777" w:rsidR="00615BA8" w:rsidRPr="00E13258" w:rsidRDefault="00615BA8" w:rsidP="00DE5256">
      <w:pPr>
        <w:spacing w:line="360" w:lineRule="auto"/>
        <w:jc w:val="center"/>
        <w:rPr>
          <w:rFonts w:ascii="Palatino Linotype" w:eastAsia="Calibri" w:hAnsi="Palatino Linotype" w:cs="Tahoma"/>
          <w:bCs/>
          <w:sz w:val="22"/>
          <w:szCs w:val="22"/>
          <w:lang w:val="es-ES" w:eastAsia="en-US"/>
        </w:rPr>
      </w:pPr>
      <w:r w:rsidRPr="00E13258">
        <w:rPr>
          <w:noProof/>
          <w:lang w:eastAsia="es-MX"/>
        </w:rPr>
        <mc:AlternateContent>
          <mc:Choice Requires="wps">
            <w:drawing>
              <wp:anchor distT="0" distB="0" distL="114300" distR="114300" simplePos="0" relativeHeight="251659264" behindDoc="0" locked="0" layoutInCell="1" allowOverlap="1" wp14:anchorId="367B799A" wp14:editId="39F4E87B">
                <wp:simplePos x="0" y="0"/>
                <wp:positionH relativeFrom="column">
                  <wp:posOffset>315594</wp:posOffset>
                </wp:positionH>
                <wp:positionV relativeFrom="paragraph">
                  <wp:posOffset>837565</wp:posOffset>
                </wp:positionV>
                <wp:extent cx="3457575" cy="219075"/>
                <wp:effectExtent l="19050" t="19050" r="28575" b="28575"/>
                <wp:wrapNone/>
                <wp:docPr id="19" name="Rectángulo 19"/>
                <wp:cNvGraphicFramePr/>
                <a:graphic xmlns:a="http://schemas.openxmlformats.org/drawingml/2006/main">
                  <a:graphicData uri="http://schemas.microsoft.com/office/word/2010/wordprocessingShape">
                    <wps:wsp>
                      <wps:cNvSpPr/>
                      <wps:spPr>
                        <a:xfrm>
                          <a:off x="0" y="0"/>
                          <a:ext cx="3457575" cy="21907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4A762" id="Rectángulo 19" o:spid="_x0000_s1026" style="position:absolute;margin-left:24.85pt;margin-top:65.95pt;width:272.25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" filled="f" strokecolor="black [3213]" strokeweight="2.25pt"/>
            </w:pict>
          </mc:Fallback>
        </mc:AlternateContent>
      </w:r>
      <w:r w:rsidRPr="00E13258">
        <w:rPr>
          <w:noProof/>
          <w:lang w:eastAsia="es-MX"/>
        </w:rPr>
        <w:drawing>
          <wp:inline distT="0" distB="0" distL="0" distR="0" wp14:anchorId="038780DE" wp14:editId="00677163">
            <wp:extent cx="5359180" cy="1042064"/>
            <wp:effectExtent l="0" t="0" r="0" b="571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9016" cy="1049810"/>
                    </a:xfrm>
                    <a:prstGeom prst="rect">
                      <a:avLst/>
                    </a:prstGeom>
                  </pic:spPr>
                </pic:pic>
              </a:graphicData>
            </a:graphic>
          </wp:inline>
        </w:drawing>
      </w:r>
    </w:p>
    <w:p w14:paraId="6CD6B12C" w14:textId="77777777" w:rsidR="00615BA8" w:rsidRPr="00E13258" w:rsidRDefault="00615BA8" w:rsidP="00DE5256">
      <w:pPr>
        <w:spacing w:line="360" w:lineRule="auto"/>
        <w:jc w:val="both"/>
        <w:rPr>
          <w:rFonts w:ascii="Palatino Linotype" w:eastAsia="Calibri" w:hAnsi="Palatino Linotype" w:cs="Tahoma"/>
          <w:bCs/>
          <w:sz w:val="22"/>
          <w:szCs w:val="22"/>
          <w:lang w:val="es-ES" w:eastAsia="en-US"/>
        </w:rPr>
      </w:pPr>
    </w:p>
    <w:p w14:paraId="0357C5DF" w14:textId="48E5DFE5" w:rsidR="00615BA8" w:rsidRPr="00E13258" w:rsidRDefault="00615BA8" w:rsidP="00DE5256">
      <w:pPr>
        <w:spacing w:line="360" w:lineRule="auto"/>
        <w:jc w:val="both"/>
        <w:rPr>
          <w:rFonts w:ascii="Palatino Linotype" w:eastAsia="Calibri" w:hAnsi="Palatino Linotype" w:cs="Tahoma"/>
          <w:bCs/>
          <w:sz w:val="22"/>
          <w:szCs w:val="22"/>
          <w:lang w:val="es-ES" w:eastAsia="en-US"/>
        </w:rPr>
      </w:pPr>
      <w:r w:rsidRPr="00E13258">
        <w:rPr>
          <w:rFonts w:ascii="Palatino Linotype" w:eastAsia="Calibri" w:hAnsi="Palatino Linotype" w:cs="Tahoma"/>
          <w:bCs/>
          <w:sz w:val="22"/>
          <w:szCs w:val="22"/>
          <w:lang w:val="es-ES" w:eastAsia="en-US"/>
        </w:rPr>
        <w:t xml:space="preserve">Como se logra observar, los números de serie del certificado de sello digital no contiene datos personales y con dichos dígitos tampoco se puede obtener información de carácter confidencial, por lo que, </w:t>
      </w:r>
      <w:r w:rsidRPr="00E13258">
        <w:rPr>
          <w:rFonts w:ascii="Palatino Linotype" w:eastAsia="Calibri" w:hAnsi="Palatino Linotype" w:cs="Tahoma"/>
          <w:b/>
          <w:bCs/>
          <w:sz w:val="22"/>
          <w:szCs w:val="22"/>
          <w:lang w:val="es-ES" w:eastAsia="en-US"/>
        </w:rPr>
        <w:t>tampoco actualizan la causal de clasificación</w:t>
      </w:r>
      <w:r w:rsidRPr="00E13258">
        <w:rPr>
          <w:rFonts w:ascii="Palatino Linotype" w:eastAsia="Calibri" w:hAnsi="Palatino Linotype" w:cs="Tahoma"/>
          <w:bCs/>
          <w:sz w:val="22"/>
          <w:szCs w:val="22"/>
          <w:lang w:val="es-ES" w:eastAsia="en-US"/>
        </w:rPr>
        <w:t xml:space="preserve">, establecida en el artículo 143, fracción I, de la Ley de Transparencia y Acceso a la Información Pública del Estado de México y Municipios. </w:t>
      </w:r>
      <w:r w:rsidRPr="00E13258">
        <w:rPr>
          <w:rFonts w:ascii="Palatino Linotype" w:eastAsia="Calibri" w:hAnsi="Palatino Linotype" w:cs="Tahoma"/>
          <w:b/>
          <w:bCs/>
          <w:sz w:val="22"/>
          <w:szCs w:val="22"/>
          <w:lang w:val="es-ES" w:eastAsia="en-US"/>
        </w:rPr>
        <w:t>Máxime que permite corroborar la legitimidad a la factura, pues amparan la utilización de los certificados de sellos digitales válidos.</w:t>
      </w:r>
    </w:p>
    <w:p w14:paraId="594EAA3E" w14:textId="77777777" w:rsidR="00615BA8" w:rsidRPr="00E13258" w:rsidRDefault="00615BA8" w:rsidP="00DE5256">
      <w:pPr>
        <w:spacing w:line="360" w:lineRule="auto"/>
        <w:jc w:val="both"/>
        <w:rPr>
          <w:rFonts w:ascii="Palatino Linotype" w:eastAsia="Calibri" w:hAnsi="Palatino Linotype" w:cs="Tahoma"/>
          <w:bCs/>
          <w:sz w:val="22"/>
          <w:szCs w:val="22"/>
          <w:lang w:val="es-ES" w:eastAsia="en-US"/>
        </w:rPr>
      </w:pPr>
    </w:p>
    <w:p w14:paraId="39E5E923" w14:textId="77777777" w:rsidR="00615BA8" w:rsidRDefault="0090102D" w:rsidP="00DE5256">
      <w:pPr>
        <w:pStyle w:val="Prrafodelista"/>
        <w:numPr>
          <w:ilvl w:val="0"/>
          <w:numId w:val="16"/>
        </w:numPr>
        <w:spacing w:line="360" w:lineRule="auto"/>
        <w:jc w:val="both"/>
        <w:rPr>
          <w:rFonts w:ascii="Palatino Linotype" w:hAnsi="Palatino Linotype"/>
          <w:b/>
          <w:szCs w:val="22"/>
          <w:lang w:val="es-ES"/>
        </w:rPr>
      </w:pPr>
      <w:r w:rsidRPr="00E13258">
        <w:rPr>
          <w:rFonts w:ascii="Palatino Linotype" w:hAnsi="Palatino Linotype"/>
          <w:b/>
          <w:szCs w:val="22"/>
          <w:lang w:val="es-ES"/>
        </w:rPr>
        <w:t xml:space="preserve">Código QR </w:t>
      </w:r>
    </w:p>
    <w:p w14:paraId="71F99A6F" w14:textId="77777777" w:rsidR="00865F29" w:rsidRPr="00E13258" w:rsidRDefault="00865F29" w:rsidP="00DE5256">
      <w:pPr>
        <w:pStyle w:val="Prrafodelista"/>
        <w:spacing w:line="360" w:lineRule="auto"/>
        <w:jc w:val="both"/>
        <w:rPr>
          <w:rFonts w:ascii="Palatino Linotype" w:hAnsi="Palatino Linotype"/>
          <w:b/>
          <w:szCs w:val="22"/>
          <w:lang w:val="es-ES"/>
        </w:rPr>
      </w:pPr>
    </w:p>
    <w:p w14:paraId="442DAAAC" w14:textId="77777777" w:rsidR="0090102D" w:rsidRPr="00E13258" w:rsidRDefault="0090102D" w:rsidP="00DE5256">
      <w:pPr>
        <w:spacing w:line="360" w:lineRule="auto"/>
        <w:ind w:right="-91"/>
        <w:jc w:val="both"/>
        <w:rPr>
          <w:rFonts w:ascii="Palatino Linotype" w:eastAsia="Calibri" w:hAnsi="Palatino Linotype" w:cs="Tahoma"/>
          <w:bCs/>
          <w:sz w:val="22"/>
          <w:szCs w:val="22"/>
          <w:lang w:eastAsia="en-US"/>
        </w:rPr>
      </w:pPr>
      <w:r w:rsidRPr="00E13258">
        <w:rPr>
          <w:rFonts w:ascii="Palatino Linotype" w:hAnsi="Palatino Linotype"/>
          <w:color w:val="222222"/>
          <w:sz w:val="22"/>
          <w:szCs w:val="22"/>
          <w:shd w:val="clear" w:color="auto" w:fill="FFFFFF"/>
        </w:rPr>
        <w:t xml:space="preserve">El Sujeto Obligado también testó el Código de Barras Bidimensional, mejor conocido como Código QR, mismo que en reiteradas ocasiones este Instituto ha ordenado su clasificación bajo el argumento de que su captura mediante la aplicación móvil del Servicio de Administración Tributaria, permite el acceso a al RFC de las personas involucradas en la transacción. No obstante, como en el presente caso el Registro Federal de Contribuyentes del Ayuntamiento </w:t>
      </w:r>
      <w:r w:rsidRPr="00E13258">
        <w:rPr>
          <w:rFonts w:ascii="Palatino Linotype" w:hAnsi="Palatino Linotype"/>
          <w:color w:val="222222"/>
          <w:sz w:val="22"/>
          <w:szCs w:val="22"/>
          <w:shd w:val="clear" w:color="auto" w:fill="FFFFFF"/>
        </w:rPr>
        <w:lastRenderedPageBreak/>
        <w:t>como del Prestador de servicios resulta ser público, carece de todo sentido la clasificación del Código QR</w:t>
      </w:r>
      <w:r w:rsidR="002D0CE8" w:rsidRPr="00E13258">
        <w:rPr>
          <w:rFonts w:ascii="Palatino Linotype" w:hAnsi="Palatino Linotype"/>
          <w:color w:val="222222"/>
          <w:sz w:val="22"/>
          <w:szCs w:val="22"/>
          <w:shd w:val="clear" w:color="auto" w:fill="FFFFFF"/>
        </w:rPr>
        <w:t xml:space="preserve">. </w:t>
      </w:r>
      <w:r w:rsidRPr="00E13258">
        <w:rPr>
          <w:rFonts w:ascii="Palatino Linotype" w:hAnsi="Palatino Linotype"/>
          <w:b/>
          <w:bCs/>
          <w:color w:val="222222"/>
          <w:sz w:val="22"/>
          <w:szCs w:val="22"/>
          <w:shd w:val="clear" w:color="auto" w:fill="FFFFFF"/>
        </w:rPr>
        <w:t>Por tanto, resulta procedente su entrega.</w:t>
      </w:r>
    </w:p>
    <w:p w14:paraId="26F962DA" w14:textId="77777777" w:rsidR="00615BA8" w:rsidRPr="00E13258" w:rsidRDefault="00615BA8" w:rsidP="00DE5256">
      <w:pPr>
        <w:spacing w:line="360" w:lineRule="auto"/>
        <w:jc w:val="both"/>
        <w:rPr>
          <w:rFonts w:ascii="Palatino Linotype" w:hAnsi="Palatino Linotype" w:cs="Tahoma"/>
          <w:sz w:val="22"/>
          <w:szCs w:val="22"/>
          <w:lang w:val="es-ES"/>
        </w:rPr>
      </w:pPr>
    </w:p>
    <w:p w14:paraId="4851FAEB" w14:textId="77777777" w:rsidR="0090102D" w:rsidRPr="00E13258" w:rsidRDefault="0090102D" w:rsidP="00DE5256">
      <w:pPr>
        <w:spacing w:line="360" w:lineRule="auto"/>
        <w:jc w:val="both"/>
        <w:rPr>
          <w:rFonts w:ascii="Palatino Linotype" w:hAnsi="Palatino Linotype" w:cs="Tahoma"/>
          <w:sz w:val="22"/>
          <w:szCs w:val="22"/>
          <w:lang w:val="es-ES"/>
        </w:rPr>
      </w:pPr>
      <w:r w:rsidRPr="00E13258">
        <w:rPr>
          <w:rFonts w:ascii="Palatino Linotype" w:hAnsi="Palatino Linotype" w:cs="Tahoma"/>
          <w:sz w:val="22"/>
          <w:szCs w:val="22"/>
          <w:lang w:val="es-ES"/>
        </w:rPr>
        <w:t xml:space="preserve">Atento lo anterior se ordena la entrega del Código QR ya que para el caso de que diera cuenta del RFC de persona física un requisito indispensable para ser proveedor y poder llevar a cabo actividades comerciales con los sujetos obligados de la Entidad, </w:t>
      </w:r>
      <w:proofErr w:type="gramStart"/>
      <w:r w:rsidRPr="00E13258">
        <w:rPr>
          <w:rFonts w:ascii="Palatino Linotype" w:hAnsi="Palatino Linotype" w:cs="Tahoma"/>
          <w:sz w:val="22"/>
          <w:szCs w:val="22"/>
          <w:lang w:val="es-ES"/>
        </w:rPr>
        <w:t>ya que</w:t>
      </w:r>
      <w:proofErr w:type="gramEnd"/>
      <w:r w:rsidRPr="00E13258">
        <w:rPr>
          <w:rFonts w:ascii="Palatino Linotype" w:hAnsi="Palatino Linotype" w:cs="Tahoma"/>
          <w:sz w:val="22"/>
          <w:szCs w:val="22"/>
          <w:lang w:val="es-ES"/>
        </w:rPr>
        <w:t xml:space="preserve"> sin este, no se pueden realizar dichas actividades, por lo que su entrega es un elemento adicional que respalda la legalidad de los procesos adquisitivos.</w:t>
      </w:r>
    </w:p>
    <w:p w14:paraId="0C13EC48" w14:textId="77777777" w:rsidR="0090102D" w:rsidRPr="00E13258" w:rsidRDefault="0090102D" w:rsidP="00DE5256">
      <w:pPr>
        <w:spacing w:line="360" w:lineRule="auto"/>
        <w:jc w:val="both"/>
        <w:rPr>
          <w:rFonts w:ascii="Palatino Linotype" w:hAnsi="Palatino Linotype" w:cs="Tahoma"/>
          <w:sz w:val="22"/>
          <w:szCs w:val="22"/>
          <w:lang w:val="es-ES"/>
        </w:rPr>
      </w:pPr>
    </w:p>
    <w:p w14:paraId="735C30A3" w14:textId="77777777" w:rsidR="0090102D" w:rsidRPr="00E13258" w:rsidRDefault="0090102D" w:rsidP="00DE5256">
      <w:pPr>
        <w:spacing w:line="360" w:lineRule="auto"/>
        <w:jc w:val="both"/>
        <w:rPr>
          <w:rFonts w:ascii="Palatino Linotype" w:hAnsi="Palatino Linotype" w:cs="Tahoma"/>
          <w:sz w:val="22"/>
          <w:szCs w:val="22"/>
          <w:lang w:val="es-ES"/>
        </w:rPr>
      </w:pPr>
      <w:r w:rsidRPr="00E13258">
        <w:rPr>
          <w:rFonts w:ascii="Palatino Linotype" w:hAnsi="Palatino Linotype" w:cs="Tahoma"/>
          <w:sz w:val="22"/>
          <w:szCs w:val="22"/>
          <w:lang w:val="es-ES"/>
        </w:rPr>
        <w:t>En ese contexto, entregar el Registro Federal de Contribuyentes aún de personas físicas cuando son proveedores de instituciones públicas, propicia la rendición de cuentas, al permitir verificar que se cumplió con uno de los requisitos necesarios conforme a la normatividad aplicable en materia de contrataciones, lo cual, transparenta el correcto ejercicio de recursos públicos por parte de los sujetos obligados, lo que es acorde con el principio de máxima publicidad.</w:t>
      </w:r>
    </w:p>
    <w:p w14:paraId="32C2DD0B" w14:textId="77777777" w:rsidR="0090102D" w:rsidRPr="00E13258" w:rsidRDefault="0090102D" w:rsidP="00DE5256">
      <w:pPr>
        <w:spacing w:line="360" w:lineRule="auto"/>
        <w:jc w:val="both"/>
        <w:rPr>
          <w:rFonts w:ascii="Palatino Linotype" w:hAnsi="Palatino Linotype" w:cs="Tahoma"/>
          <w:sz w:val="22"/>
          <w:szCs w:val="22"/>
          <w:lang w:val="es-ES"/>
        </w:rPr>
      </w:pPr>
    </w:p>
    <w:p w14:paraId="78A6C456" w14:textId="77777777" w:rsidR="00615BA8" w:rsidRPr="00E13258" w:rsidRDefault="0090102D" w:rsidP="00DE5256">
      <w:pPr>
        <w:spacing w:line="360" w:lineRule="auto"/>
        <w:jc w:val="both"/>
        <w:rPr>
          <w:rFonts w:ascii="Palatino Linotype" w:hAnsi="Palatino Linotype" w:cs="Tahoma"/>
          <w:sz w:val="22"/>
          <w:szCs w:val="22"/>
          <w:lang w:val="es-ES"/>
        </w:rPr>
      </w:pPr>
      <w:r w:rsidRPr="00E13258">
        <w:rPr>
          <w:rFonts w:ascii="Palatino Linotype" w:hAnsi="Palatino Linotype" w:cs="Tahoma"/>
          <w:sz w:val="22"/>
          <w:szCs w:val="22"/>
          <w:lang w:val="es-ES"/>
        </w:rPr>
        <w:t>No debe dejarse de lado, que cualquier persona que pretenda tener cualquier tipo de relación, laboral, empresarial, de trámites, servicios o comercial, para el caso que nos ocupa, debe en cierta medida ceder información relacionada con su vida, en aras de obtener el beneficio pretendido, como formar parte de los proveedores gubernamentales, al respecto, la información sobre la que se debe conceder publicidad sólo es aquella relacionada con el ejercicio de recursos públicos o de funciones y las facturas de pagos de sujetos obligados están vinculadas directamente con el ejercicio de recursos públicos.</w:t>
      </w:r>
    </w:p>
    <w:p w14:paraId="30C7132D" w14:textId="77777777" w:rsidR="00615BA8" w:rsidRPr="00E13258" w:rsidRDefault="00615BA8" w:rsidP="00DE5256">
      <w:pPr>
        <w:spacing w:line="360" w:lineRule="auto"/>
        <w:jc w:val="both"/>
        <w:rPr>
          <w:rFonts w:ascii="Palatino Linotype" w:hAnsi="Palatino Linotype" w:cs="Tahoma"/>
          <w:sz w:val="22"/>
          <w:szCs w:val="22"/>
          <w:lang w:val="es-ES"/>
        </w:rPr>
      </w:pPr>
    </w:p>
    <w:p w14:paraId="6037699B" w14:textId="35CB2AA9" w:rsidR="0090102D" w:rsidRPr="00E13258" w:rsidRDefault="0090102D" w:rsidP="00DE5256">
      <w:pPr>
        <w:tabs>
          <w:tab w:val="left" w:pos="4667"/>
        </w:tabs>
        <w:spacing w:line="360" w:lineRule="auto"/>
        <w:jc w:val="both"/>
        <w:rPr>
          <w:rFonts w:ascii="Palatino Linotype" w:eastAsia="Calibri" w:hAnsi="Palatino Linotype" w:cs="Tahoma"/>
          <w:iCs/>
          <w:sz w:val="22"/>
          <w:szCs w:val="22"/>
          <w:lang w:eastAsia="es-ES_tradnl"/>
        </w:rPr>
      </w:pPr>
      <w:r w:rsidRPr="00E13258">
        <w:rPr>
          <w:rFonts w:ascii="Palatino Linotype" w:hAnsi="Palatino Linotype" w:cs="Tahoma"/>
          <w:sz w:val="22"/>
          <w:szCs w:val="22"/>
          <w:lang w:val="es-ES"/>
        </w:rPr>
        <w:t xml:space="preserve">Ahora </w:t>
      </w:r>
      <w:proofErr w:type="gramStart"/>
      <w:r w:rsidRPr="00E13258">
        <w:rPr>
          <w:rFonts w:ascii="Palatino Linotype" w:hAnsi="Palatino Linotype" w:cs="Tahoma"/>
          <w:sz w:val="22"/>
          <w:szCs w:val="22"/>
          <w:lang w:val="es-ES"/>
        </w:rPr>
        <w:t>bien</w:t>
      </w:r>
      <w:proofErr w:type="gramEnd"/>
      <w:r w:rsidRPr="00E13258">
        <w:rPr>
          <w:rFonts w:ascii="Palatino Linotype" w:hAnsi="Palatino Linotype" w:cs="Tahoma"/>
          <w:sz w:val="22"/>
          <w:szCs w:val="22"/>
          <w:lang w:val="es-ES"/>
        </w:rPr>
        <w:t xml:space="preserve"> si fuera el caso de que el Código QR diera cuenta del RFC de una </w:t>
      </w:r>
      <w:r w:rsidRPr="00E13258">
        <w:rPr>
          <w:rFonts w:ascii="Palatino Linotype" w:eastAsia="Calibri" w:hAnsi="Palatino Linotype" w:cs="Tahoma"/>
          <w:iCs/>
          <w:sz w:val="22"/>
          <w:szCs w:val="22"/>
          <w:lang w:eastAsia="es-ES_tradnl"/>
        </w:rPr>
        <w:t>persona jurídico</w:t>
      </w:r>
      <w:r w:rsidR="00A36A06" w:rsidRPr="00E13258">
        <w:rPr>
          <w:rFonts w:ascii="Palatino Linotype" w:eastAsia="Calibri" w:hAnsi="Palatino Linotype" w:cs="Tahoma"/>
          <w:iCs/>
          <w:sz w:val="22"/>
          <w:szCs w:val="22"/>
          <w:lang w:eastAsia="es-ES_tradnl"/>
        </w:rPr>
        <w:t>-</w:t>
      </w:r>
      <w:r w:rsidRPr="00E13258">
        <w:rPr>
          <w:rFonts w:ascii="Palatino Linotype" w:eastAsia="Calibri" w:hAnsi="Palatino Linotype" w:cs="Tahoma"/>
          <w:iCs/>
          <w:sz w:val="22"/>
          <w:szCs w:val="22"/>
          <w:lang w:eastAsia="es-ES_tradnl"/>
        </w:rPr>
        <w:t xml:space="preserve">colectiva la misma es proveedor de una institución pública y el pago de los conceptos se realizó con recursos públicos; lo anterior se respalda con el Criterio 1/2014, del ahora </w:t>
      </w:r>
      <w:r w:rsidRPr="00E13258">
        <w:rPr>
          <w:rFonts w:ascii="Palatino Linotype" w:eastAsia="Calibri" w:hAnsi="Palatino Linotype" w:cs="Tahoma"/>
          <w:iCs/>
          <w:sz w:val="22"/>
          <w:szCs w:val="22"/>
          <w:lang w:eastAsia="es-ES_tradnl"/>
        </w:rPr>
        <w:lastRenderedPageBreak/>
        <w:t xml:space="preserve">denominado </w:t>
      </w:r>
      <w:r w:rsidRPr="00E13258">
        <w:rPr>
          <w:rFonts w:ascii="Palatino Linotype" w:eastAsia="Calibri" w:hAnsi="Palatino Linotype" w:cs="Tahoma"/>
          <w:bCs/>
          <w:iCs/>
          <w:sz w:val="22"/>
          <w:szCs w:val="22"/>
          <w:lang w:eastAsia="es-ES_tradnl"/>
        </w:rPr>
        <w:t>Instituto Nacional de Transparencia, Acceso a la Información y Protección de Datos Personales (</w:t>
      </w:r>
      <w:r w:rsidRPr="00E13258">
        <w:rPr>
          <w:rFonts w:ascii="Palatino Linotype" w:eastAsia="Calibri" w:hAnsi="Palatino Linotype" w:cs="Tahoma"/>
          <w:iCs/>
          <w:sz w:val="22"/>
          <w:szCs w:val="22"/>
          <w:lang w:eastAsia="es-ES_tradnl"/>
        </w:rPr>
        <w:t>INAI).</w:t>
      </w:r>
    </w:p>
    <w:p w14:paraId="48DB4B5B" w14:textId="77777777" w:rsidR="0090102D" w:rsidRPr="00E13258" w:rsidRDefault="0090102D" w:rsidP="00DE5256">
      <w:pPr>
        <w:tabs>
          <w:tab w:val="left" w:pos="4667"/>
        </w:tabs>
        <w:spacing w:line="360" w:lineRule="auto"/>
        <w:jc w:val="both"/>
        <w:rPr>
          <w:rFonts w:ascii="Palatino Linotype" w:eastAsia="Calibri" w:hAnsi="Palatino Linotype" w:cs="Tahoma"/>
          <w:iCs/>
          <w:sz w:val="22"/>
          <w:szCs w:val="22"/>
          <w:lang w:eastAsia="es-ES_tradnl"/>
        </w:rPr>
      </w:pPr>
    </w:p>
    <w:p w14:paraId="1FE6B90D" w14:textId="77777777" w:rsidR="0090102D" w:rsidRPr="00E13258" w:rsidRDefault="0090102D" w:rsidP="00DE5256">
      <w:pPr>
        <w:spacing w:line="360" w:lineRule="auto"/>
        <w:ind w:left="567" w:right="567"/>
        <w:jc w:val="both"/>
        <w:rPr>
          <w:rFonts w:ascii="Palatino Linotype" w:eastAsia="Arial" w:hAnsi="Palatino Linotype" w:cs="Arial"/>
        </w:rPr>
      </w:pPr>
      <w:r w:rsidRPr="00E13258">
        <w:rPr>
          <w:rFonts w:ascii="Palatino Linotype" w:eastAsia="Arial" w:hAnsi="Palatino Linotype" w:cs="Arial"/>
          <w:b/>
        </w:rPr>
        <w:t xml:space="preserve">Denominación o razón social, y Registro Federal de Contribuyentes de personas morales, no constituyen información confidencial. </w:t>
      </w:r>
      <w:r w:rsidRPr="00E13258">
        <w:rPr>
          <w:rFonts w:ascii="Palatino Linotype" w:eastAsia="Arial" w:hAnsi="Palatino Linotype" w:cs="Arial"/>
        </w:rPr>
        <w:t xml:space="preserve">La denominación o razón social de personas morales es pública, por encontrarse inscritas en el Registro Público de Comercio. Por lo que respecta a su Registro Federal de Contribuyentes (RFC), en principio, también es público, ya que no se refiere a hechos o actos de carácter económico, contable, jurídico o administrativo que sean útiles o representen una ventaja a sus competidores, en términos de lo dispuesto en el artículo 18, fracción I de la </w:t>
      </w:r>
      <w:r w:rsidRPr="00E13258">
        <w:rPr>
          <w:rFonts w:ascii="Palatino Linotype" w:eastAsia="Arial" w:hAnsi="Palatino Linotype" w:cs="Arial"/>
          <w:i/>
        </w:rPr>
        <w:t xml:space="preserve">Ley Federal de Transparencia y Acceso a la Información Pública Gubernamental </w:t>
      </w:r>
      <w:r w:rsidRPr="00E13258">
        <w:rPr>
          <w:rFonts w:ascii="Palatino Linotype" w:eastAsia="Arial" w:hAnsi="Palatino Linotype" w:cs="Arial"/>
        </w:rPr>
        <w:t xml:space="preserve">y en el Trigésimo Sexto de los </w:t>
      </w:r>
      <w:r w:rsidRPr="00E13258">
        <w:rPr>
          <w:rFonts w:ascii="Palatino Linotype" w:eastAsia="Arial" w:hAnsi="Palatino Linotype" w:cs="Arial"/>
          <w:i/>
        </w:rPr>
        <w:t>Lineamientos Generales para la clasificación y desclasificación de la información de las dependencias y entidades de la Administración Pública Federal</w:t>
      </w:r>
      <w:r w:rsidRPr="00E13258">
        <w:rPr>
          <w:rFonts w:ascii="Palatino Linotype" w:eastAsia="Arial" w:hAnsi="Palatino Linotype" w:cs="Arial"/>
        </w:rPr>
        <w:t>; aunado al hecho de que tampoco se trata de información concerniente a personas físicas, por lo que no puede considerarse un dato personal, con fundamento en lo previsto en el artículo 18, fracción II de ese ordenamiento legal. Por lo anterior, la denominación o razón social, así como el RFC de personas morales, no constituye información confidencial.</w:t>
      </w:r>
    </w:p>
    <w:p w14:paraId="7155FD23" w14:textId="77777777" w:rsidR="0090102D" w:rsidRPr="00E13258" w:rsidRDefault="0090102D" w:rsidP="00DE5256">
      <w:pPr>
        <w:tabs>
          <w:tab w:val="left" w:pos="4667"/>
        </w:tabs>
        <w:spacing w:line="360" w:lineRule="auto"/>
        <w:ind w:left="360"/>
        <w:jc w:val="both"/>
        <w:rPr>
          <w:rFonts w:ascii="Palatino Linotype" w:eastAsia="Calibri" w:hAnsi="Palatino Linotype" w:cs="Tahoma"/>
          <w:iCs/>
          <w:sz w:val="22"/>
          <w:szCs w:val="22"/>
          <w:lang w:eastAsia="es-ES_tradnl"/>
        </w:rPr>
      </w:pPr>
    </w:p>
    <w:p w14:paraId="0ADD2A9E" w14:textId="77777777" w:rsidR="0090102D" w:rsidRPr="00E13258" w:rsidRDefault="0090102D" w:rsidP="00DE5256">
      <w:pPr>
        <w:tabs>
          <w:tab w:val="left" w:pos="4667"/>
        </w:tabs>
        <w:spacing w:line="360" w:lineRule="auto"/>
        <w:jc w:val="both"/>
        <w:rPr>
          <w:rFonts w:ascii="Palatino Linotype" w:eastAsia="Calibri" w:hAnsi="Palatino Linotype" w:cs="Tahoma"/>
          <w:iCs/>
          <w:sz w:val="22"/>
          <w:szCs w:val="22"/>
          <w:lang w:eastAsia="es-ES_tradnl"/>
        </w:rPr>
      </w:pPr>
      <w:r w:rsidRPr="00E13258">
        <w:rPr>
          <w:rFonts w:ascii="Palatino Linotype" w:eastAsia="Calibri" w:hAnsi="Palatino Linotype" w:cs="Tahoma"/>
          <w:iCs/>
          <w:sz w:val="22"/>
          <w:szCs w:val="22"/>
          <w:lang w:eastAsia="es-ES_tradnl"/>
        </w:rPr>
        <w:t>Como se puede observar, los datos de carácter fiscal que se eliminaron de las facturas fueron con el objetivo de proteger el RFC tanto del proveedor, como del Sujeto Obligado, por lo que es procedente revocar la clasificación de estos datos.</w:t>
      </w:r>
    </w:p>
    <w:p w14:paraId="61B8AF76" w14:textId="77777777" w:rsidR="00615BA8" w:rsidRPr="00E13258" w:rsidRDefault="00615BA8" w:rsidP="00DE5256">
      <w:pPr>
        <w:spacing w:line="360" w:lineRule="auto"/>
        <w:jc w:val="both"/>
        <w:rPr>
          <w:rFonts w:ascii="Palatino Linotype" w:hAnsi="Palatino Linotype" w:cs="Tahoma"/>
          <w:sz w:val="22"/>
          <w:szCs w:val="22"/>
          <w:lang w:val="es-ES"/>
        </w:rPr>
      </w:pPr>
    </w:p>
    <w:p w14:paraId="05302753" w14:textId="77777777" w:rsidR="00DC1074" w:rsidRPr="00E13258" w:rsidRDefault="00DC1074" w:rsidP="00DE5256">
      <w:pPr>
        <w:pStyle w:val="Prrafodelista"/>
        <w:numPr>
          <w:ilvl w:val="0"/>
          <w:numId w:val="16"/>
        </w:numPr>
        <w:spacing w:line="360" w:lineRule="auto"/>
        <w:jc w:val="both"/>
        <w:rPr>
          <w:rFonts w:ascii="Palatino Linotype" w:hAnsi="Palatino Linotype" w:cs="Tahoma"/>
          <w:b/>
          <w:szCs w:val="22"/>
          <w:lang w:val="es-ES"/>
        </w:rPr>
      </w:pPr>
      <w:r w:rsidRPr="00E13258">
        <w:rPr>
          <w:rFonts w:ascii="Palatino Linotype" w:hAnsi="Palatino Linotype" w:cs="Tahoma"/>
          <w:b/>
          <w:szCs w:val="22"/>
          <w:lang w:val="es-ES"/>
        </w:rPr>
        <w:t>Número de cuentas bancarias del Municipio de Tlalnepantla de Baz.</w:t>
      </w:r>
    </w:p>
    <w:p w14:paraId="23614C62" w14:textId="77777777" w:rsidR="00DC1074" w:rsidRPr="00E13258" w:rsidRDefault="00DC1074" w:rsidP="00DE5256">
      <w:pPr>
        <w:spacing w:line="360" w:lineRule="auto"/>
        <w:jc w:val="both"/>
        <w:rPr>
          <w:rFonts w:ascii="Palatino Linotype" w:hAnsi="Palatino Linotype" w:cs="Tahoma"/>
          <w:sz w:val="22"/>
          <w:szCs w:val="22"/>
          <w:lang w:val="es-ES"/>
        </w:rPr>
      </w:pPr>
    </w:p>
    <w:p w14:paraId="66BC0C0A" w14:textId="77777777" w:rsidR="00DC1074" w:rsidRPr="00E13258" w:rsidRDefault="00DC1074" w:rsidP="00DE5256">
      <w:pPr>
        <w:spacing w:line="360" w:lineRule="auto"/>
        <w:jc w:val="both"/>
        <w:rPr>
          <w:rFonts w:ascii="Palatino Linotype" w:hAnsi="Palatino Linotype" w:cs="Tahoma"/>
          <w:sz w:val="22"/>
          <w:szCs w:val="22"/>
          <w:lang w:val="es-ES"/>
        </w:rPr>
      </w:pPr>
      <w:r w:rsidRPr="00E13258">
        <w:rPr>
          <w:rFonts w:ascii="Palatino Linotype" w:hAnsi="Palatino Linotype" w:cs="Tahoma"/>
          <w:sz w:val="22"/>
          <w:szCs w:val="22"/>
          <w:lang w:val="es-ES"/>
        </w:rPr>
        <w:t xml:space="preserve">Por lo que respecta a cuentas bancarias del Sujeto Obligado, dicha información </w:t>
      </w:r>
      <w:r w:rsidRPr="00E13258">
        <w:rPr>
          <w:rFonts w:ascii="Palatino Linotype" w:hAnsi="Palatino Linotype" w:cs="Tahoma"/>
          <w:b/>
          <w:sz w:val="22"/>
          <w:szCs w:val="22"/>
          <w:lang w:val="es-ES"/>
        </w:rPr>
        <w:t>no se considera como confidencial</w:t>
      </w:r>
      <w:r w:rsidRPr="00E13258">
        <w:rPr>
          <w:rFonts w:ascii="Palatino Linotype" w:hAnsi="Palatino Linotype" w:cs="Tahoma"/>
          <w:sz w:val="22"/>
          <w:szCs w:val="22"/>
          <w:lang w:val="es-ES"/>
        </w:rPr>
        <w:t>, pues la difusión de dichas cuentas o claves interbancarias, transparenta el uso de recursos públicos favoreciendo la rendición de cuentas; apegado además al criterio 11/17, emitido por el INAI, mismo que señala:</w:t>
      </w:r>
    </w:p>
    <w:p w14:paraId="5726BD90" w14:textId="77777777" w:rsidR="00DC1074" w:rsidRPr="00E13258" w:rsidRDefault="00DC1074" w:rsidP="00DE5256">
      <w:pPr>
        <w:spacing w:line="360" w:lineRule="auto"/>
        <w:jc w:val="both"/>
        <w:rPr>
          <w:rFonts w:ascii="Palatino Linotype" w:hAnsi="Palatino Linotype" w:cs="Tahoma"/>
          <w:sz w:val="22"/>
          <w:szCs w:val="22"/>
          <w:lang w:val="es-ES"/>
        </w:rPr>
      </w:pPr>
    </w:p>
    <w:p w14:paraId="044326AA" w14:textId="77777777" w:rsidR="00DC1074" w:rsidRPr="00E13258" w:rsidRDefault="00DC1074" w:rsidP="00DE5256">
      <w:pPr>
        <w:autoSpaceDE w:val="0"/>
        <w:autoSpaceDN w:val="0"/>
        <w:adjustRightInd w:val="0"/>
        <w:spacing w:line="360" w:lineRule="auto"/>
        <w:ind w:left="567" w:right="567"/>
        <w:jc w:val="both"/>
        <w:rPr>
          <w:rFonts w:ascii="Palatino Linotype" w:hAnsi="Palatino Linotype" w:cs="Tahoma"/>
          <w:szCs w:val="22"/>
        </w:rPr>
      </w:pPr>
      <w:r w:rsidRPr="00E13258">
        <w:rPr>
          <w:rFonts w:ascii="Palatino Linotype" w:hAnsi="Palatino Linotype" w:cs="Tahoma"/>
          <w:szCs w:val="22"/>
        </w:rPr>
        <w:t>“</w:t>
      </w:r>
      <w:r w:rsidRPr="00E13258">
        <w:rPr>
          <w:rFonts w:ascii="Palatino Linotype" w:hAnsi="Palatino Linotype" w:cs="Tahoma"/>
          <w:b/>
          <w:szCs w:val="22"/>
        </w:rPr>
        <w:t>Cuentas bancarias y/o CLABE interbancaria de sujetos obligados que reciben y/o transfieren recursos públicos, son información pública.</w:t>
      </w:r>
      <w:r w:rsidRPr="00E13258">
        <w:rPr>
          <w:rFonts w:ascii="Palatino Linotype" w:hAnsi="Palatino Linotype" w:cs="Tahoma"/>
          <w:szCs w:val="22"/>
        </w:rPr>
        <w:t xml:space="preserve"> La difusión de las cuentas bancarias y claves interbancarias pertenecientes a un sujeto obligado favorece la rendición de cuentas al transparentar la forma en que se administran los recursos públicos, razón por la cual no pueden considerarse como información clasificada.</w:t>
      </w:r>
    </w:p>
    <w:p w14:paraId="1F2F0A12" w14:textId="77777777" w:rsidR="00DC1074" w:rsidRPr="00E13258" w:rsidRDefault="00DC1074" w:rsidP="00DE5256">
      <w:pPr>
        <w:spacing w:line="360" w:lineRule="auto"/>
        <w:jc w:val="both"/>
        <w:rPr>
          <w:rFonts w:ascii="Palatino Linotype" w:hAnsi="Palatino Linotype" w:cs="Tahoma"/>
          <w:sz w:val="22"/>
          <w:szCs w:val="22"/>
          <w:lang w:val="es-ES"/>
        </w:rPr>
      </w:pPr>
    </w:p>
    <w:p w14:paraId="6AA224DC" w14:textId="77777777" w:rsidR="00DC1074" w:rsidRPr="00E13258" w:rsidRDefault="00DC1074" w:rsidP="00DE5256">
      <w:pPr>
        <w:spacing w:line="360" w:lineRule="auto"/>
        <w:jc w:val="both"/>
        <w:rPr>
          <w:rFonts w:ascii="Palatino Linotype" w:hAnsi="Palatino Linotype" w:cs="Tahoma"/>
          <w:b/>
          <w:sz w:val="22"/>
          <w:szCs w:val="22"/>
          <w:lang w:val="es-ES"/>
        </w:rPr>
      </w:pPr>
      <w:r w:rsidRPr="00E13258">
        <w:rPr>
          <w:rFonts w:ascii="Palatino Linotype" w:hAnsi="Palatino Linotype" w:cs="Tahoma"/>
          <w:sz w:val="22"/>
          <w:szCs w:val="22"/>
          <w:lang w:val="es-ES"/>
        </w:rPr>
        <w:t xml:space="preserve">Por lo que hace a las observaciones vertidas, se advierte que la información que argumenta haber clasificado el Sujeto Obligado no es posible relacionarlas con alguna persona física, de tal suerte que pueda tratarse de datos personales confidenciales que actualicen el supuesto del artículo 143, fracción I, de la Ley de Transparencia y Acceso a la Información Pública del Estado de México y Municipios. Por lo anterior, esta información no actualiza ningún supuesto de clasificación establecido en los artículos 140 o 143, de la Ley de Transparencia y Acceso a la Información Pública del Estado de México y Municipios y procede la entrega de las versiones públicas </w:t>
      </w:r>
      <w:r w:rsidRPr="00E13258">
        <w:rPr>
          <w:rFonts w:ascii="Palatino Linotype" w:hAnsi="Palatino Linotype" w:cs="Tahoma"/>
          <w:b/>
          <w:sz w:val="22"/>
          <w:szCs w:val="22"/>
          <w:lang w:val="es-ES"/>
        </w:rPr>
        <w:t>sin testar estos datos.</w:t>
      </w:r>
    </w:p>
    <w:p w14:paraId="696D0155" w14:textId="77777777" w:rsidR="00DC1074" w:rsidRPr="00E13258" w:rsidRDefault="00DC1074" w:rsidP="00DE5256">
      <w:pPr>
        <w:spacing w:line="360" w:lineRule="auto"/>
        <w:jc w:val="both"/>
        <w:rPr>
          <w:rFonts w:ascii="Palatino Linotype" w:hAnsi="Palatino Linotype" w:cs="Tahoma"/>
          <w:sz w:val="22"/>
          <w:szCs w:val="22"/>
          <w:lang w:val="es-ES"/>
        </w:rPr>
      </w:pPr>
    </w:p>
    <w:p w14:paraId="15D90BEC" w14:textId="77777777" w:rsidR="009E6916" w:rsidRPr="00E13258" w:rsidRDefault="003F0CAE" w:rsidP="00DE5256">
      <w:pPr>
        <w:spacing w:line="360" w:lineRule="auto"/>
        <w:ind w:right="-93"/>
        <w:jc w:val="both"/>
        <w:rPr>
          <w:rFonts w:ascii="Palatino Linotype" w:hAnsi="Palatino Linotype" w:cs="Tahoma"/>
          <w:b/>
          <w:sz w:val="22"/>
          <w:szCs w:val="22"/>
          <w:lang w:val="es-ES"/>
        </w:rPr>
      </w:pPr>
      <w:r w:rsidRPr="00E13258">
        <w:rPr>
          <w:rFonts w:ascii="Palatino Linotype" w:hAnsi="Palatino Linotype" w:cs="Tahoma"/>
          <w:b/>
          <w:caps/>
          <w:sz w:val="22"/>
          <w:szCs w:val="22"/>
          <w:lang w:val="es-ES"/>
        </w:rPr>
        <w:t xml:space="preserve">Sexto. </w:t>
      </w:r>
      <w:r w:rsidR="009E6916" w:rsidRPr="00E13258">
        <w:rPr>
          <w:rFonts w:ascii="Palatino Linotype" w:hAnsi="Palatino Linotype" w:cs="Tahoma"/>
          <w:b/>
          <w:sz w:val="22"/>
          <w:szCs w:val="22"/>
          <w:lang w:val="es-ES"/>
        </w:rPr>
        <w:t>Decisión</w:t>
      </w:r>
    </w:p>
    <w:p w14:paraId="42AB21BE" w14:textId="77777777" w:rsidR="003F0CAE" w:rsidRPr="00E13258" w:rsidRDefault="003F0CAE" w:rsidP="00DE5256">
      <w:pPr>
        <w:spacing w:line="360" w:lineRule="auto"/>
        <w:ind w:right="-93"/>
        <w:jc w:val="both"/>
        <w:rPr>
          <w:rFonts w:ascii="Palatino Linotype" w:hAnsi="Palatino Linotype" w:cs="Tahoma"/>
          <w:sz w:val="22"/>
          <w:szCs w:val="22"/>
          <w:lang w:val="es-ES"/>
        </w:rPr>
      </w:pPr>
    </w:p>
    <w:p w14:paraId="3A3A5B07" w14:textId="77777777" w:rsidR="003F0CAE" w:rsidRPr="00E13258" w:rsidRDefault="003F0CAE" w:rsidP="00DE5256">
      <w:pPr>
        <w:spacing w:line="360" w:lineRule="auto"/>
        <w:ind w:right="-93"/>
        <w:jc w:val="both"/>
        <w:rPr>
          <w:rFonts w:ascii="Palatino Linotype" w:hAnsi="Palatino Linotype" w:cs="Tahoma"/>
          <w:b/>
          <w:bCs/>
          <w:sz w:val="22"/>
          <w:szCs w:val="22"/>
        </w:rPr>
      </w:pPr>
      <w:r w:rsidRPr="00E13258">
        <w:rPr>
          <w:rFonts w:ascii="Palatino Linotype" w:hAnsi="Palatino Linotype" w:cs="Tahoma"/>
          <w:sz w:val="22"/>
          <w:szCs w:val="22"/>
          <w:lang w:val="es-ES"/>
        </w:rPr>
        <w:t>Toda vez que</w:t>
      </w:r>
      <w:r w:rsidR="00D47A95" w:rsidRPr="00E13258">
        <w:rPr>
          <w:rFonts w:ascii="Palatino Linotype" w:hAnsi="Palatino Linotype" w:cs="Tahoma"/>
          <w:sz w:val="22"/>
          <w:szCs w:val="22"/>
          <w:lang w:val="es-ES"/>
        </w:rPr>
        <w:t xml:space="preserve"> los motivos de inconformidad del Recurrente resultan </w:t>
      </w:r>
      <w:r w:rsidR="00AC584A" w:rsidRPr="00E13258">
        <w:rPr>
          <w:rFonts w:ascii="Palatino Linotype" w:hAnsi="Palatino Linotype" w:cs="Tahoma"/>
          <w:sz w:val="22"/>
          <w:szCs w:val="22"/>
          <w:lang w:val="es-ES"/>
        </w:rPr>
        <w:t>parcialmente fundados</w:t>
      </w:r>
      <w:r w:rsidR="009E6916" w:rsidRPr="00E13258">
        <w:rPr>
          <w:rFonts w:ascii="Palatino Linotype" w:hAnsi="Palatino Linotype" w:cs="Tahoma"/>
          <w:sz w:val="22"/>
          <w:szCs w:val="22"/>
          <w:lang w:val="es-ES"/>
        </w:rPr>
        <w:t xml:space="preserve">; </w:t>
      </w:r>
      <w:r w:rsidRPr="00E13258">
        <w:rPr>
          <w:rFonts w:ascii="Palatino Linotype" w:hAnsi="Palatino Linotype" w:cs="Tahoma"/>
          <w:sz w:val="22"/>
          <w:szCs w:val="22"/>
          <w:lang w:val="es-ES"/>
        </w:rPr>
        <w:t>de conformidad con</w:t>
      </w:r>
      <w:r w:rsidR="00D47A95" w:rsidRPr="00E13258">
        <w:rPr>
          <w:rFonts w:ascii="Palatino Linotype" w:hAnsi="Palatino Linotype" w:cs="Tahoma"/>
          <w:sz w:val="22"/>
          <w:szCs w:val="22"/>
        </w:rPr>
        <w:t xml:space="preserve"> en el artículo 186, fracción </w:t>
      </w:r>
      <w:r w:rsidR="009E6916" w:rsidRPr="00E13258">
        <w:rPr>
          <w:rFonts w:ascii="Palatino Linotype" w:hAnsi="Palatino Linotype" w:cs="Tahoma"/>
          <w:sz w:val="22"/>
          <w:szCs w:val="22"/>
        </w:rPr>
        <w:t>I</w:t>
      </w:r>
      <w:r w:rsidR="00D47A95" w:rsidRPr="00E13258">
        <w:rPr>
          <w:rFonts w:ascii="Palatino Linotype" w:hAnsi="Palatino Linotype" w:cs="Tahoma"/>
          <w:sz w:val="22"/>
          <w:szCs w:val="22"/>
        </w:rPr>
        <w:t xml:space="preserve">II, de la Ley de Transparencia y Acceso a la Información Pública del Estado de México y Municipios, este Instituto considera procedente </w:t>
      </w:r>
      <w:r w:rsidR="009E6916" w:rsidRPr="00E13258">
        <w:rPr>
          <w:rFonts w:ascii="Palatino Linotype" w:hAnsi="Palatino Linotype" w:cs="Tahoma"/>
          <w:b/>
          <w:sz w:val="22"/>
          <w:szCs w:val="22"/>
        </w:rPr>
        <w:t xml:space="preserve">MODIFICAR </w:t>
      </w:r>
      <w:r w:rsidR="00D47A95" w:rsidRPr="00E13258">
        <w:rPr>
          <w:rFonts w:ascii="Palatino Linotype" w:hAnsi="Palatino Linotype" w:cs="Tahoma"/>
          <w:sz w:val="22"/>
          <w:szCs w:val="22"/>
        </w:rPr>
        <w:t xml:space="preserve">la respuesta a la solicitud de información pública </w:t>
      </w:r>
      <w:r w:rsidR="00CA435C" w:rsidRPr="00E13258">
        <w:rPr>
          <w:rFonts w:ascii="Palatino Linotype" w:hAnsi="Palatino Linotype" w:cs="Tahoma"/>
          <w:b/>
          <w:bCs/>
          <w:sz w:val="22"/>
          <w:szCs w:val="22"/>
        </w:rPr>
        <w:t>00046/TLALNEPA/IP/2019</w:t>
      </w:r>
      <w:r w:rsidR="00CA435C" w:rsidRPr="00E13258">
        <w:t xml:space="preserve"> y </w:t>
      </w:r>
      <w:r w:rsidR="00CA435C" w:rsidRPr="00E13258">
        <w:rPr>
          <w:rFonts w:ascii="Palatino Linotype" w:hAnsi="Palatino Linotype" w:cs="Tahoma"/>
          <w:bCs/>
          <w:sz w:val="22"/>
          <w:szCs w:val="22"/>
        </w:rPr>
        <w:t>conceda acceso en consulta directa, en su caso en versión pública de lo siguiente</w:t>
      </w:r>
      <w:r w:rsidR="00CA435C" w:rsidRPr="00E13258">
        <w:rPr>
          <w:rFonts w:ascii="Palatino Linotype" w:hAnsi="Palatino Linotype" w:cs="Tahoma"/>
          <w:b/>
          <w:bCs/>
          <w:sz w:val="22"/>
          <w:szCs w:val="22"/>
        </w:rPr>
        <w:t>:</w:t>
      </w:r>
    </w:p>
    <w:p w14:paraId="6BC2EFAF" w14:textId="77777777" w:rsidR="00CA435C" w:rsidRPr="00E13258" w:rsidRDefault="00CA435C" w:rsidP="00DE5256">
      <w:pPr>
        <w:spacing w:line="360" w:lineRule="auto"/>
        <w:ind w:right="-93"/>
        <w:jc w:val="both"/>
        <w:rPr>
          <w:rFonts w:ascii="Palatino Linotype" w:hAnsi="Palatino Linotype" w:cs="Tahoma"/>
          <w:b/>
          <w:bCs/>
          <w:sz w:val="22"/>
          <w:szCs w:val="22"/>
        </w:rPr>
      </w:pPr>
    </w:p>
    <w:p w14:paraId="30720C1A" w14:textId="77777777" w:rsidR="00B4201F" w:rsidRPr="00E13258" w:rsidRDefault="00B4201F" w:rsidP="00DE5256">
      <w:pPr>
        <w:pStyle w:val="Prrafodelista"/>
        <w:numPr>
          <w:ilvl w:val="0"/>
          <w:numId w:val="16"/>
        </w:numPr>
        <w:spacing w:line="360" w:lineRule="auto"/>
        <w:ind w:left="714" w:hanging="357"/>
        <w:jc w:val="both"/>
        <w:rPr>
          <w:rFonts w:ascii="Palatino Linotype" w:hAnsi="Palatino Linotype" w:cs="Tahoma"/>
          <w:szCs w:val="22"/>
          <w:lang w:val="es-ES"/>
        </w:rPr>
      </w:pPr>
      <w:r w:rsidRPr="00E13258">
        <w:rPr>
          <w:rFonts w:ascii="Palatino Linotype" w:hAnsi="Palatino Linotype" w:cs="Tahoma"/>
          <w:szCs w:val="22"/>
          <w:lang w:val="es-ES"/>
        </w:rPr>
        <w:t>Pólizas de Diario con su respectivo soporte documental</w:t>
      </w:r>
      <w:r w:rsidR="005A7A4E" w:rsidRPr="00E13258">
        <w:rPr>
          <w:rFonts w:ascii="Palatino Linotype" w:hAnsi="Palatino Linotype" w:cs="Tahoma"/>
          <w:szCs w:val="22"/>
          <w:lang w:val="es-ES"/>
        </w:rPr>
        <w:t>,</w:t>
      </w:r>
      <w:r w:rsidRPr="00E13258">
        <w:rPr>
          <w:rFonts w:ascii="Palatino Linotype" w:hAnsi="Palatino Linotype" w:cs="Tahoma"/>
          <w:szCs w:val="22"/>
          <w:lang w:val="es-ES"/>
        </w:rPr>
        <w:t xml:space="preserve"> contenidas en el Disco 5 del Informe remitido al Órgano Superior de Fiscalización del Estado de México correspondiente al mes de noviembre del año dos mil dieciocho.</w:t>
      </w:r>
    </w:p>
    <w:p w14:paraId="22472148" w14:textId="77777777" w:rsidR="00CA435C" w:rsidRPr="00E13258" w:rsidRDefault="00CA435C" w:rsidP="00DE5256">
      <w:pPr>
        <w:spacing w:line="360" w:lineRule="auto"/>
        <w:ind w:left="360" w:right="-93"/>
        <w:jc w:val="both"/>
        <w:rPr>
          <w:rFonts w:ascii="Palatino Linotype" w:hAnsi="Palatino Linotype" w:cs="Tahoma"/>
          <w:szCs w:val="22"/>
          <w:lang w:val="es-ES"/>
        </w:rPr>
      </w:pPr>
    </w:p>
    <w:p w14:paraId="1DD486D9" w14:textId="77777777" w:rsidR="00CA435C" w:rsidRPr="00E13258" w:rsidRDefault="00CA435C"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lastRenderedPageBreak/>
        <w:t>Para la versión pública de los documentos que puedan contener datos personales confidenciales, se deberá emitir acuerdo del Comité de Transparencia en el que se funde y motive la eliminación de información, de conformidad con los artículos 49, fracciones II y VIII, 143, fracción I y 149 de la Ley de Transparencia y Acceso a la Información Pública del Estado de México y Municipios</w:t>
      </w:r>
      <w:r w:rsidR="002D0CE8" w:rsidRPr="00E13258">
        <w:rPr>
          <w:rFonts w:ascii="Palatino Linotype" w:hAnsi="Palatino Linotype" w:cs="Tahoma"/>
          <w:sz w:val="22"/>
          <w:szCs w:val="22"/>
          <w:lang w:val="es-ES"/>
        </w:rPr>
        <w:t xml:space="preserve"> en términos del Considerando </w:t>
      </w:r>
      <w:r w:rsidR="002D0CE8" w:rsidRPr="00E13258">
        <w:rPr>
          <w:rFonts w:ascii="Palatino Linotype" w:hAnsi="Palatino Linotype" w:cs="Tahoma"/>
          <w:b/>
          <w:sz w:val="22"/>
          <w:szCs w:val="22"/>
          <w:lang w:val="es-ES"/>
        </w:rPr>
        <w:t>QUINTO</w:t>
      </w:r>
      <w:r w:rsidRPr="00E13258">
        <w:rPr>
          <w:rFonts w:ascii="Palatino Linotype" w:hAnsi="Palatino Linotype" w:cs="Tahoma"/>
          <w:sz w:val="22"/>
          <w:szCs w:val="22"/>
          <w:lang w:val="es-ES"/>
        </w:rPr>
        <w:t>.</w:t>
      </w:r>
    </w:p>
    <w:p w14:paraId="7D45F571" w14:textId="77777777" w:rsidR="00CA435C" w:rsidRPr="00E13258" w:rsidRDefault="00CA435C" w:rsidP="00DE5256">
      <w:pPr>
        <w:spacing w:line="360" w:lineRule="auto"/>
        <w:ind w:right="-93"/>
        <w:jc w:val="both"/>
        <w:rPr>
          <w:rFonts w:ascii="Palatino Linotype" w:hAnsi="Palatino Linotype" w:cs="Tahoma"/>
          <w:sz w:val="22"/>
          <w:szCs w:val="22"/>
          <w:lang w:val="es-ES"/>
        </w:rPr>
      </w:pPr>
    </w:p>
    <w:p w14:paraId="0F529163" w14:textId="30EEFC14" w:rsidR="00E1343E" w:rsidRPr="00E13258" w:rsidRDefault="00CA435C" w:rsidP="00DE5256">
      <w:pPr>
        <w:spacing w:line="360" w:lineRule="auto"/>
        <w:ind w:right="-93"/>
        <w:jc w:val="both"/>
        <w:rPr>
          <w:rFonts w:ascii="Palatino Linotype" w:hAnsi="Palatino Linotype" w:cs="Tahoma"/>
          <w:sz w:val="22"/>
          <w:szCs w:val="22"/>
          <w:lang w:val="es-ES"/>
        </w:rPr>
      </w:pPr>
      <w:r w:rsidRPr="00E13258">
        <w:rPr>
          <w:rFonts w:ascii="Palatino Linotype" w:hAnsi="Palatino Linotype" w:cs="Tahoma"/>
          <w:sz w:val="22"/>
          <w:szCs w:val="22"/>
          <w:lang w:val="es-ES"/>
        </w:rPr>
        <w:t xml:space="preserve">Para la entrega de la información, </w:t>
      </w:r>
      <w:r w:rsidR="00A36A06" w:rsidRPr="00E13258">
        <w:rPr>
          <w:rFonts w:ascii="Palatino Linotype" w:hAnsi="Palatino Linotype" w:cs="Tahoma"/>
          <w:sz w:val="22"/>
          <w:szCs w:val="22"/>
          <w:lang w:val="es-ES"/>
        </w:rPr>
        <w:t xml:space="preserve">el Sujeto Obligado deberá </w:t>
      </w:r>
      <w:r w:rsidR="00E1343E" w:rsidRPr="00E13258">
        <w:rPr>
          <w:rFonts w:ascii="Palatino Linotype" w:hAnsi="Palatino Linotype" w:cs="Tahoma"/>
          <w:sz w:val="22"/>
          <w:szCs w:val="22"/>
          <w:lang w:val="es-ES"/>
        </w:rPr>
        <w:t>indicar al Recurrente las reglas para acceder a la información, así como los días y horarios (calendarización), lugar, documentos a consultar, forma en que se podrá acceder en caso de que hubiere partes clasificadas, nombre del personal que permitiría la revisión; además de manera previa deberá proporcionar el Acuerdo del Comité de Transparencia, antes señalado e indicar la posibilidad, de que una vez llevada a cabo la consulta directa de la información, podrá solicitar previo pago de derechos, la reproducción de la misma.</w:t>
      </w:r>
    </w:p>
    <w:p w14:paraId="38A1B54A" w14:textId="77777777" w:rsidR="00A36A06" w:rsidRPr="00E13258" w:rsidRDefault="00A36A06" w:rsidP="00DE5256">
      <w:pPr>
        <w:spacing w:line="360" w:lineRule="auto"/>
        <w:ind w:right="-93"/>
        <w:jc w:val="both"/>
        <w:rPr>
          <w:rFonts w:ascii="Palatino Linotype" w:hAnsi="Palatino Linotype" w:cs="Tahoma"/>
          <w:sz w:val="22"/>
          <w:szCs w:val="22"/>
          <w:lang w:val="es-ES"/>
        </w:rPr>
      </w:pPr>
    </w:p>
    <w:p w14:paraId="05CCBC2E" w14:textId="77777777" w:rsidR="00D47A95" w:rsidRPr="00E13258" w:rsidRDefault="00D47A95" w:rsidP="00DE5256">
      <w:pPr>
        <w:spacing w:line="360" w:lineRule="auto"/>
        <w:jc w:val="both"/>
        <w:rPr>
          <w:rFonts w:ascii="Palatino Linotype" w:eastAsia="Calibri" w:hAnsi="Palatino Linotype" w:cs="Tahoma"/>
          <w:bCs/>
          <w:sz w:val="22"/>
          <w:lang w:eastAsia="en-US"/>
        </w:rPr>
      </w:pPr>
      <w:r w:rsidRPr="00E13258">
        <w:rPr>
          <w:rFonts w:ascii="Palatino Linotype" w:eastAsia="Calibri" w:hAnsi="Palatino Linotype" w:cs="Tahoma"/>
          <w:bCs/>
          <w:sz w:val="22"/>
          <w:lang w:eastAsia="en-US"/>
        </w:rPr>
        <w:t>Por lo expuesto y fundado, este Pleno:</w:t>
      </w:r>
    </w:p>
    <w:p w14:paraId="1A5BEE9B" w14:textId="77777777" w:rsidR="00ED74A3" w:rsidRPr="00E13258" w:rsidRDefault="00ED74A3" w:rsidP="00DE5256">
      <w:pPr>
        <w:spacing w:line="360" w:lineRule="auto"/>
        <w:jc w:val="both"/>
        <w:rPr>
          <w:rFonts w:ascii="Palatino Linotype" w:eastAsia="Calibri" w:hAnsi="Palatino Linotype" w:cs="Tahoma"/>
          <w:bCs/>
          <w:sz w:val="22"/>
          <w:lang w:eastAsia="en-US"/>
        </w:rPr>
      </w:pPr>
    </w:p>
    <w:p w14:paraId="53DD6522" w14:textId="77777777" w:rsidR="00ED74A3" w:rsidRDefault="00ED74A3" w:rsidP="00DE5256">
      <w:pPr>
        <w:spacing w:line="360" w:lineRule="auto"/>
        <w:jc w:val="center"/>
        <w:rPr>
          <w:rFonts w:ascii="Palatino Linotype" w:hAnsi="Palatino Linotype" w:cs="Tahoma"/>
          <w:b/>
          <w:bCs/>
          <w:sz w:val="22"/>
          <w:lang w:val="es-ES_tradnl"/>
        </w:rPr>
      </w:pPr>
      <w:r w:rsidRPr="00E13258">
        <w:rPr>
          <w:rFonts w:ascii="Palatino Linotype" w:hAnsi="Palatino Linotype" w:cs="Tahoma"/>
          <w:b/>
          <w:bCs/>
          <w:sz w:val="22"/>
          <w:lang w:val="es-ES_tradnl"/>
        </w:rPr>
        <w:t>R E S U E L V E</w:t>
      </w:r>
    </w:p>
    <w:p w14:paraId="0B3A3368" w14:textId="77777777" w:rsidR="006D4CC8" w:rsidRPr="00E13258" w:rsidRDefault="006D4CC8" w:rsidP="00DE5256">
      <w:pPr>
        <w:spacing w:line="360" w:lineRule="auto"/>
        <w:jc w:val="center"/>
        <w:rPr>
          <w:rFonts w:ascii="Palatino Linotype" w:hAnsi="Palatino Linotype" w:cs="Tahoma"/>
          <w:b/>
          <w:bCs/>
          <w:sz w:val="22"/>
          <w:lang w:val="es-ES_tradnl"/>
        </w:rPr>
      </w:pPr>
    </w:p>
    <w:p w14:paraId="0E398155" w14:textId="77777777" w:rsidR="006D4CC8" w:rsidRPr="006D4CC8" w:rsidRDefault="006D4CC8" w:rsidP="00DE5256">
      <w:pPr>
        <w:spacing w:line="360" w:lineRule="auto"/>
        <w:ind w:right="567"/>
        <w:jc w:val="both"/>
        <w:rPr>
          <w:rFonts w:ascii="Palatino Linotype" w:hAnsi="Palatino Linotype"/>
          <w:sz w:val="22"/>
          <w:szCs w:val="22"/>
        </w:rPr>
      </w:pPr>
      <w:r w:rsidRPr="006D4CC8">
        <w:rPr>
          <w:rFonts w:ascii="Palatino Linotype" w:hAnsi="Palatino Linotype"/>
          <w:b/>
          <w:sz w:val="22"/>
          <w:szCs w:val="22"/>
        </w:rPr>
        <w:t xml:space="preserve">PRIMERO. </w:t>
      </w:r>
      <w:r w:rsidRPr="006D4CC8">
        <w:rPr>
          <w:rFonts w:ascii="Palatino Linotype" w:hAnsi="Palatino Linotype"/>
          <w:sz w:val="22"/>
          <w:szCs w:val="22"/>
        </w:rPr>
        <w:t xml:space="preserve">Se </w:t>
      </w:r>
      <w:r w:rsidRPr="006D4CC8">
        <w:rPr>
          <w:rFonts w:ascii="Palatino Linotype" w:hAnsi="Palatino Linotype"/>
          <w:b/>
          <w:sz w:val="22"/>
          <w:szCs w:val="22"/>
        </w:rPr>
        <w:t>MODIFICA</w:t>
      </w:r>
      <w:r w:rsidRPr="006D4CC8">
        <w:rPr>
          <w:rFonts w:ascii="Palatino Linotype" w:hAnsi="Palatino Linotype"/>
          <w:sz w:val="22"/>
          <w:szCs w:val="22"/>
        </w:rPr>
        <w:t xml:space="preserve"> la respuesta del Sujeto Obligado</w:t>
      </w:r>
      <w:r w:rsidRPr="006D4CC8">
        <w:rPr>
          <w:rFonts w:ascii="Palatino Linotype" w:hAnsi="Palatino Linotype"/>
          <w:b/>
          <w:sz w:val="22"/>
          <w:szCs w:val="22"/>
        </w:rPr>
        <w:t xml:space="preserve"> </w:t>
      </w:r>
      <w:r w:rsidRPr="006D4CC8">
        <w:rPr>
          <w:rFonts w:ascii="Palatino Linotype" w:hAnsi="Palatino Linotype"/>
          <w:bCs/>
          <w:sz w:val="22"/>
          <w:szCs w:val="22"/>
        </w:rPr>
        <w:t xml:space="preserve">a la solicitud de información </w:t>
      </w:r>
      <w:r w:rsidRPr="006D4CC8">
        <w:rPr>
          <w:rFonts w:ascii="Palatino Linotype" w:hAnsi="Palatino Linotype" w:cs="Tahoma"/>
          <w:b/>
          <w:bCs/>
          <w:sz w:val="22"/>
          <w:szCs w:val="22"/>
        </w:rPr>
        <w:t xml:space="preserve">00046/TLALNEPA/IP/2019, </w:t>
      </w:r>
      <w:r w:rsidRPr="006D4CC8">
        <w:rPr>
          <w:rFonts w:ascii="Palatino Linotype" w:hAnsi="Palatino Linotype"/>
          <w:sz w:val="22"/>
          <w:szCs w:val="22"/>
        </w:rPr>
        <w:t xml:space="preserve">por resultar parcialmente fundadas las razones o motivos de inconformidad hechos </w:t>
      </w:r>
      <w:r w:rsidRPr="006D4CC8">
        <w:rPr>
          <w:rFonts w:ascii="Palatino Linotype" w:hAnsi="Palatino Linotype" w:cs="Tahoma"/>
          <w:sz w:val="22"/>
          <w:szCs w:val="22"/>
        </w:rPr>
        <w:t>valer</w:t>
      </w:r>
      <w:r w:rsidRPr="006D4CC8">
        <w:rPr>
          <w:rFonts w:ascii="Palatino Linotype" w:hAnsi="Palatino Linotype"/>
          <w:sz w:val="22"/>
          <w:szCs w:val="22"/>
        </w:rPr>
        <w:t xml:space="preserve"> por el Recurrente, en términos de los Considerandos </w:t>
      </w:r>
      <w:r w:rsidRPr="006D4CC8">
        <w:rPr>
          <w:rFonts w:ascii="Palatino Linotype" w:hAnsi="Palatino Linotype"/>
          <w:b/>
          <w:sz w:val="22"/>
          <w:szCs w:val="22"/>
        </w:rPr>
        <w:t xml:space="preserve">QUINTO y SEXTO </w:t>
      </w:r>
      <w:r w:rsidRPr="006D4CC8">
        <w:rPr>
          <w:rFonts w:ascii="Palatino Linotype" w:hAnsi="Palatino Linotype"/>
          <w:sz w:val="22"/>
          <w:szCs w:val="22"/>
        </w:rPr>
        <w:t>de esta Resolución.</w:t>
      </w:r>
    </w:p>
    <w:p w14:paraId="4F23494F" w14:textId="77777777" w:rsidR="006D4CC8" w:rsidRPr="006D4CC8" w:rsidRDefault="006D4CC8" w:rsidP="00DE5256">
      <w:pPr>
        <w:spacing w:line="360" w:lineRule="auto"/>
        <w:ind w:left="567" w:right="567"/>
        <w:jc w:val="both"/>
        <w:rPr>
          <w:rFonts w:ascii="Palatino Linotype" w:hAnsi="Palatino Linotype" w:cs="Arial"/>
          <w:sz w:val="22"/>
          <w:szCs w:val="22"/>
        </w:rPr>
      </w:pPr>
    </w:p>
    <w:p w14:paraId="17C034B8" w14:textId="77777777" w:rsidR="006D4CC8" w:rsidRPr="006D4CC8" w:rsidRDefault="006D4CC8" w:rsidP="00DE5256">
      <w:pPr>
        <w:tabs>
          <w:tab w:val="left" w:pos="4962"/>
        </w:tabs>
        <w:spacing w:line="360" w:lineRule="auto"/>
        <w:ind w:right="567"/>
        <w:jc w:val="both"/>
        <w:rPr>
          <w:rFonts w:ascii="Palatino Linotype" w:hAnsi="Palatino Linotype" w:cs="Tahoma"/>
          <w:sz w:val="22"/>
          <w:szCs w:val="22"/>
        </w:rPr>
      </w:pPr>
      <w:r w:rsidRPr="006D4CC8">
        <w:rPr>
          <w:rFonts w:ascii="Palatino Linotype" w:hAnsi="Palatino Linotype" w:cs="Tahoma"/>
          <w:b/>
          <w:sz w:val="22"/>
          <w:szCs w:val="22"/>
        </w:rPr>
        <w:t xml:space="preserve">SEGUNDO. </w:t>
      </w:r>
      <w:r w:rsidRPr="006D4CC8">
        <w:rPr>
          <w:rFonts w:ascii="Palatino Linotype" w:hAnsi="Palatino Linotype" w:cs="Tahoma"/>
          <w:sz w:val="22"/>
          <w:szCs w:val="22"/>
        </w:rPr>
        <w:t xml:space="preserve">Se </w:t>
      </w:r>
      <w:r w:rsidRPr="006D4CC8">
        <w:rPr>
          <w:rFonts w:ascii="Palatino Linotype" w:hAnsi="Palatino Linotype" w:cs="Tahoma"/>
          <w:b/>
          <w:sz w:val="22"/>
          <w:szCs w:val="22"/>
        </w:rPr>
        <w:t>ORDENA</w:t>
      </w:r>
      <w:r w:rsidRPr="006D4CC8">
        <w:rPr>
          <w:rFonts w:ascii="Palatino Linotype" w:hAnsi="Palatino Linotype" w:cs="Tahoma"/>
          <w:sz w:val="22"/>
          <w:szCs w:val="22"/>
        </w:rPr>
        <w:t xml:space="preserve"> al Ayuntamiento de Tlalnepantla de Baz, conceda acceso en vía SAIMEX, en su caso en versión pública, de lo siguiente:</w:t>
      </w:r>
    </w:p>
    <w:p w14:paraId="43B3223A" w14:textId="77777777" w:rsidR="006D4CC8" w:rsidRPr="006D4CC8" w:rsidRDefault="006D4CC8" w:rsidP="00DE5256">
      <w:pPr>
        <w:tabs>
          <w:tab w:val="left" w:pos="4962"/>
        </w:tabs>
        <w:spacing w:line="360" w:lineRule="auto"/>
        <w:ind w:left="567" w:right="567"/>
        <w:jc w:val="both"/>
        <w:rPr>
          <w:rFonts w:ascii="Palatino Linotype" w:hAnsi="Palatino Linotype" w:cs="Tahoma"/>
          <w:bCs/>
          <w:szCs w:val="22"/>
        </w:rPr>
      </w:pPr>
    </w:p>
    <w:p w14:paraId="4A34EB6E" w14:textId="77777777" w:rsidR="006D4CC8" w:rsidRPr="006D4CC8" w:rsidRDefault="006D4CC8" w:rsidP="00DE5256">
      <w:pPr>
        <w:pStyle w:val="Prrafodelista"/>
        <w:numPr>
          <w:ilvl w:val="0"/>
          <w:numId w:val="16"/>
        </w:numPr>
        <w:spacing w:line="360" w:lineRule="auto"/>
        <w:ind w:left="567" w:right="567" w:hanging="357"/>
        <w:jc w:val="both"/>
        <w:rPr>
          <w:rFonts w:ascii="Palatino Linotype" w:hAnsi="Palatino Linotype" w:cs="Tahoma"/>
          <w:szCs w:val="22"/>
        </w:rPr>
      </w:pPr>
      <w:r w:rsidRPr="006D4CC8">
        <w:rPr>
          <w:rFonts w:ascii="Palatino Linotype" w:hAnsi="Palatino Linotype" w:cs="Tahoma"/>
          <w:szCs w:val="22"/>
        </w:rPr>
        <w:lastRenderedPageBreak/>
        <w:t>Pólizas de Diario con su respectivo soporte documental, contenidas en el Disco 5 del Informe remitido al Órgano Superior de Fiscalización del Estado de México correspondiente al mes de noviembre del año dos mil dieciocho.</w:t>
      </w:r>
    </w:p>
    <w:p w14:paraId="6B38A510" w14:textId="77777777" w:rsidR="006D4CC8" w:rsidRPr="006D4CC8" w:rsidRDefault="006D4CC8" w:rsidP="00DE5256">
      <w:pPr>
        <w:spacing w:line="360" w:lineRule="auto"/>
        <w:ind w:left="567" w:right="567"/>
        <w:jc w:val="both"/>
        <w:rPr>
          <w:rFonts w:ascii="Palatino Linotype" w:hAnsi="Palatino Linotype" w:cs="Tahoma"/>
          <w:bCs/>
          <w:sz w:val="22"/>
          <w:szCs w:val="22"/>
        </w:rPr>
      </w:pPr>
    </w:p>
    <w:p w14:paraId="7721494D" w14:textId="77777777" w:rsidR="006D4CC8" w:rsidRPr="006D4CC8" w:rsidRDefault="006D4CC8" w:rsidP="00DE5256">
      <w:pPr>
        <w:spacing w:line="360" w:lineRule="auto"/>
        <w:ind w:right="567"/>
        <w:jc w:val="both"/>
        <w:rPr>
          <w:rFonts w:ascii="Palatino Linotype" w:hAnsi="Palatino Linotype" w:cs="Tahoma"/>
          <w:sz w:val="22"/>
          <w:szCs w:val="22"/>
        </w:rPr>
      </w:pPr>
      <w:r w:rsidRPr="006D4CC8">
        <w:rPr>
          <w:rFonts w:ascii="Palatino Linotype" w:hAnsi="Palatino Linotype" w:cs="Tahoma"/>
          <w:sz w:val="22"/>
          <w:szCs w:val="22"/>
        </w:rPr>
        <w:t xml:space="preserve">Para la versión pública de los documentos que puedan contener datos personales confidenciales, se deberá emitir acuerdo del Comité de Transparencia en el que se funde y motive la eliminación de información, de conformidad con los artículos 49, fracciones II y VIII, 143, fracción I y 149 de la Ley de Transparencia y Acceso a la Información Pública del Estado de México y Municipios en términos del Considerando </w:t>
      </w:r>
      <w:r w:rsidRPr="006D4CC8">
        <w:rPr>
          <w:rFonts w:ascii="Palatino Linotype" w:hAnsi="Palatino Linotype" w:cs="Tahoma"/>
          <w:b/>
          <w:sz w:val="22"/>
          <w:szCs w:val="22"/>
        </w:rPr>
        <w:t>QUINTO</w:t>
      </w:r>
      <w:r w:rsidRPr="006D4CC8">
        <w:rPr>
          <w:rFonts w:ascii="Palatino Linotype" w:hAnsi="Palatino Linotype" w:cs="Tahoma"/>
          <w:sz w:val="22"/>
          <w:szCs w:val="22"/>
        </w:rPr>
        <w:t>.</w:t>
      </w:r>
    </w:p>
    <w:p w14:paraId="54A742BD" w14:textId="77777777" w:rsidR="006D4CC8" w:rsidRPr="006D4CC8" w:rsidRDefault="006D4CC8" w:rsidP="00DE5256">
      <w:pPr>
        <w:spacing w:line="360" w:lineRule="auto"/>
        <w:ind w:right="567"/>
        <w:jc w:val="both"/>
        <w:rPr>
          <w:rFonts w:ascii="Palatino Linotype" w:hAnsi="Palatino Linotype" w:cs="Tahoma"/>
          <w:sz w:val="22"/>
          <w:szCs w:val="22"/>
        </w:rPr>
      </w:pPr>
    </w:p>
    <w:p w14:paraId="5305FDCA" w14:textId="77777777" w:rsidR="006D4CC8" w:rsidRDefault="006D4CC8" w:rsidP="00DE5256">
      <w:pPr>
        <w:spacing w:line="360" w:lineRule="auto"/>
        <w:ind w:right="567"/>
        <w:jc w:val="both"/>
        <w:rPr>
          <w:rFonts w:ascii="Palatino Linotype" w:hAnsi="Palatino Linotype" w:cs="Tahoma"/>
          <w:sz w:val="22"/>
          <w:szCs w:val="22"/>
        </w:rPr>
      </w:pPr>
      <w:r w:rsidRPr="006D4CC8">
        <w:rPr>
          <w:rFonts w:ascii="Palatino Linotype" w:hAnsi="Palatino Linotype" w:cs="Tahoma"/>
          <w:sz w:val="22"/>
          <w:szCs w:val="22"/>
        </w:rPr>
        <w:t>En caso de que la información sea escaneada con menor resolución, pero exceda los 500 MB, procederá entrega mediante CD o consulta directa. Para la entrega de la información, el Sujeto Obligado deberá indicar al Recurrente las reglas para acceder a la información, así como los días y horarios (calendarización), lugar, documentos a consultar, forma en que se podrá acceder en caso de que hubiere partes clasificadas, nombre del personal que permitiría la revisión; además de manera previa deberá proporcionar el Acuerdo del Comité de Transparencia, antes señalado e indicar la posibilidad, de que una vez llevada a cabo la consulta directa de la información, podrá solicitar previo pago de derechos, la reproducción de la misma.</w:t>
      </w:r>
    </w:p>
    <w:p w14:paraId="75925E57" w14:textId="77777777" w:rsidR="006D4CC8" w:rsidRPr="006D4CC8" w:rsidRDefault="006D4CC8" w:rsidP="00DE5256">
      <w:pPr>
        <w:spacing w:line="360" w:lineRule="auto"/>
        <w:ind w:right="567"/>
        <w:jc w:val="both"/>
        <w:rPr>
          <w:rFonts w:ascii="Palatino Linotype" w:hAnsi="Palatino Linotype" w:cs="Tahoma"/>
          <w:sz w:val="22"/>
          <w:szCs w:val="22"/>
        </w:rPr>
      </w:pPr>
    </w:p>
    <w:p w14:paraId="42909971" w14:textId="77777777" w:rsidR="006D4CC8" w:rsidRPr="006D4CC8" w:rsidRDefault="006D4CC8" w:rsidP="00DE5256">
      <w:pPr>
        <w:spacing w:line="360" w:lineRule="auto"/>
        <w:ind w:right="567"/>
        <w:jc w:val="both"/>
        <w:rPr>
          <w:rFonts w:ascii="Palatino Linotype" w:hAnsi="Palatino Linotype" w:cs="Tahoma"/>
          <w:sz w:val="22"/>
          <w:szCs w:val="22"/>
        </w:rPr>
      </w:pPr>
      <w:r w:rsidRPr="006D4CC8">
        <w:rPr>
          <w:rFonts w:ascii="Palatino Linotype" w:hAnsi="Palatino Linotype" w:cs="Tahoma"/>
          <w:b/>
          <w:sz w:val="22"/>
          <w:szCs w:val="22"/>
        </w:rPr>
        <w:t xml:space="preserve">TERCERO. NOTIFÍQUESE </w:t>
      </w:r>
      <w:r w:rsidRPr="006D4CC8">
        <w:rPr>
          <w:rFonts w:ascii="Palatino Linotype" w:hAnsi="Palatino Linotype" w:cs="Tahoma"/>
          <w:sz w:val="22"/>
          <w:szCs w:val="22"/>
        </w:rPr>
        <w:t xml:space="preserve">la presente Resolución al Titular de la Unidad de Transparencia del Sujeto Obligado, para que conforme al artículo 186, último párrafo, 189 segundo párrafo y 194 de la Ley de Transparencia y Acceso a la Información Pública del Estado de México y Municipios; dé cumplimiento a lo </w:t>
      </w:r>
      <w:r w:rsidRPr="006D4CC8">
        <w:rPr>
          <w:rFonts w:ascii="Palatino Linotype" w:hAnsi="Palatino Linotype" w:cs="Tahoma"/>
          <w:bCs/>
          <w:sz w:val="22"/>
          <w:szCs w:val="22"/>
        </w:rPr>
        <w:t>ordenado</w:t>
      </w:r>
      <w:r w:rsidRPr="006D4CC8">
        <w:rPr>
          <w:rFonts w:ascii="Palatino Linotype" w:hAnsi="Palatino Linotype" w:cs="Tahoma"/>
          <w:sz w:val="22"/>
          <w:szCs w:val="22"/>
        </w:rPr>
        <w:t xml:space="preserve"> dentro del plazo de diez días hábiles, e informe a este Instituto en un plazo de tres días hábiles siguientes sobre el cumplimiento dado a la presente.</w:t>
      </w:r>
    </w:p>
    <w:p w14:paraId="405B6A54" w14:textId="77777777" w:rsidR="006D4CC8" w:rsidRPr="006D4CC8" w:rsidRDefault="006D4CC8" w:rsidP="00DE5256">
      <w:pPr>
        <w:spacing w:line="360" w:lineRule="auto"/>
        <w:ind w:left="567" w:right="567"/>
        <w:jc w:val="both"/>
        <w:rPr>
          <w:rFonts w:ascii="Palatino Linotype" w:hAnsi="Palatino Linotype" w:cs="Tahoma"/>
          <w:sz w:val="22"/>
          <w:szCs w:val="22"/>
        </w:rPr>
      </w:pPr>
    </w:p>
    <w:p w14:paraId="0E0AF009" w14:textId="77777777" w:rsidR="006D4CC8" w:rsidRPr="006D4CC8" w:rsidRDefault="006D4CC8" w:rsidP="00DE5256">
      <w:pPr>
        <w:widowControl w:val="0"/>
        <w:autoSpaceDE w:val="0"/>
        <w:autoSpaceDN w:val="0"/>
        <w:adjustRightInd w:val="0"/>
        <w:spacing w:line="360" w:lineRule="auto"/>
        <w:ind w:right="567"/>
        <w:jc w:val="both"/>
        <w:rPr>
          <w:rFonts w:ascii="Palatino Linotype" w:hAnsi="Palatino Linotype" w:cs="Tahoma"/>
          <w:bCs/>
        </w:rPr>
      </w:pPr>
      <w:r w:rsidRPr="006D4CC8">
        <w:rPr>
          <w:rFonts w:ascii="Palatino Linotype" w:hAnsi="Palatino Linotype" w:cs="Tahoma"/>
          <w:b/>
          <w:sz w:val="22"/>
          <w:szCs w:val="22"/>
        </w:rPr>
        <w:lastRenderedPageBreak/>
        <w:t>CUARTO.</w:t>
      </w:r>
      <w:r w:rsidRPr="006D4CC8">
        <w:rPr>
          <w:rFonts w:ascii="Palatino Linotype" w:hAnsi="Palatino Linotype" w:cs="Tahoma"/>
          <w:sz w:val="22"/>
          <w:szCs w:val="22"/>
        </w:rPr>
        <w:t xml:space="preserve"> </w:t>
      </w:r>
      <w:r w:rsidRPr="006D4CC8">
        <w:rPr>
          <w:rFonts w:ascii="Palatino Linotype" w:hAnsi="Palatino Linotype" w:cs="Tahoma"/>
          <w:b/>
          <w:sz w:val="22"/>
          <w:szCs w:val="22"/>
        </w:rPr>
        <w:t xml:space="preserve">NOTIFÍQUESE </w:t>
      </w:r>
      <w:r w:rsidRPr="006D4CC8">
        <w:rPr>
          <w:rFonts w:ascii="Palatino Linotype" w:hAnsi="Palatino Linotype" w:cs="Tahoma"/>
          <w:sz w:val="22"/>
          <w:szCs w:val="22"/>
        </w:rPr>
        <w:t>al Recurrente la presente Resolución, asimismo, se hace de su conocimiento que de conformidad con lo establecido en el artículo 196 de la Ley de Transparencia y Acceso a la Información Pública del Estado de México y Municipios podrá promover el Juicio de Amparo en los términos de las leyes aplicables.</w:t>
      </w:r>
    </w:p>
    <w:p w14:paraId="6F7DA55C" w14:textId="77777777" w:rsidR="00ED74A3" w:rsidRDefault="00ED74A3" w:rsidP="00DE5256">
      <w:pPr>
        <w:spacing w:line="360" w:lineRule="auto"/>
        <w:jc w:val="both"/>
        <w:rPr>
          <w:rFonts w:ascii="Palatino Linotype" w:eastAsia="Calibri" w:hAnsi="Palatino Linotype" w:cs="Tahoma"/>
          <w:bCs/>
          <w:sz w:val="22"/>
          <w:lang w:eastAsia="en-US"/>
        </w:rPr>
      </w:pPr>
    </w:p>
    <w:p w14:paraId="0E2A67DF" w14:textId="01C098A9" w:rsidR="00DA25CF" w:rsidRPr="00E13258" w:rsidRDefault="00DA25CF" w:rsidP="00DE5256">
      <w:pPr>
        <w:spacing w:line="360" w:lineRule="auto"/>
        <w:jc w:val="both"/>
        <w:rPr>
          <w:rFonts w:ascii="Palatino Linotype" w:hAnsi="Palatino Linotype" w:cs="Tahoma"/>
          <w:sz w:val="22"/>
        </w:rPr>
      </w:pPr>
      <w:r w:rsidRPr="00E13258">
        <w:rPr>
          <w:rFonts w:ascii="Palatino Linotype" w:hAnsi="Palatino Linotype" w:cs="Tahoma"/>
          <w:sz w:val="22"/>
        </w:rPr>
        <w:t xml:space="preserve">ASÍ LO RESUELVE, POR </w:t>
      </w:r>
      <w:r w:rsidRPr="00E13258">
        <w:rPr>
          <w:rFonts w:ascii="Palatino Linotype" w:hAnsi="Palatino Linotype" w:cs="Tahoma"/>
          <w:b/>
          <w:sz w:val="22"/>
        </w:rPr>
        <w:t>UNANIMIDAD</w:t>
      </w:r>
      <w:r w:rsidRPr="00E13258">
        <w:rPr>
          <w:rFonts w:ascii="Palatino Linotype" w:hAnsi="Palatino Linotype" w:cs="Tahoma"/>
          <w:sz w:val="22"/>
        </w:rPr>
        <w:t xml:space="preserve"> DE VOTOS EL PLENO DEL INSTITUTO DE TRANSPARENCIA, ACCESO A LA INFORMACIÓN PÚBLICA Y PROTECCIÓN DE DATOS PERSONALES DEL ESTADO DE MÉXICO Y MUNICIPIOS, CONFORMADO POR LOS COMISIONADOS ZULEMA MARTÍNEZ SÁNCHEZ, EVA ABAID YAPUR, JOSÉ GUADALUPE LUNA HERNÁNDEZ</w:t>
      </w:r>
      <w:r w:rsidR="00EE2EE0">
        <w:rPr>
          <w:rFonts w:ascii="Palatino Linotype" w:hAnsi="Palatino Linotype" w:cs="Tahoma"/>
          <w:sz w:val="22"/>
        </w:rPr>
        <w:t xml:space="preserve"> (EMITIENDO VOTO PARTICULAR)</w:t>
      </w:r>
      <w:r w:rsidRPr="00E13258">
        <w:rPr>
          <w:rFonts w:ascii="Palatino Linotype" w:hAnsi="Palatino Linotype" w:cs="Tahoma"/>
          <w:sz w:val="22"/>
        </w:rPr>
        <w:t xml:space="preserve">, JAVIER MARTÍNEZ CRUZ Y LUIS GUSTAVO PARRA NORIEGA, EN LA </w:t>
      </w:r>
      <w:r w:rsidR="003602B2" w:rsidRPr="00E13258">
        <w:rPr>
          <w:rFonts w:ascii="Palatino Linotype" w:hAnsi="Palatino Linotype" w:cs="Tahoma"/>
          <w:sz w:val="22"/>
        </w:rPr>
        <w:t xml:space="preserve">DÉCIMA </w:t>
      </w:r>
      <w:r w:rsidR="007D4493" w:rsidRPr="00E13258">
        <w:rPr>
          <w:rFonts w:ascii="Palatino Linotype" w:hAnsi="Palatino Linotype" w:cs="Tahoma"/>
          <w:sz w:val="22"/>
        </w:rPr>
        <w:t xml:space="preserve">CUARTA </w:t>
      </w:r>
      <w:r w:rsidRPr="00E13258">
        <w:rPr>
          <w:rFonts w:ascii="Palatino Linotype" w:hAnsi="Palatino Linotype" w:cs="Tahoma"/>
          <w:sz w:val="22"/>
        </w:rPr>
        <w:t xml:space="preserve">SESIÓN ORDINARIA CELEBRADA EL </w:t>
      </w:r>
      <w:r w:rsidR="002D0CE8" w:rsidRPr="00E13258">
        <w:rPr>
          <w:rFonts w:ascii="Palatino Linotype" w:hAnsi="Palatino Linotype" w:cs="Tahoma"/>
          <w:sz w:val="22"/>
        </w:rPr>
        <w:t xml:space="preserve">VEINTICUATRO </w:t>
      </w:r>
      <w:r w:rsidR="003602B2" w:rsidRPr="00E13258">
        <w:rPr>
          <w:rFonts w:ascii="Palatino Linotype" w:hAnsi="Palatino Linotype" w:cs="Tahoma"/>
          <w:sz w:val="22"/>
        </w:rPr>
        <w:t xml:space="preserve">DE ABRIL </w:t>
      </w:r>
      <w:r w:rsidRPr="00E13258">
        <w:rPr>
          <w:rFonts w:ascii="Palatino Linotype" w:hAnsi="Palatino Linotype" w:cs="Tahoma"/>
          <w:sz w:val="22"/>
        </w:rPr>
        <w:t>DE DOS MIL DIECINUEVE, ANTE EL SECRETARIO TÉCNICO DEL PLENO, ALEXIS TAPIA RAMÍREZ.</w:t>
      </w:r>
    </w:p>
    <w:tbl>
      <w:tblPr>
        <w:tblW w:w="9072" w:type="dxa"/>
        <w:tblInd w:w="137" w:type="dxa"/>
        <w:tblLook w:val="04A0" w:firstRow="1" w:lastRow="0" w:firstColumn="1" w:lastColumn="0" w:noHBand="0" w:noVBand="1"/>
      </w:tblPr>
      <w:tblGrid>
        <w:gridCol w:w="4536"/>
        <w:gridCol w:w="4536"/>
      </w:tblGrid>
      <w:tr w:rsidR="00DA25CF" w:rsidRPr="00E13258" w14:paraId="35B3CEE6" w14:textId="77777777" w:rsidTr="00D47A95">
        <w:tc>
          <w:tcPr>
            <w:tcW w:w="9072" w:type="dxa"/>
            <w:gridSpan w:val="2"/>
          </w:tcPr>
          <w:p w14:paraId="0BDF9BC6" w14:textId="68FCACF2" w:rsidR="00DA25CF" w:rsidRDefault="00DA25CF" w:rsidP="00DE5256">
            <w:pPr>
              <w:spacing w:line="360" w:lineRule="auto"/>
              <w:jc w:val="center"/>
              <w:rPr>
                <w:rFonts w:ascii="Palatino Linotype" w:eastAsia="Calibri" w:hAnsi="Palatino Linotype" w:cs="Tahoma"/>
                <w:b/>
                <w:sz w:val="24"/>
                <w:szCs w:val="24"/>
                <w:lang w:eastAsia="es-MX"/>
              </w:rPr>
            </w:pPr>
          </w:p>
          <w:p w14:paraId="4083B494" w14:textId="4994E41A" w:rsidR="00EE2EE0" w:rsidRDefault="00EE2EE0" w:rsidP="00DE5256">
            <w:pPr>
              <w:spacing w:line="360" w:lineRule="auto"/>
              <w:jc w:val="center"/>
              <w:rPr>
                <w:rFonts w:ascii="Palatino Linotype" w:eastAsia="Calibri" w:hAnsi="Palatino Linotype" w:cs="Tahoma"/>
                <w:b/>
                <w:sz w:val="24"/>
                <w:szCs w:val="24"/>
                <w:lang w:eastAsia="es-MX"/>
              </w:rPr>
            </w:pPr>
          </w:p>
          <w:p w14:paraId="6FFF9694" w14:textId="77777777" w:rsidR="00EE2EE0" w:rsidRPr="00E13258" w:rsidRDefault="00EE2EE0" w:rsidP="00DE5256">
            <w:pPr>
              <w:spacing w:line="360" w:lineRule="auto"/>
              <w:jc w:val="center"/>
              <w:rPr>
                <w:rFonts w:ascii="Palatino Linotype" w:eastAsia="Calibri" w:hAnsi="Palatino Linotype" w:cs="Tahoma"/>
                <w:b/>
                <w:sz w:val="24"/>
                <w:szCs w:val="24"/>
                <w:lang w:eastAsia="es-MX"/>
              </w:rPr>
            </w:pPr>
          </w:p>
          <w:p w14:paraId="1C67B287" w14:textId="77777777" w:rsidR="00DA25CF" w:rsidRPr="00E13258" w:rsidRDefault="00DA25CF" w:rsidP="00DE5256">
            <w:pPr>
              <w:tabs>
                <w:tab w:val="left" w:pos="2445"/>
                <w:tab w:val="center" w:pos="4428"/>
              </w:tabs>
              <w:spacing w:line="360" w:lineRule="auto"/>
              <w:jc w:val="center"/>
              <w:rPr>
                <w:rFonts w:ascii="Palatino Linotype" w:eastAsia="Calibri" w:hAnsi="Palatino Linotype" w:cs="Tahoma"/>
                <w:b/>
                <w:sz w:val="22"/>
                <w:szCs w:val="24"/>
                <w:lang w:eastAsia="es-MX"/>
              </w:rPr>
            </w:pPr>
            <w:r w:rsidRPr="00E13258">
              <w:rPr>
                <w:rFonts w:ascii="Palatino Linotype" w:eastAsia="Calibri" w:hAnsi="Palatino Linotype" w:cs="Tahoma"/>
                <w:b/>
                <w:sz w:val="22"/>
                <w:szCs w:val="24"/>
                <w:lang w:eastAsia="es-MX"/>
              </w:rPr>
              <w:t>Zulema Martínez Sánchez</w:t>
            </w:r>
          </w:p>
          <w:p w14:paraId="5138B657" w14:textId="77777777" w:rsidR="00DA25CF" w:rsidRPr="00E13258" w:rsidRDefault="00DA25CF" w:rsidP="00DE5256">
            <w:pPr>
              <w:spacing w:line="360" w:lineRule="auto"/>
              <w:ind w:right="-108"/>
              <w:jc w:val="center"/>
              <w:rPr>
                <w:rFonts w:ascii="Palatino Linotype" w:eastAsia="Calibri" w:hAnsi="Palatino Linotype" w:cs="Tahoma"/>
                <w:sz w:val="22"/>
                <w:szCs w:val="24"/>
                <w:lang w:eastAsia="es-MX"/>
              </w:rPr>
            </w:pPr>
            <w:r w:rsidRPr="00E13258">
              <w:rPr>
                <w:rFonts w:ascii="Palatino Linotype" w:eastAsia="Calibri" w:hAnsi="Palatino Linotype" w:cs="Tahoma"/>
                <w:sz w:val="22"/>
                <w:szCs w:val="24"/>
                <w:lang w:eastAsia="es-MX"/>
              </w:rPr>
              <w:t xml:space="preserve">Comisionada </w:t>
            </w:r>
            <w:proofErr w:type="gramStart"/>
            <w:r w:rsidRPr="00E13258">
              <w:rPr>
                <w:rFonts w:ascii="Palatino Linotype" w:eastAsia="Calibri" w:hAnsi="Palatino Linotype" w:cs="Tahoma"/>
                <w:sz w:val="22"/>
                <w:szCs w:val="24"/>
                <w:lang w:eastAsia="es-MX"/>
              </w:rPr>
              <w:t>Presidenta</w:t>
            </w:r>
            <w:proofErr w:type="gramEnd"/>
          </w:p>
          <w:p w14:paraId="07B80485" w14:textId="77777777" w:rsidR="00DA25CF" w:rsidRPr="00E13258" w:rsidRDefault="00DA25CF" w:rsidP="00DE5256">
            <w:pPr>
              <w:spacing w:line="360" w:lineRule="auto"/>
              <w:jc w:val="center"/>
              <w:rPr>
                <w:rFonts w:ascii="Palatino Linotype" w:eastAsia="Calibri" w:hAnsi="Palatino Linotype" w:cs="Tahoma"/>
                <w:b/>
                <w:sz w:val="22"/>
                <w:szCs w:val="24"/>
                <w:lang w:eastAsia="es-MX"/>
              </w:rPr>
            </w:pPr>
            <w:r w:rsidRPr="00E13258">
              <w:rPr>
                <w:rFonts w:ascii="Palatino Linotype" w:eastAsia="Calibri" w:hAnsi="Palatino Linotype" w:cs="Tahoma"/>
                <w:b/>
                <w:sz w:val="22"/>
                <w:szCs w:val="24"/>
                <w:lang w:eastAsia="es-MX"/>
              </w:rPr>
              <w:t>(Rúbrica)</w:t>
            </w:r>
          </w:p>
          <w:p w14:paraId="39921EC9" w14:textId="77777777" w:rsidR="00DA25CF" w:rsidRPr="00E13258" w:rsidRDefault="00DA25CF" w:rsidP="00DE5256">
            <w:pPr>
              <w:spacing w:line="360" w:lineRule="auto"/>
              <w:ind w:right="-108"/>
              <w:rPr>
                <w:rFonts w:ascii="Palatino Linotype" w:eastAsia="Calibri" w:hAnsi="Palatino Linotype" w:cs="Tahoma"/>
                <w:b/>
                <w:sz w:val="24"/>
                <w:szCs w:val="24"/>
              </w:rPr>
            </w:pPr>
          </w:p>
        </w:tc>
      </w:tr>
      <w:tr w:rsidR="00DA25CF" w:rsidRPr="00E13258" w14:paraId="5418B637" w14:textId="77777777" w:rsidTr="00D47A95">
        <w:trPr>
          <w:trHeight w:val="2797"/>
        </w:trPr>
        <w:tc>
          <w:tcPr>
            <w:tcW w:w="4536" w:type="dxa"/>
          </w:tcPr>
          <w:p w14:paraId="1D24D8E6" w14:textId="77777777" w:rsidR="002D0CE8" w:rsidRPr="00E13258" w:rsidRDefault="002D0CE8" w:rsidP="00DE5256">
            <w:pPr>
              <w:spacing w:line="360" w:lineRule="auto"/>
              <w:ind w:right="-108"/>
              <w:jc w:val="center"/>
              <w:rPr>
                <w:rFonts w:ascii="Palatino Linotype" w:eastAsia="Calibri" w:hAnsi="Palatino Linotype" w:cs="Tahoma"/>
                <w:b/>
                <w:sz w:val="24"/>
                <w:szCs w:val="24"/>
              </w:rPr>
            </w:pPr>
          </w:p>
          <w:p w14:paraId="29A1BAB6" w14:textId="77777777" w:rsidR="00DA25CF" w:rsidRPr="00E13258" w:rsidRDefault="00DA25CF" w:rsidP="00DE5256">
            <w:pPr>
              <w:spacing w:line="360" w:lineRule="auto"/>
              <w:ind w:right="-108"/>
              <w:jc w:val="center"/>
              <w:rPr>
                <w:rFonts w:ascii="Palatino Linotype" w:eastAsia="Calibri" w:hAnsi="Palatino Linotype" w:cs="Tahoma"/>
                <w:b/>
                <w:sz w:val="22"/>
                <w:szCs w:val="24"/>
              </w:rPr>
            </w:pPr>
            <w:r w:rsidRPr="00E13258">
              <w:rPr>
                <w:rFonts w:ascii="Palatino Linotype" w:eastAsia="Calibri" w:hAnsi="Palatino Linotype" w:cs="Tahoma"/>
                <w:b/>
                <w:sz w:val="22"/>
                <w:szCs w:val="24"/>
              </w:rPr>
              <w:t xml:space="preserve">Eva </w:t>
            </w:r>
            <w:proofErr w:type="spellStart"/>
            <w:r w:rsidRPr="00E13258">
              <w:rPr>
                <w:rFonts w:ascii="Palatino Linotype" w:eastAsia="Calibri" w:hAnsi="Palatino Linotype" w:cs="Tahoma"/>
                <w:b/>
                <w:sz w:val="22"/>
                <w:szCs w:val="24"/>
              </w:rPr>
              <w:t>Abaid</w:t>
            </w:r>
            <w:proofErr w:type="spellEnd"/>
            <w:r w:rsidRPr="00E13258">
              <w:rPr>
                <w:rFonts w:ascii="Palatino Linotype" w:eastAsia="Calibri" w:hAnsi="Palatino Linotype" w:cs="Tahoma"/>
                <w:b/>
                <w:sz w:val="22"/>
                <w:szCs w:val="24"/>
              </w:rPr>
              <w:t xml:space="preserve"> Yapur </w:t>
            </w:r>
          </w:p>
          <w:p w14:paraId="3C8492B6" w14:textId="77777777" w:rsidR="00DA25CF" w:rsidRPr="00E13258" w:rsidRDefault="00DA25CF" w:rsidP="00DE5256">
            <w:pPr>
              <w:spacing w:line="360" w:lineRule="auto"/>
              <w:ind w:right="-108"/>
              <w:jc w:val="center"/>
              <w:rPr>
                <w:rFonts w:ascii="Palatino Linotype" w:eastAsia="Calibri" w:hAnsi="Palatino Linotype" w:cs="Tahoma"/>
                <w:sz w:val="22"/>
                <w:szCs w:val="24"/>
              </w:rPr>
            </w:pPr>
            <w:r w:rsidRPr="00E13258">
              <w:rPr>
                <w:rFonts w:ascii="Palatino Linotype" w:eastAsia="Calibri" w:hAnsi="Palatino Linotype" w:cs="Tahoma"/>
                <w:sz w:val="22"/>
                <w:szCs w:val="24"/>
              </w:rPr>
              <w:t>Comisionada</w:t>
            </w:r>
          </w:p>
          <w:p w14:paraId="44FD2B9B" w14:textId="77777777" w:rsidR="00DA25CF" w:rsidRPr="00E13258" w:rsidRDefault="00DA25CF" w:rsidP="00DE5256">
            <w:pPr>
              <w:spacing w:line="360" w:lineRule="auto"/>
              <w:jc w:val="center"/>
              <w:rPr>
                <w:rFonts w:ascii="Palatino Linotype" w:eastAsia="Calibri" w:hAnsi="Palatino Linotype" w:cs="Tahoma"/>
                <w:b/>
                <w:sz w:val="22"/>
                <w:szCs w:val="24"/>
                <w:lang w:eastAsia="es-MX"/>
              </w:rPr>
            </w:pPr>
            <w:r w:rsidRPr="00E13258">
              <w:rPr>
                <w:rFonts w:ascii="Palatino Linotype" w:eastAsia="Calibri" w:hAnsi="Palatino Linotype" w:cs="Tahoma"/>
                <w:b/>
                <w:sz w:val="22"/>
                <w:szCs w:val="24"/>
                <w:lang w:eastAsia="es-MX"/>
              </w:rPr>
              <w:t>(Rúbrica)</w:t>
            </w:r>
          </w:p>
          <w:p w14:paraId="3F7EAAD5" w14:textId="77777777" w:rsidR="00DA25CF" w:rsidRPr="00E13258" w:rsidRDefault="00DA25CF" w:rsidP="00DE5256">
            <w:pPr>
              <w:spacing w:line="360" w:lineRule="auto"/>
              <w:rPr>
                <w:rFonts w:ascii="Palatino Linotype" w:eastAsia="Calibri" w:hAnsi="Palatino Linotype" w:cs="Tahoma"/>
                <w:sz w:val="24"/>
                <w:szCs w:val="24"/>
                <w:lang w:eastAsia="es-MX"/>
              </w:rPr>
            </w:pPr>
          </w:p>
        </w:tc>
        <w:tc>
          <w:tcPr>
            <w:tcW w:w="4536" w:type="dxa"/>
          </w:tcPr>
          <w:p w14:paraId="516459D8" w14:textId="77777777" w:rsidR="002D0CE8" w:rsidRPr="00E13258" w:rsidRDefault="002D0CE8" w:rsidP="00DE5256">
            <w:pPr>
              <w:spacing w:line="360" w:lineRule="auto"/>
              <w:ind w:right="-108"/>
              <w:rPr>
                <w:rFonts w:ascii="Palatino Linotype" w:eastAsia="Calibri" w:hAnsi="Palatino Linotype" w:cs="Tahoma"/>
                <w:b/>
                <w:sz w:val="24"/>
                <w:szCs w:val="24"/>
              </w:rPr>
            </w:pPr>
          </w:p>
          <w:p w14:paraId="11D7A4FD" w14:textId="77777777" w:rsidR="00DA25CF" w:rsidRPr="00E13258" w:rsidRDefault="00DA25CF" w:rsidP="00DE5256">
            <w:pPr>
              <w:spacing w:line="360" w:lineRule="auto"/>
              <w:ind w:right="-108"/>
              <w:jc w:val="center"/>
              <w:rPr>
                <w:rFonts w:ascii="Palatino Linotype" w:eastAsia="Calibri" w:hAnsi="Palatino Linotype" w:cs="Tahoma"/>
                <w:b/>
                <w:sz w:val="22"/>
                <w:szCs w:val="24"/>
                <w:lang w:eastAsia="es-MX"/>
              </w:rPr>
            </w:pPr>
            <w:r w:rsidRPr="00E13258">
              <w:rPr>
                <w:rFonts w:ascii="Palatino Linotype" w:eastAsia="Calibri" w:hAnsi="Palatino Linotype" w:cs="Tahoma"/>
                <w:b/>
                <w:sz w:val="22"/>
                <w:szCs w:val="24"/>
                <w:lang w:eastAsia="es-MX"/>
              </w:rPr>
              <w:t>José Guadalupe Luna Hernández</w:t>
            </w:r>
          </w:p>
          <w:p w14:paraId="18E13882" w14:textId="77777777" w:rsidR="00DA25CF" w:rsidRPr="00E13258" w:rsidRDefault="00DA25CF" w:rsidP="00DE5256">
            <w:pPr>
              <w:spacing w:line="360" w:lineRule="auto"/>
              <w:ind w:right="-108"/>
              <w:jc w:val="center"/>
              <w:rPr>
                <w:rFonts w:ascii="Palatino Linotype" w:eastAsia="Calibri" w:hAnsi="Palatino Linotype" w:cs="Tahoma"/>
                <w:sz w:val="22"/>
                <w:szCs w:val="24"/>
                <w:lang w:eastAsia="es-MX"/>
              </w:rPr>
            </w:pPr>
            <w:r w:rsidRPr="00E13258">
              <w:rPr>
                <w:rFonts w:ascii="Palatino Linotype" w:eastAsia="Calibri" w:hAnsi="Palatino Linotype" w:cs="Tahoma"/>
                <w:sz w:val="22"/>
                <w:szCs w:val="24"/>
                <w:lang w:eastAsia="es-MX"/>
              </w:rPr>
              <w:t>Comisionado</w:t>
            </w:r>
          </w:p>
          <w:p w14:paraId="1341885B" w14:textId="77777777" w:rsidR="00DA25CF" w:rsidRPr="00E13258" w:rsidRDefault="00DA25CF" w:rsidP="00DE5256">
            <w:pPr>
              <w:spacing w:line="360" w:lineRule="auto"/>
              <w:jc w:val="center"/>
              <w:rPr>
                <w:rFonts w:ascii="Palatino Linotype" w:eastAsia="Calibri" w:hAnsi="Palatino Linotype" w:cs="Tahoma"/>
                <w:b/>
                <w:sz w:val="24"/>
                <w:szCs w:val="24"/>
                <w:lang w:eastAsia="es-MX"/>
              </w:rPr>
            </w:pPr>
            <w:r w:rsidRPr="00E13258">
              <w:rPr>
                <w:rFonts w:ascii="Palatino Linotype" w:eastAsia="Calibri" w:hAnsi="Palatino Linotype" w:cs="Tahoma"/>
                <w:b/>
                <w:sz w:val="22"/>
                <w:szCs w:val="24"/>
                <w:lang w:eastAsia="es-MX"/>
              </w:rPr>
              <w:t>(Rúbrica)</w:t>
            </w:r>
          </w:p>
        </w:tc>
      </w:tr>
      <w:tr w:rsidR="00DA25CF" w:rsidRPr="00E13258" w14:paraId="5F4CBE3C" w14:textId="77777777" w:rsidTr="00D47A95">
        <w:trPr>
          <w:trHeight w:val="2519"/>
        </w:trPr>
        <w:tc>
          <w:tcPr>
            <w:tcW w:w="4536" w:type="dxa"/>
          </w:tcPr>
          <w:p w14:paraId="585835C5" w14:textId="3079C4DF" w:rsidR="002D0CE8" w:rsidRDefault="002D0CE8" w:rsidP="00DE5256">
            <w:pPr>
              <w:spacing w:line="360" w:lineRule="auto"/>
              <w:jc w:val="center"/>
              <w:rPr>
                <w:rFonts w:ascii="Palatino Linotype" w:eastAsia="Calibri" w:hAnsi="Palatino Linotype" w:cs="Tahoma"/>
                <w:b/>
                <w:sz w:val="22"/>
                <w:szCs w:val="24"/>
                <w:lang w:val="es-ES_tradnl"/>
              </w:rPr>
            </w:pPr>
          </w:p>
          <w:p w14:paraId="4A8267EB" w14:textId="4FBF48E3" w:rsidR="00EE2EE0" w:rsidRDefault="00EE2EE0" w:rsidP="00DE5256">
            <w:pPr>
              <w:spacing w:line="360" w:lineRule="auto"/>
              <w:jc w:val="center"/>
              <w:rPr>
                <w:rFonts w:ascii="Palatino Linotype" w:eastAsia="Calibri" w:hAnsi="Palatino Linotype" w:cs="Tahoma"/>
                <w:b/>
                <w:sz w:val="22"/>
                <w:szCs w:val="24"/>
                <w:lang w:val="es-ES_tradnl"/>
              </w:rPr>
            </w:pPr>
          </w:p>
          <w:p w14:paraId="785C12D0" w14:textId="77777777" w:rsidR="00EE2EE0" w:rsidRPr="00E13258" w:rsidRDefault="00EE2EE0" w:rsidP="00DE5256">
            <w:pPr>
              <w:spacing w:line="360" w:lineRule="auto"/>
              <w:jc w:val="center"/>
              <w:rPr>
                <w:rFonts w:ascii="Palatino Linotype" w:eastAsia="Calibri" w:hAnsi="Palatino Linotype" w:cs="Tahoma"/>
                <w:b/>
                <w:sz w:val="22"/>
                <w:szCs w:val="24"/>
                <w:lang w:val="es-ES_tradnl"/>
              </w:rPr>
            </w:pPr>
          </w:p>
          <w:p w14:paraId="4B139996" w14:textId="77777777" w:rsidR="00DA25CF" w:rsidRPr="00E13258" w:rsidRDefault="00DA25CF" w:rsidP="00DE5256">
            <w:pPr>
              <w:spacing w:line="360" w:lineRule="auto"/>
              <w:jc w:val="center"/>
              <w:rPr>
                <w:rFonts w:ascii="Palatino Linotype" w:eastAsia="Calibri" w:hAnsi="Palatino Linotype" w:cs="Tahoma"/>
                <w:b/>
                <w:sz w:val="22"/>
                <w:szCs w:val="24"/>
                <w:lang w:val="es-ES_tradnl"/>
              </w:rPr>
            </w:pPr>
            <w:r w:rsidRPr="00E13258">
              <w:rPr>
                <w:rFonts w:ascii="Palatino Linotype" w:eastAsia="Calibri" w:hAnsi="Palatino Linotype" w:cs="Tahoma"/>
                <w:b/>
                <w:sz w:val="22"/>
                <w:szCs w:val="24"/>
                <w:lang w:val="es-ES_tradnl"/>
              </w:rPr>
              <w:t xml:space="preserve">Javier Martínez Cruz </w:t>
            </w:r>
          </w:p>
          <w:p w14:paraId="49F7F339" w14:textId="77777777" w:rsidR="00DA25CF" w:rsidRPr="00E13258" w:rsidRDefault="00DA25CF" w:rsidP="00DE5256">
            <w:pPr>
              <w:spacing w:line="360" w:lineRule="auto"/>
              <w:jc w:val="center"/>
              <w:rPr>
                <w:rFonts w:ascii="Palatino Linotype" w:eastAsia="Calibri" w:hAnsi="Palatino Linotype" w:cs="Tahoma"/>
                <w:b/>
                <w:sz w:val="22"/>
                <w:szCs w:val="24"/>
              </w:rPr>
            </w:pPr>
            <w:r w:rsidRPr="00E13258">
              <w:rPr>
                <w:rFonts w:ascii="Palatino Linotype" w:eastAsia="Calibri" w:hAnsi="Palatino Linotype" w:cs="Tahoma"/>
                <w:sz w:val="22"/>
                <w:szCs w:val="24"/>
              </w:rPr>
              <w:t>Comisionado</w:t>
            </w:r>
          </w:p>
          <w:p w14:paraId="483AA27B" w14:textId="77777777" w:rsidR="00DA25CF" w:rsidRPr="00E13258" w:rsidRDefault="00DA25CF" w:rsidP="00DE5256">
            <w:pPr>
              <w:spacing w:line="360" w:lineRule="auto"/>
              <w:jc w:val="center"/>
              <w:rPr>
                <w:rFonts w:ascii="Palatino Linotype" w:eastAsia="Calibri" w:hAnsi="Palatino Linotype" w:cs="Tahoma"/>
                <w:b/>
                <w:sz w:val="22"/>
                <w:szCs w:val="24"/>
                <w:lang w:eastAsia="es-MX"/>
              </w:rPr>
            </w:pPr>
            <w:r w:rsidRPr="00E13258">
              <w:rPr>
                <w:rFonts w:ascii="Palatino Linotype" w:eastAsia="Calibri" w:hAnsi="Palatino Linotype" w:cs="Tahoma"/>
                <w:b/>
                <w:sz w:val="22"/>
                <w:szCs w:val="24"/>
                <w:lang w:eastAsia="es-MX"/>
              </w:rPr>
              <w:t>(Rúbrica)</w:t>
            </w:r>
          </w:p>
          <w:p w14:paraId="0C781B2F" w14:textId="77777777" w:rsidR="002D0CE8" w:rsidRPr="00E13258" w:rsidRDefault="002D0CE8" w:rsidP="00DE5256">
            <w:pPr>
              <w:spacing w:line="360" w:lineRule="auto"/>
              <w:jc w:val="center"/>
              <w:rPr>
                <w:rFonts w:ascii="Palatino Linotype" w:eastAsia="Calibri" w:hAnsi="Palatino Linotype" w:cs="Tahoma"/>
                <w:b/>
                <w:sz w:val="22"/>
                <w:szCs w:val="24"/>
                <w:lang w:eastAsia="es-MX"/>
              </w:rPr>
            </w:pPr>
          </w:p>
          <w:p w14:paraId="76B78D06" w14:textId="77777777" w:rsidR="002D0CE8" w:rsidRPr="00E13258" w:rsidRDefault="002D0CE8" w:rsidP="00DE5256">
            <w:pPr>
              <w:spacing w:line="360" w:lineRule="auto"/>
              <w:jc w:val="center"/>
              <w:rPr>
                <w:rFonts w:ascii="Palatino Linotype" w:eastAsia="Calibri" w:hAnsi="Palatino Linotype" w:cs="Tahoma"/>
                <w:b/>
                <w:sz w:val="22"/>
                <w:szCs w:val="24"/>
                <w:lang w:eastAsia="es-MX"/>
              </w:rPr>
            </w:pPr>
          </w:p>
        </w:tc>
        <w:tc>
          <w:tcPr>
            <w:tcW w:w="4536" w:type="dxa"/>
          </w:tcPr>
          <w:p w14:paraId="3E7CD5E1" w14:textId="4A14E2F9" w:rsidR="002D0CE8" w:rsidRDefault="002D0CE8" w:rsidP="00DE5256">
            <w:pPr>
              <w:spacing w:line="360" w:lineRule="auto"/>
              <w:ind w:right="-108"/>
              <w:jc w:val="center"/>
              <w:rPr>
                <w:rFonts w:ascii="Palatino Linotype" w:eastAsia="Calibri" w:hAnsi="Palatino Linotype" w:cs="Tahoma"/>
                <w:b/>
                <w:sz w:val="22"/>
                <w:szCs w:val="24"/>
                <w:lang w:val="es-ES_tradnl"/>
              </w:rPr>
            </w:pPr>
          </w:p>
          <w:p w14:paraId="1E543A42" w14:textId="52D722A9" w:rsidR="00EE2EE0" w:rsidRDefault="00EE2EE0" w:rsidP="00DE5256">
            <w:pPr>
              <w:spacing w:line="360" w:lineRule="auto"/>
              <w:ind w:right="-108"/>
              <w:jc w:val="center"/>
              <w:rPr>
                <w:rFonts w:ascii="Palatino Linotype" w:eastAsia="Calibri" w:hAnsi="Palatino Linotype" w:cs="Tahoma"/>
                <w:b/>
                <w:sz w:val="22"/>
                <w:szCs w:val="24"/>
                <w:lang w:val="es-ES_tradnl"/>
              </w:rPr>
            </w:pPr>
          </w:p>
          <w:p w14:paraId="2259880F" w14:textId="77777777" w:rsidR="00EE2EE0" w:rsidRPr="00E13258" w:rsidRDefault="00EE2EE0" w:rsidP="00DE5256">
            <w:pPr>
              <w:spacing w:line="360" w:lineRule="auto"/>
              <w:ind w:right="-108"/>
              <w:jc w:val="center"/>
              <w:rPr>
                <w:rFonts w:ascii="Palatino Linotype" w:eastAsia="Calibri" w:hAnsi="Palatino Linotype" w:cs="Tahoma"/>
                <w:b/>
                <w:sz w:val="22"/>
                <w:szCs w:val="24"/>
                <w:lang w:val="es-ES_tradnl"/>
              </w:rPr>
            </w:pPr>
          </w:p>
          <w:p w14:paraId="5625FFFD" w14:textId="77777777" w:rsidR="00DA25CF" w:rsidRPr="00E13258" w:rsidRDefault="00DA25CF" w:rsidP="00DE5256">
            <w:pPr>
              <w:spacing w:line="360" w:lineRule="auto"/>
              <w:ind w:right="-108"/>
              <w:jc w:val="center"/>
              <w:rPr>
                <w:rFonts w:ascii="Palatino Linotype" w:eastAsia="Calibri" w:hAnsi="Palatino Linotype" w:cs="Tahoma"/>
                <w:b/>
                <w:sz w:val="22"/>
                <w:szCs w:val="24"/>
              </w:rPr>
            </w:pPr>
            <w:r w:rsidRPr="00E13258">
              <w:rPr>
                <w:rFonts w:ascii="Palatino Linotype" w:eastAsia="Calibri" w:hAnsi="Palatino Linotype" w:cs="Tahoma"/>
                <w:b/>
                <w:sz w:val="22"/>
                <w:szCs w:val="24"/>
                <w:lang w:val="es-ES_tradnl"/>
              </w:rPr>
              <w:t>Luis Gustavo Parra Noriega</w:t>
            </w:r>
          </w:p>
          <w:p w14:paraId="0ADA724B" w14:textId="77777777" w:rsidR="00DA25CF" w:rsidRPr="00E13258" w:rsidRDefault="00DA25CF" w:rsidP="00DE5256">
            <w:pPr>
              <w:spacing w:line="360" w:lineRule="auto"/>
              <w:ind w:right="-108"/>
              <w:jc w:val="center"/>
              <w:rPr>
                <w:rFonts w:ascii="Palatino Linotype" w:eastAsia="Calibri" w:hAnsi="Palatino Linotype" w:cs="Tahoma"/>
                <w:sz w:val="22"/>
                <w:szCs w:val="24"/>
              </w:rPr>
            </w:pPr>
            <w:r w:rsidRPr="00E13258">
              <w:rPr>
                <w:rFonts w:ascii="Palatino Linotype" w:eastAsia="Calibri" w:hAnsi="Palatino Linotype" w:cs="Tahoma"/>
                <w:sz w:val="22"/>
                <w:szCs w:val="24"/>
              </w:rPr>
              <w:t>Comisionado</w:t>
            </w:r>
          </w:p>
          <w:p w14:paraId="795F5181" w14:textId="77777777" w:rsidR="00DA25CF" w:rsidRPr="00E13258" w:rsidRDefault="00DA25CF" w:rsidP="00DE5256">
            <w:pPr>
              <w:spacing w:line="360" w:lineRule="auto"/>
              <w:jc w:val="center"/>
              <w:rPr>
                <w:rFonts w:ascii="Palatino Linotype" w:eastAsia="Calibri" w:hAnsi="Palatino Linotype" w:cs="Tahoma"/>
                <w:b/>
                <w:sz w:val="22"/>
                <w:szCs w:val="24"/>
                <w:lang w:eastAsia="es-MX"/>
              </w:rPr>
            </w:pPr>
            <w:r w:rsidRPr="00E13258">
              <w:rPr>
                <w:rFonts w:ascii="Palatino Linotype" w:eastAsia="Calibri" w:hAnsi="Palatino Linotype" w:cs="Tahoma"/>
                <w:b/>
                <w:sz w:val="22"/>
                <w:szCs w:val="24"/>
                <w:lang w:eastAsia="es-MX"/>
              </w:rPr>
              <w:t>(Rúbrica)</w:t>
            </w:r>
          </w:p>
          <w:p w14:paraId="58DF7CA6" w14:textId="77777777" w:rsidR="002D0CE8" w:rsidRPr="00E13258" w:rsidRDefault="002D0CE8" w:rsidP="00DE5256">
            <w:pPr>
              <w:spacing w:line="360" w:lineRule="auto"/>
              <w:ind w:right="-108"/>
              <w:jc w:val="center"/>
              <w:rPr>
                <w:rFonts w:ascii="Palatino Linotype" w:eastAsia="Batang" w:hAnsi="Palatino Linotype" w:cs="Tahoma"/>
                <w:b/>
                <w:sz w:val="24"/>
                <w:szCs w:val="24"/>
              </w:rPr>
            </w:pPr>
          </w:p>
          <w:p w14:paraId="10BDE026" w14:textId="77777777" w:rsidR="00DA25CF" w:rsidRPr="00E13258" w:rsidRDefault="00DA25CF" w:rsidP="00DE5256">
            <w:pPr>
              <w:spacing w:line="360" w:lineRule="auto"/>
              <w:ind w:right="-108"/>
              <w:jc w:val="center"/>
              <w:rPr>
                <w:rFonts w:ascii="Palatino Linotype" w:eastAsia="Batang" w:hAnsi="Palatino Linotype" w:cs="Tahoma"/>
                <w:b/>
                <w:sz w:val="24"/>
                <w:szCs w:val="24"/>
              </w:rPr>
            </w:pPr>
          </w:p>
        </w:tc>
      </w:tr>
      <w:tr w:rsidR="00DA25CF" w:rsidRPr="00E13258" w14:paraId="41B8A746" w14:textId="77777777" w:rsidTr="00D47A95">
        <w:tc>
          <w:tcPr>
            <w:tcW w:w="9072" w:type="dxa"/>
            <w:gridSpan w:val="2"/>
          </w:tcPr>
          <w:p w14:paraId="1E2AF8FD" w14:textId="77777777" w:rsidR="00DA25CF" w:rsidRPr="00E13258" w:rsidRDefault="00DA25CF" w:rsidP="00DE5256">
            <w:pPr>
              <w:spacing w:line="360" w:lineRule="auto"/>
              <w:jc w:val="center"/>
              <w:rPr>
                <w:rFonts w:ascii="Palatino Linotype" w:eastAsia="Calibri" w:hAnsi="Palatino Linotype" w:cs="Tahoma"/>
                <w:b/>
                <w:sz w:val="22"/>
                <w:szCs w:val="24"/>
              </w:rPr>
            </w:pPr>
            <w:r w:rsidRPr="00E13258">
              <w:rPr>
                <w:rFonts w:ascii="Palatino Linotype" w:eastAsia="Calibri" w:hAnsi="Palatino Linotype" w:cs="Tahoma"/>
                <w:b/>
                <w:sz w:val="22"/>
                <w:szCs w:val="24"/>
              </w:rPr>
              <w:t>Alexis Tapia Ramírez</w:t>
            </w:r>
          </w:p>
          <w:p w14:paraId="719EB8AE" w14:textId="77777777" w:rsidR="00DA25CF" w:rsidRPr="00E13258" w:rsidRDefault="00DA25CF" w:rsidP="00DE5256">
            <w:pPr>
              <w:spacing w:line="360" w:lineRule="auto"/>
              <w:jc w:val="center"/>
              <w:rPr>
                <w:rFonts w:ascii="Palatino Linotype" w:eastAsia="Calibri" w:hAnsi="Palatino Linotype" w:cs="Tahoma"/>
                <w:sz w:val="22"/>
                <w:szCs w:val="24"/>
              </w:rPr>
            </w:pPr>
            <w:r w:rsidRPr="00E13258">
              <w:rPr>
                <w:rFonts w:ascii="Palatino Linotype" w:eastAsia="Calibri" w:hAnsi="Palatino Linotype" w:cs="Tahoma"/>
                <w:sz w:val="22"/>
                <w:szCs w:val="24"/>
              </w:rPr>
              <w:t>Secretario Técnico del Pleno</w:t>
            </w:r>
          </w:p>
          <w:p w14:paraId="711FE2F2" w14:textId="77777777" w:rsidR="00DA25CF" w:rsidRPr="00E13258" w:rsidRDefault="00DA25CF" w:rsidP="00DE5256">
            <w:pPr>
              <w:spacing w:line="360" w:lineRule="auto"/>
              <w:jc w:val="center"/>
              <w:rPr>
                <w:rFonts w:ascii="Palatino Linotype" w:eastAsia="Calibri" w:hAnsi="Palatino Linotype" w:cs="Tahoma"/>
                <w:b/>
                <w:sz w:val="22"/>
                <w:szCs w:val="24"/>
                <w:lang w:eastAsia="es-MX"/>
              </w:rPr>
            </w:pPr>
            <w:r w:rsidRPr="00E13258">
              <w:rPr>
                <w:rFonts w:ascii="Palatino Linotype" w:eastAsia="Calibri" w:hAnsi="Palatino Linotype" w:cs="Tahoma"/>
                <w:b/>
                <w:sz w:val="22"/>
                <w:szCs w:val="24"/>
                <w:lang w:eastAsia="es-MX"/>
              </w:rPr>
              <w:t>(Rúbrica)</w:t>
            </w:r>
          </w:p>
          <w:p w14:paraId="6F5241F1" w14:textId="77777777" w:rsidR="00DA25CF" w:rsidRPr="00E13258" w:rsidRDefault="00DA25CF" w:rsidP="00DE5256">
            <w:pPr>
              <w:spacing w:line="360" w:lineRule="auto"/>
              <w:jc w:val="center"/>
              <w:rPr>
                <w:rFonts w:ascii="Palatino Linotype" w:eastAsia="Calibri" w:hAnsi="Palatino Linotype" w:cs="Tahoma"/>
                <w:color w:val="000000"/>
                <w:sz w:val="12"/>
                <w:szCs w:val="14"/>
              </w:rPr>
            </w:pPr>
          </w:p>
        </w:tc>
      </w:tr>
    </w:tbl>
    <w:p w14:paraId="63F5F17C" w14:textId="77777777" w:rsidR="00DA25CF" w:rsidRPr="003121BB" w:rsidRDefault="005A7A4E" w:rsidP="00DE5256">
      <w:pPr>
        <w:spacing w:line="360" w:lineRule="auto"/>
        <w:jc w:val="both"/>
        <w:rPr>
          <w:rFonts w:ascii="Palatino Linotype" w:hAnsi="Palatino Linotype" w:cs="Tahoma"/>
          <w:sz w:val="22"/>
          <w:szCs w:val="22"/>
        </w:rPr>
      </w:pPr>
      <w:r w:rsidRPr="00E13258">
        <w:rPr>
          <w:rFonts w:ascii="Palatino Linotype" w:eastAsia="Calibri" w:hAnsi="Palatino Linotype" w:cs="Tahoma"/>
          <w:sz w:val="22"/>
          <w:lang w:eastAsia="en-US"/>
        </w:rPr>
        <w:t>E</w:t>
      </w:r>
      <w:r w:rsidR="00DA25CF" w:rsidRPr="00E13258">
        <w:rPr>
          <w:rFonts w:ascii="Palatino Linotype" w:eastAsia="Calibri" w:hAnsi="Palatino Linotype" w:cs="Tahoma"/>
          <w:sz w:val="22"/>
          <w:lang w:eastAsia="en-US"/>
        </w:rPr>
        <w:t xml:space="preserve">sta foja corresponde a la </w:t>
      </w:r>
      <w:r w:rsidR="00E20118" w:rsidRPr="00E13258">
        <w:rPr>
          <w:rFonts w:ascii="Palatino Linotype" w:eastAsia="Calibri" w:hAnsi="Palatino Linotype" w:cs="Tahoma"/>
          <w:sz w:val="22"/>
          <w:lang w:eastAsia="en-US"/>
        </w:rPr>
        <w:t xml:space="preserve">Resolución </w:t>
      </w:r>
      <w:r w:rsidR="00DA25CF" w:rsidRPr="00E13258">
        <w:rPr>
          <w:rFonts w:ascii="Palatino Linotype" w:eastAsia="Calibri" w:hAnsi="Palatino Linotype" w:cs="Tahoma"/>
          <w:sz w:val="22"/>
          <w:lang w:eastAsia="en-US"/>
        </w:rPr>
        <w:t xml:space="preserve">de fecha </w:t>
      </w:r>
      <w:r w:rsidR="006B6946" w:rsidRPr="00E13258">
        <w:rPr>
          <w:rFonts w:ascii="Palatino Linotype" w:eastAsia="Calibri" w:hAnsi="Palatino Linotype" w:cs="Tahoma"/>
          <w:sz w:val="22"/>
          <w:lang w:eastAsia="en-US"/>
        </w:rPr>
        <w:t xml:space="preserve">veinticuatro </w:t>
      </w:r>
      <w:r w:rsidR="003602B2" w:rsidRPr="00E13258">
        <w:rPr>
          <w:rFonts w:ascii="Palatino Linotype" w:eastAsia="Calibri" w:hAnsi="Palatino Linotype" w:cs="Tahoma"/>
          <w:sz w:val="22"/>
          <w:lang w:eastAsia="en-US"/>
        </w:rPr>
        <w:t xml:space="preserve">de abril </w:t>
      </w:r>
      <w:r w:rsidR="00DA25CF" w:rsidRPr="00E13258">
        <w:rPr>
          <w:rFonts w:ascii="Palatino Linotype" w:eastAsia="Calibri" w:hAnsi="Palatino Linotype" w:cs="Tahoma"/>
          <w:sz w:val="22"/>
          <w:lang w:eastAsia="en-US"/>
        </w:rPr>
        <w:t xml:space="preserve">de dos mil diecinueve, emitida en el Recurso de Revisión número </w:t>
      </w:r>
      <w:r w:rsidR="00DA25CF" w:rsidRPr="00EE2EE0">
        <w:rPr>
          <w:rFonts w:ascii="Palatino Linotype" w:eastAsia="Calibri" w:hAnsi="Palatino Linotype" w:cs="Tahoma"/>
          <w:b/>
          <w:sz w:val="22"/>
          <w:lang w:eastAsia="en-US"/>
        </w:rPr>
        <w:t>00</w:t>
      </w:r>
      <w:r w:rsidR="003602B2" w:rsidRPr="00EE2EE0">
        <w:rPr>
          <w:rFonts w:ascii="Palatino Linotype" w:eastAsia="Calibri" w:hAnsi="Palatino Linotype" w:cs="Tahoma"/>
          <w:b/>
          <w:sz w:val="22"/>
          <w:lang w:eastAsia="en-US"/>
        </w:rPr>
        <w:t>6</w:t>
      </w:r>
      <w:r w:rsidR="006B6946" w:rsidRPr="00EE2EE0">
        <w:rPr>
          <w:rFonts w:ascii="Palatino Linotype" w:eastAsia="Calibri" w:hAnsi="Palatino Linotype" w:cs="Tahoma"/>
          <w:b/>
          <w:sz w:val="22"/>
          <w:lang w:eastAsia="en-US"/>
        </w:rPr>
        <w:t>01</w:t>
      </w:r>
      <w:r w:rsidR="004E0350" w:rsidRPr="00EE2EE0">
        <w:rPr>
          <w:rFonts w:ascii="Palatino Linotype" w:eastAsia="Calibri" w:hAnsi="Palatino Linotype" w:cs="Tahoma"/>
          <w:b/>
          <w:sz w:val="22"/>
          <w:lang w:eastAsia="en-US"/>
        </w:rPr>
        <w:t xml:space="preserve">/INFOEM/IP/RR/2019. </w:t>
      </w:r>
    </w:p>
    <w:sectPr w:rsidR="00DA25CF" w:rsidRPr="003121BB" w:rsidSect="00DB7E5F">
      <w:headerReference w:type="default" r:id="rId12"/>
      <w:footerReference w:type="default" r:id="rId13"/>
      <w:headerReference w:type="first" r:id="rId14"/>
      <w:footerReference w:type="first" r:id="rId15"/>
      <w:pgSz w:w="12240" w:h="15840"/>
      <w:pgMar w:top="80" w:right="1608" w:bottom="1418" w:left="1588" w:header="709" w:footer="91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34A2A" w14:textId="77777777" w:rsidR="00CB70A7" w:rsidRDefault="00CB70A7" w:rsidP="00B31222">
      <w:r>
        <w:separator/>
      </w:r>
    </w:p>
  </w:endnote>
  <w:endnote w:type="continuationSeparator" w:id="0">
    <w:p w14:paraId="0D9DE9FC" w14:textId="77777777" w:rsidR="00CB70A7" w:rsidRDefault="00CB70A7" w:rsidP="00B31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altName w:val="Garamond"/>
    <w:charset w:val="00"/>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6412018"/>
      <w:docPartObj>
        <w:docPartGallery w:val="Page Numbers (Bottom of Page)"/>
        <w:docPartUnique/>
      </w:docPartObj>
    </w:sdtPr>
    <w:sdtEndPr/>
    <w:sdtContent>
      <w:sdt>
        <w:sdtPr>
          <w:id w:val="-1769616900"/>
          <w:docPartObj>
            <w:docPartGallery w:val="Page Numbers (Top of Page)"/>
            <w:docPartUnique/>
          </w:docPartObj>
        </w:sdtPr>
        <w:sdtEndPr/>
        <w:sdtContent>
          <w:p w14:paraId="7B5C7BF1" w14:textId="1DF00D38" w:rsidR="00981ED0" w:rsidRDefault="00981ED0">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EE2EE0">
              <w:rPr>
                <w:b/>
                <w:bCs/>
                <w:noProof/>
              </w:rPr>
              <w:t>33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EE2EE0">
              <w:rPr>
                <w:b/>
                <w:bCs/>
                <w:noProof/>
              </w:rPr>
              <w:t>33</w:t>
            </w:r>
            <w:r>
              <w:rPr>
                <w:b/>
                <w:bCs/>
                <w:sz w:val="24"/>
                <w:szCs w:val="24"/>
              </w:rPr>
              <w:fldChar w:fldCharType="end"/>
            </w:r>
          </w:p>
        </w:sdtContent>
      </w:sdt>
    </w:sdtContent>
  </w:sdt>
  <w:p w14:paraId="260BD692" w14:textId="77777777" w:rsidR="00981ED0" w:rsidRDefault="00981ED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9767700"/>
      <w:docPartObj>
        <w:docPartGallery w:val="Page Numbers (Bottom of Page)"/>
        <w:docPartUnique/>
      </w:docPartObj>
    </w:sdtPr>
    <w:sdtEndPr/>
    <w:sdtContent>
      <w:sdt>
        <w:sdtPr>
          <w:id w:val="315386424"/>
          <w:docPartObj>
            <w:docPartGallery w:val="Page Numbers (Top of Page)"/>
            <w:docPartUnique/>
          </w:docPartObj>
        </w:sdtPr>
        <w:sdtEndPr/>
        <w:sdtContent>
          <w:p w14:paraId="45C96558" w14:textId="604FAFB0" w:rsidR="00981ED0" w:rsidRDefault="00981ED0">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EE2EE0">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EE2EE0">
              <w:rPr>
                <w:b/>
                <w:bCs/>
                <w:noProof/>
              </w:rPr>
              <w:t>33</w:t>
            </w:r>
            <w:r>
              <w:rPr>
                <w:b/>
                <w:bCs/>
                <w:sz w:val="24"/>
                <w:szCs w:val="24"/>
              </w:rPr>
              <w:fldChar w:fldCharType="end"/>
            </w:r>
          </w:p>
        </w:sdtContent>
      </w:sdt>
    </w:sdtContent>
  </w:sdt>
  <w:p w14:paraId="5A41BD0E" w14:textId="77777777" w:rsidR="00981ED0" w:rsidRDefault="00981E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9C52C" w14:textId="77777777" w:rsidR="00CB70A7" w:rsidRDefault="00CB70A7" w:rsidP="00B31222">
      <w:r>
        <w:separator/>
      </w:r>
    </w:p>
  </w:footnote>
  <w:footnote w:type="continuationSeparator" w:id="0">
    <w:p w14:paraId="55BB8DC2" w14:textId="77777777" w:rsidR="00CB70A7" w:rsidRDefault="00CB70A7" w:rsidP="00B31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Layout w:type="fixed"/>
      <w:tblLook w:val="04A0" w:firstRow="1" w:lastRow="0" w:firstColumn="1" w:lastColumn="0" w:noHBand="0" w:noVBand="1"/>
    </w:tblPr>
    <w:tblGrid>
      <w:gridCol w:w="2835"/>
      <w:gridCol w:w="6733"/>
    </w:tblGrid>
    <w:tr w:rsidR="00981ED0" w:rsidRPr="005C106F" w14:paraId="77757141" w14:textId="77777777" w:rsidTr="00202DB8">
      <w:trPr>
        <w:trHeight w:val="1435"/>
      </w:trPr>
      <w:tc>
        <w:tcPr>
          <w:tcW w:w="2835" w:type="dxa"/>
          <w:shd w:val="clear" w:color="auto" w:fill="auto"/>
        </w:tcPr>
        <w:p w14:paraId="65A1372B" w14:textId="77777777" w:rsidR="00981ED0" w:rsidRPr="005C106F" w:rsidRDefault="00981ED0" w:rsidP="00EF4A64">
          <w:pPr>
            <w:tabs>
              <w:tab w:val="right" w:pos="4273"/>
            </w:tabs>
            <w:rPr>
              <w:rFonts w:ascii="Garamond" w:eastAsia="Calibri" w:hAnsi="Garamond"/>
              <w:sz w:val="16"/>
              <w:szCs w:val="16"/>
              <w:lang w:eastAsia="en-US"/>
            </w:rPr>
          </w:pPr>
        </w:p>
      </w:tc>
      <w:tc>
        <w:tcPr>
          <w:tcW w:w="6733" w:type="dxa"/>
          <w:shd w:val="clear" w:color="auto" w:fill="auto"/>
        </w:tcPr>
        <w:p w14:paraId="74CE56A4" w14:textId="77777777" w:rsidR="00981ED0" w:rsidRDefault="00981ED0" w:rsidP="005743D2"/>
        <w:tbl>
          <w:tblPr>
            <w:tblStyle w:val="Tablaconcuadrcula"/>
            <w:tblW w:w="6521"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2410"/>
            <w:gridCol w:w="4111"/>
          </w:tblGrid>
          <w:tr w:rsidR="00981ED0" w14:paraId="28EC3772" w14:textId="77777777" w:rsidTr="000A24C9">
            <w:trPr>
              <w:trHeight w:val="144"/>
            </w:trPr>
            <w:tc>
              <w:tcPr>
                <w:tcW w:w="2410" w:type="dxa"/>
              </w:tcPr>
              <w:p w14:paraId="2ADED29B" w14:textId="77777777" w:rsidR="00981ED0" w:rsidRPr="00026EBB" w:rsidRDefault="00981ED0" w:rsidP="00753ABF">
                <w:pPr>
                  <w:tabs>
                    <w:tab w:val="right" w:pos="8838"/>
                  </w:tabs>
                  <w:ind w:right="-105"/>
                  <w:rPr>
                    <w:rFonts w:ascii="Palatino Linotype" w:eastAsia="Calibri" w:hAnsi="Palatino Linotype" w:cs="Tahoma"/>
                    <w:b/>
                    <w:sz w:val="22"/>
                    <w:szCs w:val="22"/>
                    <w:lang w:val="es-MX" w:eastAsia="en-US"/>
                  </w:rPr>
                </w:pPr>
                <w:r w:rsidRPr="00026EBB">
                  <w:rPr>
                    <w:rFonts w:ascii="Palatino Linotype" w:eastAsia="Calibri" w:hAnsi="Palatino Linotype" w:cs="Tahoma"/>
                    <w:b/>
                    <w:sz w:val="22"/>
                    <w:szCs w:val="22"/>
                    <w:lang w:val="es-MX" w:eastAsia="en-US"/>
                  </w:rPr>
                  <w:t>Recurso de Revisión:</w:t>
                </w:r>
              </w:p>
            </w:tc>
            <w:tc>
              <w:tcPr>
                <w:tcW w:w="4111" w:type="dxa"/>
              </w:tcPr>
              <w:p w14:paraId="4142560E" w14:textId="77777777" w:rsidR="00981ED0" w:rsidRPr="00026EBB" w:rsidRDefault="00CA435C" w:rsidP="00CA435C">
                <w:pPr>
                  <w:tabs>
                    <w:tab w:val="right" w:pos="8838"/>
                  </w:tabs>
                  <w:ind w:left="-28"/>
                  <w:jc w:val="both"/>
                  <w:rPr>
                    <w:rFonts w:ascii="Palatino Linotype" w:eastAsia="Calibri" w:hAnsi="Palatino Linotype" w:cs="Tahoma"/>
                    <w:bCs/>
                    <w:sz w:val="22"/>
                    <w:szCs w:val="22"/>
                    <w:lang w:eastAsia="en-US"/>
                  </w:rPr>
                </w:pPr>
                <w:r>
                  <w:rPr>
                    <w:rFonts w:ascii="Palatino Linotype" w:eastAsia="Calibri" w:hAnsi="Palatino Linotype" w:cs="Tahoma"/>
                    <w:bCs/>
                    <w:sz w:val="22"/>
                    <w:szCs w:val="22"/>
                    <w:lang w:eastAsia="en-US"/>
                  </w:rPr>
                  <w:t>00601</w:t>
                </w:r>
                <w:r w:rsidR="00981ED0" w:rsidRPr="00026EBB">
                  <w:rPr>
                    <w:rFonts w:ascii="Palatino Linotype" w:eastAsia="Calibri" w:hAnsi="Palatino Linotype" w:cs="Tahoma"/>
                    <w:bCs/>
                    <w:sz w:val="22"/>
                    <w:szCs w:val="22"/>
                    <w:lang w:eastAsia="en-US"/>
                  </w:rPr>
                  <w:t>/INFOEM/IP/RR/201</w:t>
                </w:r>
                <w:r w:rsidR="00981ED0">
                  <w:rPr>
                    <w:rFonts w:ascii="Palatino Linotype" w:eastAsia="Calibri" w:hAnsi="Palatino Linotype" w:cs="Tahoma"/>
                    <w:bCs/>
                    <w:sz w:val="22"/>
                    <w:szCs w:val="22"/>
                    <w:lang w:eastAsia="en-US"/>
                  </w:rPr>
                  <w:t xml:space="preserve">9 </w:t>
                </w:r>
              </w:p>
            </w:tc>
          </w:tr>
          <w:tr w:rsidR="00981ED0" w14:paraId="374999DF" w14:textId="77777777" w:rsidTr="000A24C9">
            <w:trPr>
              <w:trHeight w:val="138"/>
            </w:trPr>
            <w:tc>
              <w:tcPr>
                <w:tcW w:w="2410" w:type="dxa"/>
              </w:tcPr>
              <w:p w14:paraId="0917DA86" w14:textId="77777777" w:rsidR="00981ED0" w:rsidRPr="00026EBB" w:rsidRDefault="00981ED0" w:rsidP="00753ABF">
                <w:pPr>
                  <w:tabs>
                    <w:tab w:val="right" w:pos="8838"/>
                  </w:tabs>
                  <w:ind w:right="-105"/>
                  <w:rPr>
                    <w:rFonts w:ascii="Palatino Linotype" w:eastAsia="Calibri" w:hAnsi="Palatino Linotype" w:cs="Tahoma"/>
                    <w:b/>
                    <w:sz w:val="22"/>
                    <w:szCs w:val="22"/>
                    <w:lang w:val="es-MX" w:eastAsia="en-US"/>
                  </w:rPr>
                </w:pPr>
                <w:r>
                  <w:rPr>
                    <w:rFonts w:ascii="Palatino Linotype" w:eastAsia="Calibri" w:hAnsi="Palatino Linotype" w:cs="Tahoma"/>
                    <w:b/>
                    <w:sz w:val="22"/>
                    <w:szCs w:val="22"/>
                    <w:lang w:val="es-MX" w:eastAsia="en-US"/>
                  </w:rPr>
                  <w:t>Sujeto Obligado</w:t>
                </w:r>
                <w:r w:rsidRPr="00026EBB">
                  <w:rPr>
                    <w:rFonts w:ascii="Palatino Linotype" w:eastAsia="Calibri" w:hAnsi="Palatino Linotype" w:cs="Tahoma"/>
                    <w:b/>
                    <w:sz w:val="22"/>
                    <w:szCs w:val="22"/>
                    <w:lang w:val="es-MX" w:eastAsia="en-US"/>
                  </w:rPr>
                  <w:t>:</w:t>
                </w:r>
              </w:p>
            </w:tc>
            <w:tc>
              <w:tcPr>
                <w:tcW w:w="4111" w:type="dxa"/>
              </w:tcPr>
              <w:p w14:paraId="7326EC71" w14:textId="77777777" w:rsidR="00981ED0" w:rsidRPr="00026EBB" w:rsidRDefault="00981ED0" w:rsidP="00F1692B">
                <w:pPr>
                  <w:tabs>
                    <w:tab w:val="right" w:pos="8838"/>
                  </w:tabs>
                  <w:ind w:right="171"/>
                  <w:jc w:val="both"/>
                  <w:rPr>
                    <w:rFonts w:ascii="Palatino Linotype" w:eastAsia="Calibri" w:hAnsi="Palatino Linotype" w:cs="Tahoma"/>
                    <w:b/>
                    <w:sz w:val="22"/>
                    <w:szCs w:val="22"/>
                    <w:lang w:val="es-MX" w:eastAsia="en-US"/>
                  </w:rPr>
                </w:pPr>
                <w:r w:rsidRPr="003F6E47">
                  <w:rPr>
                    <w:rFonts w:ascii="Palatino Linotype" w:eastAsia="Calibri" w:hAnsi="Palatino Linotype" w:cs="Tahoma"/>
                    <w:sz w:val="22"/>
                    <w:szCs w:val="22"/>
                    <w:lang w:val="es-MX" w:eastAsia="en-US"/>
                  </w:rPr>
                  <w:t>Ayuntamiento de Tlalnepantla de Baz</w:t>
                </w:r>
              </w:p>
            </w:tc>
          </w:tr>
          <w:tr w:rsidR="00981ED0" w14:paraId="1C1916B9" w14:textId="77777777" w:rsidTr="000A24C9">
            <w:trPr>
              <w:trHeight w:val="283"/>
            </w:trPr>
            <w:tc>
              <w:tcPr>
                <w:tcW w:w="2410" w:type="dxa"/>
              </w:tcPr>
              <w:p w14:paraId="1DA0CC5E" w14:textId="77777777" w:rsidR="00981ED0" w:rsidRPr="00026EBB" w:rsidRDefault="00981ED0" w:rsidP="00753ABF">
                <w:pPr>
                  <w:tabs>
                    <w:tab w:val="right" w:pos="8838"/>
                  </w:tabs>
                  <w:ind w:right="-105"/>
                  <w:rPr>
                    <w:rFonts w:ascii="Palatino Linotype" w:eastAsia="Calibri" w:hAnsi="Palatino Linotype" w:cs="Tahoma"/>
                    <w:b/>
                    <w:sz w:val="22"/>
                    <w:szCs w:val="22"/>
                    <w:lang w:val="es-MX" w:eastAsia="en-US"/>
                  </w:rPr>
                </w:pPr>
                <w:r w:rsidRPr="00026EBB">
                  <w:rPr>
                    <w:rFonts w:ascii="Palatino Linotype" w:eastAsia="Calibri" w:hAnsi="Palatino Linotype" w:cs="Tahoma"/>
                    <w:b/>
                    <w:sz w:val="22"/>
                    <w:szCs w:val="22"/>
                    <w:lang w:val="es-MX" w:eastAsia="en-US"/>
                  </w:rPr>
                  <w:t>Comisionado Ponente:</w:t>
                </w:r>
              </w:p>
            </w:tc>
            <w:tc>
              <w:tcPr>
                <w:tcW w:w="4111" w:type="dxa"/>
              </w:tcPr>
              <w:p w14:paraId="3CCCE925" w14:textId="77777777" w:rsidR="00981ED0" w:rsidRPr="00026EBB" w:rsidRDefault="00981ED0" w:rsidP="00753ABF">
                <w:pPr>
                  <w:tabs>
                    <w:tab w:val="right" w:pos="8838"/>
                  </w:tabs>
                  <w:ind w:right="171"/>
                  <w:jc w:val="both"/>
                  <w:rPr>
                    <w:rFonts w:ascii="Palatino Linotype" w:eastAsia="Calibri" w:hAnsi="Palatino Linotype" w:cs="Tahoma"/>
                    <w:b/>
                    <w:sz w:val="22"/>
                    <w:szCs w:val="22"/>
                    <w:lang w:val="es-MX" w:eastAsia="en-US"/>
                  </w:rPr>
                </w:pPr>
                <w:r w:rsidRPr="00026EBB">
                  <w:rPr>
                    <w:rFonts w:ascii="Palatino Linotype" w:eastAsia="Calibri" w:hAnsi="Palatino Linotype" w:cs="Tahoma"/>
                    <w:sz w:val="22"/>
                    <w:szCs w:val="22"/>
                    <w:lang w:val="es-MX" w:eastAsia="en-US"/>
                  </w:rPr>
                  <w:t>Luis Gustavo Parra Noriega</w:t>
                </w:r>
              </w:p>
            </w:tc>
          </w:tr>
        </w:tbl>
        <w:p w14:paraId="0989685D" w14:textId="77777777" w:rsidR="00981ED0" w:rsidRPr="005C106F" w:rsidRDefault="00981ED0" w:rsidP="005743D2">
          <w:pPr>
            <w:tabs>
              <w:tab w:val="right" w:pos="8838"/>
            </w:tabs>
            <w:ind w:left="-28"/>
            <w:jc w:val="both"/>
            <w:rPr>
              <w:rFonts w:ascii="Arial" w:eastAsia="Calibri" w:hAnsi="Arial" w:cs="Arial"/>
              <w:b/>
              <w:sz w:val="22"/>
              <w:szCs w:val="22"/>
              <w:lang w:eastAsia="en-US"/>
            </w:rPr>
          </w:pPr>
        </w:p>
      </w:tc>
    </w:tr>
  </w:tbl>
  <w:p w14:paraId="6F86B0AA" w14:textId="77777777" w:rsidR="00981ED0" w:rsidRPr="00443C6B" w:rsidRDefault="00981ED0" w:rsidP="00EF4A64">
    <w:pPr>
      <w:pStyle w:val="Encabezado"/>
      <w:rPr>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Layout w:type="fixed"/>
      <w:tblLook w:val="04A0" w:firstRow="1" w:lastRow="0" w:firstColumn="1" w:lastColumn="0" w:noHBand="0" w:noVBand="1"/>
    </w:tblPr>
    <w:tblGrid>
      <w:gridCol w:w="2835"/>
      <w:gridCol w:w="6733"/>
    </w:tblGrid>
    <w:tr w:rsidR="00981ED0" w:rsidRPr="005C106F" w14:paraId="6ADEF502" w14:textId="77777777" w:rsidTr="003B165A">
      <w:trPr>
        <w:trHeight w:val="1435"/>
      </w:trPr>
      <w:tc>
        <w:tcPr>
          <w:tcW w:w="2835" w:type="dxa"/>
          <w:shd w:val="clear" w:color="auto" w:fill="auto"/>
        </w:tcPr>
        <w:p w14:paraId="624FBCD3" w14:textId="77777777" w:rsidR="00981ED0" w:rsidRPr="005C106F" w:rsidRDefault="00981ED0" w:rsidP="00DB7E5F">
          <w:pPr>
            <w:tabs>
              <w:tab w:val="right" w:pos="4273"/>
            </w:tabs>
            <w:rPr>
              <w:rFonts w:ascii="Garamond" w:eastAsia="Calibri" w:hAnsi="Garamond"/>
              <w:sz w:val="16"/>
              <w:szCs w:val="16"/>
              <w:lang w:eastAsia="en-US"/>
            </w:rPr>
          </w:pPr>
        </w:p>
      </w:tc>
      <w:tc>
        <w:tcPr>
          <w:tcW w:w="6733" w:type="dxa"/>
          <w:shd w:val="clear" w:color="auto" w:fill="auto"/>
        </w:tcPr>
        <w:p w14:paraId="280BE1B7" w14:textId="77777777" w:rsidR="00981ED0" w:rsidRPr="005C106F" w:rsidRDefault="00981ED0" w:rsidP="00DB7E5F">
          <w:pPr>
            <w:tabs>
              <w:tab w:val="right" w:pos="8838"/>
            </w:tabs>
            <w:ind w:left="-28"/>
            <w:jc w:val="both"/>
            <w:rPr>
              <w:rFonts w:ascii="Arial" w:eastAsia="Calibri" w:hAnsi="Arial" w:cs="Arial"/>
              <w:b/>
              <w:sz w:val="22"/>
              <w:szCs w:val="22"/>
              <w:lang w:eastAsia="en-US"/>
            </w:rPr>
          </w:pPr>
        </w:p>
      </w:tc>
    </w:tr>
  </w:tbl>
  <w:p w14:paraId="066A2B2A" w14:textId="77777777" w:rsidR="00981ED0" w:rsidRDefault="00981ED0" w:rsidP="00B727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7816848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30C446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12156B4A"/>
    <w:multiLevelType w:val="hybridMultilevel"/>
    <w:tmpl w:val="86BEB7B0"/>
    <w:lvl w:ilvl="0" w:tplc="BF40B516">
      <w:start w:val="1"/>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 w15:restartNumberingAfterBreak="0">
    <w:nsid w:val="15C37D8C"/>
    <w:multiLevelType w:val="hybridMultilevel"/>
    <w:tmpl w:val="1F787E9E"/>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A7C413B"/>
    <w:multiLevelType w:val="hybridMultilevel"/>
    <w:tmpl w:val="78D4FF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838302D"/>
    <w:multiLevelType w:val="hybridMultilevel"/>
    <w:tmpl w:val="F05218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25B0A49"/>
    <w:multiLevelType w:val="hybridMultilevel"/>
    <w:tmpl w:val="6D5A8C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51B168B"/>
    <w:multiLevelType w:val="hybridMultilevel"/>
    <w:tmpl w:val="07325280"/>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88F7893"/>
    <w:multiLevelType w:val="hybridMultilevel"/>
    <w:tmpl w:val="E84062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C816A84"/>
    <w:multiLevelType w:val="hybridMultilevel"/>
    <w:tmpl w:val="BE44CBF8"/>
    <w:lvl w:ilvl="0" w:tplc="7480C6B8">
      <w:start w:val="1"/>
      <w:numFmt w:val="lowerLetter"/>
      <w:lvlText w:val="%1)"/>
      <w:lvlJc w:val="left"/>
      <w:pPr>
        <w:ind w:left="720" w:hanging="360"/>
      </w:pPr>
      <w:rPr>
        <w:rFont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0094B8D"/>
    <w:multiLevelType w:val="hybridMultilevel"/>
    <w:tmpl w:val="53E2630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2960965"/>
    <w:multiLevelType w:val="hybridMultilevel"/>
    <w:tmpl w:val="1F787E9E"/>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53180F32"/>
    <w:multiLevelType w:val="hybridMultilevel"/>
    <w:tmpl w:val="73BECD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D442A69"/>
    <w:multiLevelType w:val="hybridMultilevel"/>
    <w:tmpl w:val="6DAE05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71A643C1"/>
    <w:multiLevelType w:val="hybridMultilevel"/>
    <w:tmpl w:val="1F787E9E"/>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75422B96"/>
    <w:multiLevelType w:val="hybridMultilevel"/>
    <w:tmpl w:val="B164EB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5"/>
  </w:num>
  <w:num w:numId="4">
    <w:abstractNumId w:val="9"/>
  </w:num>
  <w:num w:numId="5">
    <w:abstractNumId w:val="11"/>
  </w:num>
  <w:num w:numId="6">
    <w:abstractNumId w:val="14"/>
  </w:num>
  <w:num w:numId="7">
    <w:abstractNumId w:val="1"/>
  </w:num>
  <w:num w:numId="8">
    <w:abstractNumId w:val="3"/>
  </w:num>
  <w:num w:numId="9">
    <w:abstractNumId w:val="10"/>
  </w:num>
  <w:num w:numId="10">
    <w:abstractNumId w:val="13"/>
  </w:num>
  <w:num w:numId="11">
    <w:abstractNumId w:val="4"/>
  </w:num>
  <w:num w:numId="12">
    <w:abstractNumId w:val="7"/>
  </w:num>
  <w:num w:numId="13">
    <w:abstractNumId w:val="8"/>
  </w:num>
  <w:num w:numId="14">
    <w:abstractNumId w:val="6"/>
  </w:num>
  <w:num w:numId="15">
    <w:abstractNumId w:val="2"/>
  </w:num>
  <w:num w:numId="1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222"/>
    <w:rsid w:val="00001C00"/>
    <w:rsid w:val="000027EB"/>
    <w:rsid w:val="000044DB"/>
    <w:rsid w:val="0000485A"/>
    <w:rsid w:val="00006543"/>
    <w:rsid w:val="0001068E"/>
    <w:rsid w:val="00013A19"/>
    <w:rsid w:val="00014465"/>
    <w:rsid w:val="00014920"/>
    <w:rsid w:val="00015DB5"/>
    <w:rsid w:val="000169F6"/>
    <w:rsid w:val="00017019"/>
    <w:rsid w:val="00020D0B"/>
    <w:rsid w:val="000212E5"/>
    <w:rsid w:val="00021C64"/>
    <w:rsid w:val="000237D8"/>
    <w:rsid w:val="000241C5"/>
    <w:rsid w:val="0002463D"/>
    <w:rsid w:val="00026A38"/>
    <w:rsid w:val="00026EBB"/>
    <w:rsid w:val="000313A7"/>
    <w:rsid w:val="00031B16"/>
    <w:rsid w:val="00032F5B"/>
    <w:rsid w:val="00034E9D"/>
    <w:rsid w:val="00035486"/>
    <w:rsid w:val="00036DD1"/>
    <w:rsid w:val="000373BC"/>
    <w:rsid w:val="000375E0"/>
    <w:rsid w:val="00037B34"/>
    <w:rsid w:val="00037F4B"/>
    <w:rsid w:val="0004168D"/>
    <w:rsid w:val="00043868"/>
    <w:rsid w:val="00043C4B"/>
    <w:rsid w:val="00046167"/>
    <w:rsid w:val="0004646B"/>
    <w:rsid w:val="000477E7"/>
    <w:rsid w:val="00047D67"/>
    <w:rsid w:val="000528E6"/>
    <w:rsid w:val="00056128"/>
    <w:rsid w:val="0006017B"/>
    <w:rsid w:val="0006419A"/>
    <w:rsid w:val="0006462F"/>
    <w:rsid w:val="000664DA"/>
    <w:rsid w:val="00071B38"/>
    <w:rsid w:val="00072564"/>
    <w:rsid w:val="000813B0"/>
    <w:rsid w:val="0008148B"/>
    <w:rsid w:val="0008165E"/>
    <w:rsid w:val="000829DA"/>
    <w:rsid w:val="0008330E"/>
    <w:rsid w:val="00091753"/>
    <w:rsid w:val="00091E18"/>
    <w:rsid w:val="00094124"/>
    <w:rsid w:val="00097211"/>
    <w:rsid w:val="00097753"/>
    <w:rsid w:val="000A20A4"/>
    <w:rsid w:val="000A238F"/>
    <w:rsid w:val="000A24C9"/>
    <w:rsid w:val="000A5EA8"/>
    <w:rsid w:val="000A7211"/>
    <w:rsid w:val="000B1D37"/>
    <w:rsid w:val="000B28D1"/>
    <w:rsid w:val="000B2C93"/>
    <w:rsid w:val="000B36DD"/>
    <w:rsid w:val="000B40D0"/>
    <w:rsid w:val="000B5711"/>
    <w:rsid w:val="000B6020"/>
    <w:rsid w:val="000B6883"/>
    <w:rsid w:val="000B691A"/>
    <w:rsid w:val="000C0C9E"/>
    <w:rsid w:val="000C14D6"/>
    <w:rsid w:val="000C2283"/>
    <w:rsid w:val="000C27CA"/>
    <w:rsid w:val="000C5940"/>
    <w:rsid w:val="000C59CB"/>
    <w:rsid w:val="000C766E"/>
    <w:rsid w:val="000D02A0"/>
    <w:rsid w:val="000D0B08"/>
    <w:rsid w:val="000D5918"/>
    <w:rsid w:val="000D6EDE"/>
    <w:rsid w:val="000D6F62"/>
    <w:rsid w:val="000E0BEA"/>
    <w:rsid w:val="000E67E4"/>
    <w:rsid w:val="000F17A9"/>
    <w:rsid w:val="000F239A"/>
    <w:rsid w:val="000F24C8"/>
    <w:rsid w:val="000F2C3D"/>
    <w:rsid w:val="000F3DA0"/>
    <w:rsid w:val="000F4876"/>
    <w:rsid w:val="000F4921"/>
    <w:rsid w:val="000F555D"/>
    <w:rsid w:val="000F7A45"/>
    <w:rsid w:val="000F7FD8"/>
    <w:rsid w:val="00100BAC"/>
    <w:rsid w:val="001017B7"/>
    <w:rsid w:val="001034C6"/>
    <w:rsid w:val="001049B0"/>
    <w:rsid w:val="00104ADB"/>
    <w:rsid w:val="00104B27"/>
    <w:rsid w:val="0010500B"/>
    <w:rsid w:val="001057BC"/>
    <w:rsid w:val="00107D2F"/>
    <w:rsid w:val="001133D5"/>
    <w:rsid w:val="00114068"/>
    <w:rsid w:val="001150E9"/>
    <w:rsid w:val="00127757"/>
    <w:rsid w:val="00130CF3"/>
    <w:rsid w:val="00130F33"/>
    <w:rsid w:val="00132A80"/>
    <w:rsid w:val="00132F95"/>
    <w:rsid w:val="001426E4"/>
    <w:rsid w:val="0014307A"/>
    <w:rsid w:val="00143CFC"/>
    <w:rsid w:val="00144D0B"/>
    <w:rsid w:val="00145463"/>
    <w:rsid w:val="001458F4"/>
    <w:rsid w:val="00147566"/>
    <w:rsid w:val="00151053"/>
    <w:rsid w:val="00151FBB"/>
    <w:rsid w:val="0015211F"/>
    <w:rsid w:val="00155F96"/>
    <w:rsid w:val="00156408"/>
    <w:rsid w:val="00156A6B"/>
    <w:rsid w:val="00160AAF"/>
    <w:rsid w:val="00160AD2"/>
    <w:rsid w:val="00161DF9"/>
    <w:rsid w:val="001621D1"/>
    <w:rsid w:val="00162CCE"/>
    <w:rsid w:val="0016310B"/>
    <w:rsid w:val="00165891"/>
    <w:rsid w:val="00167281"/>
    <w:rsid w:val="00170545"/>
    <w:rsid w:val="00171ADD"/>
    <w:rsid w:val="00173688"/>
    <w:rsid w:val="0017459B"/>
    <w:rsid w:val="00182F0F"/>
    <w:rsid w:val="00183D24"/>
    <w:rsid w:val="001851A6"/>
    <w:rsid w:val="001875A7"/>
    <w:rsid w:val="001879E1"/>
    <w:rsid w:val="00191EE7"/>
    <w:rsid w:val="0019389B"/>
    <w:rsid w:val="00193B6B"/>
    <w:rsid w:val="00194582"/>
    <w:rsid w:val="001A1B94"/>
    <w:rsid w:val="001A22F5"/>
    <w:rsid w:val="001A7FD2"/>
    <w:rsid w:val="001B08C6"/>
    <w:rsid w:val="001B107D"/>
    <w:rsid w:val="001B2CD9"/>
    <w:rsid w:val="001B62A0"/>
    <w:rsid w:val="001C282F"/>
    <w:rsid w:val="001C3257"/>
    <w:rsid w:val="001C5506"/>
    <w:rsid w:val="001C6180"/>
    <w:rsid w:val="001D0086"/>
    <w:rsid w:val="001D0094"/>
    <w:rsid w:val="001D3ABF"/>
    <w:rsid w:val="001D7012"/>
    <w:rsid w:val="001D7BD2"/>
    <w:rsid w:val="001E093D"/>
    <w:rsid w:val="001E2A4D"/>
    <w:rsid w:val="001E3BA6"/>
    <w:rsid w:val="001E53C2"/>
    <w:rsid w:val="001F0E9C"/>
    <w:rsid w:val="001F1540"/>
    <w:rsid w:val="001F652C"/>
    <w:rsid w:val="001F739F"/>
    <w:rsid w:val="001F78D9"/>
    <w:rsid w:val="00202279"/>
    <w:rsid w:val="00202DB8"/>
    <w:rsid w:val="00203535"/>
    <w:rsid w:val="002050A8"/>
    <w:rsid w:val="00206F55"/>
    <w:rsid w:val="00207736"/>
    <w:rsid w:val="00212460"/>
    <w:rsid w:val="0021401A"/>
    <w:rsid w:val="00215D0D"/>
    <w:rsid w:val="0021653D"/>
    <w:rsid w:val="00217A1F"/>
    <w:rsid w:val="00217AEF"/>
    <w:rsid w:val="00221C27"/>
    <w:rsid w:val="00221EC9"/>
    <w:rsid w:val="00222757"/>
    <w:rsid w:val="00223ECD"/>
    <w:rsid w:val="002241A6"/>
    <w:rsid w:val="002241E8"/>
    <w:rsid w:val="00224774"/>
    <w:rsid w:val="002247B0"/>
    <w:rsid w:val="00224F7A"/>
    <w:rsid w:val="00225152"/>
    <w:rsid w:val="00226709"/>
    <w:rsid w:val="00230E81"/>
    <w:rsid w:val="00232673"/>
    <w:rsid w:val="002354A9"/>
    <w:rsid w:val="00235612"/>
    <w:rsid w:val="00236863"/>
    <w:rsid w:val="00237C1F"/>
    <w:rsid w:val="00237D0D"/>
    <w:rsid w:val="00240764"/>
    <w:rsid w:val="00241163"/>
    <w:rsid w:val="002433A4"/>
    <w:rsid w:val="002435DC"/>
    <w:rsid w:val="002459FB"/>
    <w:rsid w:val="00245A7B"/>
    <w:rsid w:val="00245C11"/>
    <w:rsid w:val="002477F2"/>
    <w:rsid w:val="00247B17"/>
    <w:rsid w:val="00250389"/>
    <w:rsid w:val="002513F4"/>
    <w:rsid w:val="00252669"/>
    <w:rsid w:val="00254209"/>
    <w:rsid w:val="00254288"/>
    <w:rsid w:val="0025469C"/>
    <w:rsid w:val="00257903"/>
    <w:rsid w:val="002579CE"/>
    <w:rsid w:val="00260FEC"/>
    <w:rsid w:val="00261DD6"/>
    <w:rsid w:val="00264223"/>
    <w:rsid w:val="002642EC"/>
    <w:rsid w:val="002657E2"/>
    <w:rsid w:val="00266513"/>
    <w:rsid w:val="002705D2"/>
    <w:rsid w:val="002727CC"/>
    <w:rsid w:val="00273679"/>
    <w:rsid w:val="002739E6"/>
    <w:rsid w:val="002743B3"/>
    <w:rsid w:val="00281A35"/>
    <w:rsid w:val="00283748"/>
    <w:rsid w:val="00283DDD"/>
    <w:rsid w:val="00283E90"/>
    <w:rsid w:val="00284486"/>
    <w:rsid w:val="00284CB1"/>
    <w:rsid w:val="00285644"/>
    <w:rsid w:val="0028581E"/>
    <w:rsid w:val="00286505"/>
    <w:rsid w:val="00290395"/>
    <w:rsid w:val="00291209"/>
    <w:rsid w:val="00293491"/>
    <w:rsid w:val="00293A8C"/>
    <w:rsid w:val="00293E0D"/>
    <w:rsid w:val="00295BA6"/>
    <w:rsid w:val="00296C5E"/>
    <w:rsid w:val="002A0FB8"/>
    <w:rsid w:val="002A3B3C"/>
    <w:rsid w:val="002A5BE5"/>
    <w:rsid w:val="002A6193"/>
    <w:rsid w:val="002A7BD4"/>
    <w:rsid w:val="002A7D0D"/>
    <w:rsid w:val="002A7F32"/>
    <w:rsid w:val="002B20A1"/>
    <w:rsid w:val="002B226E"/>
    <w:rsid w:val="002B3619"/>
    <w:rsid w:val="002B425F"/>
    <w:rsid w:val="002B46D4"/>
    <w:rsid w:val="002B54CF"/>
    <w:rsid w:val="002B6436"/>
    <w:rsid w:val="002B6A09"/>
    <w:rsid w:val="002C5695"/>
    <w:rsid w:val="002C57F8"/>
    <w:rsid w:val="002C7041"/>
    <w:rsid w:val="002D0CE8"/>
    <w:rsid w:val="002D1BE4"/>
    <w:rsid w:val="002D2209"/>
    <w:rsid w:val="002D263D"/>
    <w:rsid w:val="002D5DDD"/>
    <w:rsid w:val="002D7C33"/>
    <w:rsid w:val="002E12B1"/>
    <w:rsid w:val="002E2047"/>
    <w:rsid w:val="002E287D"/>
    <w:rsid w:val="002E5015"/>
    <w:rsid w:val="002E6811"/>
    <w:rsid w:val="002E75A1"/>
    <w:rsid w:val="002E7ACF"/>
    <w:rsid w:val="002F01CF"/>
    <w:rsid w:val="002F0CE9"/>
    <w:rsid w:val="002F199F"/>
    <w:rsid w:val="002F3BD0"/>
    <w:rsid w:val="002F5B6A"/>
    <w:rsid w:val="00300A0B"/>
    <w:rsid w:val="00301F46"/>
    <w:rsid w:val="0030322E"/>
    <w:rsid w:val="003039A4"/>
    <w:rsid w:val="00303CAD"/>
    <w:rsid w:val="003042C3"/>
    <w:rsid w:val="00306418"/>
    <w:rsid w:val="003070FA"/>
    <w:rsid w:val="003100F3"/>
    <w:rsid w:val="00310C11"/>
    <w:rsid w:val="00311B3D"/>
    <w:rsid w:val="003121BB"/>
    <w:rsid w:val="003130CA"/>
    <w:rsid w:val="00315492"/>
    <w:rsid w:val="00316600"/>
    <w:rsid w:val="003172EC"/>
    <w:rsid w:val="003201BA"/>
    <w:rsid w:val="00320AE5"/>
    <w:rsid w:val="00321439"/>
    <w:rsid w:val="0032170B"/>
    <w:rsid w:val="00321A39"/>
    <w:rsid w:val="00323325"/>
    <w:rsid w:val="003243B0"/>
    <w:rsid w:val="00324AB4"/>
    <w:rsid w:val="00325D31"/>
    <w:rsid w:val="00325EC0"/>
    <w:rsid w:val="00325F1D"/>
    <w:rsid w:val="003338FA"/>
    <w:rsid w:val="00333CF5"/>
    <w:rsid w:val="003340EC"/>
    <w:rsid w:val="003350FF"/>
    <w:rsid w:val="0034057C"/>
    <w:rsid w:val="00350142"/>
    <w:rsid w:val="003530F8"/>
    <w:rsid w:val="003533CE"/>
    <w:rsid w:val="00353B6D"/>
    <w:rsid w:val="00354920"/>
    <w:rsid w:val="00355DC6"/>
    <w:rsid w:val="00356EB4"/>
    <w:rsid w:val="003602B2"/>
    <w:rsid w:val="003604D7"/>
    <w:rsid w:val="0036351E"/>
    <w:rsid w:val="003635D7"/>
    <w:rsid w:val="00364521"/>
    <w:rsid w:val="00365026"/>
    <w:rsid w:val="0036792A"/>
    <w:rsid w:val="00367F82"/>
    <w:rsid w:val="0037045D"/>
    <w:rsid w:val="003738D2"/>
    <w:rsid w:val="003756AF"/>
    <w:rsid w:val="00375815"/>
    <w:rsid w:val="00380441"/>
    <w:rsid w:val="003808CC"/>
    <w:rsid w:val="00381D7F"/>
    <w:rsid w:val="00382696"/>
    <w:rsid w:val="00382C59"/>
    <w:rsid w:val="0038438A"/>
    <w:rsid w:val="00385C6B"/>
    <w:rsid w:val="003864D2"/>
    <w:rsid w:val="00386A93"/>
    <w:rsid w:val="00390249"/>
    <w:rsid w:val="00390ABC"/>
    <w:rsid w:val="00390BF8"/>
    <w:rsid w:val="003916E4"/>
    <w:rsid w:val="00392877"/>
    <w:rsid w:val="00392C66"/>
    <w:rsid w:val="00392E12"/>
    <w:rsid w:val="00394D7E"/>
    <w:rsid w:val="003956E9"/>
    <w:rsid w:val="003965EC"/>
    <w:rsid w:val="00396BA0"/>
    <w:rsid w:val="003A0E17"/>
    <w:rsid w:val="003A0EC2"/>
    <w:rsid w:val="003A357E"/>
    <w:rsid w:val="003A67E6"/>
    <w:rsid w:val="003A6E62"/>
    <w:rsid w:val="003A78B5"/>
    <w:rsid w:val="003A7BE8"/>
    <w:rsid w:val="003A7C85"/>
    <w:rsid w:val="003A7FBE"/>
    <w:rsid w:val="003B0BEE"/>
    <w:rsid w:val="003B0D09"/>
    <w:rsid w:val="003B165A"/>
    <w:rsid w:val="003B2140"/>
    <w:rsid w:val="003B35EA"/>
    <w:rsid w:val="003C2478"/>
    <w:rsid w:val="003C28B8"/>
    <w:rsid w:val="003C41BB"/>
    <w:rsid w:val="003C4CEF"/>
    <w:rsid w:val="003C6934"/>
    <w:rsid w:val="003C6EAE"/>
    <w:rsid w:val="003C7287"/>
    <w:rsid w:val="003C74F9"/>
    <w:rsid w:val="003C7FD0"/>
    <w:rsid w:val="003D0268"/>
    <w:rsid w:val="003D1A43"/>
    <w:rsid w:val="003D1A64"/>
    <w:rsid w:val="003D5A22"/>
    <w:rsid w:val="003D678E"/>
    <w:rsid w:val="003E13A6"/>
    <w:rsid w:val="003E1F86"/>
    <w:rsid w:val="003E25BF"/>
    <w:rsid w:val="003E31E5"/>
    <w:rsid w:val="003E32ED"/>
    <w:rsid w:val="003E3A39"/>
    <w:rsid w:val="003E3CBF"/>
    <w:rsid w:val="003E58C9"/>
    <w:rsid w:val="003F0CAE"/>
    <w:rsid w:val="003F131E"/>
    <w:rsid w:val="003F2F91"/>
    <w:rsid w:val="003F578D"/>
    <w:rsid w:val="003F650B"/>
    <w:rsid w:val="003F67B8"/>
    <w:rsid w:val="003F6E2E"/>
    <w:rsid w:val="003F6E47"/>
    <w:rsid w:val="004004E9"/>
    <w:rsid w:val="00400FDE"/>
    <w:rsid w:val="0040227F"/>
    <w:rsid w:val="00402595"/>
    <w:rsid w:val="004042D9"/>
    <w:rsid w:val="004052C5"/>
    <w:rsid w:val="004100AA"/>
    <w:rsid w:val="00411603"/>
    <w:rsid w:val="00412203"/>
    <w:rsid w:val="004130A2"/>
    <w:rsid w:val="0041563A"/>
    <w:rsid w:val="00415C2A"/>
    <w:rsid w:val="00417929"/>
    <w:rsid w:val="00417D45"/>
    <w:rsid w:val="00417DE3"/>
    <w:rsid w:val="00420B07"/>
    <w:rsid w:val="00420D57"/>
    <w:rsid w:val="00422869"/>
    <w:rsid w:val="00426448"/>
    <w:rsid w:val="0043257A"/>
    <w:rsid w:val="00436FD3"/>
    <w:rsid w:val="004406CF"/>
    <w:rsid w:val="004409B7"/>
    <w:rsid w:val="00441804"/>
    <w:rsid w:val="004435B4"/>
    <w:rsid w:val="0044428C"/>
    <w:rsid w:val="0045066C"/>
    <w:rsid w:val="0045478C"/>
    <w:rsid w:val="00454F47"/>
    <w:rsid w:val="004553CE"/>
    <w:rsid w:val="0046048A"/>
    <w:rsid w:val="00460D9E"/>
    <w:rsid w:val="00461690"/>
    <w:rsid w:val="00465AC6"/>
    <w:rsid w:val="00466346"/>
    <w:rsid w:val="00470619"/>
    <w:rsid w:val="0047089C"/>
    <w:rsid w:val="00470AC2"/>
    <w:rsid w:val="0047334E"/>
    <w:rsid w:val="0047461F"/>
    <w:rsid w:val="004751D6"/>
    <w:rsid w:val="00476637"/>
    <w:rsid w:val="00477DBA"/>
    <w:rsid w:val="00477E20"/>
    <w:rsid w:val="00480BB8"/>
    <w:rsid w:val="00481674"/>
    <w:rsid w:val="00481D51"/>
    <w:rsid w:val="00484192"/>
    <w:rsid w:val="0048505E"/>
    <w:rsid w:val="0048519E"/>
    <w:rsid w:val="00485EC7"/>
    <w:rsid w:val="004860BD"/>
    <w:rsid w:val="00487430"/>
    <w:rsid w:val="00487AE9"/>
    <w:rsid w:val="00490B5A"/>
    <w:rsid w:val="00492DCA"/>
    <w:rsid w:val="004A038C"/>
    <w:rsid w:val="004A0A7B"/>
    <w:rsid w:val="004A0BB0"/>
    <w:rsid w:val="004A26CD"/>
    <w:rsid w:val="004A3584"/>
    <w:rsid w:val="004A4D3B"/>
    <w:rsid w:val="004A5121"/>
    <w:rsid w:val="004A577A"/>
    <w:rsid w:val="004A74B3"/>
    <w:rsid w:val="004A7990"/>
    <w:rsid w:val="004B017A"/>
    <w:rsid w:val="004B1796"/>
    <w:rsid w:val="004B40F3"/>
    <w:rsid w:val="004B4D49"/>
    <w:rsid w:val="004B4F49"/>
    <w:rsid w:val="004B591D"/>
    <w:rsid w:val="004B6A23"/>
    <w:rsid w:val="004B7070"/>
    <w:rsid w:val="004B7443"/>
    <w:rsid w:val="004B7542"/>
    <w:rsid w:val="004C3363"/>
    <w:rsid w:val="004C4ACC"/>
    <w:rsid w:val="004C7E83"/>
    <w:rsid w:val="004D34F2"/>
    <w:rsid w:val="004D40B9"/>
    <w:rsid w:val="004D5DB3"/>
    <w:rsid w:val="004D65B7"/>
    <w:rsid w:val="004E0350"/>
    <w:rsid w:val="004E1A57"/>
    <w:rsid w:val="004E1AD9"/>
    <w:rsid w:val="004E345F"/>
    <w:rsid w:val="004E41C7"/>
    <w:rsid w:val="004F1F98"/>
    <w:rsid w:val="004F2D88"/>
    <w:rsid w:val="004F41A2"/>
    <w:rsid w:val="00502664"/>
    <w:rsid w:val="0050449E"/>
    <w:rsid w:val="005070C3"/>
    <w:rsid w:val="005124DC"/>
    <w:rsid w:val="00514036"/>
    <w:rsid w:val="00515CEB"/>
    <w:rsid w:val="005208D3"/>
    <w:rsid w:val="00520EE4"/>
    <w:rsid w:val="0052167E"/>
    <w:rsid w:val="005220BE"/>
    <w:rsid w:val="005261E0"/>
    <w:rsid w:val="00526BBF"/>
    <w:rsid w:val="00534975"/>
    <w:rsid w:val="005400D1"/>
    <w:rsid w:val="00542D5F"/>
    <w:rsid w:val="005435DE"/>
    <w:rsid w:val="005448BD"/>
    <w:rsid w:val="00544C28"/>
    <w:rsid w:val="00546BAE"/>
    <w:rsid w:val="005472B9"/>
    <w:rsid w:val="00551964"/>
    <w:rsid w:val="00552EBD"/>
    <w:rsid w:val="00553827"/>
    <w:rsid w:val="00554856"/>
    <w:rsid w:val="00554FF1"/>
    <w:rsid w:val="00555F71"/>
    <w:rsid w:val="00560241"/>
    <w:rsid w:val="005613B8"/>
    <w:rsid w:val="00562A54"/>
    <w:rsid w:val="005660FF"/>
    <w:rsid w:val="00567A56"/>
    <w:rsid w:val="0057338D"/>
    <w:rsid w:val="005740F6"/>
    <w:rsid w:val="005743D2"/>
    <w:rsid w:val="00575D47"/>
    <w:rsid w:val="00575DE3"/>
    <w:rsid w:val="00576ABF"/>
    <w:rsid w:val="00576C93"/>
    <w:rsid w:val="00576F74"/>
    <w:rsid w:val="005801C7"/>
    <w:rsid w:val="005802BD"/>
    <w:rsid w:val="0058389F"/>
    <w:rsid w:val="00586FA8"/>
    <w:rsid w:val="00587F23"/>
    <w:rsid w:val="00591E3A"/>
    <w:rsid w:val="00593A79"/>
    <w:rsid w:val="00593CB4"/>
    <w:rsid w:val="00594BDF"/>
    <w:rsid w:val="005A1803"/>
    <w:rsid w:val="005A3131"/>
    <w:rsid w:val="005A4FE8"/>
    <w:rsid w:val="005A7A4E"/>
    <w:rsid w:val="005B0D7C"/>
    <w:rsid w:val="005B0E86"/>
    <w:rsid w:val="005B12BD"/>
    <w:rsid w:val="005B2BC6"/>
    <w:rsid w:val="005B2BE4"/>
    <w:rsid w:val="005B5DCF"/>
    <w:rsid w:val="005B5DEE"/>
    <w:rsid w:val="005B6854"/>
    <w:rsid w:val="005C0DBE"/>
    <w:rsid w:val="005C4034"/>
    <w:rsid w:val="005C465F"/>
    <w:rsid w:val="005C4D52"/>
    <w:rsid w:val="005C5344"/>
    <w:rsid w:val="005C651C"/>
    <w:rsid w:val="005C6DA6"/>
    <w:rsid w:val="005D1427"/>
    <w:rsid w:val="005D2B62"/>
    <w:rsid w:val="005D30BF"/>
    <w:rsid w:val="005D3391"/>
    <w:rsid w:val="005D49C8"/>
    <w:rsid w:val="005D4DD4"/>
    <w:rsid w:val="005D5607"/>
    <w:rsid w:val="005E1D9A"/>
    <w:rsid w:val="005E37E9"/>
    <w:rsid w:val="005E3922"/>
    <w:rsid w:val="005E3B81"/>
    <w:rsid w:val="005E72B7"/>
    <w:rsid w:val="005F03DB"/>
    <w:rsid w:val="005F1701"/>
    <w:rsid w:val="005F5BC9"/>
    <w:rsid w:val="00603A46"/>
    <w:rsid w:val="00605414"/>
    <w:rsid w:val="00611A49"/>
    <w:rsid w:val="00613017"/>
    <w:rsid w:val="00613A54"/>
    <w:rsid w:val="00614839"/>
    <w:rsid w:val="006155F8"/>
    <w:rsid w:val="00615BA8"/>
    <w:rsid w:val="00616189"/>
    <w:rsid w:val="00621211"/>
    <w:rsid w:val="00621760"/>
    <w:rsid w:val="00621785"/>
    <w:rsid w:val="006217BB"/>
    <w:rsid w:val="00623A31"/>
    <w:rsid w:val="00625BD5"/>
    <w:rsid w:val="00625CAE"/>
    <w:rsid w:val="00625DFB"/>
    <w:rsid w:val="00626F66"/>
    <w:rsid w:val="00632987"/>
    <w:rsid w:val="00634777"/>
    <w:rsid w:val="00634CEB"/>
    <w:rsid w:val="00637179"/>
    <w:rsid w:val="006407C9"/>
    <w:rsid w:val="00642893"/>
    <w:rsid w:val="00646100"/>
    <w:rsid w:val="006476CA"/>
    <w:rsid w:val="00652D6A"/>
    <w:rsid w:val="006552AE"/>
    <w:rsid w:val="00655773"/>
    <w:rsid w:val="006563CA"/>
    <w:rsid w:val="006578FC"/>
    <w:rsid w:val="006607B2"/>
    <w:rsid w:val="006608AB"/>
    <w:rsid w:val="00660DBF"/>
    <w:rsid w:val="00664587"/>
    <w:rsid w:val="006653BF"/>
    <w:rsid w:val="00666E62"/>
    <w:rsid w:val="00666F25"/>
    <w:rsid w:val="00667C1C"/>
    <w:rsid w:val="00671885"/>
    <w:rsid w:val="00673DD4"/>
    <w:rsid w:val="00674AEB"/>
    <w:rsid w:val="006753B0"/>
    <w:rsid w:val="00681656"/>
    <w:rsid w:val="00683CB5"/>
    <w:rsid w:val="0068455C"/>
    <w:rsid w:val="006851C1"/>
    <w:rsid w:val="00685328"/>
    <w:rsid w:val="006910B0"/>
    <w:rsid w:val="00691615"/>
    <w:rsid w:val="0069333E"/>
    <w:rsid w:val="00693C8E"/>
    <w:rsid w:val="00695210"/>
    <w:rsid w:val="00695D4F"/>
    <w:rsid w:val="006969BA"/>
    <w:rsid w:val="006A026A"/>
    <w:rsid w:val="006A0425"/>
    <w:rsid w:val="006A1D62"/>
    <w:rsid w:val="006A3EA8"/>
    <w:rsid w:val="006A507A"/>
    <w:rsid w:val="006A5829"/>
    <w:rsid w:val="006A6D7F"/>
    <w:rsid w:val="006B0298"/>
    <w:rsid w:val="006B0E83"/>
    <w:rsid w:val="006B112B"/>
    <w:rsid w:val="006B344A"/>
    <w:rsid w:val="006B5493"/>
    <w:rsid w:val="006B67F1"/>
    <w:rsid w:val="006B6946"/>
    <w:rsid w:val="006C10C0"/>
    <w:rsid w:val="006C1B1D"/>
    <w:rsid w:val="006C2B1F"/>
    <w:rsid w:val="006C32BB"/>
    <w:rsid w:val="006C3747"/>
    <w:rsid w:val="006C4A68"/>
    <w:rsid w:val="006C7760"/>
    <w:rsid w:val="006C7EEA"/>
    <w:rsid w:val="006D3A39"/>
    <w:rsid w:val="006D4CC8"/>
    <w:rsid w:val="006D522C"/>
    <w:rsid w:val="006D56AA"/>
    <w:rsid w:val="006D7795"/>
    <w:rsid w:val="006D7ACB"/>
    <w:rsid w:val="006E00EF"/>
    <w:rsid w:val="006E1A7A"/>
    <w:rsid w:val="006E3288"/>
    <w:rsid w:val="006E7216"/>
    <w:rsid w:val="006E76AC"/>
    <w:rsid w:val="006E7EB5"/>
    <w:rsid w:val="006F01E7"/>
    <w:rsid w:val="006F1F3A"/>
    <w:rsid w:val="006F76DD"/>
    <w:rsid w:val="006F7EB8"/>
    <w:rsid w:val="00702A38"/>
    <w:rsid w:val="00702DD7"/>
    <w:rsid w:val="00703B8D"/>
    <w:rsid w:val="007043BE"/>
    <w:rsid w:val="007047D3"/>
    <w:rsid w:val="007049C8"/>
    <w:rsid w:val="00705C3A"/>
    <w:rsid w:val="00705C40"/>
    <w:rsid w:val="007066E2"/>
    <w:rsid w:val="0070683A"/>
    <w:rsid w:val="0071060D"/>
    <w:rsid w:val="0071087E"/>
    <w:rsid w:val="007128E9"/>
    <w:rsid w:val="0071645E"/>
    <w:rsid w:val="00720AB6"/>
    <w:rsid w:val="007229A1"/>
    <w:rsid w:val="00722DA9"/>
    <w:rsid w:val="007235AA"/>
    <w:rsid w:val="00724858"/>
    <w:rsid w:val="00730319"/>
    <w:rsid w:val="0073132C"/>
    <w:rsid w:val="007319E6"/>
    <w:rsid w:val="00732289"/>
    <w:rsid w:val="00732EAF"/>
    <w:rsid w:val="0073402E"/>
    <w:rsid w:val="00735915"/>
    <w:rsid w:val="00735C21"/>
    <w:rsid w:val="0073614A"/>
    <w:rsid w:val="00736FF2"/>
    <w:rsid w:val="00740C8C"/>
    <w:rsid w:val="00741AC4"/>
    <w:rsid w:val="0074285B"/>
    <w:rsid w:val="00744E0C"/>
    <w:rsid w:val="00745D0A"/>
    <w:rsid w:val="007511AE"/>
    <w:rsid w:val="007515BC"/>
    <w:rsid w:val="0075399D"/>
    <w:rsid w:val="00753ABF"/>
    <w:rsid w:val="00755EC9"/>
    <w:rsid w:val="007562FC"/>
    <w:rsid w:val="007573B2"/>
    <w:rsid w:val="007574BB"/>
    <w:rsid w:val="0075764C"/>
    <w:rsid w:val="00762198"/>
    <w:rsid w:val="00763CE8"/>
    <w:rsid w:val="00764E7C"/>
    <w:rsid w:val="00770792"/>
    <w:rsid w:val="00771404"/>
    <w:rsid w:val="00771963"/>
    <w:rsid w:val="007736F9"/>
    <w:rsid w:val="00774184"/>
    <w:rsid w:val="00774FFE"/>
    <w:rsid w:val="00775638"/>
    <w:rsid w:val="00775677"/>
    <w:rsid w:val="0077599A"/>
    <w:rsid w:val="00777108"/>
    <w:rsid w:val="00777353"/>
    <w:rsid w:val="00780CD6"/>
    <w:rsid w:val="00782EA4"/>
    <w:rsid w:val="0078322E"/>
    <w:rsid w:val="00785461"/>
    <w:rsid w:val="00786FF3"/>
    <w:rsid w:val="007876CF"/>
    <w:rsid w:val="00787778"/>
    <w:rsid w:val="00793090"/>
    <w:rsid w:val="007943A2"/>
    <w:rsid w:val="00795A4C"/>
    <w:rsid w:val="00796F2A"/>
    <w:rsid w:val="007A0176"/>
    <w:rsid w:val="007A2F67"/>
    <w:rsid w:val="007A3918"/>
    <w:rsid w:val="007A5D3E"/>
    <w:rsid w:val="007B0E7E"/>
    <w:rsid w:val="007B0E89"/>
    <w:rsid w:val="007B1652"/>
    <w:rsid w:val="007B2C38"/>
    <w:rsid w:val="007B2E54"/>
    <w:rsid w:val="007B31A3"/>
    <w:rsid w:val="007B5620"/>
    <w:rsid w:val="007B6F5A"/>
    <w:rsid w:val="007B7498"/>
    <w:rsid w:val="007B7AEE"/>
    <w:rsid w:val="007B7DA3"/>
    <w:rsid w:val="007C1830"/>
    <w:rsid w:val="007C33EC"/>
    <w:rsid w:val="007C3800"/>
    <w:rsid w:val="007C4BDC"/>
    <w:rsid w:val="007C51C9"/>
    <w:rsid w:val="007C66F4"/>
    <w:rsid w:val="007C6E6C"/>
    <w:rsid w:val="007C76D2"/>
    <w:rsid w:val="007C7EB6"/>
    <w:rsid w:val="007D1032"/>
    <w:rsid w:val="007D290E"/>
    <w:rsid w:val="007D2F75"/>
    <w:rsid w:val="007D3C0E"/>
    <w:rsid w:val="007D4493"/>
    <w:rsid w:val="007D46D1"/>
    <w:rsid w:val="007D4D1B"/>
    <w:rsid w:val="007D6255"/>
    <w:rsid w:val="007E0F76"/>
    <w:rsid w:val="007E22E7"/>
    <w:rsid w:val="007E4232"/>
    <w:rsid w:val="007E69BB"/>
    <w:rsid w:val="007E6AB8"/>
    <w:rsid w:val="007E7D83"/>
    <w:rsid w:val="007F2109"/>
    <w:rsid w:val="007F21C5"/>
    <w:rsid w:val="007F3EF1"/>
    <w:rsid w:val="00801BCE"/>
    <w:rsid w:val="00802515"/>
    <w:rsid w:val="00805DD4"/>
    <w:rsid w:val="00805E96"/>
    <w:rsid w:val="0081054F"/>
    <w:rsid w:val="0081283F"/>
    <w:rsid w:val="00813AA1"/>
    <w:rsid w:val="0081480A"/>
    <w:rsid w:val="008202EB"/>
    <w:rsid w:val="008207DD"/>
    <w:rsid w:val="008240D3"/>
    <w:rsid w:val="00824BC1"/>
    <w:rsid w:val="00826C09"/>
    <w:rsid w:val="00827F88"/>
    <w:rsid w:val="0083049D"/>
    <w:rsid w:val="00830693"/>
    <w:rsid w:val="008336A5"/>
    <w:rsid w:val="00835474"/>
    <w:rsid w:val="008373C0"/>
    <w:rsid w:val="0084145F"/>
    <w:rsid w:val="00841DA2"/>
    <w:rsid w:val="00844A2F"/>
    <w:rsid w:val="008458F6"/>
    <w:rsid w:val="00845AED"/>
    <w:rsid w:val="0084708E"/>
    <w:rsid w:val="00851AE4"/>
    <w:rsid w:val="008526F9"/>
    <w:rsid w:val="00853876"/>
    <w:rsid w:val="0085598D"/>
    <w:rsid w:val="00855C21"/>
    <w:rsid w:val="00862771"/>
    <w:rsid w:val="00865F29"/>
    <w:rsid w:val="0086682F"/>
    <w:rsid w:val="008708DB"/>
    <w:rsid w:val="0087095E"/>
    <w:rsid w:val="00870D9B"/>
    <w:rsid w:val="00872A6D"/>
    <w:rsid w:val="00876F54"/>
    <w:rsid w:val="00877292"/>
    <w:rsid w:val="0087754A"/>
    <w:rsid w:val="00877558"/>
    <w:rsid w:val="0087766C"/>
    <w:rsid w:val="00880552"/>
    <w:rsid w:val="008839DA"/>
    <w:rsid w:val="00884EE8"/>
    <w:rsid w:val="00885168"/>
    <w:rsid w:val="0089173B"/>
    <w:rsid w:val="00891E76"/>
    <w:rsid w:val="0089220F"/>
    <w:rsid w:val="0089328B"/>
    <w:rsid w:val="008935AA"/>
    <w:rsid w:val="008963F0"/>
    <w:rsid w:val="00896DC7"/>
    <w:rsid w:val="00897C84"/>
    <w:rsid w:val="008A03A5"/>
    <w:rsid w:val="008A0DF3"/>
    <w:rsid w:val="008A4138"/>
    <w:rsid w:val="008A4358"/>
    <w:rsid w:val="008A4950"/>
    <w:rsid w:val="008A5D96"/>
    <w:rsid w:val="008A74A2"/>
    <w:rsid w:val="008B17AB"/>
    <w:rsid w:val="008B5C93"/>
    <w:rsid w:val="008B60FB"/>
    <w:rsid w:val="008B64DB"/>
    <w:rsid w:val="008B6848"/>
    <w:rsid w:val="008C2FA1"/>
    <w:rsid w:val="008C34B9"/>
    <w:rsid w:val="008C357C"/>
    <w:rsid w:val="008C6E8B"/>
    <w:rsid w:val="008D1069"/>
    <w:rsid w:val="008D1275"/>
    <w:rsid w:val="008D2C41"/>
    <w:rsid w:val="008D2C4C"/>
    <w:rsid w:val="008D366D"/>
    <w:rsid w:val="008D5FF7"/>
    <w:rsid w:val="008D7E0D"/>
    <w:rsid w:val="008D7EDB"/>
    <w:rsid w:val="008E14AF"/>
    <w:rsid w:val="008E1829"/>
    <w:rsid w:val="008E2327"/>
    <w:rsid w:val="008E5077"/>
    <w:rsid w:val="008E5D51"/>
    <w:rsid w:val="008E64F0"/>
    <w:rsid w:val="008E6FF3"/>
    <w:rsid w:val="008E7B05"/>
    <w:rsid w:val="008F18ED"/>
    <w:rsid w:val="008F2F63"/>
    <w:rsid w:val="008F3EA1"/>
    <w:rsid w:val="008F46C2"/>
    <w:rsid w:val="009001FC"/>
    <w:rsid w:val="00900BEE"/>
    <w:rsid w:val="0090102D"/>
    <w:rsid w:val="009020A8"/>
    <w:rsid w:val="00902D75"/>
    <w:rsid w:val="00903D37"/>
    <w:rsid w:val="0091023A"/>
    <w:rsid w:val="0091055D"/>
    <w:rsid w:val="00914C61"/>
    <w:rsid w:val="00916F03"/>
    <w:rsid w:val="00917D6F"/>
    <w:rsid w:val="0092075F"/>
    <w:rsid w:val="00921B1A"/>
    <w:rsid w:val="00921DDA"/>
    <w:rsid w:val="00922F3B"/>
    <w:rsid w:val="0092600D"/>
    <w:rsid w:val="00927D70"/>
    <w:rsid w:val="00927D80"/>
    <w:rsid w:val="0093039D"/>
    <w:rsid w:val="00931E4F"/>
    <w:rsid w:val="009330F9"/>
    <w:rsid w:val="0093364D"/>
    <w:rsid w:val="00934693"/>
    <w:rsid w:val="00936574"/>
    <w:rsid w:val="00942BF8"/>
    <w:rsid w:val="00943BCE"/>
    <w:rsid w:val="00945D89"/>
    <w:rsid w:val="00955268"/>
    <w:rsid w:val="0095568C"/>
    <w:rsid w:val="00956793"/>
    <w:rsid w:val="009570C0"/>
    <w:rsid w:val="00960346"/>
    <w:rsid w:val="009617D3"/>
    <w:rsid w:val="0096463B"/>
    <w:rsid w:val="0096693C"/>
    <w:rsid w:val="00967869"/>
    <w:rsid w:val="00971F54"/>
    <w:rsid w:val="009725C5"/>
    <w:rsid w:val="00972FA1"/>
    <w:rsid w:val="00973F40"/>
    <w:rsid w:val="00973FDF"/>
    <w:rsid w:val="00975569"/>
    <w:rsid w:val="00975DC0"/>
    <w:rsid w:val="00975FC1"/>
    <w:rsid w:val="00976201"/>
    <w:rsid w:val="00981ED0"/>
    <w:rsid w:val="00983AA1"/>
    <w:rsid w:val="009849EF"/>
    <w:rsid w:val="00984F18"/>
    <w:rsid w:val="00985849"/>
    <w:rsid w:val="00986C01"/>
    <w:rsid w:val="00986DB7"/>
    <w:rsid w:val="0098795A"/>
    <w:rsid w:val="0099200F"/>
    <w:rsid w:val="00992DBD"/>
    <w:rsid w:val="009934CF"/>
    <w:rsid w:val="00993DCF"/>
    <w:rsid w:val="009A0C8C"/>
    <w:rsid w:val="009A0D75"/>
    <w:rsid w:val="009A0EA5"/>
    <w:rsid w:val="009A261A"/>
    <w:rsid w:val="009A347A"/>
    <w:rsid w:val="009A521D"/>
    <w:rsid w:val="009A620E"/>
    <w:rsid w:val="009B1279"/>
    <w:rsid w:val="009B548D"/>
    <w:rsid w:val="009B5B27"/>
    <w:rsid w:val="009B5F8C"/>
    <w:rsid w:val="009B6A6F"/>
    <w:rsid w:val="009C10B3"/>
    <w:rsid w:val="009C1AFE"/>
    <w:rsid w:val="009C4081"/>
    <w:rsid w:val="009C4521"/>
    <w:rsid w:val="009C5F24"/>
    <w:rsid w:val="009C6FAD"/>
    <w:rsid w:val="009C7DD9"/>
    <w:rsid w:val="009D048B"/>
    <w:rsid w:val="009D0858"/>
    <w:rsid w:val="009D1681"/>
    <w:rsid w:val="009D4DD5"/>
    <w:rsid w:val="009D69C6"/>
    <w:rsid w:val="009E0686"/>
    <w:rsid w:val="009E20CD"/>
    <w:rsid w:val="009E2EDB"/>
    <w:rsid w:val="009E5419"/>
    <w:rsid w:val="009E5A6E"/>
    <w:rsid w:val="009E6916"/>
    <w:rsid w:val="009E6D87"/>
    <w:rsid w:val="009F2047"/>
    <w:rsid w:val="009F46DC"/>
    <w:rsid w:val="009F67B2"/>
    <w:rsid w:val="009F714F"/>
    <w:rsid w:val="00A01C00"/>
    <w:rsid w:val="00A0439D"/>
    <w:rsid w:val="00A06C4B"/>
    <w:rsid w:val="00A105D2"/>
    <w:rsid w:val="00A10F9F"/>
    <w:rsid w:val="00A112F7"/>
    <w:rsid w:val="00A11CAD"/>
    <w:rsid w:val="00A1206F"/>
    <w:rsid w:val="00A13AA9"/>
    <w:rsid w:val="00A13D97"/>
    <w:rsid w:val="00A143CD"/>
    <w:rsid w:val="00A1620D"/>
    <w:rsid w:val="00A16AC0"/>
    <w:rsid w:val="00A22E26"/>
    <w:rsid w:val="00A23D31"/>
    <w:rsid w:val="00A24C9B"/>
    <w:rsid w:val="00A27D2B"/>
    <w:rsid w:val="00A301A7"/>
    <w:rsid w:val="00A30BD7"/>
    <w:rsid w:val="00A30C34"/>
    <w:rsid w:val="00A30FD3"/>
    <w:rsid w:val="00A33D15"/>
    <w:rsid w:val="00A35E2F"/>
    <w:rsid w:val="00A35EFA"/>
    <w:rsid w:val="00A36A06"/>
    <w:rsid w:val="00A37891"/>
    <w:rsid w:val="00A37B60"/>
    <w:rsid w:val="00A40A51"/>
    <w:rsid w:val="00A472B2"/>
    <w:rsid w:val="00A47916"/>
    <w:rsid w:val="00A50EAF"/>
    <w:rsid w:val="00A50FAD"/>
    <w:rsid w:val="00A536DA"/>
    <w:rsid w:val="00A55625"/>
    <w:rsid w:val="00A558CA"/>
    <w:rsid w:val="00A55CDF"/>
    <w:rsid w:val="00A56159"/>
    <w:rsid w:val="00A56C76"/>
    <w:rsid w:val="00A571CD"/>
    <w:rsid w:val="00A57C3D"/>
    <w:rsid w:val="00A63E05"/>
    <w:rsid w:val="00A65983"/>
    <w:rsid w:val="00A6697B"/>
    <w:rsid w:val="00A74C2D"/>
    <w:rsid w:val="00A76B34"/>
    <w:rsid w:val="00A83487"/>
    <w:rsid w:val="00A854FF"/>
    <w:rsid w:val="00A866F3"/>
    <w:rsid w:val="00A87035"/>
    <w:rsid w:val="00A8745D"/>
    <w:rsid w:val="00A9024A"/>
    <w:rsid w:val="00A90F9B"/>
    <w:rsid w:val="00A92694"/>
    <w:rsid w:val="00A93072"/>
    <w:rsid w:val="00A9629C"/>
    <w:rsid w:val="00A9748C"/>
    <w:rsid w:val="00AA35D5"/>
    <w:rsid w:val="00AA417B"/>
    <w:rsid w:val="00AA533F"/>
    <w:rsid w:val="00AA5A86"/>
    <w:rsid w:val="00AA70FB"/>
    <w:rsid w:val="00AA7BBF"/>
    <w:rsid w:val="00AB010D"/>
    <w:rsid w:val="00AB0749"/>
    <w:rsid w:val="00AB1341"/>
    <w:rsid w:val="00AB5901"/>
    <w:rsid w:val="00AB76D8"/>
    <w:rsid w:val="00AB7E6A"/>
    <w:rsid w:val="00AC0ABB"/>
    <w:rsid w:val="00AC1B61"/>
    <w:rsid w:val="00AC2C6E"/>
    <w:rsid w:val="00AC584A"/>
    <w:rsid w:val="00AC5EE6"/>
    <w:rsid w:val="00AC6BBF"/>
    <w:rsid w:val="00AC76CA"/>
    <w:rsid w:val="00AD0D24"/>
    <w:rsid w:val="00AD1923"/>
    <w:rsid w:val="00AD2611"/>
    <w:rsid w:val="00AD29FD"/>
    <w:rsid w:val="00AD3979"/>
    <w:rsid w:val="00AD3AC5"/>
    <w:rsid w:val="00AD3D57"/>
    <w:rsid w:val="00AD4480"/>
    <w:rsid w:val="00AD5489"/>
    <w:rsid w:val="00AD7301"/>
    <w:rsid w:val="00AE0733"/>
    <w:rsid w:val="00AE47BF"/>
    <w:rsid w:val="00AF06EE"/>
    <w:rsid w:val="00AF148D"/>
    <w:rsid w:val="00AF3218"/>
    <w:rsid w:val="00AF34D0"/>
    <w:rsid w:val="00AF6432"/>
    <w:rsid w:val="00AF682E"/>
    <w:rsid w:val="00AF79BD"/>
    <w:rsid w:val="00B00F32"/>
    <w:rsid w:val="00B01BE6"/>
    <w:rsid w:val="00B04421"/>
    <w:rsid w:val="00B07F12"/>
    <w:rsid w:val="00B1415B"/>
    <w:rsid w:val="00B15278"/>
    <w:rsid w:val="00B21BEE"/>
    <w:rsid w:val="00B22846"/>
    <w:rsid w:val="00B234EC"/>
    <w:rsid w:val="00B25504"/>
    <w:rsid w:val="00B274AE"/>
    <w:rsid w:val="00B274BF"/>
    <w:rsid w:val="00B31222"/>
    <w:rsid w:val="00B334E9"/>
    <w:rsid w:val="00B35682"/>
    <w:rsid w:val="00B36D17"/>
    <w:rsid w:val="00B37CF8"/>
    <w:rsid w:val="00B4201F"/>
    <w:rsid w:val="00B42E81"/>
    <w:rsid w:val="00B4329D"/>
    <w:rsid w:val="00B443F5"/>
    <w:rsid w:val="00B50220"/>
    <w:rsid w:val="00B517D5"/>
    <w:rsid w:val="00B51D6E"/>
    <w:rsid w:val="00B520F9"/>
    <w:rsid w:val="00B52812"/>
    <w:rsid w:val="00B54716"/>
    <w:rsid w:val="00B5495A"/>
    <w:rsid w:val="00B54BBD"/>
    <w:rsid w:val="00B54E04"/>
    <w:rsid w:val="00B55669"/>
    <w:rsid w:val="00B571CD"/>
    <w:rsid w:val="00B577A3"/>
    <w:rsid w:val="00B6258B"/>
    <w:rsid w:val="00B64641"/>
    <w:rsid w:val="00B67D38"/>
    <w:rsid w:val="00B7262F"/>
    <w:rsid w:val="00B727C5"/>
    <w:rsid w:val="00B73823"/>
    <w:rsid w:val="00B73FD4"/>
    <w:rsid w:val="00B74FC5"/>
    <w:rsid w:val="00B75A6C"/>
    <w:rsid w:val="00B75DE3"/>
    <w:rsid w:val="00B81035"/>
    <w:rsid w:val="00B82F2D"/>
    <w:rsid w:val="00B8342E"/>
    <w:rsid w:val="00B83E2A"/>
    <w:rsid w:val="00B83E38"/>
    <w:rsid w:val="00B83E3F"/>
    <w:rsid w:val="00B84C77"/>
    <w:rsid w:val="00B85DF3"/>
    <w:rsid w:val="00B86C19"/>
    <w:rsid w:val="00B92EDF"/>
    <w:rsid w:val="00B93510"/>
    <w:rsid w:val="00B93E33"/>
    <w:rsid w:val="00B950D8"/>
    <w:rsid w:val="00B95291"/>
    <w:rsid w:val="00B954F3"/>
    <w:rsid w:val="00B95BCD"/>
    <w:rsid w:val="00B95CDC"/>
    <w:rsid w:val="00B95CE5"/>
    <w:rsid w:val="00B961D7"/>
    <w:rsid w:val="00BA0CE7"/>
    <w:rsid w:val="00BA0D0B"/>
    <w:rsid w:val="00BA0ED5"/>
    <w:rsid w:val="00BA1037"/>
    <w:rsid w:val="00BA1A16"/>
    <w:rsid w:val="00BA3B4C"/>
    <w:rsid w:val="00BA3B91"/>
    <w:rsid w:val="00BA454D"/>
    <w:rsid w:val="00BA4DCA"/>
    <w:rsid w:val="00BB0220"/>
    <w:rsid w:val="00BB375D"/>
    <w:rsid w:val="00BB49A0"/>
    <w:rsid w:val="00BB515F"/>
    <w:rsid w:val="00BB530D"/>
    <w:rsid w:val="00BB66FD"/>
    <w:rsid w:val="00BC1085"/>
    <w:rsid w:val="00BC11E7"/>
    <w:rsid w:val="00BC1FA5"/>
    <w:rsid w:val="00BC2C0C"/>
    <w:rsid w:val="00BC4A77"/>
    <w:rsid w:val="00BC5753"/>
    <w:rsid w:val="00BC732A"/>
    <w:rsid w:val="00BC758B"/>
    <w:rsid w:val="00BD04B0"/>
    <w:rsid w:val="00BD0C28"/>
    <w:rsid w:val="00BD181B"/>
    <w:rsid w:val="00BD28B5"/>
    <w:rsid w:val="00BD2EAC"/>
    <w:rsid w:val="00BD4BB3"/>
    <w:rsid w:val="00BD5CDF"/>
    <w:rsid w:val="00BD631F"/>
    <w:rsid w:val="00BE17C6"/>
    <w:rsid w:val="00BE2BD3"/>
    <w:rsid w:val="00BE474A"/>
    <w:rsid w:val="00BE4865"/>
    <w:rsid w:val="00BE69BF"/>
    <w:rsid w:val="00BE725A"/>
    <w:rsid w:val="00BE7430"/>
    <w:rsid w:val="00BE7B48"/>
    <w:rsid w:val="00BF23B6"/>
    <w:rsid w:val="00BF3381"/>
    <w:rsid w:val="00C027E3"/>
    <w:rsid w:val="00C07852"/>
    <w:rsid w:val="00C1036F"/>
    <w:rsid w:val="00C105B6"/>
    <w:rsid w:val="00C105BE"/>
    <w:rsid w:val="00C10649"/>
    <w:rsid w:val="00C10FCF"/>
    <w:rsid w:val="00C121D0"/>
    <w:rsid w:val="00C13F61"/>
    <w:rsid w:val="00C16B4B"/>
    <w:rsid w:val="00C1708D"/>
    <w:rsid w:val="00C17427"/>
    <w:rsid w:val="00C17885"/>
    <w:rsid w:val="00C20C00"/>
    <w:rsid w:val="00C210FD"/>
    <w:rsid w:val="00C21EB2"/>
    <w:rsid w:val="00C22901"/>
    <w:rsid w:val="00C22F6B"/>
    <w:rsid w:val="00C24F48"/>
    <w:rsid w:val="00C25238"/>
    <w:rsid w:val="00C253EA"/>
    <w:rsid w:val="00C305F2"/>
    <w:rsid w:val="00C3345C"/>
    <w:rsid w:val="00C3396A"/>
    <w:rsid w:val="00C33B8D"/>
    <w:rsid w:val="00C3515C"/>
    <w:rsid w:val="00C35258"/>
    <w:rsid w:val="00C407E5"/>
    <w:rsid w:val="00C42DAC"/>
    <w:rsid w:val="00C4342B"/>
    <w:rsid w:val="00C459A9"/>
    <w:rsid w:val="00C502A5"/>
    <w:rsid w:val="00C51651"/>
    <w:rsid w:val="00C521F7"/>
    <w:rsid w:val="00C53008"/>
    <w:rsid w:val="00C54866"/>
    <w:rsid w:val="00C55151"/>
    <w:rsid w:val="00C558FF"/>
    <w:rsid w:val="00C560FA"/>
    <w:rsid w:val="00C5640E"/>
    <w:rsid w:val="00C56AE3"/>
    <w:rsid w:val="00C570C5"/>
    <w:rsid w:val="00C57FF9"/>
    <w:rsid w:val="00C6034B"/>
    <w:rsid w:val="00C64434"/>
    <w:rsid w:val="00C7063C"/>
    <w:rsid w:val="00C73C57"/>
    <w:rsid w:val="00C74D43"/>
    <w:rsid w:val="00C753AA"/>
    <w:rsid w:val="00C75CA7"/>
    <w:rsid w:val="00C76B5E"/>
    <w:rsid w:val="00C7762E"/>
    <w:rsid w:val="00C8079B"/>
    <w:rsid w:val="00C80BD1"/>
    <w:rsid w:val="00C81961"/>
    <w:rsid w:val="00C832E5"/>
    <w:rsid w:val="00C83C1D"/>
    <w:rsid w:val="00C901BB"/>
    <w:rsid w:val="00C90CD3"/>
    <w:rsid w:val="00C92552"/>
    <w:rsid w:val="00C93F1B"/>
    <w:rsid w:val="00C976D1"/>
    <w:rsid w:val="00CA39B2"/>
    <w:rsid w:val="00CA435C"/>
    <w:rsid w:val="00CA654E"/>
    <w:rsid w:val="00CA71D4"/>
    <w:rsid w:val="00CB4844"/>
    <w:rsid w:val="00CB5D29"/>
    <w:rsid w:val="00CB6461"/>
    <w:rsid w:val="00CB675A"/>
    <w:rsid w:val="00CB68B1"/>
    <w:rsid w:val="00CB70A7"/>
    <w:rsid w:val="00CB782B"/>
    <w:rsid w:val="00CC0529"/>
    <w:rsid w:val="00CC0E77"/>
    <w:rsid w:val="00CC2092"/>
    <w:rsid w:val="00CC23A0"/>
    <w:rsid w:val="00CC5E76"/>
    <w:rsid w:val="00CC7B01"/>
    <w:rsid w:val="00CD0E7F"/>
    <w:rsid w:val="00CD2546"/>
    <w:rsid w:val="00CD3A5D"/>
    <w:rsid w:val="00CD5FD4"/>
    <w:rsid w:val="00CD7B62"/>
    <w:rsid w:val="00CE0DCE"/>
    <w:rsid w:val="00CE1BC9"/>
    <w:rsid w:val="00CE1C2B"/>
    <w:rsid w:val="00CE1ED1"/>
    <w:rsid w:val="00CE27C1"/>
    <w:rsid w:val="00CE33C1"/>
    <w:rsid w:val="00CE4DD6"/>
    <w:rsid w:val="00CE4E77"/>
    <w:rsid w:val="00CE50C0"/>
    <w:rsid w:val="00CE5F04"/>
    <w:rsid w:val="00CE76FF"/>
    <w:rsid w:val="00CF204F"/>
    <w:rsid w:val="00CF4012"/>
    <w:rsid w:val="00CF4515"/>
    <w:rsid w:val="00CF57BB"/>
    <w:rsid w:val="00CF5C25"/>
    <w:rsid w:val="00D00AC4"/>
    <w:rsid w:val="00D02BC6"/>
    <w:rsid w:val="00D0310D"/>
    <w:rsid w:val="00D048D4"/>
    <w:rsid w:val="00D05803"/>
    <w:rsid w:val="00D05C7C"/>
    <w:rsid w:val="00D06906"/>
    <w:rsid w:val="00D07742"/>
    <w:rsid w:val="00D10B4D"/>
    <w:rsid w:val="00D1276A"/>
    <w:rsid w:val="00D12DF2"/>
    <w:rsid w:val="00D14721"/>
    <w:rsid w:val="00D14DB7"/>
    <w:rsid w:val="00D15ED5"/>
    <w:rsid w:val="00D17446"/>
    <w:rsid w:val="00D21110"/>
    <w:rsid w:val="00D22B6A"/>
    <w:rsid w:val="00D266B9"/>
    <w:rsid w:val="00D26C49"/>
    <w:rsid w:val="00D348F7"/>
    <w:rsid w:val="00D36AA4"/>
    <w:rsid w:val="00D36AC2"/>
    <w:rsid w:val="00D3703D"/>
    <w:rsid w:val="00D40BC3"/>
    <w:rsid w:val="00D410EC"/>
    <w:rsid w:val="00D434EC"/>
    <w:rsid w:val="00D44E9D"/>
    <w:rsid w:val="00D472A7"/>
    <w:rsid w:val="00D47945"/>
    <w:rsid w:val="00D47A95"/>
    <w:rsid w:val="00D47F59"/>
    <w:rsid w:val="00D5077B"/>
    <w:rsid w:val="00D51986"/>
    <w:rsid w:val="00D52E13"/>
    <w:rsid w:val="00D554D3"/>
    <w:rsid w:val="00D575C9"/>
    <w:rsid w:val="00D578B2"/>
    <w:rsid w:val="00D600E7"/>
    <w:rsid w:val="00D61A0E"/>
    <w:rsid w:val="00D64DB3"/>
    <w:rsid w:val="00D71CF9"/>
    <w:rsid w:val="00D75FF9"/>
    <w:rsid w:val="00D76D53"/>
    <w:rsid w:val="00D77BDB"/>
    <w:rsid w:val="00D80F9D"/>
    <w:rsid w:val="00D81BAE"/>
    <w:rsid w:val="00D81D3B"/>
    <w:rsid w:val="00D82250"/>
    <w:rsid w:val="00D822E4"/>
    <w:rsid w:val="00D82681"/>
    <w:rsid w:val="00D849DD"/>
    <w:rsid w:val="00D84B17"/>
    <w:rsid w:val="00D8507D"/>
    <w:rsid w:val="00D86735"/>
    <w:rsid w:val="00D870C7"/>
    <w:rsid w:val="00D8718E"/>
    <w:rsid w:val="00D871FB"/>
    <w:rsid w:val="00D905E7"/>
    <w:rsid w:val="00D90C9D"/>
    <w:rsid w:val="00D90E57"/>
    <w:rsid w:val="00D91910"/>
    <w:rsid w:val="00D91AA8"/>
    <w:rsid w:val="00D931D4"/>
    <w:rsid w:val="00D944A6"/>
    <w:rsid w:val="00D95B92"/>
    <w:rsid w:val="00D95C7A"/>
    <w:rsid w:val="00D96BF1"/>
    <w:rsid w:val="00D96FC3"/>
    <w:rsid w:val="00DA07D5"/>
    <w:rsid w:val="00DA12C3"/>
    <w:rsid w:val="00DA2571"/>
    <w:rsid w:val="00DA25CF"/>
    <w:rsid w:val="00DA495D"/>
    <w:rsid w:val="00DA7BA0"/>
    <w:rsid w:val="00DB0920"/>
    <w:rsid w:val="00DB38AE"/>
    <w:rsid w:val="00DB469A"/>
    <w:rsid w:val="00DB52C3"/>
    <w:rsid w:val="00DB5DA3"/>
    <w:rsid w:val="00DB7937"/>
    <w:rsid w:val="00DB7DA7"/>
    <w:rsid w:val="00DB7E5F"/>
    <w:rsid w:val="00DC1074"/>
    <w:rsid w:val="00DC10B0"/>
    <w:rsid w:val="00DC1594"/>
    <w:rsid w:val="00DC4BCD"/>
    <w:rsid w:val="00DC5AF4"/>
    <w:rsid w:val="00DC6961"/>
    <w:rsid w:val="00DC6B8A"/>
    <w:rsid w:val="00DD1107"/>
    <w:rsid w:val="00DD178F"/>
    <w:rsid w:val="00DD1804"/>
    <w:rsid w:val="00DD1FE4"/>
    <w:rsid w:val="00DD2303"/>
    <w:rsid w:val="00DD53DC"/>
    <w:rsid w:val="00DD598D"/>
    <w:rsid w:val="00DE2966"/>
    <w:rsid w:val="00DE4107"/>
    <w:rsid w:val="00DE5256"/>
    <w:rsid w:val="00DE6AB6"/>
    <w:rsid w:val="00DE6B36"/>
    <w:rsid w:val="00DF0B5E"/>
    <w:rsid w:val="00DF0ED5"/>
    <w:rsid w:val="00DF12BC"/>
    <w:rsid w:val="00DF72D9"/>
    <w:rsid w:val="00DF74A5"/>
    <w:rsid w:val="00DF7EC8"/>
    <w:rsid w:val="00E00E59"/>
    <w:rsid w:val="00E01A81"/>
    <w:rsid w:val="00E028ED"/>
    <w:rsid w:val="00E0417F"/>
    <w:rsid w:val="00E04A38"/>
    <w:rsid w:val="00E104F6"/>
    <w:rsid w:val="00E10748"/>
    <w:rsid w:val="00E12F57"/>
    <w:rsid w:val="00E13258"/>
    <w:rsid w:val="00E1343E"/>
    <w:rsid w:val="00E14282"/>
    <w:rsid w:val="00E16E9E"/>
    <w:rsid w:val="00E20118"/>
    <w:rsid w:val="00E24D87"/>
    <w:rsid w:val="00E255E3"/>
    <w:rsid w:val="00E27DDF"/>
    <w:rsid w:val="00E27E01"/>
    <w:rsid w:val="00E30A90"/>
    <w:rsid w:val="00E32DBA"/>
    <w:rsid w:val="00E350F4"/>
    <w:rsid w:val="00E360D1"/>
    <w:rsid w:val="00E36323"/>
    <w:rsid w:val="00E366C2"/>
    <w:rsid w:val="00E42ED4"/>
    <w:rsid w:val="00E43469"/>
    <w:rsid w:val="00E445DA"/>
    <w:rsid w:val="00E45379"/>
    <w:rsid w:val="00E45786"/>
    <w:rsid w:val="00E46195"/>
    <w:rsid w:val="00E47EBE"/>
    <w:rsid w:val="00E5009B"/>
    <w:rsid w:val="00E50B22"/>
    <w:rsid w:val="00E51E18"/>
    <w:rsid w:val="00E533BD"/>
    <w:rsid w:val="00E53706"/>
    <w:rsid w:val="00E54FC8"/>
    <w:rsid w:val="00E55246"/>
    <w:rsid w:val="00E571B5"/>
    <w:rsid w:val="00E573C6"/>
    <w:rsid w:val="00E577FA"/>
    <w:rsid w:val="00E57CE2"/>
    <w:rsid w:val="00E617BD"/>
    <w:rsid w:val="00E70503"/>
    <w:rsid w:val="00E705B4"/>
    <w:rsid w:val="00E72084"/>
    <w:rsid w:val="00E72967"/>
    <w:rsid w:val="00E8155D"/>
    <w:rsid w:val="00E84B29"/>
    <w:rsid w:val="00E861C3"/>
    <w:rsid w:val="00E86361"/>
    <w:rsid w:val="00E86A80"/>
    <w:rsid w:val="00E90C37"/>
    <w:rsid w:val="00E9571C"/>
    <w:rsid w:val="00E95BD6"/>
    <w:rsid w:val="00EA0E04"/>
    <w:rsid w:val="00EA220D"/>
    <w:rsid w:val="00EA3156"/>
    <w:rsid w:val="00EA40A2"/>
    <w:rsid w:val="00EA4CD5"/>
    <w:rsid w:val="00EA5D2C"/>
    <w:rsid w:val="00EA5D8E"/>
    <w:rsid w:val="00EA68DA"/>
    <w:rsid w:val="00EB07CF"/>
    <w:rsid w:val="00EB3B88"/>
    <w:rsid w:val="00EB76D3"/>
    <w:rsid w:val="00EC3B8F"/>
    <w:rsid w:val="00EC5CA0"/>
    <w:rsid w:val="00EC7187"/>
    <w:rsid w:val="00EC7372"/>
    <w:rsid w:val="00ED2C39"/>
    <w:rsid w:val="00ED30E8"/>
    <w:rsid w:val="00ED3B69"/>
    <w:rsid w:val="00ED4F62"/>
    <w:rsid w:val="00ED669A"/>
    <w:rsid w:val="00ED6CD1"/>
    <w:rsid w:val="00ED729D"/>
    <w:rsid w:val="00ED74A3"/>
    <w:rsid w:val="00EE2EE0"/>
    <w:rsid w:val="00EE3577"/>
    <w:rsid w:val="00EE5F2E"/>
    <w:rsid w:val="00EE7F2F"/>
    <w:rsid w:val="00EF3750"/>
    <w:rsid w:val="00EF4A64"/>
    <w:rsid w:val="00F00407"/>
    <w:rsid w:val="00F01854"/>
    <w:rsid w:val="00F020B4"/>
    <w:rsid w:val="00F02171"/>
    <w:rsid w:val="00F033EF"/>
    <w:rsid w:val="00F061A6"/>
    <w:rsid w:val="00F107AF"/>
    <w:rsid w:val="00F11AB3"/>
    <w:rsid w:val="00F143EA"/>
    <w:rsid w:val="00F14D63"/>
    <w:rsid w:val="00F15D77"/>
    <w:rsid w:val="00F16441"/>
    <w:rsid w:val="00F1692B"/>
    <w:rsid w:val="00F20633"/>
    <w:rsid w:val="00F218DA"/>
    <w:rsid w:val="00F23E81"/>
    <w:rsid w:val="00F24317"/>
    <w:rsid w:val="00F25CFE"/>
    <w:rsid w:val="00F35243"/>
    <w:rsid w:val="00F36AD0"/>
    <w:rsid w:val="00F36DFE"/>
    <w:rsid w:val="00F400D7"/>
    <w:rsid w:val="00F4018F"/>
    <w:rsid w:val="00F43E6E"/>
    <w:rsid w:val="00F44282"/>
    <w:rsid w:val="00F44423"/>
    <w:rsid w:val="00F479BF"/>
    <w:rsid w:val="00F51236"/>
    <w:rsid w:val="00F512DF"/>
    <w:rsid w:val="00F51DDB"/>
    <w:rsid w:val="00F5374C"/>
    <w:rsid w:val="00F538C9"/>
    <w:rsid w:val="00F541B8"/>
    <w:rsid w:val="00F56CC2"/>
    <w:rsid w:val="00F574B7"/>
    <w:rsid w:val="00F60BC0"/>
    <w:rsid w:val="00F61B7F"/>
    <w:rsid w:val="00F62370"/>
    <w:rsid w:val="00F628D3"/>
    <w:rsid w:val="00F62A4B"/>
    <w:rsid w:val="00F63A08"/>
    <w:rsid w:val="00F63B42"/>
    <w:rsid w:val="00F6497E"/>
    <w:rsid w:val="00F658D2"/>
    <w:rsid w:val="00F677E2"/>
    <w:rsid w:val="00F67D0E"/>
    <w:rsid w:val="00F70B8D"/>
    <w:rsid w:val="00F73751"/>
    <w:rsid w:val="00F74324"/>
    <w:rsid w:val="00F75EAD"/>
    <w:rsid w:val="00F77154"/>
    <w:rsid w:val="00F80010"/>
    <w:rsid w:val="00F80F33"/>
    <w:rsid w:val="00F846D6"/>
    <w:rsid w:val="00F87295"/>
    <w:rsid w:val="00F9173A"/>
    <w:rsid w:val="00F91800"/>
    <w:rsid w:val="00F9499D"/>
    <w:rsid w:val="00F94C45"/>
    <w:rsid w:val="00F94E99"/>
    <w:rsid w:val="00F9650A"/>
    <w:rsid w:val="00F967C7"/>
    <w:rsid w:val="00FA0437"/>
    <w:rsid w:val="00FA233F"/>
    <w:rsid w:val="00FA294C"/>
    <w:rsid w:val="00FA2E05"/>
    <w:rsid w:val="00FA31E7"/>
    <w:rsid w:val="00FA4111"/>
    <w:rsid w:val="00FA53E0"/>
    <w:rsid w:val="00FA7D57"/>
    <w:rsid w:val="00FB0008"/>
    <w:rsid w:val="00FB071C"/>
    <w:rsid w:val="00FB3EA0"/>
    <w:rsid w:val="00FB4127"/>
    <w:rsid w:val="00FB55F4"/>
    <w:rsid w:val="00FB574B"/>
    <w:rsid w:val="00FB5FC7"/>
    <w:rsid w:val="00FB609C"/>
    <w:rsid w:val="00FB66FA"/>
    <w:rsid w:val="00FC0B63"/>
    <w:rsid w:val="00FC2209"/>
    <w:rsid w:val="00FC293B"/>
    <w:rsid w:val="00FC5AA8"/>
    <w:rsid w:val="00FC6E5D"/>
    <w:rsid w:val="00FC7531"/>
    <w:rsid w:val="00FC7EAA"/>
    <w:rsid w:val="00FD2D96"/>
    <w:rsid w:val="00FD4FA5"/>
    <w:rsid w:val="00FD5166"/>
    <w:rsid w:val="00FD635D"/>
    <w:rsid w:val="00FE5235"/>
    <w:rsid w:val="00FE5410"/>
    <w:rsid w:val="00FE5ED9"/>
    <w:rsid w:val="00FE6151"/>
    <w:rsid w:val="00FF131E"/>
    <w:rsid w:val="00FF37FF"/>
    <w:rsid w:val="00FF456A"/>
    <w:rsid w:val="00FF6127"/>
    <w:rsid w:val="00FF6204"/>
    <w:rsid w:val="00FF634D"/>
  </w:rsids>
  <m:mathPr>
    <m:mathFont m:val="Cambria Math"/>
    <m:brkBin m:val="before"/>
    <m:brkBinSub m:val="--"/>
    <m:smallFrac/>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326057C4"/>
  <w15:docId w15:val="{134B8524-4D15-4C2E-BC0B-2C724ADF3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127"/>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B3122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1222"/>
    <w:rPr>
      <w:rFonts w:asciiTheme="majorHAnsi" w:eastAsiaTheme="majorEastAsia" w:hAnsiTheme="majorHAnsi" w:cstheme="majorBidi"/>
      <w:color w:val="2F5496" w:themeColor="accent1" w:themeShade="BF"/>
      <w:sz w:val="32"/>
      <w:szCs w:val="32"/>
      <w:lang w:val="es-ES" w:eastAsia="es-ES"/>
    </w:rPr>
  </w:style>
  <w:style w:type="paragraph" w:styleId="Encabezado">
    <w:name w:val="header"/>
    <w:basedOn w:val="Normal"/>
    <w:link w:val="EncabezadoCar"/>
    <w:uiPriority w:val="99"/>
    <w:unhideWhenUsed/>
    <w:rsid w:val="00B31222"/>
    <w:pPr>
      <w:tabs>
        <w:tab w:val="center" w:pos="4419"/>
        <w:tab w:val="right" w:pos="8838"/>
      </w:tabs>
    </w:pPr>
  </w:style>
  <w:style w:type="character" w:customStyle="1" w:styleId="EncabezadoCar">
    <w:name w:val="Encabezado Car"/>
    <w:basedOn w:val="Fuentedeprrafopredeter"/>
    <w:link w:val="Encabezado"/>
    <w:uiPriority w:val="99"/>
    <w:rsid w:val="00B3122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B31222"/>
    <w:pPr>
      <w:tabs>
        <w:tab w:val="center" w:pos="4419"/>
        <w:tab w:val="right" w:pos="8838"/>
      </w:tabs>
    </w:pPr>
  </w:style>
  <w:style w:type="character" w:customStyle="1" w:styleId="PiedepginaCar">
    <w:name w:val="Pie de página Car"/>
    <w:basedOn w:val="Fuentedeprrafopredeter"/>
    <w:link w:val="Piedepgina"/>
    <w:uiPriority w:val="99"/>
    <w:rsid w:val="00B31222"/>
    <w:rPr>
      <w:rFonts w:ascii="Times New Roman" w:eastAsia="Times New Roman" w:hAnsi="Times New Roman" w:cs="Times New Roman"/>
      <w:sz w:val="20"/>
      <w:szCs w:val="20"/>
      <w:lang w:val="es-ES"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B31222"/>
    <w:pPr>
      <w:ind w:left="720"/>
      <w:contextualSpacing/>
    </w:pPr>
    <w:rPr>
      <w:rFonts w:ascii="Century Gothic" w:hAnsi="Century Gothic"/>
      <w:sz w:val="22"/>
      <w:szCs w:val="24"/>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basedOn w:val="Fuentedeprrafopredeter"/>
    <w:link w:val="Prrafodelista"/>
    <w:uiPriority w:val="34"/>
    <w:qFormat/>
    <w:rsid w:val="00B31222"/>
    <w:rPr>
      <w:rFonts w:ascii="Century Gothic" w:eastAsia="Times New Roman" w:hAnsi="Century Gothic" w:cs="Times New Roman"/>
      <w:szCs w:val="24"/>
      <w:lang w:eastAsia="es-ES"/>
    </w:rPr>
  </w:style>
  <w:style w:type="character" w:styleId="Hipervnculo">
    <w:name w:val="Hyperlink"/>
    <w:aliases w:val="Hipervínculo1,Hipervínculo11,Hipervínculo12,Hipervínculo13,Hipervínculo14,Hipervínculo15"/>
    <w:basedOn w:val="Fuentedeprrafopredeter"/>
    <w:uiPriority w:val="99"/>
    <w:unhideWhenUsed/>
    <w:rsid w:val="00B31222"/>
    <w:rPr>
      <w:color w:val="0563C1" w:themeColor="hyperlink"/>
      <w:u w:val="single"/>
    </w:rPr>
  </w:style>
  <w:style w:type="character" w:styleId="Refdenotaalpie">
    <w:name w:val="footnote reference"/>
    <w:aliases w:val="Ref,de nota al pie,ftref, BVI fnr,16 Point,Superscript 6 Point,(Diplomarbeit FZ),BVI fnr,Footnote Reference,Texto de nota al pie,Footnotes refss,Appel note de bas de page,Footnote number,referencia nota al pie,f,4_G,Texto nota al pie"/>
    <w:basedOn w:val="Fuentedeprrafopredeter"/>
    <w:uiPriority w:val="99"/>
    <w:unhideWhenUsed/>
    <w:qFormat/>
    <w:rsid w:val="00B31222"/>
    <w:rPr>
      <w:vertAlign w:val="superscript"/>
    </w:rPr>
  </w:style>
  <w:style w:type="paragraph" w:styleId="Textonotapie">
    <w:name w:val="footnote text"/>
    <w:aliases w:val="Footnote reference,FA Fu,Footnote Text Char Char Char Char Char,Footnote Text Char Char Char Char,Footnote Text Char Char Char,ADB,single space,footnote text,fn,ft,Footnote Text Char1,Footnote Text Char Char,FOOTNOTES,Schriftart: 9 pt,Ca"/>
    <w:basedOn w:val="Normal"/>
    <w:link w:val="TextonotapieCar"/>
    <w:uiPriority w:val="99"/>
    <w:unhideWhenUsed/>
    <w:qFormat/>
    <w:rsid w:val="00B31222"/>
    <w:rPr>
      <w:rFonts w:ascii="Calibri" w:eastAsia="Calibri" w:hAnsi="Calibri"/>
      <w:lang w:eastAsia="en-US"/>
    </w:rPr>
  </w:style>
  <w:style w:type="character" w:customStyle="1" w:styleId="TextonotapieCar">
    <w:name w:val="Texto nota pie Car"/>
    <w:aliases w:val="Footnote reference Car,FA Fu Car,Footnote Text Char Char Char Char Char Car,Footnote Text Char Char Char Char Car,Footnote Text Char Char Char Car,ADB Car,single space Car,footnote text Car,fn Car,ft Car,Footnote Text Char1 Car,Ca Car"/>
    <w:basedOn w:val="Fuentedeprrafopredeter"/>
    <w:link w:val="Textonotapie"/>
    <w:uiPriority w:val="99"/>
    <w:rsid w:val="00B31222"/>
    <w:rPr>
      <w:rFonts w:ascii="Calibri" w:eastAsia="Calibri" w:hAnsi="Calibri" w:cs="Times New Roman"/>
      <w:sz w:val="20"/>
      <w:szCs w:val="20"/>
    </w:rPr>
  </w:style>
  <w:style w:type="character" w:styleId="Hipervnculovisitado">
    <w:name w:val="FollowedHyperlink"/>
    <w:basedOn w:val="Fuentedeprrafopredeter"/>
    <w:uiPriority w:val="99"/>
    <w:semiHidden/>
    <w:unhideWhenUsed/>
    <w:rsid w:val="00B31222"/>
    <w:rPr>
      <w:color w:val="954F72" w:themeColor="followedHyperlink"/>
      <w:u w:val="single"/>
    </w:rPr>
  </w:style>
  <w:style w:type="table" w:styleId="Tablaconcuadrcula">
    <w:name w:val="Table Grid"/>
    <w:basedOn w:val="Tablanormal"/>
    <w:uiPriority w:val="59"/>
    <w:rsid w:val="00B3122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312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1222"/>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B31222"/>
    <w:rPr>
      <w:sz w:val="16"/>
      <w:szCs w:val="16"/>
    </w:rPr>
  </w:style>
  <w:style w:type="paragraph" w:styleId="Textocomentario">
    <w:name w:val="annotation text"/>
    <w:basedOn w:val="Normal"/>
    <w:link w:val="TextocomentarioCar"/>
    <w:uiPriority w:val="99"/>
    <w:semiHidden/>
    <w:unhideWhenUsed/>
    <w:rsid w:val="00B31222"/>
  </w:style>
  <w:style w:type="character" w:customStyle="1" w:styleId="TextocomentarioCar">
    <w:name w:val="Texto comentario Car"/>
    <w:basedOn w:val="Fuentedeprrafopredeter"/>
    <w:link w:val="Textocomentario"/>
    <w:uiPriority w:val="99"/>
    <w:semiHidden/>
    <w:rsid w:val="00B3122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31222"/>
    <w:rPr>
      <w:b/>
      <w:bCs/>
    </w:rPr>
  </w:style>
  <w:style w:type="character" w:customStyle="1" w:styleId="AsuntodelcomentarioCar">
    <w:name w:val="Asunto del comentario Car"/>
    <w:basedOn w:val="TextocomentarioCar"/>
    <w:link w:val="Asuntodelcomentario"/>
    <w:uiPriority w:val="99"/>
    <w:semiHidden/>
    <w:rsid w:val="00B31222"/>
    <w:rPr>
      <w:rFonts w:ascii="Times New Roman" w:eastAsia="Times New Roman" w:hAnsi="Times New Roman" w:cs="Times New Roman"/>
      <w:b/>
      <w:bCs/>
      <w:sz w:val="20"/>
      <w:szCs w:val="20"/>
      <w:lang w:val="es-ES" w:eastAsia="es-ES"/>
    </w:rPr>
  </w:style>
  <w:style w:type="character" w:customStyle="1" w:styleId="Mencionar1">
    <w:name w:val="Mencionar1"/>
    <w:basedOn w:val="Fuentedeprrafopredeter"/>
    <w:uiPriority w:val="99"/>
    <w:semiHidden/>
    <w:unhideWhenUsed/>
    <w:rsid w:val="00B31222"/>
    <w:rPr>
      <w:color w:val="2B579A"/>
      <w:shd w:val="clear" w:color="auto" w:fill="E6E6E6"/>
    </w:rPr>
  </w:style>
  <w:style w:type="character" w:customStyle="1" w:styleId="Mencionar2">
    <w:name w:val="Mencionar2"/>
    <w:basedOn w:val="Fuentedeprrafopredeter"/>
    <w:uiPriority w:val="99"/>
    <w:semiHidden/>
    <w:unhideWhenUsed/>
    <w:rsid w:val="00B31222"/>
    <w:rPr>
      <w:color w:val="2B579A"/>
      <w:shd w:val="clear" w:color="auto" w:fill="E6E6E6"/>
    </w:rPr>
  </w:style>
  <w:style w:type="character" w:customStyle="1" w:styleId="maestrofonttexto">
    <w:name w:val="maestro_fonttexto"/>
    <w:basedOn w:val="Fuentedeprrafopredeter"/>
    <w:rsid w:val="00B31222"/>
  </w:style>
  <w:style w:type="character" w:styleId="Textoennegrita">
    <w:name w:val="Strong"/>
    <w:qFormat/>
    <w:rsid w:val="00B31222"/>
    <w:rPr>
      <w:b/>
      <w:bCs/>
    </w:rPr>
  </w:style>
  <w:style w:type="paragraph" w:styleId="HTMLconformatoprevio">
    <w:name w:val="HTML Preformatted"/>
    <w:basedOn w:val="Normal"/>
    <w:link w:val="HTMLconformatoprevioCar"/>
    <w:uiPriority w:val="99"/>
    <w:semiHidden/>
    <w:unhideWhenUsed/>
    <w:rsid w:val="00B31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MX"/>
    </w:rPr>
  </w:style>
  <w:style w:type="character" w:customStyle="1" w:styleId="HTMLconformatoprevioCar">
    <w:name w:val="HTML con formato previo Car"/>
    <w:basedOn w:val="Fuentedeprrafopredeter"/>
    <w:link w:val="HTMLconformatoprevio"/>
    <w:uiPriority w:val="99"/>
    <w:semiHidden/>
    <w:rsid w:val="00B31222"/>
    <w:rPr>
      <w:rFonts w:ascii="Courier New" w:eastAsia="Times New Roman" w:hAnsi="Courier New" w:cs="Courier New"/>
      <w:sz w:val="20"/>
      <w:szCs w:val="20"/>
      <w:lang w:eastAsia="es-MX"/>
    </w:rPr>
  </w:style>
  <w:style w:type="paragraph" w:customStyle="1" w:styleId="Default">
    <w:name w:val="Default"/>
    <w:rsid w:val="00B31222"/>
    <w:pPr>
      <w:autoSpaceDE w:val="0"/>
      <w:autoSpaceDN w:val="0"/>
      <w:adjustRightInd w:val="0"/>
      <w:spacing w:after="0" w:line="240" w:lineRule="auto"/>
    </w:pPr>
    <w:rPr>
      <w:rFonts w:ascii="Arial" w:hAnsi="Arial" w:cs="Arial"/>
      <w:color w:val="000000"/>
      <w:sz w:val="24"/>
      <w:szCs w:val="24"/>
    </w:rPr>
  </w:style>
  <w:style w:type="character" w:customStyle="1" w:styleId="CharacterStyle1">
    <w:name w:val="Character Style 1"/>
    <w:uiPriority w:val="99"/>
    <w:rsid w:val="00B31222"/>
    <w:rPr>
      <w:sz w:val="20"/>
      <w:szCs w:val="20"/>
    </w:rPr>
  </w:style>
  <w:style w:type="paragraph" w:customStyle="1" w:styleId="Estilo1">
    <w:name w:val="Estilo1"/>
    <w:basedOn w:val="Textoindependiente"/>
    <w:rsid w:val="00B31222"/>
  </w:style>
  <w:style w:type="paragraph" w:styleId="Textoindependiente">
    <w:name w:val="Body Text"/>
    <w:basedOn w:val="Normal"/>
    <w:link w:val="TextoindependienteCar"/>
    <w:uiPriority w:val="99"/>
    <w:unhideWhenUsed/>
    <w:rsid w:val="00B31222"/>
    <w:pPr>
      <w:spacing w:after="120"/>
    </w:pPr>
  </w:style>
  <w:style w:type="character" w:customStyle="1" w:styleId="TextoindependienteCar">
    <w:name w:val="Texto independiente Car"/>
    <w:basedOn w:val="Fuentedeprrafopredeter"/>
    <w:link w:val="Textoindependiente"/>
    <w:uiPriority w:val="99"/>
    <w:rsid w:val="00B31222"/>
    <w:rPr>
      <w:rFonts w:ascii="Times New Roman" w:eastAsia="Times New Roman" w:hAnsi="Times New Roman" w:cs="Times New Roman"/>
      <w:sz w:val="20"/>
      <w:szCs w:val="20"/>
      <w:lang w:val="es-ES" w:eastAsia="es-ES"/>
    </w:rPr>
  </w:style>
  <w:style w:type="paragraph" w:styleId="Sinespaciado">
    <w:name w:val="No Spacing"/>
    <w:aliases w:val="INAI,Francesa"/>
    <w:link w:val="SinespaciadoCar"/>
    <w:uiPriority w:val="1"/>
    <w:qFormat/>
    <w:rsid w:val="00B31222"/>
    <w:pPr>
      <w:spacing w:after="0" w:line="240" w:lineRule="auto"/>
      <w:ind w:left="567" w:right="567"/>
      <w:jc w:val="both"/>
    </w:pPr>
    <w:rPr>
      <w:rFonts w:ascii="Arial" w:eastAsia="Batang" w:hAnsi="Arial" w:cs="Times New Roman"/>
      <w:sz w:val="20"/>
      <w:szCs w:val="24"/>
      <w:lang w:eastAsia="es-ES"/>
    </w:rPr>
  </w:style>
  <w:style w:type="character" w:customStyle="1" w:styleId="SinespaciadoCar">
    <w:name w:val="Sin espaciado Car"/>
    <w:aliases w:val="INAI Car,Francesa Car"/>
    <w:basedOn w:val="Fuentedeprrafopredeter"/>
    <w:link w:val="Sinespaciado"/>
    <w:uiPriority w:val="1"/>
    <w:rsid w:val="00B31222"/>
    <w:rPr>
      <w:rFonts w:ascii="Arial" w:eastAsia="Batang" w:hAnsi="Arial" w:cs="Times New Roman"/>
      <w:sz w:val="20"/>
      <w:szCs w:val="24"/>
      <w:lang w:eastAsia="es-ES"/>
    </w:rPr>
  </w:style>
  <w:style w:type="paragraph" w:styleId="Lista">
    <w:name w:val="List"/>
    <w:basedOn w:val="Normal"/>
    <w:uiPriority w:val="99"/>
    <w:unhideWhenUsed/>
    <w:rsid w:val="00B31222"/>
    <w:pPr>
      <w:ind w:left="283" w:hanging="283"/>
      <w:contextualSpacing/>
    </w:pPr>
  </w:style>
  <w:style w:type="paragraph" w:styleId="Lista2">
    <w:name w:val="List 2"/>
    <w:basedOn w:val="Normal"/>
    <w:uiPriority w:val="99"/>
    <w:unhideWhenUsed/>
    <w:rsid w:val="00B31222"/>
    <w:pPr>
      <w:ind w:left="566" w:hanging="283"/>
      <w:contextualSpacing/>
    </w:pPr>
  </w:style>
  <w:style w:type="paragraph" w:styleId="Lista3">
    <w:name w:val="List 3"/>
    <w:basedOn w:val="Normal"/>
    <w:uiPriority w:val="99"/>
    <w:unhideWhenUsed/>
    <w:rsid w:val="00B31222"/>
    <w:pPr>
      <w:ind w:left="849" w:hanging="283"/>
      <w:contextualSpacing/>
    </w:pPr>
  </w:style>
  <w:style w:type="paragraph" w:styleId="Lista4">
    <w:name w:val="List 4"/>
    <w:basedOn w:val="Normal"/>
    <w:uiPriority w:val="99"/>
    <w:unhideWhenUsed/>
    <w:rsid w:val="00B31222"/>
    <w:pPr>
      <w:ind w:left="1132" w:hanging="283"/>
      <w:contextualSpacing/>
    </w:pPr>
  </w:style>
  <w:style w:type="paragraph" w:styleId="Saludo">
    <w:name w:val="Salutation"/>
    <w:basedOn w:val="Normal"/>
    <w:next w:val="Normal"/>
    <w:link w:val="SaludoCar"/>
    <w:uiPriority w:val="99"/>
    <w:unhideWhenUsed/>
    <w:rsid w:val="00B31222"/>
  </w:style>
  <w:style w:type="character" w:customStyle="1" w:styleId="SaludoCar">
    <w:name w:val="Saludo Car"/>
    <w:basedOn w:val="Fuentedeprrafopredeter"/>
    <w:link w:val="Saludo"/>
    <w:uiPriority w:val="99"/>
    <w:rsid w:val="00B31222"/>
    <w:rPr>
      <w:rFonts w:ascii="Times New Roman" w:eastAsia="Times New Roman" w:hAnsi="Times New Roman" w:cs="Times New Roman"/>
      <w:sz w:val="20"/>
      <w:szCs w:val="20"/>
      <w:lang w:val="es-ES" w:eastAsia="es-ES"/>
    </w:rPr>
  </w:style>
  <w:style w:type="paragraph" w:styleId="Listaconvietas2">
    <w:name w:val="List Bullet 2"/>
    <w:basedOn w:val="Normal"/>
    <w:uiPriority w:val="99"/>
    <w:unhideWhenUsed/>
    <w:rsid w:val="00B31222"/>
    <w:pPr>
      <w:numPr>
        <w:numId w:val="1"/>
      </w:numPr>
      <w:contextualSpacing/>
    </w:pPr>
  </w:style>
  <w:style w:type="paragraph" w:styleId="Ttulo">
    <w:name w:val="Title"/>
    <w:basedOn w:val="Normal"/>
    <w:next w:val="Normal"/>
    <w:link w:val="TtuloCar"/>
    <w:uiPriority w:val="10"/>
    <w:qFormat/>
    <w:rsid w:val="00B31222"/>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1222"/>
    <w:rPr>
      <w:rFonts w:asciiTheme="majorHAnsi" w:eastAsiaTheme="majorEastAsia" w:hAnsiTheme="majorHAnsi" w:cstheme="majorBidi"/>
      <w:spacing w:val="-10"/>
      <w:kern w:val="28"/>
      <w:sz w:val="56"/>
      <w:szCs w:val="56"/>
      <w:lang w:val="es-ES" w:eastAsia="es-ES"/>
    </w:rPr>
  </w:style>
  <w:style w:type="paragraph" w:styleId="Sangradetextonormal">
    <w:name w:val="Body Text Indent"/>
    <w:basedOn w:val="Normal"/>
    <w:link w:val="SangradetextonormalCar"/>
    <w:uiPriority w:val="99"/>
    <w:unhideWhenUsed/>
    <w:rsid w:val="00B31222"/>
    <w:pPr>
      <w:spacing w:after="120"/>
      <w:ind w:left="283"/>
    </w:pPr>
  </w:style>
  <w:style w:type="character" w:customStyle="1" w:styleId="SangradetextonormalCar">
    <w:name w:val="Sangría de texto normal Car"/>
    <w:basedOn w:val="Fuentedeprrafopredeter"/>
    <w:link w:val="Sangradetextonormal"/>
    <w:uiPriority w:val="99"/>
    <w:rsid w:val="00B31222"/>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B3122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31222"/>
    <w:rPr>
      <w:rFonts w:ascii="Times New Roman" w:eastAsia="Times New Roman" w:hAnsi="Times New Roman" w:cs="Times New Roman"/>
      <w:sz w:val="20"/>
      <w:szCs w:val="20"/>
      <w:lang w:val="es-ES" w:eastAsia="es-ES"/>
    </w:rPr>
  </w:style>
  <w:style w:type="character" w:customStyle="1" w:styleId="Mencionar3">
    <w:name w:val="Mencionar3"/>
    <w:basedOn w:val="Fuentedeprrafopredeter"/>
    <w:uiPriority w:val="99"/>
    <w:semiHidden/>
    <w:unhideWhenUsed/>
    <w:rsid w:val="00A47916"/>
    <w:rPr>
      <w:color w:val="2B579A"/>
      <w:shd w:val="clear" w:color="auto" w:fill="E6E6E6"/>
    </w:rPr>
  </w:style>
  <w:style w:type="character" w:customStyle="1" w:styleId="Mencionar4">
    <w:name w:val="Mencionar4"/>
    <w:basedOn w:val="Fuentedeprrafopredeter"/>
    <w:uiPriority w:val="99"/>
    <w:semiHidden/>
    <w:unhideWhenUsed/>
    <w:rsid w:val="00802515"/>
    <w:rPr>
      <w:color w:val="2B579A"/>
      <w:shd w:val="clear" w:color="auto" w:fill="E6E6E6"/>
    </w:rPr>
  </w:style>
  <w:style w:type="character" w:customStyle="1" w:styleId="maestrofonttexto1">
    <w:name w:val="maestro_fonttexto1"/>
    <w:basedOn w:val="Fuentedeprrafopredeter"/>
    <w:rsid w:val="00C25238"/>
    <w:rPr>
      <w:rFonts w:ascii="Arial" w:hAnsi="Arial" w:cs="Arial" w:hint="default"/>
      <w:sz w:val="15"/>
      <w:szCs w:val="15"/>
    </w:rPr>
  </w:style>
  <w:style w:type="character" w:customStyle="1" w:styleId="apple-converted-space">
    <w:name w:val="apple-converted-space"/>
    <w:basedOn w:val="Fuentedeprrafopredeter"/>
    <w:rsid w:val="00436FD3"/>
  </w:style>
  <w:style w:type="character" w:customStyle="1" w:styleId="Puesto1">
    <w:name w:val="Puesto1"/>
    <w:basedOn w:val="Fuentedeprrafopredeter"/>
    <w:rsid w:val="00BE474A"/>
  </w:style>
  <w:style w:type="paragraph" w:styleId="Listaconvietas">
    <w:name w:val="List Bullet"/>
    <w:basedOn w:val="Normal"/>
    <w:uiPriority w:val="99"/>
    <w:unhideWhenUsed/>
    <w:rsid w:val="00554856"/>
    <w:pPr>
      <w:numPr>
        <w:numId w:val="7"/>
      </w:numPr>
      <w:contextualSpacing/>
    </w:pPr>
  </w:style>
  <w:style w:type="paragraph" w:styleId="Revisin">
    <w:name w:val="Revision"/>
    <w:hidden/>
    <w:uiPriority w:val="99"/>
    <w:semiHidden/>
    <w:rsid w:val="000C766E"/>
    <w:pPr>
      <w:spacing w:after="0" w:line="240" w:lineRule="auto"/>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8243">
      <w:bodyDiv w:val="1"/>
      <w:marLeft w:val="0"/>
      <w:marRight w:val="0"/>
      <w:marTop w:val="0"/>
      <w:marBottom w:val="0"/>
      <w:divBdr>
        <w:top w:val="none" w:sz="0" w:space="0" w:color="auto"/>
        <w:left w:val="none" w:sz="0" w:space="0" w:color="auto"/>
        <w:bottom w:val="none" w:sz="0" w:space="0" w:color="auto"/>
        <w:right w:val="none" w:sz="0" w:space="0" w:color="auto"/>
      </w:divBdr>
    </w:div>
    <w:div w:id="9069151">
      <w:bodyDiv w:val="1"/>
      <w:marLeft w:val="0"/>
      <w:marRight w:val="0"/>
      <w:marTop w:val="0"/>
      <w:marBottom w:val="0"/>
      <w:divBdr>
        <w:top w:val="none" w:sz="0" w:space="0" w:color="auto"/>
        <w:left w:val="none" w:sz="0" w:space="0" w:color="auto"/>
        <w:bottom w:val="none" w:sz="0" w:space="0" w:color="auto"/>
        <w:right w:val="none" w:sz="0" w:space="0" w:color="auto"/>
      </w:divBdr>
    </w:div>
    <w:div w:id="22561575">
      <w:bodyDiv w:val="1"/>
      <w:marLeft w:val="0"/>
      <w:marRight w:val="0"/>
      <w:marTop w:val="0"/>
      <w:marBottom w:val="0"/>
      <w:divBdr>
        <w:top w:val="none" w:sz="0" w:space="0" w:color="auto"/>
        <w:left w:val="none" w:sz="0" w:space="0" w:color="auto"/>
        <w:bottom w:val="none" w:sz="0" w:space="0" w:color="auto"/>
        <w:right w:val="none" w:sz="0" w:space="0" w:color="auto"/>
      </w:divBdr>
    </w:div>
    <w:div w:id="24212379">
      <w:bodyDiv w:val="1"/>
      <w:marLeft w:val="0"/>
      <w:marRight w:val="0"/>
      <w:marTop w:val="0"/>
      <w:marBottom w:val="0"/>
      <w:divBdr>
        <w:top w:val="none" w:sz="0" w:space="0" w:color="auto"/>
        <w:left w:val="none" w:sz="0" w:space="0" w:color="auto"/>
        <w:bottom w:val="none" w:sz="0" w:space="0" w:color="auto"/>
        <w:right w:val="none" w:sz="0" w:space="0" w:color="auto"/>
      </w:divBdr>
    </w:div>
    <w:div w:id="35350906">
      <w:bodyDiv w:val="1"/>
      <w:marLeft w:val="0"/>
      <w:marRight w:val="0"/>
      <w:marTop w:val="0"/>
      <w:marBottom w:val="0"/>
      <w:divBdr>
        <w:top w:val="none" w:sz="0" w:space="0" w:color="auto"/>
        <w:left w:val="none" w:sz="0" w:space="0" w:color="auto"/>
        <w:bottom w:val="none" w:sz="0" w:space="0" w:color="auto"/>
        <w:right w:val="none" w:sz="0" w:space="0" w:color="auto"/>
      </w:divBdr>
    </w:div>
    <w:div w:id="64108941">
      <w:bodyDiv w:val="1"/>
      <w:marLeft w:val="0"/>
      <w:marRight w:val="0"/>
      <w:marTop w:val="0"/>
      <w:marBottom w:val="0"/>
      <w:divBdr>
        <w:top w:val="none" w:sz="0" w:space="0" w:color="auto"/>
        <w:left w:val="none" w:sz="0" w:space="0" w:color="auto"/>
        <w:bottom w:val="none" w:sz="0" w:space="0" w:color="auto"/>
        <w:right w:val="none" w:sz="0" w:space="0" w:color="auto"/>
      </w:divBdr>
    </w:div>
    <w:div w:id="77215633">
      <w:bodyDiv w:val="1"/>
      <w:marLeft w:val="0"/>
      <w:marRight w:val="0"/>
      <w:marTop w:val="0"/>
      <w:marBottom w:val="0"/>
      <w:divBdr>
        <w:top w:val="none" w:sz="0" w:space="0" w:color="auto"/>
        <w:left w:val="none" w:sz="0" w:space="0" w:color="auto"/>
        <w:bottom w:val="none" w:sz="0" w:space="0" w:color="auto"/>
        <w:right w:val="none" w:sz="0" w:space="0" w:color="auto"/>
      </w:divBdr>
    </w:div>
    <w:div w:id="184249317">
      <w:bodyDiv w:val="1"/>
      <w:marLeft w:val="0"/>
      <w:marRight w:val="0"/>
      <w:marTop w:val="0"/>
      <w:marBottom w:val="0"/>
      <w:divBdr>
        <w:top w:val="none" w:sz="0" w:space="0" w:color="auto"/>
        <w:left w:val="none" w:sz="0" w:space="0" w:color="auto"/>
        <w:bottom w:val="none" w:sz="0" w:space="0" w:color="auto"/>
        <w:right w:val="none" w:sz="0" w:space="0" w:color="auto"/>
      </w:divBdr>
    </w:div>
    <w:div w:id="231282173">
      <w:bodyDiv w:val="1"/>
      <w:marLeft w:val="0"/>
      <w:marRight w:val="0"/>
      <w:marTop w:val="0"/>
      <w:marBottom w:val="0"/>
      <w:divBdr>
        <w:top w:val="none" w:sz="0" w:space="0" w:color="auto"/>
        <w:left w:val="none" w:sz="0" w:space="0" w:color="auto"/>
        <w:bottom w:val="none" w:sz="0" w:space="0" w:color="auto"/>
        <w:right w:val="none" w:sz="0" w:space="0" w:color="auto"/>
      </w:divBdr>
    </w:div>
    <w:div w:id="263848016">
      <w:bodyDiv w:val="1"/>
      <w:marLeft w:val="0"/>
      <w:marRight w:val="0"/>
      <w:marTop w:val="0"/>
      <w:marBottom w:val="0"/>
      <w:divBdr>
        <w:top w:val="none" w:sz="0" w:space="0" w:color="auto"/>
        <w:left w:val="none" w:sz="0" w:space="0" w:color="auto"/>
        <w:bottom w:val="none" w:sz="0" w:space="0" w:color="auto"/>
        <w:right w:val="none" w:sz="0" w:space="0" w:color="auto"/>
      </w:divBdr>
    </w:div>
    <w:div w:id="286817364">
      <w:bodyDiv w:val="1"/>
      <w:marLeft w:val="0"/>
      <w:marRight w:val="0"/>
      <w:marTop w:val="0"/>
      <w:marBottom w:val="0"/>
      <w:divBdr>
        <w:top w:val="none" w:sz="0" w:space="0" w:color="auto"/>
        <w:left w:val="none" w:sz="0" w:space="0" w:color="auto"/>
        <w:bottom w:val="none" w:sz="0" w:space="0" w:color="auto"/>
        <w:right w:val="none" w:sz="0" w:space="0" w:color="auto"/>
      </w:divBdr>
    </w:div>
    <w:div w:id="322317982">
      <w:bodyDiv w:val="1"/>
      <w:marLeft w:val="0"/>
      <w:marRight w:val="0"/>
      <w:marTop w:val="0"/>
      <w:marBottom w:val="0"/>
      <w:divBdr>
        <w:top w:val="none" w:sz="0" w:space="0" w:color="auto"/>
        <w:left w:val="none" w:sz="0" w:space="0" w:color="auto"/>
        <w:bottom w:val="none" w:sz="0" w:space="0" w:color="auto"/>
        <w:right w:val="none" w:sz="0" w:space="0" w:color="auto"/>
      </w:divBdr>
    </w:div>
    <w:div w:id="345209379">
      <w:bodyDiv w:val="1"/>
      <w:marLeft w:val="0"/>
      <w:marRight w:val="0"/>
      <w:marTop w:val="0"/>
      <w:marBottom w:val="0"/>
      <w:divBdr>
        <w:top w:val="none" w:sz="0" w:space="0" w:color="auto"/>
        <w:left w:val="none" w:sz="0" w:space="0" w:color="auto"/>
        <w:bottom w:val="none" w:sz="0" w:space="0" w:color="auto"/>
        <w:right w:val="none" w:sz="0" w:space="0" w:color="auto"/>
      </w:divBdr>
    </w:div>
    <w:div w:id="411246475">
      <w:bodyDiv w:val="1"/>
      <w:marLeft w:val="0"/>
      <w:marRight w:val="0"/>
      <w:marTop w:val="0"/>
      <w:marBottom w:val="0"/>
      <w:divBdr>
        <w:top w:val="none" w:sz="0" w:space="0" w:color="auto"/>
        <w:left w:val="none" w:sz="0" w:space="0" w:color="auto"/>
        <w:bottom w:val="none" w:sz="0" w:space="0" w:color="auto"/>
        <w:right w:val="none" w:sz="0" w:space="0" w:color="auto"/>
      </w:divBdr>
    </w:div>
    <w:div w:id="475414075">
      <w:bodyDiv w:val="1"/>
      <w:marLeft w:val="0"/>
      <w:marRight w:val="0"/>
      <w:marTop w:val="0"/>
      <w:marBottom w:val="0"/>
      <w:divBdr>
        <w:top w:val="none" w:sz="0" w:space="0" w:color="auto"/>
        <w:left w:val="none" w:sz="0" w:space="0" w:color="auto"/>
        <w:bottom w:val="none" w:sz="0" w:space="0" w:color="auto"/>
        <w:right w:val="none" w:sz="0" w:space="0" w:color="auto"/>
      </w:divBdr>
    </w:div>
    <w:div w:id="486745336">
      <w:bodyDiv w:val="1"/>
      <w:marLeft w:val="0"/>
      <w:marRight w:val="0"/>
      <w:marTop w:val="0"/>
      <w:marBottom w:val="0"/>
      <w:divBdr>
        <w:top w:val="none" w:sz="0" w:space="0" w:color="auto"/>
        <w:left w:val="none" w:sz="0" w:space="0" w:color="auto"/>
        <w:bottom w:val="none" w:sz="0" w:space="0" w:color="auto"/>
        <w:right w:val="none" w:sz="0" w:space="0" w:color="auto"/>
      </w:divBdr>
    </w:div>
    <w:div w:id="522020283">
      <w:bodyDiv w:val="1"/>
      <w:marLeft w:val="0"/>
      <w:marRight w:val="0"/>
      <w:marTop w:val="0"/>
      <w:marBottom w:val="0"/>
      <w:divBdr>
        <w:top w:val="none" w:sz="0" w:space="0" w:color="auto"/>
        <w:left w:val="none" w:sz="0" w:space="0" w:color="auto"/>
        <w:bottom w:val="none" w:sz="0" w:space="0" w:color="auto"/>
        <w:right w:val="none" w:sz="0" w:space="0" w:color="auto"/>
      </w:divBdr>
    </w:div>
    <w:div w:id="552814093">
      <w:bodyDiv w:val="1"/>
      <w:marLeft w:val="0"/>
      <w:marRight w:val="0"/>
      <w:marTop w:val="0"/>
      <w:marBottom w:val="0"/>
      <w:divBdr>
        <w:top w:val="none" w:sz="0" w:space="0" w:color="auto"/>
        <w:left w:val="none" w:sz="0" w:space="0" w:color="auto"/>
        <w:bottom w:val="none" w:sz="0" w:space="0" w:color="auto"/>
        <w:right w:val="none" w:sz="0" w:space="0" w:color="auto"/>
      </w:divBdr>
    </w:div>
    <w:div w:id="631987527">
      <w:bodyDiv w:val="1"/>
      <w:marLeft w:val="0"/>
      <w:marRight w:val="0"/>
      <w:marTop w:val="0"/>
      <w:marBottom w:val="0"/>
      <w:divBdr>
        <w:top w:val="none" w:sz="0" w:space="0" w:color="auto"/>
        <w:left w:val="none" w:sz="0" w:space="0" w:color="auto"/>
        <w:bottom w:val="none" w:sz="0" w:space="0" w:color="auto"/>
        <w:right w:val="none" w:sz="0" w:space="0" w:color="auto"/>
      </w:divBdr>
      <w:divsChild>
        <w:div w:id="1037776620">
          <w:marLeft w:val="0"/>
          <w:marRight w:val="0"/>
          <w:marTop w:val="0"/>
          <w:marBottom w:val="0"/>
          <w:divBdr>
            <w:top w:val="none" w:sz="0" w:space="0" w:color="auto"/>
            <w:left w:val="none" w:sz="0" w:space="0" w:color="auto"/>
            <w:bottom w:val="none" w:sz="0" w:space="0" w:color="auto"/>
            <w:right w:val="none" w:sz="0" w:space="0" w:color="auto"/>
          </w:divBdr>
        </w:div>
      </w:divsChild>
    </w:div>
    <w:div w:id="635836293">
      <w:bodyDiv w:val="1"/>
      <w:marLeft w:val="0"/>
      <w:marRight w:val="0"/>
      <w:marTop w:val="0"/>
      <w:marBottom w:val="0"/>
      <w:divBdr>
        <w:top w:val="none" w:sz="0" w:space="0" w:color="auto"/>
        <w:left w:val="none" w:sz="0" w:space="0" w:color="auto"/>
        <w:bottom w:val="none" w:sz="0" w:space="0" w:color="auto"/>
        <w:right w:val="none" w:sz="0" w:space="0" w:color="auto"/>
      </w:divBdr>
    </w:div>
    <w:div w:id="640352948">
      <w:bodyDiv w:val="1"/>
      <w:marLeft w:val="0"/>
      <w:marRight w:val="0"/>
      <w:marTop w:val="0"/>
      <w:marBottom w:val="0"/>
      <w:divBdr>
        <w:top w:val="none" w:sz="0" w:space="0" w:color="auto"/>
        <w:left w:val="none" w:sz="0" w:space="0" w:color="auto"/>
        <w:bottom w:val="none" w:sz="0" w:space="0" w:color="auto"/>
        <w:right w:val="none" w:sz="0" w:space="0" w:color="auto"/>
      </w:divBdr>
    </w:div>
    <w:div w:id="739791667">
      <w:bodyDiv w:val="1"/>
      <w:marLeft w:val="0"/>
      <w:marRight w:val="0"/>
      <w:marTop w:val="0"/>
      <w:marBottom w:val="0"/>
      <w:divBdr>
        <w:top w:val="none" w:sz="0" w:space="0" w:color="auto"/>
        <w:left w:val="none" w:sz="0" w:space="0" w:color="auto"/>
        <w:bottom w:val="none" w:sz="0" w:space="0" w:color="auto"/>
        <w:right w:val="none" w:sz="0" w:space="0" w:color="auto"/>
      </w:divBdr>
    </w:div>
    <w:div w:id="751972095">
      <w:bodyDiv w:val="1"/>
      <w:marLeft w:val="0"/>
      <w:marRight w:val="0"/>
      <w:marTop w:val="0"/>
      <w:marBottom w:val="0"/>
      <w:divBdr>
        <w:top w:val="none" w:sz="0" w:space="0" w:color="auto"/>
        <w:left w:val="none" w:sz="0" w:space="0" w:color="auto"/>
        <w:bottom w:val="none" w:sz="0" w:space="0" w:color="auto"/>
        <w:right w:val="none" w:sz="0" w:space="0" w:color="auto"/>
      </w:divBdr>
    </w:div>
    <w:div w:id="796415900">
      <w:bodyDiv w:val="1"/>
      <w:marLeft w:val="0"/>
      <w:marRight w:val="0"/>
      <w:marTop w:val="0"/>
      <w:marBottom w:val="0"/>
      <w:divBdr>
        <w:top w:val="none" w:sz="0" w:space="0" w:color="auto"/>
        <w:left w:val="none" w:sz="0" w:space="0" w:color="auto"/>
        <w:bottom w:val="none" w:sz="0" w:space="0" w:color="auto"/>
        <w:right w:val="none" w:sz="0" w:space="0" w:color="auto"/>
      </w:divBdr>
    </w:div>
    <w:div w:id="880476978">
      <w:bodyDiv w:val="1"/>
      <w:marLeft w:val="0"/>
      <w:marRight w:val="0"/>
      <w:marTop w:val="0"/>
      <w:marBottom w:val="0"/>
      <w:divBdr>
        <w:top w:val="none" w:sz="0" w:space="0" w:color="auto"/>
        <w:left w:val="none" w:sz="0" w:space="0" w:color="auto"/>
        <w:bottom w:val="none" w:sz="0" w:space="0" w:color="auto"/>
        <w:right w:val="none" w:sz="0" w:space="0" w:color="auto"/>
      </w:divBdr>
    </w:div>
    <w:div w:id="907039483">
      <w:bodyDiv w:val="1"/>
      <w:marLeft w:val="0"/>
      <w:marRight w:val="0"/>
      <w:marTop w:val="0"/>
      <w:marBottom w:val="0"/>
      <w:divBdr>
        <w:top w:val="none" w:sz="0" w:space="0" w:color="auto"/>
        <w:left w:val="none" w:sz="0" w:space="0" w:color="auto"/>
        <w:bottom w:val="none" w:sz="0" w:space="0" w:color="auto"/>
        <w:right w:val="none" w:sz="0" w:space="0" w:color="auto"/>
      </w:divBdr>
    </w:div>
    <w:div w:id="927662792">
      <w:bodyDiv w:val="1"/>
      <w:marLeft w:val="0"/>
      <w:marRight w:val="0"/>
      <w:marTop w:val="0"/>
      <w:marBottom w:val="0"/>
      <w:divBdr>
        <w:top w:val="none" w:sz="0" w:space="0" w:color="auto"/>
        <w:left w:val="none" w:sz="0" w:space="0" w:color="auto"/>
        <w:bottom w:val="none" w:sz="0" w:space="0" w:color="auto"/>
        <w:right w:val="none" w:sz="0" w:space="0" w:color="auto"/>
      </w:divBdr>
    </w:div>
    <w:div w:id="962924810">
      <w:bodyDiv w:val="1"/>
      <w:marLeft w:val="0"/>
      <w:marRight w:val="0"/>
      <w:marTop w:val="0"/>
      <w:marBottom w:val="0"/>
      <w:divBdr>
        <w:top w:val="none" w:sz="0" w:space="0" w:color="auto"/>
        <w:left w:val="none" w:sz="0" w:space="0" w:color="auto"/>
        <w:bottom w:val="none" w:sz="0" w:space="0" w:color="auto"/>
        <w:right w:val="none" w:sz="0" w:space="0" w:color="auto"/>
      </w:divBdr>
    </w:div>
    <w:div w:id="1029331591">
      <w:bodyDiv w:val="1"/>
      <w:marLeft w:val="0"/>
      <w:marRight w:val="0"/>
      <w:marTop w:val="0"/>
      <w:marBottom w:val="0"/>
      <w:divBdr>
        <w:top w:val="none" w:sz="0" w:space="0" w:color="auto"/>
        <w:left w:val="none" w:sz="0" w:space="0" w:color="auto"/>
        <w:bottom w:val="none" w:sz="0" w:space="0" w:color="auto"/>
        <w:right w:val="none" w:sz="0" w:space="0" w:color="auto"/>
      </w:divBdr>
    </w:div>
    <w:div w:id="1151601446">
      <w:bodyDiv w:val="1"/>
      <w:marLeft w:val="0"/>
      <w:marRight w:val="0"/>
      <w:marTop w:val="0"/>
      <w:marBottom w:val="0"/>
      <w:divBdr>
        <w:top w:val="none" w:sz="0" w:space="0" w:color="auto"/>
        <w:left w:val="none" w:sz="0" w:space="0" w:color="auto"/>
        <w:bottom w:val="none" w:sz="0" w:space="0" w:color="auto"/>
        <w:right w:val="none" w:sz="0" w:space="0" w:color="auto"/>
      </w:divBdr>
    </w:div>
    <w:div w:id="1152402866">
      <w:bodyDiv w:val="1"/>
      <w:marLeft w:val="0"/>
      <w:marRight w:val="0"/>
      <w:marTop w:val="0"/>
      <w:marBottom w:val="0"/>
      <w:divBdr>
        <w:top w:val="none" w:sz="0" w:space="0" w:color="auto"/>
        <w:left w:val="none" w:sz="0" w:space="0" w:color="auto"/>
        <w:bottom w:val="none" w:sz="0" w:space="0" w:color="auto"/>
        <w:right w:val="none" w:sz="0" w:space="0" w:color="auto"/>
      </w:divBdr>
    </w:div>
    <w:div w:id="1160736548">
      <w:bodyDiv w:val="1"/>
      <w:marLeft w:val="0"/>
      <w:marRight w:val="0"/>
      <w:marTop w:val="0"/>
      <w:marBottom w:val="0"/>
      <w:divBdr>
        <w:top w:val="none" w:sz="0" w:space="0" w:color="auto"/>
        <w:left w:val="none" w:sz="0" w:space="0" w:color="auto"/>
        <w:bottom w:val="none" w:sz="0" w:space="0" w:color="auto"/>
        <w:right w:val="none" w:sz="0" w:space="0" w:color="auto"/>
      </w:divBdr>
    </w:div>
    <w:div w:id="1278029284">
      <w:bodyDiv w:val="1"/>
      <w:marLeft w:val="0"/>
      <w:marRight w:val="0"/>
      <w:marTop w:val="0"/>
      <w:marBottom w:val="0"/>
      <w:divBdr>
        <w:top w:val="none" w:sz="0" w:space="0" w:color="auto"/>
        <w:left w:val="none" w:sz="0" w:space="0" w:color="auto"/>
        <w:bottom w:val="none" w:sz="0" w:space="0" w:color="auto"/>
        <w:right w:val="none" w:sz="0" w:space="0" w:color="auto"/>
      </w:divBdr>
    </w:div>
    <w:div w:id="1307010189">
      <w:bodyDiv w:val="1"/>
      <w:marLeft w:val="0"/>
      <w:marRight w:val="0"/>
      <w:marTop w:val="0"/>
      <w:marBottom w:val="0"/>
      <w:divBdr>
        <w:top w:val="none" w:sz="0" w:space="0" w:color="auto"/>
        <w:left w:val="none" w:sz="0" w:space="0" w:color="auto"/>
        <w:bottom w:val="none" w:sz="0" w:space="0" w:color="auto"/>
        <w:right w:val="none" w:sz="0" w:space="0" w:color="auto"/>
      </w:divBdr>
    </w:div>
    <w:div w:id="1365524695">
      <w:bodyDiv w:val="1"/>
      <w:marLeft w:val="0"/>
      <w:marRight w:val="0"/>
      <w:marTop w:val="0"/>
      <w:marBottom w:val="0"/>
      <w:divBdr>
        <w:top w:val="none" w:sz="0" w:space="0" w:color="auto"/>
        <w:left w:val="none" w:sz="0" w:space="0" w:color="auto"/>
        <w:bottom w:val="none" w:sz="0" w:space="0" w:color="auto"/>
        <w:right w:val="none" w:sz="0" w:space="0" w:color="auto"/>
      </w:divBdr>
    </w:div>
    <w:div w:id="1371564610">
      <w:bodyDiv w:val="1"/>
      <w:marLeft w:val="0"/>
      <w:marRight w:val="0"/>
      <w:marTop w:val="0"/>
      <w:marBottom w:val="0"/>
      <w:divBdr>
        <w:top w:val="none" w:sz="0" w:space="0" w:color="auto"/>
        <w:left w:val="none" w:sz="0" w:space="0" w:color="auto"/>
        <w:bottom w:val="none" w:sz="0" w:space="0" w:color="auto"/>
        <w:right w:val="none" w:sz="0" w:space="0" w:color="auto"/>
      </w:divBdr>
    </w:div>
    <w:div w:id="1389761608">
      <w:bodyDiv w:val="1"/>
      <w:marLeft w:val="0"/>
      <w:marRight w:val="0"/>
      <w:marTop w:val="0"/>
      <w:marBottom w:val="0"/>
      <w:divBdr>
        <w:top w:val="none" w:sz="0" w:space="0" w:color="auto"/>
        <w:left w:val="none" w:sz="0" w:space="0" w:color="auto"/>
        <w:bottom w:val="none" w:sz="0" w:space="0" w:color="auto"/>
        <w:right w:val="none" w:sz="0" w:space="0" w:color="auto"/>
      </w:divBdr>
    </w:div>
    <w:div w:id="1408769777">
      <w:bodyDiv w:val="1"/>
      <w:marLeft w:val="0"/>
      <w:marRight w:val="0"/>
      <w:marTop w:val="0"/>
      <w:marBottom w:val="0"/>
      <w:divBdr>
        <w:top w:val="none" w:sz="0" w:space="0" w:color="auto"/>
        <w:left w:val="none" w:sz="0" w:space="0" w:color="auto"/>
        <w:bottom w:val="none" w:sz="0" w:space="0" w:color="auto"/>
        <w:right w:val="none" w:sz="0" w:space="0" w:color="auto"/>
      </w:divBdr>
    </w:div>
    <w:div w:id="1463695208">
      <w:bodyDiv w:val="1"/>
      <w:marLeft w:val="0"/>
      <w:marRight w:val="0"/>
      <w:marTop w:val="0"/>
      <w:marBottom w:val="0"/>
      <w:divBdr>
        <w:top w:val="none" w:sz="0" w:space="0" w:color="auto"/>
        <w:left w:val="none" w:sz="0" w:space="0" w:color="auto"/>
        <w:bottom w:val="none" w:sz="0" w:space="0" w:color="auto"/>
        <w:right w:val="none" w:sz="0" w:space="0" w:color="auto"/>
      </w:divBdr>
    </w:div>
    <w:div w:id="1471170500">
      <w:bodyDiv w:val="1"/>
      <w:marLeft w:val="0"/>
      <w:marRight w:val="0"/>
      <w:marTop w:val="0"/>
      <w:marBottom w:val="0"/>
      <w:divBdr>
        <w:top w:val="none" w:sz="0" w:space="0" w:color="auto"/>
        <w:left w:val="none" w:sz="0" w:space="0" w:color="auto"/>
        <w:bottom w:val="none" w:sz="0" w:space="0" w:color="auto"/>
        <w:right w:val="none" w:sz="0" w:space="0" w:color="auto"/>
      </w:divBdr>
      <w:divsChild>
        <w:div w:id="618731566">
          <w:marLeft w:val="0"/>
          <w:marRight w:val="0"/>
          <w:marTop w:val="0"/>
          <w:marBottom w:val="0"/>
          <w:divBdr>
            <w:top w:val="none" w:sz="0" w:space="0" w:color="auto"/>
            <w:left w:val="none" w:sz="0" w:space="0" w:color="auto"/>
            <w:bottom w:val="none" w:sz="0" w:space="0" w:color="auto"/>
            <w:right w:val="none" w:sz="0" w:space="0" w:color="auto"/>
          </w:divBdr>
        </w:div>
      </w:divsChild>
    </w:div>
    <w:div w:id="1507086820">
      <w:bodyDiv w:val="1"/>
      <w:marLeft w:val="0"/>
      <w:marRight w:val="0"/>
      <w:marTop w:val="0"/>
      <w:marBottom w:val="0"/>
      <w:divBdr>
        <w:top w:val="none" w:sz="0" w:space="0" w:color="auto"/>
        <w:left w:val="none" w:sz="0" w:space="0" w:color="auto"/>
        <w:bottom w:val="none" w:sz="0" w:space="0" w:color="auto"/>
        <w:right w:val="none" w:sz="0" w:space="0" w:color="auto"/>
      </w:divBdr>
    </w:div>
    <w:div w:id="1535651232">
      <w:bodyDiv w:val="1"/>
      <w:marLeft w:val="0"/>
      <w:marRight w:val="0"/>
      <w:marTop w:val="0"/>
      <w:marBottom w:val="0"/>
      <w:divBdr>
        <w:top w:val="none" w:sz="0" w:space="0" w:color="auto"/>
        <w:left w:val="none" w:sz="0" w:space="0" w:color="auto"/>
        <w:bottom w:val="none" w:sz="0" w:space="0" w:color="auto"/>
        <w:right w:val="none" w:sz="0" w:space="0" w:color="auto"/>
      </w:divBdr>
    </w:div>
    <w:div w:id="1551650933">
      <w:bodyDiv w:val="1"/>
      <w:marLeft w:val="0"/>
      <w:marRight w:val="0"/>
      <w:marTop w:val="0"/>
      <w:marBottom w:val="0"/>
      <w:divBdr>
        <w:top w:val="none" w:sz="0" w:space="0" w:color="auto"/>
        <w:left w:val="none" w:sz="0" w:space="0" w:color="auto"/>
        <w:bottom w:val="none" w:sz="0" w:space="0" w:color="auto"/>
        <w:right w:val="none" w:sz="0" w:space="0" w:color="auto"/>
      </w:divBdr>
    </w:div>
    <w:div w:id="1559169990">
      <w:bodyDiv w:val="1"/>
      <w:marLeft w:val="0"/>
      <w:marRight w:val="0"/>
      <w:marTop w:val="0"/>
      <w:marBottom w:val="0"/>
      <w:divBdr>
        <w:top w:val="none" w:sz="0" w:space="0" w:color="auto"/>
        <w:left w:val="none" w:sz="0" w:space="0" w:color="auto"/>
        <w:bottom w:val="none" w:sz="0" w:space="0" w:color="auto"/>
        <w:right w:val="none" w:sz="0" w:space="0" w:color="auto"/>
      </w:divBdr>
    </w:div>
    <w:div w:id="1623608331">
      <w:bodyDiv w:val="1"/>
      <w:marLeft w:val="0"/>
      <w:marRight w:val="0"/>
      <w:marTop w:val="0"/>
      <w:marBottom w:val="0"/>
      <w:divBdr>
        <w:top w:val="none" w:sz="0" w:space="0" w:color="auto"/>
        <w:left w:val="none" w:sz="0" w:space="0" w:color="auto"/>
        <w:bottom w:val="none" w:sz="0" w:space="0" w:color="auto"/>
        <w:right w:val="none" w:sz="0" w:space="0" w:color="auto"/>
      </w:divBdr>
    </w:div>
    <w:div w:id="1627085049">
      <w:bodyDiv w:val="1"/>
      <w:marLeft w:val="0"/>
      <w:marRight w:val="0"/>
      <w:marTop w:val="0"/>
      <w:marBottom w:val="0"/>
      <w:divBdr>
        <w:top w:val="none" w:sz="0" w:space="0" w:color="auto"/>
        <w:left w:val="none" w:sz="0" w:space="0" w:color="auto"/>
        <w:bottom w:val="none" w:sz="0" w:space="0" w:color="auto"/>
        <w:right w:val="none" w:sz="0" w:space="0" w:color="auto"/>
      </w:divBdr>
    </w:div>
    <w:div w:id="1635596606">
      <w:bodyDiv w:val="1"/>
      <w:marLeft w:val="0"/>
      <w:marRight w:val="0"/>
      <w:marTop w:val="0"/>
      <w:marBottom w:val="0"/>
      <w:divBdr>
        <w:top w:val="none" w:sz="0" w:space="0" w:color="auto"/>
        <w:left w:val="none" w:sz="0" w:space="0" w:color="auto"/>
        <w:bottom w:val="none" w:sz="0" w:space="0" w:color="auto"/>
        <w:right w:val="none" w:sz="0" w:space="0" w:color="auto"/>
      </w:divBdr>
    </w:div>
    <w:div w:id="1655446754">
      <w:bodyDiv w:val="1"/>
      <w:marLeft w:val="0"/>
      <w:marRight w:val="0"/>
      <w:marTop w:val="0"/>
      <w:marBottom w:val="0"/>
      <w:divBdr>
        <w:top w:val="none" w:sz="0" w:space="0" w:color="auto"/>
        <w:left w:val="none" w:sz="0" w:space="0" w:color="auto"/>
        <w:bottom w:val="none" w:sz="0" w:space="0" w:color="auto"/>
        <w:right w:val="none" w:sz="0" w:space="0" w:color="auto"/>
      </w:divBdr>
    </w:div>
    <w:div w:id="1718508768">
      <w:bodyDiv w:val="1"/>
      <w:marLeft w:val="0"/>
      <w:marRight w:val="0"/>
      <w:marTop w:val="0"/>
      <w:marBottom w:val="0"/>
      <w:divBdr>
        <w:top w:val="none" w:sz="0" w:space="0" w:color="auto"/>
        <w:left w:val="none" w:sz="0" w:space="0" w:color="auto"/>
        <w:bottom w:val="none" w:sz="0" w:space="0" w:color="auto"/>
        <w:right w:val="none" w:sz="0" w:space="0" w:color="auto"/>
      </w:divBdr>
    </w:div>
    <w:div w:id="1725979085">
      <w:bodyDiv w:val="1"/>
      <w:marLeft w:val="0"/>
      <w:marRight w:val="0"/>
      <w:marTop w:val="0"/>
      <w:marBottom w:val="0"/>
      <w:divBdr>
        <w:top w:val="none" w:sz="0" w:space="0" w:color="auto"/>
        <w:left w:val="none" w:sz="0" w:space="0" w:color="auto"/>
        <w:bottom w:val="none" w:sz="0" w:space="0" w:color="auto"/>
        <w:right w:val="none" w:sz="0" w:space="0" w:color="auto"/>
      </w:divBdr>
    </w:div>
    <w:div w:id="1792213480">
      <w:bodyDiv w:val="1"/>
      <w:marLeft w:val="0"/>
      <w:marRight w:val="0"/>
      <w:marTop w:val="0"/>
      <w:marBottom w:val="0"/>
      <w:divBdr>
        <w:top w:val="none" w:sz="0" w:space="0" w:color="auto"/>
        <w:left w:val="none" w:sz="0" w:space="0" w:color="auto"/>
        <w:bottom w:val="none" w:sz="0" w:space="0" w:color="auto"/>
        <w:right w:val="none" w:sz="0" w:space="0" w:color="auto"/>
      </w:divBdr>
    </w:div>
    <w:div w:id="1845970503">
      <w:bodyDiv w:val="1"/>
      <w:marLeft w:val="0"/>
      <w:marRight w:val="0"/>
      <w:marTop w:val="0"/>
      <w:marBottom w:val="0"/>
      <w:divBdr>
        <w:top w:val="none" w:sz="0" w:space="0" w:color="auto"/>
        <w:left w:val="none" w:sz="0" w:space="0" w:color="auto"/>
        <w:bottom w:val="none" w:sz="0" w:space="0" w:color="auto"/>
        <w:right w:val="none" w:sz="0" w:space="0" w:color="auto"/>
      </w:divBdr>
    </w:div>
    <w:div w:id="1894342954">
      <w:bodyDiv w:val="1"/>
      <w:marLeft w:val="0"/>
      <w:marRight w:val="0"/>
      <w:marTop w:val="0"/>
      <w:marBottom w:val="0"/>
      <w:divBdr>
        <w:top w:val="none" w:sz="0" w:space="0" w:color="auto"/>
        <w:left w:val="none" w:sz="0" w:space="0" w:color="auto"/>
        <w:bottom w:val="none" w:sz="0" w:space="0" w:color="auto"/>
        <w:right w:val="none" w:sz="0" w:space="0" w:color="auto"/>
      </w:divBdr>
    </w:div>
    <w:div w:id="1942180301">
      <w:bodyDiv w:val="1"/>
      <w:marLeft w:val="0"/>
      <w:marRight w:val="0"/>
      <w:marTop w:val="0"/>
      <w:marBottom w:val="0"/>
      <w:divBdr>
        <w:top w:val="none" w:sz="0" w:space="0" w:color="auto"/>
        <w:left w:val="none" w:sz="0" w:space="0" w:color="auto"/>
        <w:bottom w:val="none" w:sz="0" w:space="0" w:color="auto"/>
        <w:right w:val="none" w:sz="0" w:space="0" w:color="auto"/>
      </w:divBdr>
    </w:div>
    <w:div w:id="1973051331">
      <w:bodyDiv w:val="1"/>
      <w:marLeft w:val="0"/>
      <w:marRight w:val="0"/>
      <w:marTop w:val="0"/>
      <w:marBottom w:val="0"/>
      <w:divBdr>
        <w:top w:val="none" w:sz="0" w:space="0" w:color="auto"/>
        <w:left w:val="none" w:sz="0" w:space="0" w:color="auto"/>
        <w:bottom w:val="none" w:sz="0" w:space="0" w:color="auto"/>
        <w:right w:val="none" w:sz="0" w:space="0" w:color="auto"/>
      </w:divBdr>
      <w:divsChild>
        <w:div w:id="250899446">
          <w:marLeft w:val="0"/>
          <w:marRight w:val="0"/>
          <w:marTop w:val="0"/>
          <w:marBottom w:val="0"/>
          <w:divBdr>
            <w:top w:val="none" w:sz="0" w:space="0" w:color="auto"/>
            <w:left w:val="none" w:sz="0" w:space="0" w:color="auto"/>
            <w:bottom w:val="none" w:sz="0" w:space="0" w:color="auto"/>
            <w:right w:val="none" w:sz="0" w:space="0" w:color="auto"/>
          </w:divBdr>
        </w:div>
      </w:divsChild>
    </w:div>
    <w:div w:id="2044862491">
      <w:bodyDiv w:val="1"/>
      <w:marLeft w:val="0"/>
      <w:marRight w:val="0"/>
      <w:marTop w:val="0"/>
      <w:marBottom w:val="0"/>
      <w:divBdr>
        <w:top w:val="none" w:sz="0" w:space="0" w:color="auto"/>
        <w:left w:val="none" w:sz="0" w:space="0" w:color="auto"/>
        <w:bottom w:val="none" w:sz="0" w:space="0" w:color="auto"/>
        <w:right w:val="none" w:sz="0" w:space="0" w:color="auto"/>
      </w:divBdr>
    </w:div>
    <w:div w:id="2046325245">
      <w:bodyDiv w:val="1"/>
      <w:marLeft w:val="0"/>
      <w:marRight w:val="0"/>
      <w:marTop w:val="0"/>
      <w:marBottom w:val="0"/>
      <w:divBdr>
        <w:top w:val="none" w:sz="0" w:space="0" w:color="auto"/>
        <w:left w:val="none" w:sz="0" w:space="0" w:color="auto"/>
        <w:bottom w:val="none" w:sz="0" w:space="0" w:color="auto"/>
        <w:right w:val="none" w:sz="0" w:space="0" w:color="auto"/>
      </w:divBdr>
    </w:div>
    <w:div w:id="2066100371">
      <w:bodyDiv w:val="1"/>
      <w:marLeft w:val="0"/>
      <w:marRight w:val="0"/>
      <w:marTop w:val="0"/>
      <w:marBottom w:val="0"/>
      <w:divBdr>
        <w:top w:val="none" w:sz="0" w:space="0" w:color="auto"/>
        <w:left w:val="none" w:sz="0" w:space="0" w:color="auto"/>
        <w:bottom w:val="none" w:sz="0" w:space="0" w:color="auto"/>
        <w:right w:val="none" w:sz="0" w:space="0" w:color="auto"/>
      </w:divBdr>
    </w:div>
    <w:div w:id="2072076472">
      <w:bodyDiv w:val="1"/>
      <w:marLeft w:val="0"/>
      <w:marRight w:val="0"/>
      <w:marTop w:val="0"/>
      <w:marBottom w:val="0"/>
      <w:divBdr>
        <w:top w:val="none" w:sz="0" w:space="0" w:color="auto"/>
        <w:left w:val="none" w:sz="0" w:space="0" w:color="auto"/>
        <w:bottom w:val="none" w:sz="0" w:space="0" w:color="auto"/>
        <w:right w:val="none" w:sz="0" w:space="0" w:color="auto"/>
      </w:divBdr>
    </w:div>
    <w:div w:id="2102483461">
      <w:bodyDiv w:val="1"/>
      <w:marLeft w:val="0"/>
      <w:marRight w:val="0"/>
      <w:marTop w:val="0"/>
      <w:marBottom w:val="0"/>
      <w:divBdr>
        <w:top w:val="none" w:sz="0" w:space="0" w:color="auto"/>
        <w:left w:val="none" w:sz="0" w:space="0" w:color="auto"/>
        <w:bottom w:val="none" w:sz="0" w:space="0" w:color="auto"/>
        <w:right w:val="none" w:sz="0" w:space="0" w:color="auto"/>
      </w:divBdr>
    </w:div>
    <w:div w:id="2119793409">
      <w:bodyDiv w:val="1"/>
      <w:marLeft w:val="0"/>
      <w:marRight w:val="0"/>
      <w:marTop w:val="0"/>
      <w:marBottom w:val="0"/>
      <w:divBdr>
        <w:top w:val="none" w:sz="0" w:space="0" w:color="auto"/>
        <w:left w:val="none" w:sz="0" w:space="0" w:color="auto"/>
        <w:bottom w:val="none" w:sz="0" w:space="0" w:color="auto"/>
        <w:right w:val="none" w:sz="0" w:space="0" w:color="auto"/>
      </w:divBdr>
    </w:div>
    <w:div w:id="21455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portalanterior.ine.mx/archivos2/tutoriales/sistemas/ApoyoInstitucional/SIF/docs/candidatos/folioFiscalFactura.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29711-D733-49EC-97C5-CF4BD61D1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8304</Words>
  <Characters>45674</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INFOEM</dc:creator>
  <cp:lastModifiedBy>USUARIO INFOEM</cp:lastModifiedBy>
  <cp:revision>3</cp:revision>
  <cp:lastPrinted>2019-01-21T17:58:00Z</cp:lastPrinted>
  <dcterms:created xsi:type="dcterms:W3CDTF">2019-04-29T14:12:00Z</dcterms:created>
  <dcterms:modified xsi:type="dcterms:W3CDTF">2019-06-03T18:49:00Z</dcterms:modified>
</cp:coreProperties>
</file>