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6EB114C2"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5125BF" w:rsidRPr="005125BF">
        <w:rPr>
          <w:rFonts w:ascii="Palatino Linotype" w:eastAsia="Times New Roman" w:hAnsi="Palatino Linotype" w:cs="Arial"/>
          <w:color w:val="000000"/>
          <w:sz w:val="24"/>
          <w:szCs w:val="24"/>
          <w:lang w:eastAsia="es-MX"/>
        </w:rPr>
        <w:t>diez de julio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76AED00F"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F43301">
        <w:rPr>
          <w:rFonts w:ascii="Palatino Linotype" w:hAnsi="Palatino Linotype" w:cs="Arial"/>
          <w:b/>
          <w:bCs/>
          <w:sz w:val="24"/>
          <w:lang w:eastAsia="es-MX"/>
        </w:rPr>
        <w:t>03625/INFOEM/IP/RR/2019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CC4DB3">
        <w:rPr>
          <w:rFonts w:ascii="Palatino Linotype" w:hAnsi="Palatino Linotype" w:cs="Arial"/>
        </w:rPr>
        <w:t>XXXXXXXXXXXXXXXX</w:t>
      </w:r>
      <w:r w:rsidR="00CC4DB3" w:rsidRPr="00224181">
        <w:rPr>
          <w:rFonts w:ascii="Palatino Linotype" w:hAnsi="Palatino Linotype" w:cs="Arial"/>
          <w:sz w:val="24"/>
        </w:rPr>
        <w:t xml:space="preserve"> </w:t>
      </w:r>
      <w:r w:rsidR="00CC4DB3">
        <w:rPr>
          <w:rFonts w:ascii="Palatino Linotype" w:hAnsi="Palatino Linotype" w:cs="Arial"/>
          <w:sz w:val="24"/>
        </w:rPr>
        <w:t xml:space="preserve">XXXXXXX </w:t>
      </w:r>
      <w:bookmarkStart w:id="0" w:name="_GoBack"/>
      <w:bookmarkEnd w:id="0"/>
      <w:r w:rsidRPr="00224181">
        <w:rPr>
          <w:rFonts w:ascii="Palatino Linotype" w:hAnsi="Palatino Linotype" w:cs="Arial"/>
          <w:sz w:val="24"/>
        </w:rPr>
        <w:t xml:space="preserve">en lo sucesivo </w:t>
      </w:r>
      <w:r>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F43301" w:rsidRPr="00F43301">
        <w:rPr>
          <w:rFonts w:ascii="Palatino Linotype" w:hAnsi="Palatino Linotype" w:cs="Arial"/>
          <w:b/>
          <w:sz w:val="24"/>
          <w:szCs w:val="24"/>
        </w:rPr>
        <w:t>Ayuntamiento de Cuautitlán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65517ACD"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43301">
        <w:rPr>
          <w:rFonts w:ascii="Palatino Linotype" w:hAnsi="Palatino Linotype" w:cs="Arial"/>
          <w:sz w:val="24"/>
        </w:rPr>
        <w:t>veintidós de marzo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F43301" w:rsidRPr="00F43301">
        <w:rPr>
          <w:rFonts w:ascii="Palatino Linotype" w:hAnsi="Palatino Linotype" w:cs="Arial"/>
          <w:b/>
          <w:bCs/>
          <w:sz w:val="24"/>
        </w:rPr>
        <w:t>00054/CUAUTIT/IP/2019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07B6C80B"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0D195C" w:rsidRPr="000D195C">
        <w:rPr>
          <w:rFonts w:ascii="Palatino Linotype" w:hAnsi="Palatino Linotype"/>
          <w:i/>
          <w:color w:val="000000"/>
          <w:szCs w:val="14"/>
        </w:rPr>
        <w:t xml:space="preserve">Costo y proyecto ejecutivo, del </w:t>
      </w:r>
      <w:proofErr w:type="spellStart"/>
      <w:r w:rsidR="000D195C" w:rsidRPr="000D195C">
        <w:rPr>
          <w:rFonts w:ascii="Palatino Linotype" w:hAnsi="Palatino Linotype"/>
          <w:i/>
          <w:color w:val="000000"/>
          <w:szCs w:val="14"/>
        </w:rPr>
        <w:t>skate</w:t>
      </w:r>
      <w:proofErr w:type="spellEnd"/>
      <w:r w:rsidR="000D195C" w:rsidRPr="000D195C">
        <w:rPr>
          <w:rFonts w:ascii="Palatino Linotype" w:hAnsi="Palatino Linotype"/>
          <w:i/>
          <w:color w:val="000000"/>
          <w:szCs w:val="14"/>
        </w:rPr>
        <w:t xml:space="preserve"> </w:t>
      </w:r>
      <w:proofErr w:type="spellStart"/>
      <w:r w:rsidR="000D195C" w:rsidRPr="000D195C">
        <w:rPr>
          <w:rFonts w:ascii="Palatino Linotype" w:hAnsi="Palatino Linotype"/>
          <w:i/>
          <w:color w:val="000000"/>
          <w:szCs w:val="14"/>
        </w:rPr>
        <w:t>park</w:t>
      </w:r>
      <w:proofErr w:type="spellEnd"/>
      <w:r w:rsidR="000D195C" w:rsidRPr="000D195C">
        <w:rPr>
          <w:rFonts w:ascii="Palatino Linotype" w:hAnsi="Palatino Linotype"/>
          <w:i/>
          <w:color w:val="000000"/>
          <w:szCs w:val="14"/>
        </w:rPr>
        <w:t xml:space="preserve"> ubicado dentro del Parque de la plaza Estado de México "Centenario del Ejercito Mexicano", que se encuentra entre la calle universidad y esquina con </w:t>
      </w:r>
      <w:proofErr w:type="spellStart"/>
      <w:r w:rsidR="000D195C" w:rsidRPr="000D195C">
        <w:rPr>
          <w:rFonts w:ascii="Palatino Linotype" w:hAnsi="Palatino Linotype"/>
          <w:i/>
          <w:color w:val="000000"/>
          <w:szCs w:val="14"/>
        </w:rPr>
        <w:t>morelos</w:t>
      </w:r>
      <w:proofErr w:type="spellEnd"/>
      <w:r w:rsidR="000D195C" w:rsidRPr="000D195C">
        <w:rPr>
          <w:rFonts w:ascii="Palatino Linotype" w:hAnsi="Palatino Linotype"/>
          <w:i/>
          <w:color w:val="000000"/>
          <w:szCs w:val="14"/>
        </w:rPr>
        <w:t>. Anexo croquis de ubicación.</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623E91B0" w14:textId="412988EE" w:rsidR="00B967EF" w:rsidRDefault="005F5F9D" w:rsidP="00745975">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Adjuntando </w:t>
      </w:r>
      <w:r w:rsidR="000D195C">
        <w:rPr>
          <w:rFonts w:ascii="Palatino Linotype" w:eastAsia="Times New Roman" w:hAnsi="Palatino Linotype" w:cs="Times New Roman"/>
          <w:sz w:val="24"/>
          <w:szCs w:val="24"/>
          <w:lang w:val="es-ES_tradnl" w:eastAsia="es-ES"/>
        </w:rPr>
        <w:t>dos</w:t>
      </w:r>
      <w:r w:rsidR="001F6EB0">
        <w:rPr>
          <w:rFonts w:ascii="Palatino Linotype" w:eastAsia="Times New Roman" w:hAnsi="Palatino Linotype" w:cs="Times New Roman"/>
          <w:sz w:val="24"/>
          <w:szCs w:val="24"/>
          <w:lang w:val="es-ES_tradnl" w:eastAsia="es-ES"/>
        </w:rPr>
        <w:t xml:space="preserve"> archivos</w:t>
      </w:r>
      <w:r w:rsidR="000D195C">
        <w:rPr>
          <w:rFonts w:ascii="Palatino Linotype" w:eastAsia="Times New Roman" w:hAnsi="Palatino Linotype" w:cs="Times New Roman"/>
          <w:sz w:val="24"/>
          <w:szCs w:val="24"/>
          <w:lang w:val="es-ES_tradnl" w:eastAsia="es-ES"/>
        </w:rPr>
        <w:t xml:space="preserve"> electrónicos, los cuales consisten uno de ellos en la imagen del “</w:t>
      </w:r>
      <w:proofErr w:type="spellStart"/>
      <w:r w:rsidR="000D195C">
        <w:rPr>
          <w:rFonts w:ascii="Palatino Linotype" w:eastAsia="Times New Roman" w:hAnsi="Palatino Linotype" w:cs="Times New Roman"/>
          <w:sz w:val="24"/>
          <w:szCs w:val="24"/>
          <w:lang w:val="es-ES_tradnl" w:eastAsia="es-ES"/>
        </w:rPr>
        <w:t>skate</w:t>
      </w:r>
      <w:proofErr w:type="spellEnd"/>
      <w:r w:rsidR="000D195C">
        <w:rPr>
          <w:rFonts w:ascii="Palatino Linotype" w:eastAsia="Times New Roman" w:hAnsi="Palatino Linotype" w:cs="Times New Roman"/>
          <w:sz w:val="24"/>
          <w:szCs w:val="24"/>
          <w:lang w:val="es-ES_tradnl" w:eastAsia="es-ES"/>
        </w:rPr>
        <w:t xml:space="preserve"> </w:t>
      </w:r>
      <w:proofErr w:type="spellStart"/>
      <w:r w:rsidR="000D195C">
        <w:rPr>
          <w:rFonts w:ascii="Palatino Linotype" w:eastAsia="Times New Roman" w:hAnsi="Palatino Linotype" w:cs="Times New Roman"/>
          <w:sz w:val="24"/>
          <w:szCs w:val="24"/>
          <w:lang w:val="es-ES_tradnl" w:eastAsia="es-ES"/>
        </w:rPr>
        <w:t>park</w:t>
      </w:r>
      <w:proofErr w:type="spellEnd"/>
      <w:r w:rsidR="000D195C">
        <w:rPr>
          <w:rFonts w:ascii="Palatino Linotype" w:eastAsia="Times New Roman" w:hAnsi="Palatino Linotype" w:cs="Times New Roman"/>
          <w:sz w:val="24"/>
          <w:szCs w:val="24"/>
          <w:lang w:val="es-ES_tradnl" w:eastAsia="es-ES"/>
        </w:rPr>
        <w:t>” y otro referente al croquis de la ubicación del mismo.</w:t>
      </w:r>
      <w:r w:rsidR="001F6EB0">
        <w:rPr>
          <w:rFonts w:ascii="Palatino Linotype" w:eastAsia="Times New Roman" w:hAnsi="Palatino Linotype" w:cs="Times New Roman"/>
          <w:sz w:val="24"/>
          <w:szCs w:val="24"/>
          <w:lang w:val="es-ES_tradnl" w:eastAsia="es-ES"/>
        </w:rPr>
        <w:t xml:space="preserve"> </w:t>
      </w: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CA94158" w14:textId="387A30A2"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0D195C">
        <w:rPr>
          <w:rFonts w:ascii="Palatino Linotype" w:hAnsi="Palatino Linotype" w:cs="Arial"/>
          <w:sz w:val="24"/>
        </w:rPr>
        <w:t>doce de abril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a través de una carpeta comprimida, en donde se encuentran inmersas diversas imágenes</w:t>
      </w:r>
      <w:r w:rsidR="0093748F">
        <w:rPr>
          <w:rFonts w:ascii="Palatino Linotype" w:hAnsi="Palatino Linotype" w:cs="Arial"/>
          <w:sz w:val="24"/>
        </w:rPr>
        <w:t>, mismas que se omite su inserción al ser del conocimiento de las partes.</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0CB738C8"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93748F">
        <w:rPr>
          <w:rFonts w:ascii="Palatino Linotype" w:hAnsi="Palatino Linotype" w:cs="Arial"/>
          <w:sz w:val="24"/>
          <w:szCs w:val="24"/>
        </w:rPr>
        <w:t>ocho de mayo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93748F">
        <w:rPr>
          <w:rFonts w:ascii="Palatino Linotype" w:hAnsi="Palatino Linotype" w:cs="Arial"/>
          <w:b/>
          <w:bCs/>
          <w:color w:val="000000" w:themeColor="text1"/>
          <w:sz w:val="24"/>
          <w:szCs w:val="24"/>
        </w:rPr>
        <w:t>03625/INFOEM/IP/RR/2019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052E7A53"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lastRenderedPageBreak/>
        <w:t>“</w:t>
      </w:r>
      <w:r w:rsidR="0093748F" w:rsidRPr="0093748F">
        <w:rPr>
          <w:rFonts w:ascii="Palatino Linotype" w:hAnsi="Palatino Linotype"/>
          <w:i/>
          <w:color w:val="000000"/>
          <w:sz w:val="24"/>
        </w:rPr>
        <w:t xml:space="preserve">Respuesta de la C. Manuel Alejandro Parra </w:t>
      </w:r>
      <w:proofErr w:type="spellStart"/>
      <w:r w:rsidR="0093748F" w:rsidRPr="0093748F">
        <w:rPr>
          <w:rFonts w:ascii="Palatino Linotype" w:hAnsi="Palatino Linotype"/>
          <w:i/>
          <w:color w:val="000000"/>
          <w:sz w:val="24"/>
        </w:rPr>
        <w:t>Aragon</w:t>
      </w:r>
      <w:proofErr w:type="spellEnd"/>
      <w:r w:rsidR="0093748F" w:rsidRPr="0093748F">
        <w:rPr>
          <w:rFonts w:ascii="Palatino Linotype" w:hAnsi="Palatino Linotype"/>
          <w:i/>
          <w:color w:val="000000"/>
          <w:sz w:val="24"/>
        </w:rPr>
        <w:t xml:space="preserve"> Director del Instituto Municipal de la Juventud, de </w:t>
      </w:r>
      <w:proofErr w:type="spellStart"/>
      <w:r w:rsidR="0093748F" w:rsidRPr="0093748F">
        <w:rPr>
          <w:rFonts w:ascii="Palatino Linotype" w:hAnsi="Palatino Linotype"/>
          <w:i/>
          <w:color w:val="000000"/>
          <w:sz w:val="24"/>
        </w:rPr>
        <w:t>Cuautitlan</w:t>
      </w:r>
      <w:proofErr w:type="spellEnd"/>
      <w:r w:rsidR="0093748F" w:rsidRPr="0093748F">
        <w:rPr>
          <w:rFonts w:ascii="Palatino Linotype" w:hAnsi="Palatino Linotype"/>
          <w:i/>
          <w:color w:val="000000"/>
          <w:sz w:val="24"/>
        </w:rPr>
        <w:t xml:space="preserve"> México, del Estado de México, con </w:t>
      </w:r>
      <w:proofErr w:type="gramStart"/>
      <w:r w:rsidR="0093748F" w:rsidRPr="0093748F">
        <w:rPr>
          <w:rFonts w:ascii="Palatino Linotype" w:hAnsi="Palatino Linotype"/>
          <w:i/>
          <w:color w:val="000000"/>
          <w:sz w:val="24"/>
        </w:rPr>
        <w:t>Oficio :JUV</w:t>
      </w:r>
      <w:proofErr w:type="gramEnd"/>
      <w:r w:rsidR="0093748F" w:rsidRPr="0093748F">
        <w:rPr>
          <w:rFonts w:ascii="Palatino Linotype" w:hAnsi="Palatino Linotype"/>
          <w:i/>
          <w:color w:val="000000"/>
          <w:sz w:val="24"/>
        </w:rPr>
        <w:t>/094.</w:t>
      </w:r>
      <w:r w:rsidRPr="0070315F">
        <w:rPr>
          <w:rFonts w:ascii="Palatino Linotype" w:hAnsi="Palatino Linotype"/>
          <w:i/>
          <w:color w:val="000000"/>
          <w:sz w:val="24"/>
        </w:rPr>
        <w:t>” [</w:t>
      </w:r>
      <w:proofErr w:type="gramStart"/>
      <w:r w:rsidRPr="0070315F">
        <w:rPr>
          <w:rFonts w:ascii="Palatino Linotype" w:hAnsi="Palatino Linotype"/>
          <w:i/>
          <w:color w:val="000000"/>
          <w:sz w:val="24"/>
        </w:rPr>
        <w:t>sic</w:t>
      </w:r>
      <w:proofErr w:type="gramEnd"/>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75731BE4"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93748F" w:rsidRPr="0093748F">
        <w:rPr>
          <w:rFonts w:ascii="Palatino Linotype" w:hAnsi="Palatino Linotype" w:cs="Arial"/>
          <w:i/>
          <w:sz w:val="24"/>
        </w:rPr>
        <w:t xml:space="preserve">Sírvase el siguiente escrito, para mencionar las causas del </w:t>
      </w:r>
      <w:proofErr w:type="spellStart"/>
      <w:r w:rsidR="0093748F" w:rsidRPr="0093748F">
        <w:rPr>
          <w:rFonts w:ascii="Palatino Linotype" w:hAnsi="Palatino Linotype" w:cs="Arial"/>
          <w:i/>
          <w:sz w:val="24"/>
        </w:rPr>
        <w:t>por que</w:t>
      </w:r>
      <w:proofErr w:type="spellEnd"/>
      <w:r w:rsidR="0093748F" w:rsidRPr="0093748F">
        <w:rPr>
          <w:rFonts w:ascii="Palatino Linotype" w:hAnsi="Palatino Linotype" w:cs="Arial"/>
          <w:i/>
          <w:sz w:val="24"/>
        </w:rPr>
        <w:t xml:space="preserve"> la información proporcionada por el C. Manuel Alejandro Parra </w:t>
      </w:r>
      <w:proofErr w:type="spellStart"/>
      <w:r w:rsidR="0093748F" w:rsidRPr="0093748F">
        <w:rPr>
          <w:rFonts w:ascii="Palatino Linotype" w:hAnsi="Palatino Linotype" w:cs="Arial"/>
          <w:i/>
          <w:sz w:val="24"/>
        </w:rPr>
        <w:t>Aragon</w:t>
      </w:r>
      <w:proofErr w:type="spellEnd"/>
      <w:r w:rsidR="0093748F" w:rsidRPr="0093748F">
        <w:rPr>
          <w:rFonts w:ascii="Palatino Linotype" w:hAnsi="Palatino Linotype" w:cs="Arial"/>
          <w:i/>
          <w:sz w:val="24"/>
        </w:rPr>
        <w:t xml:space="preserve"> Director del Instituto Municipal de la Juventud, de </w:t>
      </w:r>
      <w:proofErr w:type="spellStart"/>
      <w:r w:rsidR="0093748F" w:rsidRPr="0093748F">
        <w:rPr>
          <w:rFonts w:ascii="Palatino Linotype" w:hAnsi="Palatino Linotype" w:cs="Arial"/>
          <w:i/>
          <w:sz w:val="24"/>
        </w:rPr>
        <w:t>Cuautitlan</w:t>
      </w:r>
      <w:proofErr w:type="spellEnd"/>
      <w:r w:rsidR="0093748F" w:rsidRPr="0093748F">
        <w:rPr>
          <w:rFonts w:ascii="Palatino Linotype" w:hAnsi="Palatino Linotype" w:cs="Arial"/>
          <w:i/>
          <w:sz w:val="24"/>
        </w:rPr>
        <w:t xml:space="preserve"> México del Estado de México, es incompleta ya que, la mencionada comenta en su escrito con numero de oficio JUV/094, que " me permito informarle que no existe como tal un costo derivado de la remodelación de la pista de </w:t>
      </w:r>
      <w:proofErr w:type="spellStart"/>
      <w:r w:rsidR="0093748F" w:rsidRPr="0093748F">
        <w:rPr>
          <w:rFonts w:ascii="Palatino Linotype" w:hAnsi="Palatino Linotype" w:cs="Arial"/>
          <w:i/>
          <w:sz w:val="24"/>
        </w:rPr>
        <w:t>skateboard</w:t>
      </w:r>
      <w:proofErr w:type="spellEnd"/>
      <w:r w:rsidR="0093748F" w:rsidRPr="0093748F">
        <w:rPr>
          <w:rFonts w:ascii="Palatino Linotype" w:hAnsi="Palatino Linotype" w:cs="Arial"/>
          <w:i/>
          <w:sz w:val="24"/>
        </w:rPr>
        <w:t xml:space="preserve">, ya que todo el concepto de recuperación fue realizado mediante donaciones. Así mismo anexo al presente copia simple del proyecto ejecutivo y fotografías de la elaboración de los </w:t>
      </w:r>
      <w:proofErr w:type="spellStart"/>
      <w:r w:rsidR="0093748F" w:rsidRPr="0093748F">
        <w:rPr>
          <w:rFonts w:ascii="Palatino Linotype" w:hAnsi="Palatino Linotype" w:cs="Arial"/>
          <w:i/>
          <w:sz w:val="24"/>
        </w:rPr>
        <w:t>murales"sic</w:t>
      </w:r>
      <w:proofErr w:type="spellEnd"/>
      <w:r w:rsidR="0093748F" w:rsidRPr="0093748F">
        <w:rPr>
          <w:rFonts w:ascii="Palatino Linotype" w:hAnsi="Palatino Linotype" w:cs="Arial"/>
          <w:i/>
          <w:sz w:val="24"/>
        </w:rPr>
        <w:t xml:space="preserve">. Y que </w:t>
      </w:r>
      <w:proofErr w:type="spellStart"/>
      <w:r w:rsidR="0093748F" w:rsidRPr="0093748F">
        <w:rPr>
          <w:rFonts w:ascii="Palatino Linotype" w:hAnsi="Palatino Linotype" w:cs="Arial"/>
          <w:i/>
          <w:sz w:val="24"/>
        </w:rPr>
        <w:t>si</w:t>
      </w:r>
      <w:proofErr w:type="spellEnd"/>
      <w:r w:rsidR="0093748F" w:rsidRPr="0093748F">
        <w:rPr>
          <w:rFonts w:ascii="Palatino Linotype" w:hAnsi="Palatino Linotype" w:cs="Arial"/>
          <w:i/>
          <w:sz w:val="24"/>
        </w:rPr>
        <w:t xml:space="preserve">, bien no hay costo como tal , </w:t>
      </w:r>
      <w:proofErr w:type="spellStart"/>
      <w:r w:rsidR="0093748F" w:rsidRPr="0093748F">
        <w:rPr>
          <w:rFonts w:ascii="Palatino Linotype" w:hAnsi="Palatino Linotype" w:cs="Arial"/>
          <w:i/>
          <w:sz w:val="24"/>
        </w:rPr>
        <w:t>perse</w:t>
      </w:r>
      <w:proofErr w:type="spellEnd"/>
      <w:r w:rsidR="0093748F" w:rsidRPr="0093748F">
        <w:rPr>
          <w:rFonts w:ascii="Palatino Linotype" w:hAnsi="Palatino Linotype" w:cs="Arial"/>
          <w:i/>
          <w:sz w:val="24"/>
        </w:rPr>
        <w:t xml:space="preserve">, este como analogía debería dar referencia del monto de lo recaudado por dichas donaciones, </w:t>
      </w:r>
      <w:proofErr w:type="spellStart"/>
      <w:r w:rsidR="0093748F" w:rsidRPr="0093748F">
        <w:rPr>
          <w:rFonts w:ascii="Palatino Linotype" w:hAnsi="Palatino Linotype" w:cs="Arial"/>
          <w:i/>
          <w:sz w:val="24"/>
        </w:rPr>
        <w:t>ademas</w:t>
      </w:r>
      <w:proofErr w:type="spellEnd"/>
      <w:r w:rsidR="0093748F" w:rsidRPr="0093748F">
        <w:rPr>
          <w:rFonts w:ascii="Palatino Linotype" w:hAnsi="Palatino Linotype" w:cs="Arial"/>
          <w:i/>
          <w:sz w:val="24"/>
        </w:rPr>
        <w:t xml:space="preserve"> de que los documentos anexados, no contemplan el proyecto ejecutivo del </w:t>
      </w:r>
      <w:proofErr w:type="spellStart"/>
      <w:r w:rsidR="0093748F" w:rsidRPr="0093748F">
        <w:rPr>
          <w:rFonts w:ascii="Palatino Linotype" w:hAnsi="Palatino Linotype" w:cs="Arial"/>
          <w:i/>
          <w:sz w:val="24"/>
        </w:rPr>
        <w:t>como</w:t>
      </w:r>
      <w:proofErr w:type="spellEnd"/>
      <w:r w:rsidR="0093748F" w:rsidRPr="0093748F">
        <w:rPr>
          <w:rFonts w:ascii="Palatino Linotype" w:hAnsi="Palatino Linotype" w:cs="Arial"/>
          <w:i/>
          <w:sz w:val="24"/>
        </w:rPr>
        <w:t xml:space="preserve"> se </w:t>
      </w:r>
      <w:proofErr w:type="spellStart"/>
      <w:r w:rsidR="0093748F" w:rsidRPr="0093748F">
        <w:rPr>
          <w:rFonts w:ascii="Palatino Linotype" w:hAnsi="Palatino Linotype" w:cs="Arial"/>
          <w:i/>
          <w:sz w:val="24"/>
        </w:rPr>
        <w:t>realizo</w:t>
      </w:r>
      <w:proofErr w:type="spellEnd"/>
      <w:r w:rsidR="0093748F" w:rsidRPr="0093748F">
        <w:rPr>
          <w:rFonts w:ascii="Palatino Linotype" w:hAnsi="Palatino Linotype" w:cs="Arial"/>
          <w:i/>
          <w:sz w:val="24"/>
        </w:rPr>
        <w:t xml:space="preserve"> la obra, es decir entendiéndose como proyecto ejecutivo lo siguiente "Proyecto de Ejecución o ejecutivo: El fin de todo el proceso de diseño, es el Proyecto Ejecutivo que se define como el conjunto de planos, dibujos, esquemas y textos explicativos (Memoria y Presupuesto general) utilizados para definir adecuadamente La Construcción, Ampliación </w:t>
      </w:r>
      <w:proofErr w:type="spellStart"/>
      <w:r w:rsidR="0093748F" w:rsidRPr="0093748F">
        <w:rPr>
          <w:rFonts w:ascii="Palatino Linotype" w:hAnsi="Palatino Linotype" w:cs="Arial"/>
          <w:i/>
          <w:sz w:val="24"/>
        </w:rPr>
        <w:t>ó</w:t>
      </w:r>
      <w:proofErr w:type="spellEnd"/>
      <w:r w:rsidR="0093748F" w:rsidRPr="0093748F">
        <w:rPr>
          <w:rFonts w:ascii="Palatino Linotype" w:hAnsi="Palatino Linotype" w:cs="Arial"/>
          <w:i/>
          <w:sz w:val="24"/>
        </w:rPr>
        <w:t xml:space="preserve"> Remodelación". Es por tal motivo que dicha respuesta vulnera mis derechos consagrados en la carta magna con fundamento en el </w:t>
      </w:r>
      <w:proofErr w:type="spellStart"/>
      <w:r w:rsidR="0093748F" w:rsidRPr="0093748F">
        <w:rPr>
          <w:rFonts w:ascii="Palatino Linotype" w:hAnsi="Palatino Linotype" w:cs="Arial"/>
          <w:i/>
          <w:sz w:val="24"/>
        </w:rPr>
        <w:t>articulo</w:t>
      </w:r>
      <w:proofErr w:type="spellEnd"/>
      <w:r w:rsidR="0093748F" w:rsidRPr="0093748F">
        <w:rPr>
          <w:rFonts w:ascii="Palatino Linotype" w:hAnsi="Palatino Linotype" w:cs="Arial"/>
          <w:i/>
          <w:sz w:val="24"/>
        </w:rPr>
        <w:t xml:space="preserve"> 1 y 6, como también lo consagrado en el </w:t>
      </w:r>
      <w:proofErr w:type="spellStart"/>
      <w:r w:rsidR="0093748F" w:rsidRPr="0093748F">
        <w:rPr>
          <w:rFonts w:ascii="Palatino Linotype" w:hAnsi="Palatino Linotype" w:cs="Arial"/>
          <w:i/>
          <w:sz w:val="24"/>
        </w:rPr>
        <w:t>articulo</w:t>
      </w:r>
      <w:proofErr w:type="spellEnd"/>
      <w:r w:rsidR="0093748F" w:rsidRPr="0093748F">
        <w:rPr>
          <w:rFonts w:ascii="Palatino Linotype" w:hAnsi="Palatino Linotype" w:cs="Arial"/>
          <w:i/>
          <w:sz w:val="24"/>
        </w:rPr>
        <w:t xml:space="preserve"> 5 de la Constitución Política libre y soberana del Estado de México, así como mis derechos humanos consagrados en el </w:t>
      </w:r>
      <w:proofErr w:type="spellStart"/>
      <w:r w:rsidR="0093748F" w:rsidRPr="0093748F">
        <w:rPr>
          <w:rFonts w:ascii="Palatino Linotype" w:hAnsi="Palatino Linotype" w:cs="Arial"/>
          <w:i/>
          <w:sz w:val="24"/>
        </w:rPr>
        <w:t>articulo</w:t>
      </w:r>
      <w:proofErr w:type="spellEnd"/>
      <w:r w:rsidR="0093748F" w:rsidRPr="0093748F">
        <w:rPr>
          <w:rFonts w:ascii="Palatino Linotype" w:hAnsi="Palatino Linotype" w:cs="Arial"/>
          <w:i/>
          <w:sz w:val="24"/>
        </w:rPr>
        <w:t xml:space="preserve"> 14 del pacto de san </w:t>
      </w:r>
      <w:proofErr w:type="spellStart"/>
      <w:r w:rsidR="0093748F" w:rsidRPr="0093748F">
        <w:rPr>
          <w:rFonts w:ascii="Palatino Linotype" w:hAnsi="Palatino Linotype" w:cs="Arial"/>
          <w:i/>
          <w:sz w:val="24"/>
        </w:rPr>
        <w:t>jose</w:t>
      </w:r>
      <w:proofErr w:type="spellEnd"/>
      <w:r w:rsidR="0093748F" w:rsidRPr="0093748F">
        <w:rPr>
          <w:rFonts w:ascii="Palatino Linotype" w:hAnsi="Palatino Linotype" w:cs="Arial"/>
          <w:i/>
          <w:sz w:val="24"/>
        </w:rPr>
        <w:t xml:space="preserve">, es decir, de la CONVENCION AMERICANA SOBRE DERECHOS HUMANOS, mismo tratado que, el Estado Mexicano forma parte y que bajo los principios de difusión y control esta entidad federativa y los ayuntamientos están obligados a respetar. Para dar </w:t>
      </w:r>
      <w:proofErr w:type="spellStart"/>
      <w:r w:rsidR="0093748F" w:rsidRPr="0093748F">
        <w:rPr>
          <w:rFonts w:ascii="Palatino Linotype" w:hAnsi="Palatino Linotype" w:cs="Arial"/>
          <w:i/>
          <w:sz w:val="24"/>
        </w:rPr>
        <w:t>mayo</w:t>
      </w:r>
      <w:proofErr w:type="spellEnd"/>
      <w:r w:rsidR="0093748F" w:rsidRPr="0093748F">
        <w:rPr>
          <w:rFonts w:ascii="Palatino Linotype" w:hAnsi="Palatino Linotype" w:cs="Arial"/>
          <w:i/>
          <w:sz w:val="24"/>
        </w:rPr>
        <w:t xml:space="preserve"> fuerza a </w:t>
      </w:r>
      <w:proofErr w:type="gramStart"/>
      <w:r w:rsidR="0093748F" w:rsidRPr="0093748F">
        <w:rPr>
          <w:rFonts w:ascii="Palatino Linotype" w:hAnsi="Palatino Linotype" w:cs="Arial"/>
          <w:i/>
          <w:sz w:val="24"/>
        </w:rPr>
        <w:t>mi</w:t>
      </w:r>
      <w:proofErr w:type="gramEnd"/>
      <w:r w:rsidR="0093748F" w:rsidRPr="0093748F">
        <w:rPr>
          <w:rFonts w:ascii="Palatino Linotype" w:hAnsi="Palatino Linotype" w:cs="Arial"/>
          <w:i/>
          <w:sz w:val="24"/>
        </w:rPr>
        <w:t xml:space="preserve"> dicho invoco la siguiente tesis jurisprudencial: ACCESO A LA INFORMACIÓN. SU NATURALEZA COMO GARANTÍAS INDIVIDUAL Y SOCIAL. El </w:t>
      </w:r>
      <w:r w:rsidR="0093748F" w:rsidRPr="0093748F">
        <w:rPr>
          <w:rFonts w:ascii="Palatino Linotype" w:hAnsi="Palatino Linotype" w:cs="Arial"/>
          <w:i/>
          <w:sz w:val="24"/>
        </w:rPr>
        <w:lastRenderedPageBreak/>
        <w:t>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Controversia constitucional 61/2005. Municipio de Torreón, Estado de Coahuila. 24 de enero de 2008. Unanimidad de diez votos. Ausente: José Ramón Cossío Díaz. Ponente: José de Jesús Gudiño Pelayo. Secretaria: Carmina Cortés Rodríguez. El Tribunal Pleno, el doce de mayo en curso, aprobó, con el número 54/2008, la tesis jurisprudencial que antecede. México, Distrito Federal, a doce de mayo de dos mil ocho.</w:t>
      </w:r>
      <w:r w:rsidR="007E413A" w:rsidRPr="00E77CE0">
        <w:rPr>
          <w:rFonts w:ascii="Palatino Linotype" w:hAnsi="Palatino Linotype" w:cs="Arial"/>
          <w:i/>
          <w:sz w:val="24"/>
        </w:rPr>
        <w:t>”</w:t>
      </w:r>
      <w:r w:rsidRPr="0070315F">
        <w:rPr>
          <w:rFonts w:ascii="Palatino Linotype" w:hAnsi="Palatino Linotype" w:cs="Arial"/>
          <w:i/>
          <w:sz w:val="24"/>
        </w:rPr>
        <w:t xml:space="preserve"> [</w:t>
      </w:r>
      <w:proofErr w:type="gramStart"/>
      <w:r w:rsidRPr="0070315F">
        <w:rPr>
          <w:rFonts w:ascii="Palatino Linotype" w:hAnsi="Palatino Linotype" w:cs="Arial"/>
          <w:i/>
          <w:sz w:val="24"/>
        </w:rPr>
        <w:t>sic</w:t>
      </w:r>
      <w:proofErr w:type="gramEnd"/>
      <w:r w:rsidRPr="0070315F">
        <w:rPr>
          <w:rFonts w:ascii="Palatino Linotype" w:hAnsi="Palatino Linotype" w:cs="Arial"/>
          <w:i/>
          <w:sz w:val="24"/>
        </w:rPr>
        <w:t>]</w:t>
      </w:r>
    </w:p>
    <w:p w14:paraId="0ED36C6E" w14:textId="14548EF5" w:rsidR="004E02B9" w:rsidRDefault="006A10A0" w:rsidP="006A10A0">
      <w:pPr>
        <w:tabs>
          <w:tab w:val="left" w:pos="3550"/>
        </w:tabs>
        <w:spacing w:before="240" w:line="360" w:lineRule="auto"/>
        <w:jc w:val="both"/>
        <w:rPr>
          <w:rFonts w:ascii="Palatino Linotype" w:hAnsi="Palatino Linotype"/>
          <w:color w:val="000000"/>
          <w:sz w:val="24"/>
        </w:rPr>
      </w:pPr>
      <w:r w:rsidRPr="006A10A0">
        <w:rPr>
          <w:rFonts w:ascii="Palatino Linotype" w:hAnsi="Palatino Linotype"/>
          <w:color w:val="000000"/>
          <w:sz w:val="24"/>
        </w:rPr>
        <w:lastRenderedPageBreak/>
        <w:t>Asimismo el recurrente adjuntó al recurso de revisión diversos archivos electrónicos, mismos que consisten en los documentos remitidos por el sujeto obligado, a través de la respuesta primigenia.</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4CA839F7"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3748F">
        <w:rPr>
          <w:rFonts w:ascii="Palatino Linotype" w:hAnsi="Palatino Linotype" w:cs="Arial"/>
          <w:sz w:val="24"/>
          <w:szCs w:val="24"/>
        </w:rPr>
        <w:t>catorce de mayo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18B4AF46"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93748F">
        <w:rPr>
          <w:rFonts w:ascii="Palatino Linotype" w:hAnsi="Palatino Linotype" w:cs="Arial"/>
          <w:sz w:val="24"/>
          <w:szCs w:val="24"/>
        </w:rPr>
        <w:t>veintitrés de mayo 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adjuntó el informe justificado correspondiente, en donde medularmente manifiesta que el recurso de revisión fue interpuesto de manera extemporánea.</w:t>
      </w:r>
    </w:p>
    <w:p w14:paraId="54534F38" w14:textId="4727F2AF"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280969">
        <w:rPr>
          <w:rFonts w:ascii="Palatino Linotype" w:hAnsi="Palatino Linotype" w:cs="Arial"/>
          <w:sz w:val="24"/>
          <w:szCs w:val="24"/>
        </w:rPr>
        <w:t xml:space="preserve">sí mismo se observa que el Recurrente </w:t>
      </w:r>
      <w:r w:rsidR="0093748F">
        <w:rPr>
          <w:rFonts w:ascii="Palatino Linotype" w:hAnsi="Palatino Linotype" w:cs="Arial"/>
          <w:sz w:val="24"/>
          <w:szCs w:val="24"/>
        </w:rPr>
        <w:t>presentó manifestaciones el día dieciséis de mayo de dos mil diecinueve.</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93748F">
        <w:rPr>
          <w:rFonts w:ascii="Palatino Linotype" w:hAnsi="Palatino Linotype" w:cs="Arial"/>
          <w:sz w:val="24"/>
          <w:szCs w:val="24"/>
        </w:rPr>
        <w:t>veintiséis</w:t>
      </w:r>
      <w:r w:rsidR="006A10A0">
        <w:rPr>
          <w:rFonts w:ascii="Palatino Linotype" w:hAnsi="Palatino Linotype" w:cs="Arial"/>
          <w:sz w:val="24"/>
          <w:szCs w:val="24"/>
        </w:rPr>
        <w:t xml:space="preserve"> de junio de los corrientes,</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w:t>
      </w:r>
      <w:r w:rsidR="00E675FA" w:rsidRPr="003E076B">
        <w:rPr>
          <w:rFonts w:ascii="Palatino Linotype" w:hAnsi="Palatino Linotype" w:cs="Arial"/>
          <w:sz w:val="24"/>
          <w:szCs w:val="24"/>
        </w:rPr>
        <w:lastRenderedPageBreak/>
        <w:t xml:space="preserve">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77777777"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lastRenderedPageBreak/>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w:t>
      </w:r>
      <w:r w:rsidRPr="007309CC">
        <w:rPr>
          <w:rFonts w:ascii="Palatino Linotype" w:hAnsi="Palatino Linotype" w:cs="Times New Roman"/>
          <w:i/>
          <w:color w:val="000000" w:themeColor="text1"/>
          <w:sz w:val="24"/>
          <w:u w:val="single"/>
        </w:rPr>
        <w:lastRenderedPageBreak/>
        <w:t>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2ABBA091" w14:textId="131C5D6C" w:rsidR="006A10A0" w:rsidRPr="006A10A0" w:rsidRDefault="006A10A0" w:rsidP="006A10A0">
      <w:pPr>
        <w:spacing w:after="0" w:line="360" w:lineRule="auto"/>
        <w:ind w:left="851" w:right="850"/>
        <w:jc w:val="both"/>
        <w:rPr>
          <w:rFonts w:ascii="Palatino Linotype" w:hAnsi="Palatino Linotype"/>
          <w:i/>
          <w:sz w:val="24"/>
          <w:szCs w:val="24"/>
        </w:rPr>
      </w:pPr>
      <w:r w:rsidRPr="006A10A0">
        <w:rPr>
          <w:rFonts w:ascii="Palatino Linotype" w:hAnsi="Palatino Linotype"/>
          <w:i/>
          <w:sz w:val="24"/>
          <w:szCs w:val="24"/>
        </w:rPr>
        <w:t>“</w:t>
      </w:r>
      <w:r w:rsidRPr="006A10A0">
        <w:rPr>
          <w:rFonts w:ascii="Palatino Linotype" w:hAnsi="Palatino Linotype"/>
          <w:i/>
          <w:color w:val="000000"/>
          <w:sz w:val="24"/>
          <w:szCs w:val="24"/>
        </w:rPr>
        <w:t xml:space="preserve">Costo y proyecto ejecutivo, del </w:t>
      </w:r>
      <w:proofErr w:type="spellStart"/>
      <w:r w:rsidRPr="006A10A0">
        <w:rPr>
          <w:rFonts w:ascii="Palatino Linotype" w:hAnsi="Palatino Linotype"/>
          <w:i/>
          <w:color w:val="000000"/>
          <w:sz w:val="24"/>
          <w:szCs w:val="24"/>
        </w:rPr>
        <w:t>skate</w:t>
      </w:r>
      <w:proofErr w:type="spellEnd"/>
      <w:r w:rsidRPr="006A10A0">
        <w:rPr>
          <w:rFonts w:ascii="Palatino Linotype" w:hAnsi="Palatino Linotype"/>
          <w:i/>
          <w:color w:val="000000"/>
          <w:sz w:val="24"/>
          <w:szCs w:val="24"/>
        </w:rPr>
        <w:t xml:space="preserve"> </w:t>
      </w:r>
      <w:proofErr w:type="spellStart"/>
      <w:r w:rsidRPr="006A10A0">
        <w:rPr>
          <w:rFonts w:ascii="Palatino Linotype" w:hAnsi="Palatino Linotype"/>
          <w:i/>
          <w:color w:val="000000"/>
          <w:sz w:val="24"/>
          <w:szCs w:val="24"/>
        </w:rPr>
        <w:t>park</w:t>
      </w:r>
      <w:proofErr w:type="spellEnd"/>
      <w:r w:rsidRPr="006A10A0">
        <w:rPr>
          <w:rFonts w:ascii="Palatino Linotype" w:hAnsi="Palatino Linotype"/>
          <w:i/>
          <w:color w:val="000000"/>
          <w:sz w:val="24"/>
          <w:szCs w:val="24"/>
        </w:rPr>
        <w:t xml:space="preserve"> ubicado dentro del Parque de la plaza Estado de México "Centenario del Ejercito Mexicano", q</w:t>
      </w:r>
      <w:r>
        <w:rPr>
          <w:rFonts w:ascii="Palatino Linotype" w:hAnsi="Palatino Linotype"/>
          <w:i/>
          <w:color w:val="000000"/>
          <w:sz w:val="24"/>
          <w:szCs w:val="24"/>
        </w:rPr>
        <w:t>ue se encuentra entre la calle U</w:t>
      </w:r>
      <w:r w:rsidRPr="006A10A0">
        <w:rPr>
          <w:rFonts w:ascii="Palatino Linotype" w:hAnsi="Palatino Linotype"/>
          <w:i/>
          <w:color w:val="000000"/>
          <w:sz w:val="24"/>
          <w:szCs w:val="24"/>
        </w:rPr>
        <w:t xml:space="preserve">niversidad y esquina con Morelos. </w:t>
      </w:r>
    </w:p>
    <w:p w14:paraId="4238AB09" w14:textId="77777777" w:rsidR="006A10A0" w:rsidRDefault="006A10A0" w:rsidP="00AA3BC4">
      <w:pPr>
        <w:spacing w:before="240" w:after="240" w:line="360" w:lineRule="auto"/>
        <w:jc w:val="both"/>
        <w:rPr>
          <w:rFonts w:ascii="Palatino Linotype" w:hAnsi="Palatino Linotype"/>
          <w:sz w:val="24"/>
        </w:rPr>
      </w:pPr>
    </w:p>
    <w:p w14:paraId="592B3018" w14:textId="3F6DD266" w:rsidR="004D1BC2" w:rsidRDefault="006A10A0" w:rsidP="004D1BC2">
      <w:pPr>
        <w:spacing w:before="240" w:after="240" w:line="360" w:lineRule="auto"/>
        <w:jc w:val="both"/>
        <w:rPr>
          <w:rFonts w:ascii="Palatino Linotype" w:hAnsi="Palatino Linotype"/>
          <w:sz w:val="24"/>
        </w:rPr>
      </w:pPr>
      <w:r>
        <w:rPr>
          <w:rFonts w:ascii="Palatino Linotype" w:hAnsi="Palatino Linotype"/>
          <w:sz w:val="24"/>
        </w:rPr>
        <w:t xml:space="preserve">Por lo anterior, el sujeto obligado remitió a través de la respuesta primigenia, diversas imágenes en donde le </w:t>
      </w:r>
      <w:r w:rsidR="0006439C">
        <w:rPr>
          <w:rFonts w:ascii="Palatino Linotype" w:hAnsi="Palatino Linotype"/>
          <w:sz w:val="24"/>
        </w:rPr>
        <w:t>hace</w:t>
      </w:r>
      <w:r>
        <w:rPr>
          <w:rFonts w:ascii="Palatino Linotype" w:hAnsi="Palatino Linotype"/>
          <w:sz w:val="24"/>
        </w:rPr>
        <w:t xml:space="preserve"> del conocimiento al </w:t>
      </w:r>
      <w:r w:rsidR="004D1BC2">
        <w:rPr>
          <w:rFonts w:ascii="Palatino Linotype" w:hAnsi="Palatino Linotype"/>
          <w:sz w:val="24"/>
        </w:rPr>
        <w:t xml:space="preserve">hoy recurrente que, no existe como tal </w:t>
      </w:r>
      <w:r w:rsidR="004D1BC2">
        <w:rPr>
          <w:rFonts w:ascii="Palatino Linotype" w:hAnsi="Palatino Linotype"/>
          <w:sz w:val="24"/>
        </w:rPr>
        <w:lastRenderedPageBreak/>
        <w:t xml:space="preserve">un costo por la remodelación a la pista de </w:t>
      </w:r>
      <w:proofErr w:type="spellStart"/>
      <w:r w:rsidR="004D1BC2">
        <w:rPr>
          <w:rFonts w:ascii="Palatino Linotype" w:hAnsi="Palatino Linotype"/>
          <w:sz w:val="24"/>
        </w:rPr>
        <w:t>sketeboard</w:t>
      </w:r>
      <w:proofErr w:type="spellEnd"/>
      <w:r w:rsidR="004D1BC2">
        <w:rPr>
          <w:rFonts w:ascii="Palatino Linotype" w:hAnsi="Palatino Linotype"/>
          <w:sz w:val="24"/>
        </w:rPr>
        <w:t>, debido a que el material que se utilizó fue donado por diversas empresas, asimismo se adjunta el proyecto de recuperación de dicha pista.</w:t>
      </w:r>
    </w:p>
    <w:p w14:paraId="2A6D1EB4" w14:textId="77777777" w:rsidR="004D1BC2" w:rsidRDefault="004D1BC2" w:rsidP="004D1BC2">
      <w:pPr>
        <w:spacing w:after="0" w:line="360" w:lineRule="auto"/>
        <w:jc w:val="both"/>
        <w:rPr>
          <w:rFonts w:ascii="Palatino Linotype" w:hAnsi="Palatino Linotype"/>
          <w:sz w:val="24"/>
        </w:rPr>
      </w:pPr>
    </w:p>
    <w:p w14:paraId="0FADD9C3" w14:textId="03A4665D" w:rsidR="004D1BC2" w:rsidRDefault="003D3B68" w:rsidP="003D3B68">
      <w:pPr>
        <w:spacing w:after="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65408" behindDoc="0" locked="0" layoutInCell="1" allowOverlap="1" wp14:anchorId="54F7B6A8" wp14:editId="4825154C">
                <wp:simplePos x="0" y="0"/>
                <wp:positionH relativeFrom="column">
                  <wp:posOffset>519</wp:posOffset>
                </wp:positionH>
                <wp:positionV relativeFrom="paragraph">
                  <wp:posOffset>479161</wp:posOffset>
                </wp:positionV>
                <wp:extent cx="5628903" cy="5700156"/>
                <wp:effectExtent l="0" t="0" r="29210" b="34290"/>
                <wp:wrapNone/>
                <wp:docPr id="15" name="Conector recto 15"/>
                <wp:cNvGraphicFramePr/>
                <a:graphic xmlns:a="http://schemas.openxmlformats.org/drawingml/2006/main">
                  <a:graphicData uri="http://schemas.microsoft.com/office/word/2010/wordprocessingShape">
                    <wps:wsp>
                      <wps:cNvCnPr/>
                      <wps:spPr>
                        <a:xfrm>
                          <a:off x="0" y="0"/>
                          <a:ext cx="5628903" cy="57001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B93F8A" id="Conector recto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pt,37.75pt" to="443.25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" strokecolor="black [3200]" strokeweight=".5pt">
                <v:stroke joinstyle="miter"/>
              </v:line>
            </w:pict>
          </mc:Fallback>
        </mc:AlternateContent>
      </w:r>
      <w:r w:rsidR="004D1BC2">
        <w:rPr>
          <w:rFonts w:ascii="Palatino Linotype" w:hAnsi="Palatino Linotype"/>
          <w:sz w:val="24"/>
        </w:rPr>
        <w:t>Por lo anterior sirven de sustento las siguientes imágenes ilustrativas:</w:t>
      </w:r>
    </w:p>
    <w:p w14:paraId="1B87B99A" w14:textId="6E96A514" w:rsidR="004D1BC2" w:rsidRPr="004D1BC2" w:rsidRDefault="004D1BC2" w:rsidP="004D1BC2">
      <w:pPr>
        <w:spacing w:before="240" w:after="240" w:line="360" w:lineRule="auto"/>
        <w:jc w:val="both"/>
        <w:rPr>
          <w:rFonts w:ascii="Palatino Linotype" w:hAnsi="Palatino Linotype"/>
          <w:sz w:val="24"/>
        </w:rPr>
      </w:pPr>
      <w:r>
        <w:rPr>
          <w:noProof/>
          <w:lang w:eastAsia="es-MX"/>
        </w:rPr>
        <w:lastRenderedPageBreak/>
        <w:drawing>
          <wp:inline distT="0" distB="0" distL="0" distR="0" wp14:anchorId="2447DC8A" wp14:editId="5E9A8B73">
            <wp:extent cx="5781040" cy="732707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76" t="2225" r="27231" b="1724"/>
                    <a:stretch/>
                  </pic:blipFill>
                  <pic:spPr bwMode="auto">
                    <a:xfrm>
                      <a:off x="0" y="0"/>
                      <a:ext cx="5809042" cy="7362565"/>
                    </a:xfrm>
                    <a:prstGeom prst="rect">
                      <a:avLst/>
                    </a:prstGeom>
                    <a:ln>
                      <a:noFill/>
                    </a:ln>
                    <a:extLst>
                      <a:ext uri="{53640926-AAD7-44D8-BBD7-CCE9431645EC}">
                        <a14:shadowObscured xmlns:a14="http://schemas.microsoft.com/office/drawing/2010/main"/>
                      </a:ext>
                    </a:extLst>
                  </pic:spPr>
                </pic:pic>
              </a:graphicData>
            </a:graphic>
          </wp:inline>
        </w:drawing>
      </w:r>
    </w:p>
    <w:p w14:paraId="437E0437" w14:textId="77777777" w:rsidR="00CE3DB6" w:rsidRDefault="00CE3DB6" w:rsidP="00613D31">
      <w:pPr>
        <w:autoSpaceDE w:val="0"/>
        <w:autoSpaceDN w:val="0"/>
        <w:adjustRightInd w:val="0"/>
        <w:spacing w:after="0" w:line="360" w:lineRule="auto"/>
        <w:jc w:val="both"/>
        <w:rPr>
          <w:rFonts w:ascii="Palatino Linotype" w:hAnsi="Palatino Linotype"/>
          <w:sz w:val="24"/>
        </w:rPr>
      </w:pPr>
    </w:p>
    <w:p w14:paraId="1117837F" w14:textId="56122E0D" w:rsidR="004D1BC2" w:rsidRDefault="004D1BC2" w:rsidP="00613D31">
      <w:pPr>
        <w:autoSpaceDE w:val="0"/>
        <w:autoSpaceDN w:val="0"/>
        <w:adjustRightInd w:val="0"/>
        <w:spacing w:after="0" w:line="360" w:lineRule="auto"/>
        <w:jc w:val="both"/>
        <w:rPr>
          <w:rFonts w:ascii="Palatino Linotype" w:hAnsi="Palatino Linotype"/>
          <w:sz w:val="24"/>
        </w:rPr>
      </w:pPr>
      <w:r>
        <w:rPr>
          <w:noProof/>
          <w:lang w:eastAsia="es-MX"/>
        </w:rPr>
        <w:drawing>
          <wp:inline distT="0" distB="0" distL="0" distR="0" wp14:anchorId="127D8796" wp14:editId="5650C9A7">
            <wp:extent cx="5781675" cy="71251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85" t="6873" r="31767" b="8917"/>
                    <a:stretch/>
                  </pic:blipFill>
                  <pic:spPr bwMode="auto">
                    <a:xfrm>
                      <a:off x="0" y="0"/>
                      <a:ext cx="5833797" cy="7189429"/>
                    </a:xfrm>
                    <a:prstGeom prst="rect">
                      <a:avLst/>
                    </a:prstGeom>
                    <a:ln>
                      <a:noFill/>
                    </a:ln>
                    <a:extLst>
                      <a:ext uri="{53640926-AAD7-44D8-BBD7-CCE9431645EC}">
                        <a14:shadowObscured xmlns:a14="http://schemas.microsoft.com/office/drawing/2010/main"/>
                      </a:ext>
                    </a:extLst>
                  </pic:spPr>
                </pic:pic>
              </a:graphicData>
            </a:graphic>
          </wp:inline>
        </w:drawing>
      </w:r>
    </w:p>
    <w:p w14:paraId="58DFD1CA" w14:textId="77777777" w:rsidR="006A10A0" w:rsidRDefault="006A10A0" w:rsidP="00613D31">
      <w:pPr>
        <w:autoSpaceDE w:val="0"/>
        <w:autoSpaceDN w:val="0"/>
        <w:adjustRightInd w:val="0"/>
        <w:spacing w:after="0" w:line="360" w:lineRule="auto"/>
        <w:jc w:val="both"/>
        <w:rPr>
          <w:rFonts w:ascii="Palatino Linotype" w:hAnsi="Palatino Linotype"/>
          <w:sz w:val="24"/>
        </w:rPr>
      </w:pPr>
    </w:p>
    <w:p w14:paraId="1D8022C7" w14:textId="77777777" w:rsidR="006A10A0" w:rsidRDefault="006A10A0" w:rsidP="00613D31">
      <w:pPr>
        <w:autoSpaceDE w:val="0"/>
        <w:autoSpaceDN w:val="0"/>
        <w:adjustRightInd w:val="0"/>
        <w:spacing w:after="0" w:line="360" w:lineRule="auto"/>
        <w:jc w:val="both"/>
        <w:rPr>
          <w:rFonts w:ascii="Palatino Linotype" w:hAnsi="Palatino Linotype"/>
          <w:sz w:val="24"/>
        </w:rPr>
      </w:pPr>
    </w:p>
    <w:p w14:paraId="57C2F173" w14:textId="1B764D59" w:rsidR="006A10A0" w:rsidRDefault="004D1BC2" w:rsidP="00613D31">
      <w:pPr>
        <w:autoSpaceDE w:val="0"/>
        <w:autoSpaceDN w:val="0"/>
        <w:adjustRightInd w:val="0"/>
        <w:spacing w:after="0" w:line="360" w:lineRule="auto"/>
        <w:jc w:val="both"/>
        <w:rPr>
          <w:rFonts w:ascii="Palatino Linotype" w:hAnsi="Palatino Linotype"/>
          <w:sz w:val="24"/>
        </w:rPr>
      </w:pPr>
      <w:r>
        <w:rPr>
          <w:noProof/>
          <w:lang w:eastAsia="es-MX"/>
        </w:rPr>
        <w:drawing>
          <wp:inline distT="0" distB="0" distL="0" distR="0" wp14:anchorId="2481FF83" wp14:editId="72CD6900">
            <wp:extent cx="5673705" cy="2517569"/>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24" t="3093" r="30736" b="60572"/>
                    <a:stretch/>
                  </pic:blipFill>
                  <pic:spPr bwMode="auto">
                    <a:xfrm>
                      <a:off x="0" y="0"/>
                      <a:ext cx="5746377" cy="2549816"/>
                    </a:xfrm>
                    <a:prstGeom prst="rect">
                      <a:avLst/>
                    </a:prstGeom>
                    <a:ln>
                      <a:noFill/>
                    </a:ln>
                    <a:extLst>
                      <a:ext uri="{53640926-AAD7-44D8-BBD7-CCE9431645EC}">
                        <a14:shadowObscured xmlns:a14="http://schemas.microsoft.com/office/drawing/2010/main"/>
                      </a:ext>
                    </a:extLst>
                  </pic:spPr>
                </pic:pic>
              </a:graphicData>
            </a:graphic>
          </wp:inline>
        </w:drawing>
      </w:r>
    </w:p>
    <w:p w14:paraId="6CB5BBB7" w14:textId="77777777" w:rsidR="006A10A0" w:rsidRDefault="006A10A0" w:rsidP="00613D31">
      <w:pPr>
        <w:autoSpaceDE w:val="0"/>
        <w:autoSpaceDN w:val="0"/>
        <w:adjustRightInd w:val="0"/>
        <w:spacing w:after="0" w:line="360" w:lineRule="auto"/>
        <w:jc w:val="both"/>
        <w:rPr>
          <w:rFonts w:ascii="Palatino Linotype" w:hAnsi="Palatino Linotype"/>
          <w:sz w:val="24"/>
        </w:rPr>
      </w:pPr>
    </w:p>
    <w:p w14:paraId="12EF4DC0" w14:textId="77777777" w:rsidR="006A10A0" w:rsidRDefault="006A10A0" w:rsidP="00613D31">
      <w:pPr>
        <w:autoSpaceDE w:val="0"/>
        <w:autoSpaceDN w:val="0"/>
        <w:adjustRightInd w:val="0"/>
        <w:spacing w:after="0" w:line="360" w:lineRule="auto"/>
        <w:jc w:val="both"/>
        <w:rPr>
          <w:rFonts w:ascii="Palatino Linotype" w:hAnsi="Palatino Linotype"/>
          <w:sz w:val="24"/>
        </w:rPr>
      </w:pPr>
    </w:p>
    <w:p w14:paraId="4D422C9F" w14:textId="21F4C7C6" w:rsidR="003D3B68" w:rsidRDefault="003D3B68"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Ante dicha respuesta el recurrente, promovió el medio de impugnación correspondiente, en donde manifiesta como razones o motivos de inconformidad, que si bien no tienen el costo de la multicitada remodelación, el sujeto obligado debe proporcionar el monto del material recaudado.</w:t>
      </w:r>
    </w:p>
    <w:p w14:paraId="1253551C" w14:textId="77777777" w:rsidR="003D3B68" w:rsidRDefault="003D3B68" w:rsidP="00613D31">
      <w:pPr>
        <w:autoSpaceDE w:val="0"/>
        <w:autoSpaceDN w:val="0"/>
        <w:adjustRightInd w:val="0"/>
        <w:spacing w:after="0" w:line="360" w:lineRule="auto"/>
        <w:jc w:val="both"/>
        <w:rPr>
          <w:rFonts w:ascii="Palatino Linotype" w:hAnsi="Palatino Linotype"/>
          <w:sz w:val="24"/>
        </w:rPr>
      </w:pPr>
    </w:p>
    <w:p w14:paraId="46A0BE09" w14:textId="330E7889" w:rsidR="003D3B68" w:rsidRDefault="00404932"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Ahora bien, quedado establecido lo anterior, este Órgano Garante considera dable realizar el estudio en aras de establecer si el sujeto obligado, proporciono el debido derecho de acceso a la información pública del particular.</w:t>
      </w:r>
    </w:p>
    <w:p w14:paraId="4F8B6E2C" w14:textId="77777777" w:rsidR="00404932" w:rsidRDefault="00404932" w:rsidP="00613D31">
      <w:pPr>
        <w:autoSpaceDE w:val="0"/>
        <w:autoSpaceDN w:val="0"/>
        <w:adjustRightInd w:val="0"/>
        <w:spacing w:after="0" w:line="360" w:lineRule="auto"/>
        <w:jc w:val="both"/>
        <w:rPr>
          <w:rFonts w:ascii="Palatino Linotype" w:hAnsi="Palatino Linotype"/>
          <w:sz w:val="24"/>
        </w:rPr>
      </w:pPr>
    </w:p>
    <w:p w14:paraId="75A42035" w14:textId="541C0095" w:rsidR="002B2907" w:rsidRDefault="00404932" w:rsidP="002B290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rPr>
        <w:t>En ese sentido, principalmente resulta necesario establecer que, por cuanto hace a las manifestaciones referidas en las razones o m</w:t>
      </w:r>
      <w:r w:rsidR="00026E9B">
        <w:rPr>
          <w:rFonts w:ascii="Palatino Linotype" w:hAnsi="Palatino Linotype"/>
          <w:sz w:val="24"/>
        </w:rPr>
        <w:t xml:space="preserve">otivos de inconformidad, siendo específicos en </w:t>
      </w:r>
      <w:r w:rsidR="00026E9B" w:rsidRPr="002B2907">
        <w:rPr>
          <w:rFonts w:ascii="Palatino Linotype" w:hAnsi="Palatino Linotype"/>
          <w:i/>
          <w:sz w:val="24"/>
        </w:rPr>
        <w:t>“</w:t>
      </w:r>
      <w:r w:rsidR="002B2907" w:rsidRPr="002B2907">
        <w:rPr>
          <w:rFonts w:ascii="Palatino Linotype" w:hAnsi="Palatino Linotype"/>
          <w:i/>
          <w:sz w:val="24"/>
        </w:rPr>
        <w:t xml:space="preserve">si, bien no hay costo como tal , </w:t>
      </w:r>
      <w:proofErr w:type="spellStart"/>
      <w:r w:rsidR="002B2907" w:rsidRPr="002B2907">
        <w:rPr>
          <w:rFonts w:ascii="Palatino Linotype" w:hAnsi="Palatino Linotype"/>
          <w:i/>
          <w:sz w:val="24"/>
        </w:rPr>
        <w:t>perse</w:t>
      </w:r>
      <w:proofErr w:type="spellEnd"/>
      <w:r w:rsidR="002B2907" w:rsidRPr="002B2907">
        <w:rPr>
          <w:rFonts w:ascii="Palatino Linotype" w:hAnsi="Palatino Linotype"/>
          <w:i/>
          <w:sz w:val="24"/>
        </w:rPr>
        <w:t xml:space="preserve">, este como analogía debería dar referencia </w:t>
      </w:r>
      <w:r w:rsidR="002B2907" w:rsidRPr="002B2907">
        <w:rPr>
          <w:rFonts w:ascii="Palatino Linotype" w:hAnsi="Palatino Linotype"/>
          <w:i/>
          <w:sz w:val="24"/>
        </w:rPr>
        <w:lastRenderedPageBreak/>
        <w:t>del monto de lo recaudado por dichas donaciones”</w:t>
      </w:r>
      <w:r w:rsidR="002B2907">
        <w:rPr>
          <w:rFonts w:ascii="Palatino Linotype" w:hAnsi="Palatino Linotype"/>
          <w:i/>
          <w:sz w:val="24"/>
        </w:rPr>
        <w:t xml:space="preserve">, </w:t>
      </w:r>
      <w:r w:rsidR="002B2907">
        <w:rPr>
          <w:rFonts w:ascii="Palatino Linotype" w:hAnsi="Palatino Linotype"/>
          <w:sz w:val="24"/>
        </w:rPr>
        <w:t>se considera que estas, no son susceptibles de tomarse en consideración al momento de emitir el presente fallo, toda vez que tal situación no fue requerida en la solicitud primigenia, por lo tanto</w:t>
      </w:r>
      <w:r w:rsidR="002B2907">
        <w:rPr>
          <w:rFonts w:ascii="Palatino Linotype" w:hAnsi="Palatino Linotype" w:cs="Arial"/>
          <w:sz w:val="24"/>
          <w:szCs w:val="24"/>
        </w:rPr>
        <w:t xml:space="preserve"> se consideran como </w:t>
      </w:r>
      <w:r w:rsidR="002B2907" w:rsidRPr="003D0195">
        <w:rPr>
          <w:rFonts w:ascii="Palatino Linotype" w:hAnsi="Palatino Linotype" w:cs="Arial"/>
          <w:i/>
          <w:sz w:val="24"/>
          <w:szCs w:val="24"/>
          <w:u w:val="single"/>
        </w:rPr>
        <w:t xml:space="preserve">plus </w:t>
      </w:r>
      <w:proofErr w:type="spellStart"/>
      <w:r w:rsidR="002B2907" w:rsidRPr="003D0195">
        <w:rPr>
          <w:rFonts w:ascii="Palatino Linotype" w:hAnsi="Palatino Linotype" w:cs="Arial"/>
          <w:i/>
          <w:sz w:val="24"/>
          <w:szCs w:val="24"/>
          <w:u w:val="single"/>
        </w:rPr>
        <w:t>petitio</w:t>
      </w:r>
      <w:proofErr w:type="spellEnd"/>
      <w:r w:rsidR="002B2907">
        <w:rPr>
          <w:rFonts w:ascii="Palatino Linotype" w:hAnsi="Palatino Linotype" w:cs="Arial"/>
          <w:sz w:val="24"/>
          <w:szCs w:val="24"/>
        </w:rPr>
        <w:t>, circunstancia sobre la cual se aborda a continuación.</w:t>
      </w:r>
    </w:p>
    <w:p w14:paraId="347489AA" w14:textId="77777777" w:rsidR="002B2907" w:rsidRDefault="002B2907" w:rsidP="002B2907">
      <w:pPr>
        <w:autoSpaceDE w:val="0"/>
        <w:autoSpaceDN w:val="0"/>
        <w:adjustRightInd w:val="0"/>
        <w:spacing w:after="0" w:line="360" w:lineRule="auto"/>
        <w:jc w:val="both"/>
        <w:rPr>
          <w:rFonts w:ascii="Palatino Linotype" w:hAnsi="Palatino Linotype" w:cs="Arial"/>
          <w:sz w:val="24"/>
          <w:szCs w:val="24"/>
        </w:rPr>
      </w:pPr>
    </w:p>
    <w:p w14:paraId="75D214B3" w14:textId="77777777" w:rsidR="002B2907" w:rsidRDefault="002B2907" w:rsidP="002B2907">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222222"/>
          <w:sz w:val="24"/>
          <w:szCs w:val="24"/>
          <w:lang w:eastAsia="es-MX"/>
        </w:rPr>
        <w:t xml:space="preserve">En términos de la fracción VII del artículo 191 de la </w:t>
      </w:r>
      <w:r>
        <w:rPr>
          <w:rFonts w:ascii="Palatino Linotype" w:eastAsia="Times New Roman" w:hAnsi="Palatino Linotype" w:cs="Times New Roman"/>
          <w:color w:val="222222"/>
          <w:sz w:val="24"/>
          <w:szCs w:val="24"/>
          <w:lang w:eastAsia="es-MX"/>
        </w:rPr>
        <w:t xml:space="preserve">ley de la materia, se considera </w:t>
      </w:r>
      <w:r>
        <w:rPr>
          <w:rFonts w:ascii="Palatino Linotype" w:eastAsia="Times New Roman" w:hAnsi="Palatino Linotype" w:cs="Times New Roman"/>
          <w:i/>
          <w:iCs/>
          <w:color w:val="222222"/>
          <w:sz w:val="24"/>
          <w:szCs w:val="24"/>
          <w:lang w:eastAsia="es-MX"/>
        </w:rPr>
        <w:t xml:space="preserve">plus </w:t>
      </w:r>
      <w:proofErr w:type="spellStart"/>
      <w:r>
        <w:rPr>
          <w:rFonts w:ascii="Palatino Linotype" w:eastAsia="Times New Roman" w:hAnsi="Palatino Linotype" w:cs="Times New Roman"/>
          <w:i/>
          <w:iCs/>
          <w:color w:val="222222"/>
          <w:sz w:val="24"/>
          <w:szCs w:val="24"/>
          <w:lang w:eastAsia="es-MX"/>
        </w:rPr>
        <w:t>petitio</w:t>
      </w:r>
      <w:proofErr w:type="spellEnd"/>
      <w:r>
        <w:rPr>
          <w:rFonts w:ascii="Palatino Linotype" w:eastAsia="Times New Roman" w:hAnsi="Palatino Linotype" w:cs="Times New Roman"/>
          <w:i/>
          <w:iCs/>
          <w:color w:val="222222"/>
          <w:sz w:val="24"/>
          <w:szCs w:val="24"/>
          <w:lang w:eastAsia="es-MX"/>
        </w:rPr>
        <w:t xml:space="preserve"> </w:t>
      </w:r>
      <w:r>
        <w:rPr>
          <w:rFonts w:ascii="Palatino Linotype" w:eastAsia="Times New Roman" w:hAnsi="Palatino Linotype" w:cs="Times New Roman"/>
          <w:color w:val="222222"/>
          <w:sz w:val="24"/>
          <w:szCs w:val="24"/>
          <w:lang w:eastAsia="es-MX"/>
        </w:rPr>
        <w:t xml:space="preserve">cuando </w:t>
      </w:r>
      <w:r>
        <w:rPr>
          <w:rFonts w:ascii="Palatino Linotype" w:eastAsia="Times New Roman" w:hAnsi="Palatino Linotype" w:cs="Times New Roman"/>
          <w:bCs/>
          <w:color w:val="222222"/>
          <w:sz w:val="24"/>
          <w:szCs w:val="24"/>
          <w:lang w:eastAsia="es-MX"/>
        </w:rPr>
        <w:t>el r</w:t>
      </w:r>
      <w:r w:rsidRPr="003D0195">
        <w:rPr>
          <w:rFonts w:ascii="Palatino Linotype" w:eastAsia="Times New Roman" w:hAnsi="Palatino Linotype" w:cs="Times New Roman"/>
          <w:bCs/>
          <w:color w:val="222222"/>
          <w:sz w:val="24"/>
          <w:szCs w:val="24"/>
          <w:lang w:eastAsia="es-MX"/>
        </w:rPr>
        <w:t>ecurrente</w:t>
      </w:r>
      <w:r>
        <w:rPr>
          <w:rFonts w:ascii="Palatino Linotype" w:eastAsia="Times New Roman" w:hAnsi="Palatino Linotype" w:cs="Times New Roman"/>
          <w:color w:val="222222"/>
          <w:sz w:val="24"/>
          <w:szCs w:val="24"/>
          <w:lang w:eastAsia="es-MX"/>
        </w:rPr>
        <w:t xml:space="preserve"> </w:t>
      </w:r>
      <w:r w:rsidRPr="003D0195">
        <w:rPr>
          <w:rFonts w:ascii="Palatino Linotype" w:eastAsia="Times New Roman" w:hAnsi="Palatino Linotype" w:cs="Times New Roman"/>
          <w:color w:val="222222"/>
          <w:sz w:val="24"/>
          <w:szCs w:val="24"/>
          <w:lang w:eastAsia="es-MX"/>
        </w:rPr>
        <w:t xml:space="preserve">amplíe su solicitud en el recurso de revisión, lo cual no fue materia de su solicitud de origen; por lo que en el presente caso se actualiza </w:t>
      </w:r>
      <w:r>
        <w:rPr>
          <w:rFonts w:ascii="Palatino Linotype" w:eastAsia="Times New Roman" w:hAnsi="Palatino Linotype" w:cs="Times New Roman"/>
          <w:color w:val="222222"/>
          <w:sz w:val="24"/>
          <w:szCs w:val="24"/>
          <w:lang w:eastAsia="es-MX"/>
        </w:rPr>
        <w:t xml:space="preserve">tal circunstancia, toda vez que </w:t>
      </w:r>
      <w:r>
        <w:rPr>
          <w:rFonts w:ascii="Palatino Linotype" w:eastAsia="Times New Roman" w:hAnsi="Palatino Linotype" w:cs="Times New Roman"/>
          <w:bCs/>
          <w:color w:val="222222"/>
          <w:sz w:val="24"/>
          <w:szCs w:val="24"/>
          <w:lang w:eastAsia="es-MX"/>
        </w:rPr>
        <w:t xml:space="preserve">la recurrente </w:t>
      </w:r>
      <w:r w:rsidRPr="003D0195">
        <w:rPr>
          <w:rFonts w:ascii="Palatino Linotype" w:eastAsia="Times New Roman" w:hAnsi="Palatino Linotype" w:cs="Times New Roman"/>
          <w:color w:val="222222"/>
          <w:sz w:val="24"/>
          <w:szCs w:val="24"/>
          <w:lang w:eastAsia="es-MX"/>
        </w:rPr>
        <w:t>añade nuevos puntos de solicitud, como lo que fue referido con antelación y que no fueron requeridos en la solicitud primigenia, por lo tanto, no son de atenderse en este momento procesal, dejándose a salvo sus derechos para que en diversa solicitud los haga valer.</w:t>
      </w:r>
    </w:p>
    <w:p w14:paraId="1770FDFB" w14:textId="77777777" w:rsidR="002B2907" w:rsidRPr="003D0195" w:rsidRDefault="002B2907" w:rsidP="002B2907">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p>
    <w:p w14:paraId="64CC4FD6" w14:textId="2601FE82" w:rsidR="002B2907" w:rsidRDefault="002B2907" w:rsidP="002B2907">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222222"/>
          <w:sz w:val="24"/>
          <w:szCs w:val="24"/>
          <w:lang w:eastAsia="es-MX"/>
        </w:rPr>
        <w:t>Por lo anterior</w:t>
      </w:r>
      <w:r w:rsidR="00766C87">
        <w:rPr>
          <w:rFonts w:ascii="Palatino Linotype" w:eastAsia="Times New Roman" w:hAnsi="Palatino Linotype" w:cs="Times New Roman"/>
          <w:color w:val="000000"/>
          <w:sz w:val="24"/>
          <w:szCs w:val="24"/>
          <w:lang w:eastAsia="es-MX"/>
        </w:rPr>
        <w:t>, resulta claro que el</w:t>
      </w:r>
      <w:r w:rsidRPr="0059250C">
        <w:rPr>
          <w:rFonts w:ascii="Palatino Linotype" w:eastAsia="Times New Roman" w:hAnsi="Palatino Linotype" w:cs="Times New Roman"/>
          <w:color w:val="000000"/>
          <w:sz w:val="24"/>
          <w:szCs w:val="24"/>
          <w:lang w:eastAsia="es-MX"/>
        </w:rPr>
        <w:t xml:space="preserve"> recurrente </w:t>
      </w:r>
      <w:r w:rsidRPr="003D0195">
        <w:rPr>
          <w:rFonts w:ascii="Palatino Linotype" w:eastAsia="Times New Roman" w:hAnsi="Palatino Linotype" w:cs="Times New Roman"/>
          <w:color w:val="000000"/>
          <w:sz w:val="24"/>
          <w:szCs w:val="24"/>
          <w:lang w:eastAsia="es-MX"/>
        </w:rPr>
        <w:t>pretende ampliar los alcances de la solicitud de información. Por lo que en término</w:t>
      </w:r>
      <w:r w:rsidR="00766C87">
        <w:rPr>
          <w:rFonts w:ascii="Palatino Linotype" w:eastAsia="Times New Roman" w:hAnsi="Palatino Linotype" w:cs="Times New Roman"/>
          <w:color w:val="000000"/>
          <w:sz w:val="24"/>
          <w:szCs w:val="24"/>
          <w:lang w:eastAsia="es-MX"/>
        </w:rPr>
        <w:t>s del artículo 36, fracción II </w:t>
      </w:r>
      <w:r w:rsidRPr="003D0195">
        <w:rPr>
          <w:rFonts w:ascii="Palatino Linotype" w:eastAsia="Times New Roman" w:hAnsi="Palatino Linotype" w:cs="Times New Roman"/>
          <w:color w:val="000000"/>
          <w:sz w:val="24"/>
          <w:szCs w:val="24"/>
          <w:lang w:eastAsia="es-MX"/>
        </w:rPr>
        <w:t>de la Ley de la materia, este Instituto no está facultado para resolver con respecto a ampliaciones a solicitudes de información presentadas por medios distintos a los que señala el artículo 155 de la Ley de la materia, por lo que el recurso de revisión no constituye un medio válido para solicitar información adicional.</w:t>
      </w:r>
    </w:p>
    <w:p w14:paraId="0D1FB3CA" w14:textId="77777777" w:rsidR="002B2907" w:rsidRDefault="002B2907" w:rsidP="00766C87">
      <w:pPr>
        <w:shd w:val="clear" w:color="auto" w:fill="FFFFFF"/>
        <w:spacing w:after="240" w:line="360" w:lineRule="auto"/>
        <w:jc w:val="both"/>
        <w:rPr>
          <w:rFonts w:ascii="Palatino Linotype" w:eastAsia="Times New Roman" w:hAnsi="Palatino Linotype" w:cs="Times New Roman"/>
          <w:color w:val="000000"/>
          <w:sz w:val="24"/>
          <w:szCs w:val="24"/>
          <w:lang w:eastAsia="es-MX"/>
        </w:rPr>
      </w:pPr>
    </w:p>
    <w:p w14:paraId="14410734" w14:textId="13C21584" w:rsidR="002B2907" w:rsidRDefault="002B2907" w:rsidP="002B2907">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000000"/>
          <w:sz w:val="24"/>
          <w:szCs w:val="24"/>
          <w:lang w:eastAsia="es-MX"/>
        </w:rPr>
        <w:t>Por lo anterior, se establece que dentro del rec</w:t>
      </w:r>
      <w:r>
        <w:rPr>
          <w:rFonts w:ascii="Palatino Linotype" w:eastAsia="Times New Roman" w:hAnsi="Palatino Linotype" w:cs="Times New Roman"/>
          <w:color w:val="000000"/>
          <w:sz w:val="24"/>
          <w:szCs w:val="24"/>
          <w:lang w:eastAsia="es-MX"/>
        </w:rPr>
        <w:t>urs</w:t>
      </w:r>
      <w:r w:rsidR="00766C87">
        <w:rPr>
          <w:rFonts w:ascii="Palatino Linotype" w:eastAsia="Times New Roman" w:hAnsi="Palatino Linotype" w:cs="Times New Roman"/>
          <w:color w:val="000000"/>
          <w:sz w:val="24"/>
          <w:szCs w:val="24"/>
          <w:lang w:eastAsia="es-MX"/>
        </w:rPr>
        <w:t xml:space="preserve">o de revisión presentado por el </w:t>
      </w:r>
      <w:r>
        <w:rPr>
          <w:rFonts w:ascii="Palatino Linotype" w:eastAsia="Times New Roman" w:hAnsi="Palatino Linotype" w:cs="Times New Roman"/>
          <w:color w:val="000000"/>
          <w:sz w:val="24"/>
          <w:szCs w:val="24"/>
          <w:lang w:eastAsia="es-MX"/>
        </w:rPr>
        <w:t xml:space="preserve">recurrente </w:t>
      </w:r>
      <w:r w:rsidRPr="003D0195">
        <w:rPr>
          <w:rFonts w:ascii="Palatino Linotype" w:eastAsia="Times New Roman" w:hAnsi="Palatino Linotype" w:cs="Times New Roman"/>
          <w:color w:val="000000"/>
          <w:sz w:val="24"/>
          <w:szCs w:val="24"/>
          <w:lang w:eastAsia="es-MX"/>
        </w:rPr>
        <w:t xml:space="preserve">no debe variar el fondo de la Litis, de tal manera que la manifestación a que </w:t>
      </w:r>
      <w:r w:rsidRPr="003D0195">
        <w:rPr>
          <w:rFonts w:ascii="Palatino Linotype" w:eastAsia="Times New Roman" w:hAnsi="Palatino Linotype" w:cs="Times New Roman"/>
          <w:color w:val="000000"/>
          <w:sz w:val="24"/>
          <w:szCs w:val="24"/>
          <w:lang w:eastAsia="es-MX"/>
        </w:rPr>
        <w:lastRenderedPageBreak/>
        <w:t>se ha hecho referencia y que fue vertida en sus motivos de inconformidad, resulta notoriamente improcedente, pues este Órgano Garante se encuentra imposibilitado para satisfacer requerimientos que no fueron formulados en tiempo y forma.</w:t>
      </w:r>
    </w:p>
    <w:p w14:paraId="1DBE1FEC" w14:textId="77777777" w:rsidR="002B2907" w:rsidRDefault="002B2907" w:rsidP="00766C87">
      <w:pPr>
        <w:shd w:val="clear" w:color="auto" w:fill="FFFFFF"/>
        <w:spacing w:after="240" w:line="360" w:lineRule="auto"/>
        <w:jc w:val="both"/>
        <w:rPr>
          <w:rFonts w:ascii="Palatino Linotype" w:eastAsia="Times New Roman" w:hAnsi="Palatino Linotype" w:cs="Times New Roman"/>
          <w:color w:val="000000"/>
          <w:sz w:val="24"/>
          <w:szCs w:val="24"/>
          <w:lang w:eastAsia="es-MX"/>
        </w:rPr>
      </w:pPr>
    </w:p>
    <w:p w14:paraId="21DB65E5" w14:textId="77777777" w:rsidR="002B2907" w:rsidRPr="003D0195" w:rsidRDefault="002B2907" w:rsidP="002B2907">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Así mismo ha sido criterio del Instituto Nacional de Transparencia, Acceso a la Información y Protección de Datos Perso</w:t>
      </w:r>
      <w:r w:rsidRPr="0059250C">
        <w:rPr>
          <w:rFonts w:ascii="Palatino Linotype" w:eastAsia="Times New Roman" w:hAnsi="Palatino Linotype" w:cs="Times New Roman"/>
          <w:color w:val="000000"/>
          <w:sz w:val="24"/>
          <w:szCs w:val="24"/>
          <w:lang w:eastAsia="es-MX"/>
        </w:rPr>
        <w:t xml:space="preserve">nales bajo el número 27/10, que </w:t>
      </w:r>
      <w:r w:rsidRPr="003D0195">
        <w:rPr>
          <w:rFonts w:ascii="Palatino Linotype" w:eastAsia="Times New Roman" w:hAnsi="Palatino Linotype" w:cs="Times New Roman"/>
          <w:color w:val="000000"/>
          <w:sz w:val="24"/>
          <w:szCs w:val="24"/>
          <w:u w:val="single"/>
          <w:lang w:eastAsia="es-MX"/>
        </w:rPr>
        <w:t>resulta improcedente ampliar las solicitudes de información pública o de datos personales a través de la interposición del recurso de revisión</w:t>
      </w:r>
      <w:r w:rsidRPr="003D0195">
        <w:rPr>
          <w:rFonts w:ascii="Palatino Linotype" w:eastAsia="Times New Roman" w:hAnsi="Palatino Linotype" w:cs="Times New Roman"/>
          <w:color w:val="000000"/>
          <w:sz w:val="24"/>
          <w:szCs w:val="24"/>
          <w:lang w:eastAsia="es-MX"/>
        </w:rPr>
        <w:t>, como se estima acontece en el presente asunto, al aumentar datos a la solicitud inicial, </w:t>
      </w:r>
      <w:r w:rsidRPr="003D0195">
        <w:rPr>
          <w:rFonts w:ascii="Palatino Linotype" w:eastAsia="Times New Roman" w:hAnsi="Palatino Linotype" w:cs="Times New Roman"/>
          <w:b/>
          <w:bCs/>
          <w:color w:val="000000"/>
          <w:sz w:val="24"/>
          <w:szCs w:val="24"/>
          <w:lang w:eastAsia="es-MX"/>
        </w:rPr>
        <w:t>por lo que se insiste no se puede entrar al estudio de la información novedosa</w:t>
      </w:r>
      <w:r w:rsidRPr="003D0195">
        <w:rPr>
          <w:rFonts w:ascii="Palatino Linotype" w:eastAsia="Times New Roman" w:hAnsi="Palatino Linotype" w:cs="Times New Roman"/>
          <w:color w:val="000000"/>
          <w:sz w:val="24"/>
          <w:szCs w:val="24"/>
          <w:lang w:eastAsia="es-MX"/>
        </w:rPr>
        <w:t>, criterio que es de la literalidad siguiente:</w:t>
      </w:r>
    </w:p>
    <w:p w14:paraId="78E0CEC4" w14:textId="77777777" w:rsidR="002B2907" w:rsidRPr="003D0195" w:rsidRDefault="002B2907" w:rsidP="002B2907">
      <w:pPr>
        <w:shd w:val="clear" w:color="auto" w:fill="FFFFFF"/>
        <w:spacing w:before="240" w:after="240" w:line="288" w:lineRule="atLeast"/>
        <w:ind w:left="851" w:right="850"/>
        <w:jc w:val="both"/>
        <w:rPr>
          <w:rFonts w:ascii="Times New Roman" w:eastAsia="Times New Roman" w:hAnsi="Times New Roman" w:cs="Times New Roman"/>
          <w:color w:val="222222"/>
          <w:szCs w:val="24"/>
          <w:lang w:eastAsia="es-MX"/>
        </w:rPr>
      </w:pPr>
      <w:r w:rsidRPr="003D0195">
        <w:rPr>
          <w:rFonts w:ascii="Palatino Linotype" w:eastAsia="Times New Roman" w:hAnsi="Palatino Linotype" w:cs="Times New Roman"/>
          <w:b/>
          <w:bCs/>
          <w:i/>
          <w:iCs/>
          <w:color w:val="000000"/>
          <w:szCs w:val="24"/>
          <w:lang w:eastAsia="es-MX"/>
        </w:rPr>
        <w:t>“Es improcedente ampliar las solicitudes de acceso a información pública o datos personales, a través de la interposición del recurso de revisión.</w:t>
      </w:r>
      <w:r w:rsidRPr="003D0195">
        <w:rPr>
          <w:rFonts w:ascii="Palatino Linotype" w:eastAsia="Times New Roman" w:hAnsi="Palatino Linotype" w:cs="Times New Roman"/>
          <w:i/>
          <w:iCs/>
          <w:color w:val="000000"/>
          <w:szCs w:val="24"/>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3692778" w14:textId="77777777" w:rsidR="002B2907" w:rsidRDefault="002B2907" w:rsidP="002B2907">
      <w:pPr>
        <w:shd w:val="clear" w:color="auto" w:fill="FFFFFF"/>
        <w:spacing w:before="240" w:after="240" w:line="288" w:lineRule="atLeast"/>
        <w:ind w:left="851" w:right="850"/>
        <w:jc w:val="both"/>
        <w:rPr>
          <w:rFonts w:ascii="Palatino Linotype" w:eastAsia="Times New Roman" w:hAnsi="Palatino Linotype" w:cs="Times New Roman"/>
          <w:b/>
          <w:bCs/>
          <w:i/>
          <w:iCs/>
          <w:color w:val="000000"/>
          <w:szCs w:val="24"/>
          <w:lang w:eastAsia="es-MX"/>
        </w:rPr>
      </w:pPr>
      <w:r w:rsidRPr="003D0195">
        <w:rPr>
          <w:rFonts w:ascii="Palatino Linotype" w:eastAsia="Times New Roman" w:hAnsi="Palatino Linotype" w:cs="Times New Roman"/>
          <w:i/>
          <w:iCs/>
          <w:color w:val="000000"/>
          <w:szCs w:val="24"/>
          <w:lang w:eastAsia="es-MX"/>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3D0195">
        <w:rPr>
          <w:rFonts w:ascii="Palatino Linotype" w:eastAsia="Times New Roman" w:hAnsi="Palatino Linotype" w:cs="Times New Roman"/>
          <w:i/>
          <w:iCs/>
          <w:color w:val="000000"/>
          <w:szCs w:val="24"/>
          <w:lang w:eastAsia="es-MX"/>
        </w:rPr>
        <w:t>Marván</w:t>
      </w:r>
      <w:proofErr w:type="spellEnd"/>
      <w:r w:rsidRPr="003D0195">
        <w:rPr>
          <w:rFonts w:ascii="Palatino Linotype" w:eastAsia="Times New Roman" w:hAnsi="Palatino Linotype" w:cs="Times New Roman"/>
          <w:i/>
          <w:iCs/>
          <w:color w:val="000000"/>
          <w:szCs w:val="24"/>
          <w:lang w:eastAsia="es-MX"/>
        </w:rPr>
        <w:t xml:space="preserve"> Laborde1523 1006/10 Instituto Mexicano del Seguro Social – Sigrid </w:t>
      </w:r>
      <w:proofErr w:type="spellStart"/>
      <w:r w:rsidRPr="003D0195">
        <w:rPr>
          <w:rFonts w:ascii="Palatino Linotype" w:eastAsia="Times New Roman" w:hAnsi="Palatino Linotype" w:cs="Times New Roman"/>
          <w:i/>
          <w:iCs/>
          <w:color w:val="000000"/>
          <w:szCs w:val="24"/>
          <w:lang w:eastAsia="es-MX"/>
        </w:rPr>
        <w:t>Arzt</w:t>
      </w:r>
      <w:proofErr w:type="spellEnd"/>
      <w:r w:rsidRPr="003D0195">
        <w:rPr>
          <w:rFonts w:ascii="Palatino Linotype" w:eastAsia="Times New Roman" w:hAnsi="Palatino Linotype" w:cs="Times New Roman"/>
          <w:i/>
          <w:iCs/>
          <w:color w:val="000000"/>
          <w:szCs w:val="24"/>
          <w:lang w:eastAsia="es-MX"/>
        </w:rPr>
        <w:t xml:space="preserve"> Colunga 1378/10 Instituto de Seguridad y Servicios Sociales de los Trabajadores del Estado – María Elena Pérez-Jaén Zermeño.</w:t>
      </w:r>
      <w:r w:rsidRPr="003D0195">
        <w:rPr>
          <w:rFonts w:ascii="Palatino Linotype" w:eastAsia="Times New Roman" w:hAnsi="Palatino Linotype" w:cs="Times New Roman"/>
          <w:b/>
          <w:bCs/>
          <w:i/>
          <w:iCs/>
          <w:color w:val="000000"/>
          <w:szCs w:val="24"/>
          <w:lang w:eastAsia="es-MX"/>
        </w:rPr>
        <w:t>”</w:t>
      </w:r>
    </w:p>
    <w:p w14:paraId="4D32DE7C" w14:textId="20D71096" w:rsidR="00404932" w:rsidRPr="002B2907" w:rsidRDefault="002B2907"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 </w:t>
      </w:r>
    </w:p>
    <w:p w14:paraId="01867261" w14:textId="77777777" w:rsidR="006A10A0" w:rsidRDefault="006A10A0" w:rsidP="00613D31">
      <w:pPr>
        <w:autoSpaceDE w:val="0"/>
        <w:autoSpaceDN w:val="0"/>
        <w:adjustRightInd w:val="0"/>
        <w:spacing w:after="0" w:line="360" w:lineRule="auto"/>
        <w:jc w:val="both"/>
        <w:rPr>
          <w:rFonts w:ascii="Palatino Linotype" w:hAnsi="Palatino Linotype"/>
          <w:sz w:val="24"/>
        </w:rPr>
      </w:pPr>
    </w:p>
    <w:p w14:paraId="1DDEAC7C" w14:textId="05EE4202" w:rsidR="006A10A0" w:rsidRDefault="00766C87"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lastRenderedPageBreak/>
        <w:t xml:space="preserve">Ahora bien, en segundo término, tenemos que el sujeto obligado, a través del Director del Instituto Municipal </w:t>
      </w:r>
      <w:r w:rsidR="00DF1C29">
        <w:rPr>
          <w:rFonts w:ascii="Palatino Linotype" w:hAnsi="Palatino Linotype"/>
          <w:sz w:val="24"/>
        </w:rPr>
        <w:t xml:space="preserve">de la Juventud, manifestó que como tal no había un costo por la remodelación de la multicitada pista, sin embargo este Instituto puede detectar que el sujeto obligado, no le proporciono la debida certeza jurídica </w:t>
      </w:r>
      <w:r w:rsidR="00CA2F40">
        <w:rPr>
          <w:rFonts w:ascii="Palatino Linotype" w:hAnsi="Palatino Linotype"/>
          <w:sz w:val="24"/>
        </w:rPr>
        <w:t>al recurrente por diversas situaciones.</w:t>
      </w:r>
    </w:p>
    <w:p w14:paraId="2E2F5F2D" w14:textId="77777777" w:rsidR="00DF1C29" w:rsidRDefault="00DF1C29" w:rsidP="00613D31">
      <w:pPr>
        <w:autoSpaceDE w:val="0"/>
        <w:autoSpaceDN w:val="0"/>
        <w:adjustRightInd w:val="0"/>
        <w:spacing w:after="0" w:line="360" w:lineRule="auto"/>
        <w:jc w:val="both"/>
        <w:rPr>
          <w:rFonts w:ascii="Palatino Linotype" w:hAnsi="Palatino Linotype"/>
          <w:sz w:val="24"/>
        </w:rPr>
      </w:pPr>
    </w:p>
    <w:p w14:paraId="73D257BE" w14:textId="331DDD50" w:rsidR="00DF1C29" w:rsidRDefault="00CA2F40"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Concatenado con lo anterior resalta que, </w:t>
      </w:r>
      <w:r w:rsidR="00DF1C29">
        <w:rPr>
          <w:rFonts w:ascii="Palatino Linotype" w:hAnsi="Palatino Linotype"/>
          <w:sz w:val="24"/>
        </w:rPr>
        <w:t>si bien se le otorgo la respuesta al particular, también lo es que el sujeto obligado no dio cabal cumplimiento al artículo 162 de la Ley de Transparencia Estatal, en donde dicho numeral a la letra señala lo siguiente:</w:t>
      </w:r>
    </w:p>
    <w:p w14:paraId="6B072D13" w14:textId="77777777" w:rsidR="00DF1C29" w:rsidRDefault="00DF1C29" w:rsidP="00613D31">
      <w:pPr>
        <w:autoSpaceDE w:val="0"/>
        <w:autoSpaceDN w:val="0"/>
        <w:adjustRightInd w:val="0"/>
        <w:spacing w:after="0" w:line="360" w:lineRule="auto"/>
        <w:jc w:val="both"/>
        <w:rPr>
          <w:rFonts w:ascii="Palatino Linotype" w:hAnsi="Palatino Linotype"/>
          <w:sz w:val="24"/>
        </w:rPr>
      </w:pPr>
    </w:p>
    <w:p w14:paraId="0AA78967" w14:textId="77777777" w:rsidR="00DF1C29" w:rsidRPr="007D41BE" w:rsidRDefault="00DF1C29" w:rsidP="00DF1C29">
      <w:pPr>
        <w:spacing w:after="0" w:line="240" w:lineRule="auto"/>
        <w:ind w:left="851" w:right="850"/>
        <w:jc w:val="both"/>
        <w:rPr>
          <w:rFonts w:ascii="Palatino Linotype" w:eastAsia="Times New Roman" w:hAnsi="Palatino Linotype" w:cs="Times New Roman"/>
          <w:i/>
          <w:sz w:val="24"/>
          <w:szCs w:val="24"/>
          <w:lang w:eastAsia="es-ES"/>
        </w:rPr>
      </w:pPr>
      <w:r w:rsidRPr="007D41BE">
        <w:rPr>
          <w:rFonts w:ascii="Palatino Linotype" w:hAnsi="Palatino Linotype"/>
          <w:i/>
        </w:rPr>
        <w:t>Artículo 162</w:t>
      </w:r>
      <w:r w:rsidRPr="007D41BE">
        <w:rPr>
          <w:rFonts w:ascii="Palatino Linotype" w:hAnsi="Palatino Linotype"/>
          <w:b/>
          <w:i/>
          <w:u w:val="single"/>
        </w:rPr>
        <w:t>. Las unidades de transparencia deberán garantizar que las solicitudes</w:t>
      </w:r>
      <w:r w:rsidRPr="007D41BE">
        <w:rPr>
          <w:rFonts w:ascii="Palatino Linotype" w:hAnsi="Palatino Linotype"/>
          <w:i/>
        </w:rPr>
        <w:t xml:space="preserve"> </w:t>
      </w:r>
      <w:r w:rsidRPr="007D41BE">
        <w:rPr>
          <w:rFonts w:ascii="Palatino Linotype" w:hAnsi="Palatino Linotype"/>
          <w:b/>
          <w:i/>
          <w:u w:val="single"/>
        </w:rPr>
        <w:t>se turnen a todas las Áreas competentes que cuenten con la información o deban tenerla de acuerdo a sus facultades, competencias y funciones</w:t>
      </w:r>
      <w:r w:rsidRPr="007D41BE">
        <w:rPr>
          <w:rFonts w:ascii="Palatino Linotype" w:hAnsi="Palatino Linotype"/>
          <w:i/>
        </w:rPr>
        <w:t>, con el objeto de que realicen una búsqueda exhaustiva y razonable de la información solicitada.</w:t>
      </w:r>
    </w:p>
    <w:p w14:paraId="315CED8F" w14:textId="77777777" w:rsidR="00DF1C29" w:rsidRDefault="00DF1C29" w:rsidP="00613D31">
      <w:pPr>
        <w:autoSpaceDE w:val="0"/>
        <w:autoSpaceDN w:val="0"/>
        <w:adjustRightInd w:val="0"/>
        <w:spacing w:after="0" w:line="360" w:lineRule="auto"/>
        <w:jc w:val="both"/>
        <w:rPr>
          <w:rFonts w:ascii="Palatino Linotype" w:hAnsi="Palatino Linotype"/>
          <w:sz w:val="24"/>
        </w:rPr>
      </w:pPr>
    </w:p>
    <w:p w14:paraId="584EE366" w14:textId="5EC4126B" w:rsidR="00DF1C29" w:rsidRDefault="00DF1C29"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L</w:t>
      </w:r>
      <w:r w:rsidR="00CA2F40">
        <w:rPr>
          <w:rFonts w:ascii="Palatino Linotype" w:hAnsi="Palatino Linotype"/>
          <w:sz w:val="24"/>
        </w:rPr>
        <w:t>o establecido en el párrafo anterior y concatenado con el numeral anteriormente expuesta</w:t>
      </w:r>
      <w:r>
        <w:rPr>
          <w:rFonts w:ascii="Palatino Linotype" w:hAnsi="Palatino Linotype"/>
          <w:sz w:val="24"/>
        </w:rPr>
        <w:t xml:space="preserve"> resulta aplicable, toda vez que del expediente electrónico del SAIMEX, es posible visualizar que, no se encuentra inmerso en este, el apartado de requerimientos, en donde el titular de la unidad de tr</w:t>
      </w:r>
      <w:r w:rsidR="00E9253C">
        <w:rPr>
          <w:rFonts w:ascii="Palatino Linotype" w:hAnsi="Palatino Linotype"/>
          <w:sz w:val="24"/>
        </w:rPr>
        <w:t>ansparencia del sujeto obligado, turna la solicitud de información a las áreas competentes que pudiera contar con la información solicitada. Sirve de sustento la siguiente imagen ilustrativa:</w:t>
      </w:r>
    </w:p>
    <w:p w14:paraId="136C2330" w14:textId="77777777" w:rsidR="00E9253C" w:rsidRDefault="00E9253C" w:rsidP="00613D31">
      <w:pPr>
        <w:autoSpaceDE w:val="0"/>
        <w:autoSpaceDN w:val="0"/>
        <w:adjustRightInd w:val="0"/>
        <w:spacing w:after="0" w:line="360" w:lineRule="auto"/>
        <w:jc w:val="both"/>
        <w:rPr>
          <w:rFonts w:ascii="Palatino Linotype" w:hAnsi="Palatino Linotype"/>
          <w:sz w:val="24"/>
        </w:rPr>
      </w:pPr>
    </w:p>
    <w:p w14:paraId="534CC766" w14:textId="3A15BC9E" w:rsidR="00E9253C" w:rsidRDefault="00E9253C" w:rsidP="00613D31">
      <w:pPr>
        <w:autoSpaceDE w:val="0"/>
        <w:autoSpaceDN w:val="0"/>
        <w:adjustRightInd w:val="0"/>
        <w:spacing w:after="0" w:line="360" w:lineRule="auto"/>
        <w:jc w:val="both"/>
        <w:rPr>
          <w:rFonts w:ascii="Palatino Linotype" w:hAnsi="Palatino Linotype"/>
          <w:sz w:val="24"/>
        </w:rPr>
      </w:pPr>
      <w:r>
        <w:rPr>
          <w:noProof/>
          <w:lang w:eastAsia="es-MX"/>
        </w:rPr>
        <w:lastRenderedPageBreak/>
        <w:drawing>
          <wp:inline distT="0" distB="0" distL="0" distR="0" wp14:anchorId="6EF1BCAE" wp14:editId="7A7E0E58">
            <wp:extent cx="5872519" cy="14725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85" t="35398" r="19933" b="46744"/>
                    <a:stretch/>
                  </pic:blipFill>
                  <pic:spPr bwMode="auto">
                    <a:xfrm>
                      <a:off x="0" y="0"/>
                      <a:ext cx="6098251" cy="1529142"/>
                    </a:xfrm>
                    <a:prstGeom prst="rect">
                      <a:avLst/>
                    </a:prstGeom>
                    <a:ln>
                      <a:noFill/>
                    </a:ln>
                    <a:extLst>
                      <a:ext uri="{53640926-AAD7-44D8-BBD7-CCE9431645EC}">
                        <a14:shadowObscured xmlns:a14="http://schemas.microsoft.com/office/drawing/2010/main"/>
                      </a:ext>
                    </a:extLst>
                  </pic:spPr>
                </pic:pic>
              </a:graphicData>
            </a:graphic>
          </wp:inline>
        </w:drawing>
      </w:r>
    </w:p>
    <w:p w14:paraId="23036F2F" w14:textId="77777777" w:rsidR="00CA2F40" w:rsidRDefault="00CA2F40" w:rsidP="00613D31">
      <w:pPr>
        <w:autoSpaceDE w:val="0"/>
        <w:autoSpaceDN w:val="0"/>
        <w:adjustRightInd w:val="0"/>
        <w:spacing w:after="0" w:line="360" w:lineRule="auto"/>
        <w:jc w:val="both"/>
        <w:rPr>
          <w:rFonts w:ascii="Palatino Linotype" w:hAnsi="Palatino Linotype"/>
          <w:sz w:val="24"/>
        </w:rPr>
      </w:pPr>
    </w:p>
    <w:p w14:paraId="55CD2F85" w14:textId="2B9AF063" w:rsidR="00CA2F40" w:rsidRDefault="00CA2F40"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Por lo tanto este Resolutor, determina que el sujeto obligado, está dejando en un estado de incertidumbre al recurrente, ya que solamente se limitó a proporcionar la respuesta proporcionada por el Director del Instituto Municipal de la Juventud, a lo que caso contrario, el titular de la unidad de transparencia de dicha autoridad, debió turnar la solicitud a todas las áreas que pudieran contar con la información peticio</w:t>
      </w:r>
      <w:r w:rsidR="00D00276">
        <w:rPr>
          <w:rFonts w:ascii="Palatino Linotype" w:hAnsi="Palatino Linotype"/>
          <w:sz w:val="24"/>
        </w:rPr>
        <w:t>nada, que de manera enunciativa, al tratarse de recursos públicos, aplicados a determinada obra, pudiera ser la Tesorería Municipal, o la Dirección de Obras Públicas.</w:t>
      </w:r>
    </w:p>
    <w:p w14:paraId="329C2742" w14:textId="77777777" w:rsidR="00D00276" w:rsidRDefault="00D00276" w:rsidP="00613D31">
      <w:pPr>
        <w:autoSpaceDE w:val="0"/>
        <w:autoSpaceDN w:val="0"/>
        <w:adjustRightInd w:val="0"/>
        <w:spacing w:after="0" w:line="360" w:lineRule="auto"/>
        <w:jc w:val="both"/>
        <w:rPr>
          <w:rFonts w:ascii="Palatino Linotype" w:hAnsi="Palatino Linotype"/>
          <w:sz w:val="24"/>
        </w:rPr>
      </w:pPr>
    </w:p>
    <w:p w14:paraId="7204BE88" w14:textId="30708A16" w:rsidR="00D00276" w:rsidRDefault="00D00276"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En ese sentido resulta conveniente traer a colación lo que establece la Ley Orgánica Municipal, en su artículo 93 referente a la Tesorería Municipal, el cual a la letra dice lo siguiente:</w:t>
      </w:r>
    </w:p>
    <w:p w14:paraId="7964F0A3" w14:textId="77777777" w:rsidR="00D00276" w:rsidRDefault="00D00276" w:rsidP="00613D31">
      <w:pPr>
        <w:autoSpaceDE w:val="0"/>
        <w:autoSpaceDN w:val="0"/>
        <w:adjustRightInd w:val="0"/>
        <w:spacing w:after="0" w:line="360" w:lineRule="auto"/>
        <w:jc w:val="both"/>
        <w:rPr>
          <w:rFonts w:ascii="Palatino Linotype" w:hAnsi="Palatino Linotype"/>
          <w:sz w:val="24"/>
        </w:rPr>
      </w:pPr>
    </w:p>
    <w:p w14:paraId="686E44FB" w14:textId="4E448D10" w:rsidR="00D00276" w:rsidRDefault="00D00276" w:rsidP="00613D31">
      <w:pPr>
        <w:autoSpaceDE w:val="0"/>
        <w:autoSpaceDN w:val="0"/>
        <w:adjustRightInd w:val="0"/>
        <w:spacing w:after="0" w:line="360" w:lineRule="auto"/>
        <w:jc w:val="both"/>
        <w:rPr>
          <w:rFonts w:ascii="Palatino Linotype" w:hAnsi="Palatino Linotype"/>
          <w:sz w:val="24"/>
        </w:rPr>
      </w:pPr>
      <w:r>
        <w:rPr>
          <w:noProof/>
          <w:lang w:eastAsia="es-MX"/>
        </w:rPr>
        <w:drawing>
          <wp:inline distT="0" distB="0" distL="0" distR="0" wp14:anchorId="36E4859D" wp14:editId="777E2011">
            <wp:extent cx="5846401" cy="1425039"/>
            <wp:effectExtent l="0" t="0" r="254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29" t="32996" r="53001" b="54285"/>
                    <a:stretch/>
                  </pic:blipFill>
                  <pic:spPr bwMode="auto">
                    <a:xfrm>
                      <a:off x="0" y="0"/>
                      <a:ext cx="6212604" cy="1514300"/>
                    </a:xfrm>
                    <a:prstGeom prst="rect">
                      <a:avLst/>
                    </a:prstGeom>
                    <a:ln>
                      <a:noFill/>
                    </a:ln>
                    <a:extLst>
                      <a:ext uri="{53640926-AAD7-44D8-BBD7-CCE9431645EC}">
                        <a14:shadowObscured xmlns:a14="http://schemas.microsoft.com/office/drawing/2010/main"/>
                      </a:ext>
                    </a:extLst>
                  </pic:spPr>
                </pic:pic>
              </a:graphicData>
            </a:graphic>
          </wp:inline>
        </w:drawing>
      </w:r>
    </w:p>
    <w:p w14:paraId="3490BC66"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2F98678D" w14:textId="2A33139E" w:rsidR="00766C87" w:rsidRDefault="004034F4"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 dentro de las atribuciones que le son conferidas a los Tesoreros Municipales, resalta la fracción I y IV del artículo 95 de la Ley en referencia, el cual establece lo siguiente:</w:t>
      </w:r>
    </w:p>
    <w:p w14:paraId="2ECDDA0E" w14:textId="77777777" w:rsidR="004034F4" w:rsidRDefault="004034F4" w:rsidP="00613D31">
      <w:pPr>
        <w:autoSpaceDE w:val="0"/>
        <w:autoSpaceDN w:val="0"/>
        <w:adjustRightInd w:val="0"/>
        <w:spacing w:after="0" w:line="360" w:lineRule="auto"/>
        <w:jc w:val="both"/>
        <w:rPr>
          <w:rFonts w:ascii="Palatino Linotype" w:hAnsi="Palatino Linotype" w:cs="Arial"/>
          <w:sz w:val="24"/>
          <w:szCs w:val="24"/>
        </w:rPr>
      </w:pPr>
    </w:p>
    <w:p w14:paraId="048467A6" w14:textId="1528BC39" w:rsidR="004034F4" w:rsidRDefault="004034F4"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8480" behindDoc="0" locked="0" layoutInCell="1" allowOverlap="1" wp14:anchorId="36EFD9A9" wp14:editId="0EF38C1D">
                <wp:simplePos x="0" y="0"/>
                <wp:positionH relativeFrom="margin">
                  <wp:align>right</wp:align>
                </wp:positionH>
                <wp:positionV relativeFrom="paragraph">
                  <wp:posOffset>1937583</wp:posOffset>
                </wp:positionV>
                <wp:extent cx="5605154" cy="344384"/>
                <wp:effectExtent l="19050" t="19050" r="14605" b="17780"/>
                <wp:wrapNone/>
                <wp:docPr id="20" name="Rectángulo 20"/>
                <wp:cNvGraphicFramePr/>
                <a:graphic xmlns:a="http://schemas.openxmlformats.org/drawingml/2006/main">
                  <a:graphicData uri="http://schemas.microsoft.com/office/word/2010/wordprocessingShape">
                    <wps:wsp>
                      <wps:cNvSpPr/>
                      <wps:spPr>
                        <a:xfrm>
                          <a:off x="0" y="0"/>
                          <a:ext cx="5605154" cy="3443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C8A04" id="Rectángulo 20" o:spid="_x0000_s1026" style="position:absolute;margin-left:390.15pt;margin-top:152.55pt;width:441.35pt;height:27.1pt;z-index:2516684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14:anchorId="11B313AE" wp14:editId="2F064BE5">
                <wp:simplePos x="0" y="0"/>
                <wp:positionH relativeFrom="column">
                  <wp:posOffset>107397</wp:posOffset>
                </wp:positionH>
                <wp:positionV relativeFrom="paragraph">
                  <wp:posOffset>441556</wp:posOffset>
                </wp:positionV>
                <wp:extent cx="5605154" cy="344384"/>
                <wp:effectExtent l="0" t="0" r="14605" b="17780"/>
                <wp:wrapNone/>
                <wp:docPr id="19" name="Rectángulo 19"/>
                <wp:cNvGraphicFramePr/>
                <a:graphic xmlns:a="http://schemas.openxmlformats.org/drawingml/2006/main">
                  <a:graphicData uri="http://schemas.microsoft.com/office/word/2010/wordprocessingShape">
                    <wps:wsp>
                      <wps:cNvSpPr/>
                      <wps:spPr>
                        <a:xfrm>
                          <a:off x="0" y="0"/>
                          <a:ext cx="5605154" cy="3443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CC914" id="Rectángulo 19" o:spid="_x0000_s1026" style="position:absolute;margin-left:8.45pt;margin-top:34.75pt;width:441.35pt;height:2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" filled="f" strokecolor="red" strokeweight="1.5pt"/>
            </w:pict>
          </mc:Fallback>
        </mc:AlternateContent>
      </w:r>
      <w:r>
        <w:rPr>
          <w:noProof/>
          <w:lang w:eastAsia="es-MX"/>
        </w:rPr>
        <w:drawing>
          <wp:inline distT="0" distB="0" distL="0" distR="0" wp14:anchorId="39FA3E33" wp14:editId="31AD7386">
            <wp:extent cx="5806440" cy="238694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31" t="28872" r="53617" b="43283"/>
                    <a:stretch/>
                  </pic:blipFill>
                  <pic:spPr bwMode="auto">
                    <a:xfrm>
                      <a:off x="0" y="0"/>
                      <a:ext cx="5864674" cy="2410879"/>
                    </a:xfrm>
                    <a:prstGeom prst="rect">
                      <a:avLst/>
                    </a:prstGeom>
                    <a:ln>
                      <a:noFill/>
                    </a:ln>
                    <a:extLst>
                      <a:ext uri="{53640926-AAD7-44D8-BBD7-CCE9431645EC}">
                        <a14:shadowObscured xmlns:a14="http://schemas.microsoft.com/office/drawing/2010/main"/>
                      </a:ext>
                    </a:extLst>
                  </pic:spPr>
                </pic:pic>
              </a:graphicData>
            </a:graphic>
          </wp:inline>
        </w:drawing>
      </w:r>
    </w:p>
    <w:p w14:paraId="04C9658B"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2C6B2E2E"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3052E46B" w14:textId="218B2A8F" w:rsidR="004034F4" w:rsidRDefault="004034F4"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lo anterior podemos dilucidar que al tratarse de supuestas erogaciones por conceptos de obra o remodelación, la Tesorería Municipal del sujeto obligado pudiera contar dentro de sus archivos la información solicitada por el hoy recurrente.</w:t>
      </w:r>
    </w:p>
    <w:p w14:paraId="6D1A35B4" w14:textId="77777777" w:rsidR="004034F4" w:rsidRDefault="004034F4" w:rsidP="00613D31">
      <w:pPr>
        <w:autoSpaceDE w:val="0"/>
        <w:autoSpaceDN w:val="0"/>
        <w:adjustRightInd w:val="0"/>
        <w:spacing w:after="0" w:line="360" w:lineRule="auto"/>
        <w:jc w:val="both"/>
        <w:rPr>
          <w:rFonts w:ascii="Palatino Linotype" w:hAnsi="Palatino Linotype" w:cs="Arial"/>
          <w:sz w:val="24"/>
          <w:szCs w:val="24"/>
        </w:rPr>
      </w:pPr>
    </w:p>
    <w:p w14:paraId="72EC86A3" w14:textId="4A8D1A5C" w:rsidR="004034F4" w:rsidRDefault="004034F4"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Asimismo robustece lo anterior, el artículo 54 del Bando Municipal 2019 del sujeto obligado, en el cual se establece el objeto y función de la Tesorería Municipal, el cual dice lo siguiente:</w:t>
      </w:r>
    </w:p>
    <w:p w14:paraId="32538E76" w14:textId="77777777" w:rsidR="004034F4" w:rsidRDefault="004034F4" w:rsidP="00613D31">
      <w:pPr>
        <w:autoSpaceDE w:val="0"/>
        <w:autoSpaceDN w:val="0"/>
        <w:adjustRightInd w:val="0"/>
        <w:spacing w:after="0" w:line="360" w:lineRule="auto"/>
        <w:jc w:val="both"/>
        <w:rPr>
          <w:rFonts w:ascii="Palatino Linotype" w:hAnsi="Palatino Linotype" w:cs="Arial"/>
          <w:sz w:val="24"/>
          <w:szCs w:val="24"/>
        </w:rPr>
      </w:pPr>
    </w:p>
    <w:p w14:paraId="22391EEE" w14:textId="5442E15F" w:rsidR="004034F4" w:rsidRDefault="004034F4"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24CCD800" wp14:editId="353C968F">
            <wp:extent cx="5687695" cy="2802577"/>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84" t="41602" r="60612" b="30201"/>
                    <a:stretch/>
                  </pic:blipFill>
                  <pic:spPr bwMode="auto">
                    <a:xfrm>
                      <a:off x="0" y="0"/>
                      <a:ext cx="5747319" cy="2831956"/>
                    </a:xfrm>
                    <a:prstGeom prst="rect">
                      <a:avLst/>
                    </a:prstGeom>
                    <a:ln>
                      <a:noFill/>
                    </a:ln>
                    <a:extLst>
                      <a:ext uri="{53640926-AAD7-44D8-BBD7-CCE9431645EC}">
                        <a14:shadowObscured xmlns:a14="http://schemas.microsoft.com/office/drawing/2010/main"/>
                      </a:ext>
                    </a:extLst>
                  </pic:spPr>
                </pic:pic>
              </a:graphicData>
            </a:graphic>
          </wp:inline>
        </w:drawing>
      </w:r>
    </w:p>
    <w:p w14:paraId="26D75D79"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2F29BEBA" w14:textId="77C14906" w:rsidR="00766C87" w:rsidRDefault="004034F4"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ese mismo orden de ideas y como ha quedado asentado en párrafos que anteceden, otra de las áreas que pudiera contar con la información solicitada, resulta ser la Dirección de Obras Públicas, en donde la Ley Orgánica Municipal, contempla en su artículo 96 BIS</w:t>
      </w:r>
      <w:r w:rsidR="00CC1899">
        <w:rPr>
          <w:rFonts w:ascii="Palatino Linotype" w:hAnsi="Palatino Linotype" w:cs="Arial"/>
          <w:sz w:val="24"/>
          <w:szCs w:val="24"/>
        </w:rPr>
        <w:t xml:space="preserve"> las atribuciones con las que cuenta el Director de Obras Públicas del municipio, de las cuales, aplicables al caso concreto resultan ser las que se enlistan a continuación:</w:t>
      </w:r>
    </w:p>
    <w:p w14:paraId="6B85F478" w14:textId="77777777" w:rsidR="00CC1899" w:rsidRDefault="00CC1899" w:rsidP="00613D31">
      <w:pPr>
        <w:autoSpaceDE w:val="0"/>
        <w:autoSpaceDN w:val="0"/>
        <w:adjustRightInd w:val="0"/>
        <w:spacing w:after="0" w:line="360" w:lineRule="auto"/>
        <w:jc w:val="both"/>
        <w:rPr>
          <w:rFonts w:ascii="Palatino Linotype" w:hAnsi="Palatino Linotype" w:cs="Arial"/>
          <w:sz w:val="24"/>
          <w:szCs w:val="24"/>
        </w:rPr>
      </w:pPr>
    </w:p>
    <w:p w14:paraId="68EB8A4A" w14:textId="402D86D2" w:rsidR="00CC1899" w:rsidRDefault="00CC1899"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2D9A024D" wp14:editId="6D35AF12">
            <wp:extent cx="5723890" cy="135378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81" t="34702" r="27946" b="53251"/>
                    <a:stretch/>
                  </pic:blipFill>
                  <pic:spPr bwMode="auto">
                    <a:xfrm>
                      <a:off x="0" y="0"/>
                      <a:ext cx="5801446" cy="1372130"/>
                    </a:xfrm>
                    <a:prstGeom prst="rect">
                      <a:avLst/>
                    </a:prstGeom>
                    <a:ln>
                      <a:noFill/>
                    </a:ln>
                    <a:extLst>
                      <a:ext uri="{53640926-AAD7-44D8-BBD7-CCE9431645EC}">
                        <a14:shadowObscured xmlns:a14="http://schemas.microsoft.com/office/drawing/2010/main"/>
                      </a:ext>
                    </a:extLst>
                  </pic:spPr>
                </pic:pic>
              </a:graphicData>
            </a:graphic>
          </wp:inline>
        </w:drawing>
      </w:r>
    </w:p>
    <w:p w14:paraId="6F86C241"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1FD72BE7"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1CBC132A" w14:textId="5933356A" w:rsidR="00766C87" w:rsidRDefault="00CC1899"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1C951BB2" wp14:editId="53D0A95C">
            <wp:extent cx="5711825" cy="2291938"/>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479" t="27149" r="30323" b="45699"/>
                    <a:stretch/>
                  </pic:blipFill>
                  <pic:spPr bwMode="auto">
                    <a:xfrm>
                      <a:off x="0" y="0"/>
                      <a:ext cx="5746791" cy="2305968"/>
                    </a:xfrm>
                    <a:prstGeom prst="rect">
                      <a:avLst/>
                    </a:prstGeom>
                    <a:ln>
                      <a:noFill/>
                    </a:ln>
                    <a:extLst>
                      <a:ext uri="{53640926-AAD7-44D8-BBD7-CCE9431645EC}">
                        <a14:shadowObscured xmlns:a14="http://schemas.microsoft.com/office/drawing/2010/main"/>
                      </a:ext>
                    </a:extLst>
                  </pic:spPr>
                </pic:pic>
              </a:graphicData>
            </a:graphic>
          </wp:inline>
        </w:drawing>
      </w:r>
    </w:p>
    <w:p w14:paraId="4F7D697A" w14:textId="20FF2739" w:rsidR="00CC1899" w:rsidRDefault="00CC1899"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77906B34" wp14:editId="76AE8ED7">
            <wp:extent cx="5497830" cy="12825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180" t="47420" r="30221" b="41548"/>
                    <a:stretch/>
                  </pic:blipFill>
                  <pic:spPr bwMode="auto">
                    <a:xfrm>
                      <a:off x="0" y="0"/>
                      <a:ext cx="5595598" cy="1305342"/>
                    </a:xfrm>
                    <a:prstGeom prst="rect">
                      <a:avLst/>
                    </a:prstGeom>
                    <a:ln>
                      <a:noFill/>
                    </a:ln>
                    <a:extLst>
                      <a:ext uri="{53640926-AAD7-44D8-BBD7-CCE9431645EC}">
                        <a14:shadowObscured xmlns:a14="http://schemas.microsoft.com/office/drawing/2010/main"/>
                      </a:ext>
                    </a:extLst>
                  </pic:spPr>
                </pic:pic>
              </a:graphicData>
            </a:graphic>
          </wp:inline>
        </w:drawing>
      </w:r>
    </w:p>
    <w:p w14:paraId="7637E85A" w14:textId="77777777"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659468E5" w14:textId="77777777" w:rsidR="0013120F" w:rsidRDefault="00CC1899"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la normatividad anteriormente referida, podemos encontrar que el Director de Obras Públicas, será el encargado de realizar la programación y ejecución de las obras públicas y servicios relacion</w:t>
      </w:r>
      <w:r w:rsidR="0013120F">
        <w:rPr>
          <w:rFonts w:ascii="Palatino Linotype" w:hAnsi="Palatino Linotype" w:cs="Arial"/>
          <w:sz w:val="24"/>
          <w:szCs w:val="24"/>
        </w:rPr>
        <w:t xml:space="preserve">ados que ordene el Ayuntamiento, y este a su vez de manera coordinada con el Tesorero Municipal podrá administrar y ejercer los recursos públicos destinados a la planeación, programación, </w:t>
      </w:r>
      <w:proofErr w:type="spellStart"/>
      <w:r w:rsidR="0013120F">
        <w:rPr>
          <w:rFonts w:ascii="Palatino Linotype" w:hAnsi="Palatino Linotype" w:cs="Arial"/>
          <w:sz w:val="24"/>
          <w:szCs w:val="24"/>
        </w:rPr>
        <w:t>presupuestación</w:t>
      </w:r>
      <w:proofErr w:type="spellEnd"/>
      <w:r w:rsidR="0013120F">
        <w:rPr>
          <w:rFonts w:ascii="Palatino Linotype" w:hAnsi="Palatino Linotype" w:cs="Arial"/>
          <w:sz w:val="24"/>
          <w:szCs w:val="24"/>
        </w:rPr>
        <w:t>, contratación, ejecución y control de la obra pública.</w:t>
      </w:r>
    </w:p>
    <w:p w14:paraId="68B4AAFC" w14:textId="77777777" w:rsidR="0013120F" w:rsidRDefault="0013120F" w:rsidP="00613D31">
      <w:pPr>
        <w:autoSpaceDE w:val="0"/>
        <w:autoSpaceDN w:val="0"/>
        <w:adjustRightInd w:val="0"/>
        <w:spacing w:after="0" w:line="360" w:lineRule="auto"/>
        <w:jc w:val="both"/>
        <w:rPr>
          <w:rFonts w:ascii="Palatino Linotype" w:hAnsi="Palatino Linotype" w:cs="Arial"/>
          <w:sz w:val="24"/>
          <w:szCs w:val="24"/>
        </w:rPr>
      </w:pPr>
    </w:p>
    <w:p w14:paraId="02E03794" w14:textId="0F514FFD" w:rsidR="0013120F" w:rsidRDefault="0013120F"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Es por lo anterior que este Resolutor determina que, la información solicitada por el recurrente, puede constar dentro de los archivos de otras áreas administrativas, pertenecientes al Municipio de Cuautitlán.</w:t>
      </w:r>
    </w:p>
    <w:p w14:paraId="59D9CA71" w14:textId="3D76558E" w:rsidR="00766C87" w:rsidRDefault="00766C87" w:rsidP="00613D31">
      <w:pPr>
        <w:autoSpaceDE w:val="0"/>
        <w:autoSpaceDN w:val="0"/>
        <w:adjustRightInd w:val="0"/>
        <w:spacing w:after="0" w:line="360" w:lineRule="auto"/>
        <w:jc w:val="both"/>
        <w:rPr>
          <w:rFonts w:ascii="Palatino Linotype" w:hAnsi="Palatino Linotype" w:cs="Arial"/>
          <w:sz w:val="24"/>
          <w:szCs w:val="24"/>
        </w:rPr>
      </w:pPr>
    </w:p>
    <w:p w14:paraId="7FBD0EB6" w14:textId="2DEB4717" w:rsidR="0013120F" w:rsidRDefault="0013120F"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ese orden de ideas y en referencia al proyecto ejecutivo de la remodelación de la multicitada pista, al tratarse de una posible remodelación, en la que se ejercieron o aplicaron recursos públicos, forzosamente el sujeto obligado, a través del Ayuntamiento o alguna otra área debió realizar un proyecto a efecto de que se autorizara la partida presupuestal correspondiente </w:t>
      </w:r>
      <w:r w:rsidR="00254D66">
        <w:rPr>
          <w:rFonts w:ascii="Palatino Linotype" w:hAnsi="Palatino Linotype" w:cs="Arial"/>
          <w:sz w:val="24"/>
          <w:szCs w:val="24"/>
        </w:rPr>
        <w:t>para ejecutar dicha remodelación, por lo tanto en el supuesto de la existencia de dicho documento, el sujeto obligado deberá hacer la entrega de este.</w:t>
      </w:r>
    </w:p>
    <w:p w14:paraId="4D220A20" w14:textId="77777777" w:rsidR="00254D66" w:rsidRDefault="00254D66" w:rsidP="00613D31">
      <w:pPr>
        <w:autoSpaceDE w:val="0"/>
        <w:autoSpaceDN w:val="0"/>
        <w:adjustRightInd w:val="0"/>
        <w:spacing w:after="0" w:line="360" w:lineRule="auto"/>
        <w:jc w:val="both"/>
        <w:rPr>
          <w:rFonts w:ascii="Palatino Linotype" w:hAnsi="Palatino Linotype" w:cs="Arial"/>
          <w:sz w:val="24"/>
          <w:szCs w:val="24"/>
        </w:rPr>
      </w:pPr>
    </w:p>
    <w:p w14:paraId="3613128D" w14:textId="0AEAC899" w:rsidR="00254D66" w:rsidRDefault="00254D66"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las cosas, y ante las argumentaciones vertidas en párrafos que anteceden, este Órgano Garante, considera dable ordenar al sujeto obligado, realice una nueva búsqueda exhaustiva y razonable en las áreas que pudieran contar con la información solicitada y entregue al recurrente el o los documentos en donde conste el costo de la remodelación </w:t>
      </w:r>
      <w:r w:rsidR="00421A72">
        <w:rPr>
          <w:rFonts w:ascii="Palatino Linotype" w:hAnsi="Palatino Linotype" w:cs="Arial"/>
          <w:sz w:val="24"/>
          <w:szCs w:val="24"/>
        </w:rPr>
        <w:t>de la pista referida en la solicitud de información, así como el proyecto ejecutivo de dicha obra.</w:t>
      </w:r>
    </w:p>
    <w:p w14:paraId="1973CF77" w14:textId="77777777" w:rsidR="00421A72" w:rsidRDefault="00421A72" w:rsidP="00613D31">
      <w:pPr>
        <w:autoSpaceDE w:val="0"/>
        <w:autoSpaceDN w:val="0"/>
        <w:adjustRightInd w:val="0"/>
        <w:spacing w:after="0" w:line="360" w:lineRule="auto"/>
        <w:jc w:val="both"/>
        <w:rPr>
          <w:rFonts w:ascii="Palatino Linotype" w:hAnsi="Palatino Linotype" w:cs="Arial"/>
          <w:sz w:val="24"/>
          <w:szCs w:val="24"/>
        </w:rPr>
      </w:pPr>
    </w:p>
    <w:p w14:paraId="6C1E4A2E" w14:textId="36056376" w:rsidR="00421A72" w:rsidRDefault="00421A72"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para el caso de que derivado de la búsqueda exhaustiva y razonable en </w:t>
      </w:r>
      <w:r w:rsidRPr="00421A72">
        <w:rPr>
          <w:rFonts w:ascii="Palatino Linotype" w:hAnsi="Palatino Linotype" w:cs="Arial"/>
          <w:sz w:val="24"/>
          <w:szCs w:val="24"/>
        </w:rPr>
        <w:t>las áreas competentes que pudieran contar con la información, no se encuentra dato alguno que de sustento a lo que se ordena entregar, bastará con que así lo manifieste el sujeto obligado, al momento de dar cumplimiento a la presente resolución</w:t>
      </w:r>
      <w:r>
        <w:rPr>
          <w:rFonts w:ascii="Palatino Linotype" w:hAnsi="Palatino Linotype" w:cs="Arial"/>
          <w:sz w:val="24"/>
          <w:szCs w:val="24"/>
        </w:rPr>
        <w:t>.</w:t>
      </w:r>
    </w:p>
    <w:p w14:paraId="49EA1F41" w14:textId="77777777" w:rsidR="001C5431" w:rsidRDefault="001C5431" w:rsidP="00AA3BC4">
      <w:pPr>
        <w:spacing w:before="240" w:after="240" w:line="360" w:lineRule="auto"/>
        <w:jc w:val="both"/>
        <w:rPr>
          <w:rFonts w:ascii="Palatino Linotype" w:hAnsi="Palatino Linotype"/>
          <w:sz w:val="24"/>
        </w:rPr>
      </w:pPr>
    </w:p>
    <w:p w14:paraId="6B9E755D" w14:textId="61F776A7" w:rsidR="001057F4" w:rsidRDefault="001057F4" w:rsidP="001057F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0FC78A4F" w14:textId="77777777" w:rsidR="00982F6E" w:rsidRDefault="00982F6E" w:rsidP="001404C6">
      <w:pPr>
        <w:spacing w:before="240" w:line="360" w:lineRule="auto"/>
        <w:rPr>
          <w:rFonts w:ascii="Palatino Linotype" w:eastAsia="Times New Roman" w:hAnsi="Palatino Linotype"/>
          <w:b/>
          <w:bCs/>
          <w:spacing w:val="60"/>
          <w:sz w:val="28"/>
          <w:lang w:val="es-ES_tradnl"/>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341225" w14:textId="3ABFE206" w:rsidR="0011542B" w:rsidRP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421A72">
        <w:rPr>
          <w:rFonts w:ascii="Palatino Linotype" w:hAnsi="Palatino Linotype" w:cs="Arial"/>
          <w:b/>
          <w:sz w:val="24"/>
          <w:szCs w:val="24"/>
        </w:rPr>
        <w:t>REVOCA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421A72" w:rsidRPr="00421A72">
        <w:rPr>
          <w:rFonts w:ascii="Palatino Linotype" w:hAnsi="Palatino Linotype" w:cs="Arial"/>
          <w:bCs/>
          <w:sz w:val="24"/>
        </w:rPr>
        <w:t>referida en el antecedente primero de la presente resolución</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parcialmente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BA7E0F">
        <w:rPr>
          <w:rFonts w:ascii="Palatino Linotype" w:hAnsi="Palatino Linotype" w:cs="Arial"/>
          <w:sz w:val="24"/>
          <w:szCs w:val="24"/>
        </w:rPr>
        <w:t>onformidad hechos valer por el r</w:t>
      </w:r>
      <w:r w:rsidR="003C5497">
        <w:rPr>
          <w:rFonts w:ascii="Palatino Linotype" w:hAnsi="Palatino Linotype" w:cs="Arial"/>
          <w:sz w:val="24"/>
          <w:szCs w:val="24"/>
        </w:rPr>
        <w:t>ecurrente, en términos del considerando CUARTO.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78FCE275" w14:textId="66556F98" w:rsidR="00421A72" w:rsidRDefault="0011542B" w:rsidP="00421A72">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sujeto obligado, haga entrega al recurrente a través del SAIMEX, previa búsqueda exhaustiva y razonable, 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 de</w:t>
      </w:r>
      <w:r w:rsidR="004E4866">
        <w:rPr>
          <w:rFonts w:ascii="Palatino Linotype" w:hAnsi="Palatino Linotype" w:cs="Arial"/>
          <w:sz w:val="24"/>
          <w:lang w:eastAsia="es-MX"/>
        </w:rPr>
        <w:t>l o los documentos en donde conste</w:t>
      </w:r>
      <w:r w:rsidR="00421A72">
        <w:rPr>
          <w:rFonts w:ascii="Palatino Linotype" w:hAnsi="Palatino Linotype" w:cs="Arial"/>
          <w:sz w:val="24"/>
          <w:lang w:eastAsia="es-MX"/>
        </w:rPr>
        <w:t xml:space="preserve"> lo siguiente:</w:t>
      </w:r>
    </w:p>
    <w:p w14:paraId="6CEBEB38" w14:textId="4F0F1278" w:rsidR="00421A72" w:rsidRPr="004E4866" w:rsidRDefault="00421A72" w:rsidP="004E4866">
      <w:pPr>
        <w:pStyle w:val="Prrafodelista"/>
        <w:numPr>
          <w:ilvl w:val="0"/>
          <w:numId w:val="19"/>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 xml:space="preserve">Costo y proyecto ejecutivo de la remodelación de la pista de </w:t>
      </w:r>
      <w:proofErr w:type="spellStart"/>
      <w:r>
        <w:rPr>
          <w:rFonts w:ascii="Palatino Linotype" w:hAnsi="Palatino Linotype" w:cs="Arial"/>
          <w:lang w:eastAsia="es-MX"/>
        </w:rPr>
        <w:t>skateboard</w:t>
      </w:r>
      <w:proofErr w:type="spellEnd"/>
      <w:r>
        <w:rPr>
          <w:rFonts w:ascii="Palatino Linotype" w:hAnsi="Palatino Linotype" w:cs="Arial"/>
          <w:lang w:eastAsia="es-MX"/>
        </w:rPr>
        <w:t xml:space="preserve"> </w:t>
      </w:r>
      <w:r w:rsidR="004E4866">
        <w:rPr>
          <w:rFonts w:ascii="Palatino Linotype" w:hAnsi="Palatino Linotype" w:cs="Arial"/>
          <w:lang w:eastAsia="es-MX"/>
        </w:rPr>
        <w:t xml:space="preserve">referida en la solicitud de información número </w:t>
      </w:r>
      <w:r w:rsidR="004E4866" w:rsidRPr="004E4866">
        <w:rPr>
          <w:rFonts w:ascii="Palatino Linotype" w:hAnsi="Palatino Linotype" w:cs="Arial"/>
          <w:b/>
          <w:lang w:eastAsia="es-MX"/>
        </w:rPr>
        <w:t>00054/CUAUTIT/IP/2019</w:t>
      </w:r>
      <w:r w:rsidR="004E4866">
        <w:rPr>
          <w:rFonts w:ascii="Palatino Linotype" w:hAnsi="Palatino Linotype" w:cs="Arial"/>
          <w:b/>
          <w:lang w:eastAsia="es-MX"/>
        </w:rPr>
        <w:t>.</w:t>
      </w:r>
    </w:p>
    <w:p w14:paraId="017E537C" w14:textId="77777777" w:rsidR="004E4866" w:rsidRDefault="004E4866" w:rsidP="004E4866">
      <w:pPr>
        <w:pStyle w:val="Prrafodelista"/>
        <w:spacing w:before="240" w:after="360"/>
        <w:ind w:left="720"/>
        <w:contextualSpacing/>
        <w:jc w:val="both"/>
        <w:rPr>
          <w:rFonts w:ascii="Palatino Linotype" w:hAnsi="Palatino Linotype"/>
          <w:i/>
        </w:rPr>
      </w:pPr>
    </w:p>
    <w:p w14:paraId="31C584A4" w14:textId="77777777" w:rsidR="004E4866" w:rsidRPr="006A76A4" w:rsidRDefault="004E4866" w:rsidP="004E4866">
      <w:pPr>
        <w:pStyle w:val="Prrafodelista"/>
        <w:spacing w:before="240" w:after="360"/>
        <w:ind w:left="720"/>
        <w:contextualSpacing/>
        <w:jc w:val="both"/>
        <w:rPr>
          <w:rFonts w:ascii="Palatino Linotype" w:hAnsi="Palatino Linotype"/>
          <w:i/>
          <w:lang w:eastAsia="es-MX"/>
        </w:rPr>
      </w:pPr>
      <w:r w:rsidRPr="006A76A4">
        <w:rPr>
          <w:rFonts w:ascii="Palatino Linotype" w:hAnsi="Palatino Linotype"/>
          <w:i/>
        </w:rPr>
        <w:t xml:space="preserve">Si derivado de la búsqueda exhaustiva y razonable en las áreas competentes que pudieran contar con la información, no se encuentra dato alguno que de sustento </w:t>
      </w:r>
      <w:r>
        <w:rPr>
          <w:rFonts w:ascii="Palatino Linotype" w:hAnsi="Palatino Linotype"/>
          <w:i/>
        </w:rPr>
        <w:t>a lo que se ordena entregar</w:t>
      </w:r>
      <w:r w:rsidRPr="006A76A4">
        <w:rPr>
          <w:rFonts w:ascii="Palatino Linotype" w:hAnsi="Palatino Linotype"/>
          <w:i/>
        </w:rPr>
        <w:t>, bastará con que así lo manifieste el sujeto obligado, al momento de dar cumplimiento a la presente resolución</w:t>
      </w:r>
    </w:p>
    <w:p w14:paraId="186E0052" w14:textId="77777777" w:rsidR="004E4866" w:rsidRPr="00421A72" w:rsidRDefault="004E4866" w:rsidP="004E4866">
      <w:pPr>
        <w:pStyle w:val="Prrafodelista"/>
        <w:autoSpaceDE w:val="0"/>
        <w:autoSpaceDN w:val="0"/>
        <w:adjustRightInd w:val="0"/>
        <w:spacing w:before="240" w:line="360" w:lineRule="auto"/>
        <w:ind w:left="720" w:right="49"/>
        <w:jc w:val="both"/>
        <w:rPr>
          <w:rFonts w:ascii="Palatino Linotype" w:hAnsi="Palatino Linotype" w:cs="Arial"/>
          <w:lang w:eastAsia="es-MX"/>
        </w:rPr>
      </w:pP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3E6C459C" w14:textId="77777777" w:rsidR="004E4866" w:rsidRPr="00C24D80" w:rsidRDefault="004E4866" w:rsidP="004E4866">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C2B2E60" w14:textId="77777777" w:rsidR="004E4866" w:rsidRPr="00C24D80" w:rsidRDefault="004E4866" w:rsidP="004E4866">
      <w:pPr>
        <w:pStyle w:val="Sinespaciado"/>
        <w:spacing w:line="360" w:lineRule="auto"/>
        <w:jc w:val="both"/>
        <w:rPr>
          <w:rFonts w:ascii="Palatino Linotype" w:hAnsi="Palatino Linotype"/>
        </w:rPr>
      </w:pPr>
      <w:r w:rsidRPr="00C24D80">
        <w:rPr>
          <w:rFonts w:ascii="Palatino Linotype" w:hAnsi="Palatino Linotype"/>
          <w:b/>
        </w:rPr>
        <w:lastRenderedPageBreak/>
        <w:t>CUARTO.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00EEC4D1" w:rsidR="001404C6" w:rsidRPr="005125BF" w:rsidRDefault="0011542B" w:rsidP="005125BF">
      <w:pPr>
        <w:spacing w:before="240" w:line="48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5125BF">
        <w:rPr>
          <w:rFonts w:ascii="Palatino Linotype" w:hAnsi="Palatino Linotype" w:cs="Arial"/>
        </w:rPr>
        <w:t xml:space="preserve"> CON VOTO PARTICULAR</w:t>
      </w:r>
      <w:r w:rsidRPr="00B35304">
        <w:rPr>
          <w:rFonts w:ascii="Palatino Linotype" w:hAnsi="Palatino Linotype" w:cs="Arial"/>
        </w:rPr>
        <w:t xml:space="preserve">, JOSÉ </w:t>
      </w:r>
      <w:r w:rsidRPr="00AD0DD8">
        <w:rPr>
          <w:rFonts w:ascii="Palatino Linotype" w:hAnsi="Palatino Linotype" w:cs="Arial"/>
        </w:rPr>
        <w:t>GUADALUPE LUNA HERNÁNDEZ</w:t>
      </w:r>
      <w:r w:rsidR="004F0E1A">
        <w:rPr>
          <w:rFonts w:ascii="Palatino Linotype" w:hAnsi="Palatino Linotype" w:cs="Arial"/>
        </w:rPr>
        <w:t xml:space="preserve"> (</w:t>
      </w:r>
      <w:r w:rsidR="005125BF">
        <w:rPr>
          <w:rFonts w:ascii="Palatino Linotype" w:hAnsi="Palatino Linotype" w:cs="Arial"/>
        </w:rPr>
        <w:t>CON VOTO PARTICULAR</w:t>
      </w:r>
      <w:r w:rsidR="004F0E1A">
        <w:rPr>
          <w:rFonts w:ascii="Palatino Linotype" w:hAnsi="Palatino Linotype" w:cs="Arial"/>
        </w:rPr>
        <w:t>)</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CON AUSENCIA JUSTIFICADA Y LUIS GUSTAVO PARRA NORIEGA CON AUSENCIA JUSTIFICADA</w:t>
      </w:r>
      <w:r w:rsidRPr="00AD0DD8">
        <w:rPr>
          <w:rFonts w:ascii="Palatino Linotype" w:hAnsi="Palatino Linotype" w:cs="Arial"/>
        </w:rPr>
        <w:t xml:space="preserve">, </w:t>
      </w:r>
      <w:r w:rsidR="001404C6">
        <w:rPr>
          <w:rFonts w:ascii="Palatino Linotype" w:hAnsi="Palatino Linotype" w:cs="Arial"/>
        </w:rPr>
        <w:t xml:space="preserve">EN LA </w:t>
      </w:r>
      <w:r w:rsidR="005125BF">
        <w:rPr>
          <w:rFonts w:ascii="Palatino Linotype" w:hAnsi="Palatino Linotype" w:cs="Arial"/>
        </w:rPr>
        <w:t>VIGÉSIMA SEXTA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5125BF">
        <w:rPr>
          <w:rFonts w:ascii="Palatino Linotype" w:hAnsi="Palatino Linotype" w:cs="Arial"/>
        </w:rPr>
        <w:t>DIEZ DE JULIO</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r w:rsidR="005125BF">
        <w:rPr>
          <w:rFonts w:ascii="Palatino Linotype" w:hAnsi="Palatino Linotype" w:cs="Arial"/>
        </w:rPr>
        <w:t>---------------------------------------------------------------------------------------------------------------------------------------------------------------------------------------------------------------------------------------------------------------------------------------------------------------------------------------------------------------------------------------------------------------------------------------------------------------------------------------------------------------------------------------------------------------------------------------------------------------------------------------------------------------------------------------------------------------------------------------------------------------------------------------</w:t>
      </w:r>
      <w:r w:rsidR="00B9664B">
        <w:rPr>
          <w:rFonts w:ascii="Palatino Linotype" w:hAnsi="Palatino Linotype" w:cs="Arial"/>
        </w:rPr>
        <w:t>--------------</w:t>
      </w:r>
    </w:p>
    <w:p w14:paraId="20930680" w14:textId="77777777" w:rsidR="005125BF" w:rsidRDefault="005125BF"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3B2C29" w:rsidRDefault="00AB7B3D"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5125BF">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3B2C29" w:rsidRDefault="00AB7B3D"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5125BF">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3B2C29" w:rsidRDefault="003B2C29"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5125BF" w:rsidRPr="00EF2FC0" w:rsidRDefault="005125BF" w:rsidP="005125BF">
                            <w:pPr>
                              <w:jc w:val="center"/>
                              <w:rPr>
                                <w:rFonts w:ascii="Palatino Linotype" w:hAnsi="Palatino Linotype"/>
                              </w:rPr>
                            </w:pPr>
                            <w:r>
                              <w:rPr>
                                <w:rFonts w:ascii="Palatino Linotype" w:hAnsi="Palatino Linotype"/>
                                <w:b/>
                              </w:rPr>
                              <w:t>Luis Gustavo Parra Noriega</w:t>
                            </w:r>
                          </w:p>
                          <w:p w14:paraId="2FB0BD00" w14:textId="77777777" w:rsidR="005125BF" w:rsidRPr="00EF2FC0" w:rsidRDefault="005125BF" w:rsidP="005125BF">
                            <w:pPr>
                              <w:jc w:val="center"/>
                              <w:rPr>
                                <w:rFonts w:ascii="Palatino Linotype" w:hAnsi="Palatino Linotype"/>
                              </w:rPr>
                            </w:pPr>
                            <w:r w:rsidRPr="00EF2FC0">
                              <w:rPr>
                                <w:rFonts w:ascii="Palatino Linotype" w:hAnsi="Palatino Linotype"/>
                              </w:rPr>
                              <w:t>Comisionado</w:t>
                            </w:r>
                          </w:p>
                          <w:p w14:paraId="2A4F7641" w14:textId="73B5A640" w:rsidR="005125BF" w:rsidRDefault="005125BF" w:rsidP="005125BF">
                            <w:pPr>
                              <w:jc w:val="center"/>
                              <w:rPr>
                                <w:rFonts w:ascii="Palatino Linotype" w:hAnsi="Palatino Linotype"/>
                                <w:b/>
                              </w:rPr>
                            </w:pPr>
                            <w:r>
                              <w:rPr>
                                <w:rFonts w:ascii="Palatino Linotype" w:hAnsi="Palatino Linotype"/>
                                <w:b/>
                              </w:rPr>
                              <w:t>(Ausencia Justificada).</w:t>
                            </w:r>
                          </w:p>
                          <w:p w14:paraId="45785981" w14:textId="77777777" w:rsidR="005125BF" w:rsidRDefault="005125BF"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5125BF" w:rsidRPr="00EF2FC0" w:rsidRDefault="005125BF" w:rsidP="005125BF">
                      <w:pPr>
                        <w:jc w:val="center"/>
                        <w:rPr>
                          <w:rFonts w:ascii="Palatino Linotype" w:hAnsi="Palatino Linotype"/>
                        </w:rPr>
                      </w:pPr>
                      <w:r>
                        <w:rPr>
                          <w:rFonts w:ascii="Palatino Linotype" w:hAnsi="Palatino Linotype"/>
                          <w:b/>
                        </w:rPr>
                        <w:t>Luis Gustavo Parra Noriega</w:t>
                      </w:r>
                    </w:p>
                    <w:p w14:paraId="2FB0BD00" w14:textId="77777777" w:rsidR="005125BF" w:rsidRPr="00EF2FC0" w:rsidRDefault="005125BF" w:rsidP="005125BF">
                      <w:pPr>
                        <w:jc w:val="center"/>
                        <w:rPr>
                          <w:rFonts w:ascii="Palatino Linotype" w:hAnsi="Palatino Linotype"/>
                        </w:rPr>
                      </w:pPr>
                      <w:r w:rsidRPr="00EF2FC0">
                        <w:rPr>
                          <w:rFonts w:ascii="Palatino Linotype" w:hAnsi="Palatino Linotype"/>
                        </w:rPr>
                        <w:t>Comisionado</w:t>
                      </w:r>
                    </w:p>
                    <w:p w14:paraId="2A4F7641" w14:textId="73B5A640" w:rsidR="005125BF" w:rsidRDefault="005125BF" w:rsidP="005125BF">
                      <w:pPr>
                        <w:jc w:val="center"/>
                        <w:rPr>
                          <w:rFonts w:ascii="Palatino Linotype" w:hAnsi="Palatino Linotype"/>
                          <w:b/>
                        </w:rPr>
                      </w:pPr>
                      <w:r>
                        <w:rPr>
                          <w:rFonts w:ascii="Palatino Linotype" w:hAnsi="Palatino Linotype"/>
                          <w:b/>
                        </w:rPr>
                        <w:t>(Ausencia Justificada).</w:t>
                      </w:r>
                    </w:p>
                    <w:p w14:paraId="45785981" w14:textId="77777777" w:rsidR="005125BF" w:rsidRDefault="005125BF"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BBB62EB" w:rsidR="003B2C29" w:rsidRDefault="005125BF" w:rsidP="003B2C29">
                            <w:pPr>
                              <w:spacing w:line="240" w:lineRule="auto"/>
                              <w:jc w:val="center"/>
                              <w:rPr>
                                <w:rFonts w:ascii="Palatino Linotype" w:hAnsi="Palatino Linotype"/>
                                <w:b/>
                                <w:sz w:val="24"/>
                                <w:szCs w:val="24"/>
                              </w:rPr>
                            </w:pPr>
                            <w:r>
                              <w:rPr>
                                <w:rFonts w:ascii="Palatino Linotype" w:hAnsi="Palatino Linotype"/>
                                <w:b/>
                                <w:sz w:val="24"/>
                                <w:szCs w:val="24"/>
                              </w:rPr>
                              <w:t>(Ausencia Justificada</w:t>
                            </w:r>
                            <w:r w:rsidR="003B2C29">
                              <w:rPr>
                                <w:rFonts w:ascii="Palatino Linotype" w:hAnsi="Palatino Linotype"/>
                                <w:b/>
                                <w:sz w:val="24"/>
                                <w:szCs w:val="24"/>
                              </w:rPr>
                              <w:t>)</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BBB62EB" w:rsidR="003B2C29" w:rsidRDefault="005125BF" w:rsidP="003B2C29">
                      <w:pPr>
                        <w:spacing w:line="240" w:lineRule="auto"/>
                        <w:jc w:val="center"/>
                        <w:rPr>
                          <w:rFonts w:ascii="Palatino Linotype" w:hAnsi="Palatino Linotype"/>
                          <w:b/>
                          <w:sz w:val="24"/>
                          <w:szCs w:val="24"/>
                        </w:rPr>
                      </w:pPr>
                      <w:r>
                        <w:rPr>
                          <w:rFonts w:ascii="Palatino Linotype" w:hAnsi="Palatino Linotype"/>
                          <w:b/>
                          <w:sz w:val="24"/>
                          <w:szCs w:val="24"/>
                        </w:rPr>
                        <w:t>(Ausencia Justificada</w:t>
                      </w:r>
                      <w:r w:rsidR="003B2C29">
                        <w:rPr>
                          <w:rFonts w:ascii="Palatino Linotype" w:hAnsi="Palatino Linotype"/>
                          <w:b/>
                          <w:sz w:val="24"/>
                          <w:szCs w:val="24"/>
                        </w:rPr>
                        <w:t>)</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3A521696" w:rsidR="00E3515E" w:rsidRDefault="003B2C29"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4F75D2FF"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5125BF">
        <w:rPr>
          <w:rFonts w:ascii="Palatino Linotype" w:hAnsi="Palatino Linotype" w:cs="Arial"/>
          <w:sz w:val="16"/>
          <w:szCs w:val="16"/>
        </w:rPr>
        <w:t>diez de julio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5125BF">
        <w:rPr>
          <w:rFonts w:ascii="Palatino Linotype" w:hAnsi="Palatino Linotype" w:cs="Arial"/>
          <w:bCs/>
          <w:sz w:val="16"/>
          <w:szCs w:val="16"/>
          <w:lang w:eastAsia="es-MX"/>
        </w:rPr>
        <w:t>03625/INFOEM/IP/RR/2019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8F15C" w14:textId="77777777" w:rsidR="00D97ED7" w:rsidRDefault="00D97ED7" w:rsidP="0011542B">
      <w:pPr>
        <w:spacing w:after="0" w:line="240" w:lineRule="auto"/>
      </w:pPr>
      <w:r>
        <w:separator/>
      </w:r>
    </w:p>
  </w:endnote>
  <w:endnote w:type="continuationSeparator" w:id="0">
    <w:p w14:paraId="7889D606" w14:textId="77777777" w:rsidR="00D97ED7" w:rsidRDefault="00D97ED7"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71AB">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71AB">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4D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C4DB3">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70378" w14:textId="77777777" w:rsidR="00D97ED7" w:rsidRDefault="00D97ED7" w:rsidP="0011542B">
      <w:pPr>
        <w:spacing w:after="0" w:line="240" w:lineRule="auto"/>
      </w:pPr>
      <w:r>
        <w:separator/>
      </w:r>
    </w:p>
  </w:footnote>
  <w:footnote w:type="continuationSeparator" w:id="0">
    <w:p w14:paraId="37C17041" w14:textId="77777777" w:rsidR="00D97ED7" w:rsidRDefault="00D97ED7" w:rsidP="0011542B">
      <w:pPr>
        <w:spacing w:after="0" w:line="240" w:lineRule="auto"/>
      </w:pPr>
      <w:r>
        <w:continuationSeparator/>
      </w:r>
    </w:p>
  </w:footnote>
  <w:footnote w:id="1">
    <w:p w14:paraId="3099A84B" w14:textId="77777777" w:rsidR="00D37BC6" w:rsidRPr="00911081" w:rsidRDefault="00D37BC6"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D37BC6" w:rsidRPr="00911081" w:rsidRDefault="00D37BC6"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76D13F5" w:rsidR="00D37BC6" w:rsidRDefault="00F43301"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03625/INFOEM/IP/RR/2019</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020F7A02" w:rsidR="00D37BC6" w:rsidRDefault="00F43301" w:rsidP="00543858">
          <w:pPr>
            <w:spacing w:after="120" w:line="256" w:lineRule="auto"/>
            <w:ind w:left="-486" w:right="214" w:firstLine="284"/>
            <w:jc w:val="right"/>
            <w:rPr>
              <w:rFonts w:ascii="Palatino Linotype" w:hAnsi="Palatino Linotype" w:cs="Arial"/>
              <w:szCs w:val="20"/>
            </w:rPr>
          </w:pPr>
          <w:r w:rsidRPr="00F43301">
            <w:rPr>
              <w:rFonts w:ascii="Palatino Linotype" w:hAnsi="Palatino Linotype" w:cs="Arial"/>
              <w:szCs w:val="20"/>
            </w:rPr>
            <w:t>Ayuntamiento de Cuautitlán</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700B9E37" w:rsidR="00D37BC6" w:rsidRPr="00B4142F" w:rsidRDefault="00F43301"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03625/INFOEM/IP/RR/2019</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72DC9658" w:rsidR="00D37BC6" w:rsidRPr="00F06FED" w:rsidRDefault="00CC4DB3"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34C7A218" w:rsidR="00D37BC6" w:rsidRDefault="00F43301" w:rsidP="0011542B">
          <w:pPr>
            <w:spacing w:after="120" w:line="256" w:lineRule="auto"/>
            <w:ind w:left="-495" w:right="214" w:firstLine="567"/>
            <w:jc w:val="right"/>
            <w:rPr>
              <w:rFonts w:ascii="Palatino Linotype" w:hAnsi="Palatino Linotype" w:cs="Arial"/>
              <w:szCs w:val="20"/>
            </w:rPr>
          </w:pPr>
          <w:r w:rsidRPr="00F43301">
            <w:rPr>
              <w:rFonts w:ascii="Palatino Linotype" w:hAnsi="Palatino Linotype" w:cs="Arial"/>
              <w:szCs w:val="20"/>
            </w:rPr>
            <w:t>Ayuntamiento de Cuautitlán</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3"/>
  </w:num>
  <w:num w:numId="2">
    <w:abstractNumId w:val="4"/>
  </w:num>
  <w:num w:numId="3">
    <w:abstractNumId w:val="14"/>
  </w:num>
  <w:num w:numId="4">
    <w:abstractNumId w:val="9"/>
  </w:num>
  <w:num w:numId="5">
    <w:abstractNumId w:val="3"/>
  </w:num>
  <w:num w:numId="6">
    <w:abstractNumId w:val="12"/>
  </w:num>
  <w:num w:numId="7">
    <w:abstractNumId w:val="17"/>
  </w:num>
  <w:num w:numId="8">
    <w:abstractNumId w:val="11"/>
  </w:num>
  <w:num w:numId="9">
    <w:abstractNumId w:val="18"/>
  </w:num>
  <w:num w:numId="10">
    <w:abstractNumId w:val="1"/>
  </w:num>
  <w:num w:numId="11">
    <w:abstractNumId w:val="8"/>
  </w:num>
  <w:num w:numId="12">
    <w:abstractNumId w:val="5"/>
  </w:num>
  <w:num w:numId="13">
    <w:abstractNumId w:val="16"/>
  </w:num>
  <w:num w:numId="14">
    <w:abstractNumId w:val="2"/>
  </w:num>
  <w:num w:numId="15">
    <w:abstractNumId w:val="7"/>
  </w:num>
  <w:num w:numId="16">
    <w:abstractNumId w:val="15"/>
  </w:num>
  <w:num w:numId="17">
    <w:abstractNumId w:val="0"/>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6439C"/>
    <w:rsid w:val="00072E6B"/>
    <w:rsid w:val="00075E91"/>
    <w:rsid w:val="00080AC7"/>
    <w:rsid w:val="00097BD5"/>
    <w:rsid w:val="000A3574"/>
    <w:rsid w:val="000A555F"/>
    <w:rsid w:val="000C0B88"/>
    <w:rsid w:val="000C56BB"/>
    <w:rsid w:val="000C76AC"/>
    <w:rsid w:val="000D195C"/>
    <w:rsid w:val="000D278F"/>
    <w:rsid w:val="000D7FA2"/>
    <w:rsid w:val="000E119D"/>
    <w:rsid w:val="000E410A"/>
    <w:rsid w:val="000F1230"/>
    <w:rsid w:val="000F3FA6"/>
    <w:rsid w:val="001057F4"/>
    <w:rsid w:val="00105FAE"/>
    <w:rsid w:val="00107AB3"/>
    <w:rsid w:val="0011420A"/>
    <w:rsid w:val="001142E2"/>
    <w:rsid w:val="0011542B"/>
    <w:rsid w:val="0012416A"/>
    <w:rsid w:val="00126246"/>
    <w:rsid w:val="0013120F"/>
    <w:rsid w:val="001404C6"/>
    <w:rsid w:val="00154857"/>
    <w:rsid w:val="001842DD"/>
    <w:rsid w:val="0018673C"/>
    <w:rsid w:val="00196E93"/>
    <w:rsid w:val="001A0399"/>
    <w:rsid w:val="001B0FCF"/>
    <w:rsid w:val="001B326D"/>
    <w:rsid w:val="001C16B1"/>
    <w:rsid w:val="001C1835"/>
    <w:rsid w:val="001C5431"/>
    <w:rsid w:val="001C6913"/>
    <w:rsid w:val="001D251B"/>
    <w:rsid w:val="001D7CAB"/>
    <w:rsid w:val="001F217A"/>
    <w:rsid w:val="001F3B3B"/>
    <w:rsid w:val="001F5AFF"/>
    <w:rsid w:val="001F6EB0"/>
    <w:rsid w:val="00201B20"/>
    <w:rsid w:val="00220391"/>
    <w:rsid w:val="0022100F"/>
    <w:rsid w:val="00227744"/>
    <w:rsid w:val="0023596D"/>
    <w:rsid w:val="00243002"/>
    <w:rsid w:val="00247239"/>
    <w:rsid w:val="0024761B"/>
    <w:rsid w:val="002507A5"/>
    <w:rsid w:val="00254D66"/>
    <w:rsid w:val="00261FFA"/>
    <w:rsid w:val="00273B89"/>
    <w:rsid w:val="00280969"/>
    <w:rsid w:val="00287856"/>
    <w:rsid w:val="00287F1B"/>
    <w:rsid w:val="0029272A"/>
    <w:rsid w:val="002945AF"/>
    <w:rsid w:val="0029528A"/>
    <w:rsid w:val="002B2907"/>
    <w:rsid w:val="002B601A"/>
    <w:rsid w:val="002C433E"/>
    <w:rsid w:val="002C4695"/>
    <w:rsid w:val="002C6D66"/>
    <w:rsid w:val="002D1236"/>
    <w:rsid w:val="002E1D99"/>
    <w:rsid w:val="002F6E45"/>
    <w:rsid w:val="002F70CE"/>
    <w:rsid w:val="00304407"/>
    <w:rsid w:val="00305D19"/>
    <w:rsid w:val="00306C1A"/>
    <w:rsid w:val="00307EB2"/>
    <w:rsid w:val="00312901"/>
    <w:rsid w:val="00315738"/>
    <w:rsid w:val="00326FE3"/>
    <w:rsid w:val="00336C65"/>
    <w:rsid w:val="00346B41"/>
    <w:rsid w:val="00346DF4"/>
    <w:rsid w:val="00347C16"/>
    <w:rsid w:val="00350F71"/>
    <w:rsid w:val="0035247C"/>
    <w:rsid w:val="00360787"/>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7AF1"/>
    <w:rsid w:val="00446BF4"/>
    <w:rsid w:val="004471AB"/>
    <w:rsid w:val="00450BF4"/>
    <w:rsid w:val="00450DA2"/>
    <w:rsid w:val="00465FB1"/>
    <w:rsid w:val="0047524C"/>
    <w:rsid w:val="004771AE"/>
    <w:rsid w:val="004900B5"/>
    <w:rsid w:val="00490A63"/>
    <w:rsid w:val="00496B55"/>
    <w:rsid w:val="004A0F80"/>
    <w:rsid w:val="004A3B2A"/>
    <w:rsid w:val="004B4EBC"/>
    <w:rsid w:val="004B7E23"/>
    <w:rsid w:val="004C117B"/>
    <w:rsid w:val="004C1C16"/>
    <w:rsid w:val="004D1BC2"/>
    <w:rsid w:val="004D762E"/>
    <w:rsid w:val="004E02B9"/>
    <w:rsid w:val="004E397B"/>
    <w:rsid w:val="004E4866"/>
    <w:rsid w:val="004E7CB5"/>
    <w:rsid w:val="004F0E1A"/>
    <w:rsid w:val="00505389"/>
    <w:rsid w:val="00507864"/>
    <w:rsid w:val="005125BF"/>
    <w:rsid w:val="00513E93"/>
    <w:rsid w:val="00523C4E"/>
    <w:rsid w:val="00526883"/>
    <w:rsid w:val="005316BD"/>
    <w:rsid w:val="00535EC3"/>
    <w:rsid w:val="0054112F"/>
    <w:rsid w:val="00543858"/>
    <w:rsid w:val="00545D3C"/>
    <w:rsid w:val="0054783E"/>
    <w:rsid w:val="00551844"/>
    <w:rsid w:val="005522AB"/>
    <w:rsid w:val="00564B8E"/>
    <w:rsid w:val="005650C5"/>
    <w:rsid w:val="00566F20"/>
    <w:rsid w:val="005733EB"/>
    <w:rsid w:val="005C4B02"/>
    <w:rsid w:val="005D1D3C"/>
    <w:rsid w:val="005D4E33"/>
    <w:rsid w:val="005D504F"/>
    <w:rsid w:val="005E5C66"/>
    <w:rsid w:val="005F362C"/>
    <w:rsid w:val="005F4AAB"/>
    <w:rsid w:val="005F5F9D"/>
    <w:rsid w:val="005F7C2B"/>
    <w:rsid w:val="00607079"/>
    <w:rsid w:val="00613D31"/>
    <w:rsid w:val="00624C23"/>
    <w:rsid w:val="00626DBC"/>
    <w:rsid w:val="0063381F"/>
    <w:rsid w:val="006358B5"/>
    <w:rsid w:val="006462FB"/>
    <w:rsid w:val="00651578"/>
    <w:rsid w:val="0066246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A0F51"/>
    <w:rsid w:val="007A4EC5"/>
    <w:rsid w:val="007A7389"/>
    <w:rsid w:val="007B08BF"/>
    <w:rsid w:val="007C56E3"/>
    <w:rsid w:val="007C7A39"/>
    <w:rsid w:val="007D32FF"/>
    <w:rsid w:val="007D599C"/>
    <w:rsid w:val="007E413A"/>
    <w:rsid w:val="007F4139"/>
    <w:rsid w:val="00815921"/>
    <w:rsid w:val="00817297"/>
    <w:rsid w:val="008204F1"/>
    <w:rsid w:val="00826652"/>
    <w:rsid w:val="008409E2"/>
    <w:rsid w:val="00843D85"/>
    <w:rsid w:val="00844C27"/>
    <w:rsid w:val="00853388"/>
    <w:rsid w:val="00863635"/>
    <w:rsid w:val="0086727B"/>
    <w:rsid w:val="008747EE"/>
    <w:rsid w:val="008765B7"/>
    <w:rsid w:val="0089244B"/>
    <w:rsid w:val="00897B82"/>
    <w:rsid w:val="008A0655"/>
    <w:rsid w:val="008A0BCA"/>
    <w:rsid w:val="008A10C3"/>
    <w:rsid w:val="008B0952"/>
    <w:rsid w:val="008B1103"/>
    <w:rsid w:val="008B54D2"/>
    <w:rsid w:val="008C35F9"/>
    <w:rsid w:val="008C6CF9"/>
    <w:rsid w:val="008D1951"/>
    <w:rsid w:val="008F12D9"/>
    <w:rsid w:val="00904DB5"/>
    <w:rsid w:val="00905915"/>
    <w:rsid w:val="0091048E"/>
    <w:rsid w:val="00911C72"/>
    <w:rsid w:val="00915EC8"/>
    <w:rsid w:val="00921DBA"/>
    <w:rsid w:val="0092566C"/>
    <w:rsid w:val="009306A4"/>
    <w:rsid w:val="0093748F"/>
    <w:rsid w:val="009400B5"/>
    <w:rsid w:val="00944ED4"/>
    <w:rsid w:val="00956F04"/>
    <w:rsid w:val="00965574"/>
    <w:rsid w:val="0096647C"/>
    <w:rsid w:val="0097015D"/>
    <w:rsid w:val="00974FD5"/>
    <w:rsid w:val="00975A56"/>
    <w:rsid w:val="00982F6E"/>
    <w:rsid w:val="009869A4"/>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68FA"/>
    <w:rsid w:val="00A66B61"/>
    <w:rsid w:val="00A82E16"/>
    <w:rsid w:val="00A84F03"/>
    <w:rsid w:val="00A8603C"/>
    <w:rsid w:val="00A9258B"/>
    <w:rsid w:val="00AA3BC4"/>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42AE7"/>
    <w:rsid w:val="00B42DF5"/>
    <w:rsid w:val="00B44DC8"/>
    <w:rsid w:val="00B45D77"/>
    <w:rsid w:val="00B47E89"/>
    <w:rsid w:val="00B55B2A"/>
    <w:rsid w:val="00B57D7A"/>
    <w:rsid w:val="00B62F3E"/>
    <w:rsid w:val="00B76ABD"/>
    <w:rsid w:val="00B81075"/>
    <w:rsid w:val="00B9664B"/>
    <w:rsid w:val="00B967EF"/>
    <w:rsid w:val="00BA7E0F"/>
    <w:rsid w:val="00BB0466"/>
    <w:rsid w:val="00BB4C8B"/>
    <w:rsid w:val="00BB5E2E"/>
    <w:rsid w:val="00BC1319"/>
    <w:rsid w:val="00BC5A37"/>
    <w:rsid w:val="00BD4A04"/>
    <w:rsid w:val="00C0259E"/>
    <w:rsid w:val="00C05EC3"/>
    <w:rsid w:val="00C1305E"/>
    <w:rsid w:val="00C23298"/>
    <w:rsid w:val="00C23321"/>
    <w:rsid w:val="00C33DB8"/>
    <w:rsid w:val="00C4593F"/>
    <w:rsid w:val="00C5012D"/>
    <w:rsid w:val="00C544B7"/>
    <w:rsid w:val="00C62132"/>
    <w:rsid w:val="00C65EB3"/>
    <w:rsid w:val="00C7206C"/>
    <w:rsid w:val="00C769AB"/>
    <w:rsid w:val="00C81D27"/>
    <w:rsid w:val="00C825F4"/>
    <w:rsid w:val="00C87F01"/>
    <w:rsid w:val="00C92096"/>
    <w:rsid w:val="00C937EC"/>
    <w:rsid w:val="00C94575"/>
    <w:rsid w:val="00CA1442"/>
    <w:rsid w:val="00CA2F40"/>
    <w:rsid w:val="00CC1899"/>
    <w:rsid w:val="00CC4CE7"/>
    <w:rsid w:val="00CC4DB3"/>
    <w:rsid w:val="00CD3D33"/>
    <w:rsid w:val="00CD6DED"/>
    <w:rsid w:val="00CE3B15"/>
    <w:rsid w:val="00CE3DB6"/>
    <w:rsid w:val="00CE4076"/>
    <w:rsid w:val="00CE4B2C"/>
    <w:rsid w:val="00CE56AF"/>
    <w:rsid w:val="00CE5837"/>
    <w:rsid w:val="00CF1B87"/>
    <w:rsid w:val="00CF6FE1"/>
    <w:rsid w:val="00CF7AE1"/>
    <w:rsid w:val="00D00276"/>
    <w:rsid w:val="00D171B1"/>
    <w:rsid w:val="00D32761"/>
    <w:rsid w:val="00D346F4"/>
    <w:rsid w:val="00D36CBB"/>
    <w:rsid w:val="00D37BC6"/>
    <w:rsid w:val="00D417D3"/>
    <w:rsid w:val="00D42A4C"/>
    <w:rsid w:val="00D54383"/>
    <w:rsid w:val="00D623AA"/>
    <w:rsid w:val="00D6301C"/>
    <w:rsid w:val="00D7020F"/>
    <w:rsid w:val="00D70DD9"/>
    <w:rsid w:val="00D768C2"/>
    <w:rsid w:val="00D96D8D"/>
    <w:rsid w:val="00D97ED7"/>
    <w:rsid w:val="00DB19AB"/>
    <w:rsid w:val="00DB388B"/>
    <w:rsid w:val="00DB7391"/>
    <w:rsid w:val="00DC3813"/>
    <w:rsid w:val="00DC4B47"/>
    <w:rsid w:val="00DD0F1B"/>
    <w:rsid w:val="00DD13E2"/>
    <w:rsid w:val="00DD5BD0"/>
    <w:rsid w:val="00DD70CB"/>
    <w:rsid w:val="00DE02E9"/>
    <w:rsid w:val="00DE427E"/>
    <w:rsid w:val="00DF1C29"/>
    <w:rsid w:val="00E24A7D"/>
    <w:rsid w:val="00E334B2"/>
    <w:rsid w:val="00E348D4"/>
    <w:rsid w:val="00E34E04"/>
    <w:rsid w:val="00E3515E"/>
    <w:rsid w:val="00E433B2"/>
    <w:rsid w:val="00E434E0"/>
    <w:rsid w:val="00E43847"/>
    <w:rsid w:val="00E449F3"/>
    <w:rsid w:val="00E5667D"/>
    <w:rsid w:val="00E6599B"/>
    <w:rsid w:val="00E66BA8"/>
    <w:rsid w:val="00E675FA"/>
    <w:rsid w:val="00E7289C"/>
    <w:rsid w:val="00E72C09"/>
    <w:rsid w:val="00E73CE7"/>
    <w:rsid w:val="00E74B48"/>
    <w:rsid w:val="00E779FA"/>
    <w:rsid w:val="00E77CE0"/>
    <w:rsid w:val="00E8302B"/>
    <w:rsid w:val="00E831D5"/>
    <w:rsid w:val="00E83F88"/>
    <w:rsid w:val="00E9253C"/>
    <w:rsid w:val="00EA1AFC"/>
    <w:rsid w:val="00EA2C93"/>
    <w:rsid w:val="00EA6134"/>
    <w:rsid w:val="00EA72E0"/>
    <w:rsid w:val="00ED1D25"/>
    <w:rsid w:val="00ED4006"/>
    <w:rsid w:val="00ED71EB"/>
    <w:rsid w:val="00EE2EF1"/>
    <w:rsid w:val="00EE386B"/>
    <w:rsid w:val="00EE4C40"/>
    <w:rsid w:val="00EF2B5B"/>
    <w:rsid w:val="00EF699E"/>
    <w:rsid w:val="00F00C18"/>
    <w:rsid w:val="00F03673"/>
    <w:rsid w:val="00F24DAC"/>
    <w:rsid w:val="00F31C22"/>
    <w:rsid w:val="00F40910"/>
    <w:rsid w:val="00F417F7"/>
    <w:rsid w:val="00F42907"/>
    <w:rsid w:val="00F42E91"/>
    <w:rsid w:val="00F43301"/>
    <w:rsid w:val="00F57779"/>
    <w:rsid w:val="00F63E36"/>
    <w:rsid w:val="00F762B8"/>
    <w:rsid w:val="00F80BDD"/>
    <w:rsid w:val="00F81922"/>
    <w:rsid w:val="00F82132"/>
    <w:rsid w:val="00F86F31"/>
    <w:rsid w:val="00F91482"/>
    <w:rsid w:val="00F96A1D"/>
    <w:rsid w:val="00FA2780"/>
    <w:rsid w:val="00FA2F9D"/>
    <w:rsid w:val="00FB0F55"/>
    <w:rsid w:val="00FB2A9F"/>
    <w:rsid w:val="00FC369E"/>
    <w:rsid w:val="00FD0085"/>
    <w:rsid w:val="00FE1A68"/>
    <w:rsid w:val="00FE20E1"/>
    <w:rsid w:val="00FF01E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30617-5806-4898-9FE9-2D368CCB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27</Pages>
  <Words>4769</Words>
  <Characters>26235</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2019-07-11T23:27:00Z</cp:lastPrinted>
  <dcterms:created xsi:type="dcterms:W3CDTF">2018-03-23T20:13:00Z</dcterms:created>
  <dcterms:modified xsi:type="dcterms:W3CDTF">2019-08-21T18:36:00Z</dcterms:modified>
</cp:coreProperties>
</file>