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262495">
        <w:rPr>
          <w:rFonts w:ascii="Palatino Linotype" w:eastAsia="Times New Roman" w:hAnsi="Palatino Linotype" w:cs="Arial"/>
          <w:color w:val="000000"/>
          <w:sz w:val="24"/>
          <w:szCs w:val="24"/>
          <w:lang w:eastAsia="es-MX"/>
        </w:rPr>
        <w:t>cuatro de julio</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192E3E">
        <w:rPr>
          <w:rFonts w:ascii="Palatino Linotype" w:hAnsi="Palatino Linotype" w:cs="Arial"/>
          <w:b/>
          <w:bCs/>
          <w:sz w:val="24"/>
          <w:lang w:eastAsia="es-MX"/>
        </w:rPr>
        <w:t>02940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1005C7">
        <w:rPr>
          <w:rFonts w:ascii="Palatino Linotype" w:hAnsi="Palatino Linotype" w:cs="Arial"/>
          <w:sz w:val="24"/>
        </w:rPr>
        <w:t xml:space="preserve">el C. </w:t>
      </w:r>
      <w:r w:rsidR="007C374C" w:rsidRPr="007C374C">
        <w:rPr>
          <w:rFonts w:ascii="Palatino Linotype" w:hAnsi="Palatino Linotype" w:cs="Arial"/>
          <w:b/>
          <w:sz w:val="24"/>
        </w:rPr>
        <w:t>XXXXXXXXXXXXXXX</w:t>
      </w:r>
      <w:r w:rsidR="001005C7">
        <w:rPr>
          <w:rFonts w:ascii="Palatino Linotype" w:hAnsi="Palatino Linotype" w:cs="Arial"/>
          <w:b/>
          <w:sz w:val="24"/>
        </w:rPr>
        <w:t xml:space="preserve">, </w:t>
      </w:r>
      <w:r w:rsidR="001005C7">
        <w:rPr>
          <w:rFonts w:ascii="Palatino Linotype" w:hAnsi="Palatino Linotype" w:cs="Arial"/>
          <w:sz w:val="24"/>
        </w:rPr>
        <w:t>en lo sucesivo</w:t>
      </w:r>
      <w:r w:rsidR="001005C7" w:rsidRPr="001005C7">
        <w:rPr>
          <w:rFonts w:ascii="Palatino Linotype" w:hAnsi="Palatino Linotype" w:cs="Arial"/>
          <w:b/>
          <w:sz w:val="24"/>
        </w:rPr>
        <w:t xml:space="preserve">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8130C">
        <w:rPr>
          <w:rFonts w:ascii="Palatino Linotype" w:hAnsi="Palatino Linotype" w:cs="Arial"/>
          <w:sz w:val="24"/>
        </w:rPr>
        <w:t>d</w:t>
      </w:r>
      <w:r w:rsidR="0038130C" w:rsidRPr="00224181">
        <w:rPr>
          <w:rFonts w:ascii="Palatino Linotype" w:hAnsi="Palatino Linotype" w:cs="Arial"/>
          <w:sz w:val="24"/>
          <w:szCs w:val="24"/>
        </w:rPr>
        <w:t>e</w:t>
      </w:r>
      <w:r w:rsidR="0038130C">
        <w:rPr>
          <w:rFonts w:ascii="Palatino Linotype" w:hAnsi="Palatino Linotype" w:cs="Arial"/>
          <w:sz w:val="24"/>
          <w:szCs w:val="24"/>
        </w:rPr>
        <w:t>l</w:t>
      </w:r>
      <w:r w:rsidRPr="00224181">
        <w:rPr>
          <w:rFonts w:ascii="Palatino Linotype" w:hAnsi="Palatino Linotype" w:cs="Arial"/>
          <w:sz w:val="24"/>
          <w:szCs w:val="24"/>
        </w:rPr>
        <w:t xml:space="preserve"> </w:t>
      </w:r>
      <w:r w:rsidR="00192E3E" w:rsidRPr="00192E3E">
        <w:rPr>
          <w:rFonts w:ascii="Palatino Linotype" w:hAnsi="Palatino Linotype" w:cs="Arial"/>
          <w:b/>
          <w:sz w:val="24"/>
          <w:szCs w:val="24"/>
        </w:rPr>
        <w:t>Colegio de Bachilleres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192E3E">
        <w:rPr>
          <w:rFonts w:ascii="Palatino Linotype" w:hAnsi="Palatino Linotype" w:cs="Arial"/>
          <w:sz w:val="24"/>
        </w:rPr>
        <w:t>veintisiete</w:t>
      </w:r>
      <w:r w:rsidR="0038130C">
        <w:rPr>
          <w:rFonts w:ascii="Palatino Linotype" w:hAnsi="Palatino Linotype" w:cs="Arial"/>
          <w:sz w:val="24"/>
        </w:rPr>
        <w:t xml:space="preserve"> </w:t>
      </w:r>
      <w:r w:rsidR="00273570">
        <w:rPr>
          <w:rFonts w:ascii="Palatino Linotype" w:hAnsi="Palatino Linotype" w:cs="Arial"/>
          <w:sz w:val="24"/>
        </w:rPr>
        <w:t>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192E3E" w:rsidRPr="00192E3E">
        <w:rPr>
          <w:rFonts w:ascii="Palatino Linotype" w:hAnsi="Palatino Linotype" w:cs="Arial"/>
          <w:b/>
          <w:sz w:val="24"/>
        </w:rPr>
        <w:t>00010/COBAEM/IP/2019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3C063F" w:rsidRPr="003C063F">
        <w:rPr>
          <w:rFonts w:ascii="Palatino Linotype" w:hAnsi="Palatino Linotype"/>
          <w:i/>
          <w:color w:val="000000"/>
        </w:rPr>
        <w:t xml:space="preserve">Proporcionar el nombre o </w:t>
      </w:r>
      <w:proofErr w:type="spellStart"/>
      <w:r w:rsidR="003C063F" w:rsidRPr="003C063F">
        <w:rPr>
          <w:rFonts w:ascii="Palatino Linotype" w:hAnsi="Palatino Linotype"/>
          <w:i/>
          <w:color w:val="000000"/>
        </w:rPr>
        <w:t>titulo</w:t>
      </w:r>
      <w:proofErr w:type="spellEnd"/>
      <w:r w:rsidR="003C063F" w:rsidRPr="003C063F">
        <w:rPr>
          <w:rFonts w:ascii="Palatino Linotype" w:hAnsi="Palatino Linotype"/>
          <w:i/>
          <w:color w:val="000000"/>
        </w:rPr>
        <w:t xml:space="preserve"> de las obras de teatro, conferencias y talleres que ha presentado, impartido o realizadas por el Colegio de Bachilleres del Estado de México de forma directa (con su personal docente, administrativo o alumnos) o a través de terceras </w:t>
      </w:r>
      <w:proofErr w:type="spellStart"/>
      <w:proofErr w:type="gramStart"/>
      <w:r w:rsidR="003C063F" w:rsidRPr="003C063F">
        <w:rPr>
          <w:rFonts w:ascii="Palatino Linotype" w:hAnsi="Palatino Linotype"/>
          <w:i/>
          <w:color w:val="000000"/>
        </w:rPr>
        <w:t>personas.en</w:t>
      </w:r>
      <w:proofErr w:type="spellEnd"/>
      <w:proofErr w:type="gramEnd"/>
      <w:r w:rsidR="003C063F" w:rsidRPr="003C063F">
        <w:rPr>
          <w:rFonts w:ascii="Palatino Linotype" w:hAnsi="Palatino Linotype"/>
          <w:i/>
          <w:color w:val="000000"/>
        </w:rPr>
        <w:t xml:space="preserve"> su caso el monte pagado a terceros, si se presentaron de forma gratuita o el monto individual de cuota de recuperación, el monto total por cuotas de recuperación y el destino de los mismos. De igual forma indique bajo </w:t>
      </w:r>
      <w:proofErr w:type="spellStart"/>
      <w:r w:rsidR="003C063F" w:rsidRPr="003C063F">
        <w:rPr>
          <w:rFonts w:ascii="Palatino Linotype" w:hAnsi="Palatino Linotype"/>
          <w:i/>
          <w:color w:val="000000"/>
        </w:rPr>
        <w:t>que</w:t>
      </w:r>
      <w:proofErr w:type="spellEnd"/>
      <w:r w:rsidR="003C063F" w:rsidRPr="003C063F">
        <w:rPr>
          <w:rFonts w:ascii="Palatino Linotype" w:hAnsi="Palatino Linotype"/>
          <w:i/>
          <w:color w:val="000000"/>
        </w:rPr>
        <w:t xml:space="preserve"> criterio se contratan o decide su implementación y a cargo de que servidor </w:t>
      </w:r>
      <w:proofErr w:type="spellStart"/>
      <w:r w:rsidR="003C063F" w:rsidRPr="003C063F">
        <w:rPr>
          <w:rFonts w:ascii="Palatino Linotype" w:hAnsi="Palatino Linotype"/>
          <w:i/>
          <w:color w:val="000000"/>
        </w:rPr>
        <w:t>publico</w:t>
      </w:r>
      <w:proofErr w:type="spellEnd"/>
      <w:r w:rsidR="003C063F" w:rsidRPr="003C063F">
        <w:rPr>
          <w:rFonts w:ascii="Palatino Linotype" w:hAnsi="Palatino Linotype"/>
          <w:i/>
          <w:color w:val="000000"/>
        </w:rPr>
        <w:t xml:space="preserve"> corresponde tal valoración. </w:t>
      </w:r>
      <w:proofErr w:type="gramStart"/>
      <w:r w:rsidR="003C063F" w:rsidRPr="003C063F">
        <w:rPr>
          <w:rFonts w:ascii="Palatino Linotype" w:hAnsi="Palatino Linotype"/>
          <w:i/>
          <w:color w:val="000000"/>
        </w:rPr>
        <w:t>Total</w:t>
      </w:r>
      <w:proofErr w:type="gramEnd"/>
      <w:r w:rsidR="003C063F" w:rsidRPr="003C063F">
        <w:rPr>
          <w:rFonts w:ascii="Palatino Linotype" w:hAnsi="Palatino Linotype"/>
          <w:i/>
          <w:color w:val="000000"/>
        </w:rPr>
        <w:t xml:space="preserve"> de gastos originados por cada evento o presentación indicando por separado cada tipo de gasto Los programas instituciones realizados entre el 15 de agosto de 2018 y el 27 de marzo de 2019 indicando en que planteles se han aplicado y las actividades que involucra.</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C063F" w:rsidRDefault="00E15E85" w:rsidP="001005C7">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3C063F">
        <w:rPr>
          <w:rFonts w:ascii="Palatino Linotype" w:hAnsi="Palatino Linotype" w:cs="Arial"/>
          <w:sz w:val="24"/>
        </w:rPr>
        <w:t>doce de abril</w:t>
      </w:r>
      <w:r w:rsidR="00273570">
        <w:rPr>
          <w:rFonts w:ascii="Palatino Linotype" w:hAnsi="Palatino Linotype" w:cs="Arial"/>
          <w:sz w:val="24"/>
        </w:rPr>
        <w:t xml:space="preserve"> </w:t>
      </w:r>
      <w:r w:rsidR="002B7CD8">
        <w:rPr>
          <w:rFonts w:ascii="Palatino Linotype" w:hAnsi="Palatino Linotype" w:cs="Arial"/>
          <w:sz w:val="24"/>
        </w:rPr>
        <w:t xml:space="preserve">de dos mil diecinueve, </w:t>
      </w:r>
      <w:r w:rsidR="003C063F">
        <w:rPr>
          <w:rFonts w:ascii="Palatino Linotype" w:hAnsi="Palatino Linotype" w:cs="Arial"/>
          <w:sz w:val="24"/>
        </w:rPr>
        <w:t>aludiendo lo siguiente:</w:t>
      </w:r>
    </w:p>
    <w:p w:rsidR="003C063F" w:rsidRPr="003C063F" w:rsidRDefault="003C063F" w:rsidP="003C063F">
      <w:pPr>
        <w:spacing w:before="240" w:line="360" w:lineRule="auto"/>
        <w:ind w:left="708"/>
        <w:jc w:val="both"/>
        <w:rPr>
          <w:rFonts w:ascii="Palatino Linotype" w:hAnsi="Palatino Linotype" w:cs="Arial"/>
          <w:i/>
          <w:sz w:val="24"/>
        </w:rPr>
      </w:pPr>
      <w:r w:rsidRPr="003C063F">
        <w:rPr>
          <w:rFonts w:ascii="Palatino Linotype" w:hAnsi="Palatino Linotype" w:cs="Arial"/>
          <w:i/>
          <w:sz w:val="24"/>
        </w:rPr>
        <w:t>El Colegio de Bachilleres del Estado de México ha implementado el Programa de “Vinculación con el Sector productivo”, basado en el Plan de Desarrollo del Estado de México 2017-2023, que establece en el Pilar Social la Estrategia 1.3.4. “Fortalecer la participación del sector educativo con el sector productivo”. Este Programa del COBAEM consta de 10 ejes, entre los que destacan: •</w:t>
      </w:r>
      <w:r w:rsidRPr="003C063F">
        <w:rPr>
          <w:rFonts w:ascii="Palatino Linotype" w:hAnsi="Palatino Linotype" w:cs="Arial"/>
          <w:i/>
          <w:sz w:val="24"/>
        </w:rPr>
        <w:tab/>
        <w:t>Programa de Fomento al Emprendimiento Juvenil •</w:t>
      </w:r>
      <w:r w:rsidRPr="003C063F">
        <w:rPr>
          <w:rFonts w:ascii="Palatino Linotype" w:hAnsi="Palatino Linotype" w:cs="Arial"/>
          <w:i/>
          <w:sz w:val="24"/>
        </w:rPr>
        <w:tab/>
        <w:t>Visitas Guiadas a Empresas en Nodos Productivos •</w:t>
      </w:r>
      <w:r w:rsidRPr="003C063F">
        <w:rPr>
          <w:rFonts w:ascii="Palatino Linotype" w:hAnsi="Palatino Linotype" w:cs="Arial"/>
          <w:i/>
          <w:sz w:val="24"/>
        </w:rPr>
        <w:tab/>
        <w:t xml:space="preserve">Talleres y Conferencias por el Instituto Mexiquense del Emprendedor • Vinculación con la Bolsa de </w:t>
      </w:r>
      <w:proofErr w:type="gramStart"/>
      <w:r w:rsidRPr="003C063F">
        <w:rPr>
          <w:rFonts w:ascii="Palatino Linotype" w:hAnsi="Palatino Linotype" w:cs="Arial"/>
          <w:i/>
          <w:sz w:val="24"/>
        </w:rPr>
        <w:t>Trabajo</w:t>
      </w:r>
      <w:proofErr w:type="gramEnd"/>
      <w:r w:rsidRPr="003C063F">
        <w:rPr>
          <w:rFonts w:ascii="Palatino Linotype" w:hAnsi="Palatino Linotype" w:cs="Arial"/>
          <w:i/>
          <w:sz w:val="24"/>
        </w:rPr>
        <w:t xml:space="preserve"> Asimismo, en el Estado de México se observa un </w:t>
      </w:r>
      <w:r w:rsidRPr="003C063F">
        <w:rPr>
          <w:rFonts w:ascii="Palatino Linotype" w:hAnsi="Palatino Linotype" w:cs="Arial"/>
          <w:i/>
          <w:sz w:val="24"/>
        </w:rPr>
        <w:lastRenderedPageBreak/>
        <w:t>crecimiento en la delincuencia y la inseguridad para las mujeres. Por tal motivo, fortalecemos y ejecutamos acciones educativas para su desarrollo integral como referente de impacto positivo a sus familias y entornos. Ponderamos valores que promueven el respeto a la condición de ser mujer en lo personal y social, en el marco de una cultura de paz. El respeto por parte de los varones, un trato digno entre géneros y la conformación de familias fuertes. Para dar cumplimiento a estos programas, se han implementado estrategias y diversas actividades en coordinación con instituciones de gobierno y empresas con experiencia en el fomento de valores, habilidades y destrezas en los alumnos, entre ellas se encuentran el Instituto Mexiquense del Emprendedor, Consejo para la Convivencia Escolar (CONVIVE), Comisión de los Derechos Humanos del Estado de México, Centros de Integración Juvenil, Consejo Estatal de la Mujer y Bienestar Social. Las actividades llevadas a cabo con institutos y empresas, son: •</w:t>
      </w:r>
      <w:r w:rsidRPr="003C063F">
        <w:rPr>
          <w:rFonts w:ascii="Palatino Linotype" w:hAnsi="Palatino Linotype" w:cs="Arial"/>
          <w:i/>
          <w:sz w:val="24"/>
        </w:rPr>
        <w:tab/>
        <w:t>Curso Gestores de Conflictos en el Ámbito Educativo •</w:t>
      </w:r>
      <w:r w:rsidRPr="003C063F">
        <w:rPr>
          <w:rFonts w:ascii="Palatino Linotype" w:hAnsi="Palatino Linotype" w:cs="Arial"/>
          <w:i/>
          <w:sz w:val="24"/>
        </w:rPr>
        <w:tab/>
        <w:t>Cultura de la legalidad •</w:t>
      </w:r>
      <w:r w:rsidRPr="003C063F">
        <w:rPr>
          <w:rFonts w:ascii="Palatino Linotype" w:hAnsi="Palatino Linotype" w:cs="Arial"/>
          <w:i/>
          <w:sz w:val="24"/>
        </w:rPr>
        <w:tab/>
        <w:t>Derechos de la mujer •</w:t>
      </w:r>
      <w:r w:rsidRPr="003C063F">
        <w:rPr>
          <w:rFonts w:ascii="Palatino Linotype" w:hAnsi="Palatino Linotype" w:cs="Arial"/>
          <w:i/>
          <w:sz w:val="24"/>
        </w:rPr>
        <w:tab/>
        <w:t>Autoestima e inteligencia emocional •</w:t>
      </w:r>
      <w:r w:rsidRPr="003C063F">
        <w:rPr>
          <w:rFonts w:ascii="Palatino Linotype" w:hAnsi="Palatino Linotype" w:cs="Arial"/>
          <w:i/>
          <w:sz w:val="24"/>
        </w:rPr>
        <w:tab/>
        <w:t>Pláticas del Instituto Mexiquense del Emprendedor •</w:t>
      </w:r>
      <w:r w:rsidRPr="003C063F">
        <w:rPr>
          <w:rFonts w:ascii="Palatino Linotype" w:hAnsi="Palatino Linotype" w:cs="Arial"/>
          <w:i/>
          <w:sz w:val="24"/>
        </w:rPr>
        <w:tab/>
        <w:t>Salud sexual y reproductiva de los adolescentes •</w:t>
      </w:r>
      <w:r w:rsidRPr="003C063F">
        <w:rPr>
          <w:rFonts w:ascii="Palatino Linotype" w:hAnsi="Palatino Linotype" w:cs="Arial"/>
          <w:i/>
          <w:sz w:val="24"/>
        </w:rPr>
        <w:tab/>
        <w:t>Prevención de adicciones •</w:t>
      </w:r>
      <w:r w:rsidRPr="003C063F">
        <w:rPr>
          <w:rFonts w:ascii="Palatino Linotype" w:hAnsi="Palatino Linotype" w:cs="Arial"/>
          <w:i/>
          <w:sz w:val="24"/>
        </w:rPr>
        <w:tab/>
        <w:t>Derechos y deberes de los jóvenes •</w:t>
      </w:r>
      <w:r w:rsidRPr="003C063F">
        <w:rPr>
          <w:rFonts w:ascii="Palatino Linotype" w:hAnsi="Palatino Linotype" w:cs="Arial"/>
          <w:i/>
          <w:sz w:val="24"/>
        </w:rPr>
        <w:tab/>
        <w:t>Seguridad y uso de redes sociales • Violencia en el noviazgo •</w:t>
      </w:r>
      <w:r w:rsidRPr="003C063F">
        <w:rPr>
          <w:rFonts w:ascii="Palatino Linotype" w:hAnsi="Palatino Linotype" w:cs="Arial"/>
          <w:i/>
          <w:sz w:val="24"/>
        </w:rPr>
        <w:tab/>
        <w:t>Proyecto de vida •</w:t>
      </w:r>
      <w:r w:rsidRPr="003C063F">
        <w:rPr>
          <w:rFonts w:ascii="Palatino Linotype" w:hAnsi="Palatino Linotype" w:cs="Arial"/>
          <w:i/>
          <w:sz w:val="24"/>
        </w:rPr>
        <w:tab/>
        <w:t>Factores de riesgo y prevención de adicciones •</w:t>
      </w:r>
      <w:r w:rsidRPr="003C063F">
        <w:rPr>
          <w:rFonts w:ascii="Palatino Linotype" w:hAnsi="Palatino Linotype" w:cs="Arial"/>
          <w:i/>
          <w:sz w:val="24"/>
        </w:rPr>
        <w:tab/>
        <w:t>Habilidades para la vida •</w:t>
      </w:r>
      <w:r w:rsidRPr="003C063F">
        <w:rPr>
          <w:rFonts w:ascii="Palatino Linotype" w:hAnsi="Palatino Linotype" w:cs="Arial"/>
          <w:i/>
          <w:sz w:val="24"/>
        </w:rPr>
        <w:tab/>
        <w:t>Obra de Teatro “De emprendedor a Empresario” que tiene como objetivo fomentar la creatividad y el emprendimiento entre los jóvenes estudiantes para la posible creación de sus propias empresas. •</w:t>
      </w:r>
      <w:r w:rsidRPr="003C063F">
        <w:rPr>
          <w:rFonts w:ascii="Palatino Linotype" w:hAnsi="Palatino Linotype" w:cs="Arial"/>
          <w:i/>
          <w:sz w:val="24"/>
        </w:rPr>
        <w:tab/>
        <w:t xml:space="preserve">Obra de Teatro “La sorpresa del amor”, cuya finalidad es desarrollar las habilidades socioemocionales de los alumnos y fomentar una convivencia escolar armónica. Además, los alumnos realizan </w:t>
      </w:r>
      <w:r w:rsidRPr="003C063F">
        <w:rPr>
          <w:rFonts w:ascii="Palatino Linotype" w:hAnsi="Palatino Linotype" w:cs="Arial"/>
          <w:i/>
          <w:sz w:val="24"/>
        </w:rPr>
        <w:lastRenderedPageBreak/>
        <w:t xml:space="preserve">visitas a museos, instituciones de gobierno, espacios de recreación y teatros, lo que permite desarrollar una educación integral que equilibre la formación en valores ciudadanos, el desarrollo de competencias y la adquisición de conocimientos, a través de actividades regulares dentro del aula y fuera de las escuelas, que dan sustento a la enseñanza y aprendizaje sistemático de las actividades artísticas y culturales. Las 83 Unidades Académicas participan de </w:t>
      </w:r>
      <w:proofErr w:type="gramStart"/>
      <w:r w:rsidRPr="003C063F">
        <w:rPr>
          <w:rFonts w:ascii="Palatino Linotype" w:hAnsi="Palatino Linotype" w:cs="Arial"/>
          <w:i/>
          <w:sz w:val="24"/>
        </w:rPr>
        <w:t>éstos</w:t>
      </w:r>
      <w:proofErr w:type="gramEnd"/>
      <w:r w:rsidRPr="003C063F">
        <w:rPr>
          <w:rFonts w:ascii="Palatino Linotype" w:hAnsi="Palatino Linotype" w:cs="Arial"/>
          <w:i/>
          <w:sz w:val="24"/>
        </w:rPr>
        <w:t xml:space="preserve"> programas; mientras que 20 planteles fueron sede para la realización de las obras de teatro. Los gastos originados por cada evento son los relativos a la operación diaria de los planteles donde se llevan a cabo. No ha habido pago a terceros y los montos de recuperación de los eventos (únicamente obras de teatro) realizados por terceras personas son determinados en su caso, por la empresa participante en función de sus gastos de operación. La asistencia de los alumnos no es obligatoria y la cuota de recuperación es voluntaria. De igual forma el destino de cuotas individuales o montos totales, no son del ámbito de competencia del Colegio. Por otra parte, toda adquisición o contratación de servicios en el Colegio se realiza de acuerdo al marco normativo aplicable y conforme al plan de trabajo consensado por las diferentes áreas del Colegio y al profesionalismo y experiencia de los institutos y empresas participantes. Finalmente, reiteramos nuestro compromiso con la educación integral de nuestros alumnos y abrimos los canales de comunicación necesarios para atender en lo particular las peticiones del interesado de manera directa.</w:t>
      </w:r>
    </w:p>
    <w:p w:rsidR="003C063F" w:rsidRPr="003C063F" w:rsidRDefault="003C063F" w:rsidP="003C063F">
      <w:pPr>
        <w:spacing w:before="240" w:line="360" w:lineRule="auto"/>
        <w:ind w:left="708"/>
        <w:jc w:val="both"/>
        <w:rPr>
          <w:rFonts w:ascii="Palatino Linotype" w:hAnsi="Palatino Linotype" w:cs="Arial"/>
          <w:i/>
          <w:sz w:val="24"/>
        </w:rPr>
      </w:pPr>
      <w:r w:rsidRPr="003C063F">
        <w:rPr>
          <w:rFonts w:ascii="Palatino Linotype" w:hAnsi="Palatino Linotype" w:cs="Arial"/>
          <w:i/>
          <w:sz w:val="24"/>
        </w:rPr>
        <w:t>ATENTAMENTE</w:t>
      </w:r>
    </w:p>
    <w:p w:rsidR="003C063F" w:rsidRDefault="003C063F" w:rsidP="003C063F">
      <w:pPr>
        <w:spacing w:before="240" w:line="360" w:lineRule="auto"/>
        <w:ind w:left="708"/>
        <w:jc w:val="both"/>
        <w:rPr>
          <w:rFonts w:ascii="Palatino Linotype" w:hAnsi="Palatino Linotype" w:cs="Arial"/>
          <w:i/>
          <w:sz w:val="24"/>
        </w:rPr>
      </w:pPr>
      <w:r w:rsidRPr="003C063F">
        <w:rPr>
          <w:rFonts w:ascii="Palatino Linotype" w:hAnsi="Palatino Linotype" w:cs="Arial"/>
          <w:i/>
          <w:sz w:val="24"/>
        </w:rPr>
        <w:t>Ing. Carlos Andrés Hernández Monroy</w:t>
      </w:r>
    </w:p>
    <w:p w:rsidR="00F926EA" w:rsidRDefault="00F926EA" w:rsidP="003C063F">
      <w:pPr>
        <w:spacing w:before="240" w:line="360" w:lineRule="auto"/>
        <w:ind w:left="708"/>
        <w:jc w:val="both"/>
        <w:rPr>
          <w:rFonts w:ascii="Palatino Linotype" w:hAnsi="Palatino Linotype" w:cs="Arial"/>
          <w:i/>
          <w:sz w:val="24"/>
        </w:rPr>
      </w:pPr>
    </w:p>
    <w:p w:rsidR="00E15E85" w:rsidRPr="00441A94" w:rsidRDefault="00E15E85" w:rsidP="003C063F">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F926EA">
        <w:rPr>
          <w:rFonts w:ascii="Palatino Linotype" w:hAnsi="Palatino Linotype" w:cs="Arial"/>
          <w:sz w:val="24"/>
          <w:szCs w:val="24"/>
        </w:rPr>
        <w:t>veintitrés</w:t>
      </w:r>
      <w:r w:rsidR="007D7D39">
        <w:rPr>
          <w:rFonts w:ascii="Palatino Linotype" w:hAnsi="Palatino Linotype" w:cs="Arial"/>
          <w:sz w:val="24"/>
          <w:szCs w:val="24"/>
        </w:rPr>
        <w:t xml:space="preserve"> de abril</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F926EA">
        <w:rPr>
          <w:rFonts w:ascii="Palatino Linotype" w:hAnsi="Palatino Linotype" w:cs="Arial"/>
          <w:b/>
          <w:bCs/>
          <w:sz w:val="24"/>
          <w:szCs w:val="24"/>
          <w:lang w:eastAsia="es-MX"/>
        </w:rPr>
        <w:t>02940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F926EA" w:rsidRPr="00F926EA">
        <w:rPr>
          <w:rFonts w:ascii="Palatino Linotype" w:hAnsi="Palatino Linotype"/>
          <w:i/>
          <w:color w:val="000000"/>
        </w:rPr>
        <w:t xml:space="preserve">Respuesta parcial </w:t>
      </w:r>
      <w:proofErr w:type="spellStart"/>
      <w:r w:rsidR="00F926EA" w:rsidRPr="00F926EA">
        <w:rPr>
          <w:rFonts w:ascii="Palatino Linotype" w:hAnsi="Palatino Linotype"/>
          <w:i/>
          <w:color w:val="000000"/>
        </w:rPr>
        <w:t>proporcionadsa</w:t>
      </w:r>
      <w:proofErr w:type="spellEnd"/>
      <w:r w:rsidR="00F926EA" w:rsidRPr="00F926EA">
        <w:rPr>
          <w:rFonts w:ascii="Palatino Linotype" w:hAnsi="Palatino Linotype"/>
          <w:i/>
          <w:color w:val="000000"/>
        </w:rPr>
        <w:t xml:space="preserve"> por el COBAEM</w:t>
      </w:r>
      <w:r w:rsidR="001005C7" w:rsidRPr="001005C7">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7D7D39" w:rsidRDefault="007D7D3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F926EA" w:rsidRPr="00F926EA">
        <w:rPr>
          <w:rFonts w:ascii="Palatino Linotype" w:hAnsi="Palatino Linotype" w:cs="Arial"/>
          <w:i/>
        </w:rPr>
        <w:t xml:space="preserve">No da respuesta a la solicitud en los </w:t>
      </w:r>
      <w:proofErr w:type="spellStart"/>
      <w:r w:rsidR="00F926EA" w:rsidRPr="00F926EA">
        <w:rPr>
          <w:rFonts w:ascii="Palatino Linotype" w:hAnsi="Palatino Linotype" w:cs="Arial"/>
          <w:i/>
        </w:rPr>
        <w:t>terminos</w:t>
      </w:r>
      <w:proofErr w:type="spellEnd"/>
      <w:r w:rsidR="00F926EA" w:rsidRPr="00F926EA">
        <w:rPr>
          <w:rFonts w:ascii="Palatino Linotype" w:hAnsi="Palatino Linotype" w:cs="Arial"/>
          <w:i/>
        </w:rPr>
        <w:t xml:space="preserve"> en que se </w:t>
      </w:r>
      <w:proofErr w:type="spellStart"/>
      <w:r w:rsidR="00F926EA" w:rsidRPr="00F926EA">
        <w:rPr>
          <w:rFonts w:ascii="Palatino Linotype" w:hAnsi="Palatino Linotype" w:cs="Arial"/>
          <w:i/>
        </w:rPr>
        <w:t>solicito</w:t>
      </w:r>
      <w:proofErr w:type="spellEnd"/>
      <w:r w:rsidR="00F926EA" w:rsidRPr="00F926EA">
        <w:rPr>
          <w:rFonts w:ascii="Palatino Linotype" w:hAnsi="Palatino Linotype" w:cs="Arial"/>
          <w:i/>
        </w:rPr>
        <w:t xml:space="preserve"> "el monto individual de cuota de recuperación, el monto total por cuotas de recuperación y el destino de los mismos. De igual forma indique bajo </w:t>
      </w:r>
      <w:proofErr w:type="spellStart"/>
      <w:r w:rsidR="00F926EA" w:rsidRPr="00F926EA">
        <w:rPr>
          <w:rFonts w:ascii="Palatino Linotype" w:hAnsi="Palatino Linotype" w:cs="Arial"/>
          <w:i/>
        </w:rPr>
        <w:t>que</w:t>
      </w:r>
      <w:proofErr w:type="spellEnd"/>
      <w:r w:rsidR="00F926EA" w:rsidRPr="00F926EA">
        <w:rPr>
          <w:rFonts w:ascii="Palatino Linotype" w:hAnsi="Palatino Linotype" w:cs="Arial"/>
          <w:i/>
        </w:rPr>
        <w:t xml:space="preserve"> criterio se contratan o decide su implementación y a cargo de que servidor </w:t>
      </w:r>
      <w:proofErr w:type="spellStart"/>
      <w:r w:rsidR="00F926EA" w:rsidRPr="00F926EA">
        <w:rPr>
          <w:rFonts w:ascii="Palatino Linotype" w:hAnsi="Palatino Linotype" w:cs="Arial"/>
          <w:i/>
        </w:rPr>
        <w:t>publico</w:t>
      </w:r>
      <w:proofErr w:type="spellEnd"/>
      <w:r w:rsidR="00F926EA" w:rsidRPr="00F926EA">
        <w:rPr>
          <w:rFonts w:ascii="Palatino Linotype" w:hAnsi="Palatino Linotype" w:cs="Arial"/>
          <w:i/>
        </w:rPr>
        <w:t xml:space="preserve"> corresponde tal valoración. </w:t>
      </w:r>
      <w:proofErr w:type="gramStart"/>
      <w:r w:rsidR="00F926EA" w:rsidRPr="00F926EA">
        <w:rPr>
          <w:rFonts w:ascii="Palatino Linotype" w:hAnsi="Palatino Linotype" w:cs="Arial"/>
          <w:i/>
        </w:rPr>
        <w:t>Total</w:t>
      </w:r>
      <w:proofErr w:type="gramEnd"/>
      <w:r w:rsidR="00F926EA" w:rsidRPr="00F926EA">
        <w:rPr>
          <w:rFonts w:ascii="Palatino Linotype" w:hAnsi="Palatino Linotype" w:cs="Arial"/>
          <w:i/>
        </w:rPr>
        <w:t xml:space="preserve"> de gastos originados por cada evento o presentación indicando por separado cada tipo de gasto Los programas instituciones realizados entre el 15 de agosto de 2018 y el 27 de marzo de 2019 indicando en que planteles se han aplicado y las actividades que involucra."</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F926EA">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F926EA">
        <w:rPr>
          <w:rFonts w:ascii="Palatino Linotype" w:hAnsi="Palatino Linotype" w:cs="Arial"/>
          <w:sz w:val="24"/>
          <w:szCs w:val="24"/>
        </w:rPr>
        <w:t>veintinueve</w:t>
      </w:r>
      <w:r w:rsidR="00367986">
        <w:rPr>
          <w:rFonts w:ascii="Palatino Linotype" w:hAnsi="Palatino Linotype" w:cs="Arial"/>
          <w:sz w:val="24"/>
          <w:szCs w:val="24"/>
        </w:rPr>
        <w:t xml:space="preserve"> </w:t>
      </w:r>
      <w:r w:rsidR="00A9298D">
        <w:rPr>
          <w:rFonts w:ascii="Palatino Linotype" w:hAnsi="Palatino Linotype" w:cs="Arial"/>
          <w:sz w:val="24"/>
          <w:szCs w:val="24"/>
        </w:rPr>
        <w:t>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Pr="007D7D39" w:rsidRDefault="007D7D39"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Q</w:t>
      </w:r>
      <w:r w:rsidR="00E15E85">
        <w:rPr>
          <w:rFonts w:ascii="Palatino Linotype" w:hAnsi="Palatino Linotype" w:cs="Arial"/>
          <w:b/>
          <w:sz w:val="28"/>
        </w:rPr>
        <w:t>UINTO</w:t>
      </w:r>
      <w:r w:rsidR="00E15E85" w:rsidRPr="008551ED">
        <w:rPr>
          <w:rFonts w:ascii="Palatino Linotype" w:hAnsi="Palatino Linotype" w:cs="Arial"/>
          <w:b/>
          <w:sz w:val="24"/>
          <w:szCs w:val="24"/>
        </w:rPr>
        <w:t>.</w:t>
      </w:r>
      <w:r w:rsidR="00E15E85">
        <w:rPr>
          <w:rFonts w:ascii="Palatino Linotype" w:hAnsi="Palatino Linotype" w:cs="Arial"/>
          <w:b/>
          <w:sz w:val="24"/>
          <w:szCs w:val="24"/>
        </w:rPr>
        <w:t xml:space="preserve"> </w:t>
      </w:r>
      <w:r w:rsidR="00E15E85"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F926EA">
        <w:rPr>
          <w:rFonts w:ascii="Palatino Linotype" w:hAnsi="Palatino Linotype" w:cs="Arial"/>
          <w:sz w:val="24"/>
          <w:szCs w:val="24"/>
        </w:rPr>
        <w:t>diez</w:t>
      </w:r>
      <w:r w:rsidR="00367986">
        <w:rPr>
          <w:rFonts w:ascii="Palatino Linotype" w:hAnsi="Palatino Linotype" w:cs="Arial"/>
          <w:sz w:val="24"/>
          <w:szCs w:val="24"/>
        </w:rPr>
        <w:t xml:space="preserve"> de mayo</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se puso a la vista del recurrente</w:t>
      </w:r>
      <w:r w:rsidR="00091D98">
        <w:rPr>
          <w:rFonts w:ascii="Palatino Linotype" w:hAnsi="Palatino Linotype" w:cs="Arial"/>
          <w:sz w:val="24"/>
          <w:szCs w:val="24"/>
        </w:rPr>
        <w:t>.</w:t>
      </w:r>
      <w:r w:rsidR="00E372DA">
        <w:rPr>
          <w:rFonts w:ascii="Palatino Linotype" w:hAnsi="Palatino Linotype" w:cs="Arial"/>
          <w:sz w:val="24"/>
          <w:szCs w:val="24"/>
        </w:rPr>
        <w:t xml:space="preserve"> </w:t>
      </w: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F926EA">
        <w:rPr>
          <w:rFonts w:ascii="Palatino Linotype" w:hAnsi="Palatino Linotype" w:cs="Arial"/>
          <w:sz w:val="24"/>
          <w:szCs w:val="24"/>
        </w:rPr>
        <w:t>veinticuatro</w:t>
      </w:r>
      <w:r w:rsidR="007D7D39">
        <w:rPr>
          <w:rFonts w:ascii="Palatino Linotype" w:hAnsi="Palatino Linotype" w:cs="Arial"/>
          <w:sz w:val="24"/>
          <w:szCs w:val="24"/>
        </w:rPr>
        <w:t xml:space="preserve"> de mayo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7D7D39" w:rsidRDefault="007D7D39" w:rsidP="00367986">
      <w:pPr>
        <w:spacing w:before="240" w:after="240" w:line="360" w:lineRule="auto"/>
        <w:jc w:val="both"/>
        <w:rPr>
          <w:rFonts w:ascii="Palatino Linotype" w:hAnsi="Palatino Linotype" w:cs="Arial"/>
          <w:b/>
          <w:sz w:val="24"/>
        </w:rPr>
      </w:pPr>
      <w:r w:rsidRPr="00992035">
        <w:rPr>
          <w:rFonts w:ascii="Palatino Linotype" w:hAnsi="Palatino Linotype" w:cs="Arial"/>
          <w:sz w:val="24"/>
          <w:szCs w:val="24"/>
        </w:rPr>
        <w:t xml:space="preserve">Así también, en fecha </w:t>
      </w:r>
      <w:r w:rsidR="00F926EA">
        <w:rPr>
          <w:rFonts w:ascii="Palatino Linotype" w:hAnsi="Palatino Linotype" w:cs="Arial"/>
          <w:sz w:val="24"/>
          <w:szCs w:val="24"/>
        </w:rPr>
        <w:t>trece</w:t>
      </w:r>
      <w:r w:rsidR="008158D8">
        <w:rPr>
          <w:rFonts w:ascii="Palatino Linotype" w:hAnsi="Palatino Linotype" w:cs="Arial"/>
          <w:sz w:val="24"/>
          <w:szCs w:val="24"/>
        </w:rPr>
        <w:t xml:space="preserve">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 xml:space="preserve">vigésimo, vigésimo </w:t>
      </w:r>
      <w:r w:rsidR="004C3693">
        <w:rPr>
          <w:rFonts w:ascii="Palatino Linotype" w:hAnsi="Palatino Linotype" w:cs="Arial"/>
          <w:sz w:val="24"/>
        </w:rPr>
        <w:lastRenderedPageBreak/>
        <w:t>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3245F2">
        <w:rPr>
          <w:rFonts w:ascii="Palatino Linotype" w:hAnsi="Palatino Linotype" w:cs="Arial"/>
          <w:b/>
          <w:sz w:val="28"/>
          <w:szCs w:val="28"/>
        </w:rPr>
        <w:t>causales de improcedencia</w:t>
      </w:r>
      <w:r w:rsidRPr="0087163A">
        <w:rPr>
          <w:rFonts w:ascii="Palatino Linotype" w:hAnsi="Palatino Linotype" w:cs="Arial"/>
          <w:b/>
          <w:sz w:val="28"/>
          <w:szCs w:val="28"/>
        </w:rPr>
        <w:t>.</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F926EA" w:rsidRDefault="00B04652" w:rsidP="00F926EA">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307F6B" w:rsidRDefault="00307F6B" w:rsidP="00307F6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307F6B" w:rsidRDefault="00307F6B" w:rsidP="00307F6B">
      <w:pPr>
        <w:pStyle w:val="Prrafodelista"/>
        <w:autoSpaceDE w:val="0"/>
        <w:autoSpaceDN w:val="0"/>
        <w:adjustRightInd w:val="0"/>
        <w:spacing w:before="240" w:after="160" w:line="360" w:lineRule="auto"/>
        <w:ind w:left="0"/>
        <w:jc w:val="both"/>
        <w:rPr>
          <w:rFonts w:ascii="Palatino Linotype" w:hAnsi="Palatino Linotype" w:cs="Arial"/>
        </w:rPr>
      </w:pPr>
    </w:p>
    <w:p w:rsidR="00307F6B" w:rsidRPr="008C3CD8" w:rsidRDefault="00307F6B" w:rsidP="00307F6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307F6B" w:rsidRDefault="00307F6B" w:rsidP="00307F6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E052BA" w:rsidRDefault="00B04652" w:rsidP="00F926EA">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primer término, </w:t>
      </w:r>
      <w:r w:rsidR="00E052BA">
        <w:rPr>
          <w:rFonts w:ascii="Palatino Linotype" w:hAnsi="Palatino Linotype" w:cs="Arial"/>
        </w:rPr>
        <w:t>es de recordar que los requerimientos vertidos por el solicitante en su solitud de información son del tenor siguiente.</w:t>
      </w:r>
    </w:p>
    <w:p w:rsidR="005E3248" w:rsidRPr="005E3248" w:rsidRDefault="005E3248" w:rsidP="001547B9">
      <w:pPr>
        <w:pStyle w:val="Prrafodelista"/>
        <w:numPr>
          <w:ilvl w:val="0"/>
          <w:numId w:val="20"/>
        </w:numPr>
        <w:spacing w:before="240" w:line="360" w:lineRule="auto"/>
        <w:ind w:left="708"/>
        <w:jc w:val="both"/>
        <w:rPr>
          <w:rFonts w:ascii="Palatino Linotype" w:hAnsi="Palatino Linotype"/>
          <w:i/>
          <w:sz w:val="56"/>
          <w:lang w:eastAsia="es-MX"/>
        </w:rPr>
      </w:pPr>
      <w:r>
        <w:rPr>
          <w:rFonts w:ascii="Palatino Linotype" w:hAnsi="Palatino Linotype"/>
          <w:i/>
          <w:color w:val="000000"/>
          <w:szCs w:val="14"/>
        </w:rPr>
        <w:t>N</w:t>
      </w:r>
      <w:r w:rsidRPr="005E3248">
        <w:rPr>
          <w:rFonts w:ascii="Palatino Linotype" w:hAnsi="Palatino Linotype"/>
          <w:i/>
          <w:color w:val="000000"/>
          <w:szCs w:val="14"/>
        </w:rPr>
        <w:t xml:space="preserve">ombre o título de las obras de teatro, conferencias y talleres que ha presentado, impartido o realizadas por el Colegio de Bachilleres del Estado de México de forma </w:t>
      </w:r>
      <w:r w:rsidRPr="005E3248">
        <w:rPr>
          <w:rFonts w:ascii="Palatino Linotype" w:hAnsi="Palatino Linotype"/>
          <w:i/>
          <w:color w:val="000000"/>
          <w:szCs w:val="14"/>
        </w:rPr>
        <w:lastRenderedPageBreak/>
        <w:t>directa (con su personal docente, administrativo o alumnos) o a través de terceras personas y en su caso el monto pagado a terceros</w:t>
      </w:r>
      <w:r>
        <w:rPr>
          <w:rFonts w:ascii="Palatino Linotype" w:hAnsi="Palatino Linotype"/>
          <w:i/>
          <w:color w:val="000000"/>
          <w:szCs w:val="14"/>
        </w:rPr>
        <w:t>.</w:t>
      </w:r>
    </w:p>
    <w:p w:rsidR="005E3248" w:rsidRPr="005E3248" w:rsidRDefault="005E3248" w:rsidP="001547B9">
      <w:pPr>
        <w:pStyle w:val="Prrafodelista"/>
        <w:numPr>
          <w:ilvl w:val="0"/>
          <w:numId w:val="20"/>
        </w:numPr>
        <w:spacing w:before="240" w:line="360" w:lineRule="auto"/>
        <w:ind w:left="708"/>
        <w:jc w:val="both"/>
        <w:rPr>
          <w:rFonts w:ascii="Palatino Linotype" w:hAnsi="Palatino Linotype"/>
          <w:i/>
          <w:sz w:val="56"/>
          <w:lang w:eastAsia="es-MX"/>
        </w:rPr>
      </w:pPr>
      <w:r>
        <w:rPr>
          <w:rFonts w:ascii="Palatino Linotype" w:hAnsi="Palatino Linotype"/>
          <w:i/>
          <w:color w:val="000000"/>
          <w:sz w:val="22"/>
          <w:szCs w:val="14"/>
        </w:rPr>
        <w:t xml:space="preserve"> S</w:t>
      </w:r>
      <w:r w:rsidRPr="005E3248">
        <w:rPr>
          <w:rFonts w:ascii="Palatino Linotype" w:hAnsi="Palatino Linotype"/>
          <w:i/>
          <w:color w:val="000000"/>
          <w:sz w:val="22"/>
          <w:szCs w:val="14"/>
        </w:rPr>
        <w:t xml:space="preserve">i se presentaron de forma gratuita o el monto individual de cuota de recuperación, el monto total por cuotas de recuperación y el destino de los mismos. </w:t>
      </w:r>
    </w:p>
    <w:p w:rsidR="005E3248" w:rsidRPr="005E3248" w:rsidRDefault="005E3248" w:rsidP="001547B9">
      <w:pPr>
        <w:pStyle w:val="Prrafodelista"/>
        <w:numPr>
          <w:ilvl w:val="0"/>
          <w:numId w:val="20"/>
        </w:numPr>
        <w:spacing w:before="240" w:line="360" w:lineRule="auto"/>
        <w:ind w:left="708"/>
        <w:jc w:val="both"/>
        <w:rPr>
          <w:rFonts w:ascii="Palatino Linotype" w:hAnsi="Palatino Linotype"/>
          <w:i/>
          <w:sz w:val="56"/>
          <w:lang w:eastAsia="es-MX"/>
        </w:rPr>
      </w:pPr>
      <w:r>
        <w:rPr>
          <w:rFonts w:ascii="Palatino Linotype" w:hAnsi="Palatino Linotype"/>
          <w:i/>
          <w:color w:val="000000"/>
          <w:sz w:val="22"/>
          <w:szCs w:val="14"/>
        </w:rPr>
        <w:t>I</w:t>
      </w:r>
      <w:r w:rsidRPr="005E3248">
        <w:rPr>
          <w:rFonts w:ascii="Palatino Linotype" w:hAnsi="Palatino Linotype"/>
          <w:i/>
          <w:color w:val="000000"/>
          <w:sz w:val="22"/>
          <w:szCs w:val="14"/>
        </w:rPr>
        <w:t xml:space="preserve">ndique bajo qué criterio se contratan o decide su implementación y a cargo de que servidor público corresponde tal valoración. </w:t>
      </w:r>
    </w:p>
    <w:p w:rsidR="005E3248" w:rsidRPr="005E3248" w:rsidRDefault="0073338B" w:rsidP="001547B9">
      <w:pPr>
        <w:pStyle w:val="Prrafodelista"/>
        <w:numPr>
          <w:ilvl w:val="0"/>
          <w:numId w:val="20"/>
        </w:numPr>
        <w:spacing w:before="240" w:line="360" w:lineRule="auto"/>
        <w:ind w:left="708"/>
        <w:jc w:val="both"/>
        <w:rPr>
          <w:rFonts w:ascii="Palatino Linotype" w:hAnsi="Palatino Linotype"/>
          <w:i/>
          <w:sz w:val="56"/>
          <w:lang w:eastAsia="es-MX"/>
        </w:rPr>
      </w:pPr>
      <w:proofErr w:type="gramStart"/>
      <w:r w:rsidRPr="005E3248">
        <w:rPr>
          <w:rFonts w:ascii="Palatino Linotype" w:hAnsi="Palatino Linotype"/>
          <w:i/>
          <w:color w:val="000000"/>
          <w:sz w:val="22"/>
          <w:szCs w:val="14"/>
        </w:rPr>
        <w:t>Total</w:t>
      </w:r>
      <w:proofErr w:type="gramEnd"/>
      <w:r w:rsidR="005E3248" w:rsidRPr="005E3248">
        <w:rPr>
          <w:rFonts w:ascii="Palatino Linotype" w:hAnsi="Palatino Linotype"/>
          <w:i/>
          <w:color w:val="000000"/>
          <w:sz w:val="22"/>
          <w:szCs w:val="14"/>
        </w:rPr>
        <w:t xml:space="preserve"> de gastos originados por cada evento o presentación indicando</w:t>
      </w:r>
      <w:r w:rsidR="005E3248">
        <w:rPr>
          <w:rFonts w:ascii="Palatino Linotype" w:hAnsi="Palatino Linotype"/>
          <w:i/>
          <w:color w:val="000000"/>
          <w:sz w:val="22"/>
          <w:szCs w:val="14"/>
        </w:rPr>
        <w:t xml:space="preserve"> por separado cada tipo de gasto.</w:t>
      </w:r>
    </w:p>
    <w:p w:rsidR="001F0EE2" w:rsidRPr="0063059F" w:rsidRDefault="005E3248" w:rsidP="001547B9">
      <w:pPr>
        <w:pStyle w:val="Prrafodelista"/>
        <w:numPr>
          <w:ilvl w:val="0"/>
          <w:numId w:val="20"/>
        </w:numPr>
        <w:spacing w:before="240" w:line="360" w:lineRule="auto"/>
        <w:ind w:left="708"/>
        <w:jc w:val="both"/>
        <w:rPr>
          <w:rFonts w:ascii="Palatino Linotype" w:hAnsi="Palatino Linotype"/>
          <w:i/>
          <w:sz w:val="56"/>
          <w:lang w:eastAsia="es-MX"/>
        </w:rPr>
      </w:pPr>
      <w:r>
        <w:rPr>
          <w:rFonts w:ascii="Palatino Linotype" w:hAnsi="Palatino Linotype"/>
          <w:i/>
          <w:color w:val="000000"/>
          <w:sz w:val="22"/>
          <w:szCs w:val="14"/>
        </w:rPr>
        <w:t>P</w:t>
      </w:r>
      <w:r w:rsidRPr="005E3248">
        <w:rPr>
          <w:rFonts w:ascii="Palatino Linotype" w:hAnsi="Palatino Linotype"/>
          <w:i/>
          <w:color w:val="000000"/>
          <w:sz w:val="22"/>
          <w:szCs w:val="14"/>
        </w:rPr>
        <w:t>rogramas instituciones realizados entre el 15 de agosto de 2018 y el 27 de marzo de 2019 indicando en que planteles se han aplicado y las actividades que involucra.</w:t>
      </w:r>
    </w:p>
    <w:p w:rsidR="00FB03AC" w:rsidRDefault="00FB03AC"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Ahora bien, con el fin de verificar si el sujeto obligado cumplió cabalmente con los requerimientos del particular, se procederá a </w:t>
      </w:r>
      <w:r w:rsidR="00B9249E">
        <w:rPr>
          <w:rFonts w:ascii="Palatino Linotype" w:hAnsi="Palatino Linotype" w:cs="Arial"/>
          <w:sz w:val="24"/>
          <w:szCs w:val="20"/>
        </w:rPr>
        <w:t>analizar la información remitida mediante respuesta e informe justificado.</w:t>
      </w:r>
    </w:p>
    <w:p w:rsidR="00881CA4" w:rsidRDefault="00881CA4"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En primer término, es de mencionar que del carteo se advierte que la solicitud de información fue turnada a la Dirección Académica la cual </w:t>
      </w:r>
      <w:proofErr w:type="gramStart"/>
      <w:r>
        <w:rPr>
          <w:rFonts w:ascii="Palatino Linotype" w:hAnsi="Palatino Linotype" w:cs="Arial"/>
          <w:sz w:val="24"/>
          <w:szCs w:val="20"/>
        </w:rPr>
        <w:t>esta ca</w:t>
      </w:r>
      <w:bookmarkStart w:id="0" w:name="_GoBack"/>
      <w:bookmarkEnd w:id="0"/>
      <w:r>
        <w:rPr>
          <w:rFonts w:ascii="Palatino Linotype" w:hAnsi="Palatino Linotype" w:cs="Arial"/>
          <w:sz w:val="24"/>
          <w:szCs w:val="20"/>
        </w:rPr>
        <w:t>rgo</w:t>
      </w:r>
      <w:proofErr w:type="gramEnd"/>
      <w:r>
        <w:rPr>
          <w:rFonts w:ascii="Palatino Linotype" w:hAnsi="Palatino Linotype" w:cs="Arial"/>
          <w:sz w:val="24"/>
          <w:szCs w:val="20"/>
        </w:rPr>
        <w:t xml:space="preserve"> del L.C.C Juan Carlos Santillana Pastrana como se desprende de las siguientes imágenes.</w:t>
      </w:r>
    </w:p>
    <w:p w:rsidR="00881CA4" w:rsidRDefault="00D614E0"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noProof/>
          <w:sz w:val="24"/>
          <w:szCs w:val="20"/>
        </w:rPr>
        <w:lastRenderedPageBreak/>
        <mc:AlternateContent>
          <mc:Choice Requires="wps">
            <w:drawing>
              <wp:anchor distT="0" distB="0" distL="114300" distR="114300" simplePos="0" relativeHeight="251668480" behindDoc="0" locked="0" layoutInCell="1" allowOverlap="1" wp14:anchorId="25A4D44E" wp14:editId="3F717E5E">
                <wp:simplePos x="0" y="0"/>
                <wp:positionH relativeFrom="column">
                  <wp:posOffset>187270</wp:posOffset>
                </wp:positionH>
                <wp:positionV relativeFrom="paragraph">
                  <wp:posOffset>3005731</wp:posOffset>
                </wp:positionV>
                <wp:extent cx="3972505" cy="585249"/>
                <wp:effectExtent l="19050" t="19050" r="28575" b="24765"/>
                <wp:wrapNone/>
                <wp:docPr id="11" name="Rectángulo 11"/>
                <wp:cNvGraphicFramePr/>
                <a:graphic xmlns:a="http://schemas.openxmlformats.org/drawingml/2006/main">
                  <a:graphicData uri="http://schemas.microsoft.com/office/word/2010/wordprocessingShape">
                    <wps:wsp>
                      <wps:cNvSpPr/>
                      <wps:spPr>
                        <a:xfrm>
                          <a:off x="0" y="0"/>
                          <a:ext cx="3972505" cy="5852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7A4A3" id="Rectángulo 11" o:spid="_x0000_s1026" style="position:absolute;margin-left:14.75pt;margin-top:236.65pt;width:312.8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" filled="f" strokecolor="red" strokeweight="2.25pt"/>
            </w:pict>
          </mc:Fallback>
        </mc:AlternateContent>
      </w:r>
      <w:r w:rsidR="00881CA4" w:rsidRPr="00881CA4">
        <w:rPr>
          <w:rFonts w:ascii="Palatino Linotype" w:hAnsi="Palatino Linotype" w:cs="Arial"/>
          <w:noProof/>
          <w:sz w:val="24"/>
          <w:szCs w:val="20"/>
        </w:rPr>
        <w:drawing>
          <wp:inline distT="0" distB="0" distL="0" distR="0" wp14:anchorId="458C2783" wp14:editId="7297976F">
            <wp:extent cx="5601482" cy="66112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1482" cy="6611273"/>
                    </a:xfrm>
                    <a:prstGeom prst="rect">
                      <a:avLst/>
                    </a:prstGeom>
                  </pic:spPr>
                </pic:pic>
              </a:graphicData>
            </a:graphic>
          </wp:inline>
        </w:drawing>
      </w:r>
    </w:p>
    <w:p w:rsidR="00881CA4" w:rsidRDefault="00D614E0"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noProof/>
          <w:sz w:val="24"/>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1034912</wp:posOffset>
                </wp:positionH>
                <wp:positionV relativeFrom="paragraph">
                  <wp:posOffset>291189</wp:posOffset>
                </wp:positionV>
                <wp:extent cx="970059" cy="492511"/>
                <wp:effectExtent l="19050" t="19050" r="20955" b="22225"/>
                <wp:wrapNone/>
                <wp:docPr id="9" name="Rectángulo 9"/>
                <wp:cNvGraphicFramePr/>
                <a:graphic xmlns:a="http://schemas.openxmlformats.org/drawingml/2006/main">
                  <a:graphicData uri="http://schemas.microsoft.com/office/word/2010/wordprocessingShape">
                    <wps:wsp>
                      <wps:cNvSpPr/>
                      <wps:spPr>
                        <a:xfrm>
                          <a:off x="0" y="0"/>
                          <a:ext cx="970059" cy="4925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7ECEE" id="Rectángulo 9" o:spid="_x0000_s1026" style="position:absolute;margin-left:81.5pt;margin-top:22.95pt;width:76.4pt;height:38.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" filled="f" strokecolor="red" strokeweight="2.25pt"/>
            </w:pict>
          </mc:Fallback>
        </mc:AlternateContent>
      </w:r>
      <w:r w:rsidR="00881CA4" w:rsidRPr="00881CA4">
        <w:rPr>
          <w:rFonts w:ascii="Palatino Linotype" w:hAnsi="Palatino Linotype" w:cs="Arial"/>
          <w:noProof/>
          <w:sz w:val="24"/>
          <w:szCs w:val="20"/>
        </w:rPr>
        <w:drawing>
          <wp:inline distT="0" distB="0" distL="0" distR="0" wp14:anchorId="23E173BD" wp14:editId="248FAEA2">
            <wp:extent cx="5760720" cy="144713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3750" cy="1452922"/>
                    </a:xfrm>
                    <a:prstGeom prst="rect">
                      <a:avLst/>
                    </a:prstGeom>
                  </pic:spPr>
                </pic:pic>
              </a:graphicData>
            </a:graphic>
          </wp:inline>
        </w:drawing>
      </w:r>
    </w:p>
    <w:p w:rsidR="0063059F" w:rsidRDefault="00B9249E"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Así pues, es de recordar que mediante respuesta el sujeto obligado señalo que el Colegio de Bachilleres del Estado de </w:t>
      </w:r>
      <w:r w:rsidR="0063059F">
        <w:rPr>
          <w:rFonts w:ascii="Palatino Linotype" w:hAnsi="Palatino Linotype" w:cs="Arial"/>
          <w:sz w:val="24"/>
          <w:szCs w:val="20"/>
        </w:rPr>
        <w:t>México</w:t>
      </w:r>
      <w:r>
        <w:rPr>
          <w:rFonts w:ascii="Palatino Linotype" w:hAnsi="Palatino Linotype" w:cs="Arial"/>
          <w:sz w:val="24"/>
          <w:szCs w:val="20"/>
        </w:rPr>
        <w:t xml:space="preserve"> ha implementado el Programa de </w:t>
      </w:r>
      <w:r w:rsidR="0063059F">
        <w:rPr>
          <w:rFonts w:ascii="Palatino Linotype" w:hAnsi="Palatino Linotype" w:cs="Arial"/>
          <w:sz w:val="24"/>
          <w:szCs w:val="20"/>
        </w:rPr>
        <w:t>Vinculación</w:t>
      </w:r>
      <w:r>
        <w:rPr>
          <w:rFonts w:ascii="Palatino Linotype" w:hAnsi="Palatino Linotype" w:cs="Arial"/>
          <w:sz w:val="24"/>
          <w:szCs w:val="20"/>
        </w:rPr>
        <w:t xml:space="preserve"> con el sector productivo, basado en el Plan de Desarrollo del Estado de </w:t>
      </w:r>
      <w:r w:rsidR="0063059F">
        <w:rPr>
          <w:rFonts w:ascii="Palatino Linotype" w:hAnsi="Palatino Linotype" w:cs="Arial"/>
          <w:sz w:val="24"/>
          <w:szCs w:val="20"/>
        </w:rPr>
        <w:t xml:space="preserve">México, en el cual dicho programa consta de 10 ejes. Ahora, en observancia de que en el Estado de México se cuenta con un índice de crecimiento en la delincuencia y la inseguridad para las mujeres, </w:t>
      </w:r>
      <w:r w:rsidR="002D7317">
        <w:rPr>
          <w:rFonts w:ascii="Palatino Linotype" w:hAnsi="Palatino Linotype" w:cs="Arial"/>
          <w:sz w:val="24"/>
          <w:szCs w:val="20"/>
        </w:rPr>
        <w:t>se han</w:t>
      </w:r>
      <w:r w:rsidR="0063059F">
        <w:rPr>
          <w:rFonts w:ascii="Palatino Linotype" w:hAnsi="Palatino Linotype" w:cs="Arial"/>
          <w:sz w:val="24"/>
          <w:szCs w:val="20"/>
        </w:rPr>
        <w:t xml:space="preserve"> fortalecido y ejecutado acciones educativas para su desarrollo integral como referente de impacto positivo a sus familias y entornos.</w:t>
      </w:r>
    </w:p>
    <w:p w:rsidR="0063059F" w:rsidRDefault="0073338B"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Así también, apuntó que para dar cumplimiento a los programas señalados se han implementado estrategias y diversas actividades en coordinación con instituciones de gobierno y empresas, de entre las cuales destacan el </w:t>
      </w:r>
      <w:r w:rsidRPr="0073338B">
        <w:rPr>
          <w:rFonts w:ascii="Palatino Linotype" w:hAnsi="Palatino Linotype" w:cs="Arial"/>
          <w:sz w:val="24"/>
          <w:szCs w:val="20"/>
        </w:rPr>
        <w:t>Instituto Mexiquense del Emprendedor, Consejo para la Convivencia Escolar (CONVIVE), Comisión de los Derechos Humanos del Estado de México, Centros de Integración Juvenil, Consejo Estatal de la Mujer y Bienestar Social</w:t>
      </w:r>
      <w:r w:rsidR="0032155B">
        <w:rPr>
          <w:rFonts w:ascii="Palatino Linotype" w:hAnsi="Palatino Linotype" w:cs="Arial"/>
          <w:sz w:val="24"/>
          <w:szCs w:val="20"/>
        </w:rPr>
        <w:t>, puntualizando</w:t>
      </w:r>
      <w:r>
        <w:rPr>
          <w:rFonts w:ascii="Palatino Linotype" w:hAnsi="Palatino Linotype" w:cs="Arial"/>
          <w:sz w:val="24"/>
          <w:szCs w:val="20"/>
        </w:rPr>
        <w:t xml:space="preserve"> las actividades que son llevadas a cabo con l</w:t>
      </w:r>
      <w:r w:rsidR="0032155B">
        <w:rPr>
          <w:rFonts w:ascii="Palatino Linotype" w:hAnsi="Palatino Linotype" w:cs="Arial"/>
          <w:sz w:val="24"/>
          <w:szCs w:val="20"/>
        </w:rPr>
        <w:t>o</w:t>
      </w:r>
      <w:r>
        <w:rPr>
          <w:rFonts w:ascii="Palatino Linotype" w:hAnsi="Palatino Linotype" w:cs="Arial"/>
          <w:sz w:val="24"/>
          <w:szCs w:val="20"/>
        </w:rPr>
        <w:t>s institutos y las empresas</w:t>
      </w:r>
      <w:r w:rsidR="0032155B">
        <w:rPr>
          <w:rFonts w:ascii="Palatino Linotype" w:hAnsi="Palatino Linotype" w:cs="Arial"/>
          <w:sz w:val="24"/>
          <w:szCs w:val="20"/>
        </w:rPr>
        <w:t>.</w:t>
      </w:r>
    </w:p>
    <w:p w:rsidR="00FB03AC" w:rsidRDefault="00261260"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otra parte, indicó que los alumnos realizan visitas a museos, instituciones de gobierno, espacios de recreación y teatros, así como las 83 Unidades Académicas participan en todos los programas descritos, mientras que 20 </w:t>
      </w:r>
      <w:r w:rsidRPr="00261260">
        <w:rPr>
          <w:rFonts w:ascii="Palatino Linotype" w:hAnsi="Palatino Linotype" w:cs="Arial"/>
          <w:sz w:val="24"/>
          <w:szCs w:val="20"/>
        </w:rPr>
        <w:t xml:space="preserve">planteles fueron sede </w:t>
      </w:r>
      <w:r w:rsidRPr="00261260">
        <w:rPr>
          <w:rFonts w:ascii="Palatino Linotype" w:hAnsi="Palatino Linotype" w:cs="Arial"/>
          <w:sz w:val="24"/>
          <w:szCs w:val="20"/>
        </w:rPr>
        <w:lastRenderedPageBreak/>
        <w:t>para la realización de las obras de teatro</w:t>
      </w:r>
      <w:r>
        <w:rPr>
          <w:rFonts w:ascii="Palatino Linotype" w:hAnsi="Palatino Linotype" w:cs="Arial"/>
          <w:sz w:val="24"/>
          <w:szCs w:val="20"/>
        </w:rPr>
        <w:t xml:space="preserve">, por último, los gastos originados por cada evento son relativos </w:t>
      </w:r>
      <w:r w:rsidRPr="00261260">
        <w:rPr>
          <w:rFonts w:ascii="Palatino Linotype" w:hAnsi="Palatino Linotype" w:cs="Arial"/>
          <w:sz w:val="24"/>
          <w:szCs w:val="20"/>
        </w:rPr>
        <w:t>a la operación diaria de los planteles donde se llevan a cabo. No ha habido pago a terceros y los montos de recuperación de los eventos (únicamente obras de teatro) realizados por terceras personas son determinados en su caso, por la empresa participante en función de sus gastos de operación. La asistencia de los alumnos no es obligatoria y la cuota de recuperación es voluntaria. De igual forma el destino de cuotas individuales o montos totales, no son del ámbito de competencia del Colegio. Por otra parte, toda adquisición o contratación de servicios en el Colegio se realiza de acuerdo al marco normativo aplicable y conforme al plan de trabajo consensado por las diferentes áreas del Colegio y al profesionalismo y experiencia de los institutos y empresas participantes. Finalmente, reiteramos nuestro compromiso con la educación integral de nuestros alumnos y abrimos los canales de comunicación necesarios para atender en lo particular las peticiones del interesado de manera directa.</w:t>
      </w:r>
    </w:p>
    <w:p w:rsidR="00AB4558" w:rsidRDefault="00261260" w:rsidP="00AB4558">
      <w:pPr>
        <w:spacing w:before="240" w:after="240" w:line="360" w:lineRule="auto"/>
        <w:jc w:val="both"/>
        <w:rPr>
          <w:rFonts w:ascii="Palatino Linotype" w:hAnsi="Palatino Linotype"/>
          <w:sz w:val="24"/>
          <w:szCs w:val="24"/>
        </w:rPr>
      </w:pPr>
      <w:r>
        <w:rPr>
          <w:rFonts w:ascii="Palatino Linotype" w:hAnsi="Palatino Linotype" w:cs="Arial"/>
          <w:sz w:val="24"/>
          <w:szCs w:val="20"/>
        </w:rPr>
        <w:t>Ahora bien, es de recordar que el hoy recurrente únicamente se adolece de una parte de la respuesta a la solicitud de información</w:t>
      </w:r>
      <w:r w:rsidR="00AB4558">
        <w:rPr>
          <w:rFonts w:ascii="Palatino Linotype" w:hAnsi="Palatino Linotype" w:cs="Arial"/>
          <w:sz w:val="24"/>
          <w:szCs w:val="24"/>
        </w:rPr>
        <w:t xml:space="preserve">, </w:t>
      </w:r>
      <w:r w:rsidR="00AB4558">
        <w:rPr>
          <w:rFonts w:ascii="Palatino Linotype" w:hAnsi="Palatino Linotype"/>
          <w:sz w:val="24"/>
          <w:szCs w:val="24"/>
        </w:rPr>
        <w:t>por lo que, respecto a los puntos restantes de los requerimientos vertidos por el particular se tienen por colmados en virtud de que no arguyo alegato alguno en contra de la respuesta proporcionada por el sujeto obligado, amén de que  el sujeto obligado se pronuncia respecto a todos los puntos de la solicitud, por lo anterior, existe imposibilidad para estudiarlos, ya que se trata de actos consentidos por el impetrante, asintiendo satisfacción con lo notificado por el sujeto obligado de manera tacita.</w:t>
      </w:r>
    </w:p>
    <w:p w:rsidR="00AB4558" w:rsidRPr="001229C4" w:rsidRDefault="00AB4558" w:rsidP="00AB4558">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lastRenderedPageBreak/>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rsidR="00AB4558" w:rsidRDefault="00AB4558" w:rsidP="00AB4558">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rsidR="00AB4558" w:rsidRPr="006B287D" w:rsidRDefault="00AB4558" w:rsidP="00AB4558">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r w:rsidRPr="006B287D">
        <w:rPr>
          <w:rFonts w:ascii="Palatino Linotype" w:hAnsi="Palatino Linotype" w:cs="Arial"/>
          <w:color w:val="000000"/>
          <w:sz w:val="20"/>
          <w:szCs w:val="20"/>
        </w:rPr>
        <w:t>(Énfasis añadido)</w:t>
      </w:r>
    </w:p>
    <w:p w:rsidR="00AB4558" w:rsidRDefault="00AB4558" w:rsidP="00AB4558">
      <w:pPr>
        <w:spacing w:before="240" w:after="240" w:line="360" w:lineRule="auto"/>
        <w:jc w:val="both"/>
        <w:rPr>
          <w:rFonts w:ascii="Palatino Linotype" w:eastAsia="Arial Unicode MS" w:hAnsi="Palatino Linotype" w:cs="Arial"/>
          <w:sz w:val="24"/>
          <w:szCs w:val="24"/>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por lo que, no pueden producirse efectos jurídicos tendentes a revocar, confirmar o modificar el acto reclamado ya que se infiere su consentimiento</w:t>
      </w:r>
      <w:r>
        <w:rPr>
          <w:rStyle w:val="Refdenotaalpie"/>
          <w:rFonts w:ascii="Palatino Linotype" w:eastAsia="Arial Unicode MS" w:hAnsi="Palatino Linotype" w:cs="Arial"/>
          <w:sz w:val="24"/>
          <w:szCs w:val="24"/>
        </w:rPr>
        <w:footnoteReference w:id="3"/>
      </w:r>
      <w:r w:rsidRPr="001229C4">
        <w:rPr>
          <w:rFonts w:ascii="Palatino Linotype" w:eastAsia="Arial Unicode MS" w:hAnsi="Palatino Linotype" w:cs="Arial"/>
          <w:sz w:val="24"/>
          <w:szCs w:val="24"/>
        </w:rPr>
        <w:t xml:space="preserve">. </w:t>
      </w:r>
    </w:p>
    <w:p w:rsidR="00261260" w:rsidRDefault="00AB4558"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lastRenderedPageBreak/>
        <w:t>Ahora bien, recordando los puntos que se impugnan mediante el recurso de revisión son del tenor siguiente:</w:t>
      </w:r>
    </w:p>
    <w:p w:rsidR="00AB4558" w:rsidRDefault="00AB4558" w:rsidP="00AB4558">
      <w:pPr>
        <w:pStyle w:val="Prrafodelista"/>
        <w:numPr>
          <w:ilvl w:val="0"/>
          <w:numId w:val="23"/>
        </w:numPr>
        <w:tabs>
          <w:tab w:val="left" w:pos="709"/>
        </w:tabs>
        <w:spacing w:before="240" w:line="360" w:lineRule="auto"/>
        <w:ind w:right="51"/>
        <w:jc w:val="both"/>
        <w:rPr>
          <w:rFonts w:ascii="Palatino Linotype" w:hAnsi="Palatino Linotype" w:cs="Arial"/>
          <w:szCs w:val="20"/>
        </w:rPr>
      </w:pPr>
      <w:r>
        <w:rPr>
          <w:rFonts w:ascii="Palatino Linotype" w:hAnsi="Palatino Linotype" w:cs="Arial"/>
          <w:szCs w:val="20"/>
        </w:rPr>
        <w:t>M</w:t>
      </w:r>
      <w:r w:rsidRPr="00AB4558">
        <w:rPr>
          <w:rFonts w:ascii="Palatino Linotype" w:hAnsi="Palatino Linotype" w:cs="Arial"/>
          <w:szCs w:val="20"/>
        </w:rPr>
        <w:t xml:space="preserve">onto individual de cuota de recuperación, el monto total por cuotas de recuperación y el destino de los mismos. </w:t>
      </w:r>
    </w:p>
    <w:p w:rsidR="00AB4558" w:rsidRDefault="00AB4558" w:rsidP="00AB4558">
      <w:pPr>
        <w:pStyle w:val="Prrafodelista"/>
        <w:numPr>
          <w:ilvl w:val="0"/>
          <w:numId w:val="23"/>
        </w:numPr>
        <w:tabs>
          <w:tab w:val="left" w:pos="709"/>
        </w:tabs>
        <w:spacing w:before="240" w:line="360" w:lineRule="auto"/>
        <w:ind w:right="51"/>
        <w:jc w:val="both"/>
        <w:rPr>
          <w:rFonts w:ascii="Palatino Linotype" w:hAnsi="Palatino Linotype" w:cs="Arial"/>
          <w:szCs w:val="20"/>
        </w:rPr>
      </w:pPr>
      <w:r>
        <w:rPr>
          <w:rFonts w:ascii="Palatino Linotype" w:hAnsi="Palatino Linotype" w:cs="Arial"/>
          <w:szCs w:val="20"/>
        </w:rPr>
        <w:t>B</w:t>
      </w:r>
      <w:r w:rsidRPr="00AB4558">
        <w:rPr>
          <w:rFonts w:ascii="Palatino Linotype" w:hAnsi="Palatino Linotype" w:cs="Arial"/>
          <w:szCs w:val="20"/>
        </w:rPr>
        <w:t xml:space="preserve">ajo que criterio se contratan o decide su implementación y a cargo de que servidor público corresponde tal valoración. </w:t>
      </w:r>
    </w:p>
    <w:p w:rsidR="00AB4558" w:rsidRDefault="00D614E0" w:rsidP="00AB4558">
      <w:pPr>
        <w:pStyle w:val="Prrafodelista"/>
        <w:numPr>
          <w:ilvl w:val="0"/>
          <w:numId w:val="23"/>
        </w:numPr>
        <w:tabs>
          <w:tab w:val="left" w:pos="709"/>
        </w:tabs>
        <w:spacing w:before="240" w:line="360" w:lineRule="auto"/>
        <w:ind w:right="51"/>
        <w:jc w:val="both"/>
        <w:rPr>
          <w:rFonts w:ascii="Palatino Linotype" w:hAnsi="Palatino Linotype" w:cs="Arial"/>
          <w:szCs w:val="20"/>
        </w:rPr>
      </w:pPr>
      <w:r w:rsidRPr="00AB4558">
        <w:rPr>
          <w:rFonts w:ascii="Palatino Linotype" w:hAnsi="Palatino Linotype" w:cs="Arial"/>
          <w:szCs w:val="20"/>
        </w:rPr>
        <w:t>Total,</w:t>
      </w:r>
      <w:r w:rsidR="00AB4558">
        <w:rPr>
          <w:rFonts w:ascii="Palatino Linotype" w:hAnsi="Palatino Linotype" w:cs="Arial"/>
          <w:szCs w:val="20"/>
        </w:rPr>
        <w:t xml:space="preserve"> </w:t>
      </w:r>
      <w:r w:rsidR="00AB4558" w:rsidRPr="00AB4558">
        <w:rPr>
          <w:rFonts w:ascii="Palatino Linotype" w:hAnsi="Palatino Linotype" w:cs="Arial"/>
          <w:szCs w:val="20"/>
        </w:rPr>
        <w:t>de gastos originados por cada evento o presentación indicando por separado cada tipo de gasto</w:t>
      </w:r>
      <w:r w:rsidR="00AB4558">
        <w:rPr>
          <w:rFonts w:ascii="Palatino Linotype" w:hAnsi="Palatino Linotype" w:cs="Arial"/>
          <w:szCs w:val="20"/>
        </w:rPr>
        <w:t>.</w:t>
      </w:r>
    </w:p>
    <w:p w:rsidR="00AB4558" w:rsidRPr="00AB4558" w:rsidRDefault="00AB4558" w:rsidP="00AB4558">
      <w:pPr>
        <w:pStyle w:val="Prrafodelista"/>
        <w:numPr>
          <w:ilvl w:val="0"/>
          <w:numId w:val="23"/>
        </w:numPr>
        <w:tabs>
          <w:tab w:val="left" w:pos="709"/>
        </w:tabs>
        <w:spacing w:before="240" w:line="360" w:lineRule="auto"/>
        <w:ind w:right="51"/>
        <w:jc w:val="both"/>
        <w:rPr>
          <w:rFonts w:ascii="Palatino Linotype" w:hAnsi="Palatino Linotype" w:cs="Arial"/>
          <w:szCs w:val="20"/>
        </w:rPr>
      </w:pPr>
      <w:r w:rsidRPr="00AB4558">
        <w:rPr>
          <w:rFonts w:ascii="Palatino Linotype" w:hAnsi="Palatino Linotype" w:cs="Arial"/>
          <w:szCs w:val="20"/>
        </w:rPr>
        <w:t>Los programas instituciones realizados entre el 15 de agosto de 2018 y el 27 de marzo de 2019 indicando en que planteles se han aplicado y las actividades que involucra.</w:t>
      </w:r>
    </w:p>
    <w:p w:rsidR="00E17FF5" w:rsidRDefault="00E17FF5" w:rsidP="00E052BA">
      <w:pPr>
        <w:tabs>
          <w:tab w:val="left" w:pos="709"/>
        </w:tabs>
        <w:spacing w:before="240" w:line="360" w:lineRule="auto"/>
        <w:ind w:right="51"/>
        <w:jc w:val="both"/>
        <w:rPr>
          <w:rFonts w:ascii="Palatino Linotype" w:hAnsi="Palatino Linotype" w:cs="Arial"/>
          <w:sz w:val="24"/>
          <w:szCs w:val="20"/>
        </w:rPr>
      </w:pPr>
    </w:p>
    <w:p w:rsidR="00261260" w:rsidRDefault="00AB4558" w:rsidP="00E052BA">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noProof/>
          <w:sz w:val="24"/>
          <w:szCs w:val="20"/>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783839</wp:posOffset>
                </wp:positionV>
                <wp:extent cx="5716988" cy="1836752"/>
                <wp:effectExtent l="0" t="0" r="36195" b="30480"/>
                <wp:wrapNone/>
                <wp:docPr id="5" name="Conector recto 5"/>
                <wp:cNvGraphicFramePr/>
                <a:graphic xmlns:a="http://schemas.openxmlformats.org/drawingml/2006/main">
                  <a:graphicData uri="http://schemas.microsoft.com/office/word/2010/wordprocessingShape">
                    <wps:wsp>
                      <wps:cNvCnPr/>
                      <wps:spPr>
                        <a:xfrm>
                          <a:off x="0" y="0"/>
                          <a:ext cx="5716988" cy="1836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AB8AF" id="Conector recto 5"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95pt,61.7pt" to="849.1pt,2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" strokecolor="#5b9bd5 [3204]" strokeweight=".5pt">
                <v:stroke joinstyle="miter"/>
                <w10:wrap anchorx="margin"/>
              </v:line>
            </w:pict>
          </mc:Fallback>
        </mc:AlternateContent>
      </w:r>
      <w:r>
        <w:rPr>
          <w:rFonts w:ascii="Palatino Linotype" w:hAnsi="Palatino Linotype" w:cs="Arial"/>
          <w:sz w:val="24"/>
          <w:szCs w:val="20"/>
        </w:rPr>
        <w:t>Atento a lo anterior, el sujeto obligado mediante su informe justificado realizo manifestaciones de disenso en el siguiente sentido:</w:t>
      </w:r>
    </w:p>
    <w:p w:rsidR="00AB4558" w:rsidRDefault="00AB4558" w:rsidP="00E052BA">
      <w:pPr>
        <w:tabs>
          <w:tab w:val="left" w:pos="709"/>
        </w:tabs>
        <w:spacing w:before="240" w:line="360" w:lineRule="auto"/>
        <w:ind w:right="51"/>
        <w:jc w:val="both"/>
        <w:rPr>
          <w:rFonts w:ascii="Palatino Linotype" w:hAnsi="Palatino Linotype" w:cs="Arial"/>
          <w:sz w:val="24"/>
          <w:szCs w:val="20"/>
        </w:rPr>
      </w:pPr>
      <w:r w:rsidRPr="00AB4558">
        <w:rPr>
          <w:rFonts w:ascii="Palatino Linotype" w:hAnsi="Palatino Linotype" w:cs="Arial"/>
          <w:noProof/>
          <w:sz w:val="24"/>
          <w:szCs w:val="20"/>
        </w:rPr>
        <w:lastRenderedPageBreak/>
        <w:drawing>
          <wp:inline distT="0" distB="0" distL="0" distR="0">
            <wp:extent cx="5760720" cy="709953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778" cy="7102075"/>
                    </a:xfrm>
                    <a:prstGeom prst="rect">
                      <a:avLst/>
                    </a:prstGeom>
                    <a:noFill/>
                    <a:ln>
                      <a:noFill/>
                    </a:ln>
                  </pic:spPr>
                </pic:pic>
              </a:graphicData>
            </a:graphic>
          </wp:inline>
        </w:drawing>
      </w:r>
    </w:p>
    <w:p w:rsidR="00AB4558" w:rsidRDefault="00AB4558" w:rsidP="00E052BA">
      <w:pPr>
        <w:tabs>
          <w:tab w:val="left" w:pos="709"/>
        </w:tabs>
        <w:spacing w:before="240" w:line="360" w:lineRule="auto"/>
        <w:ind w:right="51"/>
        <w:jc w:val="both"/>
        <w:rPr>
          <w:rFonts w:ascii="Palatino Linotype" w:hAnsi="Palatino Linotype" w:cs="Arial"/>
          <w:sz w:val="24"/>
          <w:szCs w:val="20"/>
        </w:rPr>
      </w:pPr>
      <w:r w:rsidRPr="00AB4558">
        <w:rPr>
          <w:rFonts w:ascii="Palatino Linotype" w:hAnsi="Palatino Linotype" w:cs="Arial"/>
          <w:noProof/>
          <w:sz w:val="24"/>
          <w:szCs w:val="20"/>
        </w:rPr>
        <w:lastRenderedPageBreak/>
        <w:drawing>
          <wp:inline distT="0" distB="0" distL="0" distR="0">
            <wp:extent cx="5760720" cy="68062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230" cy="6806843"/>
                    </a:xfrm>
                    <a:prstGeom prst="rect">
                      <a:avLst/>
                    </a:prstGeom>
                    <a:noFill/>
                    <a:ln>
                      <a:noFill/>
                    </a:ln>
                  </pic:spPr>
                </pic:pic>
              </a:graphicData>
            </a:graphic>
          </wp:inline>
        </w:drawing>
      </w:r>
    </w:p>
    <w:p w:rsidR="00184E70" w:rsidRDefault="00AB4558" w:rsidP="00E052BA">
      <w:pPr>
        <w:tabs>
          <w:tab w:val="left" w:pos="709"/>
        </w:tabs>
        <w:spacing w:before="240" w:line="360" w:lineRule="auto"/>
        <w:ind w:right="51"/>
        <w:jc w:val="both"/>
        <w:rPr>
          <w:rFonts w:ascii="Palatino Linotype" w:hAnsi="Palatino Linotype" w:cs="Arial"/>
          <w:sz w:val="24"/>
          <w:szCs w:val="20"/>
        </w:rPr>
      </w:pPr>
      <w:r w:rsidRPr="00AB4558">
        <w:rPr>
          <w:rFonts w:ascii="Palatino Linotype" w:hAnsi="Palatino Linotype" w:cs="Arial"/>
          <w:noProof/>
          <w:sz w:val="24"/>
          <w:szCs w:val="20"/>
        </w:rPr>
        <w:lastRenderedPageBreak/>
        <w:drawing>
          <wp:inline distT="0" distB="0" distL="0" distR="0">
            <wp:extent cx="5760720" cy="34874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494" cy="3490369"/>
                    </a:xfrm>
                    <a:prstGeom prst="rect">
                      <a:avLst/>
                    </a:prstGeom>
                    <a:noFill/>
                    <a:ln>
                      <a:noFill/>
                    </a:ln>
                  </pic:spPr>
                </pic:pic>
              </a:graphicData>
            </a:graphic>
          </wp:inline>
        </w:drawing>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En ese tenor, es de mencionar que por lo que corresponde a los puntos número 1 y 3 de las razones o motivos de inconformidad del recurrente, respecto al m</w:t>
      </w:r>
      <w:r w:rsidRPr="00184E70">
        <w:rPr>
          <w:rFonts w:ascii="Palatino Linotype" w:hAnsi="Palatino Linotype" w:cs="Arial"/>
          <w:sz w:val="24"/>
          <w:szCs w:val="20"/>
        </w:rPr>
        <w:t>onto individual de cuota de recuperación, el monto total por cuotas de recuperación y el destino de los mismos</w:t>
      </w:r>
      <w:r>
        <w:rPr>
          <w:rFonts w:ascii="Palatino Linotype" w:hAnsi="Palatino Linotype" w:cs="Arial"/>
          <w:sz w:val="24"/>
          <w:szCs w:val="20"/>
        </w:rPr>
        <w:t>, así como, el t</w:t>
      </w:r>
      <w:r w:rsidRPr="00184E70">
        <w:rPr>
          <w:rFonts w:ascii="Palatino Linotype" w:hAnsi="Palatino Linotype" w:cs="Arial"/>
          <w:sz w:val="24"/>
          <w:szCs w:val="20"/>
        </w:rPr>
        <w:t>ota</w:t>
      </w:r>
      <w:r>
        <w:rPr>
          <w:rFonts w:ascii="Palatino Linotype" w:hAnsi="Palatino Linotype" w:cs="Arial"/>
          <w:sz w:val="24"/>
          <w:szCs w:val="20"/>
        </w:rPr>
        <w:t>l</w:t>
      </w:r>
      <w:r w:rsidRPr="00184E70">
        <w:rPr>
          <w:rFonts w:ascii="Palatino Linotype" w:hAnsi="Palatino Linotype" w:cs="Arial"/>
          <w:sz w:val="24"/>
          <w:szCs w:val="20"/>
        </w:rPr>
        <w:t xml:space="preserve"> de gastos originados por cada evento o presentación indicando por separado cada tipo de gasto.</w:t>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El sujeto obligado realizo manifestaciones de disenso aludiendo que, únicamente para el caso de las obras de teatro que se realizaron por un tercero, fue contemplada una cuota voluntaria para cubrir los gastos operativos de la puesta en escena, asimismo, señalo el evento en el que se cobraron cuotas por un monto de $150.00 y $170.00, los cuales fueron manejados directamente entre la empresa y los planteles participantes.</w:t>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lastRenderedPageBreak/>
        <w:t xml:space="preserve">Por otra parte, señalo que lo que corresponde a los montos totales por cuotas de recuperación de obras, talleres de forma directa o a través de terceras personas, dicha información deberá de solicitarse directamente a la empresa que llevo a cabo los eventos, que fue la encargada del manejo de los recursos. </w:t>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También así, el destino de las cuotas de recuperación, son destinados por la empresa promotora para cubrir sus gastos operativos inherentes a cada evento y/o presentaciones.</w:t>
      </w:r>
    </w:p>
    <w:p w:rsidR="00CA06BF" w:rsidRDefault="00CA06BF" w:rsidP="00CA06BF">
      <w:pPr>
        <w:autoSpaceDE w:val="0"/>
        <w:autoSpaceDN w:val="0"/>
        <w:adjustRightInd w:val="0"/>
        <w:spacing w:before="240" w:line="360" w:lineRule="auto"/>
        <w:ind w:right="18"/>
        <w:jc w:val="both"/>
        <w:rPr>
          <w:rFonts w:ascii="Palatino Linotype" w:hAnsi="Palatino Linotype" w:cs="Arial"/>
          <w:sz w:val="24"/>
          <w:szCs w:val="24"/>
          <w:lang w:val="es-ES"/>
        </w:rPr>
      </w:pPr>
      <w:r w:rsidRPr="00393571">
        <w:rPr>
          <w:rFonts w:ascii="Palatino Linotype" w:hAnsi="Palatino Linotype" w:cs="Arial"/>
          <w:sz w:val="24"/>
          <w:szCs w:val="24"/>
          <w:lang w:val="es-ES"/>
        </w:rPr>
        <w:t>Cabe señalar que, el Pleno de este Órgano Garante, ha sostenido que cuando se está ante la presencia de un acto u hecho negativo, es decir, que no se actualiza la circunstancia por la cual EL SUJETO OBLIGADO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b/>
          <w:i/>
          <w:lang w:val="es-ES"/>
        </w:rPr>
        <w:t>“INEXISTENCIA DE LA INFORMACIÓN. EL COMITÉ DE ACCESO A LA INFORMACIÓN PUEDE DECLARARLA ANTE SU EVIDENCIA, SIN NECESIDAD DE DICTAR MEDIDAS PARA SU LOCALIZACIÓN.</w:t>
      </w:r>
      <w:r w:rsidRPr="00393571">
        <w:rPr>
          <w:rFonts w:ascii="Palatino Linotype" w:hAnsi="Palatino Linotype"/>
          <w:i/>
          <w:lang w:val="es-ES"/>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w:t>
      </w:r>
      <w:r w:rsidRPr="00393571">
        <w:rPr>
          <w:rFonts w:ascii="Palatino Linotype" w:hAnsi="Palatino Linotype"/>
          <w:i/>
          <w:lang w:val="es-ES"/>
        </w:rPr>
        <w:lastRenderedPageBreak/>
        <w:t xml:space="preserve">las medidas pertinentes para localizar en la Unidad Administrativa correspondiente el documento solicitado y, de no encontrarlo, expida una resolución que confirme la inexistencia del mismo. </w:t>
      </w:r>
      <w:r w:rsidRPr="00393571">
        <w:rPr>
          <w:rFonts w:ascii="Palatino Linotype" w:hAnsi="Palatino Linotype"/>
          <w:b/>
          <w:i/>
          <w:lang w:val="es-ES"/>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393571">
        <w:rPr>
          <w:rFonts w:ascii="Palatino Linotype" w:hAnsi="Palatino Linotype"/>
          <w:i/>
          <w:lang w:val="es-ES"/>
        </w:rPr>
        <w:t>.</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 xml:space="preserve">Clasificación de Información 35/2004-J, deriva de la solicitud de acceso a la información de Daniel Lizárraga </w:t>
      </w:r>
      <w:proofErr w:type="gramStart"/>
      <w:r w:rsidRPr="00393571">
        <w:rPr>
          <w:rFonts w:ascii="Palatino Linotype" w:hAnsi="Palatino Linotype"/>
          <w:i/>
          <w:lang w:val="es-ES"/>
        </w:rPr>
        <w:t>Méndez.-</w:t>
      </w:r>
      <w:proofErr w:type="gramEnd"/>
      <w:r w:rsidRPr="00393571">
        <w:rPr>
          <w:rFonts w:ascii="Palatino Linotype" w:hAnsi="Palatino Linotype"/>
          <w:i/>
          <w:lang w:val="es-ES"/>
        </w:rPr>
        <w:t xml:space="preserve"> 15 de noviembre de 2004.- Unanimidad de votos”.</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No. Registro: 267,287</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Tesis aislada</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Materia(s): Común</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Sexta Época</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Instancia: Segunda Sala</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Fuente: Semanario Judicial de la Federación Tercera Parte, LII</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 xml:space="preserve">Tesis: </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i/>
          <w:lang w:val="es-ES"/>
        </w:rPr>
        <w:t>Página: 101</w:t>
      </w:r>
    </w:p>
    <w:p w:rsidR="00CA06BF" w:rsidRPr="00393571" w:rsidRDefault="00CA06BF" w:rsidP="00CA06BF">
      <w:pPr>
        <w:tabs>
          <w:tab w:val="left" w:pos="8222"/>
        </w:tabs>
        <w:spacing w:before="240" w:line="360" w:lineRule="auto"/>
        <w:ind w:left="851" w:right="899"/>
        <w:jc w:val="both"/>
        <w:rPr>
          <w:rFonts w:ascii="Palatino Linotype" w:hAnsi="Palatino Linotype"/>
          <w:i/>
          <w:lang w:val="es-ES"/>
        </w:rPr>
      </w:pPr>
      <w:r w:rsidRPr="00393571">
        <w:rPr>
          <w:rFonts w:ascii="Palatino Linotype" w:hAnsi="Palatino Linotype"/>
          <w:b/>
          <w:i/>
          <w:lang w:val="es-ES"/>
        </w:rPr>
        <w:t xml:space="preserve">HECHOS NEGATIVOS, NO SON SUSCEPTIBLES DE DEMOSTRACION. </w:t>
      </w:r>
      <w:r w:rsidRPr="00393571">
        <w:rPr>
          <w:rFonts w:ascii="Palatino Linotype" w:hAnsi="Palatino Linotype"/>
          <w:i/>
          <w:lang w:val="es-ES"/>
        </w:rPr>
        <w:t xml:space="preserve">Tratándose de un hecho negativo, el Juez no tiene </w:t>
      </w:r>
      <w:proofErr w:type="spellStart"/>
      <w:r w:rsidRPr="00393571">
        <w:rPr>
          <w:rFonts w:ascii="Palatino Linotype" w:hAnsi="Palatino Linotype"/>
          <w:i/>
          <w:lang w:val="es-ES"/>
        </w:rPr>
        <w:t>por que</w:t>
      </w:r>
      <w:proofErr w:type="spellEnd"/>
      <w:r w:rsidRPr="00393571">
        <w:rPr>
          <w:rFonts w:ascii="Palatino Linotype" w:hAnsi="Palatino Linotype"/>
          <w:i/>
          <w:lang w:val="es-ES"/>
        </w:rPr>
        <w:t xml:space="preserve"> invocar prueba alguna de </w:t>
      </w:r>
      <w:r w:rsidRPr="00393571">
        <w:rPr>
          <w:rFonts w:ascii="Palatino Linotype" w:hAnsi="Palatino Linotype"/>
          <w:i/>
          <w:lang w:val="es-ES"/>
        </w:rPr>
        <w:lastRenderedPageBreak/>
        <w:t>la que se desprenda, ya que es bien sabido que esta clase de hechos no son susceptibles de demostración.</w:t>
      </w:r>
    </w:p>
    <w:p w:rsidR="00CA06BF" w:rsidRPr="00393571" w:rsidRDefault="00CA06BF" w:rsidP="00CA06BF">
      <w:pPr>
        <w:tabs>
          <w:tab w:val="left" w:pos="8222"/>
        </w:tabs>
        <w:spacing w:before="240" w:line="360" w:lineRule="auto"/>
        <w:ind w:left="851" w:right="899"/>
        <w:jc w:val="both"/>
        <w:rPr>
          <w:rFonts w:ascii="Palatino Linotype" w:hAnsi="Palatino Linotype"/>
          <w:b/>
          <w:i/>
          <w:lang w:val="es-ES"/>
        </w:rPr>
      </w:pPr>
      <w:r w:rsidRPr="00393571">
        <w:rPr>
          <w:rFonts w:ascii="Palatino Linotype" w:hAnsi="Palatino Linotype"/>
          <w:i/>
          <w:lang w:val="es-ES"/>
        </w:rPr>
        <w:t>Amparo en revisión 2022/61. José García Florín (Menor). 9 de octubre de 1961. Cinco votos. Ponente: José Rivera Pérez Campos.</w:t>
      </w:r>
      <w:r w:rsidRPr="00393571">
        <w:rPr>
          <w:rFonts w:ascii="Palatino Linotype" w:hAnsi="Palatino Linotype"/>
          <w:b/>
          <w:i/>
          <w:lang w:val="es-ES"/>
        </w:rPr>
        <w:t>”</w:t>
      </w:r>
    </w:p>
    <w:p w:rsidR="00CA06BF" w:rsidRPr="00393571" w:rsidRDefault="00CA06BF" w:rsidP="00CA06BF">
      <w:pPr>
        <w:autoSpaceDE w:val="0"/>
        <w:autoSpaceDN w:val="0"/>
        <w:adjustRightInd w:val="0"/>
        <w:spacing w:before="240" w:line="360" w:lineRule="auto"/>
        <w:ind w:right="18"/>
        <w:jc w:val="both"/>
        <w:rPr>
          <w:rFonts w:ascii="Palatino Linotype" w:hAnsi="Palatino Linotype" w:cs="Arial"/>
          <w:sz w:val="24"/>
          <w:szCs w:val="24"/>
          <w:lang w:val="es-ES"/>
        </w:rPr>
      </w:pPr>
      <w:r w:rsidRPr="00393571">
        <w:rPr>
          <w:rFonts w:ascii="Palatino Linotype" w:hAnsi="Palatino Linotype" w:cs="Arial"/>
          <w:sz w:val="24"/>
          <w:szCs w:val="24"/>
          <w:lang w:val="es-ES"/>
        </w:rPr>
        <w:t>Por lo anterior, y derivado del análisis expuesto, se concluye que se está en presencia de un hecho negativo, por lo que, en este sentido resulta innecesario realizar un Acuerdo de Inexistencia.</w:t>
      </w:r>
    </w:p>
    <w:p w:rsidR="00CA06BF" w:rsidRPr="00393571" w:rsidRDefault="00CA06BF" w:rsidP="00CA06BF">
      <w:pPr>
        <w:spacing w:before="240" w:line="360" w:lineRule="auto"/>
        <w:jc w:val="both"/>
        <w:rPr>
          <w:rFonts w:ascii="Palatino Linotype" w:hAnsi="Palatino Linotype" w:cs="Arial"/>
          <w:sz w:val="24"/>
          <w:szCs w:val="24"/>
          <w:lang w:val="es-ES"/>
        </w:rPr>
      </w:pPr>
      <w:r w:rsidRPr="00393571">
        <w:rPr>
          <w:rFonts w:ascii="Palatino Linotype" w:hAnsi="Palatino Linotype"/>
          <w:sz w:val="24"/>
          <w:szCs w:val="24"/>
          <w:lang w:val="es-ES"/>
        </w:rPr>
        <w:t>Así, de conformidad con lo establecido en el artículo 12 de la Ley de Transparencia y Acceso a la Información Pública del Estado de México y Municipios, EL SUJETO OBLIGADO sólo proporcionará la información que obra en sus archivos, lo que a</w:t>
      </w:r>
      <w:r w:rsidRPr="00393571">
        <w:rPr>
          <w:rFonts w:ascii="Palatino Linotype" w:hAnsi="Palatino Linotype"/>
          <w:i/>
          <w:sz w:val="24"/>
          <w:szCs w:val="24"/>
          <w:lang w:val="es-ES"/>
        </w:rPr>
        <w:t xml:space="preserve"> contrario sensu</w:t>
      </w:r>
      <w:r w:rsidRPr="00393571">
        <w:rPr>
          <w:rFonts w:ascii="Palatino Linotype" w:hAnsi="Palatino Linotype"/>
          <w:sz w:val="24"/>
          <w:szCs w:val="24"/>
          <w:lang w:val="es-ES"/>
        </w:rPr>
        <w:t xml:space="preserve"> significa que no se está obligado a proporcionar lo que no obre en los mismos; </w:t>
      </w:r>
      <w:r w:rsidRPr="00393571">
        <w:rPr>
          <w:rFonts w:ascii="Palatino Linotype" w:hAnsi="Palatino Linotype" w:cs="Arial"/>
          <w:sz w:val="24"/>
          <w:szCs w:val="24"/>
          <w:lang w:val="es-ES"/>
        </w:rPr>
        <w:t>ello con relación al artículo 143 de la Constitución Política del Estado Libre y Soberano de México, pues las autoridades sólo están facultadas para realizar lo que expresamente les faculta la Ley u ordenamientos jurídicos.</w:t>
      </w:r>
    </w:p>
    <w:p w:rsidR="00CA06BF" w:rsidRPr="00393571" w:rsidRDefault="00CA06BF" w:rsidP="00CA06BF">
      <w:pPr>
        <w:spacing w:before="240" w:line="360" w:lineRule="auto"/>
        <w:jc w:val="both"/>
        <w:rPr>
          <w:rFonts w:ascii="Palatino Linotype" w:eastAsia="Cambria" w:hAnsi="Palatino Linotype" w:cs="Arial"/>
          <w:color w:val="000000"/>
          <w:sz w:val="24"/>
          <w:szCs w:val="24"/>
        </w:rPr>
      </w:pPr>
      <w:r w:rsidRPr="00393571">
        <w:rPr>
          <w:rFonts w:ascii="Palatino Linotype" w:hAnsi="Palatino Linotype" w:cs="Arial"/>
          <w:sz w:val="24"/>
          <w:szCs w:val="24"/>
          <w:lang w:val="es-ES"/>
        </w:rPr>
        <w:t xml:space="preserve">Ahora bien, es importante señalar que </w:t>
      </w:r>
      <w:r w:rsidRPr="00393571">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CA06BF" w:rsidRPr="00393571" w:rsidRDefault="00CA06BF" w:rsidP="00CA06BF">
      <w:pPr>
        <w:spacing w:before="240" w:line="360" w:lineRule="auto"/>
        <w:ind w:left="992" w:right="1043"/>
        <w:contextualSpacing/>
        <w:jc w:val="both"/>
        <w:rPr>
          <w:rFonts w:ascii="Palatino Linotype" w:hAnsi="Palatino Linotype" w:cs="Arial"/>
          <w:i/>
        </w:rPr>
      </w:pPr>
      <w:r w:rsidRPr="00393571">
        <w:rPr>
          <w:rFonts w:ascii="Palatino Linotype" w:hAnsi="Palatino Linotype" w:cs="Arial"/>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último, lo tocante a los gastos originados por cada evento que ha impartido o realizado el COBAEM, o a través de terceras personas, informo que los gastos de presentación y rubros son los que derivan del pago de conceptos como: audio, templete, escenario, sillas, planta de luz, extintores, carpa gigante, actores, ingenieros y pantalla gigante, entre otros. </w:t>
      </w:r>
    </w:p>
    <w:p w:rsidR="00184E70" w:rsidRDefault="00184E70"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De este ultimo párrafo, se denota que el COBAEM, realizo pago por concepto de pago de servicios como lo menciono, sin </w:t>
      </w:r>
      <w:r w:rsidR="004D646B">
        <w:rPr>
          <w:rFonts w:ascii="Palatino Linotype" w:hAnsi="Palatino Linotype" w:cs="Arial"/>
          <w:sz w:val="24"/>
          <w:szCs w:val="20"/>
        </w:rPr>
        <w:t>embargo,</w:t>
      </w:r>
      <w:r>
        <w:rPr>
          <w:rFonts w:ascii="Palatino Linotype" w:hAnsi="Palatino Linotype" w:cs="Arial"/>
          <w:sz w:val="24"/>
          <w:szCs w:val="20"/>
        </w:rPr>
        <w:t xml:space="preserve"> fue omiso en señalar el monto total de los pagos realizados, por lo cual en aras de garantizar el derecho de acceso del particular lo procedente es ordenar la entrega de</w:t>
      </w:r>
      <w:bookmarkStart w:id="1" w:name="_Hlk12553935"/>
      <w:r>
        <w:rPr>
          <w:rFonts w:ascii="Palatino Linotype" w:hAnsi="Palatino Linotype" w:cs="Arial"/>
          <w:sz w:val="24"/>
          <w:szCs w:val="20"/>
        </w:rPr>
        <w:t>l documento o documentos en donde conste el monto total pagado por concepto de pago de servicios.</w:t>
      </w:r>
      <w:bookmarkEnd w:id="1"/>
    </w:p>
    <w:p w:rsidR="00CA06BF" w:rsidRDefault="00CA06BF"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lastRenderedPageBreak/>
        <w:t xml:space="preserve">No siendo óbice señalar que la información que podría dar cabal cumplimiento al monto total podrían ser facturas, recibos, entre otros, es menester señalar que en </w:t>
      </w:r>
      <w:proofErr w:type="gramStart"/>
      <w:r>
        <w:rPr>
          <w:rFonts w:ascii="Palatino Linotype" w:hAnsi="Palatino Linotype" w:cs="Arial"/>
          <w:sz w:val="24"/>
          <w:szCs w:val="20"/>
        </w:rPr>
        <w:t>dichas documentales</w:t>
      </w:r>
      <w:proofErr w:type="gramEnd"/>
      <w:r>
        <w:rPr>
          <w:rFonts w:ascii="Palatino Linotype" w:hAnsi="Palatino Linotype" w:cs="Arial"/>
          <w:sz w:val="24"/>
          <w:szCs w:val="20"/>
        </w:rPr>
        <w:t xml:space="preserve"> se pueden encontrar datos que pueden ser susceptibles de testarse razón por la cual se deberán de tomar en cuenta las consideraciones correspondientes al apartado de la versión pública. </w:t>
      </w:r>
    </w:p>
    <w:p w:rsidR="004D646B" w:rsidRPr="00184E70" w:rsidRDefault="004D646B"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Ahora bien, lo que corresponde al punto 2, el sujeto obligado manifestó que una vez corroborado que el montaje se acopla a los objetivos y planes de estudio y al área que tiene prioridad en el plan de desarrollo y los planes de estudio, la empresa presenta la sinopsis y derivado del interés manifestado por los alumnos se procede a determinar la puesta en marcha del evento, ya que este tipo de eventos y sus cuotas son voluntarios. Por lo que tal valoración no corre a cargo de un solo servidor público.</w:t>
      </w:r>
    </w:p>
    <w:p w:rsidR="00184E70" w:rsidRDefault="004D646B"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Por último, respecto al punto 4 correspondiente a los programas</w:t>
      </w:r>
      <w:r w:rsidR="00184E70" w:rsidRPr="004D646B">
        <w:rPr>
          <w:rFonts w:ascii="Palatino Linotype" w:hAnsi="Palatino Linotype" w:cs="Arial"/>
          <w:sz w:val="24"/>
          <w:szCs w:val="20"/>
        </w:rPr>
        <w:t xml:space="preserve"> instituciones realizados entre el 15 de agosto de 2018 y el 27 de marzo de 2019 indicando en que planteles se han aplicado y las actividades que involucra.</w:t>
      </w:r>
    </w:p>
    <w:p w:rsidR="00CA06BF" w:rsidRPr="004D646B" w:rsidRDefault="004D646B" w:rsidP="00184E70">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El sujeto obligado se pronuncio respecto </w:t>
      </w:r>
      <w:r w:rsidR="00CA06BF">
        <w:rPr>
          <w:rFonts w:ascii="Palatino Linotype" w:hAnsi="Palatino Linotype" w:cs="Arial"/>
          <w:sz w:val="24"/>
          <w:szCs w:val="20"/>
        </w:rPr>
        <w:t>a cuatro programas basados en el Plan de Desarrollo del Estado de México 2017-2023 y a los planes y programas de estudio del Colegio, señalando también los planteles participantes como sede de las obras de teatro y mencionando las actividades que involucran los programas.</w:t>
      </w:r>
    </w:p>
    <w:p w:rsidR="00CA06BF" w:rsidRDefault="008E7408" w:rsidP="00CA06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No </w:t>
      </w:r>
      <w:r w:rsidR="00261260">
        <w:rPr>
          <w:rFonts w:ascii="Palatino Linotype" w:hAnsi="Palatino Linotype"/>
          <w:sz w:val="24"/>
          <w:szCs w:val="24"/>
        </w:rPr>
        <w:t>obstante,</w:t>
      </w:r>
      <w:r>
        <w:rPr>
          <w:rFonts w:ascii="Palatino Linotype" w:hAnsi="Palatino Linotype"/>
          <w:sz w:val="24"/>
          <w:szCs w:val="24"/>
        </w:rPr>
        <w:t xml:space="preserve"> lo anterior, el sujeto obligado entrego al recurrente la información con la que posee, administra y obra en sus archivos, así también, mediante informe justificado modifico su respuesta complementando la </w:t>
      </w:r>
      <w:r w:rsidR="001F5D0E">
        <w:rPr>
          <w:rFonts w:ascii="Palatino Linotype" w:hAnsi="Palatino Linotype"/>
          <w:sz w:val="24"/>
          <w:szCs w:val="24"/>
        </w:rPr>
        <w:t>información</w:t>
      </w:r>
      <w:r>
        <w:rPr>
          <w:rFonts w:ascii="Palatino Linotype" w:hAnsi="Palatino Linotype"/>
          <w:sz w:val="24"/>
          <w:szCs w:val="24"/>
        </w:rPr>
        <w:t xml:space="preserve"> </w:t>
      </w:r>
      <w:r w:rsidR="00D8458D">
        <w:rPr>
          <w:rFonts w:ascii="Palatino Linotype" w:hAnsi="Palatino Linotype"/>
          <w:sz w:val="24"/>
          <w:szCs w:val="24"/>
        </w:rPr>
        <w:t xml:space="preserve">solicitada por el </w:t>
      </w:r>
      <w:r w:rsidR="00D8458D">
        <w:rPr>
          <w:rFonts w:ascii="Palatino Linotype" w:hAnsi="Palatino Linotype"/>
          <w:sz w:val="24"/>
          <w:szCs w:val="24"/>
        </w:rPr>
        <w:lastRenderedPageBreak/>
        <w:t>impetrante</w:t>
      </w:r>
      <w:r w:rsidR="001F5D0E">
        <w:rPr>
          <w:rFonts w:ascii="Palatino Linotype" w:hAnsi="Palatino Linotype"/>
          <w:sz w:val="24"/>
          <w:szCs w:val="24"/>
        </w:rPr>
        <w:t>,</w:t>
      </w:r>
      <w:r>
        <w:rPr>
          <w:rFonts w:ascii="Palatino Linotype" w:hAnsi="Palatino Linotype"/>
          <w:sz w:val="24"/>
          <w:szCs w:val="24"/>
        </w:rPr>
        <w:t xml:space="preserve"> por lo que se entiende para este órgano garante que ya satisfizo</w:t>
      </w:r>
      <w:r w:rsidR="00CA06BF">
        <w:rPr>
          <w:rFonts w:ascii="Palatino Linotype" w:hAnsi="Palatino Linotype"/>
          <w:sz w:val="24"/>
          <w:szCs w:val="24"/>
        </w:rPr>
        <w:t xml:space="preserve"> parcialmente</w:t>
      </w:r>
      <w:r>
        <w:rPr>
          <w:rFonts w:ascii="Palatino Linotype" w:hAnsi="Palatino Linotype"/>
          <w:sz w:val="24"/>
          <w:szCs w:val="24"/>
        </w:rPr>
        <w:t xml:space="preserve"> el derecho accionado por la parte solicitante.</w:t>
      </w:r>
    </w:p>
    <w:p w:rsidR="0002245E" w:rsidRPr="000A3851" w:rsidRDefault="0002245E" w:rsidP="0002245E">
      <w:pPr>
        <w:pStyle w:val="Prrafodelista"/>
        <w:numPr>
          <w:ilvl w:val="0"/>
          <w:numId w:val="25"/>
        </w:numPr>
        <w:tabs>
          <w:tab w:val="left" w:pos="709"/>
        </w:tabs>
        <w:spacing w:before="240" w:line="360" w:lineRule="auto"/>
        <w:ind w:right="51"/>
        <w:jc w:val="both"/>
        <w:rPr>
          <w:rFonts w:ascii="Palatino Linotype" w:eastAsia="Calibri" w:hAnsi="Palatino Linotype" w:cs="Arial"/>
          <w:b/>
          <w:sz w:val="28"/>
        </w:rPr>
      </w:pPr>
      <w:r w:rsidRPr="000A3851">
        <w:rPr>
          <w:rFonts w:ascii="Palatino Linotype" w:eastAsia="Calibri" w:hAnsi="Palatino Linotype" w:cs="Arial"/>
          <w:b/>
          <w:sz w:val="28"/>
        </w:rPr>
        <w:t>De la versión pública.</w:t>
      </w:r>
    </w:p>
    <w:p w:rsidR="0002245E" w:rsidRPr="00BF2F26" w:rsidRDefault="0002245E" w:rsidP="0002245E">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02245E" w:rsidRPr="00BF2F26" w:rsidRDefault="0002245E" w:rsidP="0002245E">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02245E" w:rsidRPr="00BF2F26" w:rsidRDefault="0002245E" w:rsidP="0002245E">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w:t>
      </w:r>
      <w:r w:rsidRPr="00BF2F26">
        <w:rPr>
          <w:rFonts w:ascii="Palatino Linotype" w:eastAsia="Calibri" w:hAnsi="Palatino Linotype" w:cs="Arial"/>
          <w:sz w:val="24"/>
        </w:rPr>
        <w:lastRenderedPageBreak/>
        <w:t>y los ya mencionados artículos 140 y 143 de la Ley de Transparencia y Acceso a la Información Pública del Estado de México y Municipios.</w:t>
      </w:r>
    </w:p>
    <w:p w:rsidR="0002245E" w:rsidRPr="00BF2F26" w:rsidRDefault="0002245E" w:rsidP="0002245E">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CA06BF" w:rsidRDefault="00CA06BF" w:rsidP="00CA06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parcialmente 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 xml:space="preserve">con fundamento en la segunda </w:t>
      </w:r>
      <w:proofErr w:type="spellStart"/>
      <w:r>
        <w:rPr>
          <w:rFonts w:ascii="Palatino Linotype" w:hAnsi="Palatino Linotype" w:cs="Arial"/>
          <w:b/>
          <w:sz w:val="24"/>
        </w:rPr>
        <w:t>hipótesis</w:t>
      </w:r>
      <w:proofErr w:type="spellEnd"/>
      <w:r>
        <w:rPr>
          <w:rFonts w:ascii="Palatino Linotype" w:hAnsi="Palatino Linotype" w:cs="Arial"/>
          <w:b/>
          <w:sz w:val="24"/>
        </w:rPr>
        <w:t xml:space="preserve">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02245E" w:rsidRPr="00192E3E">
        <w:rPr>
          <w:rFonts w:ascii="Palatino Linotype" w:hAnsi="Palatino Linotype" w:cs="Arial"/>
          <w:b/>
          <w:sz w:val="24"/>
        </w:rPr>
        <w:t>00010/COBAEM/IP/2019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CA06BF" w:rsidRDefault="00CA06BF" w:rsidP="00CA06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CA06BF" w:rsidRDefault="00CA06BF" w:rsidP="00CA06BF">
      <w:pPr>
        <w:tabs>
          <w:tab w:val="left" w:pos="8931"/>
        </w:tabs>
        <w:spacing w:before="240" w:line="360" w:lineRule="auto"/>
        <w:ind w:right="51"/>
        <w:jc w:val="both"/>
        <w:rPr>
          <w:rFonts w:ascii="Palatino Linotype" w:eastAsia="Times New Roman" w:hAnsi="Palatino Linotype"/>
          <w:b/>
          <w:bCs/>
          <w:spacing w:val="60"/>
          <w:sz w:val="28"/>
          <w:lang w:val="es-ES_tradnl"/>
        </w:rPr>
      </w:pPr>
    </w:p>
    <w:p w:rsidR="00CA06BF" w:rsidRDefault="00CA06BF" w:rsidP="00CA06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CA06BF" w:rsidRDefault="00CA06BF" w:rsidP="00CA06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02245E" w:rsidRPr="00192E3E">
        <w:rPr>
          <w:rFonts w:ascii="Palatino Linotype" w:hAnsi="Palatino Linotype" w:cs="Arial"/>
          <w:b/>
          <w:sz w:val="24"/>
        </w:rPr>
        <w:t>00010/COBAEM/IP/2019</w:t>
      </w:r>
      <w:r>
        <w:rPr>
          <w:rFonts w:ascii="Palatino Linotype" w:hAnsi="Palatino Linotype"/>
          <w:i/>
          <w:lang w:val="es-ES_tradnl"/>
        </w:rPr>
        <w:t xml:space="preserve">, </w:t>
      </w:r>
      <w:r>
        <w:rPr>
          <w:rFonts w:ascii="Palatino Linotype" w:hAnsi="Palatino Linotype" w:cs="Arial"/>
          <w:sz w:val="24"/>
          <w:lang w:val="es-ES_tradnl"/>
        </w:rPr>
        <w:t>por resultar parcialmente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CA06BF" w:rsidRDefault="00CA06BF" w:rsidP="00CA06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Pr>
          <w:rFonts w:ascii="Palatino Linotype" w:hAnsi="Palatino Linotype" w:cs="Arial"/>
          <w:sz w:val="24"/>
          <w:szCs w:val="24"/>
        </w:rPr>
        <w:t>previa búsqueda exhaustiva y razonable en versión pública en caso de ser procedente de lo siguiente:</w:t>
      </w:r>
    </w:p>
    <w:p w:rsidR="00CA06BF" w:rsidRDefault="0002245E" w:rsidP="00CA06BF">
      <w:pPr>
        <w:pStyle w:val="Prrafodelista"/>
        <w:numPr>
          <w:ilvl w:val="0"/>
          <w:numId w:val="24"/>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Documento o documentos en donde conste el monto total por concepto de pago de servicios.</w:t>
      </w:r>
    </w:p>
    <w:p w:rsidR="00CA06BF" w:rsidRDefault="00CA06BF" w:rsidP="00CA06BF">
      <w:pPr>
        <w:autoSpaceDE w:val="0"/>
        <w:autoSpaceDN w:val="0"/>
        <w:adjustRightInd w:val="0"/>
        <w:spacing w:before="240" w:line="360" w:lineRule="auto"/>
        <w:ind w:left="708" w:right="49"/>
        <w:jc w:val="both"/>
        <w:rPr>
          <w:rFonts w:ascii="Palatino Linotype" w:hAnsi="Palatino Linotype" w:cs="Arial"/>
          <w:i/>
          <w:sz w:val="24"/>
        </w:rPr>
      </w:pPr>
      <w:r w:rsidRPr="00313FE3">
        <w:rPr>
          <w:rFonts w:ascii="Palatino Linotype" w:hAnsi="Palatino Linotype" w:cs="Arial"/>
          <w:i/>
          <w:sz w:val="24"/>
        </w:rPr>
        <w:t xml:space="preserve">Para efectos </w:t>
      </w:r>
      <w:r>
        <w:rPr>
          <w:rFonts w:ascii="Palatino Linotype" w:hAnsi="Palatino Linotype" w:cs="Arial"/>
          <w:i/>
          <w:sz w:val="24"/>
        </w:rPr>
        <w:t>de la versión pública</w:t>
      </w:r>
      <w:r w:rsidRPr="00313FE3">
        <w:rPr>
          <w:rFonts w:ascii="Palatino Linotype" w:hAnsi="Palatino Linotype" w:cs="Arial"/>
          <w:i/>
          <w:sz w:val="24"/>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62495" w:rsidRPr="00313FE3" w:rsidRDefault="00262495" w:rsidP="00CA06BF">
      <w:pPr>
        <w:autoSpaceDE w:val="0"/>
        <w:autoSpaceDN w:val="0"/>
        <w:adjustRightInd w:val="0"/>
        <w:spacing w:before="240" w:line="360" w:lineRule="auto"/>
        <w:ind w:left="708" w:right="49"/>
        <w:jc w:val="both"/>
        <w:rPr>
          <w:rFonts w:ascii="Palatino Linotype" w:hAnsi="Palatino Linotype" w:cs="Arial"/>
          <w:i/>
          <w:sz w:val="24"/>
        </w:rPr>
      </w:pPr>
    </w:p>
    <w:p w:rsidR="00CA06BF" w:rsidRDefault="00CA06BF" w:rsidP="00CA06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62495" w:rsidRDefault="00262495" w:rsidP="00CA06BF">
      <w:pPr>
        <w:autoSpaceDE w:val="0"/>
        <w:autoSpaceDN w:val="0"/>
        <w:adjustRightInd w:val="0"/>
        <w:spacing w:before="240" w:line="360" w:lineRule="auto"/>
        <w:jc w:val="both"/>
        <w:rPr>
          <w:rFonts w:ascii="Palatino Linotype" w:hAnsi="Palatino Linotype" w:cs="Arial"/>
          <w:sz w:val="24"/>
          <w:szCs w:val="24"/>
        </w:rPr>
      </w:pPr>
    </w:p>
    <w:p w:rsidR="00CA06BF" w:rsidRDefault="00CA06BF" w:rsidP="00CA06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lastRenderedPageBreak/>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D8458D" w:rsidRDefault="00D8458D" w:rsidP="008A5E77">
      <w:pPr>
        <w:spacing w:after="0" w:line="360" w:lineRule="auto"/>
        <w:jc w:val="both"/>
        <w:rPr>
          <w:rFonts w:ascii="Palatino Linotype" w:hAnsi="Palatino Linotype" w:cs="Arial"/>
          <w:sz w:val="24"/>
          <w:szCs w:val="24"/>
        </w:rPr>
      </w:pPr>
    </w:p>
    <w:p w:rsidR="008A5E77" w:rsidRDefault="0035772D" w:rsidP="008A5E77">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6B7A5D" w:rsidRPr="006B7A5D">
        <w:rPr>
          <w:rFonts w:ascii="Palatino Linotype" w:hAnsi="Palatino Linotype" w:cs="Arial"/>
          <w:sz w:val="24"/>
          <w:szCs w:val="24"/>
        </w:rPr>
        <w:t xml:space="preserve"> </w:t>
      </w:r>
      <w:r w:rsidR="006B7A5D">
        <w:rPr>
          <w:rFonts w:ascii="Palatino Linotype" w:hAnsi="Palatino Linotype" w:cs="Arial"/>
          <w:sz w:val="24"/>
          <w:szCs w:val="24"/>
        </w:rPr>
        <w:t>EMITIENDO VOTO PARTICULAR</w:t>
      </w:r>
      <w:r>
        <w:rPr>
          <w:rFonts w:ascii="Palatino Linotype" w:hAnsi="Palatino Linotype" w:cs="Arial"/>
          <w:sz w:val="24"/>
          <w:szCs w:val="24"/>
        </w:rPr>
        <w:t xml:space="preserve">, JAVIER MARTÍNEZ CRUZ Y LUIS GUSTAVO </w:t>
      </w:r>
      <w:r w:rsidR="00262495">
        <w:rPr>
          <w:rFonts w:ascii="Palatino Linotype" w:hAnsi="Palatino Linotype" w:cs="Arial"/>
          <w:sz w:val="24"/>
          <w:szCs w:val="24"/>
        </w:rPr>
        <w:t xml:space="preserve">PARRA NORIEGA, EN LA VIGÉSIMO QUINTA SESIÓN ORDINARIA CELEBRADA EL CUATRO DE JULIO </w:t>
      </w:r>
      <w:r>
        <w:rPr>
          <w:rFonts w:ascii="Palatino Linotype" w:hAnsi="Palatino Linotype" w:cs="Arial"/>
          <w:sz w:val="24"/>
          <w:szCs w:val="24"/>
        </w:rPr>
        <w:t>DE DOS MIL DIECINUEVE, ANTE EL SECRETARIO TÉCNICO DEL PLENO, ALEXIS TAPIA RA</w:t>
      </w:r>
      <w:r w:rsidR="008A5E77">
        <w:rPr>
          <w:rFonts w:ascii="Palatino Linotype" w:hAnsi="Palatino Linotype" w:cs="Arial"/>
          <w:sz w:val="24"/>
          <w:szCs w:val="24"/>
        </w:rPr>
        <w:t>MÍREZ.------------------------</w:t>
      </w:r>
      <w:r>
        <w:rPr>
          <w:rFonts w:ascii="Palatino Linotype" w:hAnsi="Palatino Linotype" w:cs="Arial"/>
          <w:sz w:val="24"/>
          <w:szCs w:val="24"/>
        </w:rPr>
        <w:t>--------------------------------------------------------------------------</w:t>
      </w:r>
      <w:r w:rsidR="00262495">
        <w:rPr>
          <w:rFonts w:ascii="Palatino Linotype" w:hAnsi="Palatino Linotype" w:cs="Arial"/>
          <w:sz w:val="24"/>
          <w:szCs w:val="24"/>
        </w:rPr>
        <w:t>----------------------------------------------------------------------------------------------------------------------------------------------------------------------------------------------------------------------------------------------------------------------------------------------------------------------------------------------------------------------------------------------------</w:t>
      </w:r>
      <w:r w:rsidR="006B7A5D">
        <w:rPr>
          <w:rFonts w:ascii="Palatino Linotype" w:hAnsi="Palatino Linotype" w:cs="Arial"/>
          <w:sz w:val="24"/>
          <w:szCs w:val="24"/>
        </w:rPr>
        <w:t>------------------</w:t>
      </w:r>
      <w:r w:rsidR="00262495">
        <w:rPr>
          <w:rFonts w:ascii="Palatino Linotype" w:hAnsi="Palatino Linotype" w:cs="Arial"/>
          <w:sz w:val="24"/>
          <w:szCs w:val="24"/>
        </w:rPr>
        <w:t>----------------------------------------------------------------------------------------------------------------------------------------------------------------------------------------------------------------------------------------------------------------------------------------------------------------------------------------------------------------------------</w:t>
      </w:r>
    </w:p>
    <w:p w:rsidR="006B7A5D" w:rsidRDefault="006B7A5D" w:rsidP="00A459D0">
      <w:pPr>
        <w:spacing w:before="240"/>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p>
    <w:p w:rsidR="00A459D0" w:rsidRDefault="006B7A5D" w:rsidP="00A459D0">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margin">
                  <wp:align>center</wp:align>
                </wp:positionH>
                <wp:positionV relativeFrom="paragraph">
                  <wp:posOffset>58552</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0;margin-top:4.6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margin"/>
              </v:shape>
            </w:pict>
          </mc:Fallback>
        </mc:AlternateContent>
      </w: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6B7A5D" w:rsidRDefault="006B7A5D"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262495">
        <w:rPr>
          <w:rFonts w:ascii="Palatino Linotype" w:hAnsi="Palatino Linotype" w:cs="Arial"/>
          <w:sz w:val="16"/>
          <w:szCs w:val="16"/>
        </w:rPr>
        <w:t>cuatro de julio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8A5E77">
        <w:rPr>
          <w:rFonts w:ascii="Palatino Linotype" w:hAnsi="Palatino Linotype" w:cs="Arial"/>
          <w:bCs/>
          <w:sz w:val="16"/>
          <w:szCs w:val="16"/>
          <w:lang w:eastAsia="es-MX"/>
        </w:rPr>
        <w:t>0</w:t>
      </w:r>
      <w:r w:rsidR="00262495">
        <w:rPr>
          <w:rFonts w:ascii="Palatino Linotype" w:hAnsi="Palatino Linotype" w:cs="Arial"/>
          <w:bCs/>
          <w:sz w:val="16"/>
          <w:szCs w:val="16"/>
          <w:lang w:eastAsia="es-MX"/>
        </w:rPr>
        <w:t>2940</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C37" w:rsidRDefault="00052C37" w:rsidP="00E15E85">
      <w:pPr>
        <w:spacing w:after="0" w:line="240" w:lineRule="auto"/>
      </w:pPr>
      <w:r>
        <w:separator/>
      </w:r>
    </w:p>
  </w:endnote>
  <w:endnote w:type="continuationSeparator" w:id="0">
    <w:p w:rsidR="00052C37" w:rsidRDefault="00052C37"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27225">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27225">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24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249E">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C37" w:rsidRDefault="00052C37" w:rsidP="00E15E85">
      <w:pPr>
        <w:spacing w:after="0" w:line="240" w:lineRule="auto"/>
      </w:pPr>
      <w:r>
        <w:separator/>
      </w:r>
    </w:p>
  </w:footnote>
  <w:footnote w:type="continuationSeparator" w:id="0">
    <w:p w:rsidR="00052C37" w:rsidRDefault="00052C37"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r w:rsidRPr="00F926EA">
        <w:rPr>
          <w:rStyle w:val="Hipervnculo"/>
          <w:rFonts w:ascii="Palatino Linotype" w:hAnsi="Palatino Linotype"/>
          <w:i/>
          <w:sz w:val="16"/>
          <w:szCs w:val="16"/>
        </w:rPr>
        <w:t>73 y 74 de la Ley de Amparo</w:t>
      </w:r>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r w:rsidRPr="00F926EA">
        <w:rPr>
          <w:rStyle w:val="Hipervnculo"/>
          <w:rFonts w:ascii="Palatino Linotype" w:hAnsi="Palatino Linotype"/>
          <w:i/>
          <w:sz w:val="16"/>
          <w:szCs w:val="16"/>
        </w:rPr>
        <w:t>25.1 de la Convención Americana sobre Derechos Humanos</w:t>
      </w:r>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B4558" w:rsidRPr="00B75941" w:rsidRDefault="00AB4558" w:rsidP="00AB4558">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rsidR="00AB4558" w:rsidRPr="008C55A3" w:rsidRDefault="00AB4558" w:rsidP="00AB4558">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rsidR="00AB4558" w:rsidRPr="008C55A3" w:rsidRDefault="00AB4558" w:rsidP="00AB4558">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E15E85" w:rsidRPr="00D56BC3" w:rsidRDefault="00192E3E" w:rsidP="0050790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02940</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92E3E" w:rsidRDefault="00192E3E" w:rsidP="00E15E85">
          <w:pPr>
            <w:spacing w:after="120" w:line="256" w:lineRule="auto"/>
            <w:ind w:left="-486" w:right="214" w:firstLine="284"/>
            <w:jc w:val="right"/>
            <w:rPr>
              <w:rFonts w:ascii="Palatino Linotype" w:hAnsi="Palatino Linotype" w:cs="Arial"/>
              <w:szCs w:val="20"/>
            </w:rPr>
          </w:pPr>
          <w:r w:rsidRPr="00192E3E">
            <w:rPr>
              <w:rFonts w:ascii="Palatino Linotype" w:hAnsi="Palatino Linotype" w:cs="Arial"/>
              <w:szCs w:val="20"/>
            </w:rPr>
            <w:t xml:space="preserve">Colegio de Bachilleres del Estado de </w:t>
          </w:r>
        </w:p>
        <w:p w:rsidR="00E15E85" w:rsidRDefault="00192E3E" w:rsidP="00E15E85">
          <w:pPr>
            <w:spacing w:after="120" w:line="256" w:lineRule="auto"/>
            <w:ind w:left="-486" w:right="214" w:firstLine="284"/>
            <w:jc w:val="right"/>
            <w:rPr>
              <w:rFonts w:ascii="Palatino Linotype" w:hAnsi="Palatino Linotype" w:cs="Arial"/>
              <w:szCs w:val="20"/>
            </w:rPr>
          </w:pPr>
          <w:r w:rsidRPr="00192E3E">
            <w:rPr>
              <w:rFonts w:ascii="Palatino Linotype" w:hAnsi="Palatino Linotype" w:cs="Arial"/>
              <w:szCs w:val="20"/>
            </w:rPr>
            <w:t>México</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E15E85" w:rsidRPr="00B4142F" w:rsidRDefault="004803ED" w:rsidP="00113B53">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192E3E">
            <w:rPr>
              <w:rFonts w:ascii="Palatino Linotype" w:hAnsi="Palatino Linotype" w:cs="Arial"/>
              <w:bCs/>
              <w:sz w:val="24"/>
              <w:lang w:eastAsia="es-MX"/>
            </w:rPr>
            <w:t>2940</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7C374C"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192E3E" w:rsidP="001005C7">
          <w:pPr>
            <w:spacing w:after="120" w:line="256" w:lineRule="auto"/>
            <w:ind w:left="-495" w:right="214" w:firstLine="567"/>
            <w:jc w:val="right"/>
            <w:rPr>
              <w:rFonts w:ascii="Palatino Linotype" w:hAnsi="Palatino Linotype" w:cs="Arial"/>
              <w:szCs w:val="20"/>
            </w:rPr>
          </w:pPr>
          <w:r w:rsidRPr="00192E3E">
            <w:rPr>
              <w:rFonts w:ascii="Palatino Linotype" w:hAnsi="Palatino Linotype" w:cs="Arial"/>
              <w:szCs w:val="20"/>
            </w:rPr>
            <w:t>Colegio de Bachilleres del Estado de México</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33E2D"/>
    <w:multiLevelType w:val="hybridMultilevel"/>
    <w:tmpl w:val="6D806438"/>
    <w:lvl w:ilvl="0" w:tplc="4B383A78">
      <w:start w:val="1"/>
      <w:numFmt w:val="decimal"/>
      <w:lvlText w:val="%1."/>
      <w:lvlJc w:val="left"/>
      <w:pPr>
        <w:ind w:left="360" w:hanging="360"/>
      </w:pPr>
      <w:rPr>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FA00F24"/>
    <w:multiLevelType w:val="hybridMultilevel"/>
    <w:tmpl w:val="C0AC107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0B20C0"/>
    <w:multiLevelType w:val="hybridMultilevel"/>
    <w:tmpl w:val="0798CD9A"/>
    <w:lvl w:ilvl="0" w:tplc="4E1624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D15322"/>
    <w:multiLevelType w:val="hybridMultilevel"/>
    <w:tmpl w:val="6D806438"/>
    <w:lvl w:ilvl="0" w:tplc="4B383A78">
      <w:start w:val="1"/>
      <w:numFmt w:val="decimal"/>
      <w:lvlText w:val="%1."/>
      <w:lvlJc w:val="left"/>
      <w:pPr>
        <w:ind w:left="1428" w:hanging="360"/>
      </w:pPr>
      <w:rPr>
        <w:sz w:val="22"/>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15:restartNumberingAfterBreak="0">
    <w:nsid w:val="55487350"/>
    <w:multiLevelType w:val="hybridMultilevel"/>
    <w:tmpl w:val="6D806438"/>
    <w:lvl w:ilvl="0" w:tplc="4B383A78">
      <w:start w:val="1"/>
      <w:numFmt w:val="decimal"/>
      <w:lvlText w:val="%1."/>
      <w:lvlJc w:val="left"/>
      <w:pPr>
        <w:ind w:left="1428" w:hanging="360"/>
      </w:pPr>
      <w:rPr>
        <w:sz w:val="22"/>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157DB9"/>
    <w:multiLevelType w:val="hybridMultilevel"/>
    <w:tmpl w:val="18640776"/>
    <w:numStyleLink w:val="Estiloimportado2"/>
  </w:abstractNum>
  <w:abstractNum w:abstractNumId="19" w15:restartNumberingAfterBreak="0">
    <w:nsid w:val="5F672F1C"/>
    <w:multiLevelType w:val="hybridMultilevel"/>
    <w:tmpl w:val="D870E57E"/>
    <w:lvl w:ilvl="0" w:tplc="BB3A4002">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0"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537BFA"/>
    <w:multiLevelType w:val="hybridMultilevel"/>
    <w:tmpl w:val="F1D06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2"/>
  </w:num>
  <w:num w:numId="2">
    <w:abstractNumId w:val="4"/>
  </w:num>
  <w:num w:numId="3">
    <w:abstractNumId w:val="16"/>
  </w:num>
  <w:num w:numId="4">
    <w:abstractNumId w:val="8"/>
  </w:num>
  <w:num w:numId="5">
    <w:abstractNumId w:val="18"/>
  </w:num>
  <w:num w:numId="6">
    <w:abstractNumId w:val="5"/>
  </w:num>
  <w:num w:numId="7">
    <w:abstractNumId w:val="24"/>
  </w:num>
  <w:num w:numId="8">
    <w:abstractNumId w:val="11"/>
  </w:num>
  <w:num w:numId="9">
    <w:abstractNumId w:val="6"/>
  </w:num>
  <w:num w:numId="10">
    <w:abstractNumId w:val="23"/>
  </w:num>
  <w:num w:numId="11">
    <w:abstractNumId w:val="7"/>
  </w:num>
  <w:num w:numId="12">
    <w:abstractNumId w:val="10"/>
  </w:num>
  <w:num w:numId="13">
    <w:abstractNumId w:val="1"/>
  </w:num>
  <w:num w:numId="14">
    <w:abstractNumId w:val="0"/>
  </w:num>
  <w:num w:numId="15">
    <w:abstractNumId w:val="3"/>
  </w:num>
  <w:num w:numId="16">
    <w:abstractNumId w:val="20"/>
  </w:num>
  <w:num w:numId="17">
    <w:abstractNumId w:val="12"/>
  </w:num>
  <w:num w:numId="18">
    <w:abstractNumId w:val="19"/>
  </w:num>
  <w:num w:numId="19">
    <w:abstractNumId w:val="13"/>
  </w:num>
  <w:num w:numId="20">
    <w:abstractNumId w:val="15"/>
  </w:num>
  <w:num w:numId="21">
    <w:abstractNumId w:val="9"/>
  </w:num>
  <w:num w:numId="22">
    <w:abstractNumId w:val="14"/>
  </w:num>
  <w:num w:numId="23">
    <w:abstractNumId w:val="21"/>
  </w:num>
  <w:num w:numId="24">
    <w:abstractNumId w:val="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245E"/>
    <w:rsid w:val="00026904"/>
    <w:rsid w:val="00027EBB"/>
    <w:rsid w:val="0003050E"/>
    <w:rsid w:val="00035F8F"/>
    <w:rsid w:val="00041425"/>
    <w:rsid w:val="00046E4C"/>
    <w:rsid w:val="0004795A"/>
    <w:rsid w:val="00052B19"/>
    <w:rsid w:val="00052C37"/>
    <w:rsid w:val="00053ED1"/>
    <w:rsid w:val="00062CBD"/>
    <w:rsid w:val="00073973"/>
    <w:rsid w:val="00074A99"/>
    <w:rsid w:val="00076643"/>
    <w:rsid w:val="00082DF3"/>
    <w:rsid w:val="00091D98"/>
    <w:rsid w:val="000C22EC"/>
    <w:rsid w:val="000C59EE"/>
    <w:rsid w:val="000F019E"/>
    <w:rsid w:val="001005C7"/>
    <w:rsid w:val="00113B53"/>
    <w:rsid w:val="0011750A"/>
    <w:rsid w:val="001225D7"/>
    <w:rsid w:val="0012266D"/>
    <w:rsid w:val="00130D58"/>
    <w:rsid w:val="0013463F"/>
    <w:rsid w:val="00152B26"/>
    <w:rsid w:val="0015550A"/>
    <w:rsid w:val="00171BD5"/>
    <w:rsid w:val="0017548E"/>
    <w:rsid w:val="00183623"/>
    <w:rsid w:val="00184E70"/>
    <w:rsid w:val="00192E3E"/>
    <w:rsid w:val="001B066D"/>
    <w:rsid w:val="001B3E5E"/>
    <w:rsid w:val="001C28D0"/>
    <w:rsid w:val="001C3E01"/>
    <w:rsid w:val="001C3F41"/>
    <w:rsid w:val="001C7069"/>
    <w:rsid w:val="001F0EE2"/>
    <w:rsid w:val="001F5D0E"/>
    <w:rsid w:val="002052F6"/>
    <w:rsid w:val="00217E99"/>
    <w:rsid w:val="00223C2F"/>
    <w:rsid w:val="00224181"/>
    <w:rsid w:val="00233D51"/>
    <w:rsid w:val="00240133"/>
    <w:rsid w:val="00253101"/>
    <w:rsid w:val="002606F0"/>
    <w:rsid w:val="00261260"/>
    <w:rsid w:val="00262495"/>
    <w:rsid w:val="0026534C"/>
    <w:rsid w:val="002677ED"/>
    <w:rsid w:val="00273570"/>
    <w:rsid w:val="0028577D"/>
    <w:rsid w:val="00287512"/>
    <w:rsid w:val="002902D7"/>
    <w:rsid w:val="00294D34"/>
    <w:rsid w:val="002A1820"/>
    <w:rsid w:val="002A30B2"/>
    <w:rsid w:val="002A6F17"/>
    <w:rsid w:val="002B067A"/>
    <w:rsid w:val="002B144D"/>
    <w:rsid w:val="002B18B0"/>
    <w:rsid w:val="002B7CD8"/>
    <w:rsid w:val="002C1EC5"/>
    <w:rsid w:val="002D7317"/>
    <w:rsid w:val="003011A8"/>
    <w:rsid w:val="003034F4"/>
    <w:rsid w:val="00307041"/>
    <w:rsid w:val="00307F6B"/>
    <w:rsid w:val="00317581"/>
    <w:rsid w:val="00317B8A"/>
    <w:rsid w:val="0032155B"/>
    <w:rsid w:val="003245F2"/>
    <w:rsid w:val="00330A95"/>
    <w:rsid w:val="003341B0"/>
    <w:rsid w:val="00334E11"/>
    <w:rsid w:val="00342A59"/>
    <w:rsid w:val="003452FA"/>
    <w:rsid w:val="0034696E"/>
    <w:rsid w:val="003470B1"/>
    <w:rsid w:val="003474F2"/>
    <w:rsid w:val="0035772D"/>
    <w:rsid w:val="00357BFC"/>
    <w:rsid w:val="00367986"/>
    <w:rsid w:val="0037311B"/>
    <w:rsid w:val="0038130C"/>
    <w:rsid w:val="00384AC7"/>
    <w:rsid w:val="00385299"/>
    <w:rsid w:val="00385767"/>
    <w:rsid w:val="0039084D"/>
    <w:rsid w:val="003B465B"/>
    <w:rsid w:val="003C063F"/>
    <w:rsid w:val="003C5897"/>
    <w:rsid w:val="004254FE"/>
    <w:rsid w:val="00437C82"/>
    <w:rsid w:val="004803ED"/>
    <w:rsid w:val="00492244"/>
    <w:rsid w:val="004A2BFB"/>
    <w:rsid w:val="004C3693"/>
    <w:rsid w:val="004D646B"/>
    <w:rsid w:val="004E6DB3"/>
    <w:rsid w:val="004F05B2"/>
    <w:rsid w:val="00507903"/>
    <w:rsid w:val="00523067"/>
    <w:rsid w:val="00527856"/>
    <w:rsid w:val="00527C6A"/>
    <w:rsid w:val="005329E8"/>
    <w:rsid w:val="005733EB"/>
    <w:rsid w:val="0057576D"/>
    <w:rsid w:val="00576C26"/>
    <w:rsid w:val="0057783E"/>
    <w:rsid w:val="005820BF"/>
    <w:rsid w:val="005E283C"/>
    <w:rsid w:val="005E3248"/>
    <w:rsid w:val="005E6786"/>
    <w:rsid w:val="00611799"/>
    <w:rsid w:val="00614FDD"/>
    <w:rsid w:val="00616784"/>
    <w:rsid w:val="00622E12"/>
    <w:rsid w:val="00625D87"/>
    <w:rsid w:val="0063059F"/>
    <w:rsid w:val="00631B59"/>
    <w:rsid w:val="00653B08"/>
    <w:rsid w:val="00654B56"/>
    <w:rsid w:val="00673CFD"/>
    <w:rsid w:val="00684B9D"/>
    <w:rsid w:val="006A08BA"/>
    <w:rsid w:val="006B2E10"/>
    <w:rsid w:val="006B7A5D"/>
    <w:rsid w:val="006C1A4F"/>
    <w:rsid w:val="006C7125"/>
    <w:rsid w:val="006F2EA8"/>
    <w:rsid w:val="00707CD8"/>
    <w:rsid w:val="0071620F"/>
    <w:rsid w:val="0071745A"/>
    <w:rsid w:val="00727225"/>
    <w:rsid w:val="0073338B"/>
    <w:rsid w:val="00740AC8"/>
    <w:rsid w:val="00755099"/>
    <w:rsid w:val="007654BC"/>
    <w:rsid w:val="0079194D"/>
    <w:rsid w:val="007A0267"/>
    <w:rsid w:val="007B0541"/>
    <w:rsid w:val="007C1445"/>
    <w:rsid w:val="007C374C"/>
    <w:rsid w:val="007C64C1"/>
    <w:rsid w:val="007D0B2C"/>
    <w:rsid w:val="007D21C9"/>
    <w:rsid w:val="007D276C"/>
    <w:rsid w:val="007D2D7F"/>
    <w:rsid w:val="007D48FA"/>
    <w:rsid w:val="007D59B4"/>
    <w:rsid w:val="007D62B3"/>
    <w:rsid w:val="007D7D39"/>
    <w:rsid w:val="007E2959"/>
    <w:rsid w:val="00802C45"/>
    <w:rsid w:val="008158D8"/>
    <w:rsid w:val="00822061"/>
    <w:rsid w:val="00845C1C"/>
    <w:rsid w:val="00852141"/>
    <w:rsid w:val="00872278"/>
    <w:rsid w:val="00875499"/>
    <w:rsid w:val="0087560D"/>
    <w:rsid w:val="00881CA4"/>
    <w:rsid w:val="00881D0D"/>
    <w:rsid w:val="008A12F6"/>
    <w:rsid w:val="008A5E77"/>
    <w:rsid w:val="008B34EC"/>
    <w:rsid w:val="008D6D31"/>
    <w:rsid w:val="008E0E21"/>
    <w:rsid w:val="008E5141"/>
    <w:rsid w:val="008E7408"/>
    <w:rsid w:val="008F7A52"/>
    <w:rsid w:val="009306B4"/>
    <w:rsid w:val="00943223"/>
    <w:rsid w:val="0094613F"/>
    <w:rsid w:val="009472E2"/>
    <w:rsid w:val="00950056"/>
    <w:rsid w:val="0095353F"/>
    <w:rsid w:val="00980401"/>
    <w:rsid w:val="009838CD"/>
    <w:rsid w:val="00991CC2"/>
    <w:rsid w:val="00994336"/>
    <w:rsid w:val="00997030"/>
    <w:rsid w:val="00997051"/>
    <w:rsid w:val="009A45B6"/>
    <w:rsid w:val="009A4C2C"/>
    <w:rsid w:val="009B76BF"/>
    <w:rsid w:val="009C75A5"/>
    <w:rsid w:val="009E3B36"/>
    <w:rsid w:val="009F7948"/>
    <w:rsid w:val="00A07975"/>
    <w:rsid w:val="00A209C7"/>
    <w:rsid w:val="00A30977"/>
    <w:rsid w:val="00A459D0"/>
    <w:rsid w:val="00A45C8D"/>
    <w:rsid w:val="00A70873"/>
    <w:rsid w:val="00A90249"/>
    <w:rsid w:val="00A9298D"/>
    <w:rsid w:val="00A92C85"/>
    <w:rsid w:val="00A948EF"/>
    <w:rsid w:val="00AA2CB1"/>
    <w:rsid w:val="00AB29CF"/>
    <w:rsid w:val="00AB4558"/>
    <w:rsid w:val="00AC1D50"/>
    <w:rsid w:val="00AC1F78"/>
    <w:rsid w:val="00AF15FD"/>
    <w:rsid w:val="00AF385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4369"/>
    <w:rsid w:val="00B9249E"/>
    <w:rsid w:val="00BA2458"/>
    <w:rsid w:val="00BA2CFA"/>
    <w:rsid w:val="00BA68FA"/>
    <w:rsid w:val="00BC1280"/>
    <w:rsid w:val="00BC1C0A"/>
    <w:rsid w:val="00BC4EF7"/>
    <w:rsid w:val="00BC59B2"/>
    <w:rsid w:val="00C16071"/>
    <w:rsid w:val="00C203E8"/>
    <w:rsid w:val="00C23151"/>
    <w:rsid w:val="00C24DBE"/>
    <w:rsid w:val="00C25BA8"/>
    <w:rsid w:val="00C3114B"/>
    <w:rsid w:val="00C56C4E"/>
    <w:rsid w:val="00C61C1C"/>
    <w:rsid w:val="00C6478B"/>
    <w:rsid w:val="00C64C22"/>
    <w:rsid w:val="00C66E70"/>
    <w:rsid w:val="00C80AEF"/>
    <w:rsid w:val="00CA06BF"/>
    <w:rsid w:val="00CA6DA1"/>
    <w:rsid w:val="00CD4B02"/>
    <w:rsid w:val="00CF70F3"/>
    <w:rsid w:val="00D120B9"/>
    <w:rsid w:val="00D24D6B"/>
    <w:rsid w:val="00D5302E"/>
    <w:rsid w:val="00D5453E"/>
    <w:rsid w:val="00D56BC3"/>
    <w:rsid w:val="00D614E0"/>
    <w:rsid w:val="00D67629"/>
    <w:rsid w:val="00D70FE3"/>
    <w:rsid w:val="00D8458D"/>
    <w:rsid w:val="00D8485C"/>
    <w:rsid w:val="00D9010D"/>
    <w:rsid w:val="00D95936"/>
    <w:rsid w:val="00DA60C0"/>
    <w:rsid w:val="00DB584E"/>
    <w:rsid w:val="00DC3B85"/>
    <w:rsid w:val="00DD13E2"/>
    <w:rsid w:val="00DE1E27"/>
    <w:rsid w:val="00DF16C4"/>
    <w:rsid w:val="00DF6F40"/>
    <w:rsid w:val="00E00AE3"/>
    <w:rsid w:val="00E052BA"/>
    <w:rsid w:val="00E104FD"/>
    <w:rsid w:val="00E10DEE"/>
    <w:rsid w:val="00E11EFA"/>
    <w:rsid w:val="00E14924"/>
    <w:rsid w:val="00E158AD"/>
    <w:rsid w:val="00E15E85"/>
    <w:rsid w:val="00E16AC8"/>
    <w:rsid w:val="00E17FF5"/>
    <w:rsid w:val="00E221C1"/>
    <w:rsid w:val="00E30AF5"/>
    <w:rsid w:val="00E34874"/>
    <w:rsid w:val="00E372DA"/>
    <w:rsid w:val="00E44464"/>
    <w:rsid w:val="00E85DB7"/>
    <w:rsid w:val="00E872CE"/>
    <w:rsid w:val="00E87E34"/>
    <w:rsid w:val="00E92E34"/>
    <w:rsid w:val="00EA018A"/>
    <w:rsid w:val="00EA0D06"/>
    <w:rsid w:val="00EA4B96"/>
    <w:rsid w:val="00EB0246"/>
    <w:rsid w:val="00EC601F"/>
    <w:rsid w:val="00ED3DC4"/>
    <w:rsid w:val="00ED466F"/>
    <w:rsid w:val="00EE5CB5"/>
    <w:rsid w:val="00EF2AE9"/>
    <w:rsid w:val="00F21A2E"/>
    <w:rsid w:val="00F433DC"/>
    <w:rsid w:val="00F73914"/>
    <w:rsid w:val="00F77F57"/>
    <w:rsid w:val="00F812A0"/>
    <w:rsid w:val="00F926EA"/>
    <w:rsid w:val="00F9756D"/>
    <w:rsid w:val="00FA1D2B"/>
    <w:rsid w:val="00FA7F47"/>
    <w:rsid w:val="00FB03AC"/>
    <w:rsid w:val="00FB0756"/>
    <w:rsid w:val="00FC145E"/>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table" w:styleId="Tablaconcuadrcula">
    <w:name w:val="Table Grid"/>
    <w:basedOn w:val="Tablanormal"/>
    <w:uiPriority w:val="39"/>
    <w:rsid w:val="00FB0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24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24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85143155">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672802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72756478">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85744720">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53789635">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64992204">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62465438">
      <w:bodyDiv w:val="1"/>
      <w:marLeft w:val="0"/>
      <w:marRight w:val="0"/>
      <w:marTop w:val="0"/>
      <w:marBottom w:val="0"/>
      <w:divBdr>
        <w:top w:val="none" w:sz="0" w:space="0" w:color="auto"/>
        <w:left w:val="none" w:sz="0" w:space="0" w:color="auto"/>
        <w:bottom w:val="none" w:sz="0" w:space="0" w:color="auto"/>
        <w:right w:val="none" w:sz="0" w:space="0" w:color="auto"/>
      </w:divBdr>
    </w:div>
    <w:div w:id="189323151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31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9037E-B575-4B13-835B-D2F1A203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3858</TotalTime>
  <Pages>28</Pages>
  <Words>5244</Words>
  <Characters>28847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28</cp:revision>
  <cp:lastPrinted>2019-07-04T16:01:00Z</cp:lastPrinted>
  <dcterms:created xsi:type="dcterms:W3CDTF">2019-01-22T19:49:00Z</dcterms:created>
  <dcterms:modified xsi:type="dcterms:W3CDTF">2019-08-21T16:43:00Z</dcterms:modified>
</cp:coreProperties>
</file>