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32" w:rsidRDefault="009E22D2" w:rsidP="004037FF">
      <w:pPr>
        <w:widowControl w:val="0"/>
        <w:spacing w:before="100" w:beforeAutospacing="1" w:after="100" w:afterAutospacing="1" w:line="360" w:lineRule="auto"/>
        <w:ind w:right="-164"/>
        <w:jc w:val="both"/>
        <w:rPr>
          <w:rFonts w:ascii="Palatino Linotype" w:hAnsi="Palatino Linotype" w:cs="Arial"/>
          <w:b/>
        </w:rPr>
      </w:pPr>
      <w:r w:rsidRPr="00D1093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10932" w:rsidRPr="00D10932">
        <w:rPr>
          <w:rFonts w:ascii="Palatino Linotype" w:hAnsi="Palatino Linotype" w:cs="Arial"/>
          <w:b/>
        </w:rPr>
        <w:t xml:space="preserve">TRIGÉSIMA </w:t>
      </w:r>
      <w:r w:rsidR="004037FF">
        <w:rPr>
          <w:rFonts w:ascii="Palatino Linotype" w:hAnsi="Palatino Linotype" w:cs="Arial"/>
          <w:b/>
        </w:rPr>
        <w:t xml:space="preserve">TERCERA SESIÓN ORDINARIA, </w:t>
      </w:r>
      <w:r w:rsidR="0066455B">
        <w:rPr>
          <w:rFonts w:ascii="Palatino Linotype" w:hAnsi="Palatino Linotype" w:cs="Arial"/>
          <w:b/>
        </w:rPr>
        <w:t xml:space="preserve">DE ONCE DE SEPTIEMBRE </w:t>
      </w:r>
      <w:r w:rsidR="00D10932" w:rsidRPr="00D10932">
        <w:rPr>
          <w:rFonts w:ascii="Palatino Linotype" w:hAnsi="Palatino Linotype" w:cs="Arial"/>
          <w:b/>
        </w:rPr>
        <w:t xml:space="preserve">DE DOS </w:t>
      </w:r>
      <w:r w:rsidRPr="00D10932">
        <w:rPr>
          <w:rFonts w:ascii="Palatino Linotype" w:hAnsi="Palatino Linotype" w:cs="Arial"/>
          <w:b/>
        </w:rPr>
        <w:t xml:space="preserve">MIL </w:t>
      </w:r>
      <w:r w:rsidR="0066455B">
        <w:rPr>
          <w:rFonts w:ascii="Palatino Linotype" w:hAnsi="Palatino Linotype" w:cs="Arial"/>
          <w:b/>
        </w:rPr>
        <w:t>DIECINUEVE</w:t>
      </w:r>
      <w:r w:rsidR="00B3668D" w:rsidRPr="00D10932">
        <w:rPr>
          <w:rFonts w:ascii="Palatino Linotype" w:hAnsi="Palatino Linotype" w:cs="Arial"/>
          <w:b/>
        </w:rPr>
        <w:t xml:space="preserve">, EN </w:t>
      </w:r>
      <w:r w:rsidR="004037FF">
        <w:rPr>
          <w:rFonts w:ascii="Palatino Linotype" w:hAnsi="Palatino Linotype" w:cs="Arial"/>
          <w:b/>
        </w:rPr>
        <w:t>LOS</w:t>
      </w:r>
      <w:r w:rsidRPr="00D10932">
        <w:rPr>
          <w:rFonts w:ascii="Palatino Linotype" w:hAnsi="Palatino Linotype" w:cs="Arial"/>
          <w:b/>
        </w:rPr>
        <w:t xml:space="preserve"> RECURSO</w:t>
      </w:r>
      <w:r w:rsidR="004037FF">
        <w:rPr>
          <w:rFonts w:ascii="Palatino Linotype" w:hAnsi="Palatino Linotype" w:cs="Arial"/>
          <w:b/>
        </w:rPr>
        <w:t>S</w:t>
      </w:r>
      <w:r w:rsidRPr="00D10932">
        <w:rPr>
          <w:rFonts w:ascii="Palatino Linotype" w:hAnsi="Palatino Linotype" w:cs="Arial"/>
          <w:b/>
        </w:rPr>
        <w:t xml:space="preserve"> DE REVISIÓN</w:t>
      </w:r>
      <w:r w:rsidR="00B3668D" w:rsidRPr="00D10932">
        <w:rPr>
          <w:rFonts w:ascii="Palatino Linotype" w:hAnsi="Palatino Linotype" w:cs="Arial"/>
          <w:b/>
        </w:rPr>
        <w:t xml:space="preserve"> </w:t>
      </w:r>
      <w:r w:rsidR="0066455B" w:rsidRPr="0066455B">
        <w:rPr>
          <w:rFonts w:ascii="Palatino Linotype" w:hAnsi="Palatino Linotype" w:cs="Arial"/>
          <w:b/>
        </w:rPr>
        <w:t xml:space="preserve">05233/INFOEM/IP/RR/2019 </w:t>
      </w:r>
      <w:r w:rsidR="0066455B">
        <w:rPr>
          <w:rFonts w:ascii="Palatino Linotype" w:hAnsi="Palatino Linotype" w:cs="Arial"/>
          <w:b/>
        </w:rPr>
        <w:t>Y</w:t>
      </w:r>
      <w:r w:rsidR="0066455B" w:rsidRPr="0066455B">
        <w:rPr>
          <w:rFonts w:ascii="Palatino Linotype" w:hAnsi="Palatino Linotype" w:cs="Arial"/>
          <w:b/>
        </w:rPr>
        <w:t xml:space="preserve"> 05334/INFOEM/IP/RR/2019</w:t>
      </w:r>
      <w:r w:rsidR="0066455B">
        <w:rPr>
          <w:rFonts w:ascii="Palatino Linotype" w:hAnsi="Palatino Linotype" w:cs="Arial"/>
          <w:b/>
        </w:rPr>
        <w:t xml:space="preserve"> ACUMULADOS</w:t>
      </w:r>
      <w:r w:rsidR="00D10932" w:rsidRPr="00D10932">
        <w:rPr>
          <w:rFonts w:ascii="Palatino Linotype" w:hAnsi="Palatino Linotype" w:cs="Arial"/>
          <w:b/>
        </w:rPr>
        <w:t>.</w:t>
      </w:r>
    </w:p>
    <w:p w:rsidR="009E22D2" w:rsidRDefault="009E22D2" w:rsidP="004037FF">
      <w:pPr>
        <w:widowControl w:val="0"/>
        <w:spacing w:before="100" w:beforeAutospacing="1" w:after="100" w:afterAutospacing="1" w:line="360" w:lineRule="auto"/>
        <w:ind w:right="-164"/>
        <w:jc w:val="both"/>
        <w:rPr>
          <w:rFonts w:ascii="Palatino Linotype" w:hAnsi="Palatino Linotype" w:cs="Arial"/>
        </w:rPr>
      </w:pPr>
      <w:r w:rsidRPr="00D10932">
        <w:rPr>
          <w:rFonts w:ascii="Palatino Linotype" w:hAnsi="Palatino Linotype" w:cs="Arial"/>
        </w:rPr>
        <w:t>Con fundamento en lo dispuesto por el artículo 14</w:t>
      </w:r>
      <w:r w:rsidR="00AF22AF" w:rsidRPr="00D10932">
        <w:rPr>
          <w:rFonts w:ascii="Palatino Linotype" w:hAnsi="Palatino Linotype" w:cs="Arial"/>
        </w:rPr>
        <w:t>,</w:t>
      </w:r>
      <w:r w:rsidRPr="00D10932">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D10932">
        <w:rPr>
          <w:rFonts w:ascii="Palatino Linotype" w:hAnsi="Palatino Linotype" w:cs="Arial"/>
          <w:b/>
          <w:lang w:val="es-ES_tradnl"/>
        </w:rPr>
        <w:t xml:space="preserve"> </w:t>
      </w:r>
      <w:r w:rsidRPr="00D10932">
        <w:rPr>
          <w:rFonts w:ascii="Palatino Linotype" w:hAnsi="Palatino Linotype" w:cs="Arial"/>
          <w:b/>
        </w:rPr>
        <w:t xml:space="preserve">EVA ABAID YAPUR </w:t>
      </w:r>
      <w:r w:rsidRPr="00D10932">
        <w:rPr>
          <w:rFonts w:ascii="Palatino Linotype" w:hAnsi="Palatino Linotype" w:cs="Arial"/>
        </w:rPr>
        <w:t xml:space="preserve">emite </w:t>
      </w:r>
      <w:r w:rsidRPr="00D10932">
        <w:rPr>
          <w:rFonts w:ascii="Palatino Linotype" w:hAnsi="Palatino Linotype" w:cs="Arial"/>
          <w:b/>
        </w:rPr>
        <w:t xml:space="preserve">VOTO PARTICULAR </w:t>
      </w:r>
      <w:r w:rsidRPr="00D10932">
        <w:rPr>
          <w:rFonts w:ascii="Palatino Linotype" w:hAnsi="Palatino Linotype" w:cs="Arial"/>
        </w:rPr>
        <w:t>respect</w:t>
      </w:r>
      <w:r w:rsidR="00B3668D" w:rsidRPr="00D10932">
        <w:rPr>
          <w:rFonts w:ascii="Palatino Linotype" w:hAnsi="Palatino Linotype" w:cs="Arial"/>
        </w:rPr>
        <w:t>o de la resolución dictada en los</w:t>
      </w:r>
      <w:r w:rsidRPr="00D10932">
        <w:rPr>
          <w:rFonts w:ascii="Palatino Linotype" w:hAnsi="Palatino Linotype" w:cs="Arial"/>
        </w:rPr>
        <w:t xml:space="preserve"> recurso</w:t>
      </w:r>
      <w:r w:rsidR="00B3668D" w:rsidRPr="00D10932">
        <w:rPr>
          <w:rFonts w:ascii="Palatino Linotype" w:hAnsi="Palatino Linotype" w:cs="Arial"/>
        </w:rPr>
        <w:t>s</w:t>
      </w:r>
      <w:r w:rsidRPr="00D10932">
        <w:rPr>
          <w:rFonts w:ascii="Palatino Linotype" w:hAnsi="Palatino Linotype" w:cs="Arial"/>
        </w:rPr>
        <w:t xml:space="preserve"> de revisión </w:t>
      </w:r>
      <w:r w:rsidR="0066455B" w:rsidRPr="0066455B">
        <w:rPr>
          <w:rFonts w:ascii="Palatino Linotype" w:hAnsi="Palatino Linotype" w:cs="Arial"/>
          <w:b/>
        </w:rPr>
        <w:t xml:space="preserve">05233/INFOEM/IP/RR/2019 </w:t>
      </w:r>
      <w:r w:rsidR="0066455B" w:rsidRPr="0066455B">
        <w:rPr>
          <w:rFonts w:ascii="Palatino Linotype" w:hAnsi="Palatino Linotype" w:cs="Arial"/>
        </w:rPr>
        <w:t>y</w:t>
      </w:r>
      <w:r w:rsidR="0066455B" w:rsidRPr="0066455B">
        <w:rPr>
          <w:rFonts w:ascii="Palatino Linotype" w:hAnsi="Palatino Linotype" w:cs="Arial"/>
          <w:b/>
        </w:rPr>
        <w:t xml:space="preserve"> 05334/INFOEM/IP/RR/2019 </w:t>
      </w:r>
      <w:r w:rsidR="0066455B" w:rsidRPr="0066455B">
        <w:rPr>
          <w:rFonts w:ascii="Palatino Linotype" w:hAnsi="Palatino Linotype" w:cs="Arial"/>
        </w:rPr>
        <w:t>acumulados</w:t>
      </w:r>
      <w:r w:rsidR="00D10932" w:rsidRPr="00D10932">
        <w:rPr>
          <w:rFonts w:ascii="Palatino Linotype" w:hAnsi="Palatino Linotype" w:cs="Arial"/>
          <w:b/>
        </w:rPr>
        <w:t xml:space="preserve">, </w:t>
      </w:r>
      <w:r w:rsidRPr="00D10932">
        <w:rPr>
          <w:rFonts w:ascii="Palatino Linotype" w:hAnsi="Palatino Linotype" w:cs="Arial"/>
        </w:rPr>
        <w:t>pronunciada por el Pleno de este Instituto</w:t>
      </w:r>
      <w:r w:rsidR="004037FF">
        <w:rPr>
          <w:rFonts w:ascii="Palatino Linotype" w:hAnsi="Palatino Linotype" w:cs="Arial"/>
        </w:rPr>
        <w:t>,</w:t>
      </w:r>
      <w:r w:rsidRPr="00D10932">
        <w:rPr>
          <w:rFonts w:ascii="Palatino Linotype" w:hAnsi="Palatino Linotype" w:cs="Arial"/>
        </w:rPr>
        <w:t xml:space="preserve"> ante el proyecto presentado por el Comisionado </w:t>
      </w:r>
      <w:r w:rsidR="00B3668D" w:rsidRPr="00D10932">
        <w:rPr>
          <w:rFonts w:ascii="Palatino Linotype" w:hAnsi="Palatino Linotype" w:cs="Arial"/>
          <w:b/>
        </w:rPr>
        <w:t>JOSÉ GUADALUPE LUNA HERNÁNDEZ</w:t>
      </w:r>
      <w:r w:rsidRPr="00D10932">
        <w:rPr>
          <w:rFonts w:ascii="Palatino Linotype" w:hAnsi="Palatino Linotype" w:cs="Arial"/>
        </w:rPr>
        <w:t>, que es del tenor siguiente.</w:t>
      </w:r>
    </w:p>
    <w:p w:rsidR="009E22D2" w:rsidRDefault="009E22D2" w:rsidP="004037FF">
      <w:pPr>
        <w:spacing w:before="100" w:beforeAutospacing="1" w:after="100" w:afterAutospacing="1" w:line="360" w:lineRule="auto"/>
        <w:jc w:val="both"/>
        <w:rPr>
          <w:rFonts w:ascii="Palatino Linotype" w:hAnsi="Palatino Linotype"/>
        </w:rPr>
      </w:pPr>
      <w:r w:rsidRPr="00D10932">
        <w:rPr>
          <w:rFonts w:ascii="Palatino Linotype" w:hAnsi="Palatino Linotype"/>
        </w:rPr>
        <w:t>Es de destacar, que la suscrita comparte esencialmente las causas que dieron origen a</w:t>
      </w:r>
      <w:r w:rsidR="00B3668D" w:rsidRPr="00D10932">
        <w:rPr>
          <w:rFonts w:ascii="Palatino Linotype" w:hAnsi="Palatino Linotype"/>
        </w:rPr>
        <w:t xml:space="preserve"> </w:t>
      </w:r>
      <w:r w:rsidRPr="00D10932">
        <w:rPr>
          <w:rFonts w:ascii="Palatino Linotype" w:hAnsi="Palatino Linotype"/>
        </w:rPr>
        <w:t>l</w:t>
      </w:r>
      <w:r w:rsidR="00B3668D" w:rsidRPr="00D10932">
        <w:rPr>
          <w:rFonts w:ascii="Palatino Linotype" w:hAnsi="Palatino Linotype"/>
        </w:rPr>
        <w:t>os</w:t>
      </w:r>
      <w:r w:rsidRPr="00D10932">
        <w:rPr>
          <w:rFonts w:ascii="Palatino Linotype" w:hAnsi="Palatino Linotype"/>
        </w:rPr>
        <w:t xml:space="preserve"> recurso</w:t>
      </w:r>
      <w:r w:rsidR="00B3668D" w:rsidRPr="00D10932">
        <w:rPr>
          <w:rFonts w:ascii="Palatino Linotype" w:hAnsi="Palatino Linotype"/>
        </w:rPr>
        <w:t>s</w:t>
      </w:r>
      <w:r w:rsidRPr="00D10932">
        <w:rPr>
          <w:rFonts w:ascii="Palatino Linotype" w:hAnsi="Palatino Linotype"/>
        </w:rPr>
        <w:t xml:space="preserve"> de revisión; empero, estimo necesario precisar algunas consi</w:t>
      </w:r>
      <w:r w:rsidR="00C026B8">
        <w:rPr>
          <w:rFonts w:ascii="Palatino Linotype" w:hAnsi="Palatino Linotype"/>
        </w:rPr>
        <w:t>deraciones de hecho y de derecho</w:t>
      </w:r>
      <w:r w:rsidRPr="00D10932">
        <w:rPr>
          <w:rFonts w:ascii="Palatino Linotype" w:hAnsi="Palatino Linotype"/>
        </w:rPr>
        <w:t>.</w:t>
      </w:r>
    </w:p>
    <w:p w:rsidR="008614DE" w:rsidRPr="008614DE" w:rsidRDefault="009E22D2" w:rsidP="004037FF">
      <w:pPr>
        <w:spacing w:before="100" w:beforeAutospacing="1" w:after="100" w:afterAutospacing="1" w:line="360" w:lineRule="auto"/>
        <w:jc w:val="both"/>
        <w:rPr>
          <w:rFonts w:ascii="Palatino Linotype" w:hAnsi="Palatino Linotype"/>
        </w:rPr>
      </w:pPr>
      <w:r w:rsidRPr="00D10932">
        <w:rPr>
          <w:rFonts w:ascii="Palatino Linotype" w:hAnsi="Palatino Linotype"/>
        </w:rPr>
        <w:t xml:space="preserve">Al respecto, tal y como quedó debidamente asentado en la resolución materia del presente voto, </w:t>
      </w:r>
      <w:r w:rsidR="004037FF">
        <w:rPr>
          <w:rFonts w:ascii="Palatino Linotype" w:hAnsi="Palatino Linotype"/>
        </w:rPr>
        <w:t>el</w:t>
      </w:r>
      <w:r w:rsidRPr="00D10932">
        <w:rPr>
          <w:rFonts w:ascii="Palatino Linotype" w:hAnsi="Palatino Linotype"/>
        </w:rPr>
        <w:t xml:space="preserve"> particular requirió del </w:t>
      </w:r>
      <w:r w:rsidR="00F70D0F" w:rsidRPr="00F70D0F">
        <w:rPr>
          <w:rFonts w:ascii="Palatino Linotype" w:hAnsi="Palatino Linotype"/>
          <w:b/>
        </w:rPr>
        <w:t xml:space="preserve">Sindicato de Maestros al Servicio del Estado </w:t>
      </w:r>
      <w:r w:rsidR="00F70D0F" w:rsidRPr="00F70D0F">
        <w:rPr>
          <w:rFonts w:ascii="Palatino Linotype" w:hAnsi="Palatino Linotype"/>
          <w:b/>
        </w:rPr>
        <w:lastRenderedPageBreak/>
        <w:t>de México</w:t>
      </w:r>
      <w:r w:rsidRPr="00D10932">
        <w:rPr>
          <w:rFonts w:ascii="Palatino Linotype" w:hAnsi="Palatino Linotype"/>
          <w:b/>
        </w:rPr>
        <w:t xml:space="preserve">, </w:t>
      </w:r>
      <w:r w:rsidRPr="00D10932">
        <w:rPr>
          <w:rFonts w:ascii="Palatino Linotype" w:hAnsi="Palatino Linotype"/>
        </w:rPr>
        <w:t xml:space="preserve">en lo sucesivo </w:t>
      </w:r>
      <w:r w:rsidRPr="00D10932">
        <w:rPr>
          <w:rFonts w:ascii="Palatino Linotype" w:hAnsi="Palatino Linotype"/>
          <w:b/>
        </w:rPr>
        <w:t>EL SUJETO OBLIGADO</w:t>
      </w:r>
      <w:r w:rsidR="008614DE" w:rsidRPr="008614DE">
        <w:rPr>
          <w:rFonts w:ascii="Palatino Linotype" w:hAnsi="Palatino Linotype"/>
        </w:rPr>
        <w:t>, la información que a continuación se desagrega:</w:t>
      </w:r>
    </w:p>
    <w:p w:rsidR="008614DE" w:rsidRDefault="004037FF" w:rsidP="006D77CC">
      <w:pPr>
        <w:ind w:left="709" w:right="760" w:hanging="142"/>
        <w:jc w:val="both"/>
        <w:rPr>
          <w:rFonts w:ascii="Palatino Linotype" w:hAnsi="Palatino Linotype"/>
          <w:i/>
          <w:sz w:val="22"/>
        </w:rPr>
      </w:pPr>
      <w:r>
        <w:rPr>
          <w:rFonts w:ascii="Palatino Linotype" w:hAnsi="Palatino Linotype"/>
          <w:i/>
          <w:sz w:val="22"/>
        </w:rPr>
        <w:t>“</w:t>
      </w:r>
      <w:r w:rsidR="008614DE" w:rsidRPr="008614DE">
        <w:rPr>
          <w:rFonts w:ascii="Palatino Linotype" w:hAnsi="Palatino Linotype"/>
          <w:i/>
          <w:sz w:val="22"/>
        </w:rPr>
        <w:t>a)</w:t>
      </w:r>
      <w:r w:rsidR="008614DE">
        <w:rPr>
          <w:rFonts w:ascii="Palatino Linotype" w:hAnsi="Palatino Linotype"/>
          <w:i/>
          <w:sz w:val="22"/>
        </w:rPr>
        <w:t xml:space="preserve"> </w:t>
      </w:r>
      <w:r w:rsidR="008614DE" w:rsidRPr="008614DE">
        <w:rPr>
          <w:rFonts w:ascii="Palatino Linotype" w:hAnsi="Palatino Linotype"/>
          <w:i/>
          <w:sz w:val="22"/>
        </w:rPr>
        <w:t xml:space="preserve">Copia del documento donde conste la cantidad de los recursos descontados a los maestros estatales desde su creación y hasta la fecha. Detallando los respectivos subtotales anuales de cada año y hasta la fecha. </w:t>
      </w:r>
    </w:p>
    <w:p w:rsidR="008614DE" w:rsidRDefault="008614DE" w:rsidP="004037FF">
      <w:pPr>
        <w:ind w:left="709" w:right="760"/>
        <w:jc w:val="both"/>
        <w:rPr>
          <w:rFonts w:ascii="Palatino Linotype" w:hAnsi="Palatino Linotype"/>
          <w:i/>
          <w:sz w:val="22"/>
        </w:rPr>
      </w:pPr>
      <w:r w:rsidRPr="008614DE">
        <w:rPr>
          <w:rFonts w:ascii="Palatino Linotype" w:hAnsi="Palatino Linotype"/>
          <w:i/>
          <w:sz w:val="22"/>
        </w:rPr>
        <w:t>b)</w:t>
      </w:r>
      <w:r>
        <w:rPr>
          <w:rFonts w:ascii="Palatino Linotype" w:hAnsi="Palatino Linotype"/>
          <w:i/>
          <w:sz w:val="22"/>
        </w:rPr>
        <w:t xml:space="preserve"> </w:t>
      </w:r>
      <w:r w:rsidRPr="008614DE">
        <w:rPr>
          <w:rFonts w:ascii="Palatino Linotype" w:hAnsi="Palatino Linotype"/>
          <w:i/>
          <w:sz w:val="22"/>
        </w:rPr>
        <w:t xml:space="preserve">Copia del documento donde consten los rendimientos financieros generados por dicho fondo durante toda su existencia, así como el instrumento o instrumentos financieros en los cuales ha estado invertido. Detallando los subtotales anuales de cada año. </w:t>
      </w:r>
    </w:p>
    <w:p w:rsidR="008614DE" w:rsidRDefault="008614DE" w:rsidP="004037FF">
      <w:pPr>
        <w:ind w:left="709" w:right="760"/>
        <w:jc w:val="both"/>
        <w:rPr>
          <w:rFonts w:ascii="Palatino Linotype" w:hAnsi="Palatino Linotype"/>
          <w:i/>
          <w:sz w:val="22"/>
        </w:rPr>
      </w:pPr>
      <w:r w:rsidRPr="008614DE">
        <w:rPr>
          <w:rFonts w:ascii="Palatino Linotype" w:hAnsi="Palatino Linotype"/>
          <w:i/>
          <w:sz w:val="22"/>
        </w:rPr>
        <w:t>c)</w:t>
      </w:r>
      <w:r>
        <w:rPr>
          <w:rFonts w:ascii="Palatino Linotype" w:hAnsi="Palatino Linotype"/>
          <w:i/>
          <w:sz w:val="22"/>
        </w:rPr>
        <w:t xml:space="preserve"> </w:t>
      </w:r>
      <w:r w:rsidRPr="008614DE">
        <w:rPr>
          <w:rFonts w:ascii="Palatino Linotype" w:hAnsi="Palatino Linotype"/>
          <w:i/>
          <w:sz w:val="22"/>
        </w:rPr>
        <w:t xml:space="preserve">Copia del documento donde conste cuántos maestros estatales han aportado a este fondo desde su creación y hasta la fecha, detallando los subtotales de cada año respectivo. Y también las cantidades aportadas, detallando los subtotales anuales. </w:t>
      </w:r>
    </w:p>
    <w:p w:rsidR="008614DE" w:rsidRDefault="008614DE" w:rsidP="004037FF">
      <w:pPr>
        <w:ind w:left="709" w:right="760"/>
        <w:jc w:val="both"/>
        <w:rPr>
          <w:rFonts w:ascii="Palatino Linotype" w:hAnsi="Palatino Linotype"/>
          <w:i/>
          <w:sz w:val="22"/>
        </w:rPr>
      </w:pPr>
      <w:r w:rsidRPr="008614DE">
        <w:rPr>
          <w:rFonts w:ascii="Palatino Linotype" w:hAnsi="Palatino Linotype"/>
          <w:i/>
          <w:sz w:val="22"/>
        </w:rPr>
        <w:t>d)</w:t>
      </w:r>
      <w:r>
        <w:rPr>
          <w:rFonts w:ascii="Palatino Linotype" w:hAnsi="Palatino Linotype"/>
          <w:i/>
          <w:sz w:val="22"/>
        </w:rPr>
        <w:t xml:space="preserve"> </w:t>
      </w:r>
      <w:r w:rsidRPr="008614DE">
        <w:rPr>
          <w:rFonts w:ascii="Palatino Linotype" w:hAnsi="Palatino Linotype"/>
          <w:i/>
          <w:sz w:val="22"/>
        </w:rPr>
        <w:t xml:space="preserve">Copia del documento donde conste cuál es la cantidad que ha sido entregada a los maestros estatales por concepto de este fondo, detallando los montos anuales por cada año y el número de maestros beneficiados por cada año, todo esto desde la creación de este fondo y hasta la fecha. </w:t>
      </w:r>
    </w:p>
    <w:p w:rsidR="00783F30" w:rsidRDefault="008614DE" w:rsidP="004037FF">
      <w:pPr>
        <w:ind w:left="709" w:right="760"/>
        <w:jc w:val="both"/>
        <w:rPr>
          <w:rFonts w:ascii="Palatino Linotype" w:hAnsi="Palatino Linotype"/>
          <w:i/>
          <w:sz w:val="22"/>
        </w:rPr>
      </w:pPr>
      <w:r w:rsidRPr="008614DE">
        <w:rPr>
          <w:rFonts w:ascii="Palatino Linotype" w:hAnsi="Palatino Linotype"/>
          <w:i/>
          <w:sz w:val="22"/>
        </w:rPr>
        <w:t>e)</w:t>
      </w:r>
      <w:r>
        <w:rPr>
          <w:rFonts w:ascii="Palatino Linotype" w:hAnsi="Palatino Linotype"/>
          <w:i/>
          <w:sz w:val="22"/>
        </w:rPr>
        <w:t xml:space="preserve"> </w:t>
      </w:r>
      <w:r w:rsidRPr="008614DE">
        <w:rPr>
          <w:rFonts w:ascii="Palatino Linotype" w:hAnsi="Palatino Linotype"/>
          <w:i/>
          <w:sz w:val="22"/>
        </w:rPr>
        <w:t>Copia del documento donde conste cuál es la cantidad que se les debe a los maestros estatales que ya deben recibir este fondo (de acuerdo a la normatividad y trámites realizados), así como el número total de maestros a los cuales se les debe este fondo o que no se les ha entregado a pesar de ya haber realizado todos los trámites necesarios.</w:t>
      </w:r>
      <w:r w:rsidR="004037FF">
        <w:rPr>
          <w:rFonts w:ascii="Palatino Linotype" w:hAnsi="Palatino Linotype"/>
          <w:i/>
          <w:sz w:val="22"/>
        </w:rPr>
        <w:t>” (Sic)</w:t>
      </w:r>
    </w:p>
    <w:p w:rsidR="00446D6A" w:rsidRDefault="009E22D2" w:rsidP="004037FF">
      <w:pPr>
        <w:spacing w:before="100" w:beforeAutospacing="1" w:after="100" w:afterAutospacing="1" w:line="360" w:lineRule="auto"/>
        <w:ind w:right="49"/>
        <w:jc w:val="both"/>
        <w:rPr>
          <w:rFonts w:ascii="Palatino Linotype" w:eastAsia="Calibri" w:hAnsi="Palatino Linotype"/>
        </w:rPr>
      </w:pPr>
      <w:r w:rsidRPr="00D10932">
        <w:rPr>
          <w:rFonts w:ascii="Palatino Linotype" w:hAnsi="Palatino Linotype" w:cs="Arial"/>
        </w:rPr>
        <w:t xml:space="preserve">Del expediente electrónico del Sistema de Acceso a la Información Mexiquense, </w:t>
      </w:r>
      <w:r w:rsidRPr="00D10932">
        <w:rPr>
          <w:rFonts w:ascii="Palatino Linotype" w:hAnsi="Palatino Linotype" w:cs="Arial"/>
          <w:b/>
        </w:rPr>
        <w:t xml:space="preserve">SAIMEX, </w:t>
      </w:r>
      <w:r w:rsidRPr="00D10932">
        <w:rPr>
          <w:rFonts w:ascii="Palatino Linotype" w:hAnsi="Palatino Linotype" w:cs="Arial"/>
        </w:rPr>
        <w:t xml:space="preserve">se advierte que </w:t>
      </w:r>
      <w:r w:rsidRPr="00D10932">
        <w:rPr>
          <w:rFonts w:ascii="Palatino Linotype" w:hAnsi="Palatino Linotype" w:cs="Arial"/>
          <w:b/>
        </w:rPr>
        <w:t>EL SUJETO OBLIGADO</w:t>
      </w:r>
      <w:r w:rsidRPr="00D10932">
        <w:rPr>
          <w:rFonts w:ascii="Palatino Linotype" w:hAnsi="Palatino Linotype" w:cs="Arial"/>
        </w:rPr>
        <w:t xml:space="preserve"> en</w:t>
      </w:r>
      <w:r w:rsidR="00B3668D" w:rsidRPr="00D10932">
        <w:rPr>
          <w:rFonts w:ascii="Palatino Linotype" w:hAnsi="Palatino Linotype" w:cs="Arial"/>
        </w:rPr>
        <w:t xml:space="preserve"> su</w:t>
      </w:r>
      <w:r w:rsidR="005D2963">
        <w:rPr>
          <w:rFonts w:ascii="Palatino Linotype" w:hAnsi="Palatino Linotype" w:cs="Arial"/>
        </w:rPr>
        <w:t>s</w:t>
      </w:r>
      <w:r w:rsidRPr="00D10932">
        <w:rPr>
          <w:rFonts w:ascii="Palatino Linotype" w:hAnsi="Palatino Linotype" w:cs="Arial"/>
        </w:rPr>
        <w:t xml:space="preserve"> respuesta</w:t>
      </w:r>
      <w:r w:rsidR="005D2963">
        <w:rPr>
          <w:rFonts w:ascii="Palatino Linotype" w:hAnsi="Palatino Linotype" w:cs="Arial"/>
        </w:rPr>
        <w:t>s</w:t>
      </w:r>
      <w:r w:rsidR="00446D6A">
        <w:rPr>
          <w:rFonts w:ascii="Palatino Linotype" w:hAnsi="Palatino Linotype" w:cs="Arial"/>
        </w:rPr>
        <w:t xml:space="preserve"> </w:t>
      </w:r>
      <w:r w:rsidR="00C026B8">
        <w:rPr>
          <w:rFonts w:ascii="Palatino Linotype" w:hAnsi="Palatino Linotype" w:cs="Arial"/>
        </w:rPr>
        <w:t>comunicó</w:t>
      </w:r>
      <w:r w:rsidR="005D2963">
        <w:rPr>
          <w:rFonts w:ascii="Palatino Linotype" w:hAnsi="Palatino Linotype" w:cs="Arial"/>
        </w:rPr>
        <w:t xml:space="preserve"> a</w:t>
      </w:r>
      <w:r w:rsidR="004037FF">
        <w:rPr>
          <w:rFonts w:ascii="Palatino Linotype" w:hAnsi="Palatino Linotype" w:cs="Arial"/>
        </w:rPr>
        <w:t>l</w:t>
      </w:r>
      <w:r w:rsidR="005D2963">
        <w:rPr>
          <w:rFonts w:ascii="Palatino Linotype" w:hAnsi="Palatino Linotype" w:cs="Arial"/>
        </w:rPr>
        <w:t xml:space="preserve"> particular, su negativa para proporcionar la información requerida, en virtud de tratarse </w:t>
      </w:r>
      <w:r w:rsidR="00C026B8">
        <w:rPr>
          <w:rFonts w:ascii="Palatino Linotype" w:hAnsi="Palatino Linotype" w:cs="Arial"/>
        </w:rPr>
        <w:t>de</w:t>
      </w:r>
      <w:r w:rsidR="005D2963">
        <w:rPr>
          <w:rFonts w:ascii="Palatino Linotype" w:hAnsi="Palatino Linotype" w:cs="Arial"/>
        </w:rPr>
        <w:t xml:space="preserve"> clasificada como confidencial, remitiendo el Acta de Comité de Transparencia que sustentaba su dicho.</w:t>
      </w:r>
    </w:p>
    <w:p w:rsidR="009E22D2" w:rsidRDefault="00446D6A" w:rsidP="004037FF">
      <w:pPr>
        <w:spacing w:before="100" w:beforeAutospacing="1" w:after="100" w:afterAutospacing="1" w:line="360" w:lineRule="auto"/>
        <w:ind w:right="49"/>
        <w:jc w:val="both"/>
        <w:rPr>
          <w:rFonts w:ascii="Palatino Linotype" w:hAnsi="Palatino Linotype" w:cs="Arial"/>
        </w:rPr>
      </w:pPr>
      <w:r>
        <w:rPr>
          <w:rFonts w:ascii="Palatino Linotype" w:eastAsia="Calibri" w:hAnsi="Palatino Linotype"/>
        </w:rPr>
        <w:t>In</w:t>
      </w:r>
      <w:r w:rsidR="009E22D2" w:rsidRPr="00D10932">
        <w:rPr>
          <w:rFonts w:ascii="Palatino Linotype" w:hAnsi="Palatino Linotype"/>
          <w:color w:val="000000"/>
          <w:lang w:val="es-MX" w:eastAsia="es-MX"/>
        </w:rPr>
        <w:t xml:space="preserve">conforme con la respuesta proporcionada, </w:t>
      </w:r>
      <w:r w:rsidR="004037FF">
        <w:rPr>
          <w:rFonts w:ascii="Palatino Linotype" w:hAnsi="Palatino Linotype"/>
          <w:b/>
          <w:color w:val="000000"/>
          <w:lang w:val="es-MX" w:eastAsia="es-MX"/>
        </w:rPr>
        <w:t>EL</w:t>
      </w:r>
      <w:r w:rsidR="009E22D2" w:rsidRPr="00D10932">
        <w:rPr>
          <w:rFonts w:ascii="Palatino Linotype" w:hAnsi="Palatino Linotype"/>
          <w:b/>
          <w:color w:val="000000"/>
          <w:lang w:val="es-MX" w:eastAsia="es-MX"/>
        </w:rPr>
        <w:t xml:space="preserve"> RECURRENTE</w:t>
      </w:r>
      <w:r w:rsidR="009E22D2" w:rsidRPr="00D10932">
        <w:rPr>
          <w:rFonts w:ascii="Palatino Linotype" w:hAnsi="Palatino Linotype"/>
          <w:color w:val="000000"/>
          <w:lang w:val="es-MX" w:eastAsia="es-MX"/>
        </w:rPr>
        <w:t xml:space="preserve"> </w:t>
      </w:r>
      <w:r w:rsidR="00B3668D" w:rsidRPr="00D10932">
        <w:rPr>
          <w:rFonts w:ascii="Palatino Linotype" w:hAnsi="Palatino Linotype" w:cs="Arial"/>
        </w:rPr>
        <w:t xml:space="preserve">interpuso </w:t>
      </w:r>
      <w:r w:rsidR="005D2963">
        <w:rPr>
          <w:rFonts w:ascii="Palatino Linotype" w:hAnsi="Palatino Linotype" w:cs="Arial"/>
        </w:rPr>
        <w:t>los</w:t>
      </w:r>
      <w:r w:rsidR="009E22D2" w:rsidRPr="00D10932">
        <w:rPr>
          <w:rFonts w:ascii="Palatino Linotype" w:hAnsi="Palatino Linotype" w:cs="Arial"/>
        </w:rPr>
        <w:t xml:space="preserve"> recurso</w:t>
      </w:r>
      <w:r w:rsidR="005D2963">
        <w:rPr>
          <w:rFonts w:ascii="Palatino Linotype" w:hAnsi="Palatino Linotype" w:cs="Arial"/>
        </w:rPr>
        <w:t>s</w:t>
      </w:r>
      <w:r>
        <w:rPr>
          <w:rFonts w:ascii="Palatino Linotype" w:hAnsi="Palatino Linotype" w:cs="Arial"/>
        </w:rPr>
        <w:t xml:space="preserve"> </w:t>
      </w:r>
      <w:r w:rsidR="009E22D2" w:rsidRPr="00D10932">
        <w:rPr>
          <w:rFonts w:ascii="Palatino Linotype" w:hAnsi="Palatino Linotype" w:cs="Arial"/>
        </w:rPr>
        <w:t>de revisión de mérito</w:t>
      </w:r>
      <w:r w:rsidR="004037FF">
        <w:rPr>
          <w:rFonts w:ascii="Palatino Linotype" w:hAnsi="Palatino Linotype" w:cs="Arial"/>
        </w:rPr>
        <w:t>, en los cuales genéricamente refirió que no se le entregó la información solicitada</w:t>
      </w:r>
      <w:r w:rsidR="009E22D2" w:rsidRPr="00D10932">
        <w:rPr>
          <w:rFonts w:ascii="Palatino Linotype" w:hAnsi="Palatino Linotype" w:cs="Arial"/>
        </w:rPr>
        <w:t>.</w:t>
      </w:r>
    </w:p>
    <w:p w:rsidR="004037FF" w:rsidRDefault="004037FF" w:rsidP="004037F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Posteriormente, </w:t>
      </w:r>
      <w:r w:rsidRPr="004037FF">
        <w:rPr>
          <w:rFonts w:ascii="Palatino Linotype" w:hAnsi="Palatino Linotype" w:cs="Arial"/>
          <w:b/>
        </w:rPr>
        <w:t>EL SUJETO OBLIGADO</w:t>
      </w:r>
      <w:r>
        <w:rPr>
          <w:rFonts w:ascii="Palatino Linotype" w:hAnsi="Palatino Linotype" w:cs="Arial"/>
        </w:rPr>
        <w:t xml:space="preserve"> rindió sus Informes Justificados, en los cuáles reiteró sus respuestas. Por su parte, </w:t>
      </w:r>
      <w:r w:rsidRPr="004037FF">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5D2963" w:rsidRDefault="004037FF" w:rsidP="004037FF">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Bajo ese contexto, </w:t>
      </w:r>
      <w:r w:rsidR="00C026B8">
        <w:rPr>
          <w:rFonts w:ascii="Palatino Linotype" w:hAnsi="Palatino Linotype" w:cs="Arial"/>
        </w:rPr>
        <w:t>derivado del</w:t>
      </w:r>
      <w:r>
        <w:rPr>
          <w:rFonts w:ascii="Palatino Linotype" w:hAnsi="Palatino Linotype" w:cs="Arial"/>
        </w:rPr>
        <w:t xml:space="preserve"> análisis del fondo de los asuntos, la Ponencia</w:t>
      </w:r>
      <w:r w:rsidR="007D39AF">
        <w:rPr>
          <w:rFonts w:ascii="Palatino Linotype" w:hAnsi="Palatino Linotype" w:cs="Arial"/>
        </w:rPr>
        <w:t xml:space="preserve"> Resolutora</w:t>
      </w:r>
      <w:r>
        <w:rPr>
          <w:rFonts w:ascii="Palatino Linotype" w:hAnsi="Palatino Linotype" w:cs="Arial"/>
        </w:rPr>
        <w:t xml:space="preserve"> </w:t>
      </w:r>
      <w:r w:rsidR="009E22D2" w:rsidRPr="00D10932">
        <w:rPr>
          <w:rFonts w:ascii="Palatino Linotype" w:hAnsi="Palatino Linotype" w:cs="Arial"/>
        </w:rPr>
        <w:t xml:space="preserve">determinó </w:t>
      </w:r>
      <w:r w:rsidR="005D2963" w:rsidRPr="005D2963">
        <w:rPr>
          <w:rFonts w:ascii="Palatino Linotype" w:hAnsi="Palatino Linotype" w:cs="Arial"/>
          <w:b/>
        </w:rPr>
        <w:t>MODIFICA</w:t>
      </w:r>
      <w:r w:rsidR="005D2963">
        <w:rPr>
          <w:rFonts w:ascii="Palatino Linotype" w:hAnsi="Palatino Linotype" w:cs="Arial"/>
          <w:b/>
        </w:rPr>
        <w:t>R</w:t>
      </w:r>
      <w:r w:rsidR="005D2963" w:rsidRPr="005D2963">
        <w:rPr>
          <w:rFonts w:ascii="Palatino Linotype" w:hAnsi="Palatino Linotype" w:cs="Arial"/>
          <w:b/>
        </w:rPr>
        <w:t xml:space="preserve"> </w:t>
      </w:r>
      <w:r>
        <w:rPr>
          <w:rFonts w:ascii="Palatino Linotype" w:hAnsi="Palatino Linotype" w:cs="Arial"/>
        </w:rPr>
        <w:t xml:space="preserve">las respuestas emitidas por </w:t>
      </w:r>
      <w:r w:rsidRPr="004037FF">
        <w:rPr>
          <w:rFonts w:ascii="Palatino Linotype" w:hAnsi="Palatino Linotype" w:cs="Arial"/>
          <w:b/>
        </w:rPr>
        <w:t>EL SUJETO OBLIGADO</w:t>
      </w:r>
      <w:r>
        <w:rPr>
          <w:rFonts w:ascii="Palatino Linotype" w:hAnsi="Palatino Linotype" w:cs="Arial"/>
        </w:rPr>
        <w:t xml:space="preserve"> y ordenar la entrega</w:t>
      </w:r>
      <w:r w:rsidR="007D39AF">
        <w:rPr>
          <w:rFonts w:ascii="Palatino Linotype" w:hAnsi="Palatino Linotype" w:cs="Arial"/>
        </w:rPr>
        <w:t>,</w:t>
      </w:r>
      <w:r>
        <w:rPr>
          <w:rFonts w:ascii="Palatino Linotype" w:hAnsi="Palatino Linotype" w:cs="Arial"/>
        </w:rPr>
        <w:t xml:space="preserve"> en </w:t>
      </w:r>
      <w:r w:rsidR="005D2963" w:rsidRPr="005D2963">
        <w:rPr>
          <w:rFonts w:ascii="Palatino Linotype" w:hAnsi="Palatino Linotype" w:cs="Arial"/>
        </w:rPr>
        <w:t>versión pública</w:t>
      </w:r>
      <w:r w:rsidR="007D39AF">
        <w:rPr>
          <w:rFonts w:ascii="Palatino Linotype" w:hAnsi="Palatino Linotype" w:cs="Arial"/>
        </w:rPr>
        <w:t>,</w:t>
      </w:r>
      <w:r>
        <w:rPr>
          <w:rFonts w:ascii="Palatino Linotype" w:hAnsi="Palatino Linotype" w:cs="Arial"/>
        </w:rPr>
        <w:t xml:space="preserve"> de la</w:t>
      </w:r>
      <w:r w:rsidR="005D2963" w:rsidRPr="005D2963">
        <w:rPr>
          <w:rFonts w:ascii="Palatino Linotype" w:hAnsi="Palatino Linotype" w:cs="Arial"/>
        </w:rPr>
        <w:t xml:space="preserve"> siguiente información: </w:t>
      </w:r>
    </w:p>
    <w:p w:rsidR="005D2963" w:rsidRPr="005F0267" w:rsidRDefault="004037FF" w:rsidP="004037FF">
      <w:pPr>
        <w:ind w:left="709" w:right="760"/>
        <w:jc w:val="both"/>
        <w:rPr>
          <w:rFonts w:ascii="Palatino Linotype" w:hAnsi="Palatino Linotype" w:cs="Arial"/>
          <w:i/>
          <w:sz w:val="22"/>
        </w:rPr>
      </w:pPr>
      <w:r>
        <w:rPr>
          <w:rFonts w:ascii="Palatino Linotype" w:hAnsi="Palatino Linotype" w:cs="Arial"/>
          <w:i/>
          <w:sz w:val="22"/>
        </w:rPr>
        <w:t>“</w:t>
      </w:r>
      <w:r w:rsidR="005D2963" w:rsidRPr="005F0267">
        <w:rPr>
          <w:rFonts w:ascii="Palatino Linotype" w:hAnsi="Palatino Linotype" w:cs="Arial"/>
          <w:i/>
          <w:sz w:val="22"/>
        </w:rPr>
        <w:t>I.</w:t>
      </w:r>
      <w:r w:rsidR="005D2963" w:rsidRPr="005F0267">
        <w:rPr>
          <w:rFonts w:ascii="Palatino Linotype" w:hAnsi="Palatino Linotype" w:cs="Arial"/>
          <w:i/>
          <w:sz w:val="22"/>
        </w:rPr>
        <w:tab/>
        <w:t>Del Fondo de Ahorro para la Jubilación y Apoyo Múltiple (FAJAM), desde su creación al siete (7) de mayo de 2019:</w:t>
      </w:r>
    </w:p>
    <w:p w:rsidR="005D2963" w:rsidRPr="005F0267" w:rsidRDefault="005D2963" w:rsidP="004037FF">
      <w:pPr>
        <w:ind w:left="1414" w:right="760" w:hanging="705"/>
        <w:jc w:val="both"/>
        <w:rPr>
          <w:rFonts w:ascii="Palatino Linotype" w:hAnsi="Palatino Linotype" w:cs="Arial"/>
          <w:i/>
          <w:sz w:val="22"/>
        </w:rPr>
      </w:pPr>
      <w:r w:rsidRPr="005F0267">
        <w:rPr>
          <w:rFonts w:ascii="Palatino Linotype" w:hAnsi="Palatino Linotype" w:cs="Arial"/>
          <w:i/>
          <w:sz w:val="22"/>
        </w:rPr>
        <w:t>a)</w:t>
      </w:r>
      <w:r w:rsidRPr="005F0267">
        <w:rPr>
          <w:rFonts w:ascii="Palatino Linotype" w:hAnsi="Palatino Linotype" w:cs="Arial"/>
          <w:i/>
          <w:sz w:val="22"/>
        </w:rPr>
        <w:tab/>
        <w:t>Rendimientos financieros generados y los instrumentos financieros en los que se ha invertido;</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b)</w:t>
      </w:r>
      <w:r w:rsidRPr="005F0267">
        <w:rPr>
          <w:rFonts w:ascii="Palatino Linotype" w:hAnsi="Palatino Linotype" w:cs="Arial"/>
          <w:i/>
          <w:sz w:val="22"/>
        </w:rPr>
        <w:tab/>
        <w:t>Número de maestros que han aportado;</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c)</w:t>
      </w:r>
      <w:r w:rsidRPr="005F0267">
        <w:rPr>
          <w:rFonts w:ascii="Palatino Linotype" w:hAnsi="Palatino Linotype" w:cs="Arial"/>
          <w:i/>
          <w:sz w:val="22"/>
        </w:rPr>
        <w:tab/>
        <w:t>Cantidad entregada a maestros;</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d)</w:t>
      </w:r>
      <w:r w:rsidRPr="005F0267">
        <w:rPr>
          <w:rFonts w:ascii="Palatino Linotype" w:hAnsi="Palatino Linotype" w:cs="Arial"/>
          <w:i/>
          <w:sz w:val="22"/>
        </w:rPr>
        <w:tab/>
        <w:t>Número de maestros beneficiados; y,</w:t>
      </w:r>
    </w:p>
    <w:p w:rsidR="005D2963" w:rsidRPr="005F0267" w:rsidRDefault="005D2963" w:rsidP="004037FF">
      <w:pPr>
        <w:ind w:left="1414" w:right="760" w:hanging="705"/>
        <w:jc w:val="both"/>
        <w:rPr>
          <w:rFonts w:ascii="Palatino Linotype" w:hAnsi="Palatino Linotype" w:cs="Arial"/>
          <w:i/>
          <w:sz w:val="22"/>
        </w:rPr>
      </w:pPr>
      <w:r w:rsidRPr="005F0267">
        <w:rPr>
          <w:rFonts w:ascii="Palatino Linotype" w:hAnsi="Palatino Linotype" w:cs="Arial"/>
          <w:i/>
          <w:sz w:val="22"/>
        </w:rPr>
        <w:t>e)</w:t>
      </w:r>
      <w:r w:rsidRPr="005F0267">
        <w:rPr>
          <w:rFonts w:ascii="Palatino Linotype" w:hAnsi="Palatino Linotype" w:cs="Arial"/>
          <w:i/>
          <w:sz w:val="22"/>
        </w:rPr>
        <w:tab/>
        <w:t>Cantidad que se adeuda a maestros y número de maestros a los que se adeuda, al siete (7) de mayo de dos mil diecinueve.</w:t>
      </w:r>
    </w:p>
    <w:p w:rsidR="005D2963" w:rsidRPr="005F0267" w:rsidRDefault="005D2963" w:rsidP="004037FF">
      <w:pPr>
        <w:ind w:left="1414" w:right="760" w:hanging="705"/>
        <w:jc w:val="both"/>
        <w:rPr>
          <w:rFonts w:ascii="Palatino Linotype" w:hAnsi="Palatino Linotype" w:cs="Arial"/>
          <w:i/>
          <w:sz w:val="22"/>
        </w:rPr>
      </w:pPr>
      <w:r w:rsidRPr="005F0267">
        <w:rPr>
          <w:rFonts w:ascii="Palatino Linotype" w:hAnsi="Palatino Linotype" w:cs="Arial"/>
          <w:i/>
          <w:sz w:val="22"/>
        </w:rPr>
        <w:t>II.</w:t>
      </w:r>
      <w:r w:rsidRPr="005F0267">
        <w:rPr>
          <w:rFonts w:ascii="Palatino Linotype" w:hAnsi="Palatino Linotype" w:cs="Arial"/>
          <w:i/>
          <w:sz w:val="22"/>
        </w:rPr>
        <w:tab/>
        <w:t>Del Fondo de Retiro y Fallecimiento (FONRETYF), desde su creación al 22 de mayo de 2019:</w:t>
      </w:r>
    </w:p>
    <w:p w:rsidR="005D2963" w:rsidRPr="005F0267" w:rsidRDefault="005D2963" w:rsidP="004037FF">
      <w:pPr>
        <w:ind w:left="1414" w:right="760" w:hanging="705"/>
        <w:jc w:val="both"/>
        <w:rPr>
          <w:rFonts w:ascii="Palatino Linotype" w:hAnsi="Palatino Linotype" w:cs="Arial"/>
          <w:i/>
          <w:sz w:val="22"/>
        </w:rPr>
      </w:pPr>
      <w:r w:rsidRPr="005F0267">
        <w:rPr>
          <w:rFonts w:ascii="Palatino Linotype" w:hAnsi="Palatino Linotype" w:cs="Arial"/>
          <w:i/>
          <w:sz w:val="22"/>
        </w:rPr>
        <w:t>f)</w:t>
      </w:r>
      <w:r w:rsidRPr="005F0267">
        <w:rPr>
          <w:rFonts w:ascii="Palatino Linotype" w:hAnsi="Palatino Linotype" w:cs="Arial"/>
          <w:i/>
          <w:sz w:val="22"/>
        </w:rPr>
        <w:tab/>
        <w:t>Rendimientos financieros generados y los instrumentos financieros en los que se ha invertido;</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g)</w:t>
      </w:r>
      <w:r w:rsidRPr="005F0267">
        <w:rPr>
          <w:rFonts w:ascii="Palatino Linotype" w:hAnsi="Palatino Linotype" w:cs="Arial"/>
          <w:i/>
          <w:sz w:val="22"/>
        </w:rPr>
        <w:tab/>
        <w:t>Número de maestros que han aportado;</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h)</w:t>
      </w:r>
      <w:r w:rsidRPr="005F0267">
        <w:rPr>
          <w:rFonts w:ascii="Palatino Linotype" w:hAnsi="Palatino Linotype" w:cs="Arial"/>
          <w:i/>
          <w:sz w:val="22"/>
        </w:rPr>
        <w:tab/>
        <w:t>Cantidad entregada a maestros;</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i)</w:t>
      </w:r>
      <w:r w:rsidRPr="005F0267">
        <w:rPr>
          <w:rFonts w:ascii="Palatino Linotype" w:hAnsi="Palatino Linotype" w:cs="Arial"/>
          <w:i/>
          <w:sz w:val="22"/>
        </w:rPr>
        <w:tab/>
        <w:t>Número de maestros beneficiados; y,</w:t>
      </w:r>
    </w:p>
    <w:p w:rsidR="005D2963" w:rsidRPr="005F0267" w:rsidRDefault="005D2963" w:rsidP="004037FF">
      <w:pPr>
        <w:ind w:left="1414" w:right="760" w:hanging="705"/>
        <w:jc w:val="both"/>
        <w:rPr>
          <w:rFonts w:ascii="Palatino Linotype" w:hAnsi="Palatino Linotype" w:cs="Arial"/>
          <w:i/>
          <w:sz w:val="22"/>
        </w:rPr>
      </w:pPr>
      <w:r w:rsidRPr="005F0267">
        <w:rPr>
          <w:rFonts w:ascii="Palatino Linotype" w:hAnsi="Palatino Linotype" w:cs="Arial"/>
          <w:i/>
          <w:sz w:val="22"/>
        </w:rPr>
        <w:t>j)</w:t>
      </w:r>
      <w:r w:rsidRPr="005F0267">
        <w:rPr>
          <w:rFonts w:ascii="Palatino Linotype" w:hAnsi="Palatino Linotype" w:cs="Arial"/>
          <w:i/>
          <w:sz w:val="22"/>
        </w:rPr>
        <w:tab/>
        <w:t>Cantidad que se adeuda a maestros y número de maestros a los que se adeuda, al veintidós (22) de mayo de dos mil diecinueve.</w:t>
      </w:r>
    </w:p>
    <w:p w:rsidR="005D2963" w:rsidRPr="005F0267" w:rsidRDefault="005D2963" w:rsidP="004037FF">
      <w:pPr>
        <w:ind w:left="709" w:right="760"/>
        <w:jc w:val="both"/>
        <w:rPr>
          <w:rFonts w:ascii="Palatino Linotype" w:hAnsi="Palatino Linotype" w:cs="Arial"/>
          <w:i/>
          <w:sz w:val="22"/>
        </w:rPr>
      </w:pPr>
      <w:r w:rsidRPr="005F0267">
        <w:rPr>
          <w:rFonts w:ascii="Palatino Linotype" w:hAnsi="Palatino Linotype" w:cs="Arial"/>
          <w:i/>
          <w:sz w:val="22"/>
        </w:rPr>
        <w:t>III.</w:t>
      </w:r>
      <w:r w:rsidRPr="005F0267">
        <w:rPr>
          <w:rFonts w:ascii="Palatino Linotype" w:hAnsi="Palatino Linotype" w:cs="Arial"/>
          <w:i/>
          <w:sz w:val="22"/>
        </w:rPr>
        <w:tab/>
        <w:t>Acuerdo emitido por el Comité de Transparencia, mediante el cual se clasifique como confidencial, la cantidad de recursos descontados a los maestros estatales por concepto de los fondos referidos en el inciso I y II.</w:t>
      </w:r>
      <w:r w:rsidR="004037FF">
        <w:rPr>
          <w:rFonts w:ascii="Palatino Linotype" w:hAnsi="Palatino Linotype" w:cs="Arial"/>
          <w:i/>
          <w:sz w:val="22"/>
        </w:rPr>
        <w:t xml:space="preserve"> </w:t>
      </w:r>
      <w:proofErr w:type="gramStart"/>
      <w:r w:rsidR="004037FF">
        <w:rPr>
          <w:rFonts w:ascii="Palatino Linotype" w:hAnsi="Palatino Linotype" w:cs="Arial"/>
          <w:i/>
          <w:sz w:val="22"/>
        </w:rPr>
        <w:t>“ (</w:t>
      </w:r>
      <w:proofErr w:type="gramEnd"/>
      <w:r w:rsidR="004037FF">
        <w:rPr>
          <w:rFonts w:ascii="Palatino Linotype" w:hAnsi="Palatino Linotype" w:cs="Arial"/>
          <w:i/>
          <w:sz w:val="22"/>
        </w:rPr>
        <w:t>Sic)</w:t>
      </w:r>
    </w:p>
    <w:p w:rsidR="004037FF" w:rsidRPr="004037FF" w:rsidRDefault="004037FF" w:rsidP="004037FF">
      <w:pPr>
        <w:spacing w:before="100" w:beforeAutospacing="1" w:after="100" w:afterAutospacing="1" w:line="360" w:lineRule="auto"/>
        <w:jc w:val="both"/>
        <w:rPr>
          <w:rFonts w:ascii="Palatino Linotype" w:eastAsiaTheme="minorEastAsia" w:hAnsi="Palatino Linotype" w:cstheme="minorBidi"/>
          <w:lang w:eastAsia="ja-JP"/>
        </w:rPr>
      </w:pPr>
      <w:r>
        <w:rPr>
          <w:rFonts w:ascii="Palatino Linotype" w:eastAsiaTheme="minorEastAsia" w:hAnsi="Palatino Linotype" w:cstheme="minorBidi"/>
          <w:lang w:val="es-MX" w:eastAsia="ja-JP"/>
        </w:rPr>
        <w:lastRenderedPageBreak/>
        <w:t>En virtud de lo anterior, la suscrita estima</w:t>
      </w:r>
      <w:r w:rsidRPr="004037FF">
        <w:rPr>
          <w:rFonts w:ascii="Palatino Linotype" w:eastAsiaTheme="minorEastAsia" w:hAnsi="Palatino Linotype" w:cstheme="minorBidi"/>
          <w:lang w:val="es-MX" w:eastAsia="ja-JP"/>
        </w:rPr>
        <w:t xml:space="preserve"> toral señalar que</w:t>
      </w:r>
      <w:r>
        <w:rPr>
          <w:rFonts w:ascii="Palatino Linotype" w:eastAsiaTheme="minorEastAsia" w:hAnsi="Palatino Linotype" w:cstheme="minorBidi"/>
          <w:lang w:val="es-MX" w:eastAsia="ja-JP"/>
        </w:rPr>
        <w:t>, de conformidad con la Ley de Transparencia y Acceso a la Información Pública del Estado de México y Municipios, los</w:t>
      </w:r>
      <w:r w:rsidRPr="004037FF">
        <w:rPr>
          <w:rFonts w:ascii="Palatino Linotype" w:eastAsiaTheme="minorEastAsia" w:hAnsi="Palatino Linotype" w:cstheme="minorBidi"/>
          <w:lang w:val="es-MX" w:eastAsia="ja-JP"/>
        </w:rPr>
        <w:t xml:space="preserve"> Sindicato</w:t>
      </w:r>
      <w:r>
        <w:rPr>
          <w:rFonts w:ascii="Palatino Linotype" w:eastAsiaTheme="minorEastAsia" w:hAnsi="Palatino Linotype" w:cstheme="minorBidi"/>
          <w:lang w:val="es-MX" w:eastAsia="ja-JP"/>
        </w:rPr>
        <w:t>s</w:t>
      </w:r>
      <w:r w:rsidRPr="004037FF">
        <w:rPr>
          <w:rFonts w:ascii="Palatino Linotype" w:eastAsiaTheme="minorEastAsia" w:hAnsi="Palatino Linotype" w:cstheme="minorBidi"/>
          <w:lang w:val="es-MX" w:eastAsia="ja-JP"/>
        </w:rPr>
        <w:t xml:space="preserve"> </w:t>
      </w:r>
      <w:r w:rsidRPr="004037FF">
        <w:rPr>
          <w:rFonts w:ascii="Palatino Linotype" w:eastAsiaTheme="minorEastAsia" w:hAnsi="Palatino Linotype" w:cstheme="minorBidi"/>
          <w:lang w:eastAsia="ja-JP"/>
        </w:rPr>
        <w:t>sólo est</w:t>
      </w:r>
      <w:r>
        <w:rPr>
          <w:rFonts w:ascii="Palatino Linotype" w:eastAsiaTheme="minorEastAsia" w:hAnsi="Palatino Linotype" w:cstheme="minorBidi"/>
          <w:lang w:eastAsia="ja-JP"/>
        </w:rPr>
        <w:t>án</w:t>
      </w:r>
      <w:r w:rsidRPr="004037FF">
        <w:rPr>
          <w:rFonts w:ascii="Palatino Linotype" w:eastAsiaTheme="minorEastAsia" w:hAnsi="Palatino Linotype" w:cstheme="minorBidi"/>
          <w:lang w:eastAsia="ja-JP"/>
        </w:rPr>
        <w:t xml:space="preserve"> constreñido</w:t>
      </w:r>
      <w:r>
        <w:rPr>
          <w:rFonts w:ascii="Palatino Linotype" w:eastAsiaTheme="minorEastAsia" w:hAnsi="Palatino Linotype" w:cstheme="minorBidi"/>
          <w:lang w:eastAsia="ja-JP"/>
        </w:rPr>
        <w:t>s</w:t>
      </w:r>
      <w:r w:rsidRPr="004037FF">
        <w:rPr>
          <w:rFonts w:ascii="Palatino Linotype" w:eastAsiaTheme="minorEastAsia" w:hAnsi="Palatino Linotype" w:cstheme="minorBidi"/>
          <w:lang w:eastAsia="ja-JP"/>
        </w:rPr>
        <w:t xml:space="preserve"> a transparentar y rendir cuentas respecto de aquellas obligaciones que le sean aplicables como </w:t>
      </w:r>
      <w:r w:rsidR="007D39AF" w:rsidRPr="004037FF">
        <w:rPr>
          <w:rFonts w:ascii="Palatino Linotype" w:eastAsiaTheme="minorEastAsia" w:hAnsi="Palatino Linotype" w:cstheme="minorBidi"/>
          <w:lang w:eastAsia="ja-JP"/>
        </w:rPr>
        <w:t>Sujeto</w:t>
      </w:r>
      <w:r w:rsidR="007D39AF">
        <w:rPr>
          <w:rFonts w:ascii="Palatino Linotype" w:eastAsiaTheme="minorEastAsia" w:hAnsi="Palatino Linotype" w:cstheme="minorBidi"/>
          <w:lang w:eastAsia="ja-JP"/>
        </w:rPr>
        <w:t>s</w:t>
      </w:r>
      <w:r w:rsidR="007D39AF" w:rsidRPr="004037FF">
        <w:rPr>
          <w:rFonts w:ascii="Palatino Linotype" w:eastAsiaTheme="minorEastAsia" w:hAnsi="Palatino Linotype" w:cstheme="minorBidi"/>
          <w:lang w:eastAsia="ja-JP"/>
        </w:rPr>
        <w:t xml:space="preserve"> Obligado</w:t>
      </w:r>
      <w:r w:rsidR="007D39AF">
        <w:rPr>
          <w:rFonts w:ascii="Palatino Linotype" w:eastAsiaTheme="minorEastAsia" w:hAnsi="Palatino Linotype" w:cstheme="minorBidi"/>
          <w:lang w:eastAsia="ja-JP"/>
        </w:rPr>
        <w:t>s</w:t>
      </w:r>
      <w:r w:rsidRPr="004037FF">
        <w:rPr>
          <w:rFonts w:ascii="Palatino Linotype" w:eastAsiaTheme="minorEastAsia" w:hAnsi="Palatino Linotype" w:cstheme="minorBidi"/>
          <w:lang w:eastAsia="ja-JP"/>
        </w:rPr>
        <w:t>; por cuanto hace al uso y destino de los recursos públicos que les son asignados; así como, de los actos de autoridad que realice</w:t>
      </w:r>
      <w:r>
        <w:rPr>
          <w:rFonts w:ascii="Palatino Linotype" w:eastAsiaTheme="minorEastAsia" w:hAnsi="Palatino Linotype" w:cstheme="minorBidi"/>
          <w:lang w:eastAsia="ja-JP"/>
        </w:rPr>
        <w:t>n</w:t>
      </w:r>
      <w:r w:rsidRPr="004037FF">
        <w:rPr>
          <w:rFonts w:ascii="Palatino Linotype" w:eastAsiaTheme="minorEastAsia" w:hAnsi="Palatino Linotype" w:cstheme="minorBidi"/>
          <w:lang w:eastAsia="ja-JP"/>
        </w:rPr>
        <w:t>.</w:t>
      </w:r>
    </w:p>
    <w:p w:rsidR="004037FF" w:rsidRPr="004037FF" w:rsidRDefault="00CD01FA" w:rsidP="004037FF">
      <w:pPr>
        <w:spacing w:before="100" w:beforeAutospacing="1" w:after="100" w:afterAutospacing="1" w:line="360" w:lineRule="auto"/>
        <w:jc w:val="both"/>
        <w:rPr>
          <w:rFonts w:ascii="Palatino Linotype" w:eastAsiaTheme="minorEastAsia" w:hAnsi="Palatino Linotype" w:cstheme="minorBidi"/>
          <w:lang w:eastAsia="ja-JP"/>
        </w:rPr>
      </w:pPr>
      <w:r>
        <w:rPr>
          <w:rFonts w:ascii="Palatino Linotype" w:eastAsiaTheme="minorEastAsia" w:hAnsi="Palatino Linotype" w:cstheme="minorBidi"/>
          <w:lang w:eastAsia="ja-JP"/>
        </w:rPr>
        <w:t>Aunado a ello</w:t>
      </w:r>
      <w:r w:rsidR="00C026B8">
        <w:rPr>
          <w:rFonts w:ascii="Palatino Linotype" w:eastAsiaTheme="minorEastAsia" w:hAnsi="Palatino Linotype" w:cstheme="minorBidi"/>
          <w:lang w:eastAsia="ja-JP"/>
        </w:rPr>
        <w:t>,</w:t>
      </w:r>
      <w:r w:rsidR="004037FF" w:rsidRPr="004037FF">
        <w:rPr>
          <w:rFonts w:ascii="Palatino Linotype" w:eastAsiaTheme="minorEastAsia" w:hAnsi="Palatino Linotype" w:cstheme="minorBidi"/>
          <w:lang w:eastAsia="ja-JP"/>
        </w:rPr>
        <w:t xml:space="preserve"> no pasa desapercibido que, el artículo 102</w:t>
      </w:r>
      <w:r w:rsidR="006D77CC">
        <w:rPr>
          <w:rFonts w:ascii="Palatino Linotype" w:eastAsiaTheme="minorEastAsia" w:hAnsi="Palatino Linotype" w:cstheme="minorBidi"/>
          <w:lang w:eastAsia="ja-JP"/>
        </w:rPr>
        <w:t xml:space="preserve"> dela Ley de la materia</w:t>
      </w:r>
      <w:r w:rsidR="004037FF" w:rsidRPr="004037FF">
        <w:rPr>
          <w:rFonts w:ascii="Palatino Linotype" w:eastAsiaTheme="minorEastAsia" w:hAnsi="Palatino Linotype" w:cstheme="minorBidi"/>
          <w:lang w:eastAsia="ja-JP"/>
        </w:rPr>
        <w:t xml:space="preserve"> establece las obligaciones de transparencia específicas para los sindicatos que reciben y ejercen recursos públicos, la cual deben de mantener actualizada, accesible, de forma impresa para consulta directa y en los respectivos sitios de Internet.</w:t>
      </w:r>
    </w:p>
    <w:p w:rsidR="00755F3D" w:rsidRDefault="00C026B8" w:rsidP="00755F3D">
      <w:pPr>
        <w:spacing w:before="100" w:beforeAutospacing="1" w:after="100" w:afterAutospacing="1" w:line="360" w:lineRule="auto"/>
        <w:jc w:val="both"/>
        <w:rPr>
          <w:rFonts w:ascii="Palatino Linotype" w:hAnsi="Palatino Linotype"/>
        </w:rPr>
      </w:pPr>
      <w:r>
        <w:rPr>
          <w:rFonts w:ascii="Palatino Linotype" w:eastAsiaTheme="minorEastAsia" w:hAnsi="Palatino Linotype" w:cstheme="minorBidi"/>
          <w:lang w:eastAsia="ja-JP"/>
        </w:rPr>
        <w:t>En atención</w:t>
      </w:r>
      <w:r w:rsidR="004037FF">
        <w:rPr>
          <w:rFonts w:ascii="Palatino Linotype" w:eastAsiaTheme="minorEastAsia" w:hAnsi="Palatino Linotype" w:cstheme="minorBidi"/>
          <w:lang w:eastAsia="ja-JP"/>
        </w:rPr>
        <w:t xml:space="preserve"> a lo anterior, en este caso en concreto, </w:t>
      </w:r>
      <w:r w:rsidR="00755F3D">
        <w:rPr>
          <w:rFonts w:ascii="Palatino Linotype" w:eastAsiaTheme="minorEastAsia" w:hAnsi="Palatino Linotype" w:cstheme="minorBidi"/>
          <w:lang w:eastAsia="ja-JP"/>
        </w:rPr>
        <w:t xml:space="preserve">si bien la que suscribe reafirma  la respuesta otorgada por </w:t>
      </w:r>
      <w:r w:rsidR="00755F3D" w:rsidRPr="00755F3D">
        <w:rPr>
          <w:rFonts w:ascii="Palatino Linotype" w:eastAsiaTheme="minorEastAsia" w:hAnsi="Palatino Linotype" w:cstheme="minorBidi"/>
          <w:b/>
          <w:lang w:eastAsia="ja-JP"/>
        </w:rPr>
        <w:t>EL SUJETO OBLIGADO</w:t>
      </w:r>
      <w:r w:rsidR="00755F3D">
        <w:rPr>
          <w:rFonts w:ascii="Palatino Linotype" w:eastAsiaTheme="minorEastAsia" w:hAnsi="Palatino Linotype" w:cstheme="minorBidi"/>
          <w:lang w:eastAsia="ja-JP"/>
        </w:rPr>
        <w:t xml:space="preserve"> por cuanto hace a que las aportaciones por parte de los agremiados se trata de información confidencial, también lo es que de la misma se advierte falta de certeza y seguridad jurídica para el ahora </w:t>
      </w:r>
      <w:r w:rsidR="00755F3D" w:rsidRPr="00755F3D">
        <w:rPr>
          <w:rFonts w:ascii="Palatino Linotype" w:eastAsiaTheme="minorEastAsia" w:hAnsi="Palatino Linotype" w:cstheme="minorBidi"/>
          <w:b/>
          <w:lang w:eastAsia="ja-JP"/>
        </w:rPr>
        <w:t>RECURRENTE</w:t>
      </w:r>
      <w:r w:rsidR="00755F3D">
        <w:rPr>
          <w:rFonts w:ascii="Palatino Linotype" w:eastAsiaTheme="minorEastAsia" w:hAnsi="Palatino Linotype" w:cstheme="minorBidi"/>
          <w:lang w:eastAsia="ja-JP"/>
        </w:rPr>
        <w:t xml:space="preserve">; toda vez que, inmerso a la información de la que se ordena la entrega pudiese estar involucrado recurso público.  </w:t>
      </w:r>
      <w:r w:rsidR="00755F3D">
        <w:rPr>
          <w:rFonts w:ascii="Palatino Linotype" w:hAnsi="Palatino Linotype"/>
        </w:rPr>
        <w:t>Así, al ordenarse información referente a los rendimientos financieros, se insiste en que de haber incluido recursos públicos, debiese publicitarse la misma</w:t>
      </w:r>
      <w:r w:rsidR="005E236B">
        <w:rPr>
          <w:rFonts w:ascii="Palatino Linotype" w:hAnsi="Palatino Linotype"/>
        </w:rPr>
        <w:t>.</w:t>
      </w:r>
    </w:p>
    <w:p w:rsidR="00F0586F" w:rsidRDefault="00755F3D" w:rsidP="00F0586F">
      <w:pPr>
        <w:spacing w:before="100" w:beforeAutospacing="1" w:after="100" w:afterAutospacing="1" w:line="360" w:lineRule="auto"/>
        <w:jc w:val="both"/>
        <w:rPr>
          <w:rFonts w:ascii="Palatino Linotype" w:hAnsi="Palatino Linotype" w:cs="Arial"/>
        </w:rPr>
      </w:pPr>
      <w:r>
        <w:rPr>
          <w:rFonts w:ascii="Palatino Linotype" w:hAnsi="Palatino Linotype"/>
        </w:rPr>
        <w:t>En adici</w:t>
      </w:r>
      <w:r w:rsidR="00F0586F">
        <w:rPr>
          <w:rFonts w:ascii="Palatino Linotype" w:hAnsi="Palatino Linotype"/>
        </w:rPr>
        <w:t xml:space="preserve">ón, cabe recalcar lo que estipula el ordinal 9, en su fracción I de la </w:t>
      </w:r>
      <w:r w:rsidR="00F0586F">
        <w:rPr>
          <w:rFonts w:ascii="Palatino Linotype" w:hAnsi="Palatino Linotype" w:cs="Arial"/>
        </w:rPr>
        <w:t>Ley de Transparencia y Acceso a la Información Pública del Estado de México y Municipios:</w:t>
      </w:r>
    </w:p>
    <w:p w:rsidR="00F0586F" w:rsidRDefault="00F0586F" w:rsidP="00F0586F">
      <w:pPr>
        <w:ind w:left="709" w:right="760"/>
        <w:jc w:val="both"/>
        <w:rPr>
          <w:rFonts w:ascii="Palatino Linotype" w:hAnsi="Palatino Linotype" w:cs="Arial"/>
          <w:i/>
          <w:sz w:val="22"/>
        </w:rPr>
      </w:pPr>
      <w:r>
        <w:rPr>
          <w:rFonts w:ascii="Palatino Linotype" w:hAnsi="Palatino Linotype" w:cs="Arial"/>
          <w:b/>
          <w:i/>
          <w:sz w:val="22"/>
        </w:rPr>
        <w:lastRenderedPageBreak/>
        <w:t>“</w:t>
      </w:r>
      <w:r w:rsidRPr="000E16CE">
        <w:rPr>
          <w:rFonts w:ascii="Palatino Linotype" w:hAnsi="Palatino Linotype" w:cs="Arial"/>
          <w:b/>
          <w:i/>
          <w:sz w:val="22"/>
        </w:rPr>
        <w:t>Artículo 9.</w:t>
      </w:r>
      <w:r>
        <w:rPr>
          <w:rFonts w:ascii="Palatino Linotype" w:hAnsi="Palatino Linotype" w:cs="Arial"/>
          <w:i/>
          <w:sz w:val="22"/>
        </w:rPr>
        <w:t xml:space="preserve"> El Instituto deberá regir su funcionamiento de acuerdo a los siguientes principios:</w:t>
      </w:r>
    </w:p>
    <w:p w:rsidR="00F0586F" w:rsidRDefault="00F0586F" w:rsidP="00F0586F">
      <w:pPr>
        <w:pStyle w:val="Prrafodelista"/>
        <w:numPr>
          <w:ilvl w:val="0"/>
          <w:numId w:val="6"/>
        </w:numPr>
        <w:ind w:right="760"/>
        <w:contextualSpacing/>
        <w:jc w:val="both"/>
        <w:rPr>
          <w:rFonts w:ascii="Palatino Linotype" w:hAnsi="Palatino Linotype" w:cs="Arial"/>
          <w:i/>
        </w:rPr>
      </w:pPr>
      <w:r>
        <w:rPr>
          <w:rFonts w:ascii="Palatino Linotype" w:hAnsi="Palatino Linotype" w:cs="Arial"/>
          <w:i/>
        </w:rPr>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F0586F" w:rsidRDefault="00F0586F" w:rsidP="00F0586F">
      <w:pPr>
        <w:ind w:left="709" w:right="760"/>
        <w:jc w:val="both"/>
        <w:rPr>
          <w:rFonts w:ascii="Palatino Linotype" w:hAnsi="Palatino Linotype" w:cs="Arial"/>
          <w:i/>
          <w:sz w:val="22"/>
        </w:rPr>
      </w:pPr>
      <w:r w:rsidRPr="00411080">
        <w:rPr>
          <w:rFonts w:ascii="Palatino Linotype" w:hAnsi="Palatino Linotype" w:cs="Arial"/>
          <w:i/>
          <w:sz w:val="22"/>
        </w:rPr>
        <w:t>…</w:t>
      </w:r>
      <w:r>
        <w:rPr>
          <w:rFonts w:ascii="Palatino Linotype" w:hAnsi="Palatino Linotype" w:cs="Arial"/>
          <w:i/>
          <w:sz w:val="22"/>
        </w:rPr>
        <w:t>”</w:t>
      </w:r>
    </w:p>
    <w:p w:rsidR="00F0586F" w:rsidRDefault="00F0586F" w:rsidP="00755F3D">
      <w:pPr>
        <w:spacing w:before="100" w:beforeAutospacing="1" w:after="100" w:afterAutospacing="1" w:line="360" w:lineRule="auto"/>
        <w:jc w:val="both"/>
        <w:rPr>
          <w:rFonts w:ascii="Palatino Linotype" w:hAnsi="Palatino Linotype"/>
        </w:rPr>
      </w:pPr>
      <w:r>
        <w:rPr>
          <w:rFonts w:ascii="Palatino Linotype" w:hAnsi="Palatino Linotype"/>
        </w:rPr>
        <w:t xml:space="preserve">De conformidad con los argumentos expuestos, se estima que al existir la posibilidad de que se encuentre información relacionada con recursos públicos conexa con la que se ordena la entrega, es que se compartió el proyecto sometido a votación; sin embargo, es cuestión toral referir que si la misma se compone únicamente por aportaciones de agremiados en su carácter contractual con </w:t>
      </w:r>
      <w:r w:rsidRPr="00F0586F">
        <w:rPr>
          <w:rFonts w:ascii="Palatino Linotype" w:hAnsi="Palatino Linotype"/>
          <w:b/>
        </w:rPr>
        <w:t>EL SUJETO OBLIGADO</w:t>
      </w:r>
      <w:r>
        <w:rPr>
          <w:rFonts w:ascii="Palatino Linotype" w:hAnsi="Palatino Linotype"/>
        </w:rPr>
        <w:t xml:space="preserve">, la misma deberá ser clasificada en su totalidad como confidencial. </w:t>
      </w:r>
      <w:r w:rsidR="00304A18">
        <w:rPr>
          <w:rStyle w:val="Refdenotaalpie"/>
          <w:rFonts w:ascii="Palatino Linotype" w:hAnsi="Palatino Linotype"/>
        </w:rPr>
        <w:footnoteReference w:id="1"/>
      </w:r>
    </w:p>
    <w:p w:rsidR="00B90277" w:rsidRDefault="007D39AF" w:rsidP="004037FF">
      <w:pPr>
        <w:spacing w:before="100" w:beforeAutospacing="1" w:after="100" w:afterAutospacing="1" w:line="360" w:lineRule="auto"/>
        <w:jc w:val="both"/>
        <w:rPr>
          <w:rFonts w:ascii="Palatino Linotype" w:eastAsiaTheme="minorEastAsia" w:hAnsi="Palatino Linotype" w:cstheme="minorBidi"/>
          <w:lang w:val="es-MX" w:eastAsia="ja-JP"/>
        </w:rPr>
      </w:pPr>
      <w:r w:rsidRPr="000A6958">
        <w:rPr>
          <w:rFonts w:ascii="Palatino Linotype" w:hAnsi="Palatino Linotype" w:cs="Arial"/>
        </w:rPr>
        <w:t xml:space="preserve">Por </w:t>
      </w:r>
      <w:r w:rsidR="00B90277" w:rsidRPr="000A6958">
        <w:rPr>
          <w:rFonts w:ascii="Palatino Linotype" w:hAnsi="Palatino Linotype" w:cs="Arial"/>
        </w:rPr>
        <w:t xml:space="preserve">lo </w:t>
      </w:r>
      <w:r w:rsidR="00CD01FA">
        <w:rPr>
          <w:rFonts w:ascii="Palatino Linotype" w:hAnsi="Palatino Linotype" w:cs="Arial"/>
        </w:rPr>
        <w:t>anterior</w:t>
      </w:r>
      <w:r>
        <w:rPr>
          <w:rFonts w:ascii="Palatino Linotype" w:hAnsi="Palatino Linotype" w:cs="Arial"/>
        </w:rPr>
        <w:t>,</w:t>
      </w:r>
      <w:r w:rsidR="00B90277" w:rsidRPr="000A6958">
        <w:rPr>
          <w:rFonts w:ascii="Palatino Linotype" w:hAnsi="Palatino Linotype" w:cs="Arial"/>
        </w:rPr>
        <w:t xml:space="preserve"> la que suscribe emite </w:t>
      </w:r>
      <w:r w:rsidR="00B90277" w:rsidRPr="000A6958">
        <w:rPr>
          <w:rFonts w:ascii="Palatino Linotype" w:hAnsi="Palatino Linotype" w:cs="Arial"/>
          <w:b/>
        </w:rPr>
        <w:t>VOTO PARTICULAR</w:t>
      </w:r>
      <w:r w:rsidR="00B90277" w:rsidRPr="000A6958">
        <w:rPr>
          <w:rFonts w:ascii="Palatino Linotype" w:hAnsi="Palatino Linotype" w:cs="Arial"/>
        </w:rPr>
        <w:t xml:space="preserve">, pues </w:t>
      </w:r>
      <w:r w:rsidR="00B90277">
        <w:rPr>
          <w:rFonts w:ascii="Palatino Linotype" w:hAnsi="Palatino Linotype"/>
        </w:rPr>
        <w:t xml:space="preserve">estima que, si bien </w:t>
      </w:r>
      <w:r w:rsidR="00CD01FA">
        <w:rPr>
          <w:rFonts w:ascii="Palatino Linotype" w:eastAsiaTheme="minorEastAsia" w:hAnsi="Palatino Linotype" w:cstheme="minorBidi"/>
          <w:lang w:val="es-MX" w:eastAsia="ja-JP"/>
        </w:rPr>
        <w:t xml:space="preserve">en principio las </w:t>
      </w:r>
      <w:r w:rsidR="004037FF" w:rsidRPr="004037FF">
        <w:rPr>
          <w:rFonts w:ascii="Palatino Linotype" w:eastAsiaTheme="minorEastAsia" w:hAnsi="Palatino Linotype" w:cstheme="minorBidi"/>
          <w:lang w:val="es-MX" w:eastAsia="ja-JP"/>
        </w:rPr>
        <w:t>solicitud</w:t>
      </w:r>
      <w:r w:rsidR="00CD01FA">
        <w:rPr>
          <w:rFonts w:ascii="Palatino Linotype" w:eastAsiaTheme="minorEastAsia" w:hAnsi="Palatino Linotype" w:cstheme="minorBidi"/>
          <w:lang w:val="es-MX" w:eastAsia="ja-JP"/>
        </w:rPr>
        <w:t>es</w:t>
      </w:r>
      <w:r w:rsidR="004037FF" w:rsidRPr="004037FF">
        <w:rPr>
          <w:rFonts w:ascii="Palatino Linotype" w:eastAsiaTheme="minorEastAsia" w:hAnsi="Palatino Linotype" w:cstheme="minorBidi"/>
          <w:lang w:val="es-MX" w:eastAsia="ja-JP"/>
        </w:rPr>
        <w:t xml:space="preserve"> de mérito </w:t>
      </w:r>
      <w:r w:rsidR="00CD01FA">
        <w:rPr>
          <w:rFonts w:ascii="Palatino Linotype" w:eastAsiaTheme="minorEastAsia" w:hAnsi="Palatino Linotype" w:cstheme="minorBidi"/>
          <w:lang w:val="es-MX" w:eastAsia="ja-JP"/>
        </w:rPr>
        <w:t>se trata</w:t>
      </w:r>
      <w:r w:rsidR="005E236B">
        <w:rPr>
          <w:rFonts w:ascii="Palatino Linotype" w:eastAsiaTheme="minorEastAsia" w:hAnsi="Palatino Linotype" w:cstheme="minorBidi"/>
          <w:lang w:val="es-MX" w:eastAsia="ja-JP"/>
        </w:rPr>
        <w:t>n</w:t>
      </w:r>
      <w:r w:rsidR="00CD01FA">
        <w:rPr>
          <w:rFonts w:ascii="Palatino Linotype" w:eastAsiaTheme="minorEastAsia" w:hAnsi="Palatino Linotype" w:cstheme="minorBidi"/>
          <w:lang w:val="es-MX" w:eastAsia="ja-JP"/>
        </w:rPr>
        <w:t xml:space="preserve"> de</w:t>
      </w:r>
      <w:r w:rsidR="004037FF" w:rsidRPr="004037FF">
        <w:rPr>
          <w:rFonts w:ascii="Palatino Linotype" w:eastAsiaTheme="minorEastAsia" w:hAnsi="Palatino Linotype" w:cstheme="minorBidi"/>
          <w:lang w:val="es-MX" w:eastAsia="ja-JP"/>
        </w:rPr>
        <w:t xml:space="preserve"> información </w:t>
      </w:r>
      <w:r w:rsidR="00CD01FA">
        <w:rPr>
          <w:rFonts w:ascii="Palatino Linotype" w:eastAsiaTheme="minorEastAsia" w:hAnsi="Palatino Linotype" w:cstheme="minorBidi"/>
          <w:lang w:val="es-MX" w:eastAsia="ja-JP"/>
        </w:rPr>
        <w:t>de carácter confidencial pues las cuotas sindicales no son susceptibles de ser entregadas, también lo es que</w:t>
      </w:r>
      <w:r w:rsidR="005E236B">
        <w:rPr>
          <w:rFonts w:ascii="Palatino Linotype" w:eastAsiaTheme="minorEastAsia" w:hAnsi="Palatino Linotype" w:cstheme="minorBidi"/>
          <w:lang w:val="es-MX" w:eastAsia="ja-JP"/>
        </w:rPr>
        <w:t>,</w:t>
      </w:r>
      <w:r w:rsidR="00CD01FA">
        <w:rPr>
          <w:rFonts w:ascii="Palatino Linotype" w:eastAsiaTheme="minorEastAsia" w:hAnsi="Palatino Linotype" w:cstheme="minorBidi"/>
          <w:lang w:val="es-MX" w:eastAsia="ja-JP"/>
        </w:rPr>
        <w:t xml:space="preserve"> inmersa en la información de la que se ordena la entrega pudiese estar involucrado recurso público, siendo suficiente para transparentar lo que con ello esté relacionado</w:t>
      </w:r>
      <w:r w:rsidR="005E236B">
        <w:rPr>
          <w:rFonts w:ascii="Palatino Linotype" w:eastAsiaTheme="minorEastAsia" w:hAnsi="Palatino Linotype" w:cstheme="minorBidi"/>
          <w:lang w:val="es-MX" w:eastAsia="ja-JP"/>
        </w:rPr>
        <w:t xml:space="preserve">,  </w:t>
      </w:r>
      <w:r w:rsidR="005E236B">
        <w:rPr>
          <w:rFonts w:ascii="Palatino Linotype" w:eastAsiaTheme="minorEastAsia" w:hAnsi="Palatino Linotype" w:cstheme="minorBidi"/>
          <w:lang w:val="es-MX" w:eastAsia="ja-JP"/>
        </w:rPr>
        <w:lastRenderedPageBreak/>
        <w:t>adicional a la de certeza jurídica que se debe otorgar a los particulares en el ejercicio del derecho humano de acceso a la información pública</w:t>
      </w:r>
      <w:r w:rsidR="00CD01FA">
        <w:rPr>
          <w:rFonts w:ascii="Palatino Linotype" w:eastAsiaTheme="minorEastAsia" w:hAnsi="Palatino Linotype" w:cstheme="minorBidi"/>
          <w:lang w:val="es-MX" w:eastAsia="ja-JP"/>
        </w:rPr>
        <w:t xml:space="preserve">.  </w:t>
      </w:r>
    </w:p>
    <w:p w:rsidR="00304A18" w:rsidRDefault="00304A18" w:rsidP="004037FF">
      <w:pPr>
        <w:spacing w:before="100" w:beforeAutospacing="1" w:after="100" w:afterAutospacing="1" w:line="360" w:lineRule="auto"/>
        <w:jc w:val="both"/>
        <w:rPr>
          <w:rFonts w:ascii="Palatino Linotype" w:eastAsiaTheme="minorEastAsia" w:hAnsi="Palatino Linotype" w:cstheme="minorBidi"/>
          <w:lang w:val="es-MX" w:eastAsia="ja-JP"/>
        </w:rPr>
      </w:pPr>
    </w:p>
    <w:p w:rsidR="00304A18" w:rsidRDefault="00304A18" w:rsidP="004037FF">
      <w:pPr>
        <w:spacing w:before="100" w:beforeAutospacing="1" w:after="100" w:afterAutospacing="1" w:line="360" w:lineRule="auto"/>
        <w:jc w:val="both"/>
        <w:rPr>
          <w:rFonts w:ascii="Palatino Linotype" w:eastAsiaTheme="minorEastAsia" w:hAnsi="Palatino Linotype" w:cstheme="minorBidi"/>
          <w:lang w:val="es-MX" w:eastAsia="ja-JP"/>
        </w:rPr>
      </w:pPr>
    </w:p>
    <w:p w:rsidR="00861E62" w:rsidRDefault="00861E62" w:rsidP="004037FF">
      <w:pPr>
        <w:spacing w:before="100" w:beforeAutospacing="1" w:after="100" w:afterAutospacing="1" w:line="360" w:lineRule="auto"/>
        <w:jc w:val="both"/>
        <w:rPr>
          <w:rFonts w:ascii="Palatino Linotype" w:eastAsiaTheme="minorEastAsia" w:hAnsi="Palatino Linotype" w:cstheme="minorBidi"/>
          <w:lang w:val="es-MX" w:eastAsia="ja-JP"/>
        </w:rPr>
      </w:pPr>
    </w:p>
    <w:p w:rsidR="00861E62" w:rsidRDefault="00861E62" w:rsidP="004037FF">
      <w:pPr>
        <w:spacing w:before="100" w:beforeAutospacing="1" w:after="100" w:afterAutospacing="1" w:line="360" w:lineRule="auto"/>
        <w:jc w:val="both"/>
        <w:rPr>
          <w:rFonts w:ascii="Palatino Linotype" w:eastAsiaTheme="minorEastAsia" w:hAnsi="Palatino Linotype" w:cstheme="minorBidi"/>
          <w:lang w:val="es-MX" w:eastAsia="ja-JP"/>
        </w:rPr>
      </w:pPr>
    </w:p>
    <w:p w:rsidR="00861E62" w:rsidRDefault="00861E62" w:rsidP="004037FF">
      <w:pPr>
        <w:spacing w:before="100" w:beforeAutospacing="1" w:after="100" w:afterAutospacing="1" w:line="360" w:lineRule="auto"/>
        <w:jc w:val="both"/>
        <w:rPr>
          <w:rFonts w:ascii="Palatino Linotype" w:eastAsiaTheme="minorEastAsia" w:hAnsi="Palatino Linotype" w:cstheme="minorBidi"/>
          <w:lang w:val="es-MX" w:eastAsia="ja-JP"/>
        </w:rPr>
      </w:pPr>
      <w:bookmarkStart w:id="0" w:name="_GoBack"/>
      <w:bookmarkEnd w:id="0"/>
    </w:p>
    <w:tbl>
      <w:tblPr>
        <w:tblW w:w="4393" w:type="dxa"/>
        <w:jc w:val="center"/>
        <w:tblLayout w:type="fixed"/>
        <w:tblLook w:val="04A0" w:firstRow="1" w:lastRow="0" w:firstColumn="1" w:lastColumn="0" w:noHBand="0" w:noVBand="1"/>
      </w:tblPr>
      <w:tblGrid>
        <w:gridCol w:w="4393"/>
      </w:tblGrid>
      <w:tr w:rsidR="009E22D2" w:rsidRPr="00D10932" w:rsidTr="00555281">
        <w:trPr>
          <w:jc w:val="center"/>
        </w:trPr>
        <w:tc>
          <w:tcPr>
            <w:tcW w:w="4393" w:type="dxa"/>
          </w:tcPr>
          <w:p w:rsidR="009E22D2" w:rsidRPr="00D10932" w:rsidRDefault="009E22D2" w:rsidP="00B90277">
            <w:pPr>
              <w:jc w:val="center"/>
              <w:rPr>
                <w:rFonts w:ascii="Palatino Linotype" w:hAnsi="Palatino Linotype"/>
                <w:b/>
              </w:rPr>
            </w:pPr>
            <w:r w:rsidRPr="00D10932">
              <w:rPr>
                <w:rFonts w:ascii="Palatino Linotype" w:hAnsi="Palatino Linotype"/>
                <w:b/>
              </w:rPr>
              <w:t>EVA ABAID YAPUR</w:t>
            </w:r>
          </w:p>
          <w:p w:rsidR="009E22D2" w:rsidRDefault="009E22D2" w:rsidP="00861E62">
            <w:pPr>
              <w:jc w:val="center"/>
              <w:rPr>
                <w:rFonts w:ascii="Palatino Linotype" w:hAnsi="Palatino Linotype"/>
                <w:b/>
              </w:rPr>
            </w:pPr>
            <w:r w:rsidRPr="00D10932">
              <w:rPr>
                <w:rFonts w:ascii="Palatino Linotype" w:hAnsi="Palatino Linotype"/>
                <w:b/>
              </w:rPr>
              <w:t>COMISIONADA</w:t>
            </w:r>
          </w:p>
          <w:p w:rsidR="001E141E" w:rsidRPr="00D10932" w:rsidRDefault="001E141E" w:rsidP="00861E62">
            <w:pPr>
              <w:jc w:val="center"/>
              <w:rPr>
                <w:rFonts w:ascii="Palatino Linotype" w:hAnsi="Palatino Linotype"/>
                <w:b/>
              </w:rPr>
            </w:pPr>
            <w:r>
              <w:rPr>
                <w:rFonts w:ascii="Palatino Linotype" w:hAnsi="Palatino Linotype"/>
                <w:b/>
              </w:rPr>
              <w:t>(RUBRICA)</w:t>
            </w:r>
          </w:p>
        </w:tc>
      </w:tr>
    </w:tbl>
    <w:p w:rsidR="007D39AF" w:rsidRDefault="007D39AF"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1F45ED" w:rsidRDefault="001F45ED" w:rsidP="007D39AF">
      <w:pPr>
        <w:jc w:val="both"/>
        <w:rPr>
          <w:rFonts w:ascii="Palatino Linotype" w:eastAsia="Calibri" w:hAnsi="Palatino Linotype" w:cs="Arial"/>
          <w:color w:val="000000" w:themeColor="text1"/>
          <w:sz w:val="22"/>
        </w:rPr>
      </w:pPr>
    </w:p>
    <w:p w:rsidR="0039650F" w:rsidRDefault="0039650F" w:rsidP="007D39AF">
      <w:pPr>
        <w:jc w:val="both"/>
        <w:rPr>
          <w:rFonts w:ascii="Palatino Linotype" w:eastAsia="Calibri" w:hAnsi="Palatino Linotype" w:cs="Arial"/>
          <w:color w:val="000000" w:themeColor="text1"/>
          <w:sz w:val="22"/>
        </w:rPr>
      </w:pPr>
    </w:p>
    <w:p w:rsidR="0039650F" w:rsidRDefault="0039650F" w:rsidP="007D39AF">
      <w:pPr>
        <w:jc w:val="both"/>
        <w:rPr>
          <w:rFonts w:ascii="Palatino Linotype" w:eastAsia="Calibri" w:hAnsi="Palatino Linotype" w:cs="Arial"/>
          <w:color w:val="000000" w:themeColor="text1"/>
          <w:sz w:val="22"/>
        </w:rPr>
      </w:pPr>
    </w:p>
    <w:p w:rsidR="009E22D2" w:rsidRDefault="009E22D2" w:rsidP="007D39AF">
      <w:pPr>
        <w:jc w:val="both"/>
        <w:rPr>
          <w:rFonts w:ascii="Palatino Linotype" w:eastAsia="Calibri" w:hAnsi="Palatino Linotype" w:cs="Arial"/>
          <w:color w:val="000000" w:themeColor="text1"/>
          <w:sz w:val="22"/>
        </w:rPr>
      </w:pPr>
      <w:r w:rsidRPr="00BB3C8A">
        <w:rPr>
          <w:rFonts w:ascii="Palatino Linotype" w:eastAsia="Calibri" w:hAnsi="Palatino Linotype" w:cs="Arial"/>
          <w:color w:val="000000" w:themeColor="text1"/>
          <w:sz w:val="22"/>
        </w:rPr>
        <w:t>Esta hoja corresponde al voto particular emitido en la resolución d</w:t>
      </w:r>
      <w:r w:rsidR="00BE207C" w:rsidRPr="00BB3C8A">
        <w:rPr>
          <w:rFonts w:ascii="Palatino Linotype" w:eastAsia="Calibri" w:hAnsi="Palatino Linotype" w:cs="Arial"/>
          <w:color w:val="000000" w:themeColor="text1"/>
          <w:sz w:val="22"/>
        </w:rPr>
        <w:t>e</w:t>
      </w:r>
      <w:r w:rsidR="00B90277">
        <w:rPr>
          <w:rFonts w:ascii="Palatino Linotype" w:eastAsia="Calibri" w:hAnsi="Palatino Linotype" w:cs="Arial"/>
          <w:color w:val="000000" w:themeColor="text1"/>
          <w:sz w:val="22"/>
        </w:rPr>
        <w:t xml:space="preserve"> </w:t>
      </w:r>
      <w:r w:rsidR="00BE207C" w:rsidRPr="00BB3C8A">
        <w:rPr>
          <w:rFonts w:ascii="Palatino Linotype" w:eastAsia="Calibri" w:hAnsi="Palatino Linotype" w:cs="Arial"/>
          <w:color w:val="000000" w:themeColor="text1"/>
          <w:sz w:val="22"/>
        </w:rPr>
        <w:t>l</w:t>
      </w:r>
      <w:r w:rsidR="00B90277">
        <w:rPr>
          <w:rFonts w:ascii="Palatino Linotype" w:eastAsia="Calibri" w:hAnsi="Palatino Linotype" w:cs="Arial"/>
          <w:color w:val="000000" w:themeColor="text1"/>
          <w:sz w:val="22"/>
        </w:rPr>
        <w:t>os</w:t>
      </w:r>
      <w:r w:rsidRPr="00BB3C8A">
        <w:rPr>
          <w:rFonts w:ascii="Palatino Linotype" w:eastAsia="Calibri" w:hAnsi="Palatino Linotype" w:cs="Arial"/>
          <w:color w:val="000000" w:themeColor="text1"/>
          <w:sz w:val="22"/>
        </w:rPr>
        <w:t xml:space="preserve"> recurso</w:t>
      </w:r>
      <w:r w:rsidR="00B90277">
        <w:rPr>
          <w:rFonts w:ascii="Palatino Linotype" w:eastAsia="Calibri" w:hAnsi="Palatino Linotype" w:cs="Arial"/>
          <w:color w:val="000000" w:themeColor="text1"/>
          <w:sz w:val="22"/>
        </w:rPr>
        <w:t>s</w:t>
      </w:r>
      <w:r w:rsidRPr="00BB3C8A">
        <w:rPr>
          <w:rFonts w:ascii="Palatino Linotype" w:eastAsia="Calibri" w:hAnsi="Palatino Linotype" w:cs="Arial"/>
          <w:color w:val="000000" w:themeColor="text1"/>
          <w:sz w:val="22"/>
        </w:rPr>
        <w:t xml:space="preserve"> de revisión 0</w:t>
      </w:r>
      <w:r w:rsidR="00B90277">
        <w:rPr>
          <w:rFonts w:ascii="Palatino Linotype" w:eastAsia="Calibri" w:hAnsi="Palatino Linotype" w:cs="Arial"/>
          <w:color w:val="000000" w:themeColor="text1"/>
          <w:sz w:val="22"/>
        </w:rPr>
        <w:t>5233/INFOEM/IP/RR/2019 y acumulado</w:t>
      </w:r>
      <w:r w:rsidRPr="00BB3C8A">
        <w:rPr>
          <w:rFonts w:ascii="Palatino Linotype" w:eastAsia="Calibri" w:hAnsi="Palatino Linotype" w:cs="Arial"/>
          <w:color w:val="000000" w:themeColor="text1"/>
          <w:sz w:val="22"/>
        </w:rPr>
        <w:t xml:space="preserve">, aprobada el </w:t>
      </w:r>
      <w:r w:rsidR="00B90277">
        <w:rPr>
          <w:rFonts w:ascii="Palatino Linotype" w:eastAsia="Calibri" w:hAnsi="Palatino Linotype" w:cs="Arial"/>
          <w:color w:val="000000" w:themeColor="text1"/>
          <w:sz w:val="22"/>
        </w:rPr>
        <w:t>once de septiembre</w:t>
      </w:r>
      <w:r w:rsidRPr="00BB3C8A">
        <w:rPr>
          <w:rFonts w:ascii="Palatino Linotype" w:eastAsia="Calibri" w:hAnsi="Palatino Linotype" w:cs="Arial"/>
          <w:color w:val="000000" w:themeColor="text1"/>
          <w:sz w:val="22"/>
        </w:rPr>
        <w:t xml:space="preserve"> de dos mil </w:t>
      </w:r>
      <w:r w:rsidR="00B90277">
        <w:rPr>
          <w:rFonts w:ascii="Palatino Linotype" w:eastAsia="Calibri" w:hAnsi="Palatino Linotype" w:cs="Arial"/>
          <w:color w:val="000000" w:themeColor="text1"/>
          <w:sz w:val="22"/>
        </w:rPr>
        <w:t>diecinueve</w:t>
      </w:r>
      <w:r w:rsidRPr="00BB3C8A">
        <w:rPr>
          <w:rFonts w:ascii="Palatino Linotype" w:eastAsia="Calibri" w:hAnsi="Palatino Linotype" w:cs="Arial"/>
          <w:color w:val="000000" w:themeColor="text1"/>
          <w:sz w:val="22"/>
        </w:rPr>
        <w:t xml:space="preserve">. </w:t>
      </w:r>
    </w:p>
    <w:p w:rsidR="007D39AF" w:rsidRPr="00861E62" w:rsidRDefault="007D39AF" w:rsidP="007D39AF">
      <w:pPr>
        <w:jc w:val="both"/>
        <w:rPr>
          <w:rFonts w:ascii="Palatino Linotype" w:eastAsia="Calibri" w:hAnsi="Palatino Linotype" w:cs="Arial"/>
          <w:color w:val="000000" w:themeColor="text1"/>
          <w:sz w:val="8"/>
          <w:szCs w:val="8"/>
        </w:rPr>
      </w:pPr>
    </w:p>
    <w:p w:rsidR="009E22D2" w:rsidRPr="007D39AF" w:rsidRDefault="009E22D2" w:rsidP="007D39AF">
      <w:pPr>
        <w:jc w:val="both"/>
        <w:rPr>
          <w:sz w:val="22"/>
        </w:rPr>
      </w:pPr>
      <w:r w:rsidRPr="00BB3C8A">
        <w:rPr>
          <w:rFonts w:ascii="Palatino Linotype" w:eastAsia="Calibri" w:hAnsi="Palatino Linotype" w:cs="Arial"/>
          <w:color w:val="000000" w:themeColor="text1"/>
          <w:sz w:val="22"/>
        </w:rPr>
        <w:t>YSM/</w:t>
      </w:r>
      <w:r w:rsidR="00B90277">
        <w:rPr>
          <w:rFonts w:ascii="Palatino Linotype" w:eastAsia="Calibri" w:hAnsi="Palatino Linotype" w:cs="Arial"/>
          <w:color w:val="000000" w:themeColor="text1"/>
          <w:sz w:val="22"/>
        </w:rPr>
        <w:t>CBO</w:t>
      </w:r>
    </w:p>
    <w:sectPr w:rsidR="009E22D2" w:rsidRPr="007D39AF" w:rsidSect="00304A18">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F2" w:rsidRDefault="003F73F2" w:rsidP="00B3668D">
      <w:r>
        <w:separator/>
      </w:r>
    </w:p>
  </w:endnote>
  <w:endnote w:type="continuationSeparator" w:id="0">
    <w:p w:rsidR="003F73F2" w:rsidRDefault="003F73F2" w:rsidP="00B3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E141E" w:rsidP="00DC5C4E">
    <w:pPr>
      <w:pStyle w:val="Piedepgina"/>
      <w:tabs>
        <w:tab w:val="clear" w:pos="4252"/>
        <w:tab w:val="left" w:pos="4228"/>
      </w:tabs>
      <w:rPr>
        <w:rFonts w:ascii="Palatino Linotype" w:hAnsi="Palatino Linotype" w:cs="Arial"/>
        <w:b/>
        <w:bCs/>
        <w:sz w:val="20"/>
        <w:szCs w:val="20"/>
      </w:rPr>
    </w:pPr>
  </w:p>
  <w:p w:rsidR="005C7C8F" w:rsidRDefault="001E141E" w:rsidP="00DC5C4E">
    <w:pPr>
      <w:pStyle w:val="Piedepgina"/>
      <w:tabs>
        <w:tab w:val="clear" w:pos="4252"/>
        <w:tab w:val="left" w:pos="4228"/>
      </w:tabs>
      <w:rPr>
        <w:rFonts w:ascii="Palatino Linotype" w:hAnsi="Palatino Linotype" w:cs="Arial"/>
        <w:b/>
        <w:bCs/>
        <w:sz w:val="20"/>
        <w:szCs w:val="20"/>
      </w:rPr>
    </w:pPr>
  </w:p>
  <w:p w:rsidR="005C7C8F" w:rsidRDefault="001E141E" w:rsidP="00DC5C4E">
    <w:pPr>
      <w:pStyle w:val="Piedepgina"/>
      <w:tabs>
        <w:tab w:val="clear" w:pos="4252"/>
        <w:tab w:val="left" w:pos="4228"/>
      </w:tabs>
      <w:rPr>
        <w:rFonts w:ascii="Palatino Linotype" w:hAnsi="Palatino Linotype" w:cs="Arial"/>
        <w:b/>
        <w:bCs/>
        <w:sz w:val="20"/>
        <w:szCs w:val="20"/>
      </w:rPr>
    </w:pPr>
  </w:p>
  <w:p w:rsidR="005C7C8F" w:rsidRDefault="001E141E" w:rsidP="00DC5C4E">
    <w:pPr>
      <w:pStyle w:val="Piedepgina"/>
      <w:rPr>
        <w:rFonts w:ascii="Palatino Linotype" w:hAnsi="Palatino Linotype" w:cs="Arial"/>
        <w:b/>
        <w:bCs/>
        <w:sz w:val="20"/>
        <w:szCs w:val="20"/>
      </w:rPr>
    </w:pPr>
  </w:p>
  <w:p w:rsidR="005C7C8F" w:rsidRPr="00F12350" w:rsidRDefault="009D62BC"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E141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E141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1E141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F2" w:rsidRDefault="003F73F2" w:rsidP="00B3668D">
      <w:r>
        <w:separator/>
      </w:r>
    </w:p>
  </w:footnote>
  <w:footnote w:type="continuationSeparator" w:id="0">
    <w:p w:rsidR="003F73F2" w:rsidRDefault="003F73F2" w:rsidP="00B3668D">
      <w:r>
        <w:continuationSeparator/>
      </w:r>
    </w:p>
  </w:footnote>
  <w:footnote w:id="1">
    <w:p w:rsidR="00304A18" w:rsidRDefault="00304A18" w:rsidP="00304A18">
      <w:pPr>
        <w:pStyle w:val="Textonotapie"/>
        <w:jc w:val="both"/>
      </w:pPr>
      <w:r>
        <w:rPr>
          <w:rStyle w:val="Refdenotaalpie"/>
        </w:rPr>
        <w:footnoteRef/>
      </w:r>
      <w:r>
        <w:t xml:space="preserve"> </w:t>
      </w:r>
      <w:r w:rsidRPr="00304A18">
        <w:rPr>
          <w:rFonts w:ascii="Palatino Linotype" w:hAnsi="Palatino Linotype"/>
        </w:rPr>
        <w:t xml:space="preserve">Lo que se refuerza con la </w:t>
      </w:r>
      <w:r w:rsidRPr="00865BE9">
        <w:rPr>
          <w:rFonts w:ascii="Palatino Linotype" w:hAnsi="Palatino Linotype"/>
        </w:rPr>
        <w:t>Tesis Jurisprudencial número 2ª</w:t>
      </w:r>
      <w:proofErr w:type="gramStart"/>
      <w:r w:rsidRPr="00865BE9">
        <w:rPr>
          <w:rFonts w:ascii="Palatino Linotype" w:hAnsi="Palatino Linotype"/>
        </w:rPr>
        <w:t>./</w:t>
      </w:r>
      <w:proofErr w:type="gramEnd"/>
      <w:r w:rsidRPr="00865BE9">
        <w:rPr>
          <w:rFonts w:ascii="Palatino Linotype" w:hAnsi="Palatino Linotype"/>
        </w:rPr>
        <w:t>J. 118/2010, publicada en el Semanario Judicial de la Federación y su Gaceta, bajo el número de registro 164033, de rubro: INFORMACIÓN PÚBLICA. EL MONTO ANUAL DE LAS CUOTAS SINDICALES DE LOS TRABAJADORES DE PETROLÉOS MEXICANOS NO CONSTITUYE UN DATO QUE DEBA DARSE A CONOCER A LOS TERCEROS QUE LO SOLICITEN.</w:t>
      </w:r>
    </w:p>
    <w:p w:rsidR="00304A18" w:rsidRPr="00304A18" w:rsidRDefault="00304A1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E14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D62BC"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12FEEE7A" wp14:editId="590F723F">
          <wp:simplePos x="0" y="0"/>
          <wp:positionH relativeFrom="column">
            <wp:posOffset>-695435</wp:posOffset>
          </wp:positionH>
          <wp:positionV relativeFrom="paragraph">
            <wp:posOffset>-449746</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xmlns:w16se="http://schemas.microsoft.com/office/word/2015/wordml/symex" xmlns:cx="http://schemas.microsoft.com/office/drawing/2014/chartex"/>
                    </a:ext>
                  </a:extLst>
                </pic:spPr>
              </pic:pic>
            </a:graphicData>
          </a:graphic>
        </wp:anchor>
      </w:drawing>
    </w:r>
  </w:p>
  <w:p w:rsidR="005C7C8F" w:rsidRPr="00D10932" w:rsidRDefault="009D62BC" w:rsidP="0066455B">
    <w:pPr>
      <w:pStyle w:val="Encabezado"/>
      <w:tabs>
        <w:tab w:val="clear" w:pos="4252"/>
        <w:tab w:val="clear" w:pos="8504"/>
        <w:tab w:val="left" w:pos="2326"/>
      </w:tabs>
      <w:ind w:right="-93"/>
      <w:jc w:val="right"/>
      <w:rPr>
        <w:rFonts w:ascii="Palatino Linotype" w:hAnsi="Palatino Linotype"/>
        <w:sz w:val="28"/>
      </w:rPr>
    </w:pPr>
    <w:r w:rsidRPr="00D10932">
      <w:rPr>
        <w:rFonts w:ascii="Palatino Linotype" w:hAnsi="Palatino Linotype" w:cs="Arial"/>
        <w:sz w:val="22"/>
        <w:szCs w:val="20"/>
      </w:rPr>
      <w:t>VOTO PARTICULAR</w:t>
    </w:r>
  </w:p>
  <w:p w:rsidR="0066455B" w:rsidRDefault="009D62BC" w:rsidP="0066455B">
    <w:pPr>
      <w:pStyle w:val="Encabezado"/>
      <w:tabs>
        <w:tab w:val="clear" w:pos="4252"/>
        <w:tab w:val="clear" w:pos="8504"/>
        <w:tab w:val="left" w:pos="2326"/>
      </w:tabs>
      <w:ind w:right="-93"/>
      <w:jc w:val="right"/>
      <w:rPr>
        <w:rFonts w:ascii="Palatino Linotype" w:hAnsi="Palatino Linotype" w:cs="Arial"/>
        <w:sz w:val="22"/>
        <w:szCs w:val="20"/>
      </w:rPr>
    </w:pPr>
    <w:r w:rsidRPr="00D10932">
      <w:rPr>
        <w:rFonts w:ascii="Palatino Linotype" w:hAnsi="Palatino Linotype" w:cs="Arial"/>
        <w:sz w:val="22"/>
        <w:szCs w:val="20"/>
      </w:rPr>
      <w:t>RECURSO</w:t>
    </w:r>
    <w:r w:rsidR="0066455B">
      <w:rPr>
        <w:rFonts w:ascii="Palatino Linotype" w:hAnsi="Palatino Linotype" w:cs="Arial"/>
        <w:sz w:val="22"/>
        <w:szCs w:val="20"/>
      </w:rPr>
      <w:t>S</w:t>
    </w:r>
    <w:r w:rsidRPr="00D10932">
      <w:rPr>
        <w:rFonts w:ascii="Palatino Linotype" w:hAnsi="Palatino Linotype" w:cs="Arial"/>
        <w:sz w:val="22"/>
        <w:szCs w:val="20"/>
      </w:rPr>
      <w:t xml:space="preserve"> DE REVISIÓN </w:t>
    </w:r>
    <w:r w:rsidR="0066455B" w:rsidRPr="0066455B">
      <w:rPr>
        <w:rFonts w:ascii="Palatino Linotype" w:hAnsi="Palatino Linotype" w:cs="Arial"/>
        <w:sz w:val="22"/>
        <w:szCs w:val="20"/>
      </w:rPr>
      <w:t xml:space="preserve">05233/INFOEM/IP/RR/2019 </w:t>
    </w:r>
  </w:p>
  <w:p w:rsidR="00B3668D" w:rsidRDefault="0066455B" w:rsidP="0066455B">
    <w:pPr>
      <w:pStyle w:val="Encabezado"/>
      <w:tabs>
        <w:tab w:val="clear" w:pos="4252"/>
        <w:tab w:val="clear" w:pos="8504"/>
        <w:tab w:val="left" w:pos="2326"/>
      </w:tabs>
      <w:ind w:right="-93"/>
      <w:jc w:val="right"/>
      <w:rPr>
        <w:rFonts w:ascii="Palatino Linotype" w:hAnsi="Palatino Linotype" w:cs="Arial"/>
        <w:sz w:val="22"/>
        <w:szCs w:val="20"/>
      </w:rPr>
    </w:pPr>
    <w:r>
      <w:rPr>
        <w:rFonts w:ascii="Palatino Linotype" w:hAnsi="Palatino Linotype" w:cs="Arial"/>
        <w:sz w:val="22"/>
        <w:szCs w:val="20"/>
      </w:rPr>
      <w:t>Y</w:t>
    </w:r>
    <w:r w:rsidRPr="0066455B">
      <w:rPr>
        <w:rFonts w:ascii="Palatino Linotype" w:hAnsi="Palatino Linotype" w:cs="Arial"/>
        <w:sz w:val="22"/>
        <w:szCs w:val="20"/>
      </w:rPr>
      <w:t xml:space="preserve"> 05334/INFOEM/IP/RR/2019</w:t>
    </w:r>
    <w:r>
      <w:rPr>
        <w:rFonts w:ascii="Palatino Linotype" w:hAnsi="Palatino Linotype" w:cs="Arial"/>
        <w:sz w:val="22"/>
        <w:szCs w:val="20"/>
      </w:rPr>
      <w:t xml:space="preserve"> ACUMULADOS</w:t>
    </w:r>
  </w:p>
  <w:p w:rsidR="00D10932" w:rsidRPr="00D10932" w:rsidRDefault="00D10932" w:rsidP="00DC5C4E">
    <w:pPr>
      <w:pStyle w:val="Encabezado"/>
      <w:tabs>
        <w:tab w:val="clear" w:pos="4252"/>
        <w:tab w:val="clear" w:pos="8504"/>
        <w:tab w:val="left" w:pos="2326"/>
      </w:tabs>
      <w:jc w:val="right"/>
      <w:rPr>
        <w:rFonts w:ascii="Palatino Linotype" w:hAnsi="Palatino Linotype" w:cs="Arial"/>
        <w:sz w:val="22"/>
        <w:szCs w:val="20"/>
      </w:rPr>
    </w:pPr>
  </w:p>
  <w:p w:rsidR="002E3829" w:rsidRDefault="001E141E"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1.05pt;margin-top:233.6pt;width:650.7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E141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F6F22"/>
    <w:multiLevelType w:val="hybridMultilevel"/>
    <w:tmpl w:val="028ACDFA"/>
    <w:lvl w:ilvl="0" w:tplc="6A4C4C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2B4406D2"/>
    <w:multiLevelType w:val="hybridMultilevel"/>
    <w:tmpl w:val="5C24555A"/>
    <w:lvl w:ilvl="0" w:tplc="D95AD3A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9B34B07"/>
    <w:multiLevelType w:val="hybridMultilevel"/>
    <w:tmpl w:val="43766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2"/>
    <w:rsid w:val="0001067A"/>
    <w:rsid w:val="00014FA2"/>
    <w:rsid w:val="001E141E"/>
    <w:rsid w:val="001F45ED"/>
    <w:rsid w:val="00304A18"/>
    <w:rsid w:val="003506DF"/>
    <w:rsid w:val="0039650F"/>
    <w:rsid w:val="003C26D3"/>
    <w:rsid w:val="003F73F2"/>
    <w:rsid w:val="004037FF"/>
    <w:rsid w:val="004323CD"/>
    <w:rsid w:val="00446D6A"/>
    <w:rsid w:val="005D2963"/>
    <w:rsid w:val="005E236B"/>
    <w:rsid w:val="005F0267"/>
    <w:rsid w:val="00640D62"/>
    <w:rsid w:val="0066455B"/>
    <w:rsid w:val="006D77CC"/>
    <w:rsid w:val="00755F3D"/>
    <w:rsid w:val="00783F30"/>
    <w:rsid w:val="007D39AF"/>
    <w:rsid w:val="008614DE"/>
    <w:rsid w:val="00861E62"/>
    <w:rsid w:val="009169AB"/>
    <w:rsid w:val="009A2755"/>
    <w:rsid w:val="009B0FAC"/>
    <w:rsid w:val="009D62BC"/>
    <w:rsid w:val="009E22D2"/>
    <w:rsid w:val="00A35375"/>
    <w:rsid w:val="00A5088B"/>
    <w:rsid w:val="00A663E2"/>
    <w:rsid w:val="00AE4428"/>
    <w:rsid w:val="00AF22AF"/>
    <w:rsid w:val="00B3668D"/>
    <w:rsid w:val="00B90277"/>
    <w:rsid w:val="00BA28A3"/>
    <w:rsid w:val="00BB0C92"/>
    <w:rsid w:val="00BB1C45"/>
    <w:rsid w:val="00BB3C8A"/>
    <w:rsid w:val="00BE207C"/>
    <w:rsid w:val="00C026B8"/>
    <w:rsid w:val="00C23B43"/>
    <w:rsid w:val="00C731D1"/>
    <w:rsid w:val="00C9714C"/>
    <w:rsid w:val="00CD01FA"/>
    <w:rsid w:val="00D10932"/>
    <w:rsid w:val="00E25A5D"/>
    <w:rsid w:val="00E75C2F"/>
    <w:rsid w:val="00EB026E"/>
    <w:rsid w:val="00F0586F"/>
    <w:rsid w:val="00F15114"/>
    <w:rsid w:val="00F60466"/>
    <w:rsid w:val="00F70D0F"/>
    <w:rsid w:val="00FC17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C8CF6E5-022E-4378-BA14-B09281C4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22D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E22D2"/>
    <w:rPr>
      <w:rFonts w:eastAsiaTheme="minorEastAsia"/>
      <w:sz w:val="24"/>
      <w:szCs w:val="24"/>
      <w:lang w:val="es-ES_tradnl" w:eastAsia="es-ES"/>
    </w:rPr>
  </w:style>
  <w:style w:type="paragraph" w:styleId="Piedepgina">
    <w:name w:val="footer"/>
    <w:basedOn w:val="Normal"/>
    <w:link w:val="PiedepginaCar"/>
    <w:uiPriority w:val="99"/>
    <w:unhideWhenUsed/>
    <w:rsid w:val="009E22D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E22D2"/>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E22D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E22D2"/>
    <w:pPr>
      <w:ind w:left="708"/>
    </w:pPr>
    <w:rPr>
      <w:sz w:val="22"/>
      <w:szCs w:val="22"/>
      <w:lang w:eastAsia="en-US"/>
    </w:rPr>
  </w:style>
  <w:style w:type="paragraph" w:customStyle="1" w:styleId="j">
    <w:name w:val="j"/>
    <w:basedOn w:val="Normal"/>
    <w:rsid w:val="009E22D2"/>
    <w:pPr>
      <w:spacing w:before="100" w:beforeAutospacing="1" w:after="100" w:afterAutospacing="1"/>
    </w:pPr>
    <w:rPr>
      <w:lang w:val="es-MX" w:eastAsia="es-MX"/>
    </w:rPr>
  </w:style>
  <w:style w:type="character" w:customStyle="1" w:styleId="nacep">
    <w:name w:val="n_acep"/>
    <w:basedOn w:val="Fuentedeprrafopredeter"/>
    <w:rsid w:val="009E22D2"/>
  </w:style>
  <w:style w:type="character" w:customStyle="1" w:styleId="u">
    <w:name w:val="u"/>
    <w:basedOn w:val="Fuentedeprrafopredeter"/>
    <w:rsid w:val="009E22D2"/>
  </w:style>
  <w:style w:type="paragraph" w:styleId="Textodeglobo">
    <w:name w:val="Balloon Text"/>
    <w:basedOn w:val="Normal"/>
    <w:link w:val="TextodegloboCar"/>
    <w:uiPriority w:val="99"/>
    <w:semiHidden/>
    <w:unhideWhenUsed/>
    <w:rsid w:val="00BE20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07C"/>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04A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04A1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304A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BE6A3-D87E-43FF-B613-6A1927A3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1249</Words>
  <Characters>6872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2019-09-17T22:29:00Z</cp:lastPrinted>
  <dcterms:created xsi:type="dcterms:W3CDTF">2019-09-17T23:17:00Z</dcterms:created>
  <dcterms:modified xsi:type="dcterms:W3CDTF">2019-10-14T23:04:00Z</dcterms:modified>
</cp:coreProperties>
</file>