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D15" w:rsidRPr="009F71D8" w:rsidRDefault="00222D15" w:rsidP="009E71E2">
      <w:pPr>
        <w:widowControl w:val="0"/>
        <w:spacing w:before="100" w:beforeAutospacing="1" w:after="100" w:afterAutospacing="1" w:line="360" w:lineRule="auto"/>
        <w:ind w:right="49"/>
        <w:jc w:val="both"/>
        <w:rPr>
          <w:rFonts w:ascii="Palatino Linotype" w:hAnsi="Palatino Linotype" w:cs="Arial"/>
          <w:b/>
          <w:bCs/>
          <w:sz w:val="24"/>
          <w:szCs w:val="24"/>
        </w:rPr>
      </w:pPr>
      <w:r w:rsidRPr="009F71D8">
        <w:rPr>
          <w:rFonts w:ascii="Palatino Linotype" w:hAnsi="Palatino Linotype" w:cs="Arial"/>
          <w:b/>
          <w:sz w:val="24"/>
          <w:szCs w:val="24"/>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A75F3C">
        <w:rPr>
          <w:rFonts w:ascii="Palatino Linotype" w:hAnsi="Palatino Linotype" w:cs="Arial"/>
          <w:b/>
          <w:sz w:val="24"/>
          <w:szCs w:val="24"/>
        </w:rPr>
        <w:t xml:space="preserve">TRIGÉSIMA </w:t>
      </w:r>
      <w:r w:rsidR="00E26E75">
        <w:rPr>
          <w:rFonts w:ascii="Palatino Linotype" w:hAnsi="Palatino Linotype" w:cs="Arial"/>
          <w:b/>
          <w:sz w:val="24"/>
          <w:szCs w:val="24"/>
        </w:rPr>
        <w:t xml:space="preserve">OCTAVA </w:t>
      </w:r>
      <w:r w:rsidRPr="009F71D8">
        <w:rPr>
          <w:rFonts w:ascii="Palatino Linotype" w:hAnsi="Palatino Linotype" w:cs="Arial"/>
          <w:b/>
          <w:sz w:val="24"/>
          <w:szCs w:val="24"/>
        </w:rPr>
        <w:t xml:space="preserve">SESIÓN ORDINARIA DE </w:t>
      </w:r>
      <w:r w:rsidR="00E26E75">
        <w:rPr>
          <w:rFonts w:ascii="Palatino Linotype" w:hAnsi="Palatino Linotype" w:cs="Arial"/>
          <w:b/>
          <w:sz w:val="24"/>
          <w:szCs w:val="24"/>
        </w:rPr>
        <w:t xml:space="preserve">DIECISÉIS </w:t>
      </w:r>
      <w:r>
        <w:rPr>
          <w:rFonts w:ascii="Palatino Linotype" w:hAnsi="Palatino Linotype" w:cs="Arial"/>
          <w:b/>
          <w:sz w:val="24"/>
          <w:szCs w:val="24"/>
        </w:rPr>
        <w:t xml:space="preserve">DE </w:t>
      </w:r>
      <w:r w:rsidR="00E26E75">
        <w:rPr>
          <w:rFonts w:ascii="Palatino Linotype" w:hAnsi="Palatino Linotype" w:cs="Arial"/>
          <w:b/>
          <w:sz w:val="24"/>
          <w:szCs w:val="24"/>
        </w:rPr>
        <w:t xml:space="preserve">OCTUBRE </w:t>
      </w:r>
      <w:r w:rsidRPr="009F71D8">
        <w:rPr>
          <w:rFonts w:ascii="Palatino Linotype" w:hAnsi="Palatino Linotype" w:cs="Arial"/>
          <w:b/>
          <w:sz w:val="24"/>
          <w:szCs w:val="24"/>
        </w:rPr>
        <w:t>DE DOS MIL DIECI</w:t>
      </w:r>
      <w:r w:rsidR="00E26E75">
        <w:rPr>
          <w:rFonts w:ascii="Palatino Linotype" w:hAnsi="Palatino Linotype" w:cs="Arial"/>
          <w:b/>
          <w:sz w:val="24"/>
          <w:szCs w:val="24"/>
        </w:rPr>
        <w:t>NUEVE,</w:t>
      </w:r>
      <w:r w:rsidRPr="009F71D8">
        <w:rPr>
          <w:rFonts w:ascii="Palatino Linotype" w:hAnsi="Palatino Linotype" w:cs="Arial"/>
          <w:b/>
          <w:sz w:val="24"/>
          <w:szCs w:val="24"/>
        </w:rPr>
        <w:t xml:space="preserve"> EN EL RECURSO DE REVISIÓN </w:t>
      </w:r>
      <w:r w:rsidR="00E26E75">
        <w:rPr>
          <w:rFonts w:ascii="Palatino Linotype" w:hAnsi="Palatino Linotype" w:cs="Arial"/>
          <w:b/>
          <w:bCs/>
          <w:sz w:val="24"/>
          <w:szCs w:val="24"/>
        </w:rPr>
        <w:t>06665</w:t>
      </w:r>
      <w:r w:rsidRPr="009F71D8">
        <w:rPr>
          <w:rFonts w:ascii="Palatino Linotype" w:hAnsi="Palatino Linotype" w:cs="Arial"/>
          <w:b/>
          <w:bCs/>
          <w:sz w:val="24"/>
          <w:szCs w:val="24"/>
        </w:rPr>
        <w:t>/INFOEM/IP/RR/201</w:t>
      </w:r>
      <w:r w:rsidR="00E26E75">
        <w:rPr>
          <w:rFonts w:ascii="Palatino Linotype" w:hAnsi="Palatino Linotype" w:cs="Arial"/>
          <w:b/>
          <w:bCs/>
          <w:sz w:val="24"/>
          <w:szCs w:val="24"/>
        </w:rPr>
        <w:t>9</w:t>
      </w:r>
      <w:r w:rsidRPr="009F71D8">
        <w:rPr>
          <w:rFonts w:ascii="Palatino Linotype" w:hAnsi="Palatino Linotype" w:cs="Arial"/>
          <w:b/>
          <w:bCs/>
          <w:sz w:val="24"/>
          <w:szCs w:val="24"/>
        </w:rPr>
        <w:t>.</w:t>
      </w:r>
    </w:p>
    <w:p w:rsidR="00222D15" w:rsidRPr="009F71D8" w:rsidRDefault="00222D15" w:rsidP="009E71E2">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w:t>
      </w:r>
      <w:r w:rsidR="00A75F3C">
        <w:rPr>
          <w:rFonts w:ascii="Palatino Linotype" w:hAnsi="Palatino Linotype" w:cs="Arial"/>
          <w:sz w:val="24"/>
          <w:szCs w:val="24"/>
        </w:rPr>
        <w:t>,</w:t>
      </w:r>
      <w:r w:rsidRPr="009F71D8">
        <w:rPr>
          <w:rFonts w:ascii="Palatino Linotype" w:hAnsi="Palatino Linotype" w:cs="Arial"/>
          <w:sz w:val="24"/>
          <w:szCs w:val="24"/>
        </w:rPr>
        <w:t xml:space="preserve"> fracciones X y XI del Reglamento Interior del Instituto de Transparencia, Acceso a la Información Pública y Protección de Datos Personales del Estado de México y Municipios, la que suscribe</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 xml:space="preserve">EVA ABAID YAPUR </w:t>
      </w:r>
      <w:r w:rsidRPr="009F71D8">
        <w:rPr>
          <w:rFonts w:ascii="Palatino Linotype" w:hAnsi="Palatino Linotype" w:cs="Arial"/>
          <w:sz w:val="24"/>
          <w:szCs w:val="24"/>
        </w:rPr>
        <w:t xml:space="preserve">emite </w:t>
      </w:r>
      <w:r w:rsidRPr="009F71D8">
        <w:rPr>
          <w:rFonts w:ascii="Palatino Linotype" w:hAnsi="Palatino Linotype" w:cs="Arial"/>
          <w:b/>
          <w:sz w:val="24"/>
          <w:szCs w:val="24"/>
        </w:rPr>
        <w:t xml:space="preserve">VOTO PARTICULAR </w:t>
      </w:r>
      <w:r w:rsidRPr="009F71D8">
        <w:rPr>
          <w:rFonts w:ascii="Palatino Linotype" w:hAnsi="Palatino Linotype" w:cs="Arial"/>
          <w:sz w:val="24"/>
          <w:szCs w:val="24"/>
        </w:rPr>
        <w:t xml:space="preserve">respecto de la resolución dictada en el recurso de revisión </w:t>
      </w:r>
      <w:r w:rsidR="00E26E75">
        <w:rPr>
          <w:rFonts w:ascii="Palatino Linotype" w:hAnsi="Palatino Linotype" w:cs="Arial"/>
          <w:b/>
          <w:bCs/>
          <w:sz w:val="24"/>
          <w:szCs w:val="24"/>
        </w:rPr>
        <w:t>0666</w:t>
      </w:r>
      <w:r w:rsidR="00A75F3C">
        <w:rPr>
          <w:rFonts w:ascii="Palatino Linotype" w:hAnsi="Palatino Linotype" w:cs="Arial"/>
          <w:b/>
          <w:bCs/>
          <w:sz w:val="24"/>
          <w:szCs w:val="24"/>
        </w:rPr>
        <w:t>5</w:t>
      </w:r>
      <w:r w:rsidR="00E26E75">
        <w:rPr>
          <w:rFonts w:ascii="Palatino Linotype" w:hAnsi="Palatino Linotype" w:cs="Arial"/>
          <w:b/>
          <w:bCs/>
          <w:sz w:val="24"/>
          <w:szCs w:val="24"/>
        </w:rPr>
        <w:t>/INFOEM/IP/RR/2019</w:t>
      </w:r>
      <w:r w:rsidRPr="009F71D8">
        <w:rPr>
          <w:rFonts w:ascii="Palatino Linotype" w:hAnsi="Palatino Linotype" w:cs="Arial"/>
          <w:sz w:val="24"/>
          <w:szCs w:val="24"/>
        </w:rPr>
        <w:t xml:space="preserve">, pronunciada por el Pleno de este Instituto ante el proyecto presentado por la Comisionada Presidenta </w:t>
      </w:r>
      <w:r w:rsidRPr="009F71D8">
        <w:rPr>
          <w:rFonts w:ascii="Palatino Linotype" w:hAnsi="Palatino Linotype" w:cs="Arial"/>
          <w:b/>
          <w:sz w:val="24"/>
          <w:szCs w:val="24"/>
        </w:rPr>
        <w:t>ZULEMA MARTÍNEZ SÁNCHEZ</w:t>
      </w:r>
      <w:r w:rsidRPr="009F71D8">
        <w:rPr>
          <w:rFonts w:ascii="Palatino Linotype" w:hAnsi="Palatino Linotype" w:cs="Arial"/>
          <w:sz w:val="24"/>
          <w:szCs w:val="24"/>
        </w:rPr>
        <w:t>, que es del tenor siguiente.</w:t>
      </w:r>
    </w:p>
    <w:p w:rsidR="00222D15" w:rsidRPr="009F71D8" w:rsidRDefault="00222D15" w:rsidP="009E71E2">
      <w:pPr>
        <w:spacing w:before="100" w:beforeAutospacing="1" w:after="100" w:afterAutospacing="1" w:line="360" w:lineRule="auto"/>
        <w:ind w:right="49"/>
        <w:jc w:val="both"/>
        <w:rPr>
          <w:rFonts w:ascii="Palatino Linotype" w:hAnsi="Palatino Linotype"/>
          <w:sz w:val="24"/>
          <w:szCs w:val="24"/>
        </w:rPr>
      </w:pPr>
      <w:r w:rsidRPr="009F71D8">
        <w:rPr>
          <w:rFonts w:ascii="Palatino Linotype" w:hAnsi="Palatino Linotype"/>
          <w:sz w:val="24"/>
          <w:szCs w:val="24"/>
        </w:rPr>
        <w:t xml:space="preserve">Es de destacar, que la suscrita comparte esencialmente el </w:t>
      </w:r>
      <w:r>
        <w:rPr>
          <w:rFonts w:ascii="Palatino Linotype" w:hAnsi="Palatino Linotype"/>
          <w:sz w:val="24"/>
          <w:szCs w:val="24"/>
        </w:rPr>
        <w:t xml:space="preserve">sentido de la resolución </w:t>
      </w:r>
      <w:r w:rsidRPr="009F71D8">
        <w:rPr>
          <w:rFonts w:ascii="Palatino Linotype" w:hAnsi="Palatino Linotype"/>
          <w:sz w:val="24"/>
          <w:szCs w:val="24"/>
        </w:rPr>
        <w:t>del rec</w:t>
      </w:r>
      <w:r w:rsidR="00642D83">
        <w:rPr>
          <w:rFonts w:ascii="Palatino Linotype" w:hAnsi="Palatino Linotype"/>
          <w:sz w:val="24"/>
          <w:szCs w:val="24"/>
        </w:rPr>
        <w:t>urso de revisión; empero, estimo</w:t>
      </w:r>
      <w:r w:rsidRPr="009F71D8">
        <w:rPr>
          <w:rFonts w:ascii="Palatino Linotype" w:hAnsi="Palatino Linotype"/>
          <w:sz w:val="24"/>
          <w:szCs w:val="24"/>
        </w:rPr>
        <w:t xml:space="preserve"> necesario precisar algunas consideraciones de hecho y de derecho.</w:t>
      </w:r>
    </w:p>
    <w:p w:rsidR="00E26E75" w:rsidRDefault="00222D15" w:rsidP="00E26E75">
      <w:pPr>
        <w:spacing w:before="100" w:beforeAutospacing="1" w:after="100" w:afterAutospacing="1" w:line="360" w:lineRule="auto"/>
        <w:jc w:val="both"/>
        <w:rPr>
          <w:rFonts w:ascii="Palatino Linotype" w:hAnsi="Palatino Linotype"/>
          <w:sz w:val="24"/>
          <w:szCs w:val="24"/>
        </w:rPr>
      </w:pPr>
      <w:r w:rsidRPr="009F71D8">
        <w:rPr>
          <w:rFonts w:ascii="Palatino Linotype" w:hAnsi="Palatino Linotype"/>
          <w:sz w:val="24"/>
          <w:szCs w:val="24"/>
        </w:rPr>
        <w:t>Al respecto, tal y como quedó debidamente asentado en la resoluc</w:t>
      </w:r>
      <w:r>
        <w:rPr>
          <w:rFonts w:ascii="Palatino Linotype" w:hAnsi="Palatino Linotype"/>
          <w:sz w:val="24"/>
          <w:szCs w:val="24"/>
        </w:rPr>
        <w:t>i</w:t>
      </w:r>
      <w:r w:rsidR="007400A4">
        <w:rPr>
          <w:rFonts w:ascii="Palatino Linotype" w:hAnsi="Palatino Linotype"/>
          <w:sz w:val="24"/>
          <w:szCs w:val="24"/>
        </w:rPr>
        <w:t>ón materia del presente voto, el</w:t>
      </w:r>
      <w:r w:rsidRPr="009F71D8">
        <w:rPr>
          <w:rFonts w:ascii="Palatino Linotype" w:hAnsi="Palatino Linotype"/>
          <w:sz w:val="24"/>
          <w:szCs w:val="24"/>
        </w:rPr>
        <w:t xml:space="preserve"> particular requirió d</w:t>
      </w:r>
      <w:r w:rsidR="00E26E75">
        <w:rPr>
          <w:rFonts w:ascii="Palatino Linotype" w:hAnsi="Palatino Linotype"/>
          <w:sz w:val="24"/>
          <w:szCs w:val="24"/>
        </w:rPr>
        <w:t xml:space="preserve">el </w:t>
      </w:r>
      <w:r w:rsidR="00E26E75" w:rsidRPr="00E26E75">
        <w:rPr>
          <w:rFonts w:ascii="Palatino Linotype" w:hAnsi="Palatino Linotype"/>
          <w:b/>
          <w:sz w:val="24"/>
          <w:szCs w:val="24"/>
        </w:rPr>
        <w:t xml:space="preserve">Organismo Público Descentralizado para la Prestación de los Servicios de Agua Potable, Alcantarillado y Saneamiento del </w:t>
      </w:r>
      <w:r w:rsidR="00E26E75" w:rsidRPr="00E26E75">
        <w:rPr>
          <w:rFonts w:ascii="Palatino Linotype" w:hAnsi="Palatino Linotype"/>
          <w:b/>
          <w:sz w:val="24"/>
          <w:szCs w:val="24"/>
        </w:rPr>
        <w:lastRenderedPageBreak/>
        <w:t>Municipio de Zumpango</w:t>
      </w:r>
      <w:r w:rsidR="00D24722">
        <w:rPr>
          <w:rFonts w:ascii="Palatino Linotype" w:hAnsi="Palatino Linotype"/>
          <w:sz w:val="24"/>
          <w:szCs w:val="24"/>
        </w:rPr>
        <w:t xml:space="preserve">, en lo sucesivo </w:t>
      </w:r>
      <w:r w:rsidR="007400A4">
        <w:rPr>
          <w:rFonts w:ascii="Palatino Linotype" w:hAnsi="Palatino Linotype"/>
          <w:b/>
          <w:sz w:val="24"/>
          <w:szCs w:val="24"/>
        </w:rPr>
        <w:t>EL</w:t>
      </w:r>
      <w:r w:rsidR="007400A4" w:rsidRPr="007400A4">
        <w:rPr>
          <w:rFonts w:ascii="Palatino Linotype" w:hAnsi="Palatino Linotype"/>
          <w:sz w:val="24"/>
          <w:szCs w:val="24"/>
        </w:rPr>
        <w:t xml:space="preserve"> </w:t>
      </w:r>
      <w:r w:rsidRPr="009F71D8">
        <w:rPr>
          <w:rFonts w:ascii="Palatino Linotype" w:hAnsi="Palatino Linotype"/>
          <w:b/>
          <w:sz w:val="24"/>
          <w:szCs w:val="24"/>
        </w:rPr>
        <w:t>SUJETO OBLIGADO,</w:t>
      </w:r>
      <w:r w:rsidRPr="009F71D8">
        <w:rPr>
          <w:rFonts w:ascii="Palatino Linotype" w:hAnsi="Palatino Linotype"/>
          <w:sz w:val="24"/>
          <w:szCs w:val="24"/>
        </w:rPr>
        <w:t xml:space="preserve"> </w:t>
      </w:r>
      <w:r>
        <w:rPr>
          <w:rFonts w:ascii="Palatino Linotype" w:hAnsi="Palatino Linotype"/>
          <w:sz w:val="24"/>
          <w:szCs w:val="24"/>
        </w:rPr>
        <w:t xml:space="preserve">le proporcionara </w:t>
      </w:r>
      <w:r w:rsidR="007400A4">
        <w:rPr>
          <w:rFonts w:ascii="Palatino Linotype" w:hAnsi="Palatino Linotype"/>
          <w:sz w:val="24"/>
          <w:szCs w:val="24"/>
        </w:rPr>
        <w:t>la</w:t>
      </w:r>
      <w:r w:rsidR="00E26E75">
        <w:rPr>
          <w:rFonts w:ascii="Palatino Linotype" w:hAnsi="Palatino Linotype"/>
          <w:sz w:val="24"/>
          <w:szCs w:val="24"/>
        </w:rPr>
        <w:t xml:space="preserve"> siguiente </w:t>
      </w:r>
      <w:r w:rsidR="007400A4">
        <w:rPr>
          <w:rFonts w:ascii="Palatino Linotype" w:hAnsi="Palatino Linotype"/>
          <w:sz w:val="24"/>
          <w:szCs w:val="24"/>
        </w:rPr>
        <w:t>información</w:t>
      </w:r>
      <w:r w:rsidR="00E26E75">
        <w:rPr>
          <w:rFonts w:ascii="Palatino Linotype" w:hAnsi="Palatino Linotype"/>
          <w:sz w:val="24"/>
          <w:szCs w:val="24"/>
        </w:rPr>
        <w:t xml:space="preserve">: </w:t>
      </w:r>
    </w:p>
    <w:p w:rsidR="00E26E75" w:rsidRPr="00E26E75" w:rsidRDefault="00E26E75" w:rsidP="00E26E75">
      <w:pPr>
        <w:pStyle w:val="Prrafodelista"/>
        <w:numPr>
          <w:ilvl w:val="0"/>
          <w:numId w:val="6"/>
        </w:numPr>
        <w:tabs>
          <w:tab w:val="left" w:pos="851"/>
        </w:tabs>
        <w:spacing w:before="100" w:beforeAutospacing="1" w:after="100" w:afterAutospacing="1" w:line="360" w:lineRule="auto"/>
        <w:ind w:left="851" w:right="902" w:firstLine="0"/>
        <w:jc w:val="both"/>
        <w:rPr>
          <w:rFonts w:ascii="Palatino Linotype" w:hAnsi="Palatino Linotype"/>
          <w:i/>
          <w:lang w:val="es-ES_tradnl"/>
        </w:rPr>
      </w:pPr>
      <w:r w:rsidRPr="00E26E75">
        <w:rPr>
          <w:rFonts w:ascii="Palatino Linotype" w:hAnsi="Palatino Linotype"/>
          <w:i/>
        </w:rPr>
        <w:t>Recibos de nómina de la primera quincena de enero a la primera quincena de mayo 2019 en formato PDF abierto</w:t>
      </w:r>
      <w:r>
        <w:rPr>
          <w:rFonts w:ascii="Palatino Linotype" w:hAnsi="Palatino Linotype"/>
          <w:i/>
        </w:rPr>
        <w:t xml:space="preserve">, </w:t>
      </w:r>
    </w:p>
    <w:p w:rsidR="00A75F3C" w:rsidRPr="00A75F3C" w:rsidRDefault="00E26E75" w:rsidP="00E26E75">
      <w:pPr>
        <w:pStyle w:val="Prrafodelista"/>
        <w:numPr>
          <w:ilvl w:val="0"/>
          <w:numId w:val="6"/>
        </w:numPr>
        <w:tabs>
          <w:tab w:val="left" w:pos="851"/>
        </w:tabs>
        <w:spacing w:before="100" w:beforeAutospacing="1" w:after="100" w:afterAutospacing="1" w:line="360" w:lineRule="auto"/>
        <w:ind w:left="851" w:right="902" w:firstLine="0"/>
        <w:jc w:val="both"/>
        <w:rPr>
          <w:rFonts w:ascii="Palatino Linotype" w:hAnsi="Palatino Linotype"/>
          <w:i/>
          <w:lang w:val="es-ES_tradnl"/>
        </w:rPr>
      </w:pPr>
      <w:r w:rsidRPr="00E26E75">
        <w:rPr>
          <w:rFonts w:ascii="Palatino Linotype" w:hAnsi="Palatino Linotype"/>
          <w:i/>
        </w:rPr>
        <w:t>Determinación preliminar de cada una de las nóminas</w:t>
      </w:r>
      <w:r>
        <w:rPr>
          <w:rFonts w:ascii="Palatino Linotype" w:hAnsi="Palatino Linotype"/>
          <w:i/>
        </w:rPr>
        <w:t xml:space="preserve"> en formato Excel</w:t>
      </w:r>
      <w:r w:rsidR="00A75F3C" w:rsidRPr="00A75F3C">
        <w:rPr>
          <w:rFonts w:ascii="Palatino Linotype" w:hAnsi="Palatino Linotype"/>
          <w:i/>
        </w:rPr>
        <w:t>.</w:t>
      </w:r>
    </w:p>
    <w:p w:rsidR="00E26E75" w:rsidRPr="00E26E75" w:rsidRDefault="00D24722" w:rsidP="00560699">
      <w:pPr>
        <w:tabs>
          <w:tab w:val="left" w:pos="709"/>
        </w:tabs>
        <w:spacing w:before="240" w:after="0" w:line="360" w:lineRule="auto"/>
        <w:ind w:right="51"/>
        <w:jc w:val="both"/>
        <w:rPr>
          <w:rFonts w:ascii="Palatino Linotype" w:hAnsi="Palatino Linotype" w:cs="Arial"/>
          <w:sz w:val="24"/>
          <w:szCs w:val="24"/>
        </w:rPr>
      </w:pPr>
      <w:r w:rsidRPr="00560699">
        <w:rPr>
          <w:rFonts w:ascii="Palatino Linotype" w:hAnsi="Palatino Linotype" w:cs="Arial"/>
          <w:sz w:val="24"/>
          <w:szCs w:val="24"/>
        </w:rPr>
        <w:t xml:space="preserve">Ahora bien, de las constancias que obran dentro del expediente electrónico del Sistema de Acceso a la Información Mexiquense, en lo subsecuente el </w:t>
      </w:r>
      <w:r w:rsidRPr="00560699">
        <w:rPr>
          <w:rFonts w:ascii="Palatino Linotype" w:hAnsi="Palatino Linotype" w:cs="Arial"/>
          <w:b/>
          <w:sz w:val="24"/>
          <w:szCs w:val="24"/>
        </w:rPr>
        <w:t xml:space="preserve">SAIMEX, </w:t>
      </w:r>
      <w:r w:rsidRPr="00560699">
        <w:rPr>
          <w:rFonts w:ascii="Palatino Linotype" w:hAnsi="Palatino Linotype" w:cs="Arial"/>
          <w:sz w:val="24"/>
          <w:szCs w:val="24"/>
        </w:rPr>
        <w:t xml:space="preserve">se advierte que </w:t>
      </w:r>
      <w:r w:rsidRPr="00560699">
        <w:rPr>
          <w:rFonts w:ascii="Palatino Linotype" w:hAnsi="Palatino Linotype" w:cs="Arial"/>
          <w:b/>
          <w:sz w:val="24"/>
          <w:szCs w:val="24"/>
        </w:rPr>
        <w:t xml:space="preserve">EL SUJETO OBLIGADO </w:t>
      </w:r>
      <w:r w:rsidR="00E26E75" w:rsidRPr="00E26E75">
        <w:rPr>
          <w:rFonts w:ascii="Palatino Linotype" w:hAnsi="Palatino Linotype" w:cs="Arial"/>
          <w:sz w:val="24"/>
          <w:szCs w:val="24"/>
        </w:rPr>
        <w:t xml:space="preserve">fue omiso en atender </w:t>
      </w:r>
      <w:r w:rsidR="00E26E75">
        <w:rPr>
          <w:rFonts w:ascii="Palatino Linotype" w:hAnsi="Palatino Linotype" w:cs="Arial"/>
          <w:sz w:val="24"/>
          <w:szCs w:val="24"/>
        </w:rPr>
        <w:t xml:space="preserve">el requerimiento del ciudadano </w:t>
      </w:r>
      <w:r w:rsidR="00E26E75" w:rsidRPr="00E26E75">
        <w:rPr>
          <w:rFonts w:ascii="Palatino Linotype" w:hAnsi="Palatino Linotype" w:cs="Arial"/>
          <w:sz w:val="24"/>
          <w:szCs w:val="24"/>
        </w:rPr>
        <w:t>por lo que éste procedió a interponer el recurso de revisión de mérito, adoleciéndose toralmente de la negativa a su solicitud.</w:t>
      </w:r>
    </w:p>
    <w:p w:rsidR="006663D9" w:rsidRDefault="00725933" w:rsidP="006663D9">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Así, del estudio del expediente electrónico,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determinó </w:t>
      </w:r>
      <w:r w:rsidR="00E26E75">
        <w:rPr>
          <w:rFonts w:ascii="Palatino Linotype" w:hAnsi="Palatino Linotype" w:cs="Arial"/>
          <w:b/>
          <w:sz w:val="24"/>
          <w:szCs w:val="24"/>
        </w:rPr>
        <w:t>ORDENAR</w:t>
      </w:r>
      <w:r>
        <w:rPr>
          <w:rFonts w:ascii="Palatino Linotype" w:hAnsi="Palatino Linotype" w:cs="Arial"/>
          <w:b/>
          <w:sz w:val="24"/>
          <w:szCs w:val="24"/>
        </w:rPr>
        <w:t xml:space="preserve"> </w:t>
      </w:r>
      <w:r w:rsidR="00E26E75">
        <w:rPr>
          <w:rFonts w:ascii="Palatino Linotype" w:hAnsi="Palatino Linotype" w:cs="Arial"/>
          <w:sz w:val="24"/>
          <w:szCs w:val="24"/>
        </w:rPr>
        <w:t xml:space="preserve">al </w:t>
      </w:r>
      <w:r>
        <w:rPr>
          <w:rFonts w:ascii="Palatino Linotype" w:hAnsi="Palatino Linotype" w:cs="Arial"/>
          <w:b/>
          <w:sz w:val="24"/>
          <w:szCs w:val="24"/>
        </w:rPr>
        <w:t xml:space="preserve">SUJETO OBLIGADO </w:t>
      </w:r>
      <w:r w:rsidR="00E26E75">
        <w:rPr>
          <w:rFonts w:ascii="Palatino Linotype" w:hAnsi="Palatino Linotype" w:cs="Arial"/>
          <w:sz w:val="24"/>
          <w:szCs w:val="24"/>
        </w:rPr>
        <w:t xml:space="preserve">la entrega, </w:t>
      </w:r>
      <w:r w:rsidR="006663D9">
        <w:rPr>
          <w:rFonts w:ascii="Palatino Linotype" w:hAnsi="Palatino Linotype" w:cs="Arial"/>
          <w:sz w:val="24"/>
          <w:szCs w:val="24"/>
        </w:rPr>
        <w:t>en versión pública</w:t>
      </w:r>
      <w:r w:rsidR="007B3F24">
        <w:rPr>
          <w:rFonts w:ascii="Palatino Linotype" w:hAnsi="Palatino Linotype" w:cs="Arial"/>
          <w:sz w:val="24"/>
          <w:szCs w:val="24"/>
        </w:rPr>
        <w:t xml:space="preserve">, </w:t>
      </w:r>
      <w:r w:rsidR="006663D9">
        <w:rPr>
          <w:rFonts w:ascii="Palatino Linotype" w:hAnsi="Palatino Linotype" w:cs="Arial"/>
          <w:sz w:val="24"/>
          <w:szCs w:val="24"/>
        </w:rPr>
        <w:t>a través del</w:t>
      </w:r>
      <w:r w:rsidR="007B3F24">
        <w:rPr>
          <w:rFonts w:ascii="Palatino Linotype" w:hAnsi="Palatino Linotype" w:cs="Arial"/>
          <w:sz w:val="24"/>
          <w:szCs w:val="24"/>
        </w:rPr>
        <w:t xml:space="preserve"> </w:t>
      </w:r>
      <w:r w:rsidR="007B3F24" w:rsidRPr="007746BF">
        <w:rPr>
          <w:rFonts w:ascii="Palatino Linotype" w:hAnsi="Palatino Linotype" w:cs="Arial"/>
          <w:b/>
          <w:sz w:val="24"/>
          <w:szCs w:val="24"/>
        </w:rPr>
        <w:t>SAIMEX</w:t>
      </w:r>
      <w:r w:rsidR="007B3F24">
        <w:rPr>
          <w:rFonts w:ascii="Palatino Linotype" w:hAnsi="Palatino Linotype" w:cs="Arial"/>
          <w:sz w:val="24"/>
          <w:szCs w:val="24"/>
        </w:rPr>
        <w:t>,</w:t>
      </w:r>
      <w:r w:rsidR="006663D9">
        <w:rPr>
          <w:rFonts w:ascii="Palatino Linotype" w:hAnsi="Palatino Linotype" w:cs="Arial"/>
          <w:sz w:val="24"/>
          <w:szCs w:val="24"/>
        </w:rPr>
        <w:t xml:space="preserve"> de</w:t>
      </w:r>
      <w:r w:rsidR="00E26E75">
        <w:rPr>
          <w:rFonts w:ascii="Palatino Linotype" w:hAnsi="Palatino Linotype" w:cs="Arial"/>
          <w:sz w:val="24"/>
          <w:szCs w:val="24"/>
        </w:rPr>
        <w:t xml:space="preserve"> </w:t>
      </w:r>
      <w:r w:rsidR="006663D9">
        <w:rPr>
          <w:rFonts w:ascii="Palatino Linotype" w:hAnsi="Palatino Linotype" w:cs="Arial"/>
          <w:sz w:val="24"/>
          <w:szCs w:val="24"/>
        </w:rPr>
        <w:t xml:space="preserve">lo siguiente: </w:t>
      </w:r>
    </w:p>
    <w:p w:rsidR="00E26E75" w:rsidRPr="00E26E75" w:rsidRDefault="00E26E75" w:rsidP="00A85056">
      <w:pPr>
        <w:pStyle w:val="Prrafodelista"/>
        <w:spacing w:before="100" w:beforeAutospacing="1" w:after="100" w:afterAutospacing="1" w:line="240" w:lineRule="auto"/>
        <w:ind w:left="851" w:right="902"/>
        <w:jc w:val="both"/>
        <w:rPr>
          <w:rFonts w:ascii="Palatino Linotype" w:hAnsi="Palatino Linotype" w:cs="Arial"/>
          <w:i/>
        </w:rPr>
      </w:pPr>
      <w:r w:rsidRPr="00E26E75">
        <w:rPr>
          <w:rFonts w:ascii="Palatino Linotype" w:hAnsi="Palatino Linotype" w:cs="Arial"/>
          <w:i/>
        </w:rPr>
        <w:t xml:space="preserve">De la primer quincena del mes de enero a la </w:t>
      </w:r>
      <w:proofErr w:type="gramStart"/>
      <w:r w:rsidRPr="00E26E75">
        <w:rPr>
          <w:rFonts w:ascii="Palatino Linotype" w:hAnsi="Palatino Linotype" w:cs="Arial"/>
          <w:i/>
        </w:rPr>
        <w:t>primer</w:t>
      </w:r>
      <w:proofErr w:type="gramEnd"/>
      <w:r w:rsidRPr="00E26E75">
        <w:rPr>
          <w:rFonts w:ascii="Palatino Linotype" w:hAnsi="Palatino Linotype" w:cs="Arial"/>
          <w:i/>
        </w:rPr>
        <w:t xml:space="preserve"> quincena del mes de mayo de dos mil diecinueve:</w:t>
      </w:r>
    </w:p>
    <w:p w:rsidR="00E26E75" w:rsidRPr="00E26E75" w:rsidRDefault="00E26E75" w:rsidP="00A85056">
      <w:pPr>
        <w:pStyle w:val="Prrafodelista"/>
        <w:numPr>
          <w:ilvl w:val="0"/>
          <w:numId w:val="9"/>
        </w:numPr>
        <w:spacing w:before="100" w:beforeAutospacing="1" w:after="100" w:afterAutospacing="1" w:line="240" w:lineRule="auto"/>
        <w:ind w:right="902"/>
        <w:jc w:val="both"/>
        <w:rPr>
          <w:rFonts w:ascii="Palatino Linotype" w:hAnsi="Palatino Linotype" w:cs="Arial"/>
          <w:i/>
        </w:rPr>
      </w:pPr>
      <w:r w:rsidRPr="00E26E75">
        <w:rPr>
          <w:rFonts w:ascii="Palatino Linotype" w:hAnsi="Palatino Linotype" w:cs="Arial"/>
          <w:i/>
        </w:rPr>
        <w:t>Recibos de nómina o CFDI del personal adscrito al sujeto obligado, en formato PDF abierto.</w:t>
      </w:r>
    </w:p>
    <w:p w:rsidR="00E26E75" w:rsidRPr="00A85056" w:rsidRDefault="00E26E75" w:rsidP="00A85056">
      <w:pPr>
        <w:pStyle w:val="Prrafodelista"/>
        <w:numPr>
          <w:ilvl w:val="0"/>
          <w:numId w:val="9"/>
        </w:numPr>
        <w:spacing w:before="100" w:beforeAutospacing="1" w:after="100" w:afterAutospacing="1" w:line="240" w:lineRule="auto"/>
        <w:ind w:right="902"/>
        <w:jc w:val="both"/>
        <w:rPr>
          <w:rFonts w:ascii="Palatino Linotype" w:hAnsi="Palatino Linotype" w:cs="Arial"/>
          <w:b/>
          <w:i/>
        </w:rPr>
      </w:pPr>
      <w:r w:rsidRPr="00A85056">
        <w:rPr>
          <w:rFonts w:ascii="Palatino Linotype" w:hAnsi="Palatino Linotype" w:cs="Arial"/>
          <w:b/>
          <w:i/>
        </w:rPr>
        <w:t>Determinación preliminar de cada una de las nóminas en formato Excel.</w:t>
      </w:r>
    </w:p>
    <w:p w:rsidR="00E26E75" w:rsidRPr="00E26E75" w:rsidRDefault="00E26E75" w:rsidP="00A85056">
      <w:pPr>
        <w:pStyle w:val="Prrafodelista"/>
        <w:spacing w:before="100" w:beforeAutospacing="1" w:after="100" w:afterAutospacing="1" w:line="240" w:lineRule="auto"/>
        <w:ind w:left="851" w:right="902"/>
        <w:jc w:val="both"/>
        <w:rPr>
          <w:rFonts w:ascii="Palatino Linotype" w:hAnsi="Palatino Linotype" w:cs="Arial"/>
          <w:i/>
        </w:rPr>
      </w:pPr>
      <w:r w:rsidRPr="00E26E75">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6663D9" w:rsidRPr="00C56A1A" w:rsidRDefault="00E26E75" w:rsidP="00A85056">
      <w:pPr>
        <w:pStyle w:val="Prrafodelista"/>
        <w:spacing w:before="100" w:beforeAutospacing="1" w:after="100" w:afterAutospacing="1" w:line="240" w:lineRule="auto"/>
        <w:ind w:left="851" w:right="902"/>
        <w:jc w:val="both"/>
        <w:rPr>
          <w:rFonts w:ascii="Palatino Linotype" w:hAnsi="Palatino Linotype" w:cs="Arial"/>
          <w:i/>
        </w:rPr>
      </w:pPr>
      <w:r w:rsidRPr="00E26E75">
        <w:rPr>
          <w:rFonts w:ascii="Palatino Linotype" w:hAnsi="Palatino Linotype" w:cs="Arial"/>
          <w:i/>
        </w:rPr>
        <w:lastRenderedPageBreak/>
        <w:t>En el supuesto de que la información que se ordena entregar en el punto 2 que antecede, no haya sido generada, poseída o administrada por el sujeto obligado, bastará con que así lo manifieste.</w:t>
      </w:r>
    </w:p>
    <w:p w:rsidR="003A7AD2" w:rsidRDefault="00222D15" w:rsidP="009E71E2">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 xml:space="preserve">En ese sentido, la que suscribe reitera, que si bien coincide en términos generales con el </w:t>
      </w:r>
      <w:r>
        <w:rPr>
          <w:rFonts w:ascii="Palatino Linotype" w:hAnsi="Palatino Linotype" w:cs="Arial"/>
          <w:sz w:val="24"/>
          <w:szCs w:val="24"/>
        </w:rPr>
        <w:t>sentido de la resolución en comento;</w:t>
      </w:r>
      <w:r w:rsidR="00725933">
        <w:rPr>
          <w:rFonts w:ascii="Palatino Linotype" w:hAnsi="Palatino Linotype" w:cs="Arial"/>
          <w:sz w:val="24"/>
          <w:szCs w:val="24"/>
        </w:rPr>
        <w:t xml:space="preserve"> </w:t>
      </w:r>
      <w:r w:rsidR="003A49AA">
        <w:rPr>
          <w:rFonts w:ascii="Palatino Linotype" w:hAnsi="Palatino Linotype" w:cs="Arial"/>
          <w:sz w:val="24"/>
          <w:szCs w:val="24"/>
        </w:rPr>
        <w:t>difiero</w:t>
      </w:r>
      <w:r w:rsidR="00D93B99">
        <w:rPr>
          <w:rFonts w:ascii="Palatino Linotype" w:hAnsi="Palatino Linotype" w:cs="Arial"/>
          <w:sz w:val="24"/>
          <w:szCs w:val="24"/>
        </w:rPr>
        <w:t xml:space="preserve"> respecto</w:t>
      </w:r>
      <w:r w:rsidR="003A49AA">
        <w:rPr>
          <w:rFonts w:ascii="Palatino Linotype" w:hAnsi="Palatino Linotype" w:cs="Arial"/>
          <w:sz w:val="24"/>
          <w:szCs w:val="24"/>
        </w:rPr>
        <w:t xml:space="preserve"> de lo ordenado en el numeral </w:t>
      </w:r>
      <w:r w:rsidR="00A85056">
        <w:rPr>
          <w:rFonts w:ascii="Palatino Linotype" w:hAnsi="Palatino Linotype" w:cs="Arial"/>
          <w:sz w:val="24"/>
          <w:szCs w:val="24"/>
        </w:rPr>
        <w:t>2</w:t>
      </w:r>
      <w:r w:rsidR="003A49AA">
        <w:rPr>
          <w:rFonts w:ascii="Palatino Linotype" w:hAnsi="Palatino Linotype" w:cs="Arial"/>
          <w:sz w:val="24"/>
          <w:szCs w:val="24"/>
        </w:rPr>
        <w:t xml:space="preserve"> </w:t>
      </w:r>
      <w:r w:rsidR="00852A0B">
        <w:rPr>
          <w:rFonts w:ascii="Palatino Linotype" w:hAnsi="Palatino Linotype" w:cs="Arial"/>
          <w:sz w:val="24"/>
          <w:szCs w:val="24"/>
        </w:rPr>
        <w:t>referente a</w:t>
      </w:r>
      <w:r w:rsidR="00A85056">
        <w:rPr>
          <w:rFonts w:ascii="Palatino Linotype" w:hAnsi="Palatino Linotype" w:cs="Arial"/>
          <w:sz w:val="24"/>
          <w:szCs w:val="24"/>
        </w:rPr>
        <w:t xml:space="preserve"> </w:t>
      </w:r>
      <w:r w:rsidR="00852A0B">
        <w:rPr>
          <w:rFonts w:ascii="Palatino Linotype" w:hAnsi="Palatino Linotype" w:cs="Arial"/>
          <w:sz w:val="24"/>
          <w:szCs w:val="24"/>
        </w:rPr>
        <w:t>l</w:t>
      </w:r>
      <w:r w:rsidR="00A85056">
        <w:rPr>
          <w:rFonts w:ascii="Palatino Linotype" w:hAnsi="Palatino Linotype" w:cs="Arial"/>
          <w:sz w:val="24"/>
          <w:szCs w:val="24"/>
        </w:rPr>
        <w:t>a determinación preliminar de cada una de las nóminas en formato Excel</w:t>
      </w:r>
      <w:r w:rsidR="00BD68F5">
        <w:rPr>
          <w:rFonts w:ascii="Palatino Linotype" w:hAnsi="Palatino Linotype" w:cs="Arial"/>
          <w:sz w:val="24"/>
          <w:szCs w:val="24"/>
        </w:rPr>
        <w:t xml:space="preserve">, </w:t>
      </w:r>
      <w:r w:rsidR="003A49AA">
        <w:rPr>
          <w:rFonts w:ascii="Palatino Linotype" w:hAnsi="Palatino Linotype" w:cs="Arial"/>
          <w:sz w:val="24"/>
          <w:szCs w:val="24"/>
        </w:rPr>
        <w:t>debido a que</w:t>
      </w:r>
      <w:r w:rsidR="009E54E9">
        <w:rPr>
          <w:rFonts w:ascii="Palatino Linotype" w:hAnsi="Palatino Linotype" w:cs="Arial"/>
          <w:sz w:val="24"/>
          <w:szCs w:val="24"/>
        </w:rPr>
        <w:t xml:space="preserve"> </w:t>
      </w:r>
      <w:r w:rsidR="00F84C6D">
        <w:rPr>
          <w:rFonts w:ascii="Palatino Linotype" w:hAnsi="Palatino Linotype" w:cs="Arial"/>
          <w:sz w:val="24"/>
          <w:szCs w:val="24"/>
        </w:rPr>
        <w:t xml:space="preserve">de </w:t>
      </w:r>
      <w:r w:rsidR="00852A0B">
        <w:rPr>
          <w:rFonts w:ascii="Palatino Linotype" w:hAnsi="Palatino Linotype" w:cs="Arial"/>
          <w:sz w:val="24"/>
          <w:szCs w:val="24"/>
        </w:rPr>
        <w:t xml:space="preserve">ordenar dicha información, pudiese ordenarse </w:t>
      </w:r>
      <w:r w:rsidR="00F84C6D">
        <w:rPr>
          <w:rFonts w:ascii="Palatino Linotype" w:hAnsi="Palatino Linotype" w:cs="Arial"/>
          <w:sz w:val="24"/>
          <w:szCs w:val="24"/>
        </w:rPr>
        <w:t xml:space="preserve">que se genere un documento </w:t>
      </w:r>
      <w:r w:rsidR="00F84C6D" w:rsidRPr="0002282E">
        <w:rPr>
          <w:rFonts w:ascii="Palatino Linotype" w:hAnsi="Palatino Linotype" w:cs="Arial"/>
          <w:i/>
          <w:sz w:val="24"/>
          <w:szCs w:val="24"/>
        </w:rPr>
        <w:t>ad hoc</w:t>
      </w:r>
      <w:r w:rsidR="00852A0B">
        <w:rPr>
          <w:rFonts w:ascii="Palatino Linotype" w:hAnsi="Palatino Linotype" w:cs="Arial"/>
          <w:i/>
          <w:sz w:val="24"/>
          <w:szCs w:val="24"/>
        </w:rPr>
        <w:t xml:space="preserve"> </w:t>
      </w:r>
      <w:r w:rsidR="00852A0B" w:rsidRPr="00852A0B">
        <w:rPr>
          <w:rFonts w:ascii="Palatino Linotype" w:hAnsi="Palatino Linotype" w:cs="Arial"/>
          <w:sz w:val="24"/>
          <w:szCs w:val="24"/>
        </w:rPr>
        <w:t>o a modo</w:t>
      </w:r>
      <w:r w:rsidR="003A7AD2">
        <w:rPr>
          <w:rFonts w:ascii="Palatino Linotype" w:hAnsi="Palatino Linotype" w:cs="Arial"/>
          <w:sz w:val="24"/>
          <w:szCs w:val="24"/>
        </w:rPr>
        <w:t>, toda vez que no existe fuente obligacional que lo constriña a contar con dicha información, misma de la que se ordena haga entrega al particular.</w:t>
      </w:r>
    </w:p>
    <w:p w:rsidR="001569EA" w:rsidRPr="00C76F60" w:rsidRDefault="001569EA" w:rsidP="001569EA">
      <w:pPr>
        <w:widowControl w:val="0"/>
        <w:autoSpaceDE w:val="0"/>
        <w:autoSpaceDN w:val="0"/>
        <w:adjustRightInd w:val="0"/>
        <w:spacing w:before="100" w:beforeAutospacing="1" w:after="100" w:afterAutospacing="1" w:line="360" w:lineRule="auto"/>
        <w:jc w:val="both"/>
        <w:rPr>
          <w:rFonts w:ascii="Palatino Linotype" w:hAnsi="Palatino Linotype"/>
          <w:sz w:val="24"/>
          <w:szCs w:val="24"/>
        </w:rPr>
      </w:pPr>
      <w:r w:rsidRPr="00C76F60">
        <w:rPr>
          <w:rFonts w:ascii="Palatino Linotype" w:hAnsi="Palatino Linotype"/>
          <w:sz w:val="24"/>
          <w:szCs w:val="24"/>
        </w:rPr>
        <w:t xml:space="preserve">Como apoyo a lo anterior, es aplicable el Criterio </w:t>
      </w:r>
      <w:r>
        <w:rPr>
          <w:rFonts w:ascii="Palatino Linotype" w:hAnsi="Palatino Linotype"/>
          <w:sz w:val="24"/>
          <w:szCs w:val="24"/>
        </w:rPr>
        <w:t xml:space="preserve">Orientador </w:t>
      </w:r>
      <w:r w:rsidRPr="00C76F60">
        <w:rPr>
          <w:rFonts w:ascii="Palatino Linotype" w:hAnsi="Palatino Linotype"/>
          <w:sz w:val="24"/>
          <w:szCs w:val="24"/>
        </w:rPr>
        <w:t xml:space="preserve">03-17, emitido por el Pleno del Instituto Nacional de Transparencia, Acceso a la Información y Protección de Datos Personales, que dice: </w:t>
      </w:r>
    </w:p>
    <w:p w:rsidR="001569EA" w:rsidRPr="00E64ABF" w:rsidRDefault="001569EA" w:rsidP="001569EA">
      <w:pPr>
        <w:widowControl w:val="0"/>
        <w:autoSpaceDE w:val="0"/>
        <w:autoSpaceDN w:val="0"/>
        <w:adjustRightInd w:val="0"/>
        <w:ind w:left="851" w:right="899"/>
        <w:jc w:val="both"/>
        <w:rPr>
          <w:rFonts w:ascii="Palatino Linotype" w:hAnsi="Palatino Linotype"/>
          <w:i/>
        </w:rPr>
      </w:pPr>
      <w:r w:rsidRPr="00E64ABF">
        <w:rPr>
          <w:rFonts w:ascii="Palatino Linotype" w:hAnsi="Palatino Linotype"/>
          <w:i/>
        </w:rPr>
        <w:t>“</w:t>
      </w:r>
      <w:r w:rsidRPr="00E64ABF">
        <w:rPr>
          <w:rFonts w:ascii="Palatino Linotype" w:hAnsi="Palatino Linotype"/>
          <w:b/>
          <w:i/>
        </w:rPr>
        <w:t>No existe obligación de elaborar documentos ad hoc para atender las solicitudes de acceso a la información</w:t>
      </w:r>
      <w:r w:rsidRPr="00E64ABF">
        <w:rPr>
          <w:rFonts w:ascii="Palatino Linotype" w:hAnsi="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w:t>
      </w:r>
      <w:r w:rsidRPr="003A7AD2">
        <w:rPr>
          <w:rFonts w:ascii="Palatino Linotype" w:hAnsi="Palatino Linotype"/>
          <w:b/>
          <w:i/>
        </w:rPr>
        <w:t>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Pr="00E64ABF">
        <w:rPr>
          <w:rFonts w:ascii="Palatino Linotype" w:hAnsi="Palatino Linotype"/>
          <w:i/>
        </w:rPr>
        <w:t>.</w:t>
      </w:r>
    </w:p>
    <w:p w:rsidR="001569EA" w:rsidRPr="00E64ABF" w:rsidRDefault="001569EA" w:rsidP="001569EA">
      <w:pPr>
        <w:widowControl w:val="0"/>
        <w:autoSpaceDE w:val="0"/>
        <w:autoSpaceDN w:val="0"/>
        <w:adjustRightInd w:val="0"/>
        <w:ind w:left="851" w:right="899"/>
        <w:jc w:val="both"/>
        <w:rPr>
          <w:rFonts w:ascii="Palatino Linotype" w:hAnsi="Palatino Linotype"/>
          <w:i/>
        </w:rPr>
      </w:pPr>
      <w:r w:rsidRPr="00E64ABF">
        <w:rPr>
          <w:rFonts w:ascii="Palatino Linotype" w:hAnsi="Palatino Linotype"/>
          <w:i/>
        </w:rPr>
        <w:t>Resoluciones:</w:t>
      </w:r>
    </w:p>
    <w:p w:rsidR="001569EA" w:rsidRPr="00E64ABF" w:rsidRDefault="001569EA" w:rsidP="001569EA">
      <w:pPr>
        <w:widowControl w:val="0"/>
        <w:autoSpaceDE w:val="0"/>
        <w:autoSpaceDN w:val="0"/>
        <w:adjustRightInd w:val="0"/>
        <w:ind w:left="851" w:right="899"/>
        <w:jc w:val="both"/>
        <w:rPr>
          <w:rFonts w:ascii="Palatino Linotype" w:hAnsi="Palatino Linotype"/>
          <w:i/>
        </w:rPr>
      </w:pPr>
      <w:r w:rsidRPr="00E64ABF">
        <w:rPr>
          <w:rFonts w:ascii="Palatino Linotype" w:hAnsi="Palatino Linotype"/>
          <w:i/>
        </w:rPr>
        <w:t>•</w:t>
      </w:r>
      <w:r w:rsidRPr="00E64ABF">
        <w:rPr>
          <w:rFonts w:ascii="Palatino Linotype" w:hAnsi="Palatino Linotype"/>
          <w:i/>
        </w:rPr>
        <w:tab/>
        <w:t xml:space="preserve">RRA 0050/16. Instituto Nacional para la Evaluación de la Educación. 13 julio </w:t>
      </w:r>
      <w:r w:rsidRPr="00E64ABF">
        <w:rPr>
          <w:rFonts w:ascii="Palatino Linotype" w:hAnsi="Palatino Linotype"/>
          <w:i/>
        </w:rPr>
        <w:lastRenderedPageBreak/>
        <w:t>de 2016. Por unanimidad. Comisionado Ponente: Francisco Javier Acuña Llamas.</w:t>
      </w:r>
    </w:p>
    <w:p w:rsidR="001569EA" w:rsidRPr="00E64ABF" w:rsidRDefault="001569EA" w:rsidP="001569EA">
      <w:pPr>
        <w:widowControl w:val="0"/>
        <w:autoSpaceDE w:val="0"/>
        <w:autoSpaceDN w:val="0"/>
        <w:adjustRightInd w:val="0"/>
        <w:ind w:left="851" w:right="899"/>
        <w:jc w:val="both"/>
        <w:rPr>
          <w:rFonts w:ascii="Palatino Linotype" w:hAnsi="Palatino Linotype"/>
          <w:i/>
        </w:rPr>
      </w:pPr>
      <w:r w:rsidRPr="00E64ABF">
        <w:rPr>
          <w:rFonts w:ascii="Palatino Linotype" w:hAnsi="Palatino Linotype"/>
          <w:i/>
        </w:rPr>
        <w:t>•</w:t>
      </w:r>
      <w:r w:rsidRPr="00E64ABF">
        <w:rPr>
          <w:rFonts w:ascii="Palatino Linotype" w:hAnsi="Palatino Linotype"/>
          <w:i/>
        </w:rPr>
        <w:tab/>
        <w:t>RRA 0310/16. Instituto Nacional de Transparencia, Acceso a la Información y Protección de Datos Personales. 10 de agosto de 2016. Por unanimidad. Comisionada Ponente. Areli Cano Guadiana.</w:t>
      </w:r>
    </w:p>
    <w:p w:rsidR="001569EA" w:rsidRDefault="001569EA" w:rsidP="001569EA">
      <w:pPr>
        <w:spacing w:before="100" w:beforeAutospacing="1" w:after="100" w:afterAutospacing="1" w:line="360" w:lineRule="auto"/>
        <w:ind w:right="49"/>
        <w:jc w:val="both"/>
        <w:rPr>
          <w:rFonts w:ascii="Palatino Linotype" w:hAnsi="Palatino Linotype" w:cs="Arial"/>
          <w:sz w:val="24"/>
          <w:szCs w:val="24"/>
        </w:rPr>
      </w:pPr>
      <w:r w:rsidRPr="00E64ABF">
        <w:rPr>
          <w:rFonts w:ascii="Palatino Linotype" w:hAnsi="Palatino Linotype"/>
          <w:i/>
        </w:rPr>
        <w:t>•</w:t>
      </w:r>
      <w:r w:rsidRPr="00E64ABF">
        <w:rPr>
          <w:rFonts w:ascii="Palatino Linotype" w:hAnsi="Palatino Linotype"/>
          <w:i/>
        </w:rPr>
        <w:tab/>
        <w:t>RRA 1889/16. Secretaría de Hacienda y Crédito Público. 05 de octubre de 2016. Por unanimidad. Comisionada Ponente. Ximena Puente de la Mora.</w:t>
      </w:r>
      <w:r>
        <w:rPr>
          <w:rFonts w:ascii="Palatino Linotype" w:hAnsi="Palatino Linotype"/>
          <w:i/>
        </w:rPr>
        <w:t>”</w:t>
      </w:r>
    </w:p>
    <w:p w:rsidR="00F16768" w:rsidRPr="00F16768" w:rsidRDefault="00F16768" w:rsidP="00F16768">
      <w:pPr>
        <w:spacing w:before="100" w:beforeAutospacing="1" w:after="100" w:afterAutospacing="1" w:line="360" w:lineRule="auto"/>
        <w:ind w:right="49"/>
        <w:jc w:val="both"/>
        <w:rPr>
          <w:rFonts w:ascii="Palatino Linotype" w:hAnsi="Palatino Linotype" w:cs="Arial"/>
          <w:sz w:val="24"/>
          <w:szCs w:val="24"/>
        </w:rPr>
      </w:pPr>
      <w:r w:rsidRPr="00F16768">
        <w:rPr>
          <w:rFonts w:ascii="Palatino Linotype" w:hAnsi="Palatino Linotype" w:cs="Arial"/>
          <w:sz w:val="24"/>
          <w:szCs w:val="24"/>
        </w:rPr>
        <w:t xml:space="preserve">Lo anterior, obedece a que, no se ordena un documento generado, recopilado, administrado, manejado, procesado, archivado o conservado por </w:t>
      </w:r>
      <w:r w:rsidRPr="00F16768">
        <w:rPr>
          <w:rFonts w:ascii="Palatino Linotype" w:hAnsi="Palatino Linotype" w:cs="Arial"/>
          <w:b/>
          <w:sz w:val="24"/>
          <w:szCs w:val="24"/>
        </w:rPr>
        <w:t>EL SUJETO OBLIGADO</w:t>
      </w:r>
      <w:r w:rsidRPr="00F16768">
        <w:rPr>
          <w:rFonts w:ascii="Palatino Linotype" w:hAnsi="Palatino Linotype" w:cs="Arial"/>
          <w:sz w:val="24"/>
          <w:szCs w:val="24"/>
        </w:rPr>
        <w:t xml:space="preserve"> y que obre en sus archivos, sino que de la redacción se advierte que éste es un documento ad hoc, el cual si bien es cierto que no constituye impedimento para los Sujetos Obligados procesar, sintetizar, efectuar investigaciones o cálculos en su intensión de satisfacer el derecho de acceso a la información pública; también lo es que, el artículo 12 de la Ley de la materia, establece que los Sujetos Obligados tienen el deber de entregar la información pública solicitada en la forma en que la generaron, poseen o administran; y no por el hecho de que a los Sujetos Obligados les asista la facultad potestativa de practicar investigaciones, cálculos, sintetizar o procesar la información pública a efecto de entregarla a quien la solicite a través de esta vía; implica que este Órgano Garante ordene la entrega de información en ese sentido.</w:t>
      </w:r>
    </w:p>
    <w:p w:rsidR="00F16768" w:rsidRPr="00F16768" w:rsidRDefault="00F16768" w:rsidP="00F16768">
      <w:pPr>
        <w:spacing w:before="100" w:beforeAutospacing="1" w:after="100" w:afterAutospacing="1" w:line="360" w:lineRule="auto"/>
        <w:ind w:right="49"/>
        <w:jc w:val="both"/>
        <w:rPr>
          <w:rFonts w:ascii="Palatino Linotype" w:hAnsi="Palatino Linotype" w:cs="Arial"/>
          <w:sz w:val="24"/>
          <w:szCs w:val="24"/>
        </w:rPr>
      </w:pPr>
      <w:r w:rsidRPr="00F16768">
        <w:rPr>
          <w:rFonts w:ascii="Palatino Linotype" w:hAnsi="Palatino Linotype" w:cs="Arial"/>
          <w:sz w:val="24"/>
          <w:szCs w:val="24"/>
        </w:rPr>
        <w:t xml:space="preserve">Refuerzo de lo anterior, es que de la literalidad de lo que se ordena en el resolutivo SEGUNDO, se requiere del </w:t>
      </w:r>
      <w:r w:rsidRPr="00F16768">
        <w:rPr>
          <w:rFonts w:ascii="Palatino Linotype" w:hAnsi="Palatino Linotype" w:cs="Arial"/>
          <w:b/>
          <w:sz w:val="24"/>
          <w:szCs w:val="24"/>
        </w:rPr>
        <w:t>SUJETO OBLIGADO</w:t>
      </w:r>
      <w:r w:rsidRPr="00F16768">
        <w:rPr>
          <w:rFonts w:ascii="Palatino Linotype" w:hAnsi="Palatino Linotype" w:cs="Arial"/>
          <w:sz w:val="24"/>
          <w:szCs w:val="24"/>
        </w:rPr>
        <w:t xml:space="preserve"> un pronunciamiento por parte de este que no constituiría un derecho de </w:t>
      </w:r>
      <w:r w:rsidR="00312063">
        <w:rPr>
          <w:rFonts w:ascii="Palatino Linotype" w:hAnsi="Palatino Linotype" w:cs="Arial"/>
          <w:sz w:val="24"/>
          <w:szCs w:val="24"/>
        </w:rPr>
        <w:t>acceso a la información pública</w:t>
      </w:r>
      <w:r w:rsidRPr="00F16768">
        <w:rPr>
          <w:rFonts w:ascii="Palatino Linotype" w:hAnsi="Palatino Linotype" w:cs="Arial"/>
          <w:sz w:val="24"/>
          <w:szCs w:val="24"/>
        </w:rPr>
        <w:t>.</w:t>
      </w:r>
    </w:p>
    <w:p w:rsidR="00F16768" w:rsidRDefault="006313BC" w:rsidP="009E71E2">
      <w:pPr>
        <w:spacing w:before="100" w:beforeAutospacing="1" w:after="100" w:afterAutospacing="1" w:line="360" w:lineRule="auto"/>
        <w:ind w:right="49"/>
        <w:jc w:val="both"/>
        <w:rPr>
          <w:rFonts w:ascii="Palatino Linotype" w:hAnsi="Palatino Linotype" w:cs="Arial"/>
          <w:sz w:val="24"/>
          <w:szCs w:val="24"/>
        </w:rPr>
      </w:pPr>
      <w:r w:rsidRPr="006313BC">
        <w:rPr>
          <w:rFonts w:ascii="Palatino Linotype" w:hAnsi="Palatino Linotype" w:cs="Arial"/>
          <w:sz w:val="24"/>
          <w:szCs w:val="24"/>
        </w:rPr>
        <w:lastRenderedPageBreak/>
        <w:t>Ahora bien,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w:t>
      </w:r>
    </w:p>
    <w:p w:rsidR="006313BC" w:rsidRPr="00833673" w:rsidRDefault="006313BC" w:rsidP="006313BC">
      <w:pPr>
        <w:spacing w:line="240" w:lineRule="auto"/>
        <w:ind w:left="851" w:right="757"/>
        <w:jc w:val="both"/>
        <w:rPr>
          <w:rFonts w:ascii="Palatino Linotype" w:hAnsi="Palatino Linotype"/>
        </w:rPr>
      </w:pPr>
      <w:r w:rsidRPr="00833673">
        <w:rPr>
          <w:rFonts w:ascii="Palatino Linotype" w:hAnsi="Palatino Linotype"/>
        </w:rPr>
        <w:t> “</w:t>
      </w:r>
      <w:r w:rsidRPr="00833673">
        <w:rPr>
          <w:rFonts w:ascii="Palatino Linotype" w:hAnsi="Palatino Linotype"/>
          <w:b/>
          <w:bCs/>
          <w:i/>
          <w:iCs/>
        </w:rPr>
        <w:t>Artículo 4.</w:t>
      </w:r>
      <w:r w:rsidRPr="00833673">
        <w:rPr>
          <w:rFonts w:ascii="Palatino Linotype" w:hAnsi="Palatino Linotype"/>
          <w:i/>
          <w:iCs/>
        </w:rPr>
        <w:t> El derecho humano de acceso a la información pública es la prerrogativa de las personas para buscar, difundir, investigar, recabar, recibir y solicitar información pública, sin necesidad de acreditar personalidad ni interés jurídico.</w:t>
      </w:r>
    </w:p>
    <w:p w:rsidR="006313BC" w:rsidRPr="00833673" w:rsidRDefault="006313BC" w:rsidP="006313BC">
      <w:pPr>
        <w:spacing w:line="240" w:lineRule="auto"/>
        <w:ind w:left="851" w:right="757"/>
        <w:jc w:val="both"/>
        <w:rPr>
          <w:rFonts w:ascii="Palatino Linotype" w:hAnsi="Palatino Linotype"/>
        </w:rPr>
      </w:pPr>
      <w:r w:rsidRPr="00833673">
        <w:rPr>
          <w:rFonts w:ascii="Palatino Linotype" w:hAnsi="Palatino Linotype"/>
          <w:i/>
          <w:iCs/>
        </w:rPr>
        <w:t> </w:t>
      </w:r>
    </w:p>
    <w:p w:rsidR="006313BC" w:rsidRPr="00833673" w:rsidRDefault="006313BC" w:rsidP="006313BC">
      <w:pPr>
        <w:spacing w:line="240" w:lineRule="auto"/>
        <w:ind w:left="851" w:right="757"/>
        <w:jc w:val="both"/>
        <w:rPr>
          <w:rFonts w:ascii="Palatino Linotype" w:hAnsi="Palatino Linotype"/>
        </w:rPr>
      </w:pPr>
      <w:r w:rsidRPr="00833673">
        <w:rPr>
          <w:rFonts w:ascii="Palatino Linotype" w:hAnsi="Palatino Linotype"/>
          <w:i/>
          <w:iC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313BC" w:rsidRPr="00833673" w:rsidRDefault="006313BC" w:rsidP="006313BC">
      <w:pPr>
        <w:spacing w:line="240" w:lineRule="auto"/>
        <w:ind w:left="851" w:right="757"/>
        <w:jc w:val="both"/>
        <w:rPr>
          <w:rFonts w:ascii="Palatino Linotype" w:hAnsi="Palatino Linotype"/>
        </w:rPr>
      </w:pPr>
      <w:r w:rsidRPr="00833673">
        <w:rPr>
          <w:rFonts w:ascii="Palatino Linotype" w:hAnsi="Palatino Linotype"/>
          <w:i/>
          <w:iCs/>
        </w:rPr>
        <w:t> </w:t>
      </w:r>
    </w:p>
    <w:p w:rsidR="006313BC" w:rsidRPr="00833673" w:rsidRDefault="006313BC" w:rsidP="006313BC">
      <w:pPr>
        <w:spacing w:line="240" w:lineRule="auto"/>
        <w:ind w:left="851" w:right="757"/>
        <w:jc w:val="both"/>
        <w:rPr>
          <w:rFonts w:ascii="Palatino Linotype" w:hAnsi="Palatino Linotype"/>
        </w:rPr>
      </w:pPr>
      <w:r w:rsidRPr="00833673">
        <w:rPr>
          <w:rFonts w:ascii="Palatino Linotype" w:hAnsi="Palatino Linotype"/>
          <w:i/>
          <w:iCs/>
        </w:rPr>
        <w:t>Los sujetos obligados deben poner en práctica, políticas y programas de acceso a la información</w:t>
      </w:r>
      <w:r w:rsidRPr="00833673">
        <w:rPr>
          <w:rFonts w:ascii="Palatino Linotype" w:hAnsi="Palatino Linotype"/>
        </w:rPr>
        <w:t> </w:t>
      </w:r>
      <w:r w:rsidRPr="00833673">
        <w:rPr>
          <w:rFonts w:ascii="Palatino Linotype" w:hAnsi="Palatino Linotype"/>
          <w:i/>
          <w:iCs/>
        </w:rPr>
        <w:t>que se apeguen a criterios de publicidad, veracidad, oportunidad, precisión y suficiencia en beneficio de los solicitantes.”</w:t>
      </w:r>
    </w:p>
    <w:p w:rsidR="006313BC" w:rsidRPr="006313BC" w:rsidRDefault="006313BC" w:rsidP="006313BC">
      <w:pPr>
        <w:spacing w:before="100" w:beforeAutospacing="1" w:after="100" w:afterAutospacing="1" w:line="360" w:lineRule="auto"/>
        <w:ind w:right="49"/>
        <w:jc w:val="both"/>
        <w:rPr>
          <w:rFonts w:ascii="Palatino Linotype" w:hAnsi="Palatino Linotype" w:cs="Arial"/>
          <w:sz w:val="24"/>
          <w:szCs w:val="24"/>
        </w:rPr>
      </w:pPr>
      <w:r w:rsidRPr="006313BC">
        <w:rPr>
          <w:rFonts w:ascii="Palatino Linotype" w:hAnsi="Palatino Linotype" w:cs="Arial"/>
          <w:sz w:val="24"/>
          <w:szCs w:val="24"/>
        </w:rPr>
        <w:t>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w:t>
      </w:r>
    </w:p>
    <w:p w:rsidR="006313BC" w:rsidRDefault="006313BC" w:rsidP="006313BC">
      <w:pPr>
        <w:spacing w:before="100" w:beforeAutospacing="1" w:after="100" w:afterAutospacing="1" w:line="360" w:lineRule="auto"/>
        <w:ind w:right="49"/>
        <w:jc w:val="both"/>
        <w:rPr>
          <w:rFonts w:ascii="Palatino Linotype" w:hAnsi="Palatino Linotype" w:cs="Arial"/>
          <w:sz w:val="24"/>
          <w:szCs w:val="24"/>
        </w:rPr>
      </w:pPr>
      <w:r w:rsidRPr="006313BC">
        <w:rPr>
          <w:rFonts w:ascii="Palatino Linotype" w:hAnsi="Palatino Linotype" w:cs="Arial"/>
          <w:sz w:val="24"/>
          <w:szCs w:val="24"/>
        </w:rPr>
        <w:t xml:space="preserve">Por tanto, para que los Sujetos Obligados hagan efectivo este derecho deben poner a disposición de los particulares los documentos en los que conste el ejercicio de sus </w:t>
      </w:r>
      <w:r w:rsidRPr="006313BC">
        <w:rPr>
          <w:rFonts w:ascii="Palatino Linotype" w:hAnsi="Palatino Linotype" w:cs="Arial"/>
          <w:sz w:val="24"/>
          <w:szCs w:val="24"/>
        </w:rPr>
        <w:lastRenderedPageBreak/>
        <w:t>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de Transparencia y Acceso a la Información Pública del Estado de México y Municipios y demás disposiciones de la materia, privilegiando el principio de máxima publicidad de la información.</w:t>
      </w:r>
    </w:p>
    <w:p w:rsidR="006313BC" w:rsidRPr="006313BC" w:rsidRDefault="006313BC" w:rsidP="006313BC">
      <w:pPr>
        <w:spacing w:before="100" w:beforeAutospacing="1" w:after="100" w:afterAutospacing="1" w:line="360" w:lineRule="auto"/>
        <w:ind w:right="49"/>
        <w:jc w:val="both"/>
        <w:rPr>
          <w:rFonts w:ascii="Palatino Linotype" w:hAnsi="Palatino Linotype" w:cs="Arial"/>
          <w:sz w:val="24"/>
          <w:szCs w:val="24"/>
        </w:rPr>
      </w:pPr>
      <w:r w:rsidRPr="006313BC">
        <w:rPr>
          <w:rFonts w:ascii="Palatino Linotype" w:hAnsi="Palatino Linotype" w:cs="Arial"/>
          <w:sz w:val="24"/>
          <w:szCs w:val="24"/>
        </w:rPr>
        <w:t>En esa tesitura, los Sujetos Obligados deberán poner en práctica, políticas y programas de acceso a la información que se apeguen a criterios de publicidad, veracidad, oportunidad, precisión y suficiencia en beneficio de los solicitantes.</w:t>
      </w:r>
    </w:p>
    <w:p w:rsidR="006313BC" w:rsidRPr="006313BC" w:rsidRDefault="006313BC" w:rsidP="006313BC">
      <w:pPr>
        <w:spacing w:before="100" w:beforeAutospacing="1" w:after="100" w:afterAutospacing="1" w:line="360" w:lineRule="auto"/>
        <w:ind w:right="49"/>
        <w:jc w:val="both"/>
        <w:rPr>
          <w:rFonts w:ascii="Palatino Linotype" w:hAnsi="Palatino Linotype" w:cs="Arial"/>
          <w:sz w:val="24"/>
          <w:szCs w:val="24"/>
        </w:rPr>
      </w:pPr>
      <w:r w:rsidRPr="006313BC">
        <w:rPr>
          <w:rFonts w:ascii="Palatino Linotype" w:hAnsi="Palatino Linotype" w:cs="Arial"/>
          <w:sz w:val="24"/>
          <w:szCs w:val="24"/>
        </w:rPr>
        <w:t>Lo anterior, tiene sustento en los artículos 3, fracciones XI y XXII; 4; 11, 12 y 41 de la Ley de Transparencia y Acceso a la Información Pública del Estado de México y Municipios:</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b/>
          <w:bCs/>
          <w:i/>
          <w:iCs/>
        </w:rPr>
        <w:t>“Artículo 3. Para los efectos de la presente Ley se entenderá por: </w:t>
      </w:r>
      <w:r w:rsidRPr="00833673">
        <w:rPr>
          <w:rFonts w:ascii="Palatino Linotype" w:hAnsi="Palatino Linotype"/>
          <w:i/>
          <w:iCs/>
        </w:rPr>
        <w:t>…</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i/>
          <w:iCs/>
        </w:rPr>
        <w:t>…</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b/>
          <w:bCs/>
          <w:i/>
          <w:iCs/>
        </w:rPr>
        <w:t>XI. Documento:</w:t>
      </w:r>
      <w:r w:rsidRPr="00833673">
        <w:rPr>
          <w:rFonts w:ascii="Palatino Linotype" w:hAnsi="Palatino Linotype"/>
          <w:i/>
          <w:iCs/>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i/>
          <w:iCs/>
        </w:rPr>
        <w:t> </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b/>
          <w:bCs/>
          <w:i/>
          <w:iCs/>
        </w:rPr>
        <w:lastRenderedPageBreak/>
        <w:t>XII. Documento electrónico</w:t>
      </w:r>
      <w:r w:rsidRPr="00833673">
        <w:rPr>
          <w:rFonts w:ascii="Palatino Linotype" w:hAnsi="Palatino Linotype"/>
          <w:i/>
          <w:iCs/>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i/>
          <w:iCs/>
        </w:rPr>
        <w:t> </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b/>
          <w:bCs/>
          <w:i/>
          <w:iCs/>
        </w:rPr>
        <w:t>Artículo 4.</w:t>
      </w:r>
      <w:r w:rsidRPr="00833673">
        <w:rPr>
          <w:rFonts w:ascii="Palatino Linotype" w:hAnsi="Palatino Linotype"/>
          <w:i/>
          <w:iCs/>
        </w:rPr>
        <w:t> </w:t>
      </w:r>
      <w:r w:rsidRPr="00833673">
        <w:rPr>
          <w:rFonts w:ascii="Palatino Linotype" w:hAnsi="Palatino Linotype"/>
          <w:b/>
          <w:bCs/>
          <w:i/>
          <w:iCs/>
        </w:rPr>
        <w:t>El derecho humano de acceso a la información pública es la prerrogativa de las personas para buscar, difundir, investigar, recabar, recibir y solicitar información pública</w:t>
      </w:r>
      <w:r w:rsidRPr="00833673">
        <w:rPr>
          <w:rFonts w:ascii="Palatino Linotype" w:hAnsi="Palatino Linotype"/>
          <w:i/>
          <w:iCs/>
        </w:rPr>
        <w:t>, sin necesidad de acreditar personalidad ni interés jurídico.</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i/>
          <w:iCs/>
        </w:rPr>
        <w:t> </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i/>
          <w:iC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i/>
          <w:iCs/>
        </w:rPr>
        <w:t> </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i/>
          <w:iCs/>
        </w:rPr>
        <w:t>Los sujetos obligados deben poner en práctica, políticas y programas de acceso a la información que se apeguen a criterios de publicidad, veracidad, oportunidad, precisión y suficiencia en beneficio de los solicitantes.</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i/>
          <w:iCs/>
        </w:rPr>
        <w:t> </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b/>
          <w:bCs/>
          <w:i/>
          <w:iCs/>
        </w:rPr>
        <w:t>Artículo 11.-</w:t>
      </w:r>
      <w:r w:rsidRPr="00833673">
        <w:rPr>
          <w:rFonts w:ascii="Palatino Linotype" w:hAnsi="Palatino Linotype"/>
          <w:i/>
          <w:iCs/>
        </w:rPr>
        <w:t> </w:t>
      </w:r>
      <w:r w:rsidRPr="00833673">
        <w:rPr>
          <w:rFonts w:ascii="Palatino Linotype" w:hAnsi="Palatino Linotype"/>
          <w:b/>
          <w:bCs/>
          <w:i/>
          <w:iCs/>
        </w:rPr>
        <w:t>Los Sujetos Obligados sólo proporcionarán la información que generen en el ejercicio de sus atribuciones</w:t>
      </w:r>
      <w:r w:rsidRPr="00833673">
        <w:rPr>
          <w:rFonts w:ascii="Palatino Linotype" w:hAnsi="Palatino Linotype"/>
          <w:i/>
          <w:iCs/>
        </w:rPr>
        <w:t>.</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i/>
          <w:iCs/>
        </w:rPr>
        <w:t> </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b/>
          <w:bCs/>
          <w:i/>
          <w:iCs/>
        </w:rPr>
        <w:t>Artículo 12.</w:t>
      </w:r>
      <w:r w:rsidRPr="00833673">
        <w:rPr>
          <w:rFonts w:ascii="Palatino Linotype" w:hAnsi="Palatino Linotype"/>
          <w:i/>
          <w:iCs/>
        </w:rPr>
        <w:t> Quienes generen, recopilen, administren, manejen, procesen, archiven o conserven información pública</w:t>
      </w:r>
      <w:r w:rsidRPr="00833673">
        <w:rPr>
          <w:rFonts w:ascii="Palatino Linotype" w:hAnsi="Palatino Linotype"/>
          <w:b/>
          <w:bCs/>
          <w:i/>
          <w:iCs/>
        </w:rPr>
        <w:t> </w:t>
      </w:r>
      <w:r w:rsidRPr="00833673">
        <w:rPr>
          <w:rFonts w:ascii="Palatino Linotype" w:hAnsi="Palatino Linotype"/>
          <w:i/>
          <w:iCs/>
        </w:rPr>
        <w:t>serán responsables de la misma en los términos de las disposiciones jurídicas aplicables.</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i/>
          <w:iCs/>
        </w:rPr>
        <w:t> </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b/>
          <w:bCs/>
          <w:i/>
          <w:iCs/>
        </w:rPr>
        <w:t>Los sujetos obligados sólo proporcionarán la información pública que se les requiera y que obre en sus archivos</w:t>
      </w:r>
      <w:r w:rsidRPr="00833673">
        <w:rPr>
          <w:rFonts w:ascii="Palatino Linotype" w:hAnsi="Palatino Linotype"/>
          <w:i/>
          <w:iCs/>
        </w:rPr>
        <w:t>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i/>
          <w:iCs/>
        </w:rPr>
        <w:lastRenderedPageBreak/>
        <w:t> </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b/>
          <w:bCs/>
          <w:i/>
          <w:iCs/>
        </w:rPr>
        <w:t>Artículo 41.</w:t>
      </w:r>
      <w:r w:rsidRPr="00833673">
        <w:rPr>
          <w:rFonts w:ascii="Palatino Linotype" w:hAnsi="Palatino Linotype"/>
          <w:i/>
          <w:iCs/>
        </w:rPr>
        <w:t> El Instituto promoverá la publicación de la información en datos abiertos y accesibles”</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i/>
          <w:iCs/>
        </w:rPr>
        <w:t> </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rPr>
        <w:t>(Énfasis añadido)</w:t>
      </w:r>
    </w:p>
    <w:p w:rsidR="006313BC" w:rsidRPr="006313BC" w:rsidRDefault="006313BC" w:rsidP="006313BC">
      <w:pPr>
        <w:spacing w:before="100" w:beforeAutospacing="1" w:after="100" w:afterAutospacing="1" w:line="360" w:lineRule="auto"/>
        <w:ind w:right="49"/>
        <w:jc w:val="both"/>
        <w:rPr>
          <w:rFonts w:ascii="Palatino Linotype" w:hAnsi="Palatino Linotype" w:cs="Arial"/>
          <w:sz w:val="24"/>
          <w:szCs w:val="24"/>
        </w:rPr>
      </w:pPr>
      <w:r w:rsidRPr="006313BC">
        <w:rPr>
          <w:rFonts w:ascii="Palatino Linotype" w:hAnsi="Palatino Linotype" w:cs="Arial"/>
          <w:sz w:val="24"/>
          <w:szCs w:val="24"/>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rsidR="006313BC" w:rsidRPr="006313BC" w:rsidRDefault="006313BC" w:rsidP="006313BC">
      <w:pPr>
        <w:spacing w:before="100" w:beforeAutospacing="1" w:after="100" w:afterAutospacing="1" w:line="360" w:lineRule="auto"/>
        <w:ind w:right="49"/>
        <w:jc w:val="both"/>
        <w:rPr>
          <w:rFonts w:ascii="Palatino Linotype" w:hAnsi="Palatino Linotype" w:cs="Arial"/>
          <w:sz w:val="24"/>
          <w:szCs w:val="24"/>
        </w:rPr>
      </w:pPr>
      <w:r w:rsidRPr="006313BC">
        <w:rPr>
          <w:rFonts w:ascii="Palatino Linotype" w:hAnsi="Palatino Linotype" w:cs="Arial"/>
          <w:sz w:val="24"/>
          <w:szCs w:val="24"/>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6313BC" w:rsidRPr="006313BC" w:rsidRDefault="006313BC" w:rsidP="006313BC">
      <w:pPr>
        <w:spacing w:before="100" w:beforeAutospacing="1" w:after="100" w:afterAutospacing="1" w:line="360" w:lineRule="auto"/>
        <w:ind w:right="49"/>
        <w:jc w:val="both"/>
        <w:rPr>
          <w:rFonts w:ascii="Palatino Linotype" w:hAnsi="Palatino Linotype" w:cs="Arial"/>
          <w:sz w:val="24"/>
          <w:szCs w:val="24"/>
        </w:rPr>
      </w:pPr>
      <w:r w:rsidRPr="006313BC">
        <w:rPr>
          <w:rFonts w:ascii="Palatino Linotype" w:hAnsi="Palatino Linotype" w:cs="Arial"/>
          <w:sz w:val="24"/>
          <w:szCs w:val="24"/>
        </w:rPr>
        <w:t xml:space="preserve">Por otro lado, así como la Constitución y la Ley de la materia otorgan a los particulares el derecho de acceder a los documentos generados o en posesión de las autoridades; también lo es que, </w:t>
      </w:r>
      <w:r w:rsidRPr="006313BC">
        <w:rPr>
          <w:rFonts w:ascii="Palatino Linotype" w:hAnsi="Palatino Linotype" w:cs="Arial"/>
          <w:b/>
          <w:sz w:val="24"/>
          <w:szCs w:val="24"/>
        </w:rPr>
        <w:t xml:space="preserve">la obligación de proporcionar información no comprende el procesamiento de la misma, ni el presentarla conforme al interés del solicitante ya </w:t>
      </w:r>
      <w:r w:rsidRPr="006313BC">
        <w:rPr>
          <w:rFonts w:ascii="Palatino Linotype" w:hAnsi="Palatino Linotype" w:cs="Arial"/>
          <w:b/>
          <w:sz w:val="24"/>
          <w:szCs w:val="24"/>
        </w:rPr>
        <w:lastRenderedPageBreak/>
        <w:t>que no estarán constreñidos a generarla, resumirla, efectuar cálculos o practicar investigaciones</w:t>
      </w:r>
      <w:r w:rsidRPr="006313BC">
        <w:rPr>
          <w:rFonts w:ascii="Palatino Linotype" w:hAnsi="Palatino Linotype" w:cs="Arial"/>
          <w:sz w:val="24"/>
          <w:szCs w:val="24"/>
        </w:rPr>
        <w:t>.</w:t>
      </w:r>
    </w:p>
    <w:p w:rsidR="006313BC" w:rsidRPr="006313BC" w:rsidRDefault="006313BC" w:rsidP="006313BC">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De lo anterior, se puede concluir que</w:t>
      </w:r>
      <w:r w:rsidRPr="006313BC">
        <w:rPr>
          <w:rFonts w:ascii="Palatino Linotype" w:hAnsi="Palatino Linotype" w:cs="Arial"/>
          <w:sz w:val="24"/>
          <w:szCs w:val="24"/>
        </w:rPr>
        <w:t xml:space="preserve">,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6313BC">
        <w:rPr>
          <w:rFonts w:ascii="Palatino Linotype" w:hAnsi="Palatino Linotype" w:cs="Arial"/>
          <w:b/>
          <w:i/>
          <w:sz w:val="24"/>
          <w:szCs w:val="24"/>
        </w:rPr>
        <w:t>ad hoc</w:t>
      </w:r>
      <w:r w:rsidRPr="006313BC">
        <w:rPr>
          <w:rFonts w:ascii="Palatino Linotype" w:hAnsi="Palatino Linotype" w:cs="Arial"/>
          <w:sz w:val="24"/>
          <w:szCs w:val="24"/>
        </w:rPr>
        <w:t>, para satisfacer el derecho de acceso a la información pública.</w:t>
      </w:r>
    </w:p>
    <w:p w:rsidR="006313BC" w:rsidRPr="006313BC" w:rsidRDefault="006313BC" w:rsidP="006313BC">
      <w:pPr>
        <w:spacing w:before="100" w:beforeAutospacing="1" w:after="100" w:afterAutospacing="1" w:line="360" w:lineRule="auto"/>
        <w:ind w:right="49"/>
        <w:jc w:val="both"/>
        <w:rPr>
          <w:rFonts w:ascii="Palatino Linotype" w:hAnsi="Palatino Linotype" w:cs="Arial"/>
          <w:sz w:val="24"/>
          <w:szCs w:val="24"/>
        </w:rPr>
      </w:pPr>
      <w:r w:rsidRPr="006313BC">
        <w:rPr>
          <w:rFonts w:ascii="Palatino Linotype" w:hAnsi="Palatino Linotype" w:cs="Arial"/>
          <w:sz w:val="24"/>
          <w:szCs w:val="24"/>
        </w:rPr>
        <w:t xml:space="preserve">Así las cosas, debe señalarse que tanto en la solicitud de información como en el recurso de revisión presentados en EL SAIMEX, </w:t>
      </w:r>
      <w:r w:rsidRPr="006313BC">
        <w:rPr>
          <w:rFonts w:ascii="Palatino Linotype" w:hAnsi="Palatino Linotype" w:cs="Arial"/>
          <w:b/>
          <w:sz w:val="24"/>
          <w:szCs w:val="24"/>
        </w:rPr>
        <w:t>EL RECURRENTE</w:t>
      </w:r>
      <w:r w:rsidRPr="006313BC">
        <w:rPr>
          <w:rFonts w:ascii="Palatino Linotype" w:hAnsi="Palatino Linotype" w:cs="Arial"/>
          <w:sz w:val="24"/>
          <w:szCs w:val="24"/>
        </w:rPr>
        <w:t xml:space="preserve"> solicitó un pronunciamiento por parte del </w:t>
      </w:r>
      <w:r w:rsidRPr="006313BC">
        <w:rPr>
          <w:rFonts w:ascii="Palatino Linotype" w:hAnsi="Palatino Linotype" w:cs="Arial"/>
          <w:b/>
          <w:sz w:val="24"/>
          <w:szCs w:val="24"/>
        </w:rPr>
        <w:t>SUJETO OBLIGADO</w:t>
      </w:r>
      <w:r w:rsidRPr="006313BC">
        <w:rPr>
          <w:rFonts w:ascii="Palatino Linotype" w:hAnsi="Palatino Linotype" w:cs="Arial"/>
          <w:sz w:val="24"/>
          <w:szCs w:val="24"/>
        </w:rPr>
        <w:t xml:space="preserve"> mediante la realización de un cuestionamiento a fin de satisfacer una duda o inquietud, entendiéndose por éste la definición de la Real Academia de la Lengua Española que dice:</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i/>
          <w:iCs/>
        </w:rPr>
        <w:t>“</w:t>
      </w:r>
      <w:r w:rsidR="00C71719" w:rsidRPr="00C71719">
        <w:rPr>
          <w:rFonts w:ascii="Palatino Linotype" w:hAnsi="Palatino Linotype"/>
          <w:b/>
          <w:bCs/>
          <w:i/>
          <w:iCs/>
        </w:rPr>
        <w:t>preliminar</w:t>
      </w:r>
    </w:p>
    <w:p w:rsidR="006313BC" w:rsidRDefault="00C71719" w:rsidP="006313BC">
      <w:pPr>
        <w:spacing w:after="0" w:line="240" w:lineRule="auto"/>
        <w:ind w:left="851" w:right="902"/>
        <w:jc w:val="both"/>
        <w:rPr>
          <w:rFonts w:ascii="Palatino Linotype" w:hAnsi="Palatino Linotype"/>
          <w:i/>
          <w:iCs/>
        </w:rPr>
      </w:pPr>
      <w:r w:rsidRPr="00C71719">
        <w:rPr>
          <w:rFonts w:ascii="Palatino Linotype" w:hAnsi="Palatino Linotype"/>
          <w:i/>
          <w:iCs/>
        </w:rPr>
        <w:t xml:space="preserve">Del lat. </w:t>
      </w:r>
      <w:proofErr w:type="spellStart"/>
      <w:proofErr w:type="gramStart"/>
      <w:r w:rsidRPr="00C71719">
        <w:rPr>
          <w:rFonts w:ascii="Palatino Linotype" w:hAnsi="Palatino Linotype"/>
          <w:i/>
          <w:iCs/>
        </w:rPr>
        <w:t>prae</w:t>
      </w:r>
      <w:proofErr w:type="spellEnd"/>
      <w:proofErr w:type="gramEnd"/>
      <w:r w:rsidRPr="00C71719">
        <w:rPr>
          <w:rFonts w:ascii="Palatino Linotype" w:hAnsi="Palatino Linotype"/>
          <w:i/>
          <w:iCs/>
        </w:rPr>
        <w:t xml:space="preserve"> 'antes' y </w:t>
      </w:r>
      <w:proofErr w:type="spellStart"/>
      <w:r w:rsidRPr="00C71719">
        <w:rPr>
          <w:rFonts w:ascii="Palatino Linotype" w:hAnsi="Palatino Linotype"/>
          <w:i/>
          <w:iCs/>
        </w:rPr>
        <w:t>limināris</w:t>
      </w:r>
      <w:proofErr w:type="spellEnd"/>
      <w:r w:rsidRPr="00C71719">
        <w:rPr>
          <w:rFonts w:ascii="Palatino Linotype" w:hAnsi="Palatino Linotype"/>
          <w:i/>
          <w:iCs/>
        </w:rPr>
        <w:t xml:space="preserve"> 'del umbral', 'de la puerta'.</w:t>
      </w:r>
      <w:r w:rsidR="006313BC" w:rsidRPr="00833673">
        <w:rPr>
          <w:rFonts w:ascii="Palatino Linotype" w:hAnsi="Palatino Linotype"/>
          <w:i/>
          <w:iCs/>
        </w:rPr>
        <w:t> </w:t>
      </w:r>
    </w:p>
    <w:p w:rsidR="001569EA" w:rsidRPr="00833673" w:rsidRDefault="001569EA" w:rsidP="006313BC">
      <w:pPr>
        <w:spacing w:after="0" w:line="240" w:lineRule="auto"/>
        <w:ind w:left="851" w:right="902"/>
        <w:jc w:val="both"/>
        <w:rPr>
          <w:rFonts w:ascii="Palatino Linotype" w:hAnsi="Palatino Linotype"/>
        </w:rPr>
      </w:pPr>
    </w:p>
    <w:p w:rsidR="00C71719" w:rsidRPr="00C71719" w:rsidRDefault="00C71719" w:rsidP="00C71719">
      <w:pPr>
        <w:spacing w:after="0" w:line="240" w:lineRule="auto"/>
        <w:ind w:left="851" w:right="902"/>
        <w:jc w:val="both"/>
        <w:rPr>
          <w:rFonts w:ascii="Palatino Linotype" w:hAnsi="Palatino Linotype"/>
          <w:i/>
          <w:iCs/>
        </w:rPr>
      </w:pPr>
      <w:r w:rsidRPr="00C71719">
        <w:rPr>
          <w:rFonts w:ascii="Palatino Linotype" w:hAnsi="Palatino Linotype"/>
          <w:i/>
          <w:iCs/>
        </w:rPr>
        <w:t xml:space="preserve">1. </w:t>
      </w:r>
      <w:proofErr w:type="spellStart"/>
      <w:r w:rsidRPr="00C71719">
        <w:rPr>
          <w:rFonts w:ascii="Palatino Linotype" w:hAnsi="Palatino Linotype"/>
          <w:i/>
          <w:iCs/>
        </w:rPr>
        <w:t>adj</w:t>
      </w:r>
      <w:proofErr w:type="spellEnd"/>
      <w:r w:rsidRPr="00C71719">
        <w:rPr>
          <w:rFonts w:ascii="Palatino Linotype" w:hAnsi="Palatino Linotype"/>
          <w:i/>
          <w:iCs/>
        </w:rPr>
        <w:t>. Que sirve de preámbulo o proemio para tratar sólidamente una materia.</w:t>
      </w:r>
    </w:p>
    <w:p w:rsidR="00C71719" w:rsidRPr="00C71719" w:rsidRDefault="00C71719" w:rsidP="00C71719">
      <w:pPr>
        <w:spacing w:after="0" w:line="240" w:lineRule="auto"/>
        <w:ind w:left="851" w:right="902"/>
        <w:jc w:val="both"/>
        <w:rPr>
          <w:rFonts w:ascii="Palatino Linotype" w:hAnsi="Palatino Linotype"/>
          <w:i/>
          <w:iCs/>
        </w:rPr>
      </w:pPr>
    </w:p>
    <w:p w:rsidR="00C71719" w:rsidRPr="00C71719" w:rsidRDefault="00C71719" w:rsidP="00C71719">
      <w:pPr>
        <w:spacing w:after="0" w:line="240" w:lineRule="auto"/>
        <w:ind w:left="851" w:right="902"/>
        <w:jc w:val="both"/>
        <w:rPr>
          <w:rFonts w:ascii="Palatino Linotype" w:hAnsi="Palatino Linotype"/>
          <w:i/>
          <w:iCs/>
        </w:rPr>
      </w:pPr>
      <w:r w:rsidRPr="00C71719">
        <w:rPr>
          <w:rFonts w:ascii="Palatino Linotype" w:hAnsi="Palatino Linotype"/>
          <w:i/>
          <w:iCs/>
        </w:rPr>
        <w:t xml:space="preserve">2. </w:t>
      </w:r>
      <w:proofErr w:type="spellStart"/>
      <w:r w:rsidRPr="00C71719">
        <w:rPr>
          <w:rFonts w:ascii="Palatino Linotype" w:hAnsi="Palatino Linotype"/>
          <w:i/>
          <w:iCs/>
        </w:rPr>
        <w:t>adj</w:t>
      </w:r>
      <w:proofErr w:type="spellEnd"/>
      <w:r w:rsidRPr="00C71719">
        <w:rPr>
          <w:rFonts w:ascii="Palatino Linotype" w:hAnsi="Palatino Linotype"/>
          <w:i/>
          <w:iCs/>
        </w:rPr>
        <w:t>. Que antecede o se antepone a una acción, a una empresa, a un litigio, a un escrito o a otra cosa. U. t. c. s.</w:t>
      </w:r>
    </w:p>
    <w:p w:rsidR="00C71719" w:rsidRPr="00C71719" w:rsidRDefault="00C71719" w:rsidP="00C71719">
      <w:pPr>
        <w:spacing w:after="0" w:line="240" w:lineRule="auto"/>
        <w:ind w:left="851" w:right="902"/>
        <w:jc w:val="both"/>
        <w:rPr>
          <w:rFonts w:ascii="Palatino Linotype" w:hAnsi="Palatino Linotype"/>
          <w:i/>
          <w:iCs/>
        </w:rPr>
      </w:pPr>
    </w:p>
    <w:p w:rsidR="006313BC" w:rsidRPr="00833673" w:rsidRDefault="00C71719" w:rsidP="00C71719">
      <w:pPr>
        <w:spacing w:after="0" w:line="240" w:lineRule="auto"/>
        <w:ind w:left="851" w:right="902"/>
        <w:jc w:val="both"/>
        <w:rPr>
          <w:rFonts w:ascii="Palatino Linotype" w:hAnsi="Palatino Linotype"/>
        </w:rPr>
      </w:pPr>
      <w:r w:rsidRPr="00C71719">
        <w:rPr>
          <w:rFonts w:ascii="Palatino Linotype" w:hAnsi="Palatino Linotype"/>
          <w:i/>
          <w:iCs/>
        </w:rPr>
        <w:t xml:space="preserve">3. m. Cada uno de los artículos generales que sirven de fundamento para el ajuste y tratado de paz definitivo entre las potencias contratantes o sus ejércitos. U. </w:t>
      </w:r>
      <w:proofErr w:type="gramStart"/>
      <w:r w:rsidRPr="00C71719">
        <w:rPr>
          <w:rFonts w:ascii="Palatino Linotype" w:hAnsi="Palatino Linotype"/>
          <w:i/>
          <w:iCs/>
        </w:rPr>
        <w:t>m</w:t>
      </w:r>
      <w:proofErr w:type="gramEnd"/>
      <w:r w:rsidRPr="00C71719">
        <w:rPr>
          <w:rFonts w:ascii="Palatino Linotype" w:hAnsi="Palatino Linotype"/>
          <w:i/>
          <w:iCs/>
        </w:rPr>
        <w:t>. en pl.</w:t>
      </w:r>
      <w:r w:rsidR="006313BC" w:rsidRPr="00833673">
        <w:rPr>
          <w:rFonts w:ascii="Palatino Linotype" w:hAnsi="Palatino Linotype"/>
          <w:i/>
          <w:iCs/>
        </w:rPr>
        <w:t>”</w:t>
      </w:r>
    </w:p>
    <w:p w:rsidR="001569EA" w:rsidRPr="001569EA" w:rsidRDefault="001569EA" w:rsidP="001569EA">
      <w:pPr>
        <w:spacing w:before="100" w:beforeAutospacing="1" w:after="100" w:afterAutospacing="1" w:line="360" w:lineRule="auto"/>
        <w:ind w:right="49"/>
        <w:jc w:val="both"/>
        <w:rPr>
          <w:rFonts w:ascii="Palatino Linotype" w:hAnsi="Palatino Linotype" w:cs="Arial"/>
          <w:sz w:val="24"/>
          <w:szCs w:val="24"/>
        </w:rPr>
      </w:pPr>
      <w:r w:rsidRPr="001569EA">
        <w:rPr>
          <w:rFonts w:ascii="Palatino Linotype" w:hAnsi="Palatino Linotype" w:cs="Arial"/>
          <w:sz w:val="24"/>
          <w:szCs w:val="24"/>
        </w:rPr>
        <w:lastRenderedPageBreak/>
        <w:t>Por lo que, la entrega de un</w:t>
      </w:r>
      <w:r>
        <w:rPr>
          <w:rFonts w:ascii="Palatino Linotype" w:hAnsi="Palatino Linotype" w:cs="Arial"/>
          <w:sz w:val="24"/>
          <w:szCs w:val="24"/>
        </w:rPr>
        <w:t xml:space="preserve"> documento a modo </w:t>
      </w:r>
      <w:r w:rsidRPr="001569EA">
        <w:rPr>
          <w:rFonts w:ascii="Palatino Linotype" w:hAnsi="Palatino Linotype" w:cs="Arial"/>
          <w:sz w:val="24"/>
          <w:szCs w:val="24"/>
        </w:rPr>
        <w:t xml:space="preserve">por parte del </w:t>
      </w:r>
      <w:r w:rsidRPr="001569EA">
        <w:rPr>
          <w:rFonts w:ascii="Palatino Linotype" w:hAnsi="Palatino Linotype" w:cs="Arial"/>
          <w:b/>
          <w:sz w:val="24"/>
          <w:szCs w:val="24"/>
        </w:rPr>
        <w:t>SUJETO OBLIGADO</w:t>
      </w:r>
      <w:r w:rsidRPr="001569EA">
        <w:rPr>
          <w:rFonts w:ascii="Palatino Linotype" w:hAnsi="Palatino Linotype" w:cs="Arial"/>
          <w:sz w:val="24"/>
          <w:szCs w:val="24"/>
        </w:rPr>
        <w:t xml:space="preserve"> no es algo que la ley establezca como atribución,</w:t>
      </w:r>
      <w:r>
        <w:rPr>
          <w:rFonts w:ascii="Palatino Linotype" w:hAnsi="Palatino Linotype" w:cs="Arial"/>
          <w:sz w:val="24"/>
          <w:szCs w:val="24"/>
        </w:rPr>
        <w:t xml:space="preserve"> derecho, o facultad</w:t>
      </w:r>
      <w:r w:rsidRPr="001569EA">
        <w:rPr>
          <w:rFonts w:ascii="Palatino Linotype" w:hAnsi="Palatino Linotype" w:cs="Arial"/>
          <w:sz w:val="24"/>
          <w:szCs w:val="24"/>
        </w:rPr>
        <w:t xml:space="preserve">, pues se insiste, se trataría de un procesamiento de la información o pronunciamiento por parte del </w:t>
      </w:r>
      <w:r w:rsidRPr="001569EA">
        <w:rPr>
          <w:rFonts w:ascii="Palatino Linotype" w:hAnsi="Palatino Linotype" w:cs="Arial"/>
          <w:b/>
          <w:sz w:val="24"/>
          <w:szCs w:val="24"/>
        </w:rPr>
        <w:t>SUJETO OBLIGADO</w:t>
      </w:r>
      <w:r w:rsidRPr="001569EA">
        <w:rPr>
          <w:rFonts w:ascii="Palatino Linotype" w:hAnsi="Palatino Linotype" w:cs="Arial"/>
          <w:sz w:val="24"/>
          <w:szCs w:val="24"/>
        </w:rPr>
        <w:t xml:space="preserve"> para satisfacer la inquietud del ciudadano.</w:t>
      </w:r>
    </w:p>
    <w:p w:rsidR="00866C94" w:rsidRDefault="00CA0687" w:rsidP="009E71E2">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Es por lo anteriormente expuesto que, la suscrita emite </w:t>
      </w:r>
      <w:r>
        <w:rPr>
          <w:rFonts w:ascii="Palatino Linotype" w:hAnsi="Palatino Linotype" w:cs="Arial"/>
          <w:b/>
          <w:sz w:val="24"/>
          <w:szCs w:val="24"/>
        </w:rPr>
        <w:t>VOTO PARTIC</w:t>
      </w:r>
      <w:r w:rsidR="003746E8">
        <w:rPr>
          <w:rFonts w:ascii="Palatino Linotype" w:hAnsi="Palatino Linotype" w:cs="Arial"/>
          <w:b/>
          <w:sz w:val="24"/>
          <w:szCs w:val="24"/>
        </w:rPr>
        <w:t xml:space="preserve">ULAR </w:t>
      </w:r>
      <w:r w:rsidR="00222D15" w:rsidRPr="009F71D8">
        <w:rPr>
          <w:rFonts w:ascii="Palatino Linotype" w:hAnsi="Palatino Linotype" w:cs="Arial"/>
          <w:sz w:val="24"/>
          <w:szCs w:val="24"/>
        </w:rPr>
        <w:t>pues se</w:t>
      </w:r>
      <w:r w:rsidR="00222D15">
        <w:rPr>
          <w:rFonts w:ascii="Palatino Linotype" w:hAnsi="Palatino Linotype" w:cs="Arial"/>
          <w:sz w:val="24"/>
          <w:szCs w:val="24"/>
        </w:rPr>
        <w:t xml:space="preserve"> insiste </w:t>
      </w:r>
      <w:r w:rsidR="003746E8">
        <w:rPr>
          <w:rFonts w:ascii="Palatino Linotype" w:hAnsi="Palatino Linotype" w:cs="Arial"/>
          <w:sz w:val="24"/>
          <w:szCs w:val="24"/>
        </w:rPr>
        <w:t xml:space="preserve">que la Ponencia </w:t>
      </w:r>
      <w:proofErr w:type="spellStart"/>
      <w:r w:rsidR="003746E8">
        <w:rPr>
          <w:rFonts w:ascii="Palatino Linotype" w:hAnsi="Palatino Linotype" w:cs="Arial"/>
          <w:sz w:val="24"/>
          <w:szCs w:val="24"/>
        </w:rPr>
        <w:t>Resolutora</w:t>
      </w:r>
      <w:proofErr w:type="spellEnd"/>
      <w:r w:rsidR="0052778F">
        <w:rPr>
          <w:rFonts w:ascii="Palatino Linotype" w:hAnsi="Palatino Linotype" w:cs="Arial"/>
          <w:sz w:val="24"/>
          <w:szCs w:val="24"/>
        </w:rPr>
        <w:t xml:space="preserve"> </w:t>
      </w:r>
      <w:r w:rsidR="00C76F60">
        <w:rPr>
          <w:rFonts w:ascii="Palatino Linotype" w:hAnsi="Palatino Linotype" w:cs="Arial"/>
          <w:sz w:val="24"/>
          <w:szCs w:val="24"/>
        </w:rPr>
        <w:t xml:space="preserve">no </w:t>
      </w:r>
      <w:r w:rsidR="009E71E2">
        <w:rPr>
          <w:rFonts w:ascii="Palatino Linotype" w:hAnsi="Palatino Linotype" w:cs="Arial"/>
          <w:sz w:val="24"/>
          <w:szCs w:val="24"/>
        </w:rPr>
        <w:t xml:space="preserve">debió </w:t>
      </w:r>
      <w:r w:rsidR="003746E8">
        <w:rPr>
          <w:rFonts w:ascii="Palatino Linotype" w:hAnsi="Palatino Linotype" w:cs="Arial"/>
          <w:sz w:val="24"/>
          <w:szCs w:val="24"/>
        </w:rPr>
        <w:t>ordenar la entreg</w:t>
      </w:r>
      <w:r w:rsidR="00B06BB8">
        <w:rPr>
          <w:rFonts w:ascii="Palatino Linotype" w:hAnsi="Palatino Linotype" w:cs="Arial"/>
          <w:sz w:val="24"/>
          <w:szCs w:val="24"/>
        </w:rPr>
        <w:t>a de</w:t>
      </w:r>
      <w:r w:rsidR="001569EA">
        <w:rPr>
          <w:rFonts w:ascii="Palatino Linotype" w:hAnsi="Palatino Linotype" w:cs="Arial"/>
          <w:sz w:val="24"/>
          <w:szCs w:val="24"/>
        </w:rPr>
        <w:t xml:space="preserve"> </w:t>
      </w:r>
      <w:r w:rsidR="00B06BB8">
        <w:rPr>
          <w:rFonts w:ascii="Palatino Linotype" w:hAnsi="Palatino Linotype" w:cs="Arial"/>
          <w:sz w:val="24"/>
          <w:szCs w:val="24"/>
        </w:rPr>
        <w:t>l</w:t>
      </w:r>
      <w:r w:rsidR="001569EA">
        <w:rPr>
          <w:rFonts w:ascii="Palatino Linotype" w:hAnsi="Palatino Linotype" w:cs="Arial"/>
          <w:sz w:val="24"/>
          <w:szCs w:val="24"/>
        </w:rPr>
        <w:t>a determinación preliminar de cada una de las nóminas en formato Excel</w:t>
      </w:r>
      <w:r w:rsidR="00B06BB8">
        <w:rPr>
          <w:rFonts w:ascii="Palatino Linotype" w:hAnsi="Palatino Linotype" w:cs="Arial"/>
          <w:sz w:val="24"/>
          <w:szCs w:val="24"/>
        </w:rPr>
        <w:t xml:space="preserve">, </w:t>
      </w:r>
      <w:r w:rsidR="00852A0B">
        <w:rPr>
          <w:rFonts w:ascii="Palatino Linotype" w:hAnsi="Palatino Linotype" w:cs="Arial"/>
          <w:sz w:val="24"/>
          <w:szCs w:val="24"/>
        </w:rPr>
        <w:t xml:space="preserve">dado a que podría entenderse como la generación de un documento en específico; ello, </w:t>
      </w:r>
      <w:r w:rsidR="00A10810">
        <w:rPr>
          <w:rFonts w:ascii="Palatino Linotype" w:hAnsi="Palatino Linotype" w:cs="Arial"/>
          <w:sz w:val="24"/>
          <w:szCs w:val="24"/>
        </w:rPr>
        <w:t>en atención a</w:t>
      </w:r>
      <w:r w:rsidR="008A3883">
        <w:rPr>
          <w:rFonts w:ascii="Palatino Linotype" w:hAnsi="Palatino Linotype" w:cs="Arial"/>
          <w:sz w:val="24"/>
          <w:szCs w:val="24"/>
        </w:rPr>
        <w:t>l p</w:t>
      </w:r>
      <w:r w:rsidR="00D873BD">
        <w:rPr>
          <w:rFonts w:ascii="Palatino Linotype" w:hAnsi="Palatino Linotype" w:cs="Arial"/>
          <w:sz w:val="24"/>
          <w:szCs w:val="24"/>
        </w:rPr>
        <w:t xml:space="preserve">rincipio </w:t>
      </w:r>
      <w:r w:rsidR="008A3883">
        <w:rPr>
          <w:rFonts w:ascii="Palatino Linotype" w:hAnsi="Palatino Linotype" w:cs="Arial"/>
          <w:sz w:val="24"/>
          <w:szCs w:val="24"/>
        </w:rPr>
        <w:t>de objetividad contemplad</w:t>
      </w:r>
      <w:r w:rsidR="0002282E">
        <w:rPr>
          <w:rFonts w:ascii="Palatino Linotype" w:hAnsi="Palatino Linotype" w:cs="Arial"/>
          <w:sz w:val="24"/>
          <w:szCs w:val="24"/>
        </w:rPr>
        <w:t>o</w:t>
      </w:r>
      <w:r w:rsidR="00A10810">
        <w:rPr>
          <w:rFonts w:ascii="Palatino Linotype" w:hAnsi="Palatino Linotype" w:cs="Arial"/>
          <w:sz w:val="24"/>
          <w:szCs w:val="24"/>
        </w:rPr>
        <w:t xml:space="preserve"> en el artículo </w:t>
      </w:r>
      <w:r w:rsidR="000964FE">
        <w:rPr>
          <w:rFonts w:ascii="Palatino Linotype" w:hAnsi="Palatino Linotype" w:cs="Arial"/>
          <w:sz w:val="24"/>
          <w:szCs w:val="24"/>
        </w:rPr>
        <w:t>9</w:t>
      </w:r>
      <w:r w:rsidR="00852A0B">
        <w:rPr>
          <w:rFonts w:ascii="Palatino Linotype" w:hAnsi="Palatino Linotype" w:cs="Arial"/>
          <w:sz w:val="24"/>
          <w:szCs w:val="24"/>
        </w:rPr>
        <w:t>,</w:t>
      </w:r>
      <w:r w:rsidR="000964FE">
        <w:rPr>
          <w:rFonts w:ascii="Palatino Linotype" w:hAnsi="Palatino Linotype" w:cs="Arial"/>
          <w:sz w:val="24"/>
          <w:szCs w:val="24"/>
        </w:rPr>
        <w:t xml:space="preserve"> </w:t>
      </w:r>
      <w:r w:rsidR="00B06BB8">
        <w:rPr>
          <w:rFonts w:ascii="Palatino Linotype" w:hAnsi="Palatino Linotype" w:cs="Arial"/>
          <w:sz w:val="24"/>
          <w:szCs w:val="24"/>
        </w:rPr>
        <w:t xml:space="preserve">fracción VIII </w:t>
      </w:r>
      <w:r w:rsidR="00A10810">
        <w:rPr>
          <w:rFonts w:ascii="Palatino Linotype" w:hAnsi="Palatino Linotype" w:cs="Arial"/>
          <w:sz w:val="24"/>
          <w:szCs w:val="24"/>
        </w:rPr>
        <w:t xml:space="preserve">de la Ley de </w:t>
      </w:r>
      <w:r w:rsidR="000964FE">
        <w:rPr>
          <w:rFonts w:ascii="Palatino Linotype" w:hAnsi="Palatino Linotype" w:cs="Arial"/>
          <w:sz w:val="24"/>
          <w:szCs w:val="24"/>
        </w:rPr>
        <w:t xml:space="preserve">Transparencia y Acceso a la Información Pública del Estado de México y Municipios. </w:t>
      </w:r>
    </w:p>
    <w:p w:rsidR="00B02E26" w:rsidRDefault="00B02E26" w:rsidP="009E71E2">
      <w:pPr>
        <w:spacing w:before="100" w:beforeAutospacing="1" w:after="100" w:afterAutospacing="1" w:line="360" w:lineRule="auto"/>
        <w:ind w:right="49"/>
        <w:jc w:val="both"/>
        <w:rPr>
          <w:rFonts w:ascii="Palatino Linotype" w:hAnsi="Palatino Linotype" w:cs="Arial"/>
          <w:sz w:val="24"/>
          <w:szCs w:val="24"/>
        </w:rPr>
      </w:pPr>
    </w:p>
    <w:tbl>
      <w:tblPr>
        <w:tblW w:w="4393" w:type="dxa"/>
        <w:jc w:val="center"/>
        <w:tblLayout w:type="fixed"/>
        <w:tblLook w:val="04A0" w:firstRow="1" w:lastRow="0" w:firstColumn="1" w:lastColumn="0" w:noHBand="0" w:noVBand="1"/>
      </w:tblPr>
      <w:tblGrid>
        <w:gridCol w:w="4393"/>
      </w:tblGrid>
      <w:tr w:rsidR="00222D15" w:rsidRPr="009F71D8" w:rsidTr="00FF74B8">
        <w:trPr>
          <w:jc w:val="center"/>
        </w:trPr>
        <w:tc>
          <w:tcPr>
            <w:tcW w:w="4393" w:type="dxa"/>
          </w:tcPr>
          <w:p w:rsidR="00C76F60" w:rsidRDefault="00C76F60" w:rsidP="007746BF">
            <w:pPr>
              <w:spacing w:after="0" w:line="240" w:lineRule="auto"/>
              <w:ind w:right="51"/>
              <w:jc w:val="center"/>
              <w:rPr>
                <w:rFonts w:ascii="Palatino Linotype" w:hAnsi="Palatino Linotype"/>
                <w:b/>
                <w:sz w:val="24"/>
                <w:szCs w:val="24"/>
              </w:rPr>
            </w:pPr>
          </w:p>
          <w:p w:rsidR="00852A0B" w:rsidRDefault="00852A0B" w:rsidP="007746BF">
            <w:pPr>
              <w:spacing w:after="0" w:line="240" w:lineRule="auto"/>
              <w:ind w:right="51"/>
              <w:jc w:val="center"/>
              <w:rPr>
                <w:rFonts w:ascii="Palatino Linotype" w:hAnsi="Palatino Linotype"/>
                <w:b/>
                <w:sz w:val="24"/>
                <w:szCs w:val="24"/>
              </w:rPr>
            </w:pPr>
          </w:p>
          <w:p w:rsidR="00C76F60" w:rsidRDefault="00C76F60" w:rsidP="007746BF">
            <w:pPr>
              <w:spacing w:after="0" w:line="240" w:lineRule="auto"/>
              <w:ind w:right="51"/>
              <w:jc w:val="center"/>
              <w:rPr>
                <w:rFonts w:ascii="Palatino Linotype" w:hAnsi="Palatino Linotype"/>
                <w:b/>
                <w:sz w:val="24"/>
                <w:szCs w:val="24"/>
              </w:rPr>
            </w:pPr>
          </w:p>
          <w:p w:rsidR="00C71719" w:rsidRDefault="00C71719" w:rsidP="007746BF">
            <w:pPr>
              <w:spacing w:after="0" w:line="240" w:lineRule="auto"/>
              <w:ind w:right="51"/>
              <w:jc w:val="center"/>
              <w:rPr>
                <w:rFonts w:ascii="Palatino Linotype" w:hAnsi="Palatino Linotype"/>
                <w:b/>
                <w:sz w:val="24"/>
                <w:szCs w:val="24"/>
              </w:rPr>
            </w:pPr>
          </w:p>
          <w:p w:rsidR="00230DA0" w:rsidRDefault="00230DA0" w:rsidP="007746BF">
            <w:pPr>
              <w:spacing w:after="0" w:line="240" w:lineRule="auto"/>
              <w:ind w:right="51"/>
              <w:jc w:val="center"/>
              <w:rPr>
                <w:rFonts w:ascii="Palatino Linotype" w:hAnsi="Palatino Linotype"/>
                <w:b/>
                <w:sz w:val="24"/>
                <w:szCs w:val="24"/>
              </w:rPr>
            </w:pPr>
          </w:p>
          <w:p w:rsidR="00230DA0" w:rsidRDefault="00230DA0" w:rsidP="007746BF">
            <w:pPr>
              <w:spacing w:after="0" w:line="240" w:lineRule="auto"/>
              <w:ind w:right="51"/>
              <w:jc w:val="center"/>
              <w:rPr>
                <w:rFonts w:ascii="Palatino Linotype" w:hAnsi="Palatino Linotype"/>
                <w:b/>
                <w:sz w:val="24"/>
                <w:szCs w:val="24"/>
              </w:rPr>
            </w:pPr>
          </w:p>
          <w:p w:rsidR="00230DA0" w:rsidRDefault="00230DA0" w:rsidP="007746BF">
            <w:pPr>
              <w:spacing w:after="0" w:line="240" w:lineRule="auto"/>
              <w:ind w:right="51"/>
              <w:jc w:val="center"/>
              <w:rPr>
                <w:rFonts w:ascii="Palatino Linotype" w:hAnsi="Palatino Linotype"/>
                <w:b/>
                <w:sz w:val="24"/>
                <w:szCs w:val="24"/>
              </w:rPr>
            </w:pPr>
            <w:bookmarkStart w:id="0" w:name="_GoBack"/>
            <w:bookmarkEnd w:id="0"/>
          </w:p>
          <w:p w:rsidR="00222D15" w:rsidRPr="009F71D8" w:rsidRDefault="00222D15" w:rsidP="007746BF">
            <w:pPr>
              <w:spacing w:after="0" w:line="240" w:lineRule="auto"/>
              <w:ind w:right="51"/>
              <w:jc w:val="center"/>
              <w:rPr>
                <w:rFonts w:ascii="Palatino Linotype" w:hAnsi="Palatino Linotype"/>
                <w:b/>
                <w:sz w:val="24"/>
                <w:szCs w:val="24"/>
              </w:rPr>
            </w:pPr>
            <w:r w:rsidRPr="009F71D8">
              <w:rPr>
                <w:rFonts w:ascii="Palatino Linotype" w:hAnsi="Palatino Linotype"/>
                <w:b/>
                <w:sz w:val="24"/>
                <w:szCs w:val="24"/>
              </w:rPr>
              <w:t>EVA ABAID YAPUR</w:t>
            </w:r>
          </w:p>
          <w:p w:rsidR="00A85056" w:rsidRDefault="00222D15" w:rsidP="00230DA0">
            <w:pPr>
              <w:spacing w:after="0" w:line="240" w:lineRule="auto"/>
              <w:ind w:right="51"/>
              <w:jc w:val="center"/>
              <w:rPr>
                <w:rFonts w:ascii="Palatino Linotype" w:hAnsi="Palatino Linotype"/>
                <w:b/>
                <w:sz w:val="24"/>
                <w:szCs w:val="24"/>
              </w:rPr>
            </w:pPr>
            <w:r w:rsidRPr="009F71D8">
              <w:rPr>
                <w:rFonts w:ascii="Palatino Linotype" w:hAnsi="Palatino Linotype"/>
                <w:b/>
                <w:sz w:val="24"/>
                <w:szCs w:val="24"/>
              </w:rPr>
              <w:t>COMISIONADA</w:t>
            </w:r>
          </w:p>
          <w:p w:rsidR="0063056F" w:rsidRPr="009F71D8" w:rsidRDefault="0063056F" w:rsidP="00230DA0">
            <w:pPr>
              <w:spacing w:after="0" w:line="240" w:lineRule="auto"/>
              <w:ind w:right="51"/>
              <w:jc w:val="center"/>
              <w:rPr>
                <w:rFonts w:ascii="Palatino Linotype" w:hAnsi="Palatino Linotype"/>
                <w:b/>
                <w:sz w:val="24"/>
                <w:szCs w:val="24"/>
              </w:rPr>
            </w:pPr>
            <w:r>
              <w:rPr>
                <w:rFonts w:ascii="Palatino Linotype" w:hAnsi="Palatino Linotype"/>
                <w:b/>
              </w:rPr>
              <w:t>(RÚBRICA)</w:t>
            </w:r>
          </w:p>
        </w:tc>
      </w:tr>
    </w:tbl>
    <w:p w:rsidR="00E55607" w:rsidRDefault="00E55607" w:rsidP="007746BF">
      <w:pPr>
        <w:widowControl w:val="0"/>
        <w:spacing w:after="0" w:line="240" w:lineRule="auto"/>
        <w:ind w:right="51"/>
        <w:jc w:val="both"/>
        <w:rPr>
          <w:rFonts w:ascii="Palatino Linotype" w:eastAsia="Calibri" w:hAnsi="Palatino Linotype" w:cs="Arial"/>
          <w:color w:val="000000" w:themeColor="text1"/>
          <w:sz w:val="20"/>
          <w:szCs w:val="20"/>
        </w:rPr>
      </w:pPr>
    </w:p>
    <w:p w:rsidR="00E55607" w:rsidRDefault="00E55607" w:rsidP="007746BF">
      <w:pPr>
        <w:widowControl w:val="0"/>
        <w:spacing w:after="0" w:line="240" w:lineRule="auto"/>
        <w:ind w:right="51"/>
        <w:jc w:val="both"/>
        <w:rPr>
          <w:rFonts w:ascii="Palatino Linotype" w:eastAsia="Calibri" w:hAnsi="Palatino Linotype" w:cs="Arial"/>
          <w:color w:val="000000" w:themeColor="text1"/>
          <w:sz w:val="20"/>
          <w:szCs w:val="20"/>
        </w:rPr>
      </w:pPr>
    </w:p>
    <w:p w:rsidR="00222D15" w:rsidRDefault="00222D15" w:rsidP="007746BF">
      <w:pPr>
        <w:widowControl w:val="0"/>
        <w:spacing w:after="0" w:line="240" w:lineRule="auto"/>
        <w:ind w:right="51"/>
        <w:jc w:val="both"/>
        <w:rPr>
          <w:rFonts w:ascii="Palatino Linotype" w:hAnsi="Palatino Linotype" w:cs="Arial"/>
          <w:bCs/>
          <w:sz w:val="20"/>
          <w:szCs w:val="20"/>
        </w:rPr>
      </w:pPr>
      <w:r w:rsidRPr="002D79AC">
        <w:rPr>
          <w:rFonts w:ascii="Palatino Linotype" w:eastAsia="Calibri" w:hAnsi="Palatino Linotype" w:cs="Arial"/>
          <w:color w:val="000000" w:themeColor="text1"/>
          <w:sz w:val="20"/>
          <w:szCs w:val="20"/>
        </w:rPr>
        <w:t xml:space="preserve">Esta hoja corresponde al voto particular emitido en </w:t>
      </w:r>
      <w:r w:rsidR="007746BF">
        <w:rPr>
          <w:rFonts w:ascii="Palatino Linotype" w:eastAsia="Calibri" w:hAnsi="Palatino Linotype" w:cs="Arial"/>
          <w:color w:val="000000" w:themeColor="text1"/>
          <w:sz w:val="20"/>
          <w:szCs w:val="20"/>
        </w:rPr>
        <w:t>la resolución d</w:t>
      </w:r>
      <w:r w:rsidRPr="002D79AC">
        <w:rPr>
          <w:rFonts w:ascii="Palatino Linotype" w:eastAsia="Calibri" w:hAnsi="Palatino Linotype" w:cs="Arial"/>
          <w:color w:val="000000" w:themeColor="text1"/>
          <w:sz w:val="20"/>
          <w:szCs w:val="20"/>
        </w:rPr>
        <w:t xml:space="preserve">el recurso de revisión </w:t>
      </w:r>
      <w:r w:rsidR="001569EA">
        <w:rPr>
          <w:rFonts w:ascii="Palatino Linotype" w:hAnsi="Palatino Linotype" w:cs="Arial"/>
          <w:bCs/>
          <w:sz w:val="20"/>
          <w:szCs w:val="20"/>
        </w:rPr>
        <w:t>06665</w:t>
      </w:r>
      <w:r w:rsidRPr="002D79AC">
        <w:rPr>
          <w:rFonts w:ascii="Palatino Linotype" w:hAnsi="Palatino Linotype" w:cs="Arial"/>
          <w:bCs/>
          <w:sz w:val="20"/>
          <w:szCs w:val="20"/>
        </w:rPr>
        <w:t>/INFOEM/IP/RR/201</w:t>
      </w:r>
      <w:r w:rsidR="001569EA">
        <w:rPr>
          <w:rFonts w:ascii="Palatino Linotype" w:hAnsi="Palatino Linotype" w:cs="Arial"/>
          <w:bCs/>
          <w:sz w:val="20"/>
          <w:szCs w:val="20"/>
        </w:rPr>
        <w:t>9,</w:t>
      </w:r>
      <w:r w:rsidRPr="002D79AC">
        <w:rPr>
          <w:rFonts w:ascii="Palatino Linotype" w:hAnsi="Palatino Linotype" w:cs="Arial"/>
          <w:b/>
          <w:bCs/>
          <w:sz w:val="20"/>
          <w:szCs w:val="20"/>
        </w:rPr>
        <w:t xml:space="preserve"> </w:t>
      </w:r>
      <w:r w:rsidR="007746BF">
        <w:rPr>
          <w:rFonts w:ascii="Palatino Linotype" w:hAnsi="Palatino Linotype" w:cs="Arial"/>
          <w:bCs/>
          <w:sz w:val="20"/>
          <w:szCs w:val="20"/>
        </w:rPr>
        <w:t>aprobada</w:t>
      </w:r>
      <w:r w:rsidRPr="002D79AC">
        <w:rPr>
          <w:rFonts w:ascii="Palatino Linotype" w:hAnsi="Palatino Linotype" w:cs="Arial"/>
          <w:bCs/>
          <w:sz w:val="20"/>
          <w:szCs w:val="20"/>
        </w:rPr>
        <w:t xml:space="preserve"> el </w:t>
      </w:r>
      <w:r w:rsidR="001569EA">
        <w:rPr>
          <w:rFonts w:ascii="Palatino Linotype" w:hAnsi="Palatino Linotype" w:cs="Arial"/>
          <w:bCs/>
          <w:sz w:val="20"/>
          <w:szCs w:val="20"/>
        </w:rPr>
        <w:t xml:space="preserve">dieciséis </w:t>
      </w:r>
      <w:r w:rsidR="00C76F60">
        <w:rPr>
          <w:rFonts w:ascii="Palatino Linotype" w:hAnsi="Palatino Linotype" w:cs="Arial"/>
          <w:bCs/>
          <w:sz w:val="20"/>
          <w:szCs w:val="20"/>
        </w:rPr>
        <w:t xml:space="preserve">de </w:t>
      </w:r>
      <w:r w:rsidR="001569EA">
        <w:rPr>
          <w:rFonts w:ascii="Palatino Linotype" w:hAnsi="Palatino Linotype" w:cs="Arial"/>
          <w:bCs/>
          <w:sz w:val="20"/>
          <w:szCs w:val="20"/>
        </w:rPr>
        <w:t>octubre</w:t>
      </w:r>
      <w:r>
        <w:rPr>
          <w:rFonts w:ascii="Palatino Linotype" w:hAnsi="Palatino Linotype" w:cs="Arial"/>
          <w:bCs/>
          <w:sz w:val="20"/>
          <w:szCs w:val="20"/>
        </w:rPr>
        <w:t xml:space="preserve"> de dos mil dieci</w:t>
      </w:r>
      <w:r w:rsidR="001569EA">
        <w:rPr>
          <w:rFonts w:ascii="Palatino Linotype" w:hAnsi="Palatino Linotype" w:cs="Arial"/>
          <w:bCs/>
          <w:sz w:val="20"/>
          <w:szCs w:val="20"/>
        </w:rPr>
        <w:t>nueve</w:t>
      </w:r>
      <w:r w:rsidRPr="002D79AC">
        <w:rPr>
          <w:rFonts w:ascii="Palatino Linotype" w:hAnsi="Palatino Linotype" w:cs="Arial"/>
          <w:bCs/>
          <w:sz w:val="20"/>
          <w:szCs w:val="20"/>
        </w:rPr>
        <w:t>.</w:t>
      </w:r>
    </w:p>
    <w:p w:rsidR="00C76F60" w:rsidRPr="00230DA0" w:rsidRDefault="00C76F60" w:rsidP="007746BF">
      <w:pPr>
        <w:widowControl w:val="0"/>
        <w:spacing w:after="0" w:line="240" w:lineRule="auto"/>
        <w:ind w:right="51"/>
        <w:jc w:val="both"/>
        <w:rPr>
          <w:rFonts w:ascii="Palatino Linotype" w:hAnsi="Palatino Linotype" w:cs="Arial"/>
          <w:sz w:val="8"/>
          <w:szCs w:val="20"/>
        </w:rPr>
      </w:pPr>
    </w:p>
    <w:p w:rsidR="00C23B43" w:rsidRPr="00866C94" w:rsidRDefault="00222D15" w:rsidP="007746BF">
      <w:pPr>
        <w:spacing w:after="0" w:line="240" w:lineRule="auto"/>
        <w:ind w:right="51"/>
        <w:jc w:val="both"/>
        <w:rPr>
          <w:sz w:val="20"/>
          <w:szCs w:val="20"/>
        </w:rPr>
      </w:pPr>
      <w:r w:rsidRPr="002D79AC">
        <w:rPr>
          <w:rFonts w:ascii="Palatino Linotype" w:eastAsia="Calibri" w:hAnsi="Palatino Linotype" w:cs="Arial"/>
          <w:color w:val="000000" w:themeColor="text1"/>
          <w:sz w:val="20"/>
          <w:szCs w:val="20"/>
        </w:rPr>
        <w:t>YSM/</w:t>
      </w:r>
      <w:r w:rsidR="001569EA">
        <w:rPr>
          <w:rFonts w:ascii="Palatino Linotype" w:eastAsia="Calibri" w:hAnsi="Palatino Linotype" w:cs="Arial"/>
          <w:color w:val="000000" w:themeColor="text1"/>
          <w:sz w:val="20"/>
          <w:szCs w:val="20"/>
        </w:rPr>
        <w:t>ATU/</w:t>
      </w:r>
      <w:r w:rsidR="00C76F60">
        <w:rPr>
          <w:rFonts w:ascii="Palatino Linotype" w:eastAsia="Calibri" w:hAnsi="Palatino Linotype" w:cs="Arial"/>
          <w:color w:val="000000" w:themeColor="text1"/>
          <w:sz w:val="20"/>
          <w:szCs w:val="20"/>
        </w:rPr>
        <w:t>IAHA</w:t>
      </w:r>
    </w:p>
    <w:sectPr w:rsidR="00C23B43" w:rsidRPr="00866C94" w:rsidSect="005A28C0">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C54" w:rsidRDefault="00501C54" w:rsidP="00222D15">
      <w:pPr>
        <w:spacing w:after="0" w:line="240" w:lineRule="auto"/>
      </w:pPr>
      <w:r>
        <w:separator/>
      </w:r>
    </w:p>
  </w:endnote>
  <w:endnote w:type="continuationSeparator" w:id="0">
    <w:p w:rsidR="00501C54" w:rsidRDefault="00501C54" w:rsidP="0022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ABF" w:rsidRDefault="005B0ABF" w:rsidP="00DC5C4E">
    <w:pPr>
      <w:pStyle w:val="Piedepgina"/>
      <w:tabs>
        <w:tab w:val="clear" w:pos="4252"/>
        <w:tab w:val="left" w:pos="4228"/>
      </w:tabs>
      <w:rPr>
        <w:rFonts w:ascii="Palatino Linotype" w:hAnsi="Palatino Linotype" w:cs="Arial"/>
        <w:b/>
        <w:bCs/>
        <w:sz w:val="20"/>
        <w:szCs w:val="20"/>
      </w:rPr>
    </w:pPr>
  </w:p>
  <w:p w:rsidR="005B0ABF" w:rsidRDefault="005B0ABF" w:rsidP="00DC5C4E">
    <w:pPr>
      <w:pStyle w:val="Piedepgina"/>
      <w:tabs>
        <w:tab w:val="clear" w:pos="4252"/>
        <w:tab w:val="left" w:pos="4228"/>
      </w:tabs>
      <w:rPr>
        <w:rFonts w:ascii="Palatino Linotype" w:hAnsi="Palatino Linotype" w:cs="Arial"/>
        <w:b/>
        <w:bCs/>
        <w:sz w:val="20"/>
        <w:szCs w:val="20"/>
      </w:rPr>
    </w:pPr>
  </w:p>
  <w:p w:rsidR="005C7C8F" w:rsidRDefault="0063056F" w:rsidP="00DC5C4E">
    <w:pPr>
      <w:pStyle w:val="Piedepgina"/>
      <w:tabs>
        <w:tab w:val="clear" w:pos="4252"/>
        <w:tab w:val="left" w:pos="4228"/>
      </w:tabs>
      <w:rPr>
        <w:rFonts w:ascii="Palatino Linotype" w:hAnsi="Palatino Linotype" w:cs="Arial"/>
        <w:b/>
        <w:bCs/>
        <w:sz w:val="20"/>
        <w:szCs w:val="20"/>
      </w:rPr>
    </w:pPr>
  </w:p>
  <w:p w:rsidR="005C7C8F" w:rsidRDefault="0063056F" w:rsidP="00DC5C4E">
    <w:pPr>
      <w:pStyle w:val="Piedepgina"/>
      <w:tabs>
        <w:tab w:val="clear" w:pos="4252"/>
        <w:tab w:val="left" w:pos="4228"/>
      </w:tabs>
      <w:rPr>
        <w:rFonts w:ascii="Palatino Linotype" w:hAnsi="Palatino Linotype" w:cs="Arial"/>
        <w:b/>
        <w:bCs/>
        <w:sz w:val="20"/>
        <w:szCs w:val="20"/>
      </w:rPr>
    </w:pPr>
  </w:p>
  <w:p w:rsidR="005C7C8F" w:rsidRDefault="0063056F" w:rsidP="00DC5C4E">
    <w:pPr>
      <w:pStyle w:val="Piedepgina"/>
      <w:rPr>
        <w:rFonts w:ascii="Palatino Linotype" w:hAnsi="Palatino Linotype" w:cs="Arial"/>
        <w:b/>
        <w:bCs/>
        <w:sz w:val="20"/>
        <w:szCs w:val="20"/>
      </w:rPr>
    </w:pPr>
  </w:p>
  <w:p w:rsidR="005C7C8F" w:rsidRPr="00F12350" w:rsidRDefault="00C92D53"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3056F">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3056F">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rsidR="005C7C8F" w:rsidRDefault="0063056F"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C54" w:rsidRDefault="00501C54" w:rsidP="00222D15">
      <w:pPr>
        <w:spacing w:after="0" w:line="240" w:lineRule="auto"/>
      </w:pPr>
      <w:r>
        <w:separator/>
      </w:r>
    </w:p>
  </w:footnote>
  <w:footnote w:type="continuationSeparator" w:id="0">
    <w:p w:rsidR="00501C54" w:rsidRDefault="00501C54" w:rsidP="00222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3056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92D53"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1A823FD" wp14:editId="2A79579C">
          <wp:simplePos x="0" y="0"/>
          <wp:positionH relativeFrom="column">
            <wp:posOffset>-622935</wp:posOffset>
          </wp:positionH>
          <wp:positionV relativeFrom="paragraph">
            <wp:posOffset>-374015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94E9C" w:rsidRDefault="0063056F" w:rsidP="00DC5C4E">
    <w:pPr>
      <w:pStyle w:val="Encabezado"/>
      <w:tabs>
        <w:tab w:val="clear" w:pos="4252"/>
        <w:tab w:val="clear" w:pos="8504"/>
        <w:tab w:val="left" w:pos="2326"/>
      </w:tabs>
      <w:jc w:val="right"/>
      <w:rPr>
        <w:rFonts w:ascii="Palatino Linotype" w:hAnsi="Palatino Linotype" w:cs="Arial"/>
        <w:sz w:val="20"/>
        <w:szCs w:val="20"/>
      </w:rPr>
    </w:pPr>
  </w:p>
  <w:p w:rsidR="00894E9C" w:rsidRDefault="0063056F"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C92D53"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D93B99" w:rsidRDefault="00C92D53" w:rsidP="00036834">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b/>
    </w: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Pr="00A91250">
      <w:rPr>
        <w:rFonts w:ascii="Palatino Linotype" w:hAnsi="Palatino Linotype" w:cs="Arial"/>
        <w:sz w:val="20"/>
        <w:szCs w:val="20"/>
      </w:rPr>
      <w:t>0</w:t>
    </w:r>
    <w:r w:rsidR="00E26E75">
      <w:rPr>
        <w:rFonts w:ascii="Palatino Linotype" w:hAnsi="Palatino Linotype" w:cs="Arial"/>
        <w:sz w:val="20"/>
        <w:szCs w:val="20"/>
      </w:rPr>
      <w:t>6665</w:t>
    </w:r>
    <w:r w:rsidRPr="00A91250">
      <w:rPr>
        <w:rFonts w:ascii="Palatino Linotype" w:hAnsi="Palatino Linotype" w:cs="Arial"/>
        <w:sz w:val="20"/>
        <w:szCs w:val="20"/>
      </w:rPr>
      <w:t>/INFOEM/IP/RR/201</w:t>
    </w:r>
    <w:r w:rsidR="00E26E75">
      <w:rPr>
        <w:rFonts w:ascii="Palatino Linotype" w:hAnsi="Palatino Linotype" w:cs="Arial"/>
        <w:sz w:val="20"/>
        <w:szCs w:val="20"/>
      </w:rPr>
      <w:t>9</w:t>
    </w:r>
  </w:p>
  <w:p w:rsidR="00D406EF" w:rsidRDefault="0063056F" w:rsidP="005B0ABF">
    <w:pPr>
      <w:pStyle w:val="Encabezado"/>
      <w:tabs>
        <w:tab w:val="clear" w:pos="4252"/>
        <w:tab w:val="clear" w:pos="8504"/>
        <w:tab w:val="left" w:pos="2326"/>
      </w:tabs>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margin-left:-76pt;margin-top:235.4pt;width:644.85pt;height:93.55pt;rotation:315;z-index:-251658240;mso-position-horizontal-relative:margin;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3056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94F1F"/>
    <w:multiLevelType w:val="hybridMultilevel"/>
    <w:tmpl w:val="F4BEBC80"/>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0932F9"/>
    <w:multiLevelType w:val="hybridMultilevel"/>
    <w:tmpl w:val="561A85D2"/>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9B3F0B"/>
    <w:multiLevelType w:val="hybridMultilevel"/>
    <w:tmpl w:val="C61244E8"/>
    <w:lvl w:ilvl="0" w:tplc="EE5CE6BA">
      <w:start w:val="1"/>
      <w:numFmt w:val="upperRoman"/>
      <w:lvlText w:val="%1."/>
      <w:lvlJc w:val="left"/>
      <w:pPr>
        <w:ind w:left="1571" w:hanging="720"/>
      </w:pPr>
      <w:rPr>
        <w:rFonts w:asciiTheme="minorHAnsi" w:eastAsiaTheme="minorHAnsi" w:hAnsiTheme="minorHAnsi" w:cstheme="minorBid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50FD2FC0"/>
    <w:multiLevelType w:val="hybridMultilevel"/>
    <w:tmpl w:val="96EEA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7355DE"/>
    <w:multiLevelType w:val="hybridMultilevel"/>
    <w:tmpl w:val="96EEA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E552A34"/>
    <w:multiLevelType w:val="hybridMultilevel"/>
    <w:tmpl w:val="AB8A5DF6"/>
    <w:lvl w:ilvl="0" w:tplc="080A0017">
      <w:start w:val="1"/>
      <w:numFmt w:val="lowerLetter"/>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8" w15:restartNumberingAfterBreak="0">
    <w:nsid w:val="64280C93"/>
    <w:multiLevelType w:val="hybridMultilevel"/>
    <w:tmpl w:val="165C0702"/>
    <w:lvl w:ilvl="0" w:tplc="D2F81F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3"/>
  </w:num>
  <w:num w:numId="2">
    <w:abstractNumId w:val="8"/>
  </w:num>
  <w:num w:numId="3">
    <w:abstractNumId w:val="4"/>
  </w:num>
  <w:num w:numId="4">
    <w:abstractNumId w:val="6"/>
  </w:num>
  <w:num w:numId="5">
    <w:abstractNumId w:val="5"/>
  </w:num>
  <w:num w:numId="6">
    <w:abstractNumId w:val="7"/>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15"/>
    <w:rsid w:val="00014CE2"/>
    <w:rsid w:val="0002282E"/>
    <w:rsid w:val="00036834"/>
    <w:rsid w:val="000964FE"/>
    <w:rsid w:val="000A2F94"/>
    <w:rsid w:val="000F0E2A"/>
    <w:rsid w:val="00114896"/>
    <w:rsid w:val="001375AB"/>
    <w:rsid w:val="00144328"/>
    <w:rsid w:val="001569EA"/>
    <w:rsid w:val="00165A12"/>
    <w:rsid w:val="001B1174"/>
    <w:rsid w:val="001B3DF8"/>
    <w:rsid w:val="001C66C2"/>
    <w:rsid w:val="00222D15"/>
    <w:rsid w:val="00230DA0"/>
    <w:rsid w:val="00312063"/>
    <w:rsid w:val="0031796C"/>
    <w:rsid w:val="003746E8"/>
    <w:rsid w:val="003A49AA"/>
    <w:rsid w:val="003A7AD2"/>
    <w:rsid w:val="00401267"/>
    <w:rsid w:val="00423A3A"/>
    <w:rsid w:val="00434F2D"/>
    <w:rsid w:val="00465D61"/>
    <w:rsid w:val="004726C4"/>
    <w:rsid w:val="00476590"/>
    <w:rsid w:val="00500EEE"/>
    <w:rsid w:val="00501C54"/>
    <w:rsid w:val="00516B49"/>
    <w:rsid w:val="0052778F"/>
    <w:rsid w:val="00531D64"/>
    <w:rsid w:val="00560699"/>
    <w:rsid w:val="00576ABB"/>
    <w:rsid w:val="005B0ABF"/>
    <w:rsid w:val="0063056F"/>
    <w:rsid w:val="006313BC"/>
    <w:rsid w:val="00642D83"/>
    <w:rsid w:val="006443EF"/>
    <w:rsid w:val="00645B2D"/>
    <w:rsid w:val="00657587"/>
    <w:rsid w:val="006663D9"/>
    <w:rsid w:val="006729C5"/>
    <w:rsid w:val="006972DE"/>
    <w:rsid w:val="00720102"/>
    <w:rsid w:val="00725933"/>
    <w:rsid w:val="00733C73"/>
    <w:rsid w:val="007400A4"/>
    <w:rsid w:val="0075624F"/>
    <w:rsid w:val="00757DEA"/>
    <w:rsid w:val="00762E44"/>
    <w:rsid w:val="007746BF"/>
    <w:rsid w:val="00780F23"/>
    <w:rsid w:val="007B39BA"/>
    <w:rsid w:val="007B3F24"/>
    <w:rsid w:val="00852A0B"/>
    <w:rsid w:val="00866C94"/>
    <w:rsid w:val="008A3883"/>
    <w:rsid w:val="00936CEC"/>
    <w:rsid w:val="00945B85"/>
    <w:rsid w:val="009802CD"/>
    <w:rsid w:val="009D220B"/>
    <w:rsid w:val="009E54E9"/>
    <w:rsid w:val="009E71E2"/>
    <w:rsid w:val="00A10810"/>
    <w:rsid w:val="00A62D09"/>
    <w:rsid w:val="00A63901"/>
    <w:rsid w:val="00A75F3C"/>
    <w:rsid w:val="00A85056"/>
    <w:rsid w:val="00A872D9"/>
    <w:rsid w:val="00AE56B4"/>
    <w:rsid w:val="00B02E26"/>
    <w:rsid w:val="00B06BB8"/>
    <w:rsid w:val="00B23B77"/>
    <w:rsid w:val="00BD0671"/>
    <w:rsid w:val="00BD68F5"/>
    <w:rsid w:val="00C23B43"/>
    <w:rsid w:val="00C376C2"/>
    <w:rsid w:val="00C71719"/>
    <w:rsid w:val="00C75816"/>
    <w:rsid w:val="00C76F60"/>
    <w:rsid w:val="00C92D53"/>
    <w:rsid w:val="00C9714C"/>
    <w:rsid w:val="00CA0687"/>
    <w:rsid w:val="00D24722"/>
    <w:rsid w:val="00D316E0"/>
    <w:rsid w:val="00D32ADD"/>
    <w:rsid w:val="00D34ECE"/>
    <w:rsid w:val="00D5601A"/>
    <w:rsid w:val="00D873BD"/>
    <w:rsid w:val="00D93B99"/>
    <w:rsid w:val="00D95415"/>
    <w:rsid w:val="00D9781B"/>
    <w:rsid w:val="00E17CA7"/>
    <w:rsid w:val="00E26E75"/>
    <w:rsid w:val="00E30654"/>
    <w:rsid w:val="00E47517"/>
    <w:rsid w:val="00E55607"/>
    <w:rsid w:val="00E71FBC"/>
    <w:rsid w:val="00E86256"/>
    <w:rsid w:val="00F150F5"/>
    <w:rsid w:val="00F162E3"/>
    <w:rsid w:val="00F16768"/>
    <w:rsid w:val="00F427C2"/>
    <w:rsid w:val="00F5354F"/>
    <w:rsid w:val="00F55F63"/>
    <w:rsid w:val="00F84C6D"/>
    <w:rsid w:val="00FC2A3C"/>
    <w:rsid w:val="00FC6B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5C2A7B3-F5A5-4343-88A8-AF6F9459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D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22D15"/>
    <w:rPr>
      <w:rFonts w:eastAsiaTheme="minorEastAsia"/>
      <w:sz w:val="24"/>
      <w:szCs w:val="24"/>
      <w:lang w:val="es-ES_tradnl" w:eastAsia="es-ES"/>
    </w:rPr>
  </w:style>
  <w:style w:type="paragraph" w:styleId="Piedepgina">
    <w:name w:val="footer"/>
    <w:basedOn w:val="Normal"/>
    <w:link w:val="Piedepgina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22D15"/>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6575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587"/>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400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40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10</Pages>
  <Words>2471</Words>
  <Characters>13593</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Itze Hdz.</cp:lastModifiedBy>
  <cp:revision>6</cp:revision>
  <cp:lastPrinted>2018-08-27T17:03:00Z</cp:lastPrinted>
  <dcterms:created xsi:type="dcterms:W3CDTF">2019-10-21T16:30:00Z</dcterms:created>
  <dcterms:modified xsi:type="dcterms:W3CDTF">2019-10-25T18:54:00Z</dcterms:modified>
</cp:coreProperties>
</file>