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BC4A2" w14:textId="68837CB4" w:rsidR="00327FDE" w:rsidRPr="003E788E" w:rsidRDefault="00FC3BB6" w:rsidP="00564755">
      <w:pPr>
        <w:spacing w:line="360" w:lineRule="auto"/>
        <w:jc w:val="both"/>
        <w:rPr>
          <w:rFonts w:ascii="Palatino Linotype" w:hAnsi="Palatino Linotype" w:cs="Tahoma"/>
          <w:bCs/>
          <w:sz w:val="22"/>
          <w:szCs w:val="24"/>
        </w:rPr>
      </w:pPr>
      <w:r>
        <w:rPr>
          <w:rFonts w:ascii="Palatino Linotype" w:hAnsi="Palatino Linotype" w:cs="Tahoma"/>
          <w:bCs/>
          <w:noProof/>
          <w:sz w:val="22"/>
          <w:szCs w:val="24"/>
          <w:lang w:eastAsia="es-MX"/>
        </w:rPr>
        <mc:AlternateContent>
          <mc:Choice Requires="wps">
            <w:drawing>
              <wp:anchor distT="0" distB="0" distL="114300" distR="114300" simplePos="0" relativeHeight="251662336" behindDoc="0" locked="0" layoutInCell="1" allowOverlap="1" wp14:anchorId="2514657C" wp14:editId="0C5C15EC">
                <wp:simplePos x="0" y="0"/>
                <wp:positionH relativeFrom="column">
                  <wp:posOffset>3392170</wp:posOffset>
                </wp:positionH>
                <wp:positionV relativeFrom="paragraph">
                  <wp:posOffset>-1301750</wp:posOffset>
                </wp:positionV>
                <wp:extent cx="1381125" cy="21907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1381125"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C4167" id="Rectángulo 3" o:spid="_x0000_s1026" style="position:absolute;margin-left:267.1pt;margin-top:-102.5pt;width:108.7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" fillcolor="black [3200]" strokecolor="black [1600]" strokeweight="1pt"/>
            </w:pict>
          </mc:Fallback>
        </mc:AlternateContent>
      </w:r>
      <w:r w:rsidR="00327FDE" w:rsidRPr="003E788E">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C776C8">
        <w:rPr>
          <w:rFonts w:ascii="Palatino Linotype" w:hAnsi="Palatino Linotype" w:cs="Tahoma"/>
          <w:bCs/>
          <w:sz w:val="22"/>
          <w:szCs w:val="24"/>
        </w:rPr>
        <w:t>dos de mayo</w:t>
      </w:r>
      <w:r w:rsidR="00A5623B">
        <w:rPr>
          <w:rFonts w:ascii="Palatino Linotype" w:hAnsi="Palatino Linotype" w:cs="Tahoma"/>
          <w:bCs/>
          <w:sz w:val="22"/>
          <w:szCs w:val="24"/>
        </w:rPr>
        <w:t xml:space="preserve"> de dos mil diecinueve</w:t>
      </w:r>
      <w:r w:rsidR="00327FDE" w:rsidRPr="003E788E">
        <w:rPr>
          <w:rFonts w:ascii="Palatino Linotype" w:hAnsi="Palatino Linotype" w:cs="Tahoma"/>
          <w:bCs/>
          <w:sz w:val="22"/>
          <w:szCs w:val="24"/>
        </w:rPr>
        <w:t>.</w:t>
      </w:r>
    </w:p>
    <w:p w14:paraId="1A0BC4A3" w14:textId="72A19577" w:rsidR="00B31222" w:rsidRPr="00C27C34" w:rsidRDefault="00B31222" w:rsidP="00564755">
      <w:pPr>
        <w:spacing w:line="360" w:lineRule="auto"/>
        <w:rPr>
          <w:rFonts w:ascii="Palatino Linotype" w:hAnsi="Palatino Linotype" w:cs="Tahoma"/>
          <w:bCs/>
          <w:sz w:val="22"/>
          <w:szCs w:val="22"/>
          <w:highlight w:val="yellow"/>
        </w:rPr>
      </w:pPr>
    </w:p>
    <w:p w14:paraId="1A0BC4A4" w14:textId="2000038F" w:rsidR="00B31222" w:rsidRPr="00C27C34" w:rsidRDefault="00FC3BB6" w:rsidP="00564755">
      <w:pPr>
        <w:spacing w:line="360" w:lineRule="auto"/>
        <w:jc w:val="both"/>
        <w:rPr>
          <w:rFonts w:ascii="Palatino Linotype" w:hAnsi="Palatino Linotype" w:cs="Tahoma"/>
          <w:bCs/>
          <w:sz w:val="22"/>
          <w:szCs w:val="22"/>
        </w:rPr>
      </w:pPr>
      <w:r>
        <w:rPr>
          <w:rFonts w:ascii="Palatino Linotype" w:hAnsi="Palatino Linotype" w:cs="Tahoma"/>
          <w:bCs/>
          <w:noProof/>
          <w:sz w:val="22"/>
          <w:szCs w:val="24"/>
          <w:lang w:eastAsia="es-MX"/>
        </w:rPr>
        <mc:AlternateContent>
          <mc:Choice Requires="wps">
            <w:drawing>
              <wp:anchor distT="0" distB="0" distL="114300" distR="114300" simplePos="0" relativeHeight="251666432" behindDoc="0" locked="0" layoutInCell="1" allowOverlap="1" wp14:anchorId="3B954B3C" wp14:editId="0C21416A">
                <wp:simplePos x="0" y="0"/>
                <wp:positionH relativeFrom="column">
                  <wp:posOffset>-27305</wp:posOffset>
                </wp:positionH>
                <wp:positionV relativeFrom="paragraph">
                  <wp:posOffset>548640</wp:posOffset>
                </wp:positionV>
                <wp:extent cx="180975" cy="27622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180975" cy="2762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E5E27" id="Rectángulo 12" o:spid="_x0000_s1026" style="position:absolute;margin-left:-2.15pt;margin-top:43.2pt;width:14.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" fillcolor="black [3200]" strokecolor="black [1600]" strokeweight="1pt"/>
            </w:pict>
          </mc:Fallback>
        </mc:AlternateContent>
      </w:r>
      <w:r>
        <w:rPr>
          <w:rFonts w:ascii="Palatino Linotype" w:hAnsi="Palatino Linotype" w:cs="Tahoma"/>
          <w:bCs/>
          <w:noProof/>
          <w:sz w:val="22"/>
          <w:szCs w:val="24"/>
          <w:lang w:eastAsia="es-MX"/>
        </w:rPr>
        <mc:AlternateContent>
          <mc:Choice Requires="wps">
            <w:drawing>
              <wp:anchor distT="0" distB="0" distL="114300" distR="114300" simplePos="0" relativeHeight="251664384" behindDoc="0" locked="0" layoutInCell="1" allowOverlap="1" wp14:anchorId="07B7087D" wp14:editId="40FE64FA">
                <wp:simplePos x="0" y="0"/>
                <wp:positionH relativeFrom="column">
                  <wp:posOffset>4630420</wp:posOffset>
                </wp:positionH>
                <wp:positionV relativeFrom="paragraph">
                  <wp:posOffset>272415</wp:posOffset>
                </wp:positionV>
                <wp:extent cx="1133475" cy="21907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1133475"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047A2F" id="Rectángulo 6" o:spid="_x0000_s1026" style="position:absolute;margin-left:364.6pt;margin-top:21.45pt;width:89.25pt;height:1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" fillcolor="black [3200]" strokecolor="black [1600]" strokeweight="1pt"/>
            </w:pict>
          </mc:Fallback>
        </mc:AlternateContent>
      </w:r>
      <w:r w:rsidR="00C27C34" w:rsidRPr="00327FDE">
        <w:rPr>
          <w:rFonts w:ascii="Palatino Linotype" w:hAnsi="Palatino Linotype" w:cs="Tahoma"/>
          <w:b/>
          <w:bCs/>
          <w:color w:val="0D0D0D" w:themeColor="text1" w:themeTint="F2"/>
          <w:sz w:val="22"/>
          <w:szCs w:val="22"/>
        </w:rPr>
        <w:t>VISTO</w:t>
      </w:r>
      <w:r w:rsidR="003B1A65">
        <w:rPr>
          <w:rFonts w:ascii="Palatino Linotype" w:hAnsi="Palatino Linotype" w:cs="Tahoma"/>
          <w:b/>
          <w:bCs/>
          <w:color w:val="0D0D0D" w:themeColor="text1" w:themeTint="F2"/>
          <w:sz w:val="22"/>
          <w:szCs w:val="22"/>
        </w:rPr>
        <w:t>S</w:t>
      </w:r>
      <w:r w:rsidR="0019389B" w:rsidRPr="00C27C34">
        <w:rPr>
          <w:rFonts w:ascii="Palatino Linotype" w:hAnsi="Palatino Linotype" w:cs="Tahoma"/>
          <w:bCs/>
          <w:color w:val="0D0D0D" w:themeColor="text1" w:themeTint="F2"/>
          <w:sz w:val="22"/>
          <w:szCs w:val="22"/>
        </w:rPr>
        <w:t xml:space="preserve"> </w:t>
      </w:r>
      <w:r w:rsidR="003B1A65">
        <w:rPr>
          <w:rFonts w:ascii="Palatino Linotype" w:hAnsi="Palatino Linotype" w:cs="Tahoma"/>
          <w:bCs/>
          <w:color w:val="0D0D0D" w:themeColor="text1" w:themeTint="F2"/>
          <w:sz w:val="22"/>
          <w:szCs w:val="22"/>
        </w:rPr>
        <w:t>los</w:t>
      </w:r>
      <w:r w:rsidR="0019389B" w:rsidRPr="00C27C34">
        <w:rPr>
          <w:rFonts w:ascii="Palatino Linotype" w:hAnsi="Palatino Linotype" w:cs="Tahoma"/>
          <w:bCs/>
          <w:color w:val="0D0D0D" w:themeColor="text1" w:themeTint="F2"/>
          <w:sz w:val="22"/>
          <w:szCs w:val="22"/>
        </w:rPr>
        <w:t xml:space="preserve"> expediente</w:t>
      </w:r>
      <w:r w:rsidR="003B1A65">
        <w:rPr>
          <w:rFonts w:ascii="Palatino Linotype" w:hAnsi="Palatino Linotype" w:cs="Tahoma"/>
          <w:bCs/>
          <w:color w:val="0D0D0D" w:themeColor="text1" w:themeTint="F2"/>
          <w:sz w:val="22"/>
          <w:szCs w:val="22"/>
        </w:rPr>
        <w:t>s</w:t>
      </w:r>
      <w:r w:rsidR="0019389B" w:rsidRPr="00C27C34">
        <w:rPr>
          <w:rFonts w:ascii="Palatino Linotype" w:hAnsi="Palatino Linotype" w:cs="Tahoma"/>
          <w:bCs/>
          <w:color w:val="0D0D0D" w:themeColor="text1" w:themeTint="F2"/>
          <w:sz w:val="22"/>
          <w:szCs w:val="22"/>
        </w:rPr>
        <w:t xml:space="preserve"> conformado</w:t>
      </w:r>
      <w:r w:rsidR="003B1A65">
        <w:rPr>
          <w:rFonts w:ascii="Palatino Linotype" w:hAnsi="Palatino Linotype" w:cs="Tahoma"/>
          <w:bCs/>
          <w:color w:val="0D0D0D" w:themeColor="text1" w:themeTint="F2"/>
          <w:sz w:val="22"/>
          <w:szCs w:val="22"/>
        </w:rPr>
        <w:t>s</w:t>
      </w:r>
      <w:r w:rsidR="0019389B" w:rsidRPr="00C27C34">
        <w:rPr>
          <w:rFonts w:ascii="Palatino Linotype" w:hAnsi="Palatino Linotype" w:cs="Tahoma"/>
          <w:bCs/>
          <w:color w:val="0D0D0D" w:themeColor="text1" w:themeTint="F2"/>
          <w:sz w:val="22"/>
          <w:szCs w:val="22"/>
        </w:rPr>
        <w:t xml:space="preserve"> </w:t>
      </w:r>
      <w:r w:rsidR="00422869" w:rsidRPr="00C27C34">
        <w:rPr>
          <w:rFonts w:ascii="Palatino Linotype" w:hAnsi="Palatino Linotype" w:cs="Tahoma"/>
          <w:bCs/>
          <w:color w:val="0D0D0D" w:themeColor="text1" w:themeTint="F2"/>
          <w:sz w:val="22"/>
          <w:szCs w:val="22"/>
        </w:rPr>
        <w:t xml:space="preserve">con motivo </w:t>
      </w:r>
      <w:r w:rsidR="00C27C34" w:rsidRPr="00C27C34">
        <w:rPr>
          <w:rFonts w:ascii="Palatino Linotype" w:hAnsi="Palatino Linotype" w:cs="Tahoma"/>
          <w:bCs/>
          <w:color w:val="0D0D0D" w:themeColor="text1" w:themeTint="F2"/>
          <w:sz w:val="22"/>
          <w:szCs w:val="22"/>
        </w:rPr>
        <w:t>de</w:t>
      </w:r>
      <w:r w:rsidR="003B1A65">
        <w:rPr>
          <w:rFonts w:ascii="Palatino Linotype" w:hAnsi="Palatino Linotype" w:cs="Tahoma"/>
          <w:bCs/>
          <w:color w:val="0D0D0D" w:themeColor="text1" w:themeTint="F2"/>
          <w:sz w:val="22"/>
          <w:szCs w:val="22"/>
        </w:rPr>
        <w:t xml:space="preserve"> </w:t>
      </w:r>
      <w:r w:rsidR="00C27C34" w:rsidRPr="00C27C34">
        <w:rPr>
          <w:rFonts w:ascii="Palatino Linotype" w:hAnsi="Palatino Linotype" w:cs="Tahoma"/>
          <w:bCs/>
          <w:color w:val="0D0D0D" w:themeColor="text1" w:themeTint="F2"/>
          <w:sz w:val="22"/>
          <w:szCs w:val="22"/>
        </w:rPr>
        <w:t>l</w:t>
      </w:r>
      <w:r w:rsidR="003B1A65">
        <w:rPr>
          <w:rFonts w:ascii="Palatino Linotype" w:hAnsi="Palatino Linotype" w:cs="Tahoma"/>
          <w:bCs/>
          <w:color w:val="0D0D0D" w:themeColor="text1" w:themeTint="F2"/>
          <w:sz w:val="22"/>
          <w:szCs w:val="22"/>
        </w:rPr>
        <w:t>os</w:t>
      </w:r>
      <w:r w:rsidR="00422869" w:rsidRPr="00C27C34">
        <w:rPr>
          <w:rFonts w:ascii="Palatino Linotype" w:hAnsi="Palatino Linotype" w:cs="Tahoma"/>
          <w:bCs/>
          <w:color w:val="0D0D0D" w:themeColor="text1" w:themeTint="F2"/>
          <w:sz w:val="22"/>
          <w:szCs w:val="22"/>
        </w:rPr>
        <w:t xml:space="preserve"> Recurso</w:t>
      </w:r>
      <w:r w:rsidR="003B1A65">
        <w:rPr>
          <w:rFonts w:ascii="Palatino Linotype" w:hAnsi="Palatino Linotype" w:cs="Tahoma"/>
          <w:bCs/>
          <w:color w:val="0D0D0D" w:themeColor="text1" w:themeTint="F2"/>
          <w:sz w:val="22"/>
          <w:szCs w:val="22"/>
        </w:rPr>
        <w:t>s</w:t>
      </w:r>
      <w:r w:rsidR="00422869" w:rsidRPr="00C27C34">
        <w:rPr>
          <w:rFonts w:ascii="Palatino Linotype" w:hAnsi="Palatino Linotype" w:cs="Tahoma"/>
          <w:bCs/>
          <w:color w:val="0D0D0D" w:themeColor="text1" w:themeTint="F2"/>
          <w:sz w:val="22"/>
          <w:szCs w:val="22"/>
        </w:rPr>
        <w:t xml:space="preserve"> de Revisión </w:t>
      </w:r>
      <w:r w:rsidR="00C27C34" w:rsidRPr="00C27C34">
        <w:rPr>
          <w:rFonts w:ascii="Palatino Linotype" w:hAnsi="Palatino Linotype" w:cs="Tahoma"/>
          <w:bCs/>
          <w:color w:val="0D0D0D" w:themeColor="text1" w:themeTint="F2"/>
          <w:sz w:val="22"/>
          <w:szCs w:val="22"/>
        </w:rPr>
        <w:t xml:space="preserve">con número </w:t>
      </w:r>
      <w:r w:rsidR="00C776C8">
        <w:rPr>
          <w:rFonts w:ascii="Palatino Linotype" w:hAnsi="Palatino Linotype" w:cs="Tahoma"/>
          <w:bCs/>
          <w:color w:val="0D0D0D" w:themeColor="text1" w:themeTint="F2"/>
          <w:sz w:val="22"/>
          <w:szCs w:val="22"/>
        </w:rPr>
        <w:t>00871/INFOEM/IP/RR/2019 y 00872/INFOEM/IP/RR/2019</w:t>
      </w:r>
      <w:r w:rsidR="00422869" w:rsidRPr="00C27C34">
        <w:rPr>
          <w:rFonts w:ascii="Palatino Linotype" w:hAnsi="Palatino Linotype" w:cs="Tahoma"/>
          <w:bCs/>
          <w:color w:val="0D0D0D" w:themeColor="text1" w:themeTint="F2"/>
          <w:sz w:val="22"/>
          <w:szCs w:val="22"/>
        </w:rPr>
        <w:t xml:space="preserve">, </w:t>
      </w:r>
      <w:r w:rsidR="00127757" w:rsidRPr="00C27C34">
        <w:rPr>
          <w:rFonts w:ascii="Palatino Linotype" w:hAnsi="Palatino Linotype" w:cs="Tahoma"/>
          <w:bCs/>
          <w:color w:val="0D0D0D" w:themeColor="text1" w:themeTint="F2"/>
          <w:sz w:val="22"/>
          <w:szCs w:val="22"/>
        </w:rPr>
        <w:t>interpuesto</w:t>
      </w:r>
      <w:r w:rsidR="00897444" w:rsidRPr="00C27C34">
        <w:rPr>
          <w:rFonts w:ascii="Palatino Linotype" w:hAnsi="Palatino Linotype" w:cs="Tahoma"/>
          <w:bCs/>
          <w:color w:val="0D0D0D" w:themeColor="text1" w:themeTint="F2"/>
          <w:sz w:val="22"/>
          <w:szCs w:val="22"/>
        </w:rPr>
        <w:t>s</w:t>
      </w:r>
      <w:r w:rsidR="00127757" w:rsidRPr="00C27C34">
        <w:rPr>
          <w:rFonts w:ascii="Palatino Linotype" w:hAnsi="Palatino Linotype" w:cs="Tahoma"/>
          <w:bCs/>
          <w:color w:val="0D0D0D" w:themeColor="text1" w:themeTint="F2"/>
          <w:sz w:val="22"/>
          <w:szCs w:val="22"/>
        </w:rPr>
        <w:t xml:space="preserve"> por </w:t>
      </w:r>
      <w:proofErr w:type="spellStart"/>
      <w:r>
        <w:rPr>
          <w:rFonts w:ascii="Palatino Linotype" w:hAnsi="Palatino Linotype" w:cs="Tahoma"/>
          <w:b/>
          <w:bCs/>
          <w:color w:val="0D0D0D" w:themeColor="text1" w:themeTint="F2"/>
          <w:sz w:val="22"/>
          <w:szCs w:val="22"/>
        </w:rPr>
        <w:t>XXXX</w:t>
      </w:r>
      <w:proofErr w:type="spellEnd"/>
      <w:r>
        <w:rPr>
          <w:rFonts w:ascii="Palatino Linotype" w:hAnsi="Palatino Linotype" w:cs="Tahoma"/>
          <w:b/>
          <w:bCs/>
          <w:color w:val="0D0D0D" w:themeColor="text1" w:themeTint="F2"/>
          <w:sz w:val="22"/>
          <w:szCs w:val="22"/>
        </w:rPr>
        <w:t xml:space="preserve"> XX </w:t>
      </w:r>
      <w:proofErr w:type="spellStart"/>
      <w:r>
        <w:rPr>
          <w:rFonts w:ascii="Palatino Linotype" w:hAnsi="Palatino Linotype" w:cs="Tahoma"/>
          <w:b/>
          <w:bCs/>
          <w:color w:val="0D0D0D" w:themeColor="text1" w:themeTint="F2"/>
          <w:sz w:val="22"/>
          <w:szCs w:val="22"/>
        </w:rPr>
        <w:t>XXXX</w:t>
      </w:r>
      <w:proofErr w:type="spellEnd"/>
      <w:r>
        <w:rPr>
          <w:rFonts w:ascii="Palatino Linotype" w:hAnsi="Palatino Linotype" w:cs="Tahoma"/>
          <w:b/>
          <w:bCs/>
          <w:color w:val="0D0D0D" w:themeColor="text1" w:themeTint="F2"/>
          <w:sz w:val="22"/>
          <w:szCs w:val="22"/>
        </w:rPr>
        <w:t xml:space="preserve"> X </w:t>
      </w:r>
      <w:proofErr w:type="spellStart"/>
      <w:r>
        <w:rPr>
          <w:rFonts w:ascii="Palatino Linotype" w:hAnsi="Palatino Linotype" w:cs="Tahoma"/>
          <w:b/>
          <w:bCs/>
          <w:color w:val="0D0D0D" w:themeColor="text1" w:themeTint="F2"/>
          <w:sz w:val="22"/>
          <w:szCs w:val="22"/>
        </w:rPr>
        <w:t>X</w:t>
      </w:r>
      <w:proofErr w:type="spellEnd"/>
      <w:r w:rsidR="003B1A65">
        <w:rPr>
          <w:rFonts w:ascii="Palatino Linotype" w:hAnsi="Palatino Linotype" w:cs="Tahoma"/>
          <w:bCs/>
          <w:color w:val="0D0D0D" w:themeColor="text1" w:themeTint="F2"/>
          <w:sz w:val="22"/>
          <w:szCs w:val="22"/>
        </w:rPr>
        <w:t>, en lo sucesivo Particular o R</w:t>
      </w:r>
      <w:r w:rsidR="00112085">
        <w:rPr>
          <w:rFonts w:ascii="Palatino Linotype" w:hAnsi="Palatino Linotype" w:cs="Tahoma"/>
          <w:bCs/>
          <w:color w:val="0D0D0D" w:themeColor="text1" w:themeTint="F2"/>
          <w:sz w:val="22"/>
          <w:szCs w:val="22"/>
        </w:rPr>
        <w:t>ecurrente,</w:t>
      </w:r>
      <w:r w:rsidR="0057298D">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en contra de </w:t>
      </w:r>
      <w:r w:rsidR="00C27C34" w:rsidRPr="00C27C34">
        <w:rPr>
          <w:rFonts w:ascii="Palatino Linotype" w:hAnsi="Palatino Linotype" w:cs="Tahoma"/>
          <w:bCs/>
          <w:color w:val="0D0D0D" w:themeColor="text1" w:themeTint="F2"/>
          <w:sz w:val="22"/>
          <w:szCs w:val="22"/>
        </w:rPr>
        <w:t>la</w:t>
      </w:r>
      <w:r w:rsidR="003B1A65">
        <w:rPr>
          <w:rFonts w:ascii="Palatino Linotype" w:hAnsi="Palatino Linotype" w:cs="Tahoma"/>
          <w:bCs/>
          <w:color w:val="0D0D0D" w:themeColor="text1" w:themeTint="F2"/>
          <w:sz w:val="22"/>
          <w:szCs w:val="22"/>
        </w:rPr>
        <w:t>s</w:t>
      </w:r>
      <w:r w:rsidR="00C27C34" w:rsidRPr="00C27C34">
        <w:rPr>
          <w:rFonts w:ascii="Palatino Linotype" w:hAnsi="Palatino Linotype" w:cs="Tahoma"/>
          <w:bCs/>
          <w:color w:val="0D0D0D" w:themeColor="text1" w:themeTint="F2"/>
          <w:sz w:val="22"/>
          <w:szCs w:val="22"/>
        </w:rPr>
        <w:t xml:space="preserve"> respuesta</w:t>
      </w:r>
      <w:r w:rsidR="003B1A65">
        <w:rPr>
          <w:rFonts w:ascii="Palatino Linotype" w:hAnsi="Palatino Linotype" w:cs="Tahoma"/>
          <w:bCs/>
          <w:color w:val="0D0D0D" w:themeColor="text1" w:themeTint="F2"/>
          <w:sz w:val="22"/>
          <w:szCs w:val="22"/>
        </w:rPr>
        <w:t>s</w:t>
      </w:r>
      <w:r w:rsidR="00DC1594" w:rsidRPr="00C27C34">
        <w:rPr>
          <w:rFonts w:ascii="Palatino Linotype" w:hAnsi="Palatino Linotype" w:cs="Tahoma"/>
          <w:bCs/>
          <w:color w:val="0D0D0D" w:themeColor="text1" w:themeTint="F2"/>
          <w:sz w:val="22"/>
          <w:szCs w:val="22"/>
        </w:rPr>
        <w:t xml:space="preserve"> del </w:t>
      </w:r>
      <w:r w:rsidR="002A0FB8" w:rsidRPr="00C27C34">
        <w:rPr>
          <w:rFonts w:ascii="Palatino Linotype" w:hAnsi="Palatino Linotype" w:cs="Tahoma"/>
          <w:bCs/>
          <w:color w:val="0D0D0D" w:themeColor="text1" w:themeTint="F2"/>
          <w:sz w:val="22"/>
          <w:szCs w:val="22"/>
        </w:rPr>
        <w:t>Sujeto Obligado</w:t>
      </w:r>
      <w:r w:rsidR="00112085">
        <w:rPr>
          <w:rFonts w:ascii="Palatino Linotype" w:hAnsi="Palatino Linotype" w:cs="Tahoma"/>
          <w:bCs/>
          <w:color w:val="0D0D0D" w:themeColor="text1" w:themeTint="F2"/>
          <w:sz w:val="22"/>
          <w:szCs w:val="22"/>
        </w:rPr>
        <w:t>,</w:t>
      </w:r>
      <w:r w:rsidR="002A0FB8" w:rsidRPr="00C27C34">
        <w:rPr>
          <w:rFonts w:ascii="Palatino Linotype" w:hAnsi="Palatino Linotype" w:cs="Tahoma"/>
          <w:bCs/>
          <w:color w:val="0D0D0D" w:themeColor="text1" w:themeTint="F2"/>
          <w:sz w:val="22"/>
          <w:szCs w:val="22"/>
        </w:rPr>
        <w:t xml:space="preserve"> </w:t>
      </w:r>
      <w:r w:rsidR="00C776C8">
        <w:rPr>
          <w:rFonts w:ascii="Palatino Linotype" w:hAnsi="Palatino Linotype" w:cs="Tahoma"/>
          <w:b/>
          <w:bCs/>
          <w:color w:val="0D0D0D" w:themeColor="text1" w:themeTint="F2"/>
          <w:sz w:val="22"/>
          <w:szCs w:val="22"/>
        </w:rPr>
        <w:t>Centro de Control de Confianza del Estado de México</w:t>
      </w:r>
      <w:r w:rsidR="00DC1594" w:rsidRPr="00C27C34">
        <w:rPr>
          <w:rFonts w:ascii="Palatino Linotype" w:hAnsi="Palatino Linotype" w:cs="Tahoma"/>
          <w:bCs/>
          <w:color w:val="0D0D0D" w:themeColor="text1" w:themeTint="F2"/>
          <w:sz w:val="22"/>
          <w:szCs w:val="22"/>
        </w:rPr>
        <w:t xml:space="preserve">, </w:t>
      </w:r>
      <w:r w:rsidR="00422869" w:rsidRPr="00C27C34">
        <w:rPr>
          <w:rFonts w:ascii="Palatino Linotype" w:hAnsi="Palatino Linotype" w:cs="Tahoma"/>
          <w:bCs/>
          <w:color w:val="0D0D0D" w:themeColor="text1" w:themeTint="F2"/>
          <w:sz w:val="22"/>
          <w:szCs w:val="22"/>
        </w:rPr>
        <w:t xml:space="preserve">se emite la presente Resolución, </w:t>
      </w:r>
      <w:r w:rsidR="00DC1594" w:rsidRPr="00C27C34">
        <w:rPr>
          <w:rFonts w:ascii="Palatino Linotype" w:hAnsi="Palatino Linotype" w:cs="Tahoma"/>
          <w:bCs/>
          <w:color w:val="0D0D0D" w:themeColor="text1" w:themeTint="F2"/>
          <w:sz w:val="22"/>
          <w:szCs w:val="22"/>
        </w:rPr>
        <w:t>con base en</w:t>
      </w:r>
      <w:r w:rsidR="007827FA">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los </w:t>
      </w:r>
      <w:r w:rsidR="006C1B1D" w:rsidRPr="00C27C34">
        <w:rPr>
          <w:rFonts w:ascii="Palatino Linotype" w:hAnsi="Palatino Linotype" w:cs="Tahoma"/>
          <w:bCs/>
          <w:color w:val="0D0D0D" w:themeColor="text1" w:themeTint="F2"/>
          <w:sz w:val="22"/>
          <w:szCs w:val="22"/>
        </w:rPr>
        <w:t>A</w:t>
      </w:r>
      <w:r w:rsidR="00DC1594" w:rsidRPr="00C27C34">
        <w:rPr>
          <w:rFonts w:ascii="Palatino Linotype" w:hAnsi="Palatino Linotype" w:cs="Tahoma"/>
          <w:bCs/>
          <w:color w:val="0D0D0D" w:themeColor="text1" w:themeTint="F2"/>
          <w:sz w:val="22"/>
          <w:szCs w:val="22"/>
        </w:rPr>
        <w:t xml:space="preserve">ntecedentes y </w:t>
      </w:r>
      <w:r w:rsidR="002A0FB8" w:rsidRPr="00C27C34">
        <w:rPr>
          <w:rFonts w:ascii="Palatino Linotype" w:hAnsi="Palatino Linotype" w:cs="Tahoma"/>
          <w:bCs/>
          <w:color w:val="0D0D0D" w:themeColor="text1" w:themeTint="F2"/>
          <w:sz w:val="22"/>
          <w:szCs w:val="22"/>
        </w:rPr>
        <w:t>C</w:t>
      </w:r>
      <w:r w:rsidR="002A0FB8" w:rsidRPr="00C27C34">
        <w:rPr>
          <w:rFonts w:ascii="Palatino Linotype" w:hAnsi="Palatino Linotype" w:cs="Tahoma"/>
          <w:bCs/>
          <w:sz w:val="22"/>
          <w:szCs w:val="22"/>
        </w:rPr>
        <w:t xml:space="preserve">onsiderandos </w:t>
      </w:r>
      <w:r w:rsidR="00DC1594" w:rsidRPr="00C27C34">
        <w:rPr>
          <w:rFonts w:ascii="Palatino Linotype" w:hAnsi="Palatino Linotype" w:cs="Tahoma"/>
          <w:bCs/>
          <w:sz w:val="22"/>
          <w:szCs w:val="22"/>
        </w:rPr>
        <w:t>que a continuación se exponen</w:t>
      </w:r>
      <w:r w:rsidR="00B31222" w:rsidRPr="00C27C34">
        <w:rPr>
          <w:rFonts w:ascii="Palatino Linotype" w:hAnsi="Palatino Linotype" w:cs="Tahoma"/>
          <w:bCs/>
          <w:sz w:val="22"/>
          <w:szCs w:val="22"/>
        </w:rPr>
        <w:t>:</w:t>
      </w:r>
    </w:p>
    <w:p w14:paraId="1A0BC4A5" w14:textId="77777777" w:rsidR="00735915" w:rsidRPr="00C27C34" w:rsidRDefault="00735915" w:rsidP="00564755">
      <w:pPr>
        <w:spacing w:line="360" w:lineRule="auto"/>
        <w:rPr>
          <w:rFonts w:ascii="Palatino Linotype" w:hAnsi="Palatino Linotype" w:cs="Tahoma"/>
          <w:sz w:val="22"/>
          <w:szCs w:val="22"/>
        </w:rPr>
      </w:pPr>
    </w:p>
    <w:p w14:paraId="1A0BC4A6" w14:textId="77777777" w:rsidR="00B31222" w:rsidRPr="00C27C34" w:rsidRDefault="00B31222" w:rsidP="00564755">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1A0BC4A7" w14:textId="77777777" w:rsidR="00B31222" w:rsidRPr="00C27C34" w:rsidRDefault="00B31222" w:rsidP="00564755">
      <w:pPr>
        <w:pStyle w:val="Prrafodelista"/>
        <w:tabs>
          <w:tab w:val="left" w:pos="567"/>
        </w:tabs>
        <w:spacing w:line="360" w:lineRule="auto"/>
        <w:ind w:left="0"/>
        <w:contextualSpacing w:val="0"/>
        <w:jc w:val="both"/>
        <w:rPr>
          <w:rFonts w:ascii="Palatino Linotype" w:hAnsi="Palatino Linotype" w:cs="Tahoma"/>
          <w:szCs w:val="22"/>
        </w:rPr>
      </w:pPr>
    </w:p>
    <w:p w14:paraId="1A0BC4A8" w14:textId="77777777" w:rsidR="00DC1594" w:rsidRPr="00C27C34" w:rsidRDefault="00B31222" w:rsidP="00564755">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w:t>
      </w:r>
      <w:r w:rsidR="003B1A65">
        <w:rPr>
          <w:rFonts w:ascii="Palatino Linotype" w:hAnsi="Palatino Linotype" w:cs="Tahoma"/>
          <w:b/>
          <w:szCs w:val="22"/>
        </w:rPr>
        <w:t>s</w:t>
      </w:r>
      <w:r w:rsidR="00C27C34">
        <w:rPr>
          <w:rFonts w:ascii="Palatino Linotype" w:hAnsi="Palatino Linotype" w:cs="Tahoma"/>
          <w:b/>
          <w:szCs w:val="22"/>
        </w:rPr>
        <w:t xml:space="preserve"> solicitud</w:t>
      </w:r>
      <w:r w:rsidR="003B1A65">
        <w:rPr>
          <w:rFonts w:ascii="Palatino Linotype" w:hAnsi="Palatino Linotype" w:cs="Tahoma"/>
          <w:b/>
          <w:szCs w:val="22"/>
        </w:rPr>
        <w:t>es</w:t>
      </w:r>
      <w:r w:rsidRPr="00C27C34">
        <w:rPr>
          <w:rFonts w:ascii="Palatino Linotype" w:hAnsi="Palatino Linotype" w:cs="Tahoma"/>
          <w:b/>
          <w:szCs w:val="22"/>
        </w:rPr>
        <w:t xml:space="preserve"> de información. </w:t>
      </w:r>
    </w:p>
    <w:p w14:paraId="1A0BC4A9" w14:textId="77777777" w:rsidR="00DC1594" w:rsidRPr="00C27C34" w:rsidRDefault="00DC1594" w:rsidP="00564755">
      <w:pPr>
        <w:pStyle w:val="Prrafodelista"/>
        <w:tabs>
          <w:tab w:val="left" w:pos="567"/>
        </w:tabs>
        <w:spacing w:line="360" w:lineRule="auto"/>
        <w:ind w:left="0"/>
        <w:contextualSpacing w:val="0"/>
        <w:jc w:val="both"/>
        <w:rPr>
          <w:rFonts w:ascii="Palatino Linotype" w:hAnsi="Palatino Linotype" w:cs="Tahoma"/>
          <w:szCs w:val="22"/>
        </w:rPr>
      </w:pPr>
    </w:p>
    <w:p w14:paraId="1A0BC4AA" w14:textId="5AB778CA" w:rsidR="00B31222" w:rsidRPr="00C27C34" w:rsidRDefault="00AA417B" w:rsidP="00564755">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Con fecha</w:t>
      </w:r>
      <w:r w:rsidR="00C12FBA">
        <w:rPr>
          <w:rFonts w:ascii="Palatino Linotype" w:hAnsi="Palatino Linotype" w:cs="Tahoma"/>
          <w:szCs w:val="22"/>
        </w:rPr>
        <w:t xml:space="preserve"> </w:t>
      </w:r>
      <w:r w:rsidR="00A01312">
        <w:rPr>
          <w:rFonts w:ascii="Palatino Linotype" w:hAnsi="Palatino Linotype" w:cs="Tahoma"/>
          <w:szCs w:val="22"/>
        </w:rPr>
        <w:t>veintiuno de enero de dos mil diecinueve</w:t>
      </w:r>
      <w:r w:rsidR="00B31222" w:rsidRPr="00C27C34">
        <w:rPr>
          <w:rFonts w:ascii="Palatino Linotype" w:hAnsi="Palatino Linotype" w:cs="Tahoma"/>
          <w:szCs w:val="22"/>
        </w:rPr>
        <w:t xml:space="preserve">, </w:t>
      </w:r>
      <w:r w:rsidR="00A01312">
        <w:rPr>
          <w:rFonts w:ascii="Palatino Linotype" w:hAnsi="Palatino Linotype" w:cs="Tahoma"/>
          <w:szCs w:val="22"/>
        </w:rPr>
        <w:t>el</w:t>
      </w:r>
      <w:r w:rsidR="007B575B">
        <w:rPr>
          <w:rFonts w:ascii="Palatino Linotype" w:hAnsi="Palatino Linotype" w:cs="Tahoma"/>
          <w:szCs w:val="22"/>
        </w:rPr>
        <w:t xml:space="preserve"> 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 xml:space="preserve">presentó </w:t>
      </w:r>
      <w:r w:rsidR="003B1A65">
        <w:rPr>
          <w:rFonts w:ascii="Palatino Linotype" w:hAnsi="Palatino Linotype" w:cs="Tahoma"/>
          <w:szCs w:val="22"/>
        </w:rPr>
        <w:t xml:space="preserve">dos </w:t>
      </w:r>
      <w:r w:rsidR="00C27C34" w:rsidRPr="00C27C34">
        <w:rPr>
          <w:rFonts w:ascii="Palatino Linotype" w:hAnsi="Palatino Linotype" w:cs="Tahoma"/>
          <w:szCs w:val="22"/>
        </w:rPr>
        <w:t>solicitud</w:t>
      </w:r>
      <w:r w:rsidR="003B1A65">
        <w:rPr>
          <w:rFonts w:ascii="Palatino Linotype" w:hAnsi="Palatino Linotype" w:cs="Tahoma"/>
          <w:szCs w:val="22"/>
        </w:rPr>
        <w:t>es</w:t>
      </w:r>
      <w:r w:rsidR="00C27C34" w:rsidRPr="00C27C34">
        <w:rPr>
          <w:rFonts w:ascii="Palatino Linotype" w:hAnsi="Palatino Linotype" w:cs="Tahoma"/>
          <w:szCs w:val="22"/>
        </w:rPr>
        <w:t xml:space="preserve"> de acceso a la información pública a través del Sistema de Acceso a la Información Mexiquense (SAIMEX),</w:t>
      </w:r>
      <w:r w:rsidR="00007C49">
        <w:rPr>
          <w:rFonts w:ascii="Palatino Linotype" w:hAnsi="Palatino Linotype" w:cs="Tahoma"/>
          <w:szCs w:val="22"/>
        </w:rPr>
        <w:t xml:space="preserve"> respectivamente</w:t>
      </w:r>
      <w:r w:rsidR="0013199B">
        <w:rPr>
          <w:rFonts w:ascii="Palatino Linotype" w:hAnsi="Palatino Linotype" w:cs="Tahoma"/>
          <w:szCs w:val="22"/>
        </w:rPr>
        <w:t>,</w:t>
      </w:r>
      <w:r w:rsidR="00C27C34" w:rsidRPr="00C27C34">
        <w:rPr>
          <w:rFonts w:ascii="Palatino Linotype" w:hAnsi="Palatino Linotype" w:cs="Tahoma"/>
          <w:szCs w:val="22"/>
        </w:rPr>
        <w:t xml:space="preserve"> ante </w:t>
      </w:r>
      <w:r w:rsidR="00C36461">
        <w:rPr>
          <w:rFonts w:ascii="Palatino Linotype" w:hAnsi="Palatino Linotype" w:cs="Tahoma"/>
          <w:szCs w:val="22"/>
        </w:rPr>
        <w:t xml:space="preserve">el </w:t>
      </w:r>
      <w:r w:rsidR="00C776C8">
        <w:rPr>
          <w:rFonts w:ascii="Palatino Linotype" w:hAnsi="Palatino Linotype" w:cs="Tahoma"/>
          <w:szCs w:val="22"/>
        </w:rPr>
        <w:t>Centro de Control de Confianza del Estado de México</w:t>
      </w:r>
      <w:r w:rsidR="00C27C34" w:rsidRPr="00C27C34">
        <w:rPr>
          <w:rFonts w:ascii="Palatino Linotype" w:hAnsi="Palatino Linotype" w:cs="Tahoma"/>
          <w:szCs w:val="22"/>
        </w:rPr>
        <w:t>, mediante la</w:t>
      </w:r>
      <w:r w:rsidR="0013199B">
        <w:rPr>
          <w:rFonts w:ascii="Palatino Linotype" w:hAnsi="Palatino Linotype" w:cs="Tahoma"/>
          <w:szCs w:val="22"/>
        </w:rPr>
        <w:t>s</w:t>
      </w:r>
      <w:r w:rsidR="00C27C34" w:rsidRPr="00C27C34">
        <w:rPr>
          <w:rFonts w:ascii="Palatino Linotype" w:hAnsi="Palatino Linotype" w:cs="Tahoma"/>
          <w:szCs w:val="22"/>
        </w:rPr>
        <w:t xml:space="preserve"> cual</w:t>
      </w:r>
      <w:r w:rsidR="0013199B">
        <w:rPr>
          <w:rFonts w:ascii="Palatino Linotype" w:hAnsi="Palatino Linotype" w:cs="Tahoma"/>
          <w:szCs w:val="22"/>
        </w:rPr>
        <w:t>es</w:t>
      </w:r>
      <w:r w:rsidR="00C27C34" w:rsidRPr="00C27C34">
        <w:rPr>
          <w:rFonts w:ascii="Palatino Linotype" w:hAnsi="Palatino Linotype" w:cs="Tahoma"/>
          <w:szCs w:val="22"/>
        </w:rPr>
        <w:t xml:space="preserve"> requirió:</w:t>
      </w:r>
    </w:p>
    <w:p w14:paraId="1A0BC4AB" w14:textId="77777777" w:rsidR="00637179" w:rsidRDefault="00637179" w:rsidP="00564755">
      <w:pPr>
        <w:pStyle w:val="Prrafodelista"/>
        <w:tabs>
          <w:tab w:val="left" w:pos="567"/>
        </w:tabs>
        <w:spacing w:line="360" w:lineRule="auto"/>
        <w:ind w:left="0"/>
        <w:contextualSpacing w:val="0"/>
        <w:jc w:val="both"/>
        <w:rPr>
          <w:rFonts w:ascii="Palatino Linotype" w:hAnsi="Palatino Linotype" w:cs="Tahoma"/>
          <w:szCs w:val="22"/>
        </w:rPr>
      </w:pPr>
    </w:p>
    <w:p w14:paraId="1A0BC4AC" w14:textId="6512899A" w:rsidR="003B1A65" w:rsidRPr="004E591C" w:rsidRDefault="003B1A65" w:rsidP="00564755">
      <w:pPr>
        <w:tabs>
          <w:tab w:val="left" w:pos="4667"/>
        </w:tabs>
        <w:spacing w:line="360" w:lineRule="auto"/>
        <w:ind w:left="567" w:right="567"/>
        <w:jc w:val="both"/>
        <w:rPr>
          <w:rFonts w:ascii="Palatino Linotype" w:hAnsi="Palatino Linotype" w:cs="Tahoma"/>
          <w:b/>
        </w:rPr>
      </w:pPr>
      <w:r w:rsidRPr="004E591C">
        <w:rPr>
          <w:rFonts w:ascii="Palatino Linotype" w:hAnsi="Palatino Linotype" w:cs="Tahoma"/>
          <w:b/>
        </w:rPr>
        <w:t>Solicitud de Información con número de folio</w:t>
      </w:r>
      <w:r>
        <w:rPr>
          <w:rStyle w:val="Hipervnculo"/>
          <w:rFonts w:ascii="Palatino Linotype" w:hAnsi="Palatino Linotype" w:cs="Tahoma"/>
          <w:b/>
          <w:bCs/>
          <w:color w:val="auto"/>
          <w:u w:val="none"/>
        </w:rPr>
        <w:t xml:space="preserve"> </w:t>
      </w:r>
      <w:r w:rsidR="00C776C8">
        <w:rPr>
          <w:rFonts w:ascii="Palatino Linotype" w:hAnsi="Palatino Linotype" w:cs="Tahoma"/>
          <w:b/>
          <w:bCs/>
        </w:rPr>
        <w:t>00002/CCCEM/IP/2019</w:t>
      </w:r>
      <w:r w:rsidRPr="004E591C">
        <w:rPr>
          <w:rFonts w:ascii="Palatino Linotype" w:hAnsi="Palatino Linotype" w:cs="Tahoma"/>
          <w:b/>
        </w:rPr>
        <w:t>:</w:t>
      </w:r>
    </w:p>
    <w:p w14:paraId="1A0BC4AD" w14:textId="77777777" w:rsidR="003B1A65" w:rsidRPr="00C27C34" w:rsidRDefault="003B1A65" w:rsidP="00564755">
      <w:pPr>
        <w:pStyle w:val="Prrafodelista"/>
        <w:tabs>
          <w:tab w:val="left" w:pos="567"/>
        </w:tabs>
        <w:spacing w:line="360" w:lineRule="auto"/>
        <w:ind w:left="0"/>
        <w:contextualSpacing w:val="0"/>
        <w:jc w:val="both"/>
        <w:rPr>
          <w:rFonts w:ascii="Palatino Linotype" w:hAnsi="Palatino Linotype" w:cs="Tahoma"/>
          <w:szCs w:val="22"/>
        </w:rPr>
      </w:pPr>
    </w:p>
    <w:p w14:paraId="1A0BC4AE" w14:textId="77777777" w:rsidR="00D01F75" w:rsidRPr="0069700B" w:rsidRDefault="00D01F75" w:rsidP="00564755">
      <w:pPr>
        <w:tabs>
          <w:tab w:val="left" w:pos="4667"/>
        </w:tabs>
        <w:spacing w:line="360" w:lineRule="auto"/>
        <w:ind w:left="567" w:right="567"/>
        <w:jc w:val="both"/>
        <w:rPr>
          <w:rFonts w:ascii="Palatino Linotype" w:hAnsi="Palatino Linotype" w:cs="Tahoma"/>
          <w:b/>
          <w:bCs/>
          <w:i/>
        </w:rPr>
      </w:pPr>
      <w:r w:rsidRPr="0069700B">
        <w:rPr>
          <w:rFonts w:ascii="Palatino Linotype" w:hAnsi="Palatino Linotype" w:cs="Tahoma"/>
          <w:b/>
          <w:bCs/>
          <w:i/>
        </w:rPr>
        <w:t>“DESCRIPCIÓN CLARA Y PRECISA DE LA INFORMACIÓN SOLICITADA</w:t>
      </w:r>
    </w:p>
    <w:p w14:paraId="1A0BC4AF" w14:textId="7FA01E28" w:rsidR="00D01F75" w:rsidRPr="0069700B" w:rsidRDefault="00ED2EF5" w:rsidP="00564755">
      <w:pPr>
        <w:tabs>
          <w:tab w:val="left" w:pos="4667"/>
        </w:tabs>
        <w:spacing w:line="360" w:lineRule="auto"/>
        <w:ind w:left="567" w:right="567"/>
        <w:jc w:val="both"/>
        <w:rPr>
          <w:rFonts w:ascii="Palatino Linotype" w:hAnsi="Palatino Linotype" w:cs="Tahoma"/>
          <w:bCs/>
          <w:i/>
        </w:rPr>
      </w:pPr>
      <w:r w:rsidRPr="0069700B">
        <w:rPr>
          <w:rFonts w:ascii="Palatino Linotype" w:hAnsi="Palatino Linotype" w:cs="Tahoma"/>
          <w:bCs/>
          <w:i/>
        </w:rPr>
        <w:t xml:space="preserve">Informes de avance programático en términos de la Ley de Planeación del Estado de México, y del MANUAL PARA LA PLANEACIÓN, PROGRAMACIÓN Y PRESUPUESTO DE EGRESOS MUNICIPAL PARA EL EJERCICIO FISCAL 2018. Programa Operativo anual, formatos PbRM </w:t>
      </w:r>
      <w:r w:rsidRPr="0069700B">
        <w:rPr>
          <w:rFonts w:ascii="Palatino Linotype" w:hAnsi="Palatino Linotype" w:cs="Tahoma"/>
          <w:bCs/>
          <w:i/>
        </w:rPr>
        <w:lastRenderedPageBreak/>
        <w:t>1a, PbRM 1b, PbRM 1c, PbRM 1d, PbRM 1e, PbRM 02a de la Unidad de Transparencia del Centro de Control de Confianza del Estado de México”</w:t>
      </w:r>
      <w:r w:rsidR="00D01F75" w:rsidRPr="0069700B">
        <w:rPr>
          <w:rFonts w:ascii="Palatino Linotype" w:hAnsi="Palatino Linotype" w:cs="Tahoma"/>
          <w:bCs/>
          <w:i/>
        </w:rPr>
        <w:t xml:space="preserve"> (Sic.)</w:t>
      </w:r>
    </w:p>
    <w:p w14:paraId="1A0BC4B0" w14:textId="77777777" w:rsidR="00F72A5B" w:rsidRDefault="00F72A5B" w:rsidP="00564755">
      <w:pPr>
        <w:tabs>
          <w:tab w:val="left" w:pos="4667"/>
        </w:tabs>
        <w:spacing w:line="360" w:lineRule="auto"/>
        <w:ind w:right="567"/>
        <w:jc w:val="both"/>
        <w:rPr>
          <w:rFonts w:ascii="Palatino Linotype" w:hAnsi="Palatino Linotype" w:cs="Tahoma"/>
          <w:bCs/>
        </w:rPr>
      </w:pPr>
    </w:p>
    <w:p w14:paraId="1A0BC4B1" w14:textId="77777777" w:rsidR="00D01F75" w:rsidRPr="0069700B" w:rsidRDefault="00D01F75" w:rsidP="00564755">
      <w:pPr>
        <w:tabs>
          <w:tab w:val="left" w:pos="4667"/>
        </w:tabs>
        <w:spacing w:line="360" w:lineRule="auto"/>
        <w:ind w:left="567" w:right="567"/>
        <w:jc w:val="both"/>
        <w:rPr>
          <w:rFonts w:ascii="Palatino Linotype" w:hAnsi="Palatino Linotype" w:cs="Tahoma"/>
          <w:bCs/>
          <w:i/>
        </w:rPr>
      </w:pPr>
      <w:r w:rsidRPr="0069700B">
        <w:rPr>
          <w:rFonts w:ascii="Palatino Linotype" w:hAnsi="Palatino Linotype" w:cs="Tahoma"/>
          <w:b/>
          <w:bCs/>
          <w:i/>
        </w:rPr>
        <w:t>“MODALIDAD DE ENTREGA</w:t>
      </w:r>
    </w:p>
    <w:p w14:paraId="1A0BC4B2" w14:textId="77777777" w:rsidR="00D01F75" w:rsidRPr="0069700B" w:rsidRDefault="00E64BD9" w:rsidP="00564755">
      <w:pPr>
        <w:tabs>
          <w:tab w:val="left" w:pos="4667"/>
        </w:tabs>
        <w:spacing w:line="360" w:lineRule="auto"/>
        <w:ind w:left="567" w:right="567"/>
        <w:jc w:val="both"/>
        <w:rPr>
          <w:rFonts w:ascii="Palatino Linotype" w:hAnsi="Palatino Linotype" w:cs="Tahoma"/>
          <w:bCs/>
          <w:i/>
        </w:rPr>
      </w:pPr>
      <w:r w:rsidRPr="0069700B">
        <w:rPr>
          <w:rFonts w:ascii="Palatino Linotype" w:hAnsi="Palatino Linotype" w:cs="Tahoma"/>
          <w:bCs/>
          <w:i/>
        </w:rPr>
        <w:t>A través del SAIMEX</w:t>
      </w:r>
      <w:r w:rsidR="00D01F75" w:rsidRPr="0069700B">
        <w:rPr>
          <w:rFonts w:ascii="Palatino Linotype" w:hAnsi="Palatino Linotype" w:cs="Tahoma"/>
          <w:bCs/>
          <w:i/>
        </w:rPr>
        <w:t>”</w:t>
      </w:r>
    </w:p>
    <w:p w14:paraId="1A0BC4B3" w14:textId="77777777" w:rsidR="005F4977" w:rsidRDefault="005F4977" w:rsidP="00564755">
      <w:pPr>
        <w:tabs>
          <w:tab w:val="left" w:pos="4667"/>
        </w:tabs>
        <w:spacing w:line="360" w:lineRule="auto"/>
        <w:ind w:left="567" w:right="567"/>
        <w:jc w:val="both"/>
        <w:rPr>
          <w:rFonts w:ascii="Palatino Linotype" w:hAnsi="Palatino Linotype" w:cs="Tahoma"/>
          <w:bCs/>
        </w:rPr>
      </w:pPr>
    </w:p>
    <w:p w14:paraId="1A0BC4B4" w14:textId="5697119F" w:rsidR="003B1A65" w:rsidRPr="004E591C" w:rsidRDefault="003B1A65" w:rsidP="00564755">
      <w:pPr>
        <w:tabs>
          <w:tab w:val="left" w:pos="4667"/>
        </w:tabs>
        <w:spacing w:line="360" w:lineRule="auto"/>
        <w:ind w:left="567" w:right="567"/>
        <w:jc w:val="both"/>
        <w:rPr>
          <w:rFonts w:ascii="Palatino Linotype" w:hAnsi="Palatino Linotype" w:cs="Tahoma"/>
          <w:b/>
        </w:rPr>
      </w:pPr>
      <w:r w:rsidRPr="004E591C">
        <w:rPr>
          <w:rFonts w:ascii="Palatino Linotype" w:hAnsi="Palatino Linotype" w:cs="Tahoma"/>
          <w:b/>
        </w:rPr>
        <w:t>Solicitud de Información con número de folio</w:t>
      </w:r>
      <w:r>
        <w:rPr>
          <w:rStyle w:val="Hipervnculo"/>
          <w:rFonts w:ascii="Palatino Linotype" w:hAnsi="Palatino Linotype" w:cs="Tahoma"/>
          <w:b/>
          <w:bCs/>
          <w:color w:val="auto"/>
          <w:u w:val="none"/>
        </w:rPr>
        <w:t xml:space="preserve"> </w:t>
      </w:r>
      <w:r w:rsidR="00C776C8">
        <w:rPr>
          <w:rFonts w:ascii="Palatino Linotype" w:hAnsi="Palatino Linotype" w:cs="Tahoma"/>
          <w:b/>
          <w:bCs/>
        </w:rPr>
        <w:t>00003/CCCEM/IP/2019</w:t>
      </w:r>
      <w:r w:rsidRPr="004E591C">
        <w:rPr>
          <w:rFonts w:ascii="Palatino Linotype" w:hAnsi="Palatino Linotype" w:cs="Tahoma"/>
          <w:b/>
        </w:rPr>
        <w:t>:</w:t>
      </w:r>
    </w:p>
    <w:p w14:paraId="1A0BC4B5" w14:textId="77777777" w:rsidR="003B1A65" w:rsidRPr="00C27C34" w:rsidRDefault="003B1A65" w:rsidP="00564755">
      <w:pPr>
        <w:tabs>
          <w:tab w:val="left" w:pos="4667"/>
        </w:tabs>
        <w:spacing w:line="360" w:lineRule="auto"/>
        <w:ind w:left="567" w:right="567"/>
        <w:jc w:val="both"/>
        <w:rPr>
          <w:rFonts w:ascii="Palatino Linotype" w:hAnsi="Palatino Linotype" w:cs="Tahoma"/>
          <w:bCs/>
        </w:rPr>
      </w:pPr>
    </w:p>
    <w:p w14:paraId="275251F1" w14:textId="77777777" w:rsidR="00E66404" w:rsidRPr="0069700B" w:rsidRDefault="003B1A65" w:rsidP="00564755">
      <w:pPr>
        <w:tabs>
          <w:tab w:val="left" w:pos="4667"/>
        </w:tabs>
        <w:spacing w:line="360" w:lineRule="auto"/>
        <w:ind w:left="567" w:right="567"/>
        <w:jc w:val="both"/>
        <w:rPr>
          <w:rFonts w:ascii="Palatino Linotype" w:hAnsi="Palatino Linotype" w:cs="Tahoma"/>
          <w:bCs/>
          <w:i/>
        </w:rPr>
      </w:pPr>
      <w:r w:rsidRPr="0069700B">
        <w:rPr>
          <w:rFonts w:ascii="Palatino Linotype" w:hAnsi="Palatino Linotype" w:cs="Tahoma"/>
          <w:b/>
          <w:bCs/>
          <w:i/>
        </w:rPr>
        <w:t>“DESCRIPCIÓN CLARA Y PRECISA DE LA INFORMACIÓN SOLICITADA</w:t>
      </w:r>
      <w:r w:rsidR="00ED2EF5" w:rsidRPr="0069700B">
        <w:rPr>
          <w:rFonts w:ascii="Palatino Linotype" w:hAnsi="Palatino Linotype" w:cs="Tahoma"/>
          <w:bCs/>
          <w:i/>
        </w:rPr>
        <w:t xml:space="preserve"> </w:t>
      </w:r>
    </w:p>
    <w:p w14:paraId="1A0BC4B6" w14:textId="1C1E4EF6" w:rsidR="003B1A65" w:rsidRPr="0069700B" w:rsidRDefault="00ED2EF5" w:rsidP="00564755">
      <w:pPr>
        <w:tabs>
          <w:tab w:val="left" w:pos="4667"/>
        </w:tabs>
        <w:spacing w:line="360" w:lineRule="auto"/>
        <w:ind w:left="567" w:right="567"/>
        <w:jc w:val="both"/>
        <w:rPr>
          <w:rFonts w:ascii="Palatino Linotype" w:hAnsi="Palatino Linotype" w:cs="Tahoma"/>
          <w:b/>
          <w:bCs/>
          <w:i/>
        </w:rPr>
      </w:pPr>
      <w:r w:rsidRPr="0069700B">
        <w:rPr>
          <w:rFonts w:ascii="Palatino Linotype" w:hAnsi="Palatino Linotype" w:cs="Tahoma"/>
          <w:bCs/>
          <w:i/>
        </w:rPr>
        <w:t>Informes de avance programático en términos de la Ley de Planeación del Estado de México, y del MANUAL PARA LA PLANEACIÓN, PROGRAMACIÓN Y PRESUPUESTO DE EGRESOS MUNICIPAL PARA EL EJERCICIO FISCAL 2018. Programa Operativo anual, formatos PbRM 1a, PbRM 1b, PbRM 1c, PbRM 1d, PbRM 1e, PbRM 02a de todas las áreas del l Centro de Control de Confianza del Estado de México.”</w:t>
      </w:r>
    </w:p>
    <w:p w14:paraId="1A0BC4B7" w14:textId="34F8436C" w:rsidR="003B1A65" w:rsidRPr="0069700B" w:rsidRDefault="003B1A65" w:rsidP="00564755">
      <w:pPr>
        <w:tabs>
          <w:tab w:val="left" w:pos="4667"/>
        </w:tabs>
        <w:spacing w:line="360" w:lineRule="auto"/>
        <w:ind w:left="567" w:right="567"/>
        <w:jc w:val="both"/>
        <w:rPr>
          <w:rFonts w:ascii="Palatino Linotype" w:hAnsi="Palatino Linotype" w:cs="Tahoma"/>
          <w:bCs/>
          <w:i/>
        </w:rPr>
      </w:pPr>
      <w:r w:rsidRPr="0069700B">
        <w:rPr>
          <w:rFonts w:ascii="Palatino Linotype" w:hAnsi="Palatino Linotype" w:cs="Tahoma"/>
          <w:bCs/>
          <w:i/>
        </w:rPr>
        <w:t>” (Sic.)</w:t>
      </w:r>
    </w:p>
    <w:p w14:paraId="1A0BC4B8" w14:textId="77777777" w:rsidR="003B1A65" w:rsidRPr="0069700B" w:rsidRDefault="003B1A65" w:rsidP="00564755">
      <w:pPr>
        <w:tabs>
          <w:tab w:val="left" w:pos="4667"/>
        </w:tabs>
        <w:spacing w:line="360" w:lineRule="auto"/>
        <w:ind w:right="567"/>
        <w:jc w:val="both"/>
        <w:rPr>
          <w:rFonts w:ascii="Palatino Linotype" w:hAnsi="Palatino Linotype" w:cs="Tahoma"/>
          <w:bCs/>
          <w:i/>
        </w:rPr>
      </w:pPr>
    </w:p>
    <w:p w14:paraId="1A0BC4B9" w14:textId="77777777" w:rsidR="003B1A65" w:rsidRPr="0069700B" w:rsidRDefault="003B1A65" w:rsidP="00564755">
      <w:pPr>
        <w:tabs>
          <w:tab w:val="left" w:pos="4667"/>
        </w:tabs>
        <w:spacing w:line="360" w:lineRule="auto"/>
        <w:ind w:left="567" w:right="567"/>
        <w:jc w:val="both"/>
        <w:rPr>
          <w:rFonts w:ascii="Palatino Linotype" w:hAnsi="Palatino Linotype" w:cs="Tahoma"/>
          <w:bCs/>
          <w:i/>
        </w:rPr>
      </w:pPr>
      <w:r w:rsidRPr="0069700B">
        <w:rPr>
          <w:rFonts w:ascii="Palatino Linotype" w:hAnsi="Palatino Linotype" w:cs="Tahoma"/>
          <w:b/>
          <w:bCs/>
          <w:i/>
        </w:rPr>
        <w:t>“MODALIDAD DE ENTREGA</w:t>
      </w:r>
    </w:p>
    <w:p w14:paraId="1A0BC4BA" w14:textId="77777777" w:rsidR="003B1A65" w:rsidRPr="0069700B" w:rsidRDefault="003B1A65" w:rsidP="00564755">
      <w:pPr>
        <w:tabs>
          <w:tab w:val="left" w:pos="4667"/>
        </w:tabs>
        <w:spacing w:line="360" w:lineRule="auto"/>
        <w:ind w:left="567" w:right="567"/>
        <w:jc w:val="both"/>
        <w:rPr>
          <w:rFonts w:ascii="Palatino Linotype" w:hAnsi="Palatino Linotype" w:cs="Tahoma"/>
          <w:bCs/>
          <w:i/>
        </w:rPr>
      </w:pPr>
      <w:r w:rsidRPr="0069700B">
        <w:rPr>
          <w:rFonts w:ascii="Palatino Linotype" w:hAnsi="Palatino Linotype" w:cs="Tahoma"/>
          <w:bCs/>
          <w:i/>
        </w:rPr>
        <w:t>A través del SAIMEX”</w:t>
      </w:r>
    </w:p>
    <w:p w14:paraId="1A0BC4BB" w14:textId="77777777" w:rsidR="003B1A65" w:rsidRDefault="003B1A65" w:rsidP="00564755">
      <w:pPr>
        <w:tabs>
          <w:tab w:val="left" w:pos="567"/>
        </w:tabs>
        <w:spacing w:line="360" w:lineRule="auto"/>
        <w:jc w:val="both"/>
        <w:rPr>
          <w:rFonts w:ascii="Palatino Linotype" w:hAnsi="Palatino Linotype" w:cs="Tahoma"/>
          <w:b/>
          <w:sz w:val="22"/>
          <w:szCs w:val="24"/>
        </w:rPr>
      </w:pPr>
    </w:p>
    <w:p w14:paraId="1A0BC4BC" w14:textId="77777777" w:rsidR="00C12FBA" w:rsidRPr="00C12FBA" w:rsidRDefault="00C12FBA" w:rsidP="00564755">
      <w:pPr>
        <w:tabs>
          <w:tab w:val="left" w:pos="567"/>
        </w:tabs>
        <w:spacing w:line="360" w:lineRule="auto"/>
        <w:jc w:val="both"/>
        <w:rPr>
          <w:rFonts w:ascii="Palatino Linotype" w:hAnsi="Palatino Linotype" w:cs="Tahoma"/>
          <w:b/>
          <w:sz w:val="22"/>
          <w:szCs w:val="22"/>
        </w:rPr>
      </w:pPr>
      <w:r w:rsidRPr="00C12FBA">
        <w:rPr>
          <w:rFonts w:ascii="Palatino Linotype" w:hAnsi="Palatino Linotype" w:cs="Tahoma"/>
          <w:b/>
          <w:sz w:val="22"/>
          <w:szCs w:val="24"/>
        </w:rPr>
        <w:t xml:space="preserve">II. </w:t>
      </w:r>
      <w:r w:rsidRPr="00C12FBA">
        <w:rPr>
          <w:rFonts w:ascii="Palatino Linotype" w:hAnsi="Palatino Linotype" w:cs="Tahoma"/>
          <w:b/>
          <w:sz w:val="22"/>
          <w:szCs w:val="22"/>
        </w:rPr>
        <w:t>Respuesta del Sujeto Obligado.</w:t>
      </w:r>
    </w:p>
    <w:p w14:paraId="1A0BC4BD" w14:textId="77777777" w:rsidR="00C12FBA" w:rsidRPr="00C12FBA" w:rsidRDefault="00C12FBA" w:rsidP="00564755">
      <w:pPr>
        <w:autoSpaceDE w:val="0"/>
        <w:autoSpaceDN w:val="0"/>
        <w:adjustRightInd w:val="0"/>
        <w:spacing w:line="360" w:lineRule="auto"/>
        <w:jc w:val="both"/>
        <w:rPr>
          <w:rFonts w:ascii="Palatino Linotype" w:hAnsi="Palatino Linotype" w:cs="Tahoma"/>
          <w:b/>
          <w:sz w:val="24"/>
          <w:szCs w:val="24"/>
        </w:rPr>
      </w:pPr>
    </w:p>
    <w:p w14:paraId="0D901E38" w14:textId="468E029F" w:rsidR="00100244" w:rsidRDefault="00C12FBA" w:rsidP="00564755">
      <w:pPr>
        <w:autoSpaceDE w:val="0"/>
        <w:autoSpaceDN w:val="0"/>
        <w:adjustRightInd w:val="0"/>
        <w:spacing w:line="360" w:lineRule="auto"/>
        <w:jc w:val="both"/>
        <w:rPr>
          <w:rFonts w:ascii="Palatino Linotype" w:hAnsi="Palatino Linotype" w:cs="Tahoma"/>
          <w:sz w:val="22"/>
          <w:szCs w:val="24"/>
        </w:rPr>
      </w:pPr>
      <w:r w:rsidRPr="00C12FBA">
        <w:rPr>
          <w:rFonts w:ascii="Palatino Linotype" w:hAnsi="Palatino Linotype" w:cs="Tahoma"/>
          <w:sz w:val="22"/>
          <w:szCs w:val="24"/>
        </w:rPr>
        <w:t xml:space="preserve">Con fecha </w:t>
      </w:r>
      <w:r w:rsidR="000F79BA">
        <w:rPr>
          <w:rFonts w:ascii="Palatino Linotype" w:hAnsi="Palatino Linotype" w:cs="Tahoma"/>
          <w:sz w:val="22"/>
          <w:szCs w:val="24"/>
        </w:rPr>
        <w:t>doce de febrero de dos mil diecinueve</w:t>
      </w:r>
      <w:r w:rsidRPr="00C12FBA">
        <w:rPr>
          <w:rFonts w:ascii="Palatino Linotype" w:hAnsi="Palatino Linotype" w:cs="Tahoma"/>
          <w:sz w:val="22"/>
          <w:szCs w:val="24"/>
        </w:rPr>
        <w:t xml:space="preserve">, </w:t>
      </w:r>
      <w:r w:rsidR="004F772E">
        <w:rPr>
          <w:rFonts w:ascii="Palatino Linotype" w:hAnsi="Palatino Linotype" w:cs="Tahoma"/>
          <w:sz w:val="22"/>
          <w:szCs w:val="24"/>
        </w:rPr>
        <w:t xml:space="preserve">el </w:t>
      </w:r>
      <w:r w:rsidR="00C776C8">
        <w:rPr>
          <w:rFonts w:ascii="Palatino Linotype" w:hAnsi="Palatino Linotype" w:cs="Tahoma"/>
          <w:sz w:val="22"/>
          <w:szCs w:val="24"/>
        </w:rPr>
        <w:t>Centro de Control de Confianza del Estado de México</w:t>
      </w:r>
      <w:r w:rsidRPr="00C12FBA">
        <w:rPr>
          <w:rFonts w:ascii="Palatino Linotype" w:hAnsi="Palatino Linotype" w:cs="Tahoma"/>
          <w:sz w:val="22"/>
          <w:szCs w:val="24"/>
        </w:rPr>
        <w:t xml:space="preserve"> notificó </w:t>
      </w:r>
      <w:r w:rsidR="000F79BA">
        <w:rPr>
          <w:rFonts w:ascii="Palatino Linotype" w:hAnsi="Palatino Linotype" w:cs="Tahoma"/>
          <w:sz w:val="22"/>
          <w:szCs w:val="24"/>
        </w:rPr>
        <w:t>al</w:t>
      </w:r>
      <w:r w:rsidR="007B575B">
        <w:rPr>
          <w:rFonts w:ascii="Palatino Linotype" w:hAnsi="Palatino Linotype" w:cs="Tahoma"/>
          <w:sz w:val="22"/>
          <w:szCs w:val="24"/>
        </w:rPr>
        <w:t xml:space="preserve"> P</w:t>
      </w:r>
      <w:r w:rsidR="000E3B88">
        <w:rPr>
          <w:rFonts w:ascii="Palatino Linotype" w:hAnsi="Palatino Linotype" w:cs="Tahoma"/>
          <w:sz w:val="22"/>
          <w:szCs w:val="24"/>
        </w:rPr>
        <w:t>articular</w:t>
      </w:r>
      <w:r w:rsidRPr="00C12FBA">
        <w:rPr>
          <w:rFonts w:ascii="Palatino Linotype" w:hAnsi="Palatino Linotype" w:cs="Tahoma"/>
          <w:sz w:val="22"/>
          <w:szCs w:val="24"/>
        </w:rPr>
        <w:t xml:space="preserve">, mediante el Sistema de Acceso a la Información Mexiquense (SAIMEX), </w:t>
      </w:r>
      <w:r w:rsidR="00C02B15">
        <w:rPr>
          <w:rFonts w:ascii="Palatino Linotype" w:hAnsi="Palatino Linotype" w:cs="Tahoma"/>
          <w:sz w:val="22"/>
          <w:szCs w:val="24"/>
        </w:rPr>
        <w:t>la</w:t>
      </w:r>
      <w:r w:rsidR="00100244">
        <w:rPr>
          <w:rFonts w:ascii="Palatino Linotype" w:hAnsi="Palatino Linotype" w:cs="Tahoma"/>
          <w:sz w:val="22"/>
          <w:szCs w:val="24"/>
        </w:rPr>
        <w:t>s</w:t>
      </w:r>
      <w:r w:rsidR="00C02B15">
        <w:rPr>
          <w:rFonts w:ascii="Palatino Linotype" w:hAnsi="Palatino Linotype" w:cs="Tahoma"/>
          <w:sz w:val="22"/>
          <w:szCs w:val="24"/>
        </w:rPr>
        <w:t xml:space="preserve"> respuesta</w:t>
      </w:r>
      <w:r w:rsidR="00100244">
        <w:rPr>
          <w:rFonts w:ascii="Palatino Linotype" w:hAnsi="Palatino Linotype" w:cs="Tahoma"/>
          <w:sz w:val="22"/>
          <w:szCs w:val="24"/>
        </w:rPr>
        <w:t>s</w:t>
      </w:r>
      <w:r w:rsidR="00C02B15">
        <w:rPr>
          <w:rFonts w:ascii="Palatino Linotype" w:hAnsi="Palatino Linotype" w:cs="Tahoma"/>
          <w:sz w:val="22"/>
          <w:szCs w:val="24"/>
        </w:rPr>
        <w:t xml:space="preserve"> a la</w:t>
      </w:r>
      <w:r w:rsidR="00100244">
        <w:rPr>
          <w:rFonts w:ascii="Palatino Linotype" w:hAnsi="Palatino Linotype" w:cs="Tahoma"/>
          <w:sz w:val="22"/>
          <w:szCs w:val="24"/>
        </w:rPr>
        <w:t>s</w:t>
      </w:r>
      <w:r w:rsidR="00C02B15">
        <w:rPr>
          <w:rFonts w:ascii="Palatino Linotype" w:hAnsi="Palatino Linotype" w:cs="Tahoma"/>
          <w:sz w:val="22"/>
          <w:szCs w:val="24"/>
        </w:rPr>
        <w:t xml:space="preserve"> solicitud</w:t>
      </w:r>
      <w:r w:rsidR="00100244">
        <w:rPr>
          <w:rFonts w:ascii="Palatino Linotype" w:hAnsi="Palatino Linotype" w:cs="Tahoma"/>
          <w:sz w:val="22"/>
          <w:szCs w:val="24"/>
        </w:rPr>
        <w:t>es</w:t>
      </w:r>
      <w:r w:rsidR="00C02B15">
        <w:rPr>
          <w:rFonts w:ascii="Palatino Linotype" w:hAnsi="Palatino Linotype" w:cs="Tahoma"/>
          <w:sz w:val="22"/>
          <w:szCs w:val="24"/>
        </w:rPr>
        <w:t xml:space="preserve"> de acceso a la información número </w:t>
      </w:r>
      <w:r w:rsidR="00C776C8">
        <w:rPr>
          <w:rFonts w:ascii="Palatino Linotype" w:hAnsi="Palatino Linotype" w:cs="Tahoma"/>
          <w:bCs/>
          <w:sz w:val="22"/>
          <w:szCs w:val="24"/>
        </w:rPr>
        <w:t>00002/CCCEM/IP/2019</w:t>
      </w:r>
      <w:r w:rsidR="00100244">
        <w:rPr>
          <w:rFonts w:ascii="Palatino Linotype" w:hAnsi="Palatino Linotype" w:cs="Tahoma"/>
          <w:bCs/>
          <w:sz w:val="22"/>
          <w:szCs w:val="24"/>
        </w:rPr>
        <w:t xml:space="preserve"> y 00003/CCCEM/IP/2019</w:t>
      </w:r>
      <w:r w:rsidRPr="00C12FBA">
        <w:rPr>
          <w:rFonts w:ascii="Palatino Linotype" w:hAnsi="Palatino Linotype" w:cs="Tahoma"/>
          <w:sz w:val="22"/>
          <w:szCs w:val="24"/>
        </w:rPr>
        <w:t>,</w:t>
      </w:r>
      <w:r w:rsidR="00100244">
        <w:rPr>
          <w:rFonts w:ascii="Palatino Linotype" w:hAnsi="Palatino Linotype" w:cs="Tahoma"/>
          <w:sz w:val="22"/>
          <w:szCs w:val="24"/>
        </w:rPr>
        <w:t xml:space="preserve"> conforme a lo siguiente:</w:t>
      </w:r>
    </w:p>
    <w:p w14:paraId="028D0774" w14:textId="77777777" w:rsidR="00100244" w:rsidRDefault="00100244" w:rsidP="00564755">
      <w:pPr>
        <w:autoSpaceDE w:val="0"/>
        <w:autoSpaceDN w:val="0"/>
        <w:adjustRightInd w:val="0"/>
        <w:spacing w:line="360" w:lineRule="auto"/>
        <w:jc w:val="both"/>
        <w:rPr>
          <w:rFonts w:ascii="Palatino Linotype" w:hAnsi="Palatino Linotype" w:cs="Tahoma"/>
          <w:sz w:val="22"/>
          <w:szCs w:val="24"/>
        </w:rPr>
      </w:pPr>
    </w:p>
    <w:p w14:paraId="1A0BC4BE" w14:textId="793B9583" w:rsidR="00C12FBA" w:rsidRDefault="00D10E6C" w:rsidP="0043539D">
      <w:pPr>
        <w:tabs>
          <w:tab w:val="left" w:pos="4667"/>
        </w:tabs>
        <w:spacing w:line="360" w:lineRule="auto"/>
        <w:jc w:val="both"/>
        <w:rPr>
          <w:rFonts w:ascii="Palatino Linotype" w:hAnsi="Palatino Linotype" w:cs="Tahoma"/>
          <w:sz w:val="22"/>
          <w:szCs w:val="24"/>
        </w:rPr>
      </w:pPr>
      <w:r w:rsidRPr="00D10E6C">
        <w:rPr>
          <w:rFonts w:ascii="Palatino Linotype" w:hAnsi="Palatino Linotype" w:cs="Tahoma"/>
          <w:b/>
          <w:sz w:val="22"/>
          <w:szCs w:val="22"/>
        </w:rPr>
        <w:lastRenderedPageBreak/>
        <w:t>Respuesta a la solicitud de Información con número de folio</w:t>
      </w:r>
      <w:r w:rsidRPr="00D10E6C">
        <w:rPr>
          <w:rStyle w:val="Hipervnculo"/>
          <w:rFonts w:ascii="Palatino Linotype" w:hAnsi="Palatino Linotype" w:cs="Tahoma"/>
          <w:b/>
          <w:bCs/>
          <w:color w:val="auto"/>
          <w:sz w:val="22"/>
          <w:szCs w:val="22"/>
          <w:u w:val="none"/>
        </w:rPr>
        <w:t xml:space="preserve"> </w:t>
      </w:r>
      <w:r w:rsidRPr="00D10E6C">
        <w:rPr>
          <w:rFonts w:ascii="Palatino Linotype" w:hAnsi="Palatino Linotype" w:cs="Tahoma"/>
          <w:b/>
          <w:bCs/>
          <w:sz w:val="22"/>
          <w:szCs w:val="22"/>
        </w:rPr>
        <w:t>00002/CCCEM/IP/2019</w:t>
      </w:r>
      <w:r w:rsidRPr="00D10E6C">
        <w:rPr>
          <w:rFonts w:ascii="Palatino Linotype" w:hAnsi="Palatino Linotype" w:cs="Tahoma"/>
          <w:b/>
          <w:sz w:val="22"/>
          <w:szCs w:val="22"/>
        </w:rPr>
        <w:t>: O</w:t>
      </w:r>
      <w:r w:rsidR="00C02B15" w:rsidRPr="00D10E6C">
        <w:rPr>
          <w:rFonts w:ascii="Palatino Linotype" w:hAnsi="Palatino Linotype" w:cs="Tahoma"/>
          <w:sz w:val="22"/>
          <w:szCs w:val="22"/>
        </w:rPr>
        <w:t>ficio</w:t>
      </w:r>
      <w:r w:rsidR="00C02B15">
        <w:rPr>
          <w:rFonts w:ascii="Palatino Linotype" w:hAnsi="Palatino Linotype" w:cs="Tahoma"/>
          <w:sz w:val="22"/>
          <w:szCs w:val="24"/>
        </w:rPr>
        <w:t xml:space="preserve"> número </w:t>
      </w:r>
      <w:r w:rsidR="00626A69" w:rsidRPr="00626A69">
        <w:rPr>
          <w:rFonts w:ascii="Palatino Linotype" w:hAnsi="Palatino Linotype" w:cs="Tahoma"/>
          <w:sz w:val="22"/>
          <w:szCs w:val="24"/>
        </w:rPr>
        <w:t>206C0201000300S/002/2019</w:t>
      </w:r>
      <w:r w:rsidR="00C02B15">
        <w:rPr>
          <w:rFonts w:ascii="Palatino Linotype" w:hAnsi="Palatino Linotype" w:cs="Tahoma"/>
          <w:sz w:val="22"/>
          <w:szCs w:val="24"/>
        </w:rPr>
        <w:t>,</w:t>
      </w:r>
      <w:r w:rsidR="0043539D">
        <w:rPr>
          <w:rFonts w:ascii="Palatino Linotype" w:hAnsi="Palatino Linotype" w:cs="Tahoma"/>
          <w:sz w:val="22"/>
          <w:szCs w:val="24"/>
        </w:rPr>
        <w:t xml:space="preserve"> del doce de febrero de dos mil diecinueve</w:t>
      </w:r>
      <w:r w:rsidR="00C02B15">
        <w:rPr>
          <w:rFonts w:ascii="Palatino Linotype" w:hAnsi="Palatino Linotype" w:cs="Tahoma"/>
          <w:sz w:val="22"/>
          <w:szCs w:val="24"/>
        </w:rPr>
        <w:t xml:space="preserve"> suscrito por </w:t>
      </w:r>
      <w:r w:rsidR="00626A69">
        <w:rPr>
          <w:rFonts w:ascii="Palatino Linotype" w:hAnsi="Palatino Linotype" w:cs="Tahoma"/>
          <w:sz w:val="22"/>
          <w:szCs w:val="24"/>
        </w:rPr>
        <w:t>el Titular</w:t>
      </w:r>
      <w:r w:rsidR="00C02B15">
        <w:rPr>
          <w:rFonts w:ascii="Palatino Linotype" w:hAnsi="Palatino Linotype" w:cs="Tahoma"/>
          <w:sz w:val="22"/>
          <w:szCs w:val="24"/>
        </w:rPr>
        <w:t xml:space="preserve"> de la Unidad de Transparencia </w:t>
      </w:r>
      <w:r w:rsidR="00626A69">
        <w:rPr>
          <w:rFonts w:ascii="Palatino Linotype" w:hAnsi="Palatino Linotype" w:cs="Tahoma"/>
          <w:sz w:val="22"/>
          <w:szCs w:val="24"/>
        </w:rPr>
        <w:t xml:space="preserve">y Jefe de la Unida de Información, Planeación, Programación y Evaluación del Sujeto Obligado </w:t>
      </w:r>
      <w:r w:rsidR="00C02B15">
        <w:rPr>
          <w:rFonts w:ascii="Palatino Linotype" w:hAnsi="Palatino Linotype" w:cs="Tahoma"/>
          <w:sz w:val="22"/>
          <w:szCs w:val="24"/>
        </w:rPr>
        <w:t xml:space="preserve">y dirigido al Solicitante, mediante el cual </w:t>
      </w:r>
      <w:r w:rsidR="00626A69">
        <w:rPr>
          <w:rFonts w:ascii="Palatino Linotype" w:hAnsi="Palatino Linotype" w:cs="Tahoma"/>
          <w:sz w:val="22"/>
          <w:szCs w:val="24"/>
        </w:rPr>
        <w:t>precisa lo siguiente:</w:t>
      </w:r>
    </w:p>
    <w:p w14:paraId="1A0BC4BF" w14:textId="77777777" w:rsidR="00C02B15" w:rsidRDefault="00C02B15" w:rsidP="00564755">
      <w:pPr>
        <w:autoSpaceDE w:val="0"/>
        <w:autoSpaceDN w:val="0"/>
        <w:adjustRightInd w:val="0"/>
        <w:spacing w:line="360" w:lineRule="auto"/>
        <w:jc w:val="both"/>
        <w:rPr>
          <w:rFonts w:ascii="Palatino Linotype" w:hAnsi="Palatino Linotype" w:cs="Tahoma"/>
          <w:sz w:val="22"/>
          <w:szCs w:val="24"/>
        </w:rPr>
      </w:pPr>
    </w:p>
    <w:p w14:paraId="25A8DBC2" w14:textId="07D4D5C7" w:rsidR="00626A69" w:rsidRPr="0069700B" w:rsidRDefault="00626A69" w:rsidP="00626A69">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w:t>
      </w:r>
    </w:p>
    <w:p w14:paraId="4CF14450" w14:textId="19F14D36" w:rsidR="00626A69" w:rsidRPr="0069700B" w:rsidRDefault="00626A69" w:rsidP="00626A69">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En cuanto hace al informe de avance programático en términos de la Ley de Planeación del Estado de México y del Manual para la Planeación, Programación y Presupuesto de Egresos Municipal para el Ejercicio Fiscal 2018; Usted solicita información específica contenida en los formatos que se describen a continuación:</w:t>
      </w:r>
    </w:p>
    <w:p w14:paraId="592BC092" w14:textId="77777777" w:rsidR="00626A69" w:rsidRPr="0069700B" w:rsidRDefault="00626A69" w:rsidP="00626A69">
      <w:pPr>
        <w:autoSpaceDE w:val="0"/>
        <w:autoSpaceDN w:val="0"/>
        <w:adjustRightInd w:val="0"/>
        <w:spacing w:line="360" w:lineRule="auto"/>
        <w:ind w:left="567" w:right="567"/>
        <w:jc w:val="both"/>
        <w:rPr>
          <w:rFonts w:ascii="Palatino Linotype" w:hAnsi="Palatino Linotype" w:cs="Tahoma"/>
          <w:i/>
        </w:rPr>
      </w:pPr>
    </w:p>
    <w:p w14:paraId="7F35E28B" w14:textId="46FA1C05" w:rsidR="00626A69" w:rsidRPr="0069700B" w:rsidRDefault="00626A69" w:rsidP="00626A69">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b/>
          <w:i/>
        </w:rPr>
        <w:t>PbRM-01a</w:t>
      </w:r>
      <w:r w:rsidRPr="0069700B">
        <w:rPr>
          <w:rFonts w:ascii="Palatino Linotype" w:hAnsi="Palatino Linotype" w:cs="Tahoma"/>
          <w:i/>
        </w:rPr>
        <w:t xml:space="preserve"> ‘Dimensión Administrativa del Gasto’, su propósito es identificar a nivel de estructura administrativa los programas y proyectos de los cuales se responsabiliza cada una de las Dependencias y Organismos Municipales.</w:t>
      </w:r>
    </w:p>
    <w:p w14:paraId="00F8AA68" w14:textId="77777777" w:rsidR="00626A69" w:rsidRPr="0069700B" w:rsidRDefault="00626A69" w:rsidP="00626A69">
      <w:pPr>
        <w:autoSpaceDE w:val="0"/>
        <w:autoSpaceDN w:val="0"/>
        <w:adjustRightInd w:val="0"/>
        <w:spacing w:line="360" w:lineRule="auto"/>
        <w:ind w:left="567" w:right="567"/>
        <w:jc w:val="both"/>
        <w:rPr>
          <w:rFonts w:ascii="Palatino Linotype" w:hAnsi="Palatino Linotype" w:cs="Tahoma"/>
          <w:i/>
        </w:rPr>
      </w:pPr>
    </w:p>
    <w:p w14:paraId="244FC1BC" w14:textId="570FED18" w:rsidR="00626A69" w:rsidRPr="0069700B" w:rsidRDefault="00626A69" w:rsidP="00626A69">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b/>
          <w:i/>
        </w:rPr>
        <w:t>PbRM-01b</w:t>
      </w:r>
      <w:r w:rsidRPr="0069700B">
        <w:rPr>
          <w:rFonts w:ascii="Palatino Linotype" w:hAnsi="Palatino Linotype" w:cs="Tahoma"/>
          <w:i/>
        </w:rPr>
        <w:t xml:space="preserve"> ‘Descripción del Programa Presupuestario’, su propósito es identificar el diagnóstico del entorno de responsabilidad del programa respectivo para sustentar y justificar la asignación del presupuesto del ejercicio fiscal 2018.</w:t>
      </w:r>
    </w:p>
    <w:p w14:paraId="229611C3" w14:textId="77777777" w:rsidR="00626A69" w:rsidRPr="0069700B" w:rsidRDefault="00626A69" w:rsidP="00626A69">
      <w:pPr>
        <w:autoSpaceDE w:val="0"/>
        <w:autoSpaceDN w:val="0"/>
        <w:adjustRightInd w:val="0"/>
        <w:spacing w:line="360" w:lineRule="auto"/>
        <w:ind w:left="567" w:right="567"/>
        <w:jc w:val="both"/>
        <w:rPr>
          <w:rFonts w:ascii="Palatino Linotype" w:hAnsi="Palatino Linotype" w:cs="Tahoma"/>
          <w:i/>
        </w:rPr>
      </w:pPr>
    </w:p>
    <w:p w14:paraId="2D079CA9" w14:textId="4E2112A0" w:rsidR="00626A69" w:rsidRPr="0069700B" w:rsidRDefault="00A06D06" w:rsidP="00626A69">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b/>
          <w:i/>
        </w:rPr>
        <w:t>PbRM-01c</w:t>
      </w:r>
      <w:r w:rsidRPr="0069700B">
        <w:rPr>
          <w:rFonts w:ascii="Palatino Linotype" w:hAnsi="Palatino Linotype" w:cs="Tahoma"/>
          <w:i/>
        </w:rPr>
        <w:t xml:space="preserve"> ‘</w:t>
      </w:r>
      <w:r w:rsidR="00626A69" w:rsidRPr="0069700B">
        <w:rPr>
          <w:rFonts w:ascii="Palatino Linotype" w:hAnsi="Palatino Linotype" w:cs="Tahoma"/>
          <w:i/>
        </w:rPr>
        <w:t>Metas de Actividad por Proyecto</w:t>
      </w:r>
      <w:r w:rsidRPr="0069700B">
        <w:rPr>
          <w:rFonts w:ascii="Palatino Linotype" w:hAnsi="Palatino Linotype" w:cs="Tahoma"/>
          <w:i/>
        </w:rPr>
        <w:t>’</w:t>
      </w:r>
      <w:r w:rsidR="00626A69" w:rsidRPr="0069700B">
        <w:rPr>
          <w:rFonts w:ascii="Palatino Linotype" w:hAnsi="Palatino Linotype" w:cs="Tahoma"/>
          <w:i/>
        </w:rPr>
        <w:t>, su propósito es establecer acciones</w:t>
      </w:r>
      <w:r w:rsidRPr="0069700B">
        <w:rPr>
          <w:rFonts w:ascii="Palatino Linotype" w:hAnsi="Palatino Linotype" w:cs="Tahoma"/>
          <w:i/>
        </w:rPr>
        <w:t xml:space="preserve"> </w:t>
      </w:r>
      <w:r w:rsidR="00626A69" w:rsidRPr="0069700B">
        <w:rPr>
          <w:rFonts w:ascii="Palatino Linotype" w:hAnsi="Palatino Linotype" w:cs="Tahoma"/>
          <w:i/>
        </w:rPr>
        <w:t>sustantivas para cada proyecto, mismas que deberán reflejar la diferencia entre el</w:t>
      </w:r>
      <w:r w:rsidRPr="0069700B">
        <w:rPr>
          <w:rFonts w:ascii="Palatino Linotype" w:hAnsi="Palatino Linotype" w:cs="Tahoma"/>
          <w:i/>
        </w:rPr>
        <w:t xml:space="preserve"> </w:t>
      </w:r>
      <w:r w:rsidR="00626A69" w:rsidRPr="0069700B">
        <w:rPr>
          <w:rFonts w:ascii="Palatino Linotype" w:hAnsi="Palatino Linotype" w:cs="Tahoma"/>
          <w:i/>
        </w:rPr>
        <w:t>cumplimiento alcanzado durante el ejercicio fiscal 2017 y las cifras programadas que se</w:t>
      </w:r>
      <w:r w:rsidRPr="0069700B">
        <w:rPr>
          <w:rFonts w:ascii="Palatino Linotype" w:hAnsi="Palatino Linotype" w:cs="Tahoma"/>
          <w:i/>
        </w:rPr>
        <w:t xml:space="preserve"> </w:t>
      </w:r>
      <w:r w:rsidR="00626A69" w:rsidRPr="0069700B">
        <w:rPr>
          <w:rFonts w:ascii="Palatino Linotype" w:hAnsi="Palatino Linotype" w:cs="Tahoma"/>
          <w:i/>
        </w:rPr>
        <w:t>estimen alcanzar para el ejercicio 2018, el alcance de las metas deberá asegurar el</w:t>
      </w:r>
      <w:r w:rsidRPr="0069700B">
        <w:rPr>
          <w:rFonts w:ascii="Palatino Linotype" w:hAnsi="Palatino Linotype" w:cs="Tahoma"/>
          <w:i/>
        </w:rPr>
        <w:t xml:space="preserve"> </w:t>
      </w:r>
      <w:r w:rsidR="00626A69" w:rsidRPr="0069700B">
        <w:rPr>
          <w:rFonts w:ascii="Palatino Linotype" w:hAnsi="Palatino Linotype" w:cs="Tahoma"/>
          <w:i/>
        </w:rPr>
        <w:t>cumplimiento de los objetivos del Plan de Desarrollo Municipal vigente.</w:t>
      </w:r>
    </w:p>
    <w:p w14:paraId="1950DC53" w14:textId="77777777" w:rsidR="00A06D06" w:rsidRPr="0069700B" w:rsidRDefault="00A06D06" w:rsidP="00626A69">
      <w:pPr>
        <w:autoSpaceDE w:val="0"/>
        <w:autoSpaceDN w:val="0"/>
        <w:adjustRightInd w:val="0"/>
        <w:spacing w:line="360" w:lineRule="auto"/>
        <w:ind w:left="567" w:right="567"/>
        <w:jc w:val="both"/>
        <w:rPr>
          <w:rFonts w:ascii="Palatino Linotype" w:hAnsi="Palatino Linotype" w:cs="Tahoma"/>
          <w:i/>
        </w:rPr>
      </w:pPr>
    </w:p>
    <w:p w14:paraId="6D6FBFDA" w14:textId="7DBD0CCF" w:rsidR="00626A69" w:rsidRPr="0069700B" w:rsidRDefault="00A06D06" w:rsidP="00626A69">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b/>
          <w:i/>
        </w:rPr>
        <w:t>PbRM-01d</w:t>
      </w:r>
      <w:r w:rsidRPr="0069700B">
        <w:rPr>
          <w:rFonts w:ascii="Palatino Linotype" w:hAnsi="Palatino Linotype" w:cs="Tahoma"/>
          <w:i/>
        </w:rPr>
        <w:t xml:space="preserve"> ‘F</w:t>
      </w:r>
      <w:r w:rsidR="00626A69" w:rsidRPr="0069700B">
        <w:rPr>
          <w:rFonts w:ascii="Palatino Linotype" w:hAnsi="Palatino Linotype" w:cs="Tahoma"/>
          <w:i/>
        </w:rPr>
        <w:t>icha Técnica Diseño de Indicadores Estratégicos o de Gestión 2018</w:t>
      </w:r>
      <w:r w:rsidRPr="0069700B">
        <w:rPr>
          <w:rFonts w:ascii="Palatino Linotype" w:hAnsi="Palatino Linotype" w:cs="Tahoma"/>
          <w:i/>
        </w:rPr>
        <w:t>’</w:t>
      </w:r>
      <w:r w:rsidR="00626A69" w:rsidRPr="0069700B">
        <w:rPr>
          <w:rFonts w:ascii="Palatino Linotype" w:hAnsi="Palatino Linotype" w:cs="Tahoma"/>
          <w:i/>
        </w:rPr>
        <w:t>, tiene</w:t>
      </w:r>
      <w:r w:rsidRPr="0069700B">
        <w:rPr>
          <w:rFonts w:ascii="Palatino Linotype" w:hAnsi="Palatino Linotype" w:cs="Tahoma"/>
          <w:i/>
        </w:rPr>
        <w:t xml:space="preserve"> </w:t>
      </w:r>
      <w:r w:rsidR="00626A69" w:rsidRPr="0069700B">
        <w:rPr>
          <w:rFonts w:ascii="Palatino Linotype" w:hAnsi="Palatino Linotype" w:cs="Tahoma"/>
          <w:i/>
        </w:rPr>
        <w:t>como finalidad el registro de indicadores de gestión que se manejen en el Sistema de</w:t>
      </w:r>
      <w:r w:rsidRPr="0069700B">
        <w:rPr>
          <w:rFonts w:ascii="Palatino Linotype" w:hAnsi="Palatino Linotype" w:cs="Tahoma"/>
          <w:i/>
        </w:rPr>
        <w:t xml:space="preserve"> </w:t>
      </w:r>
      <w:r w:rsidR="00626A69" w:rsidRPr="0069700B">
        <w:rPr>
          <w:rFonts w:ascii="Palatino Linotype" w:hAnsi="Palatino Linotype" w:cs="Tahoma"/>
          <w:i/>
        </w:rPr>
        <w:t xml:space="preserve">Evaluación de la </w:t>
      </w:r>
      <w:r w:rsidR="00626A69" w:rsidRPr="0069700B">
        <w:rPr>
          <w:rFonts w:ascii="Palatino Linotype" w:hAnsi="Palatino Linotype" w:cs="Tahoma"/>
          <w:i/>
        </w:rPr>
        <w:lastRenderedPageBreak/>
        <w:t>Gestión Municipal (SEGEMUN), mismo que deberá estar vinculado</w:t>
      </w:r>
      <w:r w:rsidRPr="0069700B">
        <w:rPr>
          <w:rFonts w:ascii="Palatino Linotype" w:hAnsi="Palatino Linotype" w:cs="Tahoma"/>
          <w:i/>
        </w:rPr>
        <w:t xml:space="preserve"> </w:t>
      </w:r>
      <w:r w:rsidR="00626A69" w:rsidRPr="0069700B">
        <w:rPr>
          <w:rFonts w:ascii="Palatino Linotype" w:hAnsi="Palatino Linotype" w:cs="Tahoma"/>
          <w:i/>
        </w:rPr>
        <w:t xml:space="preserve">directamente en las metas </w:t>
      </w:r>
      <w:r w:rsidRPr="0069700B">
        <w:rPr>
          <w:rFonts w:ascii="Palatino Linotype" w:hAnsi="Palatino Linotype" w:cs="Tahoma"/>
          <w:i/>
        </w:rPr>
        <w:t>programadas en el formato PbRM-01</w:t>
      </w:r>
      <w:r w:rsidR="00626A69" w:rsidRPr="0069700B">
        <w:rPr>
          <w:rFonts w:ascii="Palatino Linotype" w:hAnsi="Palatino Linotype" w:cs="Tahoma"/>
          <w:i/>
        </w:rPr>
        <w:t>e.</w:t>
      </w:r>
    </w:p>
    <w:p w14:paraId="58A15D94" w14:textId="77777777" w:rsidR="00A06D06" w:rsidRPr="0069700B" w:rsidRDefault="00A06D06" w:rsidP="00626A69">
      <w:pPr>
        <w:autoSpaceDE w:val="0"/>
        <w:autoSpaceDN w:val="0"/>
        <w:adjustRightInd w:val="0"/>
        <w:spacing w:line="360" w:lineRule="auto"/>
        <w:ind w:left="567" w:right="567"/>
        <w:jc w:val="both"/>
        <w:rPr>
          <w:rFonts w:ascii="Palatino Linotype" w:hAnsi="Palatino Linotype" w:cs="Tahoma"/>
          <w:i/>
        </w:rPr>
      </w:pPr>
    </w:p>
    <w:p w14:paraId="1186E552" w14:textId="16B52E80" w:rsidR="00626A69" w:rsidRPr="0069700B" w:rsidRDefault="00626A69" w:rsidP="00626A69">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b/>
          <w:i/>
        </w:rPr>
        <w:t>PbRM-01e</w:t>
      </w:r>
      <w:r w:rsidRPr="0069700B">
        <w:rPr>
          <w:rFonts w:ascii="Palatino Linotype" w:hAnsi="Palatino Linotype" w:cs="Tahoma"/>
          <w:i/>
        </w:rPr>
        <w:t xml:space="preserve"> </w:t>
      </w:r>
      <w:r w:rsidR="00A06D06" w:rsidRPr="0069700B">
        <w:rPr>
          <w:rFonts w:ascii="Palatino Linotype" w:hAnsi="Palatino Linotype" w:cs="Tahoma"/>
          <w:i/>
        </w:rPr>
        <w:t>‘</w:t>
      </w:r>
      <w:r w:rsidRPr="0069700B">
        <w:rPr>
          <w:rFonts w:ascii="Palatino Linotype" w:hAnsi="Palatino Linotype" w:cs="Tahoma"/>
          <w:i/>
        </w:rPr>
        <w:t>Matriz de Indicadores para Resultado por Programa Presupuestario y</w:t>
      </w:r>
      <w:r w:rsidR="00A06D06" w:rsidRPr="0069700B">
        <w:rPr>
          <w:rFonts w:ascii="Palatino Linotype" w:hAnsi="Palatino Linotype" w:cs="Tahoma"/>
          <w:i/>
        </w:rPr>
        <w:t xml:space="preserve"> </w:t>
      </w:r>
      <w:r w:rsidRPr="0069700B">
        <w:rPr>
          <w:rFonts w:ascii="Palatino Linotype" w:hAnsi="Palatino Linotype" w:cs="Tahoma"/>
          <w:i/>
        </w:rPr>
        <w:t>Dependencia General</w:t>
      </w:r>
      <w:r w:rsidR="00A06D06" w:rsidRPr="0069700B">
        <w:rPr>
          <w:rFonts w:ascii="Palatino Linotype" w:hAnsi="Palatino Linotype" w:cs="Tahoma"/>
          <w:i/>
        </w:rPr>
        <w:t>’</w:t>
      </w:r>
      <w:r w:rsidRPr="0069700B">
        <w:rPr>
          <w:rFonts w:ascii="Palatino Linotype" w:hAnsi="Palatino Linotype" w:cs="Tahoma"/>
          <w:i/>
        </w:rPr>
        <w:t>, tiene como finalidad identificar los logros o beneficios que se</w:t>
      </w:r>
      <w:r w:rsidR="00A06D06" w:rsidRPr="0069700B">
        <w:rPr>
          <w:rFonts w:ascii="Palatino Linotype" w:hAnsi="Palatino Linotype" w:cs="Tahoma"/>
          <w:i/>
        </w:rPr>
        <w:t xml:space="preserve"> </w:t>
      </w:r>
      <w:r w:rsidRPr="0069700B">
        <w:rPr>
          <w:rFonts w:ascii="Palatino Linotype" w:hAnsi="Palatino Linotype" w:cs="Tahoma"/>
          <w:i/>
        </w:rPr>
        <w:t>esperan alcanzar para el ejercicio fiscal 2018.</w:t>
      </w:r>
    </w:p>
    <w:p w14:paraId="3FC5ABFB" w14:textId="77777777" w:rsidR="00A06D06" w:rsidRPr="0069700B" w:rsidRDefault="00A06D06" w:rsidP="00626A69">
      <w:pPr>
        <w:autoSpaceDE w:val="0"/>
        <w:autoSpaceDN w:val="0"/>
        <w:adjustRightInd w:val="0"/>
        <w:spacing w:line="360" w:lineRule="auto"/>
        <w:ind w:left="567" w:right="567"/>
        <w:jc w:val="both"/>
        <w:rPr>
          <w:rFonts w:ascii="Palatino Linotype" w:hAnsi="Palatino Linotype" w:cs="Tahoma"/>
          <w:i/>
        </w:rPr>
      </w:pPr>
    </w:p>
    <w:p w14:paraId="1D63A0F7" w14:textId="6791160C" w:rsidR="00A06D06" w:rsidRPr="0069700B" w:rsidRDefault="00A06D06" w:rsidP="00A06D06">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b/>
          <w:bCs/>
          <w:i/>
        </w:rPr>
        <w:t xml:space="preserve">PbRM-02a </w:t>
      </w:r>
      <w:r w:rsidR="00130588" w:rsidRPr="0069700B">
        <w:rPr>
          <w:rFonts w:ascii="Palatino Linotype" w:hAnsi="Palatino Linotype" w:cs="Tahoma"/>
          <w:b/>
          <w:bCs/>
          <w:i/>
        </w:rPr>
        <w:t>‘</w:t>
      </w:r>
      <w:r w:rsidRPr="0069700B">
        <w:rPr>
          <w:rFonts w:ascii="Palatino Linotype" w:hAnsi="Palatino Linotype" w:cs="Tahoma"/>
          <w:i/>
        </w:rPr>
        <w:t>Calendarización de Metas de Actividad</w:t>
      </w:r>
      <w:r w:rsidR="00130588" w:rsidRPr="0069700B">
        <w:rPr>
          <w:rFonts w:ascii="Palatino Linotype" w:hAnsi="Palatino Linotype" w:cs="Tahoma"/>
          <w:i/>
        </w:rPr>
        <w:t>’</w:t>
      </w:r>
      <w:r w:rsidRPr="0069700B">
        <w:rPr>
          <w:rFonts w:ascii="Palatino Linotype" w:hAnsi="Palatino Linotype" w:cs="Tahoma"/>
          <w:i/>
        </w:rPr>
        <w:t>, su objetivo primordial es identificar</w:t>
      </w:r>
      <w:r w:rsidR="00130588" w:rsidRPr="0069700B">
        <w:rPr>
          <w:rFonts w:ascii="Palatino Linotype" w:hAnsi="Palatino Linotype" w:cs="Tahoma"/>
          <w:i/>
        </w:rPr>
        <w:t xml:space="preserve"> </w:t>
      </w:r>
      <w:r w:rsidRPr="0069700B">
        <w:rPr>
          <w:rFonts w:ascii="Palatino Linotype" w:hAnsi="Palatino Linotype" w:cs="Tahoma"/>
          <w:i/>
        </w:rPr>
        <w:t>trimestralmente la cantidad de las metas programadas anuales por proyecto.</w:t>
      </w:r>
    </w:p>
    <w:p w14:paraId="4407C8D7" w14:textId="77777777" w:rsidR="00130588" w:rsidRPr="0069700B" w:rsidRDefault="00130588" w:rsidP="00A06D06">
      <w:pPr>
        <w:autoSpaceDE w:val="0"/>
        <w:autoSpaceDN w:val="0"/>
        <w:adjustRightInd w:val="0"/>
        <w:spacing w:line="360" w:lineRule="auto"/>
        <w:ind w:left="567" w:right="567"/>
        <w:jc w:val="both"/>
        <w:rPr>
          <w:rFonts w:ascii="Palatino Linotype" w:hAnsi="Palatino Linotype" w:cs="Tahoma"/>
          <w:i/>
        </w:rPr>
      </w:pPr>
    </w:p>
    <w:p w14:paraId="2D400C24" w14:textId="3B7F0919" w:rsidR="00130588" w:rsidRPr="0069700B" w:rsidRDefault="00130588" w:rsidP="00130588">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Luego entonces, me permito informar que la información antes enunciada corresponde a los formatos contenidos en el Manual para la Planeación, Programación y Presupuesto de Egresos Municipal para el Ejercicio Fiscal 2018, publicado en Periódico Oficial, ‘Gaceta del Gobierno’, el 24 de octubre de 2017, por lo que es preciso hacer mención con fundamento en el Decreto número 328, de fecha de publicación 20 de septiembre de 2018, mediante el cual se reforman, adicionan y derogan diversas disposiciones de la Ley Orgánica de la Administración Pública del Estado de México y la Ley de Seguridad del Estado de México, que el Centro de Control de Confianza del Estado de México, es un Organismo Público Descentralizado, con personalidad jurídica y patrimonio propios, sectorizado a la Secretaría de Seguridad del Estado de México, por lo que una vez realizado el análisis de su solicitud informo que la Unidad de Transparencia de éste Centro de Control de Confianza del Estado de México, con fundamento en el artículo 12 de la Ley de Transparencia y Acceso a la Información Pública del Estado de México y Municipios, no genera, administra, procesa, archiva o conserva información alguna en cuanto a los formatos solicitados, toda vez que los mismos van enfocados directamente al ámbito municipal, por lo que una vez enunciada la naturaleza jurídica de éste organismo, la cual es de ámbito estatal, no requisita dichos formatos.</w:t>
      </w:r>
    </w:p>
    <w:p w14:paraId="138CE185" w14:textId="77777777" w:rsidR="00130588" w:rsidRPr="0069700B" w:rsidRDefault="00130588" w:rsidP="00130588">
      <w:pPr>
        <w:autoSpaceDE w:val="0"/>
        <w:autoSpaceDN w:val="0"/>
        <w:adjustRightInd w:val="0"/>
        <w:spacing w:line="360" w:lineRule="auto"/>
        <w:ind w:left="567" w:right="567"/>
        <w:jc w:val="both"/>
        <w:rPr>
          <w:rFonts w:ascii="Palatino Linotype" w:hAnsi="Palatino Linotype" w:cs="Tahoma"/>
          <w:i/>
        </w:rPr>
      </w:pPr>
    </w:p>
    <w:p w14:paraId="6721B7CF" w14:textId="21EE8992" w:rsidR="00130588" w:rsidRPr="0069700B" w:rsidRDefault="00130588" w:rsidP="00130588">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 xml:space="preserve">De igual forma, se hace de su conocimiento que las actividades y funciones que desarrolla esta Unidad de Transparencia no se integran en el Programa Operativo Anual de éste Sujeto Obligado, </w:t>
      </w:r>
      <w:r w:rsidRPr="0069700B">
        <w:rPr>
          <w:rFonts w:ascii="Palatino Linotype" w:hAnsi="Palatino Linotype" w:cs="Tahoma"/>
          <w:i/>
        </w:rPr>
        <w:lastRenderedPageBreak/>
        <w:t>sin embrago, éste puede ser consultado en la fracción IV ‘Metas y Objetivos’ del artículo 92 del Portal Digital de Información Pública de Oficio Mexiquense; donde se presentan las actividades primordiales a través del Proyecto de Evaluación y Certificación para el Control de Confianza de los elementos de seguridad, a través del siguiente link:</w:t>
      </w:r>
    </w:p>
    <w:p w14:paraId="572078AF" w14:textId="77777777" w:rsidR="00130588" w:rsidRPr="0069700B" w:rsidRDefault="00130588" w:rsidP="00130588">
      <w:pPr>
        <w:autoSpaceDE w:val="0"/>
        <w:autoSpaceDN w:val="0"/>
        <w:adjustRightInd w:val="0"/>
        <w:spacing w:line="360" w:lineRule="auto"/>
        <w:ind w:left="567" w:right="567"/>
        <w:jc w:val="both"/>
        <w:rPr>
          <w:rFonts w:ascii="Palatino Linotype" w:hAnsi="Palatino Linotype" w:cs="Tahoma"/>
          <w:i/>
        </w:rPr>
      </w:pPr>
    </w:p>
    <w:p w14:paraId="13956881" w14:textId="05751BE9" w:rsidR="00130588" w:rsidRPr="0069700B" w:rsidRDefault="00130588" w:rsidP="00130588">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https://www.ipomex.org.mx/ipo3/lgt/indice/CCCEM/art_</w:t>
      </w:r>
      <w:r w:rsidR="00275E14" w:rsidRPr="0069700B">
        <w:rPr>
          <w:rFonts w:ascii="Palatino Linotype" w:hAnsi="Palatino Linotype" w:cs="Tahoma"/>
          <w:i/>
        </w:rPr>
        <w:t>92_iv/0</w:t>
      </w:r>
      <w:r w:rsidRPr="0069700B">
        <w:rPr>
          <w:rFonts w:ascii="Palatino Linotype" w:hAnsi="Palatino Linotype" w:cs="Tahoma"/>
          <w:i/>
        </w:rPr>
        <w:t>. web</w:t>
      </w:r>
    </w:p>
    <w:p w14:paraId="13C2B8D4" w14:textId="77777777" w:rsidR="00130588" w:rsidRPr="0069700B" w:rsidRDefault="00130588" w:rsidP="00130588">
      <w:pPr>
        <w:autoSpaceDE w:val="0"/>
        <w:autoSpaceDN w:val="0"/>
        <w:adjustRightInd w:val="0"/>
        <w:spacing w:line="360" w:lineRule="auto"/>
        <w:ind w:left="567" w:right="567"/>
        <w:jc w:val="both"/>
        <w:rPr>
          <w:rFonts w:ascii="Palatino Linotype" w:hAnsi="Palatino Linotype" w:cs="Tahoma"/>
          <w:i/>
        </w:rPr>
      </w:pPr>
    </w:p>
    <w:p w14:paraId="79B0AAF5" w14:textId="238C6F88" w:rsidR="00130588" w:rsidRPr="0069700B" w:rsidRDefault="00130588" w:rsidP="00130588">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Asimismo, debido a que la plataforma IPOMEX se encuentra en mantenimiento, se adjunta el Programa Operativo Anual 2018, para su consulta.</w:t>
      </w:r>
    </w:p>
    <w:p w14:paraId="0B19DF94" w14:textId="08B7E2DD" w:rsidR="00626A69" w:rsidRPr="0069700B" w:rsidRDefault="00626A69" w:rsidP="00626A69">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w:t>
      </w:r>
    </w:p>
    <w:p w14:paraId="5A0355C6" w14:textId="77777777" w:rsidR="00626A69" w:rsidRDefault="00626A69" w:rsidP="00564755">
      <w:pPr>
        <w:autoSpaceDE w:val="0"/>
        <w:autoSpaceDN w:val="0"/>
        <w:adjustRightInd w:val="0"/>
        <w:spacing w:line="360" w:lineRule="auto"/>
        <w:jc w:val="both"/>
        <w:rPr>
          <w:rFonts w:ascii="Palatino Linotype" w:hAnsi="Palatino Linotype" w:cs="Tahoma"/>
          <w:sz w:val="22"/>
          <w:szCs w:val="24"/>
        </w:rPr>
      </w:pPr>
    </w:p>
    <w:p w14:paraId="1A0BC4C0" w14:textId="723608C5" w:rsidR="00C02B15" w:rsidRPr="00C12FBA" w:rsidRDefault="00C02B15" w:rsidP="00564755">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 xml:space="preserve">El Sujeto Obligado adjuntó la digitalización </w:t>
      </w:r>
      <w:r w:rsidR="00275E14">
        <w:rPr>
          <w:rFonts w:ascii="Palatino Linotype" w:hAnsi="Palatino Linotype" w:cs="Tahoma"/>
          <w:sz w:val="22"/>
          <w:szCs w:val="24"/>
        </w:rPr>
        <w:t>del formato PbR-09</w:t>
      </w:r>
      <w:r w:rsidR="00BC28D1">
        <w:rPr>
          <w:rFonts w:ascii="Palatino Linotype" w:hAnsi="Palatino Linotype" w:cs="Tahoma"/>
          <w:sz w:val="22"/>
          <w:szCs w:val="24"/>
        </w:rPr>
        <w:t>a</w:t>
      </w:r>
      <w:r w:rsidR="000D2CDE">
        <w:rPr>
          <w:rFonts w:ascii="Palatino Linotype" w:hAnsi="Palatino Linotype" w:cs="Tahoma"/>
          <w:sz w:val="22"/>
          <w:szCs w:val="24"/>
        </w:rPr>
        <w:t xml:space="preserve"> Evaluación y certificación para el control de confianza de los elementos de seguridad.</w:t>
      </w:r>
    </w:p>
    <w:p w14:paraId="1A0BC4C7" w14:textId="77777777" w:rsidR="00162503" w:rsidRDefault="00162503" w:rsidP="00564755">
      <w:pPr>
        <w:autoSpaceDE w:val="0"/>
        <w:autoSpaceDN w:val="0"/>
        <w:adjustRightInd w:val="0"/>
        <w:spacing w:line="360" w:lineRule="auto"/>
        <w:jc w:val="both"/>
        <w:rPr>
          <w:rFonts w:ascii="Palatino Linotype" w:hAnsi="Palatino Linotype" w:cs="Tahoma"/>
          <w:sz w:val="22"/>
          <w:szCs w:val="24"/>
        </w:rPr>
      </w:pPr>
    </w:p>
    <w:p w14:paraId="26985CDE" w14:textId="0ED0C5BA" w:rsidR="00D10E6C" w:rsidRDefault="00D10E6C" w:rsidP="00564755">
      <w:pPr>
        <w:autoSpaceDE w:val="0"/>
        <w:autoSpaceDN w:val="0"/>
        <w:adjustRightInd w:val="0"/>
        <w:spacing w:line="360" w:lineRule="auto"/>
        <w:jc w:val="both"/>
        <w:rPr>
          <w:rFonts w:ascii="Palatino Linotype" w:hAnsi="Palatino Linotype" w:cs="Tahoma"/>
          <w:sz w:val="22"/>
          <w:szCs w:val="24"/>
        </w:rPr>
      </w:pPr>
      <w:r w:rsidRPr="00D10E6C">
        <w:rPr>
          <w:rFonts w:ascii="Palatino Linotype" w:hAnsi="Palatino Linotype" w:cs="Tahoma"/>
          <w:b/>
          <w:sz w:val="22"/>
          <w:szCs w:val="22"/>
        </w:rPr>
        <w:t>Respuesta a la solicitud de Información con número de folio</w:t>
      </w:r>
      <w:r w:rsidRPr="00D10E6C">
        <w:rPr>
          <w:rStyle w:val="Hipervnculo"/>
          <w:rFonts w:ascii="Palatino Linotype" w:hAnsi="Palatino Linotype" w:cs="Tahoma"/>
          <w:b/>
          <w:bCs/>
          <w:color w:val="auto"/>
          <w:sz w:val="22"/>
          <w:szCs w:val="22"/>
          <w:u w:val="none"/>
        </w:rPr>
        <w:t xml:space="preserve"> </w:t>
      </w:r>
      <w:r w:rsidRPr="00D10E6C">
        <w:rPr>
          <w:rFonts w:ascii="Palatino Linotype" w:hAnsi="Palatino Linotype" w:cs="Tahoma"/>
          <w:b/>
          <w:bCs/>
          <w:sz w:val="22"/>
          <w:szCs w:val="22"/>
        </w:rPr>
        <w:t>0000</w:t>
      </w:r>
      <w:r>
        <w:rPr>
          <w:rFonts w:ascii="Palatino Linotype" w:hAnsi="Palatino Linotype" w:cs="Tahoma"/>
          <w:b/>
          <w:bCs/>
          <w:sz w:val="22"/>
          <w:szCs w:val="22"/>
        </w:rPr>
        <w:t>3</w:t>
      </w:r>
      <w:r w:rsidRPr="00D10E6C">
        <w:rPr>
          <w:rFonts w:ascii="Palatino Linotype" w:hAnsi="Palatino Linotype" w:cs="Tahoma"/>
          <w:b/>
          <w:bCs/>
          <w:sz w:val="22"/>
          <w:szCs w:val="22"/>
        </w:rPr>
        <w:t>/CCCEM/IP/2019</w:t>
      </w:r>
      <w:r w:rsidRPr="00D10E6C">
        <w:rPr>
          <w:rFonts w:ascii="Palatino Linotype" w:hAnsi="Palatino Linotype" w:cs="Tahoma"/>
          <w:b/>
          <w:sz w:val="22"/>
          <w:szCs w:val="22"/>
        </w:rPr>
        <w:t xml:space="preserve">: </w:t>
      </w:r>
      <w:r w:rsidRPr="00B94CBF">
        <w:rPr>
          <w:rFonts w:ascii="Palatino Linotype" w:hAnsi="Palatino Linotype" w:cs="Tahoma"/>
          <w:sz w:val="22"/>
          <w:szCs w:val="22"/>
        </w:rPr>
        <w:t>Of</w:t>
      </w:r>
      <w:r w:rsidRPr="00D10E6C">
        <w:rPr>
          <w:rFonts w:ascii="Palatino Linotype" w:hAnsi="Palatino Linotype" w:cs="Tahoma"/>
          <w:sz w:val="22"/>
          <w:szCs w:val="22"/>
        </w:rPr>
        <w:t>icio</w:t>
      </w:r>
      <w:r>
        <w:rPr>
          <w:rFonts w:ascii="Palatino Linotype" w:hAnsi="Palatino Linotype" w:cs="Tahoma"/>
          <w:sz w:val="22"/>
          <w:szCs w:val="24"/>
        </w:rPr>
        <w:t xml:space="preserve"> número </w:t>
      </w:r>
      <w:r w:rsidRPr="00626A69">
        <w:rPr>
          <w:rFonts w:ascii="Palatino Linotype" w:hAnsi="Palatino Linotype" w:cs="Tahoma"/>
          <w:sz w:val="22"/>
          <w:szCs w:val="24"/>
        </w:rPr>
        <w:t>206C0201000300S/00</w:t>
      </w:r>
      <w:r>
        <w:rPr>
          <w:rFonts w:ascii="Palatino Linotype" w:hAnsi="Palatino Linotype" w:cs="Tahoma"/>
          <w:sz w:val="22"/>
          <w:szCs w:val="24"/>
        </w:rPr>
        <w:t>3</w:t>
      </w:r>
      <w:r w:rsidRPr="00626A69">
        <w:rPr>
          <w:rFonts w:ascii="Palatino Linotype" w:hAnsi="Palatino Linotype" w:cs="Tahoma"/>
          <w:sz w:val="22"/>
          <w:szCs w:val="24"/>
        </w:rPr>
        <w:t>/2019</w:t>
      </w:r>
      <w:r w:rsidR="00531764">
        <w:rPr>
          <w:rFonts w:ascii="Palatino Linotype" w:hAnsi="Palatino Linotype" w:cs="Tahoma"/>
          <w:sz w:val="22"/>
          <w:szCs w:val="24"/>
        </w:rPr>
        <w:t xml:space="preserve">, doce de febrero de dos mil </w:t>
      </w:r>
      <w:r w:rsidR="00396A2C">
        <w:rPr>
          <w:rFonts w:ascii="Palatino Linotype" w:hAnsi="Palatino Linotype" w:cs="Tahoma"/>
          <w:sz w:val="22"/>
          <w:szCs w:val="24"/>
        </w:rPr>
        <w:t>diecinueve</w:t>
      </w:r>
      <w:r>
        <w:rPr>
          <w:rFonts w:ascii="Palatino Linotype" w:hAnsi="Palatino Linotype" w:cs="Tahoma"/>
          <w:sz w:val="22"/>
          <w:szCs w:val="24"/>
        </w:rPr>
        <w:t xml:space="preserve">, suscrito por el Titular de la Unidad de Transparencia y Jefe de la Unida de Información, Planeación, Programación y Evaluación del Sujeto Obligado y dirigido al Solicitante, cuyo contenido en es los mismos términos que el diverso con número </w:t>
      </w:r>
      <w:r w:rsidRPr="00626A69">
        <w:rPr>
          <w:rFonts w:ascii="Palatino Linotype" w:hAnsi="Palatino Linotype" w:cs="Tahoma"/>
          <w:sz w:val="22"/>
          <w:szCs w:val="24"/>
        </w:rPr>
        <w:t>206C0201000300S/00</w:t>
      </w:r>
      <w:r>
        <w:rPr>
          <w:rFonts w:ascii="Palatino Linotype" w:hAnsi="Palatino Linotype" w:cs="Tahoma"/>
          <w:sz w:val="22"/>
          <w:szCs w:val="24"/>
        </w:rPr>
        <w:t>2</w:t>
      </w:r>
      <w:r w:rsidRPr="00626A69">
        <w:rPr>
          <w:rFonts w:ascii="Palatino Linotype" w:hAnsi="Palatino Linotype" w:cs="Tahoma"/>
          <w:sz w:val="22"/>
          <w:szCs w:val="24"/>
        </w:rPr>
        <w:t>/2019</w:t>
      </w:r>
      <w:r>
        <w:rPr>
          <w:rFonts w:ascii="Palatino Linotype" w:hAnsi="Palatino Linotype" w:cs="Tahoma"/>
          <w:sz w:val="22"/>
          <w:szCs w:val="24"/>
        </w:rPr>
        <w:t>, previamente referido.</w:t>
      </w:r>
    </w:p>
    <w:p w14:paraId="3E2F786E" w14:textId="77777777" w:rsidR="00D10E6C" w:rsidRDefault="00D10E6C" w:rsidP="00564755">
      <w:pPr>
        <w:autoSpaceDE w:val="0"/>
        <w:autoSpaceDN w:val="0"/>
        <w:adjustRightInd w:val="0"/>
        <w:spacing w:line="360" w:lineRule="auto"/>
        <w:jc w:val="both"/>
        <w:rPr>
          <w:rFonts w:ascii="Palatino Linotype" w:hAnsi="Palatino Linotype" w:cs="Tahoma"/>
          <w:sz w:val="22"/>
          <w:szCs w:val="24"/>
        </w:rPr>
      </w:pPr>
    </w:p>
    <w:p w14:paraId="2528C4C8" w14:textId="77777777" w:rsidR="00BC28D1" w:rsidRPr="00C12FBA" w:rsidRDefault="00BC28D1" w:rsidP="00BC28D1">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El Sujeto Obligado adjuntó la digitalización del formato PbR-09a Evaluación y certificación para el control de confianza de los elementos de seguridad.</w:t>
      </w:r>
    </w:p>
    <w:p w14:paraId="1DFB6D2C" w14:textId="77777777" w:rsidR="00BC28D1" w:rsidRDefault="00BC28D1" w:rsidP="00564755">
      <w:pPr>
        <w:autoSpaceDE w:val="0"/>
        <w:autoSpaceDN w:val="0"/>
        <w:adjustRightInd w:val="0"/>
        <w:spacing w:line="360" w:lineRule="auto"/>
        <w:jc w:val="both"/>
        <w:rPr>
          <w:rFonts w:ascii="Palatino Linotype" w:hAnsi="Palatino Linotype" w:cs="Tahoma"/>
          <w:b/>
          <w:sz w:val="22"/>
          <w:szCs w:val="24"/>
        </w:rPr>
      </w:pPr>
    </w:p>
    <w:p w14:paraId="5865099A" w14:textId="77777777" w:rsidR="008518DA" w:rsidRDefault="008518DA" w:rsidP="00564755">
      <w:pPr>
        <w:autoSpaceDE w:val="0"/>
        <w:autoSpaceDN w:val="0"/>
        <w:adjustRightInd w:val="0"/>
        <w:spacing w:line="360" w:lineRule="auto"/>
        <w:jc w:val="both"/>
        <w:rPr>
          <w:rFonts w:ascii="Palatino Linotype" w:hAnsi="Palatino Linotype" w:cs="Tahoma"/>
          <w:b/>
          <w:sz w:val="22"/>
          <w:szCs w:val="24"/>
        </w:rPr>
      </w:pPr>
    </w:p>
    <w:p w14:paraId="372E36FB" w14:textId="77777777" w:rsidR="008518DA" w:rsidRDefault="008518DA" w:rsidP="00564755">
      <w:pPr>
        <w:autoSpaceDE w:val="0"/>
        <w:autoSpaceDN w:val="0"/>
        <w:adjustRightInd w:val="0"/>
        <w:spacing w:line="360" w:lineRule="auto"/>
        <w:jc w:val="both"/>
        <w:rPr>
          <w:rFonts w:ascii="Palatino Linotype" w:hAnsi="Palatino Linotype" w:cs="Tahoma"/>
          <w:b/>
          <w:sz w:val="22"/>
          <w:szCs w:val="24"/>
        </w:rPr>
      </w:pPr>
    </w:p>
    <w:p w14:paraId="03001374" w14:textId="77777777" w:rsidR="008518DA" w:rsidRDefault="008518DA" w:rsidP="00564755">
      <w:pPr>
        <w:autoSpaceDE w:val="0"/>
        <w:autoSpaceDN w:val="0"/>
        <w:adjustRightInd w:val="0"/>
        <w:spacing w:line="360" w:lineRule="auto"/>
        <w:jc w:val="both"/>
        <w:rPr>
          <w:rFonts w:ascii="Palatino Linotype" w:hAnsi="Palatino Linotype" w:cs="Tahoma"/>
          <w:b/>
          <w:sz w:val="22"/>
          <w:szCs w:val="24"/>
        </w:rPr>
      </w:pPr>
    </w:p>
    <w:p w14:paraId="34F6FB92" w14:textId="77777777" w:rsidR="008518DA" w:rsidRDefault="008518DA" w:rsidP="00564755">
      <w:pPr>
        <w:autoSpaceDE w:val="0"/>
        <w:autoSpaceDN w:val="0"/>
        <w:adjustRightInd w:val="0"/>
        <w:spacing w:line="360" w:lineRule="auto"/>
        <w:jc w:val="both"/>
        <w:rPr>
          <w:rFonts w:ascii="Palatino Linotype" w:hAnsi="Palatino Linotype" w:cs="Tahoma"/>
          <w:b/>
          <w:sz w:val="22"/>
          <w:szCs w:val="24"/>
        </w:rPr>
      </w:pPr>
    </w:p>
    <w:p w14:paraId="1A0BC4E0" w14:textId="77777777" w:rsidR="00C12FBA" w:rsidRPr="00C12FBA" w:rsidRDefault="001A3EAE" w:rsidP="00564755">
      <w:pPr>
        <w:autoSpaceDE w:val="0"/>
        <w:autoSpaceDN w:val="0"/>
        <w:adjustRightInd w:val="0"/>
        <w:spacing w:line="360" w:lineRule="auto"/>
        <w:jc w:val="both"/>
        <w:rPr>
          <w:rFonts w:ascii="Palatino Linotype" w:hAnsi="Palatino Linotype" w:cs="Tahoma"/>
          <w:b/>
          <w:sz w:val="22"/>
          <w:szCs w:val="24"/>
        </w:rPr>
      </w:pPr>
      <w:r>
        <w:rPr>
          <w:rFonts w:ascii="Palatino Linotype" w:hAnsi="Palatino Linotype" w:cs="Tahoma"/>
          <w:b/>
          <w:sz w:val="22"/>
          <w:szCs w:val="24"/>
        </w:rPr>
        <w:t>II</w:t>
      </w:r>
      <w:r w:rsidR="00C12FBA" w:rsidRPr="00C12FBA">
        <w:rPr>
          <w:rFonts w:ascii="Palatino Linotype" w:hAnsi="Palatino Linotype" w:cs="Tahoma"/>
          <w:b/>
          <w:sz w:val="22"/>
          <w:szCs w:val="24"/>
        </w:rPr>
        <w:t>I. Interposición de</w:t>
      </w:r>
      <w:r w:rsidR="00540F7B">
        <w:rPr>
          <w:rFonts w:ascii="Palatino Linotype" w:hAnsi="Palatino Linotype" w:cs="Tahoma"/>
          <w:b/>
          <w:sz w:val="22"/>
          <w:szCs w:val="24"/>
        </w:rPr>
        <w:t xml:space="preserve"> </w:t>
      </w:r>
      <w:r w:rsidR="00C12FBA" w:rsidRPr="00C12FBA">
        <w:rPr>
          <w:rFonts w:ascii="Palatino Linotype" w:hAnsi="Palatino Linotype" w:cs="Tahoma"/>
          <w:b/>
          <w:sz w:val="22"/>
          <w:szCs w:val="24"/>
        </w:rPr>
        <w:t>l</w:t>
      </w:r>
      <w:r w:rsidR="00540F7B">
        <w:rPr>
          <w:rFonts w:ascii="Palatino Linotype" w:hAnsi="Palatino Linotype" w:cs="Tahoma"/>
          <w:b/>
          <w:sz w:val="22"/>
          <w:szCs w:val="24"/>
        </w:rPr>
        <w:t>os</w:t>
      </w:r>
      <w:r w:rsidR="00C12FBA" w:rsidRPr="00C12FBA">
        <w:rPr>
          <w:rFonts w:ascii="Palatino Linotype" w:hAnsi="Palatino Linotype" w:cs="Tahoma"/>
          <w:b/>
          <w:sz w:val="22"/>
          <w:szCs w:val="24"/>
        </w:rPr>
        <w:t xml:space="preserve"> Recurso</w:t>
      </w:r>
      <w:r w:rsidR="00540F7B">
        <w:rPr>
          <w:rFonts w:ascii="Palatino Linotype" w:hAnsi="Palatino Linotype" w:cs="Tahoma"/>
          <w:b/>
          <w:sz w:val="22"/>
          <w:szCs w:val="24"/>
        </w:rPr>
        <w:t>s</w:t>
      </w:r>
      <w:r w:rsidR="00C12FBA" w:rsidRPr="00C12FBA">
        <w:rPr>
          <w:rFonts w:ascii="Palatino Linotype" w:hAnsi="Palatino Linotype" w:cs="Tahoma"/>
          <w:b/>
          <w:sz w:val="22"/>
          <w:szCs w:val="24"/>
        </w:rPr>
        <w:t xml:space="preserve"> de Revisión. </w:t>
      </w:r>
    </w:p>
    <w:p w14:paraId="1A0BC4E1" w14:textId="77777777" w:rsidR="00587F23" w:rsidRPr="00C27C34" w:rsidRDefault="00587F23" w:rsidP="00564755">
      <w:pPr>
        <w:autoSpaceDE w:val="0"/>
        <w:autoSpaceDN w:val="0"/>
        <w:adjustRightInd w:val="0"/>
        <w:spacing w:line="360" w:lineRule="auto"/>
        <w:jc w:val="both"/>
        <w:rPr>
          <w:rFonts w:ascii="Palatino Linotype" w:hAnsi="Palatino Linotype" w:cs="Tahoma"/>
          <w:b/>
          <w:sz w:val="24"/>
          <w:szCs w:val="24"/>
        </w:rPr>
      </w:pPr>
    </w:p>
    <w:p w14:paraId="1A0BC4E2" w14:textId="0BB8B608" w:rsidR="00C25238" w:rsidRDefault="004E401B" w:rsidP="00564755">
      <w:pPr>
        <w:autoSpaceDE w:val="0"/>
        <w:autoSpaceDN w:val="0"/>
        <w:adjustRightInd w:val="0"/>
        <w:spacing w:line="360" w:lineRule="auto"/>
        <w:jc w:val="both"/>
        <w:rPr>
          <w:rFonts w:ascii="Palatino Linotype" w:hAnsi="Palatino Linotype" w:cs="Tahoma"/>
          <w:sz w:val="24"/>
          <w:szCs w:val="24"/>
        </w:rPr>
      </w:pPr>
      <w:r w:rsidRPr="00C27C34">
        <w:rPr>
          <w:rFonts w:ascii="Palatino Linotype" w:hAnsi="Palatino Linotype" w:cs="Tahoma"/>
          <w:sz w:val="24"/>
          <w:szCs w:val="24"/>
        </w:rPr>
        <w:t xml:space="preserve">Con fecha </w:t>
      </w:r>
      <w:r w:rsidR="00BC28D1">
        <w:rPr>
          <w:rFonts w:ascii="Palatino Linotype" w:hAnsi="Palatino Linotype" w:cs="Tahoma"/>
          <w:sz w:val="24"/>
          <w:szCs w:val="24"/>
        </w:rPr>
        <w:t>veinte de febrero</w:t>
      </w:r>
      <w:r w:rsidR="00C25238" w:rsidRPr="00C27C34">
        <w:rPr>
          <w:rFonts w:ascii="Palatino Linotype" w:hAnsi="Palatino Linotype" w:cs="Tahoma"/>
          <w:sz w:val="24"/>
          <w:szCs w:val="24"/>
        </w:rPr>
        <w:t xml:space="preserve"> de dos mil </w:t>
      </w:r>
      <w:r w:rsidR="00531764">
        <w:rPr>
          <w:rFonts w:ascii="Palatino Linotype" w:hAnsi="Palatino Linotype" w:cs="Tahoma"/>
          <w:sz w:val="24"/>
          <w:szCs w:val="24"/>
        </w:rPr>
        <w:t>diecinueve</w:t>
      </w:r>
      <w:r w:rsidR="00C25238" w:rsidRPr="00C27C34">
        <w:rPr>
          <w:rFonts w:ascii="Palatino Linotype" w:hAnsi="Palatino Linotype" w:cs="Tahoma"/>
          <w:sz w:val="24"/>
          <w:szCs w:val="24"/>
        </w:rPr>
        <w:t xml:space="preserve">, se recibió en este </w:t>
      </w:r>
      <w:r w:rsidR="00C25238" w:rsidRPr="00C27C34">
        <w:rPr>
          <w:rFonts w:ascii="Palatino Linotype" w:eastAsia="Calibri" w:hAnsi="Palatino Linotype" w:cs="Tahoma"/>
          <w:sz w:val="24"/>
          <w:szCs w:val="24"/>
          <w:lang w:eastAsia="en-US"/>
        </w:rPr>
        <w:t xml:space="preserve">Instituto, a través del </w:t>
      </w:r>
      <w:r w:rsidR="000313A7" w:rsidRPr="00C27C34">
        <w:rPr>
          <w:rFonts w:ascii="Palatino Linotype" w:hAnsi="Palatino Linotype" w:cs="Tahoma"/>
          <w:sz w:val="24"/>
          <w:lang w:val="es-ES"/>
        </w:rPr>
        <w:t>Sistema de Acceso a la Información Mexiquense (SAIMEX)</w:t>
      </w:r>
      <w:r w:rsidR="006C1B1D" w:rsidRPr="00C27C34">
        <w:rPr>
          <w:rFonts w:ascii="Palatino Linotype" w:hAnsi="Palatino Linotype" w:cs="Tahoma"/>
          <w:sz w:val="24"/>
          <w:szCs w:val="24"/>
        </w:rPr>
        <w:t>,</w:t>
      </w:r>
      <w:r w:rsidR="00540F7B">
        <w:rPr>
          <w:rFonts w:ascii="Palatino Linotype" w:hAnsi="Palatino Linotype" w:cs="Tahoma"/>
          <w:sz w:val="24"/>
          <w:szCs w:val="24"/>
        </w:rPr>
        <w:t xml:space="preserve"> los</w:t>
      </w:r>
      <w:r w:rsidR="006C1B1D" w:rsidRPr="00C27C34">
        <w:rPr>
          <w:rFonts w:ascii="Palatino Linotype" w:hAnsi="Palatino Linotype" w:cs="Tahoma"/>
          <w:sz w:val="24"/>
          <w:szCs w:val="24"/>
        </w:rPr>
        <w:t xml:space="preserve"> Recurso</w:t>
      </w:r>
      <w:r w:rsidR="00540F7B">
        <w:rPr>
          <w:rFonts w:ascii="Palatino Linotype" w:hAnsi="Palatino Linotype" w:cs="Tahoma"/>
          <w:sz w:val="24"/>
          <w:szCs w:val="24"/>
        </w:rPr>
        <w:t xml:space="preserve">s </w:t>
      </w:r>
      <w:r w:rsidR="006C1B1D" w:rsidRPr="00C27C34">
        <w:rPr>
          <w:rFonts w:ascii="Palatino Linotype" w:hAnsi="Palatino Linotype" w:cs="Tahoma"/>
          <w:sz w:val="24"/>
          <w:szCs w:val="24"/>
        </w:rPr>
        <w:t>de R</w:t>
      </w:r>
      <w:r w:rsidR="00C25238" w:rsidRPr="00C27C34">
        <w:rPr>
          <w:rFonts w:ascii="Palatino Linotype" w:hAnsi="Palatino Linotype" w:cs="Tahoma"/>
          <w:sz w:val="24"/>
          <w:szCs w:val="24"/>
        </w:rPr>
        <w:t>evisión interpuesto</w:t>
      </w:r>
      <w:r w:rsidR="00540F7B">
        <w:rPr>
          <w:rFonts w:ascii="Palatino Linotype" w:hAnsi="Palatino Linotype" w:cs="Tahoma"/>
          <w:sz w:val="24"/>
          <w:szCs w:val="24"/>
        </w:rPr>
        <w:t>s</w:t>
      </w:r>
      <w:r w:rsidR="00C25238" w:rsidRPr="00C27C34">
        <w:rPr>
          <w:rFonts w:ascii="Palatino Linotype" w:hAnsi="Palatino Linotype" w:cs="Tahoma"/>
          <w:sz w:val="24"/>
          <w:szCs w:val="24"/>
        </w:rPr>
        <w:t xml:space="preserve"> por la</w:t>
      </w:r>
      <w:r w:rsidR="006C1B1D" w:rsidRPr="00C27C34">
        <w:rPr>
          <w:rFonts w:ascii="Palatino Linotype" w:hAnsi="Palatino Linotype" w:cs="Tahoma"/>
          <w:sz w:val="24"/>
          <w:szCs w:val="24"/>
        </w:rPr>
        <w:t xml:space="preserve"> parte</w:t>
      </w:r>
      <w:r w:rsidR="00C25238" w:rsidRPr="00C27C34">
        <w:rPr>
          <w:rFonts w:ascii="Palatino Linotype" w:hAnsi="Palatino Linotype" w:cs="Tahoma"/>
          <w:sz w:val="24"/>
          <w:szCs w:val="24"/>
        </w:rPr>
        <w:t xml:space="preserve"> </w:t>
      </w:r>
      <w:r w:rsidR="0028420E">
        <w:rPr>
          <w:rFonts w:ascii="Palatino Linotype" w:hAnsi="Palatino Linotype" w:cs="Tahoma"/>
          <w:sz w:val="24"/>
          <w:szCs w:val="24"/>
        </w:rPr>
        <w:t>R</w:t>
      </w:r>
      <w:r w:rsidR="00C25238" w:rsidRPr="00C27C34">
        <w:rPr>
          <w:rFonts w:ascii="Palatino Linotype" w:hAnsi="Palatino Linotype" w:cs="Tahoma"/>
          <w:sz w:val="24"/>
          <w:szCs w:val="24"/>
        </w:rPr>
        <w:t xml:space="preserve">ecurrente, en contra </w:t>
      </w:r>
      <w:r w:rsidRPr="00C27C34">
        <w:rPr>
          <w:rFonts w:ascii="Palatino Linotype" w:hAnsi="Palatino Linotype" w:cs="Tahoma"/>
          <w:sz w:val="24"/>
          <w:szCs w:val="24"/>
        </w:rPr>
        <w:t>de la</w:t>
      </w:r>
      <w:r w:rsidR="00FF30AC">
        <w:rPr>
          <w:rFonts w:ascii="Palatino Linotype" w:hAnsi="Palatino Linotype" w:cs="Tahoma"/>
          <w:sz w:val="24"/>
          <w:szCs w:val="24"/>
        </w:rPr>
        <w:t>s</w:t>
      </w:r>
      <w:r w:rsidRPr="00C27C34">
        <w:rPr>
          <w:rFonts w:ascii="Palatino Linotype" w:hAnsi="Palatino Linotype" w:cs="Tahoma"/>
          <w:sz w:val="24"/>
          <w:szCs w:val="24"/>
        </w:rPr>
        <w:t xml:space="preserve"> respuesta</w:t>
      </w:r>
      <w:r w:rsidR="00540F7B">
        <w:rPr>
          <w:rFonts w:ascii="Palatino Linotype" w:hAnsi="Palatino Linotype" w:cs="Tahoma"/>
          <w:sz w:val="24"/>
          <w:szCs w:val="24"/>
        </w:rPr>
        <w:t>s</w:t>
      </w:r>
      <w:r w:rsidRPr="00C27C34">
        <w:rPr>
          <w:rFonts w:ascii="Palatino Linotype" w:hAnsi="Palatino Linotype" w:cs="Tahoma"/>
          <w:sz w:val="24"/>
          <w:szCs w:val="24"/>
        </w:rPr>
        <w:t xml:space="preserve"> emitida</w:t>
      </w:r>
      <w:r w:rsidR="00540F7B">
        <w:rPr>
          <w:rFonts w:ascii="Palatino Linotype" w:hAnsi="Palatino Linotype" w:cs="Tahoma"/>
          <w:sz w:val="24"/>
          <w:szCs w:val="24"/>
        </w:rPr>
        <w:t>s</w:t>
      </w:r>
      <w:r w:rsidRPr="00C27C34">
        <w:rPr>
          <w:rFonts w:ascii="Palatino Linotype" w:hAnsi="Palatino Linotype" w:cs="Tahoma"/>
          <w:sz w:val="24"/>
          <w:szCs w:val="24"/>
        </w:rPr>
        <w:t xml:space="preserve"> por el</w:t>
      </w:r>
      <w:r w:rsidR="00587F23" w:rsidRPr="00C27C34">
        <w:rPr>
          <w:rFonts w:ascii="Palatino Linotype" w:hAnsi="Palatino Linotype" w:cs="Tahoma"/>
          <w:sz w:val="24"/>
          <w:szCs w:val="24"/>
        </w:rPr>
        <w:t xml:space="preserve"> Sujeto Obligado</w:t>
      </w:r>
      <w:r w:rsidRPr="00C27C34">
        <w:rPr>
          <w:rFonts w:ascii="Palatino Linotype" w:hAnsi="Palatino Linotype" w:cs="Tahoma"/>
          <w:sz w:val="24"/>
          <w:szCs w:val="24"/>
        </w:rPr>
        <w:t xml:space="preserve"> a la</w:t>
      </w:r>
      <w:r w:rsidR="00540F7B">
        <w:rPr>
          <w:rFonts w:ascii="Palatino Linotype" w:hAnsi="Palatino Linotype" w:cs="Tahoma"/>
          <w:sz w:val="24"/>
          <w:szCs w:val="24"/>
        </w:rPr>
        <w:t>s</w:t>
      </w:r>
      <w:r w:rsidR="00592D40">
        <w:rPr>
          <w:rFonts w:ascii="Palatino Linotype" w:hAnsi="Palatino Linotype" w:cs="Tahoma"/>
          <w:sz w:val="24"/>
          <w:szCs w:val="24"/>
        </w:rPr>
        <w:t xml:space="preserve"> solicitud</w:t>
      </w:r>
      <w:r w:rsidR="00540F7B">
        <w:rPr>
          <w:rFonts w:ascii="Palatino Linotype" w:hAnsi="Palatino Linotype" w:cs="Tahoma"/>
          <w:sz w:val="24"/>
          <w:szCs w:val="24"/>
        </w:rPr>
        <w:t>es</w:t>
      </w:r>
      <w:r w:rsidR="00592D40">
        <w:rPr>
          <w:rFonts w:ascii="Palatino Linotype" w:hAnsi="Palatino Linotype" w:cs="Tahoma"/>
          <w:sz w:val="24"/>
          <w:szCs w:val="24"/>
        </w:rPr>
        <w:t xml:space="preserve"> de información </w:t>
      </w:r>
      <w:r w:rsidR="00540F7B">
        <w:rPr>
          <w:rFonts w:ascii="Palatino Linotype" w:hAnsi="Palatino Linotype" w:cs="Tahoma"/>
          <w:sz w:val="24"/>
          <w:szCs w:val="24"/>
        </w:rPr>
        <w:t xml:space="preserve">con número </w:t>
      </w:r>
      <w:r w:rsidR="00C776C8">
        <w:rPr>
          <w:rFonts w:ascii="Palatino Linotype" w:hAnsi="Palatino Linotype" w:cs="Tahoma"/>
          <w:sz w:val="24"/>
          <w:szCs w:val="24"/>
        </w:rPr>
        <w:t>00002/CCCEM/IP/2019</w:t>
      </w:r>
      <w:r w:rsidR="00540F7B">
        <w:rPr>
          <w:rFonts w:ascii="Palatino Linotype" w:hAnsi="Palatino Linotype" w:cs="Tahoma"/>
          <w:sz w:val="24"/>
          <w:szCs w:val="24"/>
        </w:rPr>
        <w:t xml:space="preserve"> y </w:t>
      </w:r>
      <w:r w:rsidR="00C776C8">
        <w:rPr>
          <w:rFonts w:ascii="Palatino Linotype" w:hAnsi="Palatino Linotype" w:cs="Tahoma"/>
          <w:sz w:val="24"/>
          <w:szCs w:val="24"/>
        </w:rPr>
        <w:t>00003/CCCEM/IP/2019</w:t>
      </w:r>
      <w:r w:rsidR="00C25238" w:rsidRPr="00C27C34">
        <w:rPr>
          <w:rFonts w:ascii="Palatino Linotype" w:hAnsi="Palatino Linotype" w:cs="Tahoma"/>
          <w:sz w:val="24"/>
          <w:szCs w:val="24"/>
        </w:rPr>
        <w:t>, en los siguientes</w:t>
      </w:r>
      <w:r w:rsidR="00587F23" w:rsidRPr="00C27C34">
        <w:rPr>
          <w:rFonts w:ascii="Palatino Linotype" w:hAnsi="Palatino Linotype" w:cs="Tahoma"/>
          <w:sz w:val="24"/>
          <w:szCs w:val="24"/>
        </w:rPr>
        <w:t xml:space="preserve"> términos</w:t>
      </w:r>
      <w:r w:rsidR="00C25238" w:rsidRPr="00C27C34">
        <w:rPr>
          <w:rFonts w:ascii="Palatino Linotype" w:hAnsi="Palatino Linotype" w:cs="Tahoma"/>
          <w:sz w:val="24"/>
          <w:szCs w:val="24"/>
        </w:rPr>
        <w:t>:</w:t>
      </w:r>
    </w:p>
    <w:p w14:paraId="1A0BC4E3" w14:textId="77777777" w:rsidR="004E71CE" w:rsidRDefault="004E71CE" w:rsidP="00564755">
      <w:pPr>
        <w:autoSpaceDE w:val="0"/>
        <w:autoSpaceDN w:val="0"/>
        <w:adjustRightInd w:val="0"/>
        <w:spacing w:line="360" w:lineRule="auto"/>
        <w:jc w:val="both"/>
        <w:rPr>
          <w:rFonts w:ascii="Palatino Linotype" w:hAnsi="Palatino Linotype" w:cs="Tahoma"/>
          <w:sz w:val="24"/>
          <w:szCs w:val="24"/>
        </w:rPr>
      </w:pPr>
    </w:p>
    <w:p w14:paraId="1A0BC4E4" w14:textId="505002FE" w:rsidR="00540F7B" w:rsidRPr="004E591C" w:rsidRDefault="00540F7B" w:rsidP="00564755">
      <w:pPr>
        <w:tabs>
          <w:tab w:val="left" w:pos="4667"/>
        </w:tabs>
        <w:spacing w:line="360" w:lineRule="auto"/>
        <w:ind w:left="567" w:right="567"/>
        <w:jc w:val="both"/>
        <w:rPr>
          <w:rFonts w:ascii="Palatino Linotype" w:hAnsi="Palatino Linotype" w:cs="Tahoma"/>
          <w:b/>
        </w:rPr>
      </w:pPr>
      <w:r w:rsidRPr="004E591C">
        <w:rPr>
          <w:rFonts w:ascii="Palatino Linotype" w:hAnsi="Palatino Linotype" w:cs="Tahoma"/>
          <w:b/>
        </w:rPr>
        <w:t>Solicitud de Información con número de folio</w:t>
      </w:r>
      <w:r>
        <w:rPr>
          <w:rStyle w:val="Hipervnculo"/>
          <w:rFonts w:ascii="Palatino Linotype" w:hAnsi="Palatino Linotype" w:cs="Tahoma"/>
          <w:b/>
          <w:bCs/>
          <w:color w:val="auto"/>
          <w:u w:val="none"/>
        </w:rPr>
        <w:t xml:space="preserve"> </w:t>
      </w:r>
      <w:r w:rsidR="00C776C8">
        <w:rPr>
          <w:rFonts w:ascii="Palatino Linotype" w:hAnsi="Palatino Linotype" w:cs="Tahoma"/>
          <w:b/>
          <w:bCs/>
        </w:rPr>
        <w:t>00002/CCCEM/IP/2019</w:t>
      </w:r>
      <w:r w:rsidRPr="004E591C">
        <w:rPr>
          <w:rFonts w:ascii="Palatino Linotype" w:hAnsi="Palatino Linotype" w:cs="Tahoma"/>
          <w:b/>
        </w:rPr>
        <w:t>:</w:t>
      </w:r>
    </w:p>
    <w:p w14:paraId="1A0BC4E5" w14:textId="77777777" w:rsidR="00540F7B" w:rsidRDefault="00540F7B" w:rsidP="00564755">
      <w:pPr>
        <w:tabs>
          <w:tab w:val="left" w:pos="4667"/>
        </w:tabs>
        <w:spacing w:line="360" w:lineRule="auto"/>
        <w:ind w:left="567" w:right="567"/>
        <w:jc w:val="both"/>
        <w:rPr>
          <w:rFonts w:ascii="Palatino Linotype" w:hAnsi="Palatino Linotype" w:cs="Tahoma"/>
          <w:b/>
          <w:bCs/>
        </w:rPr>
      </w:pPr>
    </w:p>
    <w:p w14:paraId="1A0BC4E6" w14:textId="77777777" w:rsidR="00C25238" w:rsidRPr="0069700B" w:rsidRDefault="00B727C5" w:rsidP="00564755">
      <w:pPr>
        <w:tabs>
          <w:tab w:val="left" w:pos="4667"/>
        </w:tabs>
        <w:spacing w:line="360" w:lineRule="auto"/>
        <w:ind w:left="567" w:right="567"/>
        <w:jc w:val="both"/>
        <w:rPr>
          <w:rFonts w:ascii="Palatino Linotype" w:hAnsi="Palatino Linotype" w:cs="Tahoma"/>
          <w:bCs/>
          <w:i/>
        </w:rPr>
      </w:pPr>
      <w:r w:rsidRPr="0069700B">
        <w:rPr>
          <w:rFonts w:ascii="Palatino Linotype" w:hAnsi="Palatino Linotype" w:cs="Tahoma"/>
          <w:b/>
          <w:bCs/>
          <w:i/>
        </w:rPr>
        <w:t>“</w:t>
      </w:r>
      <w:r w:rsidR="00C25238" w:rsidRPr="0069700B">
        <w:rPr>
          <w:rFonts w:ascii="Palatino Linotype" w:hAnsi="Palatino Linotype" w:cs="Tahoma"/>
          <w:b/>
          <w:bCs/>
          <w:i/>
        </w:rPr>
        <w:t>ACTO IMPUGNADO</w:t>
      </w:r>
    </w:p>
    <w:p w14:paraId="1A0BC4E7" w14:textId="36BE3A04" w:rsidR="005F4977" w:rsidRPr="0069700B" w:rsidRDefault="00BC28D1" w:rsidP="00564755">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Respuesta a solicitud</w:t>
      </w:r>
      <w:r w:rsidR="00B727C5" w:rsidRPr="0069700B">
        <w:rPr>
          <w:rFonts w:ascii="Palatino Linotype" w:hAnsi="Palatino Linotype" w:cs="Tahoma"/>
          <w:i/>
        </w:rPr>
        <w:t>”</w:t>
      </w:r>
      <w:r w:rsidR="00540F7B" w:rsidRPr="0069700B">
        <w:rPr>
          <w:rFonts w:ascii="Palatino Linotype" w:hAnsi="Palatino Linotype" w:cs="Tahoma"/>
          <w:i/>
        </w:rPr>
        <w:t xml:space="preserve"> </w:t>
      </w:r>
    </w:p>
    <w:p w14:paraId="1A0BC4E8" w14:textId="77777777" w:rsidR="00BC4C9F" w:rsidRPr="0069700B" w:rsidRDefault="00BC4C9F" w:rsidP="00564755">
      <w:pPr>
        <w:autoSpaceDE w:val="0"/>
        <w:autoSpaceDN w:val="0"/>
        <w:adjustRightInd w:val="0"/>
        <w:spacing w:line="360" w:lineRule="auto"/>
        <w:ind w:left="567" w:right="567"/>
        <w:jc w:val="both"/>
        <w:rPr>
          <w:rFonts w:ascii="Palatino Linotype" w:hAnsi="Palatino Linotype" w:cs="Tahoma"/>
          <w:i/>
        </w:rPr>
      </w:pPr>
    </w:p>
    <w:p w14:paraId="1A0BC4E9" w14:textId="77777777" w:rsidR="00C25238" w:rsidRPr="0069700B" w:rsidRDefault="00B727C5" w:rsidP="00564755">
      <w:pPr>
        <w:autoSpaceDE w:val="0"/>
        <w:autoSpaceDN w:val="0"/>
        <w:adjustRightInd w:val="0"/>
        <w:spacing w:line="360" w:lineRule="auto"/>
        <w:ind w:left="567" w:right="567"/>
        <w:jc w:val="both"/>
        <w:rPr>
          <w:rFonts w:ascii="Palatino Linotype" w:hAnsi="Palatino Linotype" w:cs="Tahoma"/>
          <w:b/>
          <w:i/>
        </w:rPr>
      </w:pPr>
      <w:r w:rsidRPr="0069700B">
        <w:rPr>
          <w:rFonts w:ascii="Palatino Linotype" w:hAnsi="Palatino Linotype" w:cs="Tahoma"/>
          <w:b/>
          <w:i/>
        </w:rPr>
        <w:t>“</w:t>
      </w:r>
      <w:r w:rsidR="00C25238" w:rsidRPr="0069700B">
        <w:rPr>
          <w:rFonts w:ascii="Palatino Linotype" w:hAnsi="Palatino Linotype" w:cs="Tahoma"/>
          <w:b/>
          <w:i/>
        </w:rPr>
        <w:t>RAZONES O MOTIVOS DE LA INCONFORMIDAD</w:t>
      </w:r>
    </w:p>
    <w:p w14:paraId="1A0BC4EA" w14:textId="564250E0" w:rsidR="00B31222" w:rsidRPr="0069700B" w:rsidRDefault="00BC28D1" w:rsidP="00564755">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No se entrego la informacion solicitada</w:t>
      </w:r>
      <w:r w:rsidR="00540F7B" w:rsidRPr="0069700B">
        <w:rPr>
          <w:rFonts w:ascii="Palatino Linotype" w:hAnsi="Palatino Linotype" w:cs="Tahoma"/>
          <w:i/>
        </w:rPr>
        <w:t>”</w:t>
      </w:r>
      <w:r w:rsidR="006C1B1D" w:rsidRPr="0069700B">
        <w:rPr>
          <w:rFonts w:ascii="Palatino Linotype" w:hAnsi="Palatino Linotype" w:cs="Tahoma"/>
          <w:i/>
        </w:rPr>
        <w:t xml:space="preserve"> (Sic.)</w:t>
      </w:r>
    </w:p>
    <w:p w14:paraId="1A0BC4EB" w14:textId="77777777" w:rsidR="00540F7B" w:rsidRDefault="00540F7B" w:rsidP="00564755">
      <w:pPr>
        <w:autoSpaceDE w:val="0"/>
        <w:autoSpaceDN w:val="0"/>
        <w:adjustRightInd w:val="0"/>
        <w:spacing w:line="360" w:lineRule="auto"/>
        <w:ind w:left="567" w:right="567"/>
        <w:jc w:val="both"/>
        <w:rPr>
          <w:rFonts w:ascii="Palatino Linotype" w:hAnsi="Palatino Linotype" w:cs="Tahoma"/>
        </w:rPr>
      </w:pPr>
    </w:p>
    <w:p w14:paraId="1A0BC4EC" w14:textId="02EE47B9" w:rsidR="00540F7B" w:rsidRPr="004E591C" w:rsidRDefault="00540F7B" w:rsidP="00564755">
      <w:pPr>
        <w:tabs>
          <w:tab w:val="left" w:pos="4667"/>
        </w:tabs>
        <w:spacing w:line="360" w:lineRule="auto"/>
        <w:ind w:left="567" w:right="567"/>
        <w:jc w:val="both"/>
        <w:rPr>
          <w:rFonts w:ascii="Palatino Linotype" w:hAnsi="Palatino Linotype" w:cs="Tahoma"/>
          <w:b/>
        </w:rPr>
      </w:pPr>
      <w:r w:rsidRPr="004E591C">
        <w:rPr>
          <w:rFonts w:ascii="Palatino Linotype" w:hAnsi="Palatino Linotype" w:cs="Tahoma"/>
          <w:b/>
        </w:rPr>
        <w:t>Solicitud de Información con número de folio</w:t>
      </w:r>
      <w:r>
        <w:rPr>
          <w:rStyle w:val="Hipervnculo"/>
          <w:rFonts w:ascii="Palatino Linotype" w:hAnsi="Palatino Linotype" w:cs="Tahoma"/>
          <w:b/>
          <w:bCs/>
          <w:color w:val="auto"/>
          <w:u w:val="none"/>
        </w:rPr>
        <w:t xml:space="preserve"> </w:t>
      </w:r>
      <w:r w:rsidR="00C776C8">
        <w:rPr>
          <w:rFonts w:ascii="Palatino Linotype" w:hAnsi="Palatino Linotype" w:cs="Tahoma"/>
          <w:b/>
          <w:bCs/>
        </w:rPr>
        <w:t>00003/CCCEM/IP/2019</w:t>
      </w:r>
      <w:r w:rsidRPr="004E591C">
        <w:rPr>
          <w:rFonts w:ascii="Palatino Linotype" w:hAnsi="Palatino Linotype" w:cs="Tahoma"/>
          <w:b/>
        </w:rPr>
        <w:t>:</w:t>
      </w:r>
    </w:p>
    <w:p w14:paraId="1A0BC4ED" w14:textId="77777777" w:rsidR="00540F7B" w:rsidRDefault="00540F7B" w:rsidP="00564755">
      <w:pPr>
        <w:autoSpaceDE w:val="0"/>
        <w:autoSpaceDN w:val="0"/>
        <w:adjustRightInd w:val="0"/>
        <w:spacing w:line="360" w:lineRule="auto"/>
        <w:ind w:left="567" w:right="567"/>
        <w:jc w:val="both"/>
        <w:rPr>
          <w:rFonts w:ascii="Palatino Linotype" w:hAnsi="Palatino Linotype" w:cs="Tahoma"/>
        </w:rPr>
      </w:pPr>
    </w:p>
    <w:p w14:paraId="1A0BC4EE" w14:textId="77777777" w:rsidR="00540F7B" w:rsidRPr="0069700B" w:rsidRDefault="00540F7B" w:rsidP="00564755">
      <w:pPr>
        <w:tabs>
          <w:tab w:val="left" w:pos="4667"/>
        </w:tabs>
        <w:spacing w:line="360" w:lineRule="auto"/>
        <w:ind w:left="567" w:right="567"/>
        <w:jc w:val="both"/>
        <w:rPr>
          <w:rFonts w:ascii="Palatino Linotype" w:hAnsi="Palatino Linotype" w:cs="Tahoma"/>
          <w:b/>
          <w:bCs/>
          <w:i/>
        </w:rPr>
      </w:pPr>
      <w:r w:rsidRPr="0069700B">
        <w:rPr>
          <w:rFonts w:ascii="Palatino Linotype" w:hAnsi="Palatino Linotype" w:cs="Tahoma"/>
          <w:b/>
          <w:bCs/>
          <w:i/>
        </w:rPr>
        <w:t>“ACTO IMPUGNADO</w:t>
      </w:r>
    </w:p>
    <w:p w14:paraId="1A0BC4F0" w14:textId="26B82F14" w:rsidR="00540F7B" w:rsidRPr="0069700B" w:rsidRDefault="00BC28D1" w:rsidP="00564755">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La respuesta emitida por el centro de control de confianza</w:t>
      </w:r>
      <w:r w:rsidR="00540F7B" w:rsidRPr="0069700B">
        <w:rPr>
          <w:rFonts w:ascii="Palatino Linotype" w:hAnsi="Palatino Linotype" w:cs="Tahoma"/>
          <w:i/>
        </w:rPr>
        <w:t xml:space="preserve">” </w:t>
      </w:r>
    </w:p>
    <w:p w14:paraId="1A0BC4F1" w14:textId="77777777" w:rsidR="00540F7B" w:rsidRPr="0069700B" w:rsidRDefault="00540F7B" w:rsidP="00564755">
      <w:pPr>
        <w:autoSpaceDE w:val="0"/>
        <w:autoSpaceDN w:val="0"/>
        <w:adjustRightInd w:val="0"/>
        <w:spacing w:line="360" w:lineRule="auto"/>
        <w:ind w:left="567" w:right="567"/>
        <w:jc w:val="both"/>
        <w:rPr>
          <w:rFonts w:ascii="Palatino Linotype" w:hAnsi="Palatino Linotype" w:cs="Tahoma"/>
          <w:i/>
        </w:rPr>
      </w:pPr>
    </w:p>
    <w:p w14:paraId="1A0BC4F2" w14:textId="77777777" w:rsidR="00540F7B" w:rsidRPr="0069700B" w:rsidRDefault="00540F7B" w:rsidP="00564755">
      <w:pPr>
        <w:autoSpaceDE w:val="0"/>
        <w:autoSpaceDN w:val="0"/>
        <w:adjustRightInd w:val="0"/>
        <w:spacing w:line="360" w:lineRule="auto"/>
        <w:ind w:left="567" w:right="567"/>
        <w:jc w:val="both"/>
        <w:rPr>
          <w:rFonts w:ascii="Palatino Linotype" w:hAnsi="Palatino Linotype" w:cs="Tahoma"/>
          <w:b/>
          <w:i/>
        </w:rPr>
      </w:pPr>
      <w:r w:rsidRPr="0069700B">
        <w:rPr>
          <w:rFonts w:ascii="Palatino Linotype" w:hAnsi="Palatino Linotype" w:cs="Tahoma"/>
          <w:b/>
          <w:i/>
        </w:rPr>
        <w:t>“RAZONES O MOTIVOS DE LA INCONFORMIDAD</w:t>
      </w:r>
    </w:p>
    <w:p w14:paraId="1A0BC4F3" w14:textId="7920083C" w:rsidR="00540F7B" w:rsidRPr="0069700B" w:rsidRDefault="00531764" w:rsidP="00564755">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No entrego la información completa solo su programa operativo anual faltaron los formatos PbRM 1a, PbRM 1b, PbRM 1c, PbRM 1d, PbRM 1e, PbRM 02a de todas las áreas del l Centro de Control de Confianza del Estado de México, que corresponden a acada actividad programada</w:t>
      </w:r>
      <w:r w:rsidR="00540F7B" w:rsidRPr="0069700B">
        <w:rPr>
          <w:rFonts w:ascii="Palatino Linotype" w:hAnsi="Palatino Linotype" w:cs="Tahoma"/>
          <w:i/>
        </w:rPr>
        <w:t>” (Sic.)</w:t>
      </w:r>
    </w:p>
    <w:p w14:paraId="1A0BC4F4" w14:textId="77777777" w:rsidR="00540F7B" w:rsidRPr="00C27C34" w:rsidRDefault="00540F7B" w:rsidP="00564755">
      <w:pPr>
        <w:spacing w:line="360" w:lineRule="auto"/>
        <w:jc w:val="both"/>
        <w:rPr>
          <w:rFonts w:ascii="Palatino Linotype" w:hAnsi="Palatino Linotype" w:cs="Tahoma"/>
          <w:b/>
          <w:sz w:val="24"/>
          <w:szCs w:val="24"/>
        </w:rPr>
      </w:pPr>
    </w:p>
    <w:p w14:paraId="1A0BC4F5" w14:textId="77777777" w:rsidR="00B31222" w:rsidRPr="003C5F9B" w:rsidRDefault="0061115C" w:rsidP="00564755">
      <w:pPr>
        <w:spacing w:line="360" w:lineRule="auto"/>
        <w:jc w:val="both"/>
        <w:rPr>
          <w:rFonts w:ascii="Palatino Linotype" w:eastAsia="Batang" w:hAnsi="Palatino Linotype" w:cs="Tahoma"/>
          <w:b/>
          <w:bCs/>
          <w:sz w:val="22"/>
          <w:szCs w:val="22"/>
        </w:rPr>
      </w:pPr>
      <w:r w:rsidRPr="003C5F9B">
        <w:rPr>
          <w:rFonts w:ascii="Palatino Linotype" w:hAnsi="Palatino Linotype" w:cs="Tahoma"/>
          <w:b/>
          <w:sz w:val="22"/>
          <w:szCs w:val="22"/>
        </w:rPr>
        <w:t>VII</w:t>
      </w:r>
      <w:r w:rsidR="00B31222" w:rsidRPr="003C5F9B">
        <w:rPr>
          <w:rFonts w:ascii="Palatino Linotype" w:hAnsi="Palatino Linotype" w:cs="Tahoma"/>
          <w:b/>
          <w:sz w:val="22"/>
          <w:szCs w:val="22"/>
        </w:rPr>
        <w:t xml:space="preserve">. </w:t>
      </w:r>
      <w:r w:rsidR="00B31222" w:rsidRPr="003C5F9B">
        <w:rPr>
          <w:rFonts w:ascii="Palatino Linotype" w:eastAsia="Batang" w:hAnsi="Palatino Linotype" w:cs="Tahoma"/>
          <w:b/>
          <w:bCs/>
          <w:sz w:val="22"/>
          <w:szCs w:val="22"/>
        </w:rPr>
        <w:t xml:space="preserve">Trámite del </w:t>
      </w:r>
      <w:r w:rsidR="00C459A9" w:rsidRPr="003C5F9B">
        <w:rPr>
          <w:rFonts w:ascii="Palatino Linotype" w:hAnsi="Palatino Linotype" w:cs="Tahoma"/>
          <w:b/>
          <w:sz w:val="22"/>
          <w:szCs w:val="22"/>
        </w:rPr>
        <w:t xml:space="preserve">Recurso de </w:t>
      </w:r>
      <w:r w:rsidR="00327FDE" w:rsidRPr="003C5F9B">
        <w:rPr>
          <w:rFonts w:ascii="Palatino Linotype" w:hAnsi="Palatino Linotype" w:cs="Tahoma"/>
          <w:b/>
          <w:sz w:val="22"/>
          <w:szCs w:val="22"/>
        </w:rPr>
        <w:t>Revisión</w:t>
      </w:r>
      <w:r w:rsidR="00327FDE" w:rsidRPr="003C5F9B">
        <w:rPr>
          <w:rFonts w:ascii="Palatino Linotype" w:eastAsia="Batang" w:hAnsi="Palatino Linotype" w:cs="Tahoma"/>
          <w:b/>
          <w:bCs/>
          <w:sz w:val="22"/>
          <w:szCs w:val="22"/>
        </w:rPr>
        <w:t xml:space="preserve"> ante</w:t>
      </w:r>
      <w:r w:rsidR="00B31222" w:rsidRPr="003C5F9B">
        <w:rPr>
          <w:rFonts w:ascii="Palatino Linotype" w:eastAsia="Batang" w:hAnsi="Palatino Linotype" w:cs="Tahoma"/>
          <w:b/>
          <w:bCs/>
          <w:sz w:val="22"/>
          <w:szCs w:val="22"/>
        </w:rPr>
        <w:t xml:space="preserve"> el Instituto</w:t>
      </w:r>
      <w:r w:rsidR="00E445DA" w:rsidRPr="003C5F9B">
        <w:rPr>
          <w:rFonts w:ascii="Palatino Linotype" w:eastAsia="Batang" w:hAnsi="Palatino Linotype" w:cs="Tahoma"/>
          <w:b/>
          <w:bCs/>
          <w:sz w:val="22"/>
          <w:szCs w:val="22"/>
        </w:rPr>
        <w:t>.</w:t>
      </w:r>
    </w:p>
    <w:p w14:paraId="1A0BC4F7" w14:textId="77777777" w:rsidR="00564755" w:rsidRPr="003C5F9B" w:rsidRDefault="00564755" w:rsidP="00564755">
      <w:pPr>
        <w:spacing w:line="360" w:lineRule="auto"/>
        <w:jc w:val="both"/>
        <w:rPr>
          <w:rFonts w:ascii="Palatino Linotype" w:eastAsia="Batang" w:hAnsi="Palatino Linotype" w:cs="Tahoma"/>
          <w:b/>
          <w:bCs/>
          <w:sz w:val="22"/>
          <w:szCs w:val="22"/>
        </w:rPr>
      </w:pPr>
    </w:p>
    <w:p w14:paraId="1A0BC4F8" w14:textId="55C111F3" w:rsidR="00844C51" w:rsidRPr="004E591C" w:rsidRDefault="00A90F9B" w:rsidP="00564755">
      <w:pPr>
        <w:spacing w:line="360" w:lineRule="auto"/>
        <w:jc w:val="both"/>
        <w:rPr>
          <w:rFonts w:ascii="Palatino Linotype" w:eastAsia="Batang" w:hAnsi="Palatino Linotype" w:cs="Tahoma"/>
          <w:bCs/>
          <w:sz w:val="22"/>
          <w:szCs w:val="24"/>
        </w:rPr>
      </w:pPr>
      <w:r w:rsidRPr="003C5F9B">
        <w:rPr>
          <w:rFonts w:ascii="Palatino Linotype" w:eastAsia="Batang" w:hAnsi="Palatino Linotype" w:cs="Tahoma"/>
          <w:b/>
          <w:bCs/>
          <w:sz w:val="22"/>
          <w:szCs w:val="22"/>
        </w:rPr>
        <w:t xml:space="preserve">a) </w:t>
      </w:r>
      <w:r w:rsidR="00844C51" w:rsidRPr="004E591C">
        <w:rPr>
          <w:rFonts w:ascii="Palatino Linotype" w:eastAsia="Batang" w:hAnsi="Palatino Linotype" w:cs="Tahoma"/>
          <w:b/>
          <w:bCs/>
          <w:sz w:val="22"/>
          <w:szCs w:val="24"/>
        </w:rPr>
        <w:t xml:space="preserve">Turno de los </w:t>
      </w:r>
      <w:r w:rsidR="00844C51" w:rsidRPr="004E591C">
        <w:rPr>
          <w:rFonts w:ascii="Palatino Linotype" w:hAnsi="Palatino Linotype" w:cs="Tahoma"/>
          <w:b/>
          <w:sz w:val="22"/>
          <w:szCs w:val="24"/>
        </w:rPr>
        <w:t>Recursos de Revisión</w:t>
      </w:r>
      <w:r w:rsidR="00844C51" w:rsidRPr="004E591C">
        <w:rPr>
          <w:rFonts w:ascii="Palatino Linotype" w:eastAsia="Batang" w:hAnsi="Palatino Linotype" w:cs="Tahoma"/>
          <w:b/>
          <w:bCs/>
          <w:sz w:val="22"/>
          <w:szCs w:val="24"/>
        </w:rPr>
        <w:t xml:space="preserve">. </w:t>
      </w:r>
      <w:r w:rsidR="00844C51" w:rsidRPr="004E591C">
        <w:rPr>
          <w:rFonts w:ascii="Palatino Linotype" w:eastAsia="Batang" w:hAnsi="Palatino Linotype" w:cs="Tahoma"/>
          <w:bCs/>
          <w:sz w:val="22"/>
          <w:szCs w:val="24"/>
        </w:rPr>
        <w:t xml:space="preserve">El </w:t>
      </w:r>
      <w:r w:rsidR="00531764">
        <w:rPr>
          <w:rFonts w:ascii="Palatino Linotype" w:eastAsia="Batang" w:hAnsi="Palatino Linotype" w:cs="Tahoma"/>
          <w:bCs/>
          <w:sz w:val="22"/>
          <w:szCs w:val="24"/>
        </w:rPr>
        <w:t>veinte de febrero</w:t>
      </w:r>
      <w:r w:rsidR="00844C51" w:rsidRPr="004E591C">
        <w:rPr>
          <w:rFonts w:ascii="Palatino Linotype" w:eastAsia="Batang" w:hAnsi="Palatino Linotype" w:cs="Tahoma"/>
          <w:bCs/>
          <w:sz w:val="22"/>
          <w:szCs w:val="24"/>
        </w:rPr>
        <w:t xml:space="preserve"> de dos mil </w:t>
      </w:r>
      <w:r w:rsidR="00531764">
        <w:rPr>
          <w:rFonts w:ascii="Palatino Linotype" w:eastAsia="Batang" w:hAnsi="Palatino Linotype" w:cs="Tahoma"/>
          <w:bCs/>
          <w:sz w:val="22"/>
          <w:szCs w:val="24"/>
        </w:rPr>
        <w:t>diecinueve</w:t>
      </w:r>
      <w:r w:rsidR="00844C51" w:rsidRPr="004E591C">
        <w:rPr>
          <w:rFonts w:ascii="Palatino Linotype" w:eastAsia="Batang" w:hAnsi="Palatino Linotype" w:cs="Tahoma"/>
          <w:bCs/>
          <w:sz w:val="22"/>
          <w:szCs w:val="24"/>
        </w:rPr>
        <w:t xml:space="preserve">, el </w:t>
      </w:r>
      <w:r w:rsidR="00844C51" w:rsidRPr="004E591C">
        <w:rPr>
          <w:rFonts w:ascii="Palatino Linotype" w:hAnsi="Palatino Linotype" w:cs="Tahoma"/>
          <w:sz w:val="22"/>
          <w:lang w:val="es-ES"/>
        </w:rPr>
        <w:t>Sistema de Acceso a la Información Mexiquense (SAIMEX),</w:t>
      </w:r>
      <w:r w:rsidR="00844C51" w:rsidRPr="004E591C">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1A0BC4F9" w14:textId="77777777" w:rsidR="00844C51" w:rsidRPr="004E591C" w:rsidRDefault="00844C51" w:rsidP="00564755">
      <w:pPr>
        <w:spacing w:line="360" w:lineRule="auto"/>
        <w:jc w:val="both"/>
        <w:rPr>
          <w:rFonts w:ascii="Palatino Linotype" w:eastAsia="Batang" w:hAnsi="Palatino Linotype" w:cs="Tahoma"/>
          <w:bCs/>
          <w:sz w:val="22"/>
          <w:szCs w:val="24"/>
        </w:rPr>
      </w:pPr>
    </w:p>
    <w:tbl>
      <w:tblPr>
        <w:tblStyle w:val="Tablaconcuadrcula"/>
        <w:tblW w:w="8926" w:type="dxa"/>
        <w:jc w:val="center"/>
        <w:tblLook w:val="04A0" w:firstRow="1" w:lastRow="0" w:firstColumn="1" w:lastColumn="0" w:noHBand="0" w:noVBand="1"/>
      </w:tblPr>
      <w:tblGrid>
        <w:gridCol w:w="2519"/>
        <w:gridCol w:w="2994"/>
        <w:gridCol w:w="3413"/>
      </w:tblGrid>
      <w:tr w:rsidR="00844C51" w:rsidRPr="004E591C" w14:paraId="1A0BC4FD" w14:textId="77777777" w:rsidTr="00844C51">
        <w:trPr>
          <w:trHeight w:val="283"/>
          <w:jc w:val="center"/>
        </w:trPr>
        <w:tc>
          <w:tcPr>
            <w:tcW w:w="2531" w:type="dxa"/>
            <w:shd w:val="clear" w:color="auto" w:fill="A6A6A6" w:themeFill="background1" w:themeFillShade="A6"/>
          </w:tcPr>
          <w:p w14:paraId="1A0BC4FA" w14:textId="77777777" w:rsidR="00844C51" w:rsidRPr="00827247" w:rsidRDefault="00844C51" w:rsidP="00564755">
            <w:pPr>
              <w:autoSpaceDE w:val="0"/>
              <w:autoSpaceDN w:val="0"/>
              <w:adjustRightInd w:val="0"/>
              <w:spacing w:line="360" w:lineRule="auto"/>
              <w:jc w:val="center"/>
              <w:rPr>
                <w:rFonts w:ascii="Palatino Linotype" w:hAnsi="Palatino Linotype" w:cs="Tahoma"/>
                <w:b/>
                <w:sz w:val="22"/>
                <w:szCs w:val="22"/>
              </w:rPr>
            </w:pPr>
            <w:r w:rsidRPr="00827247">
              <w:rPr>
                <w:rFonts w:ascii="Palatino Linotype" w:hAnsi="Palatino Linotype" w:cs="Tahoma"/>
                <w:b/>
                <w:sz w:val="22"/>
                <w:szCs w:val="22"/>
              </w:rPr>
              <w:t>Solicitud</w:t>
            </w:r>
          </w:p>
        </w:tc>
        <w:tc>
          <w:tcPr>
            <w:tcW w:w="2641" w:type="dxa"/>
            <w:shd w:val="clear" w:color="auto" w:fill="A6A6A6" w:themeFill="background1" w:themeFillShade="A6"/>
          </w:tcPr>
          <w:p w14:paraId="1A0BC4FB" w14:textId="77777777" w:rsidR="00844C51" w:rsidRPr="00827247" w:rsidRDefault="00844C51" w:rsidP="00564755">
            <w:pPr>
              <w:autoSpaceDE w:val="0"/>
              <w:autoSpaceDN w:val="0"/>
              <w:adjustRightInd w:val="0"/>
              <w:spacing w:line="360" w:lineRule="auto"/>
              <w:jc w:val="center"/>
              <w:rPr>
                <w:rFonts w:ascii="Palatino Linotype" w:hAnsi="Palatino Linotype" w:cs="Tahoma"/>
                <w:b/>
                <w:sz w:val="22"/>
                <w:szCs w:val="22"/>
              </w:rPr>
            </w:pPr>
            <w:r w:rsidRPr="00827247">
              <w:rPr>
                <w:rFonts w:ascii="Palatino Linotype" w:hAnsi="Palatino Linotype" w:cs="Tahoma"/>
                <w:b/>
                <w:sz w:val="22"/>
                <w:szCs w:val="22"/>
              </w:rPr>
              <w:t>Recursos</w:t>
            </w:r>
          </w:p>
        </w:tc>
        <w:tc>
          <w:tcPr>
            <w:tcW w:w="3754" w:type="dxa"/>
            <w:shd w:val="clear" w:color="auto" w:fill="A6A6A6" w:themeFill="background1" w:themeFillShade="A6"/>
          </w:tcPr>
          <w:p w14:paraId="1A0BC4FC" w14:textId="77777777" w:rsidR="00844C51" w:rsidRPr="00827247" w:rsidRDefault="00844C51" w:rsidP="00564755">
            <w:pPr>
              <w:autoSpaceDE w:val="0"/>
              <w:autoSpaceDN w:val="0"/>
              <w:adjustRightInd w:val="0"/>
              <w:spacing w:line="360" w:lineRule="auto"/>
              <w:jc w:val="center"/>
              <w:rPr>
                <w:rFonts w:ascii="Palatino Linotype" w:hAnsi="Palatino Linotype" w:cs="Tahoma"/>
                <w:b/>
                <w:sz w:val="22"/>
                <w:szCs w:val="22"/>
              </w:rPr>
            </w:pPr>
            <w:r w:rsidRPr="00827247">
              <w:rPr>
                <w:rFonts w:ascii="Palatino Linotype" w:hAnsi="Palatino Linotype" w:cs="Tahoma"/>
                <w:b/>
                <w:sz w:val="22"/>
                <w:szCs w:val="22"/>
              </w:rPr>
              <w:t>Comisionado</w:t>
            </w:r>
          </w:p>
        </w:tc>
      </w:tr>
      <w:tr w:rsidR="00844C51" w:rsidRPr="004E591C" w14:paraId="1A0BC501" w14:textId="77777777" w:rsidTr="00844C51">
        <w:trPr>
          <w:trHeight w:val="302"/>
          <w:jc w:val="center"/>
        </w:trPr>
        <w:tc>
          <w:tcPr>
            <w:tcW w:w="2531" w:type="dxa"/>
          </w:tcPr>
          <w:p w14:paraId="1A0BC4FE" w14:textId="2B668963" w:rsidR="00844C51" w:rsidRPr="00827247" w:rsidRDefault="00C776C8" w:rsidP="00564755">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bCs/>
                <w:sz w:val="22"/>
                <w:szCs w:val="22"/>
                <w:lang w:val="es-MX"/>
              </w:rPr>
              <w:t>00002/CCCEM/IP/2019</w:t>
            </w:r>
          </w:p>
        </w:tc>
        <w:tc>
          <w:tcPr>
            <w:tcW w:w="2641" w:type="dxa"/>
          </w:tcPr>
          <w:p w14:paraId="1A0BC4FF" w14:textId="480DAB62" w:rsidR="00844C51" w:rsidRPr="00827247" w:rsidRDefault="00844C51" w:rsidP="009D4587">
            <w:pPr>
              <w:autoSpaceDE w:val="0"/>
              <w:autoSpaceDN w:val="0"/>
              <w:adjustRightInd w:val="0"/>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0</w:t>
            </w:r>
            <w:r w:rsidR="00C776C8">
              <w:rPr>
                <w:rFonts w:ascii="Palatino Linotype" w:eastAsia="Calibri" w:hAnsi="Palatino Linotype" w:cs="Tahoma"/>
                <w:bCs/>
                <w:sz w:val="22"/>
                <w:szCs w:val="22"/>
                <w:lang w:eastAsia="en-US"/>
              </w:rPr>
              <w:t>0087</w:t>
            </w:r>
            <w:r w:rsidR="009D4587">
              <w:rPr>
                <w:rFonts w:ascii="Palatino Linotype" w:eastAsia="Calibri" w:hAnsi="Palatino Linotype" w:cs="Tahoma"/>
                <w:bCs/>
                <w:sz w:val="22"/>
                <w:szCs w:val="22"/>
                <w:lang w:eastAsia="en-US"/>
              </w:rPr>
              <w:t>2</w:t>
            </w:r>
            <w:r w:rsidR="00C776C8">
              <w:rPr>
                <w:rFonts w:ascii="Palatino Linotype" w:eastAsia="Calibri" w:hAnsi="Palatino Linotype" w:cs="Tahoma"/>
                <w:bCs/>
                <w:sz w:val="22"/>
                <w:szCs w:val="22"/>
                <w:lang w:eastAsia="en-US"/>
              </w:rPr>
              <w:t>/INFOEM/IP/RR/2019</w:t>
            </w:r>
          </w:p>
        </w:tc>
        <w:tc>
          <w:tcPr>
            <w:tcW w:w="3754" w:type="dxa"/>
          </w:tcPr>
          <w:p w14:paraId="1A0BC500" w14:textId="193C6A5D" w:rsidR="00844C51" w:rsidRPr="00827247" w:rsidRDefault="00396A2C" w:rsidP="00396A2C">
            <w:pPr>
              <w:autoSpaceDE w:val="0"/>
              <w:autoSpaceDN w:val="0"/>
              <w:adjustRightInd w:val="0"/>
              <w:spacing w:line="360" w:lineRule="auto"/>
              <w:jc w:val="both"/>
              <w:rPr>
                <w:rFonts w:ascii="Palatino Linotype" w:hAnsi="Palatino Linotype" w:cs="Tahoma"/>
                <w:sz w:val="22"/>
                <w:szCs w:val="22"/>
              </w:rPr>
            </w:pPr>
            <w:r>
              <w:rPr>
                <w:rFonts w:ascii="Palatino Linotype" w:eastAsia="Calibri" w:hAnsi="Palatino Linotype" w:cs="Tahoma"/>
                <w:sz w:val="22"/>
                <w:szCs w:val="22"/>
              </w:rPr>
              <w:t>Eva Abaid Yapur</w:t>
            </w:r>
            <w:r w:rsidRPr="00827247">
              <w:rPr>
                <w:rFonts w:ascii="Palatino Linotype" w:hAnsi="Palatino Linotype" w:cs="Tahoma"/>
                <w:sz w:val="22"/>
                <w:szCs w:val="22"/>
              </w:rPr>
              <w:t xml:space="preserve"> </w:t>
            </w:r>
          </w:p>
        </w:tc>
      </w:tr>
      <w:tr w:rsidR="00844C51" w:rsidRPr="004E591C" w14:paraId="1A0BC505" w14:textId="77777777" w:rsidTr="009D4587">
        <w:trPr>
          <w:trHeight w:val="268"/>
          <w:jc w:val="center"/>
        </w:trPr>
        <w:tc>
          <w:tcPr>
            <w:tcW w:w="2531" w:type="dxa"/>
          </w:tcPr>
          <w:p w14:paraId="1A0BC502" w14:textId="27F1F6AD" w:rsidR="00844C51" w:rsidRPr="00827247" w:rsidRDefault="00C776C8" w:rsidP="00564755">
            <w:pPr>
              <w:autoSpaceDE w:val="0"/>
              <w:autoSpaceDN w:val="0"/>
              <w:adjustRightInd w:val="0"/>
              <w:spacing w:line="360" w:lineRule="auto"/>
              <w:jc w:val="both"/>
              <w:rPr>
                <w:rFonts w:ascii="Palatino Linotype" w:hAnsi="Palatino Linotype" w:cs="Tahoma"/>
                <w:b/>
                <w:bCs/>
                <w:sz w:val="22"/>
                <w:szCs w:val="22"/>
              </w:rPr>
            </w:pPr>
            <w:r>
              <w:rPr>
                <w:rStyle w:val="Hipervnculo"/>
                <w:rFonts w:ascii="Palatino Linotype" w:hAnsi="Palatino Linotype" w:cs="Tahoma"/>
                <w:b/>
                <w:bCs/>
                <w:color w:val="auto"/>
                <w:sz w:val="22"/>
                <w:szCs w:val="22"/>
                <w:u w:val="none"/>
              </w:rPr>
              <w:t>00003/CCCEM/IP/2019</w:t>
            </w:r>
          </w:p>
        </w:tc>
        <w:tc>
          <w:tcPr>
            <w:tcW w:w="2641" w:type="dxa"/>
          </w:tcPr>
          <w:p w14:paraId="1A0BC503" w14:textId="4C76E5CE" w:rsidR="00844C51" w:rsidRPr="00827247" w:rsidRDefault="00844C51" w:rsidP="009D4587">
            <w:pPr>
              <w:autoSpaceDE w:val="0"/>
              <w:autoSpaceDN w:val="0"/>
              <w:adjustRightInd w:val="0"/>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0</w:t>
            </w:r>
            <w:r w:rsidR="00C776C8">
              <w:rPr>
                <w:rFonts w:ascii="Palatino Linotype" w:eastAsia="Calibri" w:hAnsi="Palatino Linotype" w:cs="Tahoma"/>
                <w:bCs/>
                <w:sz w:val="22"/>
                <w:szCs w:val="22"/>
                <w:lang w:eastAsia="en-US"/>
              </w:rPr>
              <w:t>0087</w:t>
            </w:r>
            <w:r w:rsidR="009D4587">
              <w:rPr>
                <w:rFonts w:ascii="Palatino Linotype" w:eastAsia="Calibri" w:hAnsi="Palatino Linotype" w:cs="Tahoma"/>
                <w:bCs/>
                <w:sz w:val="22"/>
                <w:szCs w:val="22"/>
                <w:lang w:eastAsia="en-US"/>
              </w:rPr>
              <w:t>1</w:t>
            </w:r>
            <w:r w:rsidR="00C776C8">
              <w:rPr>
                <w:rFonts w:ascii="Palatino Linotype" w:eastAsia="Calibri" w:hAnsi="Palatino Linotype" w:cs="Tahoma"/>
                <w:bCs/>
                <w:sz w:val="22"/>
                <w:szCs w:val="22"/>
                <w:lang w:eastAsia="en-US"/>
              </w:rPr>
              <w:t>/INFOEM/IP/RR/2019</w:t>
            </w:r>
          </w:p>
        </w:tc>
        <w:tc>
          <w:tcPr>
            <w:tcW w:w="3754" w:type="dxa"/>
          </w:tcPr>
          <w:p w14:paraId="1A0BC504" w14:textId="3DC931ED" w:rsidR="00844C51" w:rsidRPr="00827247" w:rsidRDefault="00396A2C" w:rsidP="00564755">
            <w:pPr>
              <w:autoSpaceDE w:val="0"/>
              <w:autoSpaceDN w:val="0"/>
              <w:adjustRightInd w:val="0"/>
              <w:spacing w:line="360" w:lineRule="auto"/>
              <w:jc w:val="both"/>
              <w:rPr>
                <w:rFonts w:ascii="Palatino Linotype" w:hAnsi="Palatino Linotype" w:cs="Tahoma"/>
                <w:sz w:val="22"/>
                <w:szCs w:val="22"/>
              </w:rPr>
            </w:pPr>
            <w:r w:rsidRPr="00827247">
              <w:rPr>
                <w:rFonts w:ascii="Palatino Linotype" w:hAnsi="Palatino Linotype" w:cs="Tahoma"/>
                <w:sz w:val="22"/>
                <w:szCs w:val="22"/>
              </w:rPr>
              <w:t>Luis Gustavo Parra Noriega</w:t>
            </w:r>
          </w:p>
        </w:tc>
      </w:tr>
    </w:tbl>
    <w:p w14:paraId="1A0BC506" w14:textId="77777777" w:rsidR="00986A7D" w:rsidRPr="003C5F9B" w:rsidRDefault="00986A7D" w:rsidP="00564755">
      <w:pPr>
        <w:spacing w:line="360" w:lineRule="auto"/>
        <w:jc w:val="both"/>
        <w:rPr>
          <w:rFonts w:ascii="Palatino Linotype" w:eastAsia="Batang" w:hAnsi="Palatino Linotype" w:cs="Tahoma"/>
          <w:bCs/>
          <w:sz w:val="22"/>
          <w:szCs w:val="22"/>
        </w:rPr>
      </w:pPr>
    </w:p>
    <w:p w14:paraId="1A0BC507" w14:textId="15E0D94A" w:rsidR="00844C51" w:rsidRPr="004E591C" w:rsidRDefault="00844C51" w:rsidP="00564755">
      <w:pPr>
        <w:spacing w:line="360" w:lineRule="auto"/>
        <w:jc w:val="both"/>
        <w:rPr>
          <w:rFonts w:ascii="Palatino Linotype" w:hAnsi="Palatino Linotype" w:cs="Tahoma"/>
          <w:bCs/>
          <w:sz w:val="22"/>
          <w:szCs w:val="24"/>
        </w:rPr>
      </w:pPr>
      <w:r w:rsidRPr="004E591C">
        <w:rPr>
          <w:rFonts w:ascii="Palatino Linotype" w:eastAsia="Batang" w:hAnsi="Palatino Linotype" w:cs="Tahoma"/>
          <w:b/>
          <w:bCs/>
          <w:sz w:val="22"/>
          <w:szCs w:val="24"/>
        </w:rPr>
        <w:t xml:space="preserve">b) Admisión de los </w:t>
      </w:r>
      <w:r w:rsidRPr="004E591C">
        <w:rPr>
          <w:rFonts w:ascii="Palatino Linotype" w:hAnsi="Palatino Linotype" w:cs="Tahoma"/>
          <w:b/>
          <w:sz w:val="22"/>
          <w:szCs w:val="24"/>
        </w:rPr>
        <w:t>Recursos de Revisión</w:t>
      </w:r>
      <w:r w:rsidRPr="004E591C">
        <w:rPr>
          <w:rFonts w:ascii="Palatino Linotype" w:eastAsia="Batang" w:hAnsi="Palatino Linotype" w:cs="Tahoma"/>
          <w:b/>
          <w:bCs/>
          <w:sz w:val="22"/>
          <w:szCs w:val="24"/>
          <w:lang w:val="es-ES_tradnl"/>
        </w:rPr>
        <w:t xml:space="preserve">. </w:t>
      </w:r>
      <w:r w:rsidRPr="004E591C">
        <w:rPr>
          <w:rFonts w:ascii="Palatino Linotype" w:eastAsia="Batang" w:hAnsi="Palatino Linotype" w:cs="Tahoma"/>
          <w:bCs/>
          <w:sz w:val="22"/>
          <w:szCs w:val="24"/>
          <w:lang w:val="es-ES_tradnl"/>
        </w:rPr>
        <w:t xml:space="preserve">El </w:t>
      </w:r>
      <w:r w:rsidR="009D4587">
        <w:rPr>
          <w:rFonts w:ascii="Palatino Linotype" w:eastAsia="Batang" w:hAnsi="Palatino Linotype" w:cs="Tahoma"/>
          <w:bCs/>
          <w:sz w:val="22"/>
          <w:szCs w:val="24"/>
          <w:lang w:val="es-ES_tradnl"/>
        </w:rPr>
        <w:t>veintiséis de febrero</w:t>
      </w:r>
      <w:r w:rsidRPr="004E591C">
        <w:rPr>
          <w:rFonts w:ascii="Palatino Linotype" w:eastAsia="Batang" w:hAnsi="Palatino Linotype" w:cs="Tahoma"/>
          <w:bCs/>
          <w:sz w:val="22"/>
          <w:szCs w:val="24"/>
          <w:lang w:val="es-ES_tradnl"/>
        </w:rPr>
        <w:t xml:space="preserve"> de dos mil </w:t>
      </w:r>
      <w:r w:rsidR="00396A2C">
        <w:rPr>
          <w:rFonts w:ascii="Palatino Linotype" w:eastAsia="Batang" w:hAnsi="Palatino Linotype" w:cs="Tahoma"/>
          <w:bCs/>
          <w:sz w:val="22"/>
          <w:szCs w:val="24"/>
          <w:lang w:val="es-ES_tradnl"/>
        </w:rPr>
        <w:t>diecinueve</w:t>
      </w:r>
      <w:r w:rsidRPr="004E591C">
        <w:rPr>
          <w:rFonts w:ascii="Palatino Linotype" w:eastAsia="Batang" w:hAnsi="Palatino Linotype" w:cs="Tahoma"/>
          <w:bCs/>
          <w:sz w:val="22"/>
          <w:szCs w:val="24"/>
          <w:lang w:val="es-ES_tradnl"/>
        </w:rPr>
        <w:t xml:space="preserve">, </w:t>
      </w:r>
      <w:r w:rsidRPr="004E591C">
        <w:rPr>
          <w:rFonts w:ascii="Palatino Linotype" w:hAnsi="Palatino Linotype" w:cs="Tahoma"/>
          <w:sz w:val="22"/>
          <w:szCs w:val="24"/>
        </w:rPr>
        <w:t>se</w:t>
      </w:r>
      <w:r w:rsidRPr="004E591C">
        <w:rPr>
          <w:rFonts w:ascii="Palatino Linotype" w:eastAsia="Calibri" w:hAnsi="Palatino Linotype" w:cs="Tahoma"/>
          <w:sz w:val="22"/>
          <w:szCs w:val="24"/>
          <w:lang w:eastAsia="en-US"/>
        </w:rPr>
        <w:t xml:space="preserve"> acordó la admisión de los </w:t>
      </w:r>
      <w:r w:rsidR="009D4587">
        <w:rPr>
          <w:rFonts w:ascii="Palatino Linotype" w:eastAsia="Calibri" w:hAnsi="Palatino Linotype" w:cs="Tahoma"/>
          <w:sz w:val="22"/>
          <w:szCs w:val="24"/>
          <w:lang w:eastAsia="en-US"/>
        </w:rPr>
        <w:t>dos</w:t>
      </w:r>
      <w:r w:rsidRPr="004E591C">
        <w:rPr>
          <w:rFonts w:ascii="Palatino Linotype" w:eastAsia="Calibri" w:hAnsi="Palatino Linotype" w:cs="Tahoma"/>
          <w:sz w:val="22"/>
          <w:szCs w:val="24"/>
          <w:lang w:eastAsia="en-US"/>
        </w:rPr>
        <w:t xml:space="preserve"> medios de impugnación con número </w:t>
      </w:r>
      <w:r w:rsidRPr="004E591C">
        <w:rPr>
          <w:rFonts w:ascii="Palatino Linotype" w:hAnsi="Palatino Linotype" w:cs="Tahoma"/>
          <w:sz w:val="22"/>
          <w:szCs w:val="24"/>
        </w:rPr>
        <w:t xml:space="preserve"> </w:t>
      </w:r>
      <w:r w:rsidRPr="00844C51">
        <w:rPr>
          <w:rFonts w:ascii="Palatino Linotype" w:hAnsi="Palatino Linotype" w:cs="Tahoma"/>
          <w:b/>
          <w:bCs/>
          <w:color w:val="0D0D0D" w:themeColor="text1" w:themeTint="F2"/>
          <w:sz w:val="22"/>
          <w:szCs w:val="22"/>
        </w:rPr>
        <w:t>0</w:t>
      </w:r>
      <w:r w:rsidR="00C776C8">
        <w:rPr>
          <w:rFonts w:ascii="Palatino Linotype" w:hAnsi="Palatino Linotype" w:cs="Tahoma"/>
          <w:b/>
          <w:bCs/>
          <w:color w:val="0D0D0D" w:themeColor="text1" w:themeTint="F2"/>
          <w:sz w:val="22"/>
          <w:szCs w:val="22"/>
        </w:rPr>
        <w:t>00871/INFOEM/IP/RR/2019</w:t>
      </w:r>
      <w:r>
        <w:rPr>
          <w:rFonts w:ascii="Palatino Linotype" w:hAnsi="Palatino Linotype" w:cs="Tahoma"/>
          <w:b/>
          <w:bCs/>
          <w:color w:val="0D0D0D" w:themeColor="text1" w:themeTint="F2"/>
          <w:sz w:val="22"/>
          <w:szCs w:val="22"/>
        </w:rPr>
        <w:t xml:space="preserve"> </w:t>
      </w:r>
      <w:r w:rsidRPr="006C415A">
        <w:rPr>
          <w:rFonts w:ascii="Palatino Linotype" w:hAnsi="Palatino Linotype" w:cs="Tahoma"/>
          <w:bCs/>
          <w:color w:val="0D0D0D" w:themeColor="text1" w:themeTint="F2"/>
          <w:sz w:val="22"/>
          <w:szCs w:val="22"/>
        </w:rPr>
        <w:t>y</w:t>
      </w:r>
      <w:r>
        <w:rPr>
          <w:rFonts w:ascii="Palatino Linotype" w:hAnsi="Palatino Linotype" w:cs="Tahoma"/>
          <w:b/>
          <w:bCs/>
          <w:color w:val="0D0D0D" w:themeColor="text1" w:themeTint="F2"/>
          <w:sz w:val="22"/>
          <w:szCs w:val="22"/>
        </w:rPr>
        <w:t xml:space="preserve"> </w:t>
      </w:r>
      <w:r w:rsidRPr="00844C51">
        <w:rPr>
          <w:rFonts w:ascii="Palatino Linotype" w:hAnsi="Palatino Linotype" w:cs="Tahoma"/>
          <w:b/>
          <w:bCs/>
          <w:color w:val="0D0D0D" w:themeColor="text1" w:themeTint="F2"/>
          <w:sz w:val="22"/>
          <w:szCs w:val="22"/>
        </w:rPr>
        <w:t>0</w:t>
      </w:r>
      <w:r w:rsidR="00C776C8">
        <w:rPr>
          <w:rFonts w:ascii="Palatino Linotype" w:hAnsi="Palatino Linotype" w:cs="Tahoma"/>
          <w:b/>
          <w:bCs/>
          <w:color w:val="0D0D0D" w:themeColor="text1" w:themeTint="F2"/>
          <w:sz w:val="22"/>
          <w:szCs w:val="22"/>
        </w:rPr>
        <w:t>00872/INFOEM/IP/RR/2019</w:t>
      </w:r>
      <w:r>
        <w:rPr>
          <w:rFonts w:ascii="Palatino Linotype" w:hAnsi="Palatino Linotype" w:cs="Tahoma"/>
          <w:b/>
          <w:bCs/>
          <w:color w:val="0D0D0D" w:themeColor="text1" w:themeTint="F2"/>
          <w:sz w:val="22"/>
          <w:szCs w:val="22"/>
        </w:rPr>
        <w:t xml:space="preserve"> </w:t>
      </w:r>
      <w:r w:rsidRPr="004E591C">
        <w:rPr>
          <w:rFonts w:ascii="Palatino Linotype" w:hAnsi="Palatino Linotype" w:cs="Tahoma"/>
          <w:sz w:val="22"/>
          <w:szCs w:val="24"/>
        </w:rPr>
        <w:t xml:space="preserve">interpuestos por </w:t>
      </w:r>
      <w:r>
        <w:rPr>
          <w:rFonts w:ascii="Palatino Linotype" w:hAnsi="Palatino Linotype" w:cs="Tahoma"/>
          <w:sz w:val="22"/>
          <w:szCs w:val="24"/>
        </w:rPr>
        <w:t>la</w:t>
      </w:r>
      <w:r w:rsidRPr="004E591C">
        <w:rPr>
          <w:rFonts w:ascii="Palatino Linotype" w:hAnsi="Palatino Linotype" w:cs="Tahoma"/>
          <w:sz w:val="22"/>
          <w:szCs w:val="24"/>
        </w:rPr>
        <w:t xml:space="preserve"> Recurrente en contra </w:t>
      </w:r>
      <w:r>
        <w:rPr>
          <w:rFonts w:ascii="Palatino Linotype" w:hAnsi="Palatino Linotype" w:cs="Tahoma"/>
          <w:sz w:val="22"/>
          <w:szCs w:val="24"/>
        </w:rPr>
        <w:t xml:space="preserve">del </w:t>
      </w:r>
      <w:r w:rsidR="00C776C8">
        <w:rPr>
          <w:rFonts w:ascii="Palatino Linotype" w:hAnsi="Palatino Linotype" w:cs="Tahoma"/>
          <w:sz w:val="22"/>
          <w:szCs w:val="24"/>
        </w:rPr>
        <w:t>Centro de Control de Confianza del Estado de México</w:t>
      </w:r>
      <w:r w:rsidRPr="004E591C">
        <w:rPr>
          <w:rFonts w:ascii="Palatino Linotype" w:hAnsi="Palatino Linotype" w:cs="Tahoma"/>
          <w:sz w:val="22"/>
          <w:szCs w:val="24"/>
        </w:rPr>
        <w:t>, en términos del artículo 185, fracciones I y II</w:t>
      </w:r>
      <w:r w:rsidR="006D1A5B">
        <w:rPr>
          <w:rFonts w:ascii="Palatino Linotype" w:hAnsi="Palatino Linotype" w:cs="Tahoma"/>
          <w:sz w:val="22"/>
          <w:szCs w:val="24"/>
        </w:rPr>
        <w:t>,</w:t>
      </w:r>
      <w:r w:rsidRPr="004E591C">
        <w:rPr>
          <w:rFonts w:ascii="Palatino Linotype" w:hAnsi="Palatino Linotype" w:cs="Tahoma"/>
          <w:sz w:val="22"/>
          <w:szCs w:val="24"/>
        </w:rPr>
        <w:t xml:space="preserve"> de la </w:t>
      </w:r>
      <w:r w:rsidRPr="004E591C">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4E591C">
        <w:rPr>
          <w:rFonts w:ascii="Palatino Linotype" w:hAnsi="Palatino Linotype" w:cs="Tahoma"/>
          <w:sz w:val="22"/>
          <w:lang w:val="es-ES"/>
        </w:rPr>
        <w:t>Sistema de Acceso a la Información Mexiquense (SAIMEX)</w:t>
      </w:r>
      <w:r w:rsidRPr="004E591C">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1A0BC508" w14:textId="77777777" w:rsidR="00844C51" w:rsidRPr="004E591C" w:rsidRDefault="00844C51" w:rsidP="00564755">
      <w:pPr>
        <w:spacing w:line="360" w:lineRule="auto"/>
        <w:jc w:val="both"/>
        <w:rPr>
          <w:rFonts w:ascii="Palatino Linotype" w:hAnsi="Palatino Linotype" w:cs="Tahoma"/>
          <w:b/>
          <w:sz w:val="22"/>
          <w:szCs w:val="24"/>
        </w:rPr>
      </w:pPr>
    </w:p>
    <w:p w14:paraId="0BB65E87" w14:textId="77777777" w:rsidR="00116897" w:rsidRPr="00827247" w:rsidRDefault="00844C51" w:rsidP="00116897">
      <w:pPr>
        <w:widowControl w:val="0"/>
        <w:spacing w:line="360" w:lineRule="auto"/>
        <w:jc w:val="both"/>
        <w:rPr>
          <w:rFonts w:ascii="Palatino Linotype" w:hAnsi="Palatino Linotype" w:cs="Tahoma"/>
          <w:bCs/>
          <w:iCs/>
          <w:sz w:val="22"/>
          <w:szCs w:val="24"/>
          <w:lang w:val="es-ES_tradnl"/>
        </w:rPr>
      </w:pPr>
      <w:r w:rsidRPr="004E591C">
        <w:rPr>
          <w:rFonts w:ascii="Palatino Linotype" w:hAnsi="Palatino Linotype" w:cs="Tahoma"/>
          <w:b/>
          <w:sz w:val="22"/>
          <w:szCs w:val="24"/>
        </w:rPr>
        <w:t xml:space="preserve">c) </w:t>
      </w:r>
      <w:r w:rsidR="00116897" w:rsidRPr="004E591C">
        <w:rPr>
          <w:rFonts w:ascii="Palatino Linotype" w:hAnsi="Palatino Linotype" w:cs="Tahoma"/>
          <w:b/>
          <w:sz w:val="22"/>
          <w:szCs w:val="24"/>
        </w:rPr>
        <w:t>Acumulación de los asuntos.</w:t>
      </w:r>
      <w:r w:rsidR="00116897" w:rsidRPr="004E591C">
        <w:rPr>
          <w:rFonts w:ascii="Palatino Linotype" w:hAnsi="Palatino Linotype" w:cs="Tahoma"/>
          <w:sz w:val="22"/>
          <w:szCs w:val="24"/>
        </w:rPr>
        <w:t xml:space="preserve"> El </w:t>
      </w:r>
      <w:r w:rsidR="00116897">
        <w:rPr>
          <w:rFonts w:ascii="Palatino Linotype" w:hAnsi="Palatino Linotype" w:cs="Tahoma"/>
          <w:sz w:val="22"/>
          <w:szCs w:val="24"/>
        </w:rPr>
        <w:t>veintisiete de febrero</w:t>
      </w:r>
      <w:r w:rsidR="00116897" w:rsidRPr="004E591C">
        <w:rPr>
          <w:rFonts w:ascii="Palatino Linotype" w:hAnsi="Palatino Linotype" w:cs="Tahoma"/>
          <w:sz w:val="22"/>
          <w:szCs w:val="24"/>
        </w:rPr>
        <w:t xml:space="preserve"> de dos mil </w:t>
      </w:r>
      <w:r w:rsidR="00116897">
        <w:rPr>
          <w:rFonts w:ascii="Palatino Linotype" w:hAnsi="Palatino Linotype" w:cs="Tahoma"/>
          <w:sz w:val="22"/>
          <w:szCs w:val="24"/>
        </w:rPr>
        <w:t>diecinueve</w:t>
      </w:r>
      <w:r w:rsidR="00116897" w:rsidRPr="004E591C">
        <w:rPr>
          <w:rFonts w:ascii="Palatino Linotype" w:hAnsi="Palatino Linotype" w:cs="Tahoma"/>
          <w:sz w:val="22"/>
          <w:szCs w:val="24"/>
        </w:rPr>
        <w:t xml:space="preserve">, el Pleno del Instituto de Transparencia, Acceso a la Información Pública y Protección de Datos Personales del Estado de México y Municipios, durante su </w:t>
      </w:r>
      <w:r w:rsidR="00116897">
        <w:rPr>
          <w:rFonts w:ascii="Palatino Linotype" w:hAnsi="Palatino Linotype" w:cs="Tahoma"/>
          <w:sz w:val="22"/>
          <w:szCs w:val="24"/>
        </w:rPr>
        <w:t>Octava Sesión</w:t>
      </w:r>
      <w:r w:rsidR="00116897" w:rsidRPr="004E591C">
        <w:rPr>
          <w:rFonts w:ascii="Palatino Linotype" w:hAnsi="Palatino Linotype" w:cs="Tahoma"/>
          <w:sz w:val="22"/>
          <w:szCs w:val="24"/>
        </w:rPr>
        <w:t xml:space="preserve">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116897" w:rsidRPr="004E591C">
        <w:rPr>
          <w:rFonts w:ascii="Palatino Linotype" w:hAnsi="Palatino Linotype" w:cs="Tahoma"/>
          <w:b/>
          <w:sz w:val="22"/>
          <w:szCs w:val="24"/>
        </w:rPr>
        <w:t>acordó</w:t>
      </w:r>
      <w:r w:rsidR="00116897" w:rsidRPr="004E591C">
        <w:rPr>
          <w:rFonts w:ascii="Palatino Linotype" w:hAnsi="Palatino Linotype" w:cs="Tahoma"/>
          <w:sz w:val="22"/>
          <w:szCs w:val="24"/>
        </w:rPr>
        <w:t xml:space="preserve"> la acumulación </w:t>
      </w:r>
      <w:r w:rsidR="00116897">
        <w:rPr>
          <w:rFonts w:ascii="Palatino Linotype" w:hAnsi="Palatino Linotype" w:cs="Tahoma"/>
          <w:sz w:val="22"/>
          <w:szCs w:val="24"/>
        </w:rPr>
        <w:t>del Recurso de Revisión</w:t>
      </w:r>
      <w:r w:rsidR="00116897" w:rsidRPr="004E591C">
        <w:rPr>
          <w:rFonts w:ascii="Palatino Linotype" w:hAnsi="Palatino Linotype" w:cs="Tahoma"/>
          <w:sz w:val="22"/>
          <w:szCs w:val="24"/>
        </w:rPr>
        <w:t xml:space="preserve"> </w:t>
      </w:r>
      <w:r w:rsidR="00116897" w:rsidRPr="00706B9B">
        <w:rPr>
          <w:rFonts w:ascii="Palatino Linotype" w:hAnsi="Palatino Linotype" w:cs="Tahoma"/>
          <w:b/>
          <w:bCs/>
          <w:color w:val="0D0D0D" w:themeColor="text1" w:themeTint="F2"/>
          <w:sz w:val="22"/>
          <w:szCs w:val="24"/>
        </w:rPr>
        <w:t>0</w:t>
      </w:r>
      <w:r w:rsidR="00116897">
        <w:rPr>
          <w:rFonts w:ascii="Palatino Linotype" w:hAnsi="Palatino Linotype" w:cs="Tahoma"/>
          <w:b/>
          <w:bCs/>
          <w:color w:val="0D0D0D" w:themeColor="text1" w:themeTint="F2"/>
          <w:sz w:val="22"/>
          <w:szCs w:val="24"/>
        </w:rPr>
        <w:t>00872/INFOEM/IP/RR/2019</w:t>
      </w:r>
      <w:r w:rsidR="00116897" w:rsidRPr="00706B9B">
        <w:rPr>
          <w:rFonts w:ascii="Palatino Linotype" w:hAnsi="Palatino Linotype" w:cs="Tahoma"/>
          <w:b/>
          <w:bCs/>
          <w:color w:val="0D0D0D" w:themeColor="text1" w:themeTint="F2"/>
          <w:sz w:val="22"/>
          <w:szCs w:val="24"/>
        </w:rPr>
        <w:t xml:space="preserve">, </w:t>
      </w:r>
      <w:r w:rsidR="00116897" w:rsidRPr="004E591C">
        <w:rPr>
          <w:rFonts w:ascii="Palatino Linotype" w:hAnsi="Palatino Linotype" w:cs="Tahoma"/>
          <w:sz w:val="22"/>
          <w:szCs w:val="24"/>
        </w:rPr>
        <w:t xml:space="preserve">al diverso </w:t>
      </w:r>
      <w:r w:rsidR="00116897" w:rsidRPr="004E591C">
        <w:rPr>
          <w:rFonts w:ascii="Palatino Linotype" w:hAnsi="Palatino Linotype" w:cs="Tahoma"/>
          <w:b/>
          <w:sz w:val="22"/>
          <w:szCs w:val="24"/>
        </w:rPr>
        <w:t>0</w:t>
      </w:r>
      <w:r w:rsidR="00116897">
        <w:rPr>
          <w:rFonts w:ascii="Palatino Linotype" w:hAnsi="Palatino Linotype" w:cs="Tahoma"/>
          <w:b/>
          <w:sz w:val="22"/>
          <w:szCs w:val="24"/>
        </w:rPr>
        <w:t>00871/INFOEM/IP/RR/2019</w:t>
      </w:r>
      <w:r w:rsidR="00116897" w:rsidRPr="004E591C">
        <w:rPr>
          <w:rFonts w:ascii="Palatino Linotype" w:hAnsi="Palatino Linotype" w:cs="Tahoma"/>
          <w:sz w:val="22"/>
          <w:szCs w:val="24"/>
        </w:rPr>
        <w:t>, por ser este último el más antiguo, sustanciado bajo el índice de esta Ponencia, al advertir conexidad entre estos, ya que fueron promovidos por la misma persona, en los que se señaló c</w:t>
      </w:r>
      <w:r w:rsidR="00116897">
        <w:rPr>
          <w:rFonts w:ascii="Palatino Linotype" w:hAnsi="Palatino Linotype" w:cs="Tahoma"/>
          <w:sz w:val="22"/>
          <w:szCs w:val="24"/>
        </w:rPr>
        <w:t>omo Sujeto Obligado recurrido el</w:t>
      </w:r>
      <w:r w:rsidR="00116897" w:rsidRPr="004E591C">
        <w:rPr>
          <w:rFonts w:ascii="Palatino Linotype" w:hAnsi="Palatino Linotype" w:cs="Tahoma"/>
          <w:b/>
          <w:sz w:val="22"/>
          <w:szCs w:val="24"/>
        </w:rPr>
        <w:t xml:space="preserve"> </w:t>
      </w:r>
      <w:r w:rsidR="00116897">
        <w:rPr>
          <w:rFonts w:ascii="Palatino Linotype" w:hAnsi="Palatino Linotype" w:cs="Tahoma"/>
          <w:b/>
          <w:sz w:val="22"/>
          <w:szCs w:val="24"/>
        </w:rPr>
        <w:t>Centro de Control de Confianza del Estado de México</w:t>
      </w:r>
      <w:r w:rsidR="00116897" w:rsidRPr="004E591C">
        <w:rPr>
          <w:rFonts w:ascii="Palatino Linotype" w:hAnsi="Palatino Linotype" w:cs="Tahoma"/>
          <w:sz w:val="22"/>
          <w:szCs w:val="24"/>
        </w:rPr>
        <w:t>.</w:t>
      </w:r>
    </w:p>
    <w:p w14:paraId="2DF483B5" w14:textId="77777777" w:rsidR="00116897" w:rsidRDefault="00116897" w:rsidP="00564755">
      <w:pPr>
        <w:spacing w:line="360" w:lineRule="auto"/>
        <w:jc w:val="both"/>
        <w:rPr>
          <w:rFonts w:ascii="Palatino Linotype" w:hAnsi="Palatino Linotype" w:cs="Tahoma"/>
          <w:b/>
          <w:sz w:val="22"/>
          <w:szCs w:val="24"/>
        </w:rPr>
      </w:pPr>
    </w:p>
    <w:p w14:paraId="4B2ABA44" w14:textId="6E5505FB" w:rsidR="00396A2C" w:rsidRDefault="00116897" w:rsidP="00564755">
      <w:pPr>
        <w:spacing w:line="360" w:lineRule="auto"/>
        <w:jc w:val="both"/>
        <w:rPr>
          <w:rFonts w:ascii="Palatino Linotype" w:hAnsi="Palatino Linotype" w:cs="Tahoma"/>
          <w:bCs/>
          <w:iCs/>
          <w:sz w:val="22"/>
          <w:szCs w:val="24"/>
          <w:lang w:val="es-ES"/>
        </w:rPr>
      </w:pPr>
      <w:r>
        <w:rPr>
          <w:rFonts w:ascii="Palatino Linotype" w:hAnsi="Palatino Linotype" w:cs="Tahoma"/>
          <w:b/>
          <w:sz w:val="22"/>
          <w:szCs w:val="24"/>
          <w:lang w:val="es-ES"/>
        </w:rPr>
        <w:t xml:space="preserve">d) </w:t>
      </w:r>
      <w:r w:rsidR="00844C51" w:rsidRPr="004E591C">
        <w:rPr>
          <w:rFonts w:ascii="Palatino Linotype" w:hAnsi="Palatino Linotype" w:cs="Tahoma"/>
          <w:b/>
          <w:sz w:val="22"/>
          <w:szCs w:val="24"/>
          <w:lang w:val="es-ES"/>
        </w:rPr>
        <w:t>Informe</w:t>
      </w:r>
      <w:r w:rsidR="00396A2C">
        <w:rPr>
          <w:rFonts w:ascii="Palatino Linotype" w:hAnsi="Palatino Linotype" w:cs="Tahoma"/>
          <w:b/>
          <w:sz w:val="22"/>
          <w:szCs w:val="24"/>
          <w:lang w:val="es-ES"/>
        </w:rPr>
        <w:t>s</w:t>
      </w:r>
      <w:r w:rsidR="00844C51" w:rsidRPr="004E591C">
        <w:rPr>
          <w:rFonts w:ascii="Palatino Linotype" w:hAnsi="Palatino Linotype" w:cs="Tahoma"/>
          <w:b/>
          <w:sz w:val="22"/>
          <w:szCs w:val="24"/>
          <w:lang w:val="es-ES"/>
        </w:rPr>
        <w:t xml:space="preserve"> Justificado</w:t>
      </w:r>
      <w:r w:rsidR="00396A2C">
        <w:rPr>
          <w:rFonts w:ascii="Palatino Linotype" w:hAnsi="Palatino Linotype" w:cs="Tahoma"/>
          <w:b/>
          <w:sz w:val="22"/>
          <w:szCs w:val="24"/>
          <w:lang w:val="es-ES"/>
        </w:rPr>
        <w:t>s</w:t>
      </w:r>
      <w:r w:rsidR="00844C51" w:rsidRPr="004E591C">
        <w:rPr>
          <w:rFonts w:ascii="Palatino Linotype" w:hAnsi="Palatino Linotype" w:cs="Tahoma"/>
          <w:b/>
          <w:sz w:val="22"/>
          <w:szCs w:val="24"/>
          <w:lang w:val="es-ES"/>
        </w:rPr>
        <w:t xml:space="preserve">. </w:t>
      </w:r>
      <w:r w:rsidR="00844C51" w:rsidRPr="004E591C">
        <w:rPr>
          <w:rFonts w:ascii="Palatino Linotype" w:hAnsi="Palatino Linotype" w:cs="Tahoma"/>
          <w:sz w:val="22"/>
          <w:szCs w:val="24"/>
          <w:lang w:val="es-ES_tradnl"/>
        </w:rPr>
        <w:t xml:space="preserve">El </w:t>
      </w:r>
      <w:r w:rsidR="00396A2C">
        <w:rPr>
          <w:rFonts w:ascii="Palatino Linotype" w:hAnsi="Palatino Linotype" w:cs="Tahoma"/>
          <w:sz w:val="22"/>
          <w:szCs w:val="24"/>
          <w:lang w:val="es-ES_tradnl"/>
        </w:rPr>
        <w:t>siete de marzo de dos mil diecinueve</w:t>
      </w:r>
      <w:r w:rsidR="00844C51" w:rsidRPr="004E591C">
        <w:rPr>
          <w:rFonts w:ascii="Palatino Linotype" w:hAnsi="Palatino Linotype" w:cs="Tahoma"/>
          <w:sz w:val="22"/>
          <w:szCs w:val="24"/>
          <w:lang w:val="es-ES_tradnl"/>
        </w:rPr>
        <w:t xml:space="preserve">, se recibieron a través del </w:t>
      </w:r>
      <w:r w:rsidR="00844C51" w:rsidRPr="004E591C">
        <w:rPr>
          <w:rFonts w:ascii="Palatino Linotype" w:hAnsi="Palatino Linotype" w:cs="Tahoma"/>
          <w:sz w:val="22"/>
          <w:szCs w:val="24"/>
          <w:lang w:val="es-ES"/>
        </w:rPr>
        <w:t>Sistema de Acceso a la Información Mexiquense (SAIMEX)</w:t>
      </w:r>
      <w:r w:rsidR="00844C51" w:rsidRPr="004E591C">
        <w:rPr>
          <w:rFonts w:ascii="Palatino Linotype" w:hAnsi="Palatino Linotype" w:cs="Tahoma"/>
          <w:sz w:val="22"/>
          <w:szCs w:val="24"/>
          <w:lang w:val="es-ES_tradnl"/>
        </w:rPr>
        <w:t xml:space="preserve">, </w:t>
      </w:r>
      <w:r w:rsidR="00396A2C">
        <w:rPr>
          <w:rFonts w:ascii="Palatino Linotype" w:hAnsi="Palatino Linotype" w:cs="Tahoma"/>
          <w:bCs/>
          <w:iCs/>
          <w:sz w:val="22"/>
          <w:szCs w:val="24"/>
          <w:lang w:val="es-ES"/>
        </w:rPr>
        <w:t>los</w:t>
      </w:r>
      <w:r w:rsidR="00844C51">
        <w:rPr>
          <w:rFonts w:ascii="Palatino Linotype" w:hAnsi="Palatino Linotype" w:cs="Tahoma"/>
          <w:bCs/>
          <w:iCs/>
          <w:sz w:val="22"/>
          <w:szCs w:val="24"/>
          <w:lang w:val="es-ES"/>
        </w:rPr>
        <w:t xml:space="preserve"> Informe</w:t>
      </w:r>
      <w:r w:rsidR="00396A2C">
        <w:rPr>
          <w:rFonts w:ascii="Palatino Linotype" w:hAnsi="Palatino Linotype" w:cs="Tahoma"/>
          <w:bCs/>
          <w:iCs/>
          <w:sz w:val="22"/>
          <w:szCs w:val="24"/>
          <w:lang w:val="es-ES"/>
        </w:rPr>
        <w:t>s</w:t>
      </w:r>
      <w:r w:rsidR="00844C51">
        <w:rPr>
          <w:rFonts w:ascii="Palatino Linotype" w:hAnsi="Palatino Linotype" w:cs="Tahoma"/>
          <w:bCs/>
          <w:iCs/>
          <w:sz w:val="22"/>
          <w:szCs w:val="24"/>
          <w:lang w:val="es-ES"/>
        </w:rPr>
        <w:t xml:space="preserve"> Justificado</w:t>
      </w:r>
      <w:r w:rsidR="00396A2C">
        <w:rPr>
          <w:rFonts w:ascii="Palatino Linotype" w:hAnsi="Palatino Linotype" w:cs="Tahoma"/>
          <w:bCs/>
          <w:iCs/>
          <w:sz w:val="22"/>
          <w:szCs w:val="24"/>
          <w:lang w:val="es-ES"/>
        </w:rPr>
        <w:t xml:space="preserve">s de los Recursos de Revisión con número </w:t>
      </w:r>
      <w:r w:rsidR="00F444DC" w:rsidRPr="00F444DC">
        <w:rPr>
          <w:rFonts w:ascii="Palatino Linotype" w:hAnsi="Palatino Linotype" w:cs="Tahoma"/>
          <w:bCs/>
          <w:iCs/>
          <w:sz w:val="22"/>
          <w:szCs w:val="24"/>
          <w:lang w:val="es-ES"/>
        </w:rPr>
        <w:t>000871/INFOEM/IP/RR/2019 y 000872/INFOEM/IP/RR/2019</w:t>
      </w:r>
      <w:r w:rsidR="00F444DC">
        <w:rPr>
          <w:rFonts w:ascii="Palatino Linotype" w:hAnsi="Palatino Linotype" w:cs="Tahoma"/>
          <w:bCs/>
          <w:iCs/>
          <w:sz w:val="22"/>
          <w:szCs w:val="24"/>
          <w:lang w:val="es-ES"/>
        </w:rPr>
        <w:t>, conforme a lo siguiente:</w:t>
      </w:r>
    </w:p>
    <w:p w14:paraId="7CD75DC2" w14:textId="77777777" w:rsidR="00A50033" w:rsidRDefault="00A50033" w:rsidP="00564755">
      <w:pPr>
        <w:spacing w:line="360" w:lineRule="auto"/>
        <w:jc w:val="both"/>
        <w:rPr>
          <w:rFonts w:ascii="Palatino Linotype" w:hAnsi="Palatino Linotype" w:cs="Tahoma"/>
          <w:bCs/>
          <w:iCs/>
          <w:sz w:val="22"/>
          <w:szCs w:val="24"/>
          <w:lang w:val="es-ES"/>
        </w:rPr>
      </w:pPr>
    </w:p>
    <w:p w14:paraId="2983CBD3" w14:textId="3DB05655" w:rsidR="00187D0D" w:rsidRDefault="00187D0D" w:rsidP="00564755">
      <w:pPr>
        <w:spacing w:line="360" w:lineRule="auto"/>
        <w:jc w:val="both"/>
        <w:rPr>
          <w:rFonts w:ascii="Palatino Linotype" w:hAnsi="Palatino Linotype" w:cs="Tahoma"/>
          <w:bCs/>
          <w:iCs/>
          <w:sz w:val="22"/>
          <w:szCs w:val="24"/>
          <w:lang w:val="es-ES"/>
        </w:rPr>
      </w:pPr>
      <w:r>
        <w:rPr>
          <w:rFonts w:ascii="Palatino Linotype" w:hAnsi="Palatino Linotype" w:cs="Tahoma"/>
          <w:bCs/>
          <w:iCs/>
          <w:sz w:val="22"/>
          <w:szCs w:val="24"/>
          <w:lang w:val="es-ES"/>
        </w:rPr>
        <w:t xml:space="preserve">Informe Justificado del Recurso de Revisión con número </w:t>
      </w:r>
      <w:r w:rsidRPr="00187D0D">
        <w:rPr>
          <w:rFonts w:ascii="Palatino Linotype" w:hAnsi="Palatino Linotype" w:cs="Tahoma"/>
          <w:bCs/>
          <w:iCs/>
          <w:sz w:val="22"/>
          <w:szCs w:val="24"/>
          <w:lang w:val="es-ES"/>
        </w:rPr>
        <w:t>000871/INFOEM/IP/RR/2019</w:t>
      </w:r>
      <w:r>
        <w:rPr>
          <w:rFonts w:ascii="Palatino Linotype" w:hAnsi="Palatino Linotype" w:cs="Tahoma"/>
          <w:bCs/>
          <w:iCs/>
          <w:sz w:val="22"/>
          <w:szCs w:val="24"/>
          <w:lang w:val="es-ES"/>
        </w:rPr>
        <w:t xml:space="preserve">, del siete de marzo de dos mil diecinueve, suscrito por </w:t>
      </w:r>
      <w:r w:rsidR="00E10339">
        <w:rPr>
          <w:rFonts w:ascii="Palatino Linotype" w:hAnsi="Palatino Linotype" w:cs="Tahoma"/>
          <w:bCs/>
          <w:iCs/>
          <w:sz w:val="22"/>
          <w:szCs w:val="24"/>
          <w:lang w:val="es-ES"/>
        </w:rPr>
        <w:t>el Titular de la Unidad de Transparencia del Sujeto Obligado y dirigido al Comisionado Ponente, cuyo contenido es el siguiente:</w:t>
      </w:r>
    </w:p>
    <w:p w14:paraId="402F224A" w14:textId="77777777" w:rsidR="00187D0D" w:rsidRDefault="00187D0D" w:rsidP="00564755">
      <w:pPr>
        <w:spacing w:line="360" w:lineRule="auto"/>
        <w:jc w:val="both"/>
        <w:rPr>
          <w:rFonts w:ascii="Palatino Linotype" w:hAnsi="Palatino Linotype" w:cs="Tahoma"/>
          <w:bCs/>
          <w:iCs/>
          <w:sz w:val="22"/>
          <w:szCs w:val="24"/>
          <w:lang w:val="es-ES"/>
        </w:rPr>
      </w:pPr>
    </w:p>
    <w:p w14:paraId="388B5474" w14:textId="77777777" w:rsidR="00940405" w:rsidRPr="0069700B" w:rsidRDefault="00940405" w:rsidP="00940405">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w:t>
      </w:r>
    </w:p>
    <w:p w14:paraId="44926866" w14:textId="6A8276FB" w:rsidR="00940405" w:rsidRPr="0069700B" w:rsidRDefault="00940405" w:rsidP="00940405">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Ahora bien, respecto de la falta de formatos referida por el Recurrente; es preciso aclarar primeramente que el Estado Mexicano tiene un gobierno republicano con división de poderes; estos son: Poder Ejecutivo, Legislativo y Judicial; en segundo lugar; la República</w:t>
      </w:r>
    </w:p>
    <w:p w14:paraId="77BD4ED7" w14:textId="245D93A2" w:rsidR="00940405" w:rsidRPr="0069700B" w:rsidRDefault="00940405" w:rsidP="00940405">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Mexicana está integrada por Estados libres y soberanos en cuanto a su forma de gobierno interno, los cuales están sujetos a los principios fundamentales de la Constitución Política de los Estados Unidos Mexicanos, consagrados en el Artículo 40. Luego entonces el gobierno tiene tres ámbitos u órdenes distintos: el Federal o Nacional, el Estatal y el Municipal. En la actualidad se han creado organismos autónomos que estructuralmente no forman parte de los tres poderes, pero que sin embargo coexisten en el ámbito Federal y Estatal.</w:t>
      </w:r>
    </w:p>
    <w:p w14:paraId="34F57EB3" w14:textId="77777777" w:rsidR="00940405" w:rsidRPr="0069700B" w:rsidRDefault="00940405" w:rsidP="00940405">
      <w:pPr>
        <w:spacing w:line="360" w:lineRule="auto"/>
        <w:ind w:left="567" w:right="567"/>
        <w:jc w:val="both"/>
        <w:rPr>
          <w:rFonts w:ascii="Palatino Linotype" w:hAnsi="Palatino Linotype" w:cs="Tahoma"/>
          <w:bCs/>
          <w:i/>
          <w:iCs/>
        </w:rPr>
      </w:pPr>
    </w:p>
    <w:p w14:paraId="490A727E" w14:textId="1DDA5040" w:rsidR="00940405" w:rsidRPr="0069700B" w:rsidRDefault="00940405" w:rsidP="00940405">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Para mayor comprensión de lo antes enunciado se muestra una tabla, que ilustra la estructura de los tres órdenes de gobierno:</w:t>
      </w:r>
    </w:p>
    <w:p w14:paraId="5B45634E" w14:textId="77777777" w:rsidR="00940405" w:rsidRPr="0069700B" w:rsidRDefault="00940405" w:rsidP="00940405">
      <w:pPr>
        <w:spacing w:line="360" w:lineRule="auto"/>
        <w:ind w:left="567" w:right="567"/>
        <w:jc w:val="both"/>
        <w:rPr>
          <w:rFonts w:ascii="Palatino Linotype" w:hAnsi="Palatino Linotype" w:cs="Tahoma"/>
          <w:bCs/>
          <w:i/>
          <w:iCs/>
        </w:rPr>
      </w:pPr>
    </w:p>
    <w:p w14:paraId="0FFF8470" w14:textId="4DAB9732" w:rsidR="00940405" w:rsidRPr="0069700B" w:rsidRDefault="005A5DC7" w:rsidP="00940405">
      <w:pPr>
        <w:spacing w:line="360" w:lineRule="auto"/>
        <w:ind w:left="567" w:right="567"/>
        <w:jc w:val="both"/>
        <w:rPr>
          <w:rFonts w:ascii="Palatino Linotype" w:hAnsi="Palatino Linotype" w:cs="Tahoma"/>
          <w:bCs/>
          <w:i/>
          <w:iCs/>
        </w:rPr>
      </w:pPr>
      <w:r w:rsidRPr="0069700B">
        <w:rPr>
          <w:i/>
          <w:noProof/>
          <w:lang w:eastAsia="es-MX"/>
        </w:rPr>
        <w:drawing>
          <wp:inline distT="0" distB="0" distL="0" distR="0" wp14:anchorId="4AD439F9" wp14:editId="1BA8C2DD">
            <wp:extent cx="5038090" cy="3390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b="15"/>
                    <a:stretch/>
                  </pic:blipFill>
                  <pic:spPr bwMode="auto">
                    <a:xfrm>
                      <a:off x="0" y="0"/>
                      <a:ext cx="5058802" cy="3404841"/>
                    </a:xfrm>
                    <a:prstGeom prst="rect">
                      <a:avLst/>
                    </a:prstGeom>
                    <a:ln>
                      <a:noFill/>
                    </a:ln>
                    <a:extLst>
                      <a:ext uri="{53640926-AAD7-44D8-BBD7-CCE9431645EC}">
                        <a14:shadowObscured xmlns:a14="http://schemas.microsoft.com/office/drawing/2010/main"/>
                      </a:ext>
                    </a:extLst>
                  </pic:spPr>
                </pic:pic>
              </a:graphicData>
            </a:graphic>
          </wp:inline>
        </w:drawing>
      </w:r>
    </w:p>
    <w:p w14:paraId="30ECE0A2" w14:textId="77777777" w:rsidR="00E10339" w:rsidRPr="0069700B" w:rsidRDefault="00E10339" w:rsidP="00940405">
      <w:pPr>
        <w:spacing w:line="360" w:lineRule="auto"/>
        <w:ind w:left="567" w:right="567"/>
        <w:jc w:val="both"/>
        <w:rPr>
          <w:rFonts w:ascii="Palatino Linotype" w:hAnsi="Palatino Linotype" w:cs="Tahoma"/>
          <w:bCs/>
          <w:i/>
          <w:iCs/>
        </w:rPr>
      </w:pPr>
    </w:p>
    <w:p w14:paraId="68C6E42E" w14:textId="7505D6D3" w:rsidR="005A5DC7" w:rsidRPr="0069700B" w:rsidRDefault="005A5DC7" w:rsidP="005A5DC7">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Con base en la tabla señalada anteriormente y con fundamento en el Decreto número 328, mediante el cual se reforman, adicionan y derogan diversas disposiciones de la Ley Orgánica de la Administración Pública del Estado de México y de la Ley de Seguridad del Estado de México; publicado en el Periódico Oficial " Gaceta del Gobierno", el 20 de septiembre de 2018; el Centro de Control de Confianza del Estado de México, es un organismo público descentralizado, con personalidad jurídica y patrimonio propios, sectorizado a la Secretaria de Seguridad del Estado de México; hasta antes de dichas reformas éste Sujeto Obligado se encontraba sectorizado a la Secretaría General de Gobierno del Estado de México; por lo que cualquier información generada con antelación a la publicación de dicho Decreto , fue supervisada , validada y aprobada, en su caso por la Secretaría General de Gobierno del Estado de México.</w:t>
      </w:r>
    </w:p>
    <w:p w14:paraId="60DC0DAF" w14:textId="77777777" w:rsidR="005A5DC7" w:rsidRPr="0069700B" w:rsidRDefault="005A5DC7" w:rsidP="005A5DC7">
      <w:pPr>
        <w:spacing w:line="360" w:lineRule="auto"/>
        <w:ind w:left="567" w:right="567"/>
        <w:jc w:val="both"/>
        <w:rPr>
          <w:rFonts w:ascii="Palatino Linotype" w:hAnsi="Palatino Linotype" w:cs="Tahoma"/>
          <w:bCs/>
          <w:i/>
          <w:iCs/>
        </w:rPr>
      </w:pPr>
    </w:p>
    <w:p w14:paraId="4359BBD5" w14:textId="322F13AF" w:rsidR="005A5DC7" w:rsidRPr="0069700B" w:rsidRDefault="005A5DC7" w:rsidP="005A5DC7">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Luego entonces, una vez aclarada la naturaleza jurídica de este Sujeto Obligado, se explica que es un Organismo de carácter Estatal, que tiene por objeto realizar las evaluaciones permanentes de control de confianza, de poligrafía, entorno social y psicológico, así como exámenes toxicológicos y médicos a las o los aspirantes y a las o los integrantes de las Instituciones de Seguridad Pública y Privada, Estatal y Municipal a fin de emitir, en su caso, a certificación correspondiente.</w:t>
      </w:r>
    </w:p>
    <w:p w14:paraId="6487BD0F" w14:textId="77777777" w:rsidR="005A5DC7" w:rsidRPr="0069700B" w:rsidRDefault="005A5DC7" w:rsidP="00940405">
      <w:pPr>
        <w:spacing w:line="360" w:lineRule="auto"/>
        <w:ind w:left="567" w:right="567"/>
        <w:jc w:val="both"/>
        <w:rPr>
          <w:rFonts w:ascii="Palatino Linotype" w:hAnsi="Palatino Linotype" w:cs="Tahoma"/>
          <w:bCs/>
          <w:i/>
          <w:iCs/>
        </w:rPr>
      </w:pPr>
    </w:p>
    <w:p w14:paraId="5EDE934E" w14:textId="77777777" w:rsidR="007A42DF" w:rsidRPr="0069700B" w:rsidRDefault="007A42DF" w:rsidP="007A42DF">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En congruencia con lo establecido con el objeto de creación de éste Organismo y el Plan de</w:t>
      </w:r>
    </w:p>
    <w:p w14:paraId="54CC8F07" w14:textId="273405BF" w:rsidR="007A42DF" w:rsidRPr="0069700B" w:rsidRDefault="007A42DF" w:rsidP="007A42DF">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Desarrollo del Estado de México 2017-2023, Programa Sectorial; Pilar Seguridad; el Centro de Control de Confianza cuenta con un proyecto denominado: ‘Evaluación y Certificación para el Control de Confianza de los Elementos de Seguridad’; con el objetivo de dar cumplimiento a la certificación de los aspirantes y/o elementos policiales.</w:t>
      </w:r>
    </w:p>
    <w:p w14:paraId="78B6E26C" w14:textId="77777777" w:rsidR="007A42DF" w:rsidRPr="0069700B" w:rsidRDefault="007A42DF" w:rsidP="007A42DF">
      <w:pPr>
        <w:spacing w:line="360" w:lineRule="auto"/>
        <w:ind w:left="567" w:right="567"/>
        <w:jc w:val="both"/>
        <w:rPr>
          <w:rFonts w:ascii="Palatino Linotype" w:hAnsi="Palatino Linotype" w:cs="Tahoma"/>
          <w:bCs/>
          <w:i/>
          <w:iCs/>
        </w:rPr>
      </w:pPr>
    </w:p>
    <w:p w14:paraId="59224E61" w14:textId="3C3BD98B" w:rsidR="007A42DF" w:rsidRPr="0069700B" w:rsidRDefault="007A42DF" w:rsidP="007A42DF">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En este sentido el seguimiento que se da a las actividades y/o acciones prioritarias plasmadas en el proyecto anteriormente citado es mediante un Programa Operativo Anual, considerado como un instrumento de planeación a corto plazo con vigencia anual en el que se vinculan las metas con los presupuestos anuales autorizados, el cual es elaborado por éste Sujeto Obligado de manera anual.</w:t>
      </w:r>
    </w:p>
    <w:p w14:paraId="5F1586B5" w14:textId="77777777" w:rsidR="007A42DF" w:rsidRPr="0069700B" w:rsidRDefault="007A42DF" w:rsidP="007A42DF">
      <w:pPr>
        <w:spacing w:line="360" w:lineRule="auto"/>
        <w:ind w:left="567" w:right="567"/>
        <w:jc w:val="both"/>
        <w:rPr>
          <w:rFonts w:ascii="Palatino Linotype" w:hAnsi="Palatino Linotype" w:cs="Tahoma"/>
          <w:bCs/>
          <w:i/>
          <w:iCs/>
        </w:rPr>
      </w:pPr>
    </w:p>
    <w:p w14:paraId="5312DBFE" w14:textId="70493333" w:rsidR="007A42DF" w:rsidRPr="0069700B" w:rsidRDefault="007A42DF" w:rsidP="007A42DF">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El Programa Operativo Anual del Centro de Control de Confianza del Estado de México, de manera general, tiene como objetivos:</w:t>
      </w:r>
    </w:p>
    <w:p w14:paraId="4E28CA36" w14:textId="77777777" w:rsidR="005A5DC7" w:rsidRPr="0069700B" w:rsidRDefault="005A5DC7" w:rsidP="00940405">
      <w:pPr>
        <w:spacing w:line="360" w:lineRule="auto"/>
        <w:ind w:left="567" w:right="567"/>
        <w:jc w:val="both"/>
        <w:rPr>
          <w:rFonts w:ascii="Palatino Linotype" w:hAnsi="Palatino Linotype" w:cs="Tahoma"/>
          <w:bCs/>
          <w:i/>
          <w:iCs/>
        </w:rPr>
      </w:pPr>
    </w:p>
    <w:p w14:paraId="5E75DD68" w14:textId="722D7B44" w:rsidR="007A42DF" w:rsidRPr="0069700B" w:rsidRDefault="007A42DF" w:rsidP="004F4D05">
      <w:pPr>
        <w:pStyle w:val="Prrafodelista"/>
        <w:numPr>
          <w:ilvl w:val="0"/>
          <w:numId w:val="3"/>
        </w:numPr>
        <w:spacing w:line="360" w:lineRule="auto"/>
        <w:ind w:right="567"/>
        <w:jc w:val="both"/>
        <w:rPr>
          <w:rFonts w:ascii="Palatino Linotype" w:hAnsi="Palatino Linotype" w:cs="Tahoma"/>
          <w:bCs/>
          <w:i/>
          <w:iCs/>
          <w:sz w:val="20"/>
        </w:rPr>
      </w:pPr>
      <w:r w:rsidRPr="0069700B">
        <w:rPr>
          <w:rFonts w:ascii="Palatino Linotype" w:hAnsi="Palatino Linotype" w:cs="Tahoma"/>
          <w:bCs/>
          <w:i/>
          <w:iCs/>
          <w:sz w:val="20"/>
        </w:rPr>
        <w:t>Optimizar la operación del sistema y acciones de control y evaluación para la contribución al manejo eficiente de los recursos públicos para el cumplimiento de objetivos institucionales y a la transparencia cuidando que el ejercicio del gasto público se efectué con apego a la normatividad establecida para tal efecto, dando cumplimiento a las disposiciones de racionalidad, austeridad y disciplina presupuesta</w:t>
      </w:r>
      <w:r w:rsidR="00116897" w:rsidRPr="0069700B">
        <w:rPr>
          <w:rFonts w:ascii="Palatino Linotype" w:hAnsi="Palatino Linotype" w:cs="Tahoma"/>
          <w:bCs/>
          <w:i/>
          <w:iCs/>
          <w:sz w:val="20"/>
        </w:rPr>
        <w:t>l</w:t>
      </w:r>
      <w:r w:rsidRPr="0069700B">
        <w:rPr>
          <w:rFonts w:ascii="Palatino Linotype" w:hAnsi="Palatino Linotype" w:cs="Tahoma"/>
          <w:bCs/>
          <w:i/>
          <w:iCs/>
          <w:sz w:val="20"/>
        </w:rPr>
        <w:t>.</w:t>
      </w:r>
    </w:p>
    <w:p w14:paraId="265D17D4" w14:textId="77777777" w:rsidR="007A42DF" w:rsidRPr="0069700B" w:rsidRDefault="007A42DF" w:rsidP="007A42DF">
      <w:pPr>
        <w:spacing w:line="360" w:lineRule="auto"/>
        <w:ind w:left="567" w:right="567"/>
        <w:jc w:val="both"/>
        <w:rPr>
          <w:rFonts w:ascii="Palatino Linotype" w:hAnsi="Palatino Linotype" w:cs="Tahoma"/>
          <w:bCs/>
          <w:i/>
          <w:iCs/>
          <w:sz w:val="18"/>
        </w:rPr>
      </w:pPr>
    </w:p>
    <w:p w14:paraId="0DE25DE0" w14:textId="63F85C42" w:rsidR="005A5DC7" w:rsidRPr="0069700B" w:rsidRDefault="007A42DF" w:rsidP="004F4D05">
      <w:pPr>
        <w:pStyle w:val="Prrafodelista"/>
        <w:numPr>
          <w:ilvl w:val="0"/>
          <w:numId w:val="3"/>
        </w:numPr>
        <w:spacing w:line="360" w:lineRule="auto"/>
        <w:ind w:right="567"/>
        <w:jc w:val="both"/>
        <w:rPr>
          <w:rFonts w:ascii="Palatino Linotype" w:hAnsi="Palatino Linotype" w:cs="Tahoma"/>
          <w:bCs/>
          <w:i/>
          <w:iCs/>
          <w:sz w:val="20"/>
        </w:rPr>
      </w:pPr>
      <w:r w:rsidRPr="0069700B">
        <w:rPr>
          <w:rFonts w:ascii="Palatino Linotype" w:hAnsi="Palatino Linotype" w:cs="Tahoma"/>
          <w:bCs/>
          <w:i/>
          <w:iCs/>
          <w:sz w:val="20"/>
        </w:rPr>
        <w:t>Mejorar la calidad del personal de las Instituciones de Seguridad Pública en el Estado de México mediante la realización de evaluaciones de control de confianza a los aspirantes e integrantes de</w:t>
      </w:r>
      <w:r w:rsidR="00E10339" w:rsidRPr="0069700B">
        <w:rPr>
          <w:rFonts w:ascii="Palatino Linotype" w:hAnsi="Palatino Linotype" w:cs="Tahoma"/>
          <w:bCs/>
          <w:i/>
          <w:iCs/>
          <w:sz w:val="20"/>
        </w:rPr>
        <w:t xml:space="preserve"> las Instituciones de seguridad</w:t>
      </w:r>
      <w:r w:rsidRPr="0069700B">
        <w:rPr>
          <w:rFonts w:ascii="Palatino Linotype" w:hAnsi="Palatino Linotype" w:cs="Tahoma"/>
          <w:bCs/>
          <w:i/>
          <w:iCs/>
          <w:sz w:val="20"/>
        </w:rPr>
        <w:t>, conformadas por el examen toxicológico, médico, psicológico, socioeconómico y poligráfico, en sus diferentes modalidades, permanencia, nuevo ingreso y/o promoción, operando con lineamientos acordes, a fin de emitir el certificado correspondiente.</w:t>
      </w:r>
    </w:p>
    <w:p w14:paraId="08A2F1CB" w14:textId="77777777" w:rsidR="007A42DF" w:rsidRPr="0069700B" w:rsidRDefault="007A42DF" w:rsidP="00940405">
      <w:pPr>
        <w:spacing w:line="360" w:lineRule="auto"/>
        <w:ind w:left="567" w:right="567"/>
        <w:jc w:val="both"/>
        <w:rPr>
          <w:rFonts w:ascii="Palatino Linotype" w:hAnsi="Palatino Linotype" w:cs="Tahoma"/>
          <w:bCs/>
          <w:i/>
          <w:iCs/>
        </w:rPr>
      </w:pPr>
    </w:p>
    <w:p w14:paraId="6E22C0D3" w14:textId="255B2A17" w:rsidR="007A42DF" w:rsidRPr="0069700B" w:rsidRDefault="007A42DF" w:rsidP="007A42DF">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Atendiendo a lo anterior, esta herramienta conocida como Programa Operativo Anual, se compone de una serie de formatos PbR'S, los cuales están clasificados por Unidad</w:t>
      </w:r>
      <w:r w:rsidR="00C87805" w:rsidRPr="0069700B">
        <w:rPr>
          <w:rFonts w:ascii="Palatino Linotype" w:hAnsi="Palatino Linotype" w:cs="Tahoma"/>
          <w:bCs/>
          <w:i/>
          <w:iCs/>
        </w:rPr>
        <w:t xml:space="preserve"> </w:t>
      </w:r>
      <w:r w:rsidRPr="0069700B">
        <w:rPr>
          <w:rFonts w:ascii="Palatino Linotype" w:hAnsi="Palatino Linotype" w:cs="Tahoma"/>
          <w:bCs/>
          <w:i/>
          <w:iCs/>
        </w:rPr>
        <w:t>Ejecutora y Unidad Responsable, tal y como lo establece el Manual para la Formulación del</w:t>
      </w:r>
      <w:r w:rsidR="00C87805" w:rsidRPr="0069700B">
        <w:rPr>
          <w:rFonts w:ascii="Palatino Linotype" w:hAnsi="Palatino Linotype" w:cs="Tahoma"/>
          <w:bCs/>
          <w:i/>
          <w:iCs/>
        </w:rPr>
        <w:t xml:space="preserve"> </w:t>
      </w:r>
      <w:r w:rsidRPr="0069700B">
        <w:rPr>
          <w:rFonts w:ascii="Palatino Linotype" w:hAnsi="Palatino Linotype" w:cs="Tahoma"/>
          <w:bCs/>
          <w:i/>
          <w:iCs/>
        </w:rPr>
        <w:t>Anteproyecto de Presupuesto de Egresos del Gobierno del Estado de México para el</w:t>
      </w:r>
      <w:r w:rsidR="00C87805" w:rsidRPr="0069700B">
        <w:rPr>
          <w:rFonts w:ascii="Palatino Linotype" w:hAnsi="Palatino Linotype" w:cs="Tahoma"/>
          <w:bCs/>
          <w:i/>
          <w:iCs/>
        </w:rPr>
        <w:t xml:space="preserve"> </w:t>
      </w:r>
      <w:r w:rsidRPr="0069700B">
        <w:rPr>
          <w:rFonts w:ascii="Palatino Linotype" w:hAnsi="Palatino Linotype" w:cs="Tahoma"/>
          <w:bCs/>
          <w:i/>
          <w:iCs/>
        </w:rPr>
        <w:t>ejercicio Fiscal 2018, por lo que el llenado de los formatos debe ser requisitado tal y como</w:t>
      </w:r>
      <w:r w:rsidR="00C87805" w:rsidRPr="0069700B">
        <w:rPr>
          <w:rFonts w:ascii="Palatino Linotype" w:hAnsi="Palatino Linotype" w:cs="Tahoma"/>
          <w:bCs/>
          <w:i/>
          <w:iCs/>
        </w:rPr>
        <w:t xml:space="preserve"> </w:t>
      </w:r>
      <w:r w:rsidRPr="0069700B">
        <w:rPr>
          <w:rFonts w:ascii="Palatino Linotype" w:hAnsi="Palatino Linotype" w:cs="Tahoma"/>
          <w:bCs/>
          <w:i/>
          <w:iCs/>
        </w:rPr>
        <w:t>se demuestra en la siguiente tabla:</w:t>
      </w:r>
    </w:p>
    <w:p w14:paraId="464C54D0" w14:textId="77777777" w:rsidR="007A42DF" w:rsidRPr="0069700B" w:rsidRDefault="007A42DF" w:rsidP="00940405">
      <w:pPr>
        <w:spacing w:line="360" w:lineRule="auto"/>
        <w:ind w:left="567" w:right="567"/>
        <w:jc w:val="both"/>
        <w:rPr>
          <w:rFonts w:ascii="Palatino Linotype" w:hAnsi="Palatino Linotype" w:cs="Tahoma"/>
          <w:bCs/>
          <w:i/>
          <w:iCs/>
        </w:rPr>
      </w:pPr>
    </w:p>
    <w:p w14:paraId="356A758B" w14:textId="229FAECB" w:rsidR="00C87805" w:rsidRPr="0069700B" w:rsidRDefault="00C87805" w:rsidP="00940405">
      <w:pPr>
        <w:spacing w:line="360" w:lineRule="auto"/>
        <w:ind w:left="567" w:right="567"/>
        <w:jc w:val="both"/>
        <w:rPr>
          <w:rFonts w:ascii="Palatino Linotype" w:hAnsi="Palatino Linotype" w:cs="Tahoma"/>
          <w:bCs/>
          <w:i/>
          <w:iCs/>
        </w:rPr>
      </w:pPr>
      <w:r w:rsidRPr="0069700B">
        <w:rPr>
          <w:i/>
          <w:noProof/>
          <w:lang w:eastAsia="es-MX"/>
        </w:rPr>
        <w:drawing>
          <wp:inline distT="0" distB="0" distL="0" distR="0" wp14:anchorId="630164EB" wp14:editId="5C6A2C01">
            <wp:extent cx="5067300" cy="13163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9228" cy="1335061"/>
                    </a:xfrm>
                    <a:prstGeom prst="rect">
                      <a:avLst/>
                    </a:prstGeom>
                  </pic:spPr>
                </pic:pic>
              </a:graphicData>
            </a:graphic>
          </wp:inline>
        </w:drawing>
      </w:r>
    </w:p>
    <w:p w14:paraId="502C3062" w14:textId="77777777" w:rsidR="00C87805" w:rsidRPr="0069700B" w:rsidRDefault="00C87805" w:rsidP="00940405">
      <w:pPr>
        <w:spacing w:line="360" w:lineRule="auto"/>
        <w:ind w:left="567" w:right="567"/>
        <w:jc w:val="both"/>
        <w:rPr>
          <w:rFonts w:ascii="Palatino Linotype" w:hAnsi="Palatino Linotype" w:cs="Tahoma"/>
          <w:bCs/>
          <w:i/>
          <w:iCs/>
        </w:rPr>
      </w:pPr>
    </w:p>
    <w:p w14:paraId="1DC8E205" w14:textId="527E7F1C" w:rsidR="00C87805" w:rsidRPr="0069700B" w:rsidRDefault="00C87805" w:rsidP="00116897">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Cabe puntualizar que en la elaboración del Programa Operativo Anual para el Ejercicio Fiscal 2018, la Secretaría General de Gobierno fungía como Unidad Responsable y el Centro de Control de Confianza del Estado de México, como Unidad Ejecutora, por lo que los formatos que aplican a éste Sujeto Obligado de manera anual y trimestral, se describen</w:t>
      </w:r>
      <w:r w:rsidR="00116897" w:rsidRPr="0069700B">
        <w:rPr>
          <w:rFonts w:ascii="Palatino Linotype" w:hAnsi="Palatino Linotype" w:cs="Tahoma"/>
          <w:bCs/>
          <w:i/>
          <w:iCs/>
        </w:rPr>
        <w:t xml:space="preserve"> </w:t>
      </w:r>
      <w:r w:rsidRPr="0069700B">
        <w:rPr>
          <w:rFonts w:ascii="Palatino Linotype" w:hAnsi="Palatino Linotype" w:cs="Tahoma"/>
          <w:bCs/>
          <w:i/>
          <w:iCs/>
        </w:rPr>
        <w:t>a continuación:</w:t>
      </w:r>
    </w:p>
    <w:p w14:paraId="7A6401CE" w14:textId="19029957" w:rsidR="00C87805" w:rsidRPr="0069700B" w:rsidRDefault="00FC3BB6" w:rsidP="00C87805">
      <w:pPr>
        <w:spacing w:line="360" w:lineRule="auto"/>
        <w:ind w:left="567" w:right="567"/>
        <w:jc w:val="both"/>
        <w:rPr>
          <w:rFonts w:ascii="Palatino Linotype" w:hAnsi="Palatino Linotype" w:cs="Tahoma"/>
          <w:bCs/>
          <w:i/>
          <w:iCs/>
        </w:rPr>
      </w:pPr>
      <w:r>
        <w:rPr>
          <w:rFonts w:ascii="Palatino Linotype" w:hAnsi="Palatino Linotype" w:cs="Tahoma"/>
          <w:bCs/>
          <w:i/>
          <w:iCs/>
          <w:noProof/>
          <w:lang w:eastAsia="es-MX"/>
        </w:rPr>
        <mc:AlternateContent>
          <mc:Choice Requires="wps">
            <w:drawing>
              <wp:anchor distT="0" distB="0" distL="114300" distR="114300" simplePos="0" relativeHeight="251667456" behindDoc="0" locked="0" layoutInCell="1" allowOverlap="1" wp14:anchorId="13C167AA" wp14:editId="317ECB67">
                <wp:simplePos x="0" y="0"/>
                <wp:positionH relativeFrom="column">
                  <wp:posOffset>487044</wp:posOffset>
                </wp:positionH>
                <wp:positionV relativeFrom="paragraph">
                  <wp:posOffset>169545</wp:posOffset>
                </wp:positionV>
                <wp:extent cx="4829175" cy="1695450"/>
                <wp:effectExtent l="19050" t="19050" r="28575" b="19050"/>
                <wp:wrapNone/>
                <wp:docPr id="13" name="Conector recto 13"/>
                <wp:cNvGraphicFramePr/>
                <a:graphic xmlns:a="http://schemas.openxmlformats.org/drawingml/2006/main">
                  <a:graphicData uri="http://schemas.microsoft.com/office/word/2010/wordprocessingShape">
                    <wps:wsp>
                      <wps:cNvCnPr/>
                      <wps:spPr>
                        <a:xfrm flipV="1">
                          <a:off x="0" y="0"/>
                          <a:ext cx="4829175" cy="16954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27329B" id="Conector recto 13"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8.35pt,13.35pt" to="418.6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" strokecolor="black [3213]" strokeweight="2.25pt">
                <v:stroke joinstyle="miter"/>
              </v:line>
            </w:pict>
          </mc:Fallback>
        </mc:AlternateContent>
      </w:r>
    </w:p>
    <w:p w14:paraId="69A646FA" w14:textId="599518C4" w:rsidR="00C87805" w:rsidRPr="0069700B" w:rsidRDefault="00C87805" w:rsidP="00C87805">
      <w:pPr>
        <w:spacing w:line="360" w:lineRule="auto"/>
        <w:ind w:left="567" w:right="567"/>
        <w:jc w:val="both"/>
        <w:rPr>
          <w:rFonts w:ascii="Palatino Linotype" w:hAnsi="Palatino Linotype" w:cs="Tahoma"/>
          <w:bCs/>
          <w:i/>
          <w:iCs/>
        </w:rPr>
      </w:pPr>
      <w:r w:rsidRPr="0069700B">
        <w:rPr>
          <w:i/>
          <w:noProof/>
          <w:lang w:eastAsia="es-MX"/>
        </w:rPr>
        <w:drawing>
          <wp:inline distT="0" distB="0" distL="0" distR="0" wp14:anchorId="47E3F84F" wp14:editId="65BFA663">
            <wp:extent cx="5019675" cy="25914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3848" cy="2598744"/>
                    </a:xfrm>
                    <a:prstGeom prst="rect">
                      <a:avLst/>
                    </a:prstGeom>
                  </pic:spPr>
                </pic:pic>
              </a:graphicData>
            </a:graphic>
          </wp:inline>
        </w:drawing>
      </w:r>
    </w:p>
    <w:p w14:paraId="045F2166" w14:textId="77777777" w:rsidR="00C87805" w:rsidRPr="0069700B" w:rsidRDefault="00C87805" w:rsidP="00940405">
      <w:pPr>
        <w:spacing w:line="360" w:lineRule="auto"/>
        <w:ind w:left="567" w:right="567"/>
        <w:jc w:val="both"/>
        <w:rPr>
          <w:rFonts w:ascii="Palatino Linotype" w:hAnsi="Palatino Linotype" w:cs="Tahoma"/>
          <w:bCs/>
          <w:i/>
          <w:iCs/>
        </w:rPr>
      </w:pPr>
    </w:p>
    <w:p w14:paraId="49B20CDA" w14:textId="77777777" w:rsidR="008C1E82" w:rsidRPr="0069700B" w:rsidRDefault="008C1E82" w:rsidP="008C1E8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Los formatos que deben ser llenados por la Unidad Responsable, en su momento por la</w:t>
      </w:r>
    </w:p>
    <w:p w14:paraId="5090FC14" w14:textId="4EA3E7A1" w:rsidR="00C87805" w:rsidRPr="0069700B" w:rsidRDefault="008C1E82" w:rsidP="008C1E8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Secretaría General de Gobierno, son los siguientes:</w:t>
      </w:r>
    </w:p>
    <w:p w14:paraId="6FD63A9E" w14:textId="77777777" w:rsidR="008C1E82" w:rsidRPr="0069700B" w:rsidRDefault="008C1E82" w:rsidP="008C1E82">
      <w:pPr>
        <w:spacing w:line="360" w:lineRule="auto"/>
        <w:ind w:left="567" w:right="567"/>
        <w:jc w:val="both"/>
        <w:rPr>
          <w:rFonts w:ascii="Palatino Linotype" w:hAnsi="Palatino Linotype" w:cs="Tahoma"/>
          <w:bCs/>
          <w:i/>
          <w:iCs/>
        </w:rPr>
      </w:pPr>
    </w:p>
    <w:p w14:paraId="0893BA06" w14:textId="3ABCD866" w:rsidR="008C1E82" w:rsidRPr="0069700B" w:rsidRDefault="008C1E82" w:rsidP="008C1E82">
      <w:pPr>
        <w:spacing w:line="360" w:lineRule="auto"/>
        <w:ind w:left="567" w:right="567"/>
        <w:jc w:val="both"/>
        <w:rPr>
          <w:rFonts w:ascii="Palatino Linotype" w:hAnsi="Palatino Linotype" w:cs="Tahoma"/>
          <w:bCs/>
          <w:i/>
          <w:iCs/>
        </w:rPr>
      </w:pPr>
      <w:r w:rsidRPr="0069700B">
        <w:rPr>
          <w:i/>
          <w:noProof/>
          <w:lang w:eastAsia="es-MX"/>
        </w:rPr>
        <w:drawing>
          <wp:inline distT="0" distB="0" distL="0" distR="0" wp14:anchorId="79C6A109" wp14:editId="46E8BD5B">
            <wp:extent cx="4981575" cy="13362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3361" cy="1339440"/>
                    </a:xfrm>
                    <a:prstGeom prst="rect">
                      <a:avLst/>
                    </a:prstGeom>
                  </pic:spPr>
                </pic:pic>
              </a:graphicData>
            </a:graphic>
          </wp:inline>
        </w:drawing>
      </w:r>
    </w:p>
    <w:p w14:paraId="69B51E8D" w14:textId="77777777" w:rsidR="008C1E82" w:rsidRPr="0069700B" w:rsidRDefault="008C1E82" w:rsidP="00940405">
      <w:pPr>
        <w:spacing w:line="360" w:lineRule="auto"/>
        <w:ind w:left="567" w:right="567"/>
        <w:jc w:val="both"/>
        <w:rPr>
          <w:rFonts w:ascii="Palatino Linotype" w:hAnsi="Palatino Linotype" w:cs="Tahoma"/>
          <w:bCs/>
          <w:i/>
          <w:iCs/>
        </w:rPr>
      </w:pPr>
    </w:p>
    <w:p w14:paraId="72BBEB5A" w14:textId="06D0CD4A" w:rsidR="008C1E82" w:rsidRPr="0069700B" w:rsidRDefault="008C1E82" w:rsidP="008C1E8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Luego entonces, atendiendo al acto impugnado presentado por el Recurrente, en donde expresa que éste Sujeto Obligado no entregó la información completa, solo su programa operativo anual y que faltaron los formatos PbRM 1a, PbRM 1b, PbRM 1c, PbRM 1 d, PbRM 1 e, PbRM 02a de todas las áreas del Centro de Control de Confianza del Estado de México, que corresponden a cada actividad programada, se reitera que dichos formatos no aplican para el Centro de Control de Confianza del Estado de México, por lo que este Sujeto Obligado no los genera, recopila, administra, maneja, procesa, archiva, o conserva, toda vez que dichos formatos corresponden al ámbito de competencia Municipal, tal y como lo establece el Manual para la Planeación, Programación y Presupuesto de Egresos Municipal para el Ejercicio Fiscal 2018, mismos que se describen a con</w:t>
      </w:r>
      <w:r w:rsidR="00886DB9" w:rsidRPr="0069700B">
        <w:rPr>
          <w:rFonts w:ascii="Palatino Linotype" w:hAnsi="Palatino Linotype" w:cs="Tahoma"/>
          <w:bCs/>
          <w:i/>
          <w:iCs/>
        </w:rPr>
        <w:t>tinuación de manera sintetizada:</w:t>
      </w:r>
    </w:p>
    <w:p w14:paraId="0988B4FF" w14:textId="53286D90" w:rsidR="008C1E82" w:rsidRPr="0069700B" w:rsidRDefault="00886DB9" w:rsidP="00940405">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w:t>
      </w:r>
    </w:p>
    <w:p w14:paraId="50FFFD8F" w14:textId="77777777" w:rsidR="00886DB9" w:rsidRPr="0069700B" w:rsidRDefault="00886DB9" w:rsidP="00940405">
      <w:pPr>
        <w:spacing w:line="360" w:lineRule="auto"/>
        <w:ind w:left="567" w:right="567"/>
        <w:jc w:val="both"/>
        <w:rPr>
          <w:rFonts w:ascii="Palatino Linotype" w:hAnsi="Palatino Linotype" w:cs="Tahoma"/>
          <w:bCs/>
          <w:i/>
          <w:iCs/>
        </w:rPr>
      </w:pPr>
    </w:p>
    <w:p w14:paraId="07AF4566" w14:textId="23003A2F" w:rsidR="00886DB9" w:rsidRPr="0069700B" w:rsidRDefault="00886DB9" w:rsidP="00886DB9">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Atento a lo anterior, dichos formatos se distinguen de los formatos que requisita éste Centro de Control de Confianza del Estado de México, por la sigla "M", la cual indica propiamente que se trata de Formatos de Presupuesto basado en Resultados Municipales (PbRM), que a diferencia de los Formatos que corresponden a esta Unidad Ejecutora son únicamente PbR, correspondientes al ámbito Estatal.</w:t>
      </w:r>
    </w:p>
    <w:p w14:paraId="5AC4DA70" w14:textId="77777777" w:rsidR="00886DB9" w:rsidRPr="0069700B" w:rsidRDefault="00886DB9" w:rsidP="00886DB9">
      <w:pPr>
        <w:spacing w:line="360" w:lineRule="auto"/>
        <w:ind w:left="567" w:right="567"/>
        <w:jc w:val="both"/>
        <w:rPr>
          <w:rFonts w:ascii="Palatino Linotype" w:hAnsi="Palatino Linotype" w:cs="Tahoma"/>
          <w:bCs/>
          <w:i/>
          <w:iCs/>
        </w:rPr>
      </w:pPr>
    </w:p>
    <w:p w14:paraId="32F8C463" w14:textId="0616C58B" w:rsidR="00886DB9" w:rsidRPr="0069700B" w:rsidRDefault="00886DB9" w:rsidP="00886DB9">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Asimismo, el Recurrente refiere que faltaron los formatos de todas las áreas de éste Sujeto Obligado, sin embargo, es necesario aclarar que de acuerdo al Manual para la Formulación del Anteproyecto de Presupuesto de Egresos del Gobierno del Estado de México para el ejercicio Fiscal 2018 , claramente se establece que el Programa Operativo Anual debe agrupar metas de actividad e indicadores de manera responsable y programar acciones e indicadores que sean prioritarios, a efecto de alcanzar un impacto sustantivo , y que al lograrse en cada uno de sus niveles se alcanza el objetivo establecido para el largo plazo, que se vincula a la visión estratégica del Plan de Desarrollo del Estado de México. A partir de esta descripción se infiere que ésta Unidad Ejecutora no desarrolla formatos de carácter</w:t>
      </w:r>
    </w:p>
    <w:p w14:paraId="4CFCF1D3" w14:textId="65587F39" w:rsidR="00886DB9" w:rsidRPr="0069700B" w:rsidRDefault="00886DB9" w:rsidP="00886DB9">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Municipal, ni se integra por las actividades de todas las áreas de éste Centro Estatal de manera individualizada, pues se enfoca en agrupar acciones e indicadores prioritarios en donde esencialmente se involucran algunas áreas vinculadas directamente con el proyecto denominado ‘Evaluación y Certificación para el Control de Confianza de los Elementos de Seguridad’.</w:t>
      </w:r>
    </w:p>
    <w:p w14:paraId="5C9459BA" w14:textId="77777777" w:rsidR="008C1E82" w:rsidRPr="0069700B" w:rsidRDefault="008C1E82" w:rsidP="00940405">
      <w:pPr>
        <w:spacing w:line="360" w:lineRule="auto"/>
        <w:ind w:left="567" w:right="567"/>
        <w:jc w:val="both"/>
        <w:rPr>
          <w:rFonts w:ascii="Palatino Linotype" w:hAnsi="Palatino Linotype" w:cs="Tahoma"/>
          <w:bCs/>
          <w:i/>
          <w:iCs/>
        </w:rPr>
      </w:pPr>
    </w:p>
    <w:p w14:paraId="1EF08DB2" w14:textId="45C471F1"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Ahora bien, en estricto apego al principio de suplencia de la deficiencia establecido en el artículo 24 fracción XXIV de la Ley de Transparencia y Acceso a la información Pública del</w:t>
      </w:r>
    </w:p>
    <w:p w14:paraId="0D78A8CE" w14:textId="1C53FB07"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Estado de México y Municipios, y garantizando el cumplimiento del principio de Máxima</w:t>
      </w:r>
    </w:p>
    <w:p w14:paraId="0679018D" w14:textId="00B14CC0"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Publicidad, me permito adjuntar los formatos PbR'S, del Programa Operativo Anual, descritos en la Tabla No . 3, que como Unidad Ejecutora son aplicables y requisita este Organismo.</w:t>
      </w:r>
    </w:p>
    <w:p w14:paraId="2CDA062B" w14:textId="77777777" w:rsidR="00C029D2" w:rsidRPr="0069700B" w:rsidRDefault="00C029D2" w:rsidP="00C029D2">
      <w:pPr>
        <w:spacing w:line="360" w:lineRule="auto"/>
        <w:ind w:left="567" w:right="567"/>
        <w:jc w:val="both"/>
        <w:rPr>
          <w:rFonts w:ascii="Palatino Linotype" w:hAnsi="Palatino Linotype" w:cs="Tahoma"/>
          <w:bCs/>
          <w:i/>
          <w:iCs/>
        </w:rPr>
      </w:pPr>
    </w:p>
    <w:p w14:paraId="63695107" w14:textId="33C409BD"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 xml:space="preserve">Por lo que con fundamento en el artículo 185 fracciones II y 111 de la Ley de Transparencia y Acceso a la Información Pública del Estado de México y Municipios, solicito se ponga a disposición de la Recurrente el presente informe justificado con los anexos de Formatos </w:t>
      </w:r>
      <w:r w:rsidR="00187D0D" w:rsidRPr="0069700B">
        <w:rPr>
          <w:rFonts w:ascii="Palatino Linotype" w:hAnsi="Palatino Linotype" w:cs="Tahoma"/>
          <w:bCs/>
          <w:i/>
          <w:iCs/>
        </w:rPr>
        <w:t>PbR</w:t>
      </w:r>
      <w:r w:rsidRPr="0069700B">
        <w:rPr>
          <w:rFonts w:ascii="Palatino Linotype" w:hAnsi="Palatino Linotype" w:cs="Tahoma"/>
          <w:bCs/>
          <w:i/>
          <w:iCs/>
        </w:rPr>
        <w:t>'S aplicables a éste Sujeto Obligado, a fin de que manifieste lo que su a su interés convenga.</w:t>
      </w:r>
    </w:p>
    <w:p w14:paraId="39A34103" w14:textId="77777777" w:rsidR="00C029D2" w:rsidRPr="0069700B" w:rsidRDefault="00C029D2" w:rsidP="00C029D2">
      <w:pPr>
        <w:spacing w:line="360" w:lineRule="auto"/>
        <w:ind w:left="567" w:right="567"/>
        <w:jc w:val="both"/>
        <w:rPr>
          <w:rFonts w:ascii="Palatino Linotype" w:hAnsi="Palatino Linotype" w:cs="Tahoma"/>
          <w:bCs/>
          <w:i/>
          <w:iCs/>
        </w:rPr>
      </w:pPr>
    </w:p>
    <w:p w14:paraId="432B5DBD" w14:textId="02B65FBF"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Por lo anteriormente expuesto y con fundamento en el artículo 185 fracción IV de la Ley de Transparencia y Acceso a la Información Pública del Estado de México y Municipios, ofrezco como prueba de convicción las siguientes:</w:t>
      </w:r>
    </w:p>
    <w:p w14:paraId="5CD07B98" w14:textId="77777777" w:rsidR="00C029D2" w:rsidRPr="0069700B" w:rsidRDefault="00C029D2" w:rsidP="00C029D2">
      <w:pPr>
        <w:spacing w:line="360" w:lineRule="auto"/>
        <w:ind w:left="567" w:right="567"/>
        <w:jc w:val="center"/>
        <w:rPr>
          <w:rFonts w:ascii="Arial" w:eastAsiaTheme="minorHAnsi" w:hAnsi="Arial" w:cs="Arial"/>
          <w:b/>
          <w:i/>
          <w:color w:val="1F1D22"/>
          <w:sz w:val="21"/>
          <w:szCs w:val="21"/>
          <w:lang w:eastAsia="en-US"/>
        </w:rPr>
      </w:pPr>
    </w:p>
    <w:p w14:paraId="70758624" w14:textId="1305B3D4" w:rsidR="00C029D2" w:rsidRPr="0069700B" w:rsidRDefault="00C029D2" w:rsidP="00C029D2">
      <w:pPr>
        <w:spacing w:line="360" w:lineRule="auto"/>
        <w:ind w:left="567" w:right="567"/>
        <w:jc w:val="center"/>
        <w:rPr>
          <w:rFonts w:ascii="Palatino Linotype" w:hAnsi="Palatino Linotype" w:cs="Tahoma"/>
          <w:b/>
          <w:bCs/>
          <w:i/>
          <w:iCs/>
        </w:rPr>
      </w:pPr>
      <w:r w:rsidRPr="0069700B">
        <w:rPr>
          <w:rFonts w:ascii="Arial" w:eastAsiaTheme="minorHAnsi" w:hAnsi="Arial" w:cs="Arial"/>
          <w:b/>
          <w:i/>
          <w:color w:val="1F1D22"/>
          <w:lang w:eastAsia="en-US"/>
        </w:rPr>
        <w:t>PRUEBAS</w:t>
      </w:r>
    </w:p>
    <w:p w14:paraId="67A7FCCD" w14:textId="77777777" w:rsidR="00C029D2" w:rsidRPr="0069700B" w:rsidRDefault="00C029D2" w:rsidP="00940405">
      <w:pPr>
        <w:spacing w:line="360" w:lineRule="auto"/>
        <w:ind w:left="567" w:right="567"/>
        <w:jc w:val="both"/>
        <w:rPr>
          <w:rFonts w:ascii="Palatino Linotype" w:hAnsi="Palatino Linotype" w:cs="Tahoma"/>
          <w:bCs/>
          <w:i/>
          <w:iCs/>
        </w:rPr>
      </w:pPr>
    </w:p>
    <w:p w14:paraId="21A7B420" w14:textId="40011F26"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1. PRESUNCIONAL EN SU DOBLE ASPECTO LEGAL Y HUMANA: En todo lo que favorezca al interés de éste Sujeto Obligado.</w:t>
      </w:r>
    </w:p>
    <w:p w14:paraId="68A9F1B4" w14:textId="77777777" w:rsidR="00C029D2" w:rsidRPr="0069700B" w:rsidRDefault="00C029D2" w:rsidP="00C029D2">
      <w:pPr>
        <w:spacing w:line="360" w:lineRule="auto"/>
        <w:ind w:left="567" w:right="567"/>
        <w:jc w:val="both"/>
        <w:rPr>
          <w:rFonts w:ascii="Palatino Linotype" w:hAnsi="Palatino Linotype" w:cs="Tahoma"/>
          <w:bCs/>
          <w:i/>
          <w:iCs/>
        </w:rPr>
      </w:pPr>
    </w:p>
    <w:p w14:paraId="14880F15" w14:textId="5D24BA89"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2. INSTRUMENTAL DE ACTUACIONES: Consistente en todo lo que se actúe en el presente Recurso de Revisión y que beneficie a los intereses de éste Sujeto Obligado.</w:t>
      </w:r>
    </w:p>
    <w:p w14:paraId="6514F242" w14:textId="77777777" w:rsidR="00C029D2" w:rsidRPr="0069700B" w:rsidRDefault="00C029D2" w:rsidP="00C029D2">
      <w:pPr>
        <w:spacing w:line="360" w:lineRule="auto"/>
        <w:ind w:left="567" w:right="567"/>
        <w:jc w:val="both"/>
        <w:rPr>
          <w:rFonts w:ascii="Palatino Linotype" w:hAnsi="Palatino Linotype" w:cs="Tahoma"/>
          <w:bCs/>
          <w:i/>
          <w:iCs/>
        </w:rPr>
      </w:pPr>
    </w:p>
    <w:p w14:paraId="033C157D" w14:textId="7EA6B048"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Por lo anteriormente expuesto y fundado, a usted C. Comisionado del Instituto de Transparencia y Acceso a la Información Pública y Protección de datos Personales del Estado de México y Municipios, atentamente pido:</w:t>
      </w:r>
    </w:p>
    <w:p w14:paraId="0D8AFF0C" w14:textId="77777777" w:rsidR="00835D0D" w:rsidRPr="0069700B" w:rsidRDefault="00835D0D" w:rsidP="00C029D2">
      <w:pPr>
        <w:spacing w:line="360" w:lineRule="auto"/>
        <w:ind w:left="567" w:right="567"/>
        <w:jc w:val="both"/>
        <w:rPr>
          <w:rFonts w:ascii="Palatino Linotype" w:hAnsi="Palatino Linotype" w:cs="Tahoma"/>
          <w:bCs/>
          <w:i/>
          <w:iCs/>
        </w:rPr>
      </w:pPr>
    </w:p>
    <w:p w14:paraId="2F117ADC" w14:textId="19B88602"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
          <w:bCs/>
          <w:i/>
          <w:iCs/>
        </w:rPr>
        <w:t>PRIMERO:</w:t>
      </w:r>
      <w:r w:rsidRPr="0069700B">
        <w:rPr>
          <w:rFonts w:ascii="Palatino Linotype" w:hAnsi="Palatino Linotype" w:cs="Tahoma"/>
          <w:bCs/>
          <w:i/>
          <w:iCs/>
        </w:rPr>
        <w:t xml:space="preserve"> Tenerme por presentado el escrito de cuenta en tiempo y forma y por realizadas</w:t>
      </w:r>
      <w:r w:rsidR="00835D0D" w:rsidRPr="0069700B">
        <w:rPr>
          <w:rFonts w:ascii="Palatino Linotype" w:hAnsi="Palatino Linotype" w:cs="Tahoma"/>
          <w:bCs/>
          <w:i/>
          <w:iCs/>
        </w:rPr>
        <w:t xml:space="preserve"> </w:t>
      </w:r>
      <w:r w:rsidRPr="0069700B">
        <w:rPr>
          <w:rFonts w:ascii="Palatino Linotype" w:hAnsi="Palatino Linotype" w:cs="Tahoma"/>
          <w:bCs/>
          <w:i/>
          <w:iCs/>
        </w:rPr>
        <w:t>las expresiones que en él manifiesto.</w:t>
      </w:r>
    </w:p>
    <w:p w14:paraId="56F9C31B" w14:textId="77777777" w:rsidR="00835D0D" w:rsidRPr="0069700B" w:rsidRDefault="00835D0D" w:rsidP="00C029D2">
      <w:pPr>
        <w:spacing w:line="360" w:lineRule="auto"/>
        <w:ind w:left="567" w:right="567"/>
        <w:jc w:val="both"/>
        <w:rPr>
          <w:rFonts w:ascii="Palatino Linotype" w:hAnsi="Palatino Linotype" w:cs="Tahoma"/>
          <w:bCs/>
          <w:i/>
          <w:iCs/>
        </w:rPr>
      </w:pPr>
    </w:p>
    <w:p w14:paraId="16E456E8" w14:textId="313F1CB5"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
          <w:bCs/>
          <w:i/>
          <w:iCs/>
        </w:rPr>
        <w:t>SEGUNDO:</w:t>
      </w:r>
      <w:r w:rsidRPr="0069700B">
        <w:rPr>
          <w:rFonts w:ascii="Palatino Linotype" w:hAnsi="Palatino Linotype" w:cs="Tahoma"/>
          <w:bCs/>
          <w:i/>
          <w:iCs/>
        </w:rPr>
        <w:t xml:space="preserve"> Resolver conforme a derecho en estricta observancia a los princ</w:t>
      </w:r>
      <w:r w:rsidR="00835D0D" w:rsidRPr="0069700B">
        <w:rPr>
          <w:rFonts w:ascii="Palatino Linotype" w:hAnsi="Palatino Linotype" w:cs="Tahoma"/>
          <w:bCs/>
          <w:i/>
          <w:iCs/>
        </w:rPr>
        <w:t>i</w:t>
      </w:r>
      <w:r w:rsidRPr="0069700B">
        <w:rPr>
          <w:rFonts w:ascii="Palatino Linotype" w:hAnsi="Palatino Linotype" w:cs="Tahoma"/>
          <w:bCs/>
          <w:i/>
          <w:iCs/>
        </w:rPr>
        <w:t>p</w:t>
      </w:r>
      <w:r w:rsidR="00835D0D" w:rsidRPr="0069700B">
        <w:rPr>
          <w:rFonts w:ascii="Palatino Linotype" w:hAnsi="Palatino Linotype" w:cs="Tahoma"/>
          <w:bCs/>
          <w:i/>
          <w:iCs/>
        </w:rPr>
        <w:t>i</w:t>
      </w:r>
      <w:r w:rsidRPr="0069700B">
        <w:rPr>
          <w:rFonts w:ascii="Palatino Linotype" w:hAnsi="Palatino Linotype" w:cs="Tahoma"/>
          <w:bCs/>
          <w:i/>
          <w:iCs/>
        </w:rPr>
        <w:t>os de</w:t>
      </w:r>
      <w:r w:rsidR="00835D0D" w:rsidRPr="0069700B">
        <w:rPr>
          <w:rFonts w:ascii="Palatino Linotype" w:hAnsi="Palatino Linotype" w:cs="Tahoma"/>
          <w:bCs/>
          <w:i/>
          <w:iCs/>
        </w:rPr>
        <w:t xml:space="preserve"> </w:t>
      </w:r>
      <w:r w:rsidRPr="0069700B">
        <w:rPr>
          <w:rFonts w:ascii="Palatino Linotype" w:hAnsi="Palatino Linotype" w:cs="Tahoma"/>
          <w:bCs/>
          <w:i/>
          <w:iCs/>
        </w:rPr>
        <w:t>legalidad, imparcialidad , objetividad dentro del marco de la ley respecto de la información</w:t>
      </w:r>
      <w:r w:rsidR="00835D0D" w:rsidRPr="0069700B">
        <w:rPr>
          <w:rFonts w:ascii="Palatino Linotype" w:hAnsi="Palatino Linotype" w:cs="Tahoma"/>
          <w:bCs/>
          <w:i/>
          <w:iCs/>
        </w:rPr>
        <w:t xml:space="preserve"> </w:t>
      </w:r>
      <w:r w:rsidRPr="0069700B">
        <w:rPr>
          <w:rFonts w:ascii="Palatino Linotype" w:hAnsi="Palatino Linotype" w:cs="Tahoma"/>
          <w:bCs/>
          <w:i/>
          <w:iCs/>
        </w:rPr>
        <w:t>que obra en los archivos de éste Sujeto Obligado, de acuerdo a su ámbito de competencia.</w:t>
      </w:r>
    </w:p>
    <w:p w14:paraId="5D3D1AE0" w14:textId="77777777" w:rsidR="00835D0D" w:rsidRPr="0069700B" w:rsidRDefault="00835D0D" w:rsidP="00C029D2">
      <w:pPr>
        <w:spacing w:line="360" w:lineRule="auto"/>
        <w:ind w:left="567" w:right="567"/>
        <w:jc w:val="both"/>
        <w:rPr>
          <w:rFonts w:ascii="Palatino Linotype" w:hAnsi="Palatino Linotype" w:cs="Tahoma"/>
          <w:bCs/>
          <w:i/>
          <w:iCs/>
        </w:rPr>
      </w:pPr>
    </w:p>
    <w:p w14:paraId="329A29B4" w14:textId="1AAB22DB" w:rsidR="00C029D2" w:rsidRPr="0069700B" w:rsidRDefault="00C029D2" w:rsidP="00C029D2">
      <w:pPr>
        <w:spacing w:line="360" w:lineRule="auto"/>
        <w:ind w:left="567" w:right="567"/>
        <w:jc w:val="both"/>
        <w:rPr>
          <w:rFonts w:ascii="Palatino Linotype" w:hAnsi="Palatino Linotype" w:cs="Tahoma"/>
          <w:bCs/>
          <w:i/>
          <w:iCs/>
        </w:rPr>
      </w:pPr>
      <w:r w:rsidRPr="0069700B">
        <w:rPr>
          <w:rFonts w:ascii="Palatino Linotype" w:hAnsi="Palatino Linotype" w:cs="Tahoma"/>
          <w:b/>
          <w:bCs/>
          <w:i/>
          <w:iCs/>
        </w:rPr>
        <w:t xml:space="preserve">TERCERO: </w:t>
      </w:r>
      <w:r w:rsidRPr="0069700B">
        <w:rPr>
          <w:rFonts w:ascii="Palatino Linotype" w:hAnsi="Palatino Linotype" w:cs="Tahoma"/>
          <w:bCs/>
          <w:i/>
          <w:iCs/>
        </w:rPr>
        <w:t>Resolver en cuanto al contenido expreso de la información solicitada, no</w:t>
      </w:r>
      <w:r w:rsidR="00835D0D" w:rsidRPr="0069700B">
        <w:rPr>
          <w:rFonts w:ascii="Palatino Linotype" w:hAnsi="Palatino Linotype" w:cs="Tahoma"/>
          <w:bCs/>
          <w:i/>
          <w:iCs/>
        </w:rPr>
        <w:t xml:space="preserve"> </w:t>
      </w:r>
      <w:r w:rsidRPr="0069700B">
        <w:rPr>
          <w:rFonts w:ascii="Palatino Linotype" w:hAnsi="Palatino Linotype" w:cs="Tahoma"/>
          <w:bCs/>
          <w:i/>
          <w:iCs/>
        </w:rPr>
        <w:t>excediendo en el principio de suplencia de la deficiencia de la queja a favor del Recurrente.</w:t>
      </w:r>
    </w:p>
    <w:p w14:paraId="620C7E44" w14:textId="2E40DDC6" w:rsidR="00940405" w:rsidRPr="0069700B" w:rsidRDefault="00940405" w:rsidP="00940405">
      <w:pPr>
        <w:spacing w:line="360" w:lineRule="auto"/>
        <w:ind w:left="567" w:right="567"/>
        <w:jc w:val="both"/>
        <w:rPr>
          <w:rFonts w:ascii="Palatino Linotype" w:hAnsi="Palatino Linotype" w:cs="Tahoma"/>
          <w:bCs/>
          <w:i/>
          <w:iCs/>
        </w:rPr>
      </w:pPr>
      <w:r w:rsidRPr="0069700B">
        <w:rPr>
          <w:rFonts w:ascii="Palatino Linotype" w:hAnsi="Palatino Linotype" w:cs="Tahoma"/>
          <w:bCs/>
          <w:i/>
          <w:iCs/>
        </w:rPr>
        <w:t>…” (Sic)</w:t>
      </w:r>
    </w:p>
    <w:p w14:paraId="10BB0BEB" w14:textId="77777777" w:rsidR="00F444DC" w:rsidRDefault="00F444DC" w:rsidP="00564755">
      <w:pPr>
        <w:spacing w:line="360" w:lineRule="auto"/>
        <w:jc w:val="both"/>
        <w:rPr>
          <w:rFonts w:ascii="Palatino Linotype" w:hAnsi="Palatino Linotype" w:cs="Tahoma"/>
          <w:bCs/>
          <w:iCs/>
          <w:sz w:val="22"/>
          <w:szCs w:val="24"/>
          <w:lang w:val="es-ES"/>
        </w:rPr>
      </w:pPr>
    </w:p>
    <w:p w14:paraId="3B993F18" w14:textId="77777777" w:rsidR="00804CB7" w:rsidRDefault="00835D0D" w:rsidP="00564755">
      <w:pPr>
        <w:spacing w:line="360" w:lineRule="auto"/>
        <w:jc w:val="both"/>
        <w:rPr>
          <w:rFonts w:ascii="Palatino Linotype" w:hAnsi="Palatino Linotype" w:cs="Tahoma"/>
          <w:bCs/>
          <w:iCs/>
          <w:sz w:val="22"/>
          <w:szCs w:val="24"/>
          <w:lang w:val="es-ES"/>
        </w:rPr>
      </w:pPr>
      <w:r>
        <w:rPr>
          <w:rFonts w:ascii="Palatino Linotype" w:hAnsi="Palatino Linotype" w:cs="Tahoma"/>
          <w:bCs/>
          <w:iCs/>
          <w:sz w:val="22"/>
          <w:szCs w:val="24"/>
          <w:lang w:val="es-ES"/>
        </w:rPr>
        <w:t>El Sujeto Obligado a</w:t>
      </w:r>
      <w:r w:rsidR="002317C8">
        <w:rPr>
          <w:rFonts w:ascii="Palatino Linotype" w:hAnsi="Palatino Linotype" w:cs="Tahoma"/>
          <w:bCs/>
          <w:iCs/>
          <w:sz w:val="22"/>
          <w:szCs w:val="24"/>
          <w:lang w:val="es-ES"/>
        </w:rPr>
        <w:t xml:space="preserve">djuntó la digitalización de </w:t>
      </w:r>
      <w:r w:rsidR="00804CB7">
        <w:rPr>
          <w:rFonts w:ascii="Palatino Linotype" w:hAnsi="Palatino Linotype" w:cs="Tahoma"/>
          <w:bCs/>
          <w:iCs/>
          <w:sz w:val="22"/>
          <w:szCs w:val="24"/>
          <w:lang w:val="es-ES"/>
        </w:rPr>
        <w:t>lo siguiente:</w:t>
      </w:r>
    </w:p>
    <w:p w14:paraId="4ED35D14" w14:textId="77777777" w:rsidR="00116897" w:rsidRDefault="00116897" w:rsidP="00564755">
      <w:pPr>
        <w:spacing w:line="360" w:lineRule="auto"/>
        <w:jc w:val="both"/>
        <w:rPr>
          <w:rFonts w:ascii="Palatino Linotype" w:hAnsi="Palatino Linotype" w:cs="Tahoma"/>
          <w:bCs/>
          <w:iCs/>
          <w:sz w:val="22"/>
          <w:szCs w:val="24"/>
          <w:lang w:val="es-ES"/>
        </w:rPr>
      </w:pPr>
    </w:p>
    <w:p w14:paraId="3264EA93" w14:textId="5F077AFA" w:rsidR="00835D0D" w:rsidRDefault="00804CB7" w:rsidP="00564755">
      <w:pPr>
        <w:spacing w:line="360" w:lineRule="auto"/>
        <w:jc w:val="both"/>
        <w:rPr>
          <w:rFonts w:ascii="Palatino Linotype" w:hAnsi="Palatino Linotype" w:cs="Tahoma"/>
          <w:bCs/>
          <w:iCs/>
          <w:sz w:val="22"/>
          <w:szCs w:val="24"/>
          <w:lang w:val="es-ES"/>
        </w:rPr>
      </w:pPr>
      <w:r>
        <w:rPr>
          <w:rFonts w:ascii="Palatino Linotype" w:hAnsi="Palatino Linotype" w:cs="Tahoma"/>
          <w:bCs/>
          <w:iCs/>
          <w:sz w:val="22"/>
          <w:szCs w:val="24"/>
          <w:lang w:val="es-ES"/>
        </w:rPr>
        <w:t>i) F</w:t>
      </w:r>
      <w:r w:rsidR="002317C8">
        <w:rPr>
          <w:rFonts w:ascii="Palatino Linotype" w:hAnsi="Palatino Linotype" w:cs="Tahoma"/>
          <w:bCs/>
          <w:iCs/>
          <w:sz w:val="22"/>
          <w:szCs w:val="24"/>
          <w:lang w:val="es-ES"/>
        </w:rPr>
        <w:t>ormatos PbR_01</w:t>
      </w:r>
      <w:r w:rsidR="00624F8D">
        <w:rPr>
          <w:rFonts w:ascii="Palatino Linotype" w:hAnsi="Palatino Linotype" w:cs="Tahoma"/>
          <w:bCs/>
          <w:iCs/>
          <w:sz w:val="22"/>
          <w:szCs w:val="24"/>
          <w:lang w:val="es-ES"/>
        </w:rPr>
        <w:t>a</w:t>
      </w:r>
      <w:r w:rsidR="002317C8">
        <w:rPr>
          <w:rFonts w:ascii="Palatino Linotype" w:hAnsi="Palatino Linotype" w:cs="Tahoma"/>
          <w:bCs/>
          <w:iCs/>
          <w:sz w:val="22"/>
          <w:szCs w:val="24"/>
          <w:lang w:val="es-ES"/>
        </w:rPr>
        <w:t xml:space="preserve"> (Fiscalización, control y evaluación interna de la gestión pública y </w:t>
      </w:r>
      <w:r w:rsidR="00624F8D">
        <w:rPr>
          <w:rFonts w:ascii="Palatino Linotype" w:hAnsi="Palatino Linotype" w:cs="Tahoma"/>
          <w:bCs/>
          <w:iCs/>
          <w:sz w:val="22"/>
          <w:szCs w:val="24"/>
          <w:lang w:val="es-ES"/>
        </w:rPr>
        <w:t>Evaluación y certificación para el control de confianza de los elementos de seguridad</w:t>
      </w:r>
      <w:r w:rsidR="002317C8">
        <w:rPr>
          <w:rFonts w:ascii="Palatino Linotype" w:hAnsi="Palatino Linotype" w:cs="Tahoma"/>
          <w:bCs/>
          <w:iCs/>
          <w:sz w:val="22"/>
          <w:szCs w:val="24"/>
          <w:lang w:val="es-ES"/>
        </w:rPr>
        <w:t>)</w:t>
      </w:r>
      <w:r w:rsidR="00624F8D">
        <w:rPr>
          <w:rFonts w:ascii="Palatino Linotype" w:hAnsi="Palatino Linotype" w:cs="Tahoma"/>
          <w:bCs/>
          <w:iCs/>
          <w:sz w:val="22"/>
          <w:szCs w:val="24"/>
          <w:lang w:val="es-ES"/>
        </w:rPr>
        <w:t xml:space="preserve">, </w:t>
      </w:r>
      <w:r w:rsidR="00624F8D" w:rsidRPr="00624F8D">
        <w:rPr>
          <w:rFonts w:ascii="Palatino Linotype" w:hAnsi="Palatino Linotype" w:cs="Tahoma"/>
          <w:bCs/>
          <w:iCs/>
          <w:sz w:val="22"/>
          <w:szCs w:val="24"/>
          <w:lang w:val="es-ES"/>
        </w:rPr>
        <w:t>PbR_0</w:t>
      </w:r>
      <w:r w:rsidR="00624F8D">
        <w:rPr>
          <w:rFonts w:ascii="Palatino Linotype" w:hAnsi="Palatino Linotype" w:cs="Tahoma"/>
          <w:bCs/>
          <w:iCs/>
          <w:sz w:val="22"/>
          <w:szCs w:val="24"/>
          <w:lang w:val="es-ES"/>
        </w:rPr>
        <w:t>2a (</w:t>
      </w:r>
      <w:r w:rsidR="00624F8D" w:rsidRPr="00624F8D">
        <w:rPr>
          <w:rFonts w:ascii="Palatino Linotype" w:hAnsi="Palatino Linotype" w:cs="Tahoma"/>
          <w:bCs/>
          <w:iCs/>
          <w:sz w:val="22"/>
          <w:szCs w:val="24"/>
          <w:lang w:val="es-ES"/>
        </w:rPr>
        <w:t>Fiscalización, control y evaluación interna de la gestión pública y Evaluación y certificación para el control de confianza de los elementos de seguridad</w:t>
      </w:r>
      <w:r w:rsidR="00624F8D">
        <w:rPr>
          <w:rFonts w:ascii="Palatino Linotype" w:hAnsi="Palatino Linotype" w:cs="Tahoma"/>
          <w:bCs/>
          <w:iCs/>
          <w:sz w:val="22"/>
          <w:szCs w:val="24"/>
          <w:lang w:val="es-ES"/>
        </w:rPr>
        <w:t xml:space="preserve">), </w:t>
      </w:r>
      <w:r w:rsidR="00624F8D" w:rsidRPr="00624F8D">
        <w:rPr>
          <w:rFonts w:ascii="Palatino Linotype" w:hAnsi="Palatino Linotype" w:cs="Tahoma"/>
          <w:bCs/>
          <w:iCs/>
          <w:sz w:val="22"/>
          <w:szCs w:val="24"/>
          <w:lang w:val="es-ES"/>
        </w:rPr>
        <w:t>PbR_0</w:t>
      </w:r>
      <w:r w:rsidR="00624F8D">
        <w:rPr>
          <w:rFonts w:ascii="Palatino Linotype" w:hAnsi="Palatino Linotype" w:cs="Tahoma"/>
          <w:bCs/>
          <w:iCs/>
          <w:sz w:val="22"/>
          <w:szCs w:val="24"/>
          <w:lang w:val="es-ES"/>
        </w:rPr>
        <w:t>3a</w:t>
      </w:r>
      <w:r w:rsidR="00FF7F6C">
        <w:rPr>
          <w:rFonts w:ascii="Palatino Linotype" w:hAnsi="Palatino Linotype" w:cs="Tahoma"/>
          <w:bCs/>
          <w:iCs/>
          <w:sz w:val="22"/>
          <w:szCs w:val="24"/>
          <w:lang w:val="es-ES"/>
        </w:rPr>
        <w:t xml:space="preserve">, </w:t>
      </w:r>
      <w:r w:rsidR="00FF7F6C" w:rsidRPr="00FF7F6C">
        <w:rPr>
          <w:rFonts w:ascii="Palatino Linotype" w:hAnsi="Palatino Linotype" w:cs="Tahoma"/>
          <w:bCs/>
          <w:iCs/>
          <w:sz w:val="22"/>
          <w:szCs w:val="24"/>
          <w:lang w:val="es-ES"/>
        </w:rPr>
        <w:t>PbR_0</w:t>
      </w:r>
      <w:r w:rsidR="00FF7F6C">
        <w:rPr>
          <w:rFonts w:ascii="Palatino Linotype" w:hAnsi="Palatino Linotype" w:cs="Tahoma"/>
          <w:bCs/>
          <w:iCs/>
          <w:sz w:val="22"/>
          <w:szCs w:val="24"/>
          <w:lang w:val="es-ES"/>
        </w:rPr>
        <w:t xml:space="preserve">3b, </w:t>
      </w:r>
      <w:r w:rsidR="00FF7F6C" w:rsidRPr="00FF7F6C">
        <w:rPr>
          <w:rFonts w:ascii="Palatino Linotype" w:hAnsi="Palatino Linotype" w:cs="Tahoma"/>
          <w:bCs/>
          <w:iCs/>
          <w:sz w:val="22"/>
          <w:szCs w:val="24"/>
          <w:lang w:val="es-ES"/>
        </w:rPr>
        <w:t>PbR_0</w:t>
      </w:r>
      <w:r w:rsidR="00FF7F6C">
        <w:rPr>
          <w:rFonts w:ascii="Palatino Linotype" w:hAnsi="Palatino Linotype" w:cs="Tahoma"/>
          <w:bCs/>
          <w:iCs/>
          <w:sz w:val="22"/>
          <w:szCs w:val="24"/>
          <w:lang w:val="es-ES"/>
        </w:rPr>
        <w:t>9a (</w:t>
      </w:r>
      <w:r w:rsidR="00FF7F6C" w:rsidRPr="00FF7F6C">
        <w:rPr>
          <w:rFonts w:ascii="Palatino Linotype" w:hAnsi="Palatino Linotype" w:cs="Tahoma"/>
          <w:bCs/>
          <w:iCs/>
          <w:sz w:val="22"/>
          <w:szCs w:val="24"/>
          <w:lang w:val="es-ES"/>
        </w:rPr>
        <w:t>Fiscalización, control y evaluación interna de la gestión pública y Evaluación y certificación para el control de confianza de los elementos de seguridad</w:t>
      </w:r>
      <w:r w:rsidR="00FF7F6C">
        <w:rPr>
          <w:rFonts w:ascii="Palatino Linotype" w:hAnsi="Palatino Linotype" w:cs="Tahoma"/>
          <w:bCs/>
          <w:iCs/>
          <w:sz w:val="22"/>
          <w:szCs w:val="24"/>
          <w:lang w:val="es-ES"/>
        </w:rPr>
        <w:t>), Pbr-11a</w:t>
      </w:r>
      <w:r w:rsidR="0013720F">
        <w:rPr>
          <w:rFonts w:ascii="Palatino Linotype" w:hAnsi="Palatino Linotype" w:cs="Tahoma"/>
          <w:bCs/>
          <w:iCs/>
          <w:sz w:val="22"/>
          <w:szCs w:val="24"/>
          <w:lang w:val="es-ES"/>
        </w:rPr>
        <w:t xml:space="preserve"> Cuarto Trimestre (</w:t>
      </w:r>
      <w:r w:rsidR="0013720F" w:rsidRPr="0013720F">
        <w:rPr>
          <w:rFonts w:ascii="Palatino Linotype" w:hAnsi="Palatino Linotype" w:cs="Tahoma"/>
          <w:bCs/>
          <w:iCs/>
          <w:sz w:val="22"/>
          <w:szCs w:val="24"/>
          <w:lang w:val="es-ES"/>
        </w:rPr>
        <w:t>Fiscalización, control y evaluación interna de la gestión p</w:t>
      </w:r>
      <w:r w:rsidR="0013720F">
        <w:rPr>
          <w:rFonts w:ascii="Palatino Linotype" w:hAnsi="Palatino Linotype" w:cs="Tahoma"/>
          <w:bCs/>
          <w:iCs/>
          <w:sz w:val="22"/>
          <w:szCs w:val="24"/>
          <w:lang w:val="es-ES"/>
        </w:rPr>
        <w:t xml:space="preserve">ública, </w:t>
      </w:r>
      <w:r w:rsidR="0013720F" w:rsidRPr="0013720F">
        <w:rPr>
          <w:rFonts w:ascii="Palatino Linotype" w:hAnsi="Palatino Linotype" w:cs="Tahoma"/>
          <w:bCs/>
          <w:iCs/>
          <w:sz w:val="22"/>
          <w:szCs w:val="24"/>
          <w:lang w:val="es-ES"/>
        </w:rPr>
        <w:t xml:space="preserve"> Evaluación y certificación para el control de confianza de los elementos de seguridad</w:t>
      </w:r>
      <w:r w:rsidR="0013720F">
        <w:rPr>
          <w:rFonts w:ascii="Palatino Linotype" w:hAnsi="Palatino Linotype" w:cs="Tahoma"/>
          <w:bCs/>
          <w:iCs/>
          <w:sz w:val="22"/>
          <w:szCs w:val="24"/>
          <w:lang w:val="es-ES"/>
        </w:rPr>
        <w:t xml:space="preserve"> y Pasivos derivados de erogaciones devengadas y pendientes de ejercicios anteriores) y Pbr-13</w:t>
      </w:r>
      <w:r w:rsidR="0013720F" w:rsidRPr="0013720F">
        <w:rPr>
          <w:rFonts w:ascii="Palatino Linotype" w:hAnsi="Palatino Linotype" w:cs="Tahoma"/>
          <w:bCs/>
          <w:iCs/>
          <w:sz w:val="22"/>
          <w:szCs w:val="24"/>
          <w:lang w:val="es-ES"/>
        </w:rPr>
        <w:t>a Cuarto Trimestre (Fiscalización, control y evaluación interna de la gestión pública,  Evaluación y certificación para el control de confianza de los elementos de seguridad y Pasivos derivados de erogaciones devengadas y pendientes de ejercicios anteriores)</w:t>
      </w:r>
    </w:p>
    <w:p w14:paraId="0765DA58" w14:textId="77777777" w:rsidR="00F444DC" w:rsidRDefault="00F444DC" w:rsidP="00564755">
      <w:pPr>
        <w:spacing w:line="360" w:lineRule="auto"/>
        <w:jc w:val="both"/>
        <w:rPr>
          <w:rFonts w:ascii="Palatino Linotype" w:hAnsi="Palatino Linotype" w:cs="Tahoma"/>
          <w:bCs/>
          <w:iCs/>
          <w:sz w:val="22"/>
          <w:szCs w:val="24"/>
          <w:lang w:val="es-ES"/>
        </w:rPr>
      </w:pPr>
    </w:p>
    <w:p w14:paraId="364A161B" w14:textId="390EAF40" w:rsidR="00396A2C" w:rsidRDefault="00804CB7" w:rsidP="00564755">
      <w:pPr>
        <w:spacing w:line="360" w:lineRule="auto"/>
        <w:jc w:val="both"/>
        <w:rPr>
          <w:rFonts w:ascii="Palatino Linotype" w:hAnsi="Palatino Linotype" w:cs="Tahoma"/>
          <w:bCs/>
          <w:iCs/>
          <w:sz w:val="22"/>
          <w:szCs w:val="24"/>
          <w:lang w:val="es-ES"/>
        </w:rPr>
      </w:pPr>
      <w:r>
        <w:rPr>
          <w:rFonts w:ascii="Palatino Linotype" w:hAnsi="Palatino Linotype" w:cs="Tahoma"/>
          <w:bCs/>
          <w:iCs/>
          <w:sz w:val="22"/>
          <w:szCs w:val="24"/>
          <w:lang w:val="es-ES"/>
        </w:rPr>
        <w:t>ii) Oficio número 2202H10000/7197/2017, del veinte de diciembre de dos mil diecisiete, suscrito por la Directora General y dirigido a la Directora General de Información, Planeación y Evaluación, ambas del Centro de Control de Confianza del Estado de México, mediante el cual remite la calendarización de metas e indicadores para el ejercicio fiscal 2018, mismos que fueron registrados en el Sistema de Planeación y Presupuesto</w:t>
      </w:r>
      <w:r w:rsidR="00D03A5B">
        <w:rPr>
          <w:rFonts w:ascii="Palatino Linotype" w:hAnsi="Palatino Linotype" w:cs="Tahoma"/>
          <w:bCs/>
          <w:iCs/>
          <w:sz w:val="22"/>
          <w:szCs w:val="24"/>
          <w:lang w:val="es-ES"/>
        </w:rPr>
        <w:t xml:space="preserve"> y el respectivo acuse de cierre con número 274.</w:t>
      </w:r>
    </w:p>
    <w:p w14:paraId="6C3B12DE" w14:textId="77777777" w:rsidR="00804CB7" w:rsidRDefault="00804CB7" w:rsidP="00564755">
      <w:pPr>
        <w:spacing w:line="360" w:lineRule="auto"/>
        <w:jc w:val="both"/>
        <w:rPr>
          <w:rFonts w:ascii="Palatino Linotype" w:hAnsi="Palatino Linotype" w:cs="Tahoma"/>
          <w:bCs/>
          <w:iCs/>
          <w:sz w:val="22"/>
          <w:szCs w:val="24"/>
          <w:lang w:val="es-ES"/>
        </w:rPr>
      </w:pPr>
    </w:p>
    <w:p w14:paraId="4B7AC475" w14:textId="207AF191" w:rsidR="00E10339" w:rsidRPr="00E10339" w:rsidRDefault="00E10339" w:rsidP="00E10339">
      <w:pPr>
        <w:spacing w:line="360" w:lineRule="auto"/>
        <w:jc w:val="both"/>
        <w:rPr>
          <w:rFonts w:ascii="Palatino Linotype" w:hAnsi="Palatino Linotype" w:cs="Tahoma"/>
          <w:bCs/>
          <w:iCs/>
          <w:sz w:val="22"/>
          <w:szCs w:val="24"/>
          <w:lang w:val="es-ES"/>
        </w:rPr>
      </w:pPr>
      <w:r w:rsidRPr="00E10339">
        <w:rPr>
          <w:rFonts w:ascii="Palatino Linotype" w:hAnsi="Palatino Linotype" w:cs="Tahoma"/>
          <w:bCs/>
          <w:iCs/>
          <w:sz w:val="22"/>
          <w:szCs w:val="24"/>
          <w:lang w:val="es-ES"/>
        </w:rPr>
        <w:t>Informe Justificado del Recurso de Revisión con número 00087</w:t>
      </w:r>
      <w:r>
        <w:rPr>
          <w:rFonts w:ascii="Palatino Linotype" w:hAnsi="Palatino Linotype" w:cs="Tahoma"/>
          <w:bCs/>
          <w:iCs/>
          <w:sz w:val="22"/>
          <w:szCs w:val="24"/>
          <w:lang w:val="es-ES"/>
        </w:rPr>
        <w:t>2</w:t>
      </w:r>
      <w:r w:rsidRPr="00E10339">
        <w:rPr>
          <w:rFonts w:ascii="Palatino Linotype" w:hAnsi="Palatino Linotype" w:cs="Tahoma"/>
          <w:bCs/>
          <w:iCs/>
          <w:sz w:val="22"/>
          <w:szCs w:val="24"/>
          <w:lang w:val="es-ES"/>
        </w:rPr>
        <w:t xml:space="preserve">/INFOEM/IP/RR/2019, del siete de marzo de dos mil diecinueve, suscrito por el Titular de la Unidad de Transparencia del Sujeto Obligado y dirigido al Comisionado Ponente, cuyo contenido </w:t>
      </w:r>
      <w:r w:rsidR="00520FF8">
        <w:rPr>
          <w:rFonts w:ascii="Palatino Linotype" w:hAnsi="Palatino Linotype" w:cs="Tahoma"/>
          <w:bCs/>
          <w:iCs/>
          <w:sz w:val="22"/>
          <w:szCs w:val="24"/>
          <w:lang w:val="es-ES"/>
        </w:rPr>
        <w:t xml:space="preserve">es en los mismos términos que el Informe referente al diverso </w:t>
      </w:r>
      <w:r w:rsidR="00520FF8" w:rsidRPr="00520FF8">
        <w:rPr>
          <w:rFonts w:ascii="Palatino Linotype" w:hAnsi="Palatino Linotype" w:cs="Tahoma"/>
          <w:bCs/>
          <w:iCs/>
          <w:sz w:val="22"/>
          <w:szCs w:val="24"/>
          <w:lang w:val="es-ES"/>
        </w:rPr>
        <w:t>00087</w:t>
      </w:r>
      <w:r w:rsidR="00520FF8">
        <w:rPr>
          <w:rFonts w:ascii="Palatino Linotype" w:hAnsi="Palatino Linotype" w:cs="Tahoma"/>
          <w:bCs/>
          <w:iCs/>
          <w:sz w:val="22"/>
          <w:szCs w:val="24"/>
          <w:lang w:val="es-ES"/>
        </w:rPr>
        <w:t>1</w:t>
      </w:r>
      <w:r w:rsidR="00520FF8" w:rsidRPr="00520FF8">
        <w:rPr>
          <w:rFonts w:ascii="Palatino Linotype" w:hAnsi="Palatino Linotype" w:cs="Tahoma"/>
          <w:bCs/>
          <w:iCs/>
          <w:sz w:val="22"/>
          <w:szCs w:val="24"/>
          <w:lang w:val="es-ES"/>
        </w:rPr>
        <w:t>/INFOEM/IP/RR/2019</w:t>
      </w:r>
      <w:r w:rsidR="00520FF8">
        <w:rPr>
          <w:rFonts w:ascii="Palatino Linotype" w:hAnsi="Palatino Linotype" w:cs="Tahoma"/>
          <w:bCs/>
          <w:iCs/>
          <w:sz w:val="22"/>
          <w:szCs w:val="24"/>
          <w:lang w:val="es-ES"/>
        </w:rPr>
        <w:t>, sin embargo, en el presente realizó la siguiente precisión.</w:t>
      </w:r>
    </w:p>
    <w:p w14:paraId="1A0BC50A" w14:textId="491B54A3" w:rsidR="00564755" w:rsidRDefault="00564755" w:rsidP="00564755">
      <w:pPr>
        <w:spacing w:line="360" w:lineRule="auto"/>
        <w:jc w:val="both"/>
        <w:rPr>
          <w:rFonts w:ascii="Palatino Linotype" w:hAnsi="Palatino Linotype" w:cs="Tahoma"/>
          <w:bCs/>
          <w:iCs/>
          <w:sz w:val="22"/>
          <w:szCs w:val="24"/>
        </w:rPr>
      </w:pPr>
    </w:p>
    <w:p w14:paraId="1A0BC50B" w14:textId="77777777" w:rsidR="00E65A78" w:rsidRPr="0069700B" w:rsidRDefault="00E65A78" w:rsidP="00564755">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w:t>
      </w:r>
    </w:p>
    <w:p w14:paraId="05E8FEB0" w14:textId="151B3817" w:rsidR="00190A26" w:rsidRPr="0069700B" w:rsidRDefault="00190A26" w:rsidP="00F07102">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Asimismo, el Recurrente refiere que no se entregó la información solicitada respecto de informes de avance programático en términos de la Ley de Planeación del Estado de México, y del Manual Para La Planeación, Programación y Presupuesto de Egresos Municipal para el Ejercicio Fiscal 2018. Programa Operativo anual, formatos PbRM 1a, PbRM 1 b, PbRM 1 c, PbRM 1 d, PbRM 1 e, PbRM 02a de la Unidad de Transparencia del</w:t>
      </w:r>
      <w:r w:rsidR="00FC3BB6">
        <w:rPr>
          <w:rFonts w:ascii="Palatino Linotype" w:hAnsi="Palatino Linotype" w:cs="Tahoma"/>
          <w:i/>
        </w:rPr>
        <w:t xml:space="preserve"> </w:t>
      </w:r>
      <w:r w:rsidRPr="0069700B">
        <w:rPr>
          <w:rFonts w:ascii="Palatino Linotype" w:hAnsi="Palatino Linotype" w:cs="Tahoma"/>
          <w:i/>
        </w:rPr>
        <w:t>Centro de Control de Confianza del Estado de México, sin embargo, es necesario aclarar que el Programa Operativo Anual se adjuntó como parte de la Respuesta a la Solicitud 00002/CCCEM/IP/2019; por otra parte, en cuanto a los Formatos PbRM 1 a, PbRM 1 b, PbRM 1 c, PbRM 1 d, PbRM 1 e, PbRM 02a de la Unidad de Transparencia del Centro de Control de Confianza del Estado de México, de acuerdo al Manual para la Formulación del Anteproyecto de Presupuesto de Egresos del Gobierno del Estado de México para el ejercicio Fiscal 2018, claramente se establece que el Programa Operativo Anual debe agrupar metas de actividad e indicadores de manera res</w:t>
      </w:r>
      <w:r w:rsidR="00F07102" w:rsidRPr="0069700B">
        <w:rPr>
          <w:rFonts w:ascii="Palatino Linotype" w:hAnsi="Palatino Linotype" w:cs="Tahoma"/>
          <w:i/>
        </w:rPr>
        <w:t>ponsable y programar acciones e in</w:t>
      </w:r>
      <w:r w:rsidRPr="0069700B">
        <w:rPr>
          <w:rFonts w:ascii="Palatino Linotype" w:hAnsi="Palatino Linotype" w:cs="Tahoma"/>
          <w:i/>
        </w:rPr>
        <w:t>dicadores que sean prioritarios, a efecto de alcanzar un impacto sustantivo, y que al</w:t>
      </w:r>
      <w:r w:rsidR="00F07102" w:rsidRPr="0069700B">
        <w:rPr>
          <w:rFonts w:ascii="Arial" w:eastAsiaTheme="minorHAnsi" w:hAnsi="Arial" w:cs="Arial"/>
          <w:i/>
          <w:color w:val="1A181D"/>
          <w:sz w:val="21"/>
          <w:szCs w:val="21"/>
          <w:lang w:eastAsia="en-US"/>
        </w:rPr>
        <w:t xml:space="preserve"> </w:t>
      </w:r>
      <w:r w:rsidR="00F07102" w:rsidRPr="0069700B">
        <w:rPr>
          <w:rFonts w:ascii="Palatino Linotype" w:hAnsi="Palatino Linotype" w:cs="Tahoma"/>
          <w:i/>
        </w:rPr>
        <w:t>lograrse en cada uno de sus niveles se alcanza el objetivo establecido para el largo plazo, que se vincula a la visión estratégica del Plan de Desarrollo del Estado de México. A partir de esta descripción se infiere que ésta Unidad Ejecutora no desarrolla formatos de carácter Municipal, ni se integra por las actividades de la Unidad de Transparencia de éste Centro Estatal de manera individualizada, pues se enfoca en agrupar acciones e indicadores prioritarios en donde esencialmente se involucran algunas áreas vinculadas directamente con el proyecto denominado ‘Evaluación y Certificación para el Control de Confianza de los Elementos de Seguridad’.</w:t>
      </w:r>
    </w:p>
    <w:p w14:paraId="35FFB78F" w14:textId="77777777" w:rsidR="00F07102" w:rsidRPr="0069700B" w:rsidRDefault="00F07102" w:rsidP="00F07102">
      <w:pPr>
        <w:autoSpaceDE w:val="0"/>
        <w:autoSpaceDN w:val="0"/>
        <w:adjustRightInd w:val="0"/>
        <w:spacing w:line="360" w:lineRule="auto"/>
        <w:ind w:left="567" w:right="567"/>
        <w:jc w:val="both"/>
        <w:rPr>
          <w:rFonts w:ascii="Palatino Linotype" w:hAnsi="Palatino Linotype" w:cs="Tahoma"/>
          <w:i/>
        </w:rPr>
      </w:pPr>
    </w:p>
    <w:p w14:paraId="2172F22F" w14:textId="1DB929B3" w:rsidR="00F07102" w:rsidRPr="0069700B" w:rsidRDefault="00F07102" w:rsidP="00F07102">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Por ello, la Unidad de Transparencia al no incluir actividades prioritarias dentro de los formatos aplicables a éste Sujeto Obligado, con fundamento en el artículo 12 de la Ley de</w:t>
      </w:r>
    </w:p>
    <w:p w14:paraId="2E31B78D" w14:textId="24AC855C" w:rsidR="00F07102" w:rsidRPr="0069700B" w:rsidRDefault="00F07102" w:rsidP="00F07102">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Transparencia y Acceso a la Información Pública del Estado de México y Municipios se reitera que los formatos solicitados son de ámbito Municipal, y que en los archivos de la Unidad de Transparencia de éste Centro de Control de Confianza, no genera, recopila, administra, maneja, procesa, archiva o conserva información de los formatos PbRM 1a, PbRM 1 b, PbRM 1 c, PbRM 1 d, PbRM 1 e, PbRM 02a.</w:t>
      </w:r>
    </w:p>
    <w:p w14:paraId="1A0BC513" w14:textId="77777777" w:rsidR="00E65A78" w:rsidRPr="0069700B" w:rsidRDefault="00E65A78" w:rsidP="00564755">
      <w:pPr>
        <w:autoSpaceDE w:val="0"/>
        <w:autoSpaceDN w:val="0"/>
        <w:adjustRightInd w:val="0"/>
        <w:spacing w:line="360" w:lineRule="auto"/>
        <w:ind w:left="567" w:right="567"/>
        <w:jc w:val="both"/>
        <w:rPr>
          <w:rFonts w:ascii="Palatino Linotype" w:hAnsi="Palatino Linotype" w:cs="Tahoma"/>
          <w:i/>
        </w:rPr>
      </w:pPr>
      <w:r w:rsidRPr="0069700B">
        <w:rPr>
          <w:rFonts w:ascii="Palatino Linotype" w:hAnsi="Palatino Linotype" w:cs="Tahoma"/>
          <w:i/>
        </w:rPr>
        <w:t>…” (Sic)</w:t>
      </w:r>
    </w:p>
    <w:p w14:paraId="1A0BC514" w14:textId="77777777" w:rsidR="00E65A78" w:rsidRDefault="00E65A78" w:rsidP="00564755">
      <w:pPr>
        <w:spacing w:line="360" w:lineRule="auto"/>
        <w:jc w:val="both"/>
        <w:rPr>
          <w:rFonts w:ascii="Palatino Linotype" w:hAnsi="Palatino Linotype" w:cs="Tahoma"/>
          <w:bCs/>
          <w:iCs/>
          <w:sz w:val="22"/>
          <w:szCs w:val="24"/>
          <w:lang w:val="es-ES"/>
        </w:rPr>
      </w:pPr>
    </w:p>
    <w:p w14:paraId="0984CDFA" w14:textId="1A90A91E" w:rsidR="00F07102" w:rsidRDefault="00F07102" w:rsidP="00564755">
      <w:pPr>
        <w:spacing w:line="360" w:lineRule="auto"/>
        <w:jc w:val="both"/>
        <w:rPr>
          <w:rFonts w:ascii="Palatino Linotype" w:hAnsi="Palatino Linotype" w:cs="Tahoma"/>
          <w:bCs/>
          <w:iCs/>
          <w:sz w:val="22"/>
          <w:szCs w:val="24"/>
          <w:lang w:val="es-ES"/>
        </w:rPr>
      </w:pPr>
      <w:r>
        <w:rPr>
          <w:rFonts w:ascii="Palatino Linotype" w:hAnsi="Palatino Linotype" w:cs="Tahoma"/>
          <w:bCs/>
          <w:iCs/>
          <w:sz w:val="22"/>
          <w:szCs w:val="24"/>
          <w:lang w:val="es-ES"/>
        </w:rPr>
        <w:t>El Sujeto Obligad adjuntó la digitalización de los documentos establecidos en los incisos i y ii, p</w:t>
      </w:r>
      <w:r w:rsidR="00305BA2">
        <w:rPr>
          <w:rFonts w:ascii="Palatino Linotype" w:hAnsi="Palatino Linotype" w:cs="Tahoma"/>
          <w:bCs/>
          <w:iCs/>
          <w:sz w:val="22"/>
          <w:szCs w:val="24"/>
          <w:lang w:val="es-ES"/>
        </w:rPr>
        <w:t>reviamente referidos.</w:t>
      </w:r>
    </w:p>
    <w:p w14:paraId="46DEA219" w14:textId="77777777" w:rsidR="00F07102" w:rsidRDefault="00F07102" w:rsidP="00564755">
      <w:pPr>
        <w:spacing w:line="360" w:lineRule="auto"/>
        <w:jc w:val="both"/>
        <w:rPr>
          <w:rFonts w:ascii="Palatino Linotype" w:hAnsi="Palatino Linotype" w:cs="Tahoma"/>
          <w:bCs/>
          <w:iCs/>
          <w:sz w:val="22"/>
          <w:szCs w:val="24"/>
          <w:lang w:val="es-ES"/>
        </w:rPr>
      </w:pPr>
    </w:p>
    <w:p w14:paraId="3AB49B92" w14:textId="6229AABC" w:rsidR="00305BA2" w:rsidRDefault="005F435F" w:rsidP="00564755">
      <w:pPr>
        <w:widowControl w:val="0"/>
        <w:spacing w:line="360" w:lineRule="auto"/>
        <w:jc w:val="both"/>
        <w:rPr>
          <w:rFonts w:ascii="Palatino Linotype" w:hAnsi="Palatino Linotype" w:cs="Tahoma"/>
          <w:b/>
          <w:sz w:val="22"/>
          <w:szCs w:val="24"/>
          <w:lang w:val="es-ES"/>
        </w:rPr>
      </w:pPr>
      <w:r>
        <w:rPr>
          <w:rFonts w:ascii="Palatino Linotype" w:hAnsi="Palatino Linotype" w:cs="Tahoma"/>
          <w:b/>
          <w:sz w:val="22"/>
          <w:szCs w:val="24"/>
          <w:lang w:val="es-ES"/>
        </w:rPr>
        <w:t>e</w:t>
      </w:r>
      <w:r w:rsidR="00844C51" w:rsidRPr="004E591C">
        <w:rPr>
          <w:rFonts w:ascii="Palatino Linotype" w:hAnsi="Palatino Linotype" w:cs="Tahoma"/>
          <w:b/>
          <w:sz w:val="22"/>
          <w:szCs w:val="24"/>
          <w:lang w:val="es-ES"/>
        </w:rPr>
        <w:t xml:space="preserve">) </w:t>
      </w:r>
      <w:r w:rsidR="00305BA2" w:rsidRPr="004E591C">
        <w:rPr>
          <w:rFonts w:ascii="Palatino Linotype" w:hAnsi="Palatino Linotype" w:cs="Tahoma"/>
          <w:b/>
          <w:sz w:val="22"/>
          <w:szCs w:val="22"/>
        </w:rPr>
        <w:t xml:space="preserve">Vista de los Informes Justificados: </w:t>
      </w:r>
      <w:r w:rsidR="00305BA2" w:rsidRPr="004E591C">
        <w:rPr>
          <w:rFonts w:ascii="Palatino Linotype" w:hAnsi="Palatino Linotype" w:cs="Tahoma"/>
          <w:sz w:val="22"/>
          <w:szCs w:val="22"/>
        </w:rPr>
        <w:t xml:space="preserve">El </w:t>
      </w:r>
      <w:r w:rsidR="00305BA2">
        <w:rPr>
          <w:rFonts w:ascii="Palatino Linotype" w:hAnsi="Palatino Linotype" w:cs="Tahoma"/>
          <w:sz w:val="22"/>
          <w:szCs w:val="22"/>
        </w:rPr>
        <w:t>veintinueve de marzo</w:t>
      </w:r>
      <w:r w:rsidR="00305BA2" w:rsidRPr="004E591C">
        <w:rPr>
          <w:rFonts w:ascii="Palatino Linotype" w:hAnsi="Palatino Linotype" w:cs="Tahoma"/>
          <w:sz w:val="22"/>
          <w:szCs w:val="22"/>
        </w:rPr>
        <w:t xml:space="preserve"> del dos mil </w:t>
      </w:r>
      <w:r w:rsidR="00305BA2">
        <w:rPr>
          <w:rFonts w:ascii="Palatino Linotype" w:hAnsi="Palatino Linotype" w:cs="Tahoma"/>
          <w:sz w:val="22"/>
          <w:szCs w:val="22"/>
        </w:rPr>
        <w:t>diecinueve</w:t>
      </w:r>
      <w:r w:rsidR="00305BA2" w:rsidRPr="004E591C">
        <w:rPr>
          <w:rFonts w:ascii="Palatino Linotype" w:hAnsi="Palatino Linotype" w:cs="Tahoma"/>
          <w:sz w:val="22"/>
          <w:szCs w:val="22"/>
        </w:rPr>
        <w:t xml:space="preserve">, se dictó acuerdo mediante </w:t>
      </w:r>
      <w:r w:rsidR="0008653D">
        <w:rPr>
          <w:rFonts w:ascii="Palatino Linotype" w:hAnsi="Palatino Linotype" w:cs="Tahoma"/>
          <w:sz w:val="22"/>
          <w:szCs w:val="22"/>
        </w:rPr>
        <w:t>el cual se puso a la vista del P</w:t>
      </w:r>
      <w:r w:rsidR="00305BA2" w:rsidRPr="004E591C">
        <w:rPr>
          <w:rFonts w:ascii="Palatino Linotype" w:hAnsi="Palatino Linotype" w:cs="Tahoma"/>
          <w:sz w:val="22"/>
          <w:szCs w:val="22"/>
        </w:rPr>
        <w:t>articular, los Informes Justificados entregados por el Sujeto Obligado de los recursos citados al</w:t>
      </w:r>
      <w:r w:rsidR="0008653D">
        <w:rPr>
          <w:rFonts w:ascii="Palatino Linotype" w:hAnsi="Palatino Linotype" w:cs="Tahoma"/>
          <w:sz w:val="22"/>
          <w:szCs w:val="22"/>
        </w:rPr>
        <w:t xml:space="preserve"> rubro, así como los </w:t>
      </w:r>
      <w:r w:rsidR="00305BA2" w:rsidRPr="004E591C">
        <w:rPr>
          <w:rFonts w:ascii="Palatino Linotype" w:hAnsi="Palatino Linotype" w:cs="Tahoma"/>
          <w:sz w:val="22"/>
          <w:szCs w:val="22"/>
        </w:rPr>
        <w:t>documento</w:t>
      </w:r>
      <w:r w:rsidR="0008653D">
        <w:rPr>
          <w:rFonts w:ascii="Palatino Linotype" w:hAnsi="Palatino Linotype" w:cs="Tahoma"/>
          <w:sz w:val="22"/>
          <w:szCs w:val="22"/>
        </w:rPr>
        <w:t>s</w:t>
      </w:r>
      <w:r w:rsidR="00305BA2" w:rsidRPr="004E591C">
        <w:rPr>
          <w:rFonts w:ascii="Palatino Linotype" w:hAnsi="Palatino Linotype" w:cs="Tahoma"/>
          <w:sz w:val="22"/>
          <w:szCs w:val="22"/>
        </w:rPr>
        <w:t xml:space="preserve"> adjunto</w:t>
      </w:r>
      <w:r w:rsidR="0008653D">
        <w:rPr>
          <w:rFonts w:ascii="Palatino Linotype" w:hAnsi="Palatino Linotype" w:cs="Tahoma"/>
          <w:sz w:val="22"/>
          <w:szCs w:val="22"/>
        </w:rPr>
        <w:t>s</w:t>
      </w:r>
      <w:r w:rsidR="00305BA2" w:rsidRPr="004E591C">
        <w:rPr>
          <w:rFonts w:ascii="Palatino Linotype" w:hAnsi="Palatino Linotype" w:cs="Tahoma"/>
          <w:sz w:val="22"/>
          <w:szCs w:val="22"/>
        </w:rPr>
        <w:t>, por haber modificado en parte su respuesta inicial, el cual fue notificado a las partes, en esa misma fecha, a través del Sistema de Acceso a la Información Mexiquense (SAIMEX). No obstante</w:t>
      </w:r>
      <w:r w:rsidR="00305BA2" w:rsidRPr="004E591C">
        <w:rPr>
          <w:rFonts w:ascii="Palatino Linotype" w:hAnsi="Palatino Linotype" w:cs="Tahoma"/>
          <w:bCs/>
          <w:iCs/>
          <w:sz w:val="22"/>
          <w:szCs w:val="22"/>
          <w:lang w:val="es-ES_tradnl"/>
        </w:rPr>
        <w:t>, el recurrente omitió realizar manifestación alguna que a su derecho conviniera y asistiera</w:t>
      </w:r>
      <w:r w:rsidR="00305BA2" w:rsidRPr="004E591C">
        <w:rPr>
          <w:rFonts w:ascii="Palatino Linotype" w:hAnsi="Palatino Linotype" w:cs="Tahoma"/>
          <w:bCs/>
          <w:iCs/>
          <w:sz w:val="22"/>
          <w:szCs w:val="22"/>
        </w:rPr>
        <w:t>.</w:t>
      </w:r>
    </w:p>
    <w:p w14:paraId="31687121" w14:textId="77777777" w:rsidR="00305BA2" w:rsidRDefault="00305BA2" w:rsidP="00564755">
      <w:pPr>
        <w:widowControl w:val="0"/>
        <w:spacing w:line="360" w:lineRule="auto"/>
        <w:jc w:val="both"/>
        <w:rPr>
          <w:rFonts w:ascii="Palatino Linotype" w:hAnsi="Palatino Linotype" w:cs="Tahoma"/>
          <w:b/>
          <w:sz w:val="22"/>
          <w:szCs w:val="24"/>
          <w:lang w:val="es-ES"/>
        </w:rPr>
      </w:pPr>
    </w:p>
    <w:p w14:paraId="1A0BC542" w14:textId="6B41B3DD" w:rsidR="007A19BB" w:rsidRDefault="005F435F" w:rsidP="005F435F">
      <w:pPr>
        <w:spacing w:line="360" w:lineRule="auto"/>
        <w:jc w:val="both"/>
        <w:rPr>
          <w:rFonts w:ascii="Palatino Linotype" w:hAnsi="Palatino Linotype" w:cs="Tahoma"/>
          <w:sz w:val="22"/>
          <w:szCs w:val="24"/>
          <w:lang w:val="es-ES"/>
        </w:rPr>
      </w:pPr>
      <w:r>
        <w:rPr>
          <w:rFonts w:ascii="Palatino Linotype" w:hAnsi="Palatino Linotype" w:cs="Tahoma"/>
          <w:b/>
          <w:bCs/>
          <w:sz w:val="22"/>
          <w:szCs w:val="24"/>
          <w:lang w:val="es-ES"/>
        </w:rPr>
        <w:t xml:space="preserve">f) </w:t>
      </w:r>
      <w:r w:rsidR="007A19BB" w:rsidRPr="004E591C">
        <w:rPr>
          <w:rFonts w:ascii="Palatino Linotype" w:hAnsi="Palatino Linotype" w:cs="Tahoma"/>
          <w:b/>
          <w:bCs/>
          <w:sz w:val="22"/>
          <w:szCs w:val="24"/>
          <w:lang w:val="es-ES"/>
        </w:rPr>
        <w:t>Ampliación del plazo para resolver: </w:t>
      </w:r>
      <w:r w:rsidR="007A19BB" w:rsidRPr="004E591C">
        <w:rPr>
          <w:rFonts w:ascii="Palatino Linotype" w:hAnsi="Palatino Linotype" w:cs="Tahoma"/>
          <w:sz w:val="22"/>
          <w:szCs w:val="24"/>
          <w:lang w:val="es-ES"/>
        </w:rPr>
        <w:t xml:space="preserve">El </w:t>
      </w:r>
      <w:r w:rsidR="0008653D">
        <w:rPr>
          <w:rFonts w:ascii="Palatino Linotype" w:hAnsi="Palatino Linotype" w:cs="Tahoma"/>
          <w:sz w:val="22"/>
          <w:szCs w:val="24"/>
          <w:lang w:val="es-ES"/>
        </w:rPr>
        <w:t>diez de abril</w:t>
      </w:r>
      <w:r w:rsidR="007A19BB" w:rsidRPr="004E591C">
        <w:rPr>
          <w:rFonts w:ascii="Palatino Linotype" w:hAnsi="Palatino Linotype" w:cs="Tahoma"/>
          <w:sz w:val="22"/>
          <w:szCs w:val="24"/>
          <w:lang w:val="es-ES"/>
        </w:rPr>
        <w:t xml:space="preserve"> de dos mil </w:t>
      </w:r>
      <w:r w:rsidR="0008653D">
        <w:rPr>
          <w:rFonts w:ascii="Palatino Linotype" w:hAnsi="Palatino Linotype" w:cs="Tahoma"/>
          <w:sz w:val="22"/>
          <w:szCs w:val="24"/>
          <w:lang w:val="es-ES"/>
        </w:rPr>
        <w:t>diecinueve</w:t>
      </w:r>
      <w:r w:rsidR="007A19BB" w:rsidRPr="004E591C">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0008653D">
        <w:rPr>
          <w:rFonts w:ascii="Palatino Linotype" w:hAnsi="Palatino Linotype" w:cs="Tahoma"/>
          <w:sz w:val="22"/>
          <w:szCs w:val="24"/>
          <w:lang w:val="es-ES"/>
        </w:rPr>
        <w:t>el once del mismo mes y año</w:t>
      </w:r>
      <w:r w:rsidR="007A19BB" w:rsidRPr="004E591C">
        <w:rPr>
          <w:rFonts w:ascii="Palatino Linotype" w:hAnsi="Palatino Linotype" w:cs="Tahoma"/>
          <w:sz w:val="22"/>
          <w:szCs w:val="24"/>
          <w:lang w:val="es-ES"/>
        </w:rPr>
        <w:t>.</w:t>
      </w:r>
    </w:p>
    <w:p w14:paraId="1A0BC543" w14:textId="77777777" w:rsidR="002B03CD" w:rsidRDefault="002B03CD" w:rsidP="00564755">
      <w:pPr>
        <w:spacing w:line="360" w:lineRule="auto"/>
        <w:jc w:val="both"/>
        <w:rPr>
          <w:rFonts w:ascii="Palatino Linotype" w:hAnsi="Palatino Linotype" w:cs="Tahoma"/>
          <w:sz w:val="22"/>
          <w:szCs w:val="22"/>
        </w:rPr>
      </w:pPr>
    </w:p>
    <w:p w14:paraId="1A0BC546" w14:textId="1CD37D70" w:rsidR="007A19BB" w:rsidRDefault="00564755" w:rsidP="00564755">
      <w:pPr>
        <w:spacing w:line="360" w:lineRule="auto"/>
        <w:jc w:val="both"/>
        <w:rPr>
          <w:rFonts w:ascii="Palatino Linotype" w:hAnsi="Palatino Linotype" w:cs="Tahoma"/>
          <w:sz w:val="22"/>
          <w:szCs w:val="22"/>
        </w:rPr>
      </w:pPr>
      <w:r>
        <w:rPr>
          <w:rFonts w:ascii="Palatino Linotype" w:hAnsi="Palatino Linotype" w:cs="Tahoma"/>
          <w:b/>
          <w:bCs/>
          <w:sz w:val="22"/>
          <w:szCs w:val="24"/>
          <w:lang w:val="es-ES"/>
        </w:rPr>
        <w:t>g</w:t>
      </w:r>
      <w:r w:rsidR="00DE339D">
        <w:rPr>
          <w:rFonts w:ascii="Palatino Linotype" w:hAnsi="Palatino Linotype" w:cs="Tahoma"/>
          <w:b/>
          <w:bCs/>
          <w:sz w:val="22"/>
          <w:szCs w:val="24"/>
          <w:lang w:val="es-ES"/>
        </w:rPr>
        <w:t xml:space="preserve">) </w:t>
      </w:r>
      <w:r w:rsidR="007A19BB" w:rsidRPr="00F67BDF">
        <w:rPr>
          <w:rFonts w:ascii="Palatino Linotype" w:hAnsi="Palatino Linotype" w:cs="Tahoma"/>
          <w:b/>
          <w:sz w:val="22"/>
          <w:szCs w:val="22"/>
        </w:rPr>
        <w:t>Cierre de instrucción.</w:t>
      </w:r>
      <w:r w:rsidR="007A19BB" w:rsidRPr="00F67BDF">
        <w:rPr>
          <w:rFonts w:ascii="Palatino Linotype" w:hAnsi="Palatino Linotype" w:cs="Tahoma"/>
          <w:sz w:val="22"/>
          <w:szCs w:val="22"/>
        </w:rPr>
        <w:t xml:space="preserve"> El </w:t>
      </w:r>
      <w:r w:rsidR="005F435F">
        <w:rPr>
          <w:rFonts w:ascii="Palatino Linotype" w:hAnsi="Palatino Linotype" w:cs="Tahoma"/>
          <w:sz w:val="22"/>
          <w:szCs w:val="22"/>
        </w:rPr>
        <w:t>veinticinco de abril</w:t>
      </w:r>
      <w:r w:rsidR="007A19BB" w:rsidRPr="00F67BDF">
        <w:rPr>
          <w:rFonts w:ascii="Palatino Linotype" w:hAnsi="Palatino Linotype" w:cs="Tahoma"/>
          <w:sz w:val="22"/>
          <w:szCs w:val="22"/>
        </w:rPr>
        <w:t xml:space="preserve"> de dos mil dieciocho, al no existir diligencias pendientes por desahogar, se emitió el acuerdo por medio del cual se declaró cerrada la instrucción y se determinó</w:t>
      </w:r>
      <w:r w:rsidR="007A19BB">
        <w:rPr>
          <w:rFonts w:ascii="Palatino Linotype" w:hAnsi="Palatino Linotype" w:cs="Tahoma"/>
          <w:sz w:val="22"/>
          <w:szCs w:val="22"/>
        </w:rPr>
        <w:t xml:space="preserve"> </w:t>
      </w:r>
      <w:r w:rsidR="007A19BB" w:rsidRPr="00F67BDF">
        <w:rPr>
          <w:rFonts w:ascii="Palatino Linotype" w:hAnsi="Palatino Linotype" w:cs="Tahoma"/>
          <w:sz w:val="22"/>
          <w:szCs w:val="22"/>
        </w:rPr>
        <w:t xml:space="preserve">pasar </w:t>
      </w:r>
      <w:r>
        <w:rPr>
          <w:rFonts w:ascii="Palatino Linotype" w:hAnsi="Palatino Linotype" w:cs="Tahoma"/>
          <w:sz w:val="22"/>
          <w:szCs w:val="22"/>
        </w:rPr>
        <w:t>los expedientes</w:t>
      </w:r>
      <w:r w:rsidR="007A19BB" w:rsidRPr="00F67BDF">
        <w:rPr>
          <w:rFonts w:ascii="Palatino Linotype" w:hAnsi="Palatino Linotype" w:cs="Tahoma"/>
          <w:sz w:val="22"/>
          <w:szCs w:val="22"/>
        </w:rPr>
        <w:t xml:space="preserve"> a resolución, en términos de lo dispuesto en los artículos 185, fracciones VI y VIII</w:t>
      </w:r>
      <w:r w:rsidR="007A19BB">
        <w:rPr>
          <w:rFonts w:ascii="Palatino Linotype" w:hAnsi="Palatino Linotype" w:cs="Tahoma"/>
          <w:sz w:val="22"/>
          <w:szCs w:val="22"/>
        </w:rPr>
        <w:t>,</w:t>
      </w:r>
      <w:r w:rsidR="007A19BB" w:rsidRPr="00F67BDF">
        <w:rPr>
          <w:rFonts w:ascii="Palatino Linotype" w:hAnsi="Palatino Linotype" w:cs="Tahoma"/>
          <w:sz w:val="22"/>
          <w:szCs w:val="22"/>
        </w:rPr>
        <w:t xml:space="preserve"> de la Ley de Transparencia y Acceso a la Información Pública del Estado de México y Municipios, que fue notificado a las partes el mismo día, a través del </w:t>
      </w:r>
      <w:r w:rsidR="007A19BB" w:rsidRPr="00F67BDF">
        <w:rPr>
          <w:rFonts w:ascii="Palatino Linotype" w:hAnsi="Palatino Linotype" w:cs="Tahoma"/>
          <w:sz w:val="22"/>
          <w:szCs w:val="22"/>
          <w:lang w:val="es-ES"/>
        </w:rPr>
        <w:t>Sistema de Acceso a la Información Mexiquense (SAIMEX)</w:t>
      </w:r>
      <w:r w:rsidR="007A19BB" w:rsidRPr="00F67BDF">
        <w:rPr>
          <w:rFonts w:ascii="Palatino Linotype" w:hAnsi="Palatino Linotype" w:cs="Tahoma"/>
          <w:sz w:val="22"/>
          <w:szCs w:val="22"/>
        </w:rPr>
        <w:t>.</w:t>
      </w:r>
    </w:p>
    <w:p w14:paraId="1A0BC547" w14:textId="77777777" w:rsidR="007A19BB" w:rsidRDefault="007A19BB" w:rsidP="00564755">
      <w:pPr>
        <w:spacing w:line="360" w:lineRule="auto"/>
        <w:jc w:val="both"/>
        <w:rPr>
          <w:rFonts w:ascii="Palatino Linotype" w:hAnsi="Palatino Linotype" w:cs="Tahoma"/>
          <w:b/>
          <w:bCs/>
          <w:sz w:val="22"/>
          <w:szCs w:val="24"/>
          <w:lang w:val="es-ES"/>
        </w:rPr>
      </w:pPr>
    </w:p>
    <w:p w14:paraId="1A0BC548" w14:textId="77777777" w:rsidR="004F2D88" w:rsidRDefault="004F2D88" w:rsidP="00564755">
      <w:pPr>
        <w:spacing w:line="360" w:lineRule="auto"/>
        <w:jc w:val="both"/>
        <w:rPr>
          <w:rFonts w:ascii="Palatino Linotype" w:hAnsi="Palatino Linotype" w:cs="Tahoma"/>
          <w:color w:val="000000"/>
          <w:sz w:val="22"/>
          <w:szCs w:val="22"/>
        </w:rPr>
      </w:pPr>
      <w:r w:rsidRPr="00F67BDF">
        <w:rPr>
          <w:rFonts w:ascii="Palatino Linotype" w:hAnsi="Palatino Linotype" w:cs="Tahoma"/>
          <w:color w:val="000000"/>
          <w:sz w:val="22"/>
          <w:szCs w:val="22"/>
        </w:rPr>
        <w:t xml:space="preserve">En </w:t>
      </w:r>
      <w:r w:rsidR="00367F82" w:rsidRPr="00F67BDF">
        <w:rPr>
          <w:rFonts w:ascii="Palatino Linotype" w:hAnsi="Palatino Linotype" w:cs="Tahoma"/>
          <w:color w:val="000000"/>
          <w:sz w:val="22"/>
          <w:szCs w:val="22"/>
        </w:rPr>
        <w:t>razón de que fue debidamente su</w:t>
      </w:r>
      <w:r w:rsidRPr="00F67BDF">
        <w:rPr>
          <w:rFonts w:ascii="Palatino Linotype" w:hAnsi="Palatino Linotype" w:cs="Tahoma"/>
          <w:color w:val="000000"/>
          <w:sz w:val="22"/>
          <w:szCs w:val="22"/>
        </w:rPr>
        <w:t xml:space="preserve">stanciado el expediente </w:t>
      </w:r>
      <w:r w:rsidR="00367F82" w:rsidRPr="00F67BDF">
        <w:rPr>
          <w:rFonts w:ascii="Palatino Linotype" w:hAnsi="Palatino Linotype" w:cs="Tahoma"/>
          <w:color w:val="000000"/>
          <w:sz w:val="22"/>
          <w:szCs w:val="22"/>
        </w:rPr>
        <w:t xml:space="preserve">electrónico </w:t>
      </w:r>
      <w:r w:rsidRPr="00F67BDF">
        <w:rPr>
          <w:rFonts w:ascii="Palatino Linotype" w:hAnsi="Palatino Linotype" w:cs="Tahoma"/>
          <w:color w:val="000000"/>
          <w:sz w:val="22"/>
          <w:szCs w:val="22"/>
        </w:rPr>
        <w:t>y no exist</w:t>
      </w:r>
      <w:r w:rsidR="00367F82" w:rsidRPr="00F67BDF">
        <w:rPr>
          <w:rFonts w:ascii="Palatino Linotype" w:hAnsi="Palatino Linotype" w:cs="Tahoma"/>
          <w:color w:val="000000"/>
          <w:sz w:val="22"/>
          <w:szCs w:val="22"/>
        </w:rPr>
        <w:t>e</w:t>
      </w:r>
      <w:r w:rsidRPr="00F67BDF">
        <w:rPr>
          <w:rFonts w:ascii="Palatino Linotype" w:hAnsi="Palatino Linotype" w:cs="Tahoma"/>
          <w:color w:val="000000"/>
          <w:sz w:val="22"/>
          <w:szCs w:val="22"/>
        </w:rPr>
        <w:t xml:space="preserve"> dilige</w:t>
      </w:r>
      <w:r w:rsidR="00367F82" w:rsidRPr="00F67BDF">
        <w:rPr>
          <w:rFonts w:ascii="Palatino Linotype" w:hAnsi="Palatino Linotype" w:cs="Tahoma"/>
          <w:color w:val="000000"/>
          <w:sz w:val="22"/>
          <w:szCs w:val="22"/>
        </w:rPr>
        <w:t xml:space="preserve">ncia pendiente de desahogo, se </w:t>
      </w:r>
      <w:r w:rsidRPr="00F67BDF">
        <w:rPr>
          <w:rFonts w:ascii="Palatino Linotype" w:hAnsi="Palatino Linotype" w:cs="Tahoma"/>
          <w:color w:val="000000"/>
          <w:sz w:val="22"/>
          <w:szCs w:val="22"/>
        </w:rPr>
        <w:t>emit</w:t>
      </w:r>
      <w:r w:rsidR="00367F82" w:rsidRPr="00F67BDF">
        <w:rPr>
          <w:rFonts w:ascii="Palatino Linotype" w:hAnsi="Palatino Linotype" w:cs="Tahoma"/>
          <w:color w:val="000000"/>
          <w:sz w:val="22"/>
          <w:szCs w:val="22"/>
        </w:rPr>
        <w:t>e</w:t>
      </w:r>
      <w:r w:rsidRPr="00F67BDF">
        <w:rPr>
          <w:rFonts w:ascii="Palatino Linotype" w:hAnsi="Palatino Linotype" w:cs="Tahoma"/>
          <w:color w:val="000000"/>
          <w:sz w:val="22"/>
          <w:szCs w:val="22"/>
        </w:rPr>
        <w:t xml:space="preserve"> la resolución que conforme a Derecho proceda, de acuerdo a l</w:t>
      </w:r>
      <w:r w:rsidR="009A620E" w:rsidRPr="00F67BDF">
        <w:rPr>
          <w:rFonts w:ascii="Palatino Linotype" w:hAnsi="Palatino Linotype" w:cs="Tahoma"/>
          <w:color w:val="000000"/>
          <w:sz w:val="22"/>
          <w:szCs w:val="22"/>
        </w:rPr>
        <w:t>o</w:t>
      </w:r>
      <w:r w:rsidRPr="00F67BDF">
        <w:rPr>
          <w:rFonts w:ascii="Palatino Linotype" w:hAnsi="Palatino Linotype" w:cs="Tahoma"/>
          <w:color w:val="000000"/>
          <w:sz w:val="22"/>
          <w:szCs w:val="22"/>
        </w:rPr>
        <w:t xml:space="preserve">s siguientes: </w:t>
      </w:r>
    </w:p>
    <w:p w14:paraId="1A0BC54A" w14:textId="77777777" w:rsidR="00AE14E4" w:rsidRDefault="00AE14E4" w:rsidP="00564755">
      <w:pPr>
        <w:spacing w:line="360" w:lineRule="auto"/>
        <w:jc w:val="center"/>
        <w:rPr>
          <w:rFonts w:ascii="Palatino Linotype" w:hAnsi="Palatino Linotype" w:cs="Tahoma"/>
          <w:b/>
          <w:sz w:val="22"/>
          <w:szCs w:val="22"/>
          <w:lang w:val="es-ES"/>
        </w:rPr>
      </w:pPr>
    </w:p>
    <w:p w14:paraId="1A0BC54B" w14:textId="77777777" w:rsidR="004F2D88" w:rsidRPr="00F67BDF" w:rsidRDefault="009A620E" w:rsidP="00564755">
      <w:pPr>
        <w:spacing w:line="360" w:lineRule="auto"/>
        <w:jc w:val="center"/>
        <w:rPr>
          <w:rFonts w:ascii="Palatino Linotype" w:hAnsi="Palatino Linotype" w:cs="Tahoma"/>
          <w:b/>
          <w:sz w:val="22"/>
          <w:szCs w:val="22"/>
          <w:lang w:val="es-ES"/>
        </w:rPr>
      </w:pPr>
      <w:r w:rsidRPr="00F67BDF">
        <w:rPr>
          <w:rFonts w:ascii="Palatino Linotype" w:hAnsi="Palatino Linotype" w:cs="Tahoma"/>
          <w:b/>
          <w:sz w:val="22"/>
          <w:szCs w:val="22"/>
          <w:lang w:val="es-ES"/>
        </w:rPr>
        <w:t>CONSIDERANDOS</w:t>
      </w:r>
      <w:r w:rsidR="004F2D88" w:rsidRPr="00F67BDF">
        <w:rPr>
          <w:rFonts w:ascii="Palatino Linotype" w:hAnsi="Palatino Linotype" w:cs="Tahoma"/>
          <w:b/>
          <w:sz w:val="22"/>
          <w:szCs w:val="22"/>
          <w:lang w:val="es-ES"/>
        </w:rPr>
        <w:t>:</w:t>
      </w:r>
    </w:p>
    <w:p w14:paraId="1A0BC54C" w14:textId="77777777" w:rsidR="004F2D88" w:rsidRPr="00F67BDF" w:rsidRDefault="004F2D88" w:rsidP="00564755">
      <w:pPr>
        <w:spacing w:line="360" w:lineRule="auto"/>
        <w:rPr>
          <w:rFonts w:ascii="Palatino Linotype" w:hAnsi="Palatino Linotype" w:cs="Tahoma"/>
          <w:b/>
          <w:sz w:val="22"/>
          <w:szCs w:val="22"/>
          <w:lang w:val="es-ES"/>
        </w:rPr>
      </w:pPr>
    </w:p>
    <w:p w14:paraId="1A0BC54D" w14:textId="77777777" w:rsidR="00B64641" w:rsidRPr="00F67BDF" w:rsidRDefault="00B64641" w:rsidP="00564755">
      <w:pPr>
        <w:autoSpaceDE w:val="0"/>
        <w:autoSpaceDN w:val="0"/>
        <w:adjustRightInd w:val="0"/>
        <w:spacing w:line="360" w:lineRule="auto"/>
        <w:jc w:val="both"/>
        <w:rPr>
          <w:rFonts w:ascii="Palatino Linotype" w:hAnsi="Palatino Linotype" w:cs="Tahoma"/>
          <w:b/>
          <w:sz w:val="22"/>
          <w:szCs w:val="22"/>
          <w:lang w:val="es-ES"/>
        </w:rPr>
      </w:pPr>
      <w:r w:rsidRPr="00F67BDF">
        <w:rPr>
          <w:rFonts w:ascii="Palatino Linotype" w:eastAsia="Calibri" w:hAnsi="Palatino Linotype" w:cs="Tahoma"/>
          <w:b/>
          <w:color w:val="000000"/>
          <w:sz w:val="22"/>
          <w:szCs w:val="22"/>
          <w:lang w:val="es-ES" w:eastAsia="es-MX"/>
        </w:rPr>
        <w:t>PRIMER</w:t>
      </w:r>
      <w:r w:rsidR="002241A6" w:rsidRPr="00F67BDF">
        <w:rPr>
          <w:rFonts w:ascii="Palatino Linotype" w:eastAsia="Calibri" w:hAnsi="Palatino Linotype" w:cs="Tahoma"/>
          <w:b/>
          <w:color w:val="000000"/>
          <w:sz w:val="22"/>
          <w:szCs w:val="22"/>
          <w:lang w:val="es-ES" w:eastAsia="es-MX"/>
        </w:rPr>
        <w:t>O</w:t>
      </w:r>
      <w:r w:rsidRPr="00F67BDF">
        <w:rPr>
          <w:rFonts w:ascii="Palatino Linotype" w:eastAsia="Calibri" w:hAnsi="Palatino Linotype" w:cs="Tahoma"/>
          <w:color w:val="000000"/>
          <w:sz w:val="22"/>
          <w:szCs w:val="22"/>
          <w:lang w:val="es-ES" w:eastAsia="es-MX"/>
        </w:rPr>
        <w:t xml:space="preserve">. </w:t>
      </w:r>
      <w:r w:rsidRPr="00F67BDF">
        <w:rPr>
          <w:rFonts w:ascii="Palatino Linotype" w:hAnsi="Palatino Linotype" w:cs="Tahoma"/>
          <w:b/>
          <w:sz w:val="22"/>
          <w:szCs w:val="22"/>
          <w:lang w:val="es-ES"/>
        </w:rPr>
        <w:t>Competencia.</w:t>
      </w:r>
    </w:p>
    <w:p w14:paraId="1A0BC54E" w14:textId="77777777" w:rsidR="00B727C5" w:rsidRPr="00F67BDF" w:rsidRDefault="00B727C5" w:rsidP="00564755">
      <w:pPr>
        <w:autoSpaceDE w:val="0"/>
        <w:autoSpaceDN w:val="0"/>
        <w:adjustRightInd w:val="0"/>
        <w:spacing w:line="360" w:lineRule="auto"/>
        <w:jc w:val="both"/>
        <w:rPr>
          <w:rFonts w:ascii="Palatino Linotype" w:hAnsi="Palatino Linotype" w:cs="Tahoma"/>
          <w:sz w:val="22"/>
          <w:szCs w:val="22"/>
          <w:lang w:val="es-ES"/>
        </w:rPr>
      </w:pPr>
    </w:p>
    <w:p w14:paraId="1A0BC54F" w14:textId="77777777" w:rsidR="00436FD3" w:rsidRPr="00F67BDF" w:rsidRDefault="00436FD3" w:rsidP="00564755">
      <w:pPr>
        <w:spacing w:line="360" w:lineRule="auto"/>
        <w:jc w:val="both"/>
        <w:rPr>
          <w:rFonts w:ascii="Palatino Linotype" w:hAnsi="Palatino Linotype" w:cs="Tahoma"/>
          <w:sz w:val="22"/>
          <w:szCs w:val="22"/>
          <w:shd w:val="clear" w:color="auto" w:fill="FFFFFF"/>
        </w:rPr>
      </w:pPr>
      <w:r w:rsidRPr="00F67BDF">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F67BDF">
        <w:rPr>
          <w:rFonts w:ascii="Palatino Linotype" w:hAnsi="Palatino Linotype" w:cs="Tahoma"/>
          <w:sz w:val="22"/>
          <w:szCs w:val="22"/>
          <w:shd w:val="clear" w:color="auto" w:fill="FFFFFF"/>
        </w:rPr>
        <w:t>°</w:t>
      </w:r>
      <w:r w:rsidRPr="00F67BDF">
        <w:rPr>
          <w:rFonts w:ascii="Palatino Linotype" w:hAnsi="Palatino Linotype" w:cs="Tahoma"/>
          <w:sz w:val="22"/>
          <w:szCs w:val="22"/>
          <w:shd w:val="clear" w:color="auto" w:fill="FFFFFF"/>
        </w:rPr>
        <w:t>, apartado A de la Constitución Política de los Estados Unidos Mexicanos; 5</w:t>
      </w:r>
      <w:r w:rsidR="008A282C" w:rsidRPr="00F67BDF">
        <w:rPr>
          <w:rFonts w:ascii="Palatino Linotype" w:hAnsi="Palatino Linotype" w:cs="Tahoma"/>
          <w:sz w:val="22"/>
          <w:szCs w:val="22"/>
          <w:shd w:val="clear" w:color="auto" w:fill="FFFFFF"/>
        </w:rPr>
        <w:t>°</w:t>
      </w:r>
      <w:r w:rsidRPr="00F67BDF">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67BDF">
        <w:rPr>
          <w:rStyle w:val="apple-converted-space"/>
          <w:rFonts w:ascii="Palatino Linotype" w:hAnsi="Palatino Linotype" w:cs="Tahoma"/>
          <w:sz w:val="22"/>
          <w:szCs w:val="22"/>
          <w:shd w:val="clear" w:color="auto" w:fill="FFFFFF"/>
        </w:rPr>
        <w:t xml:space="preserve"> 7°, </w:t>
      </w:r>
      <w:r w:rsidRPr="00F67BDF">
        <w:rPr>
          <w:rFonts w:ascii="Palatino Linotype" w:hAnsi="Palatino Linotype" w:cs="Tahoma"/>
          <w:sz w:val="22"/>
          <w:szCs w:val="22"/>
        </w:rPr>
        <w:t>9</w:t>
      </w:r>
      <w:r w:rsidR="00F024EE">
        <w:rPr>
          <w:rFonts w:ascii="Palatino Linotype" w:hAnsi="Palatino Linotype" w:cs="Tahoma"/>
          <w:sz w:val="22"/>
          <w:szCs w:val="22"/>
        </w:rPr>
        <w:t>°</w:t>
      </w:r>
      <w:r w:rsidRPr="00F67BDF">
        <w:rPr>
          <w:rFonts w:ascii="Palatino Linotype" w:hAnsi="Palatino Linotype" w:cs="Tahoma"/>
          <w:sz w:val="22"/>
          <w:szCs w:val="22"/>
        </w:rPr>
        <w:t xml:space="preserve">, fracciones I y XXIV y 11 </w:t>
      </w:r>
      <w:r w:rsidRPr="00F67BDF">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A0BC550" w14:textId="77777777" w:rsidR="00B727C5" w:rsidRDefault="00B727C5" w:rsidP="00564755">
      <w:pPr>
        <w:spacing w:line="360" w:lineRule="auto"/>
        <w:jc w:val="both"/>
        <w:rPr>
          <w:rFonts w:ascii="Palatino Linotype" w:eastAsia="Calibri" w:hAnsi="Palatino Linotype" w:cs="Tahoma"/>
          <w:bCs/>
          <w:color w:val="000000"/>
          <w:sz w:val="22"/>
          <w:szCs w:val="22"/>
          <w:lang w:val="es-ES" w:eastAsia="es-ES_tradnl"/>
        </w:rPr>
      </w:pPr>
    </w:p>
    <w:p w14:paraId="1A0BC551" w14:textId="77777777" w:rsidR="00436FD3" w:rsidRPr="00F67BDF" w:rsidRDefault="004F2D88" w:rsidP="00564755">
      <w:pPr>
        <w:autoSpaceDE w:val="0"/>
        <w:autoSpaceDN w:val="0"/>
        <w:adjustRightInd w:val="0"/>
        <w:spacing w:line="360" w:lineRule="auto"/>
        <w:jc w:val="both"/>
        <w:rPr>
          <w:rFonts w:ascii="Palatino Linotype" w:hAnsi="Palatino Linotype" w:cs="Tahoma"/>
          <w:sz w:val="22"/>
          <w:szCs w:val="22"/>
          <w:lang w:val="es-ES"/>
        </w:rPr>
      </w:pPr>
      <w:r w:rsidRPr="00F67BDF">
        <w:rPr>
          <w:rFonts w:ascii="Palatino Linotype" w:eastAsia="Calibri" w:hAnsi="Palatino Linotype" w:cs="Tahoma"/>
          <w:b/>
          <w:color w:val="000000"/>
          <w:sz w:val="22"/>
          <w:szCs w:val="22"/>
          <w:lang w:val="es-ES" w:eastAsia="es-MX"/>
        </w:rPr>
        <w:t>SEGUND</w:t>
      </w:r>
      <w:r w:rsidR="002241A6" w:rsidRPr="00F67BDF">
        <w:rPr>
          <w:rFonts w:ascii="Palatino Linotype" w:eastAsia="Calibri" w:hAnsi="Palatino Linotype" w:cs="Tahoma"/>
          <w:b/>
          <w:color w:val="000000"/>
          <w:sz w:val="22"/>
          <w:szCs w:val="22"/>
          <w:lang w:val="es-ES" w:eastAsia="es-MX"/>
        </w:rPr>
        <w:t>O</w:t>
      </w:r>
      <w:r w:rsidRPr="00F67BDF">
        <w:rPr>
          <w:rFonts w:ascii="Palatino Linotype" w:eastAsia="Calibri" w:hAnsi="Palatino Linotype" w:cs="Tahoma"/>
          <w:color w:val="000000"/>
          <w:sz w:val="22"/>
          <w:szCs w:val="22"/>
          <w:lang w:val="es-ES" w:eastAsia="es-MX"/>
        </w:rPr>
        <w:t xml:space="preserve">. </w:t>
      </w:r>
      <w:r w:rsidRPr="00F67BDF">
        <w:rPr>
          <w:rFonts w:ascii="Palatino Linotype" w:hAnsi="Palatino Linotype" w:cs="Tahoma"/>
          <w:b/>
          <w:sz w:val="22"/>
          <w:szCs w:val="22"/>
          <w:lang w:val="es-ES"/>
        </w:rPr>
        <w:t>Metodología de estudio.</w:t>
      </w:r>
    </w:p>
    <w:p w14:paraId="1A0BC552" w14:textId="77777777" w:rsidR="00303CAD" w:rsidRPr="00F67BDF" w:rsidRDefault="00303CAD" w:rsidP="00564755">
      <w:pPr>
        <w:autoSpaceDE w:val="0"/>
        <w:autoSpaceDN w:val="0"/>
        <w:adjustRightInd w:val="0"/>
        <w:spacing w:line="360" w:lineRule="auto"/>
        <w:jc w:val="both"/>
        <w:rPr>
          <w:rFonts w:ascii="Palatino Linotype" w:hAnsi="Palatino Linotype" w:cs="Tahoma"/>
          <w:sz w:val="22"/>
          <w:szCs w:val="22"/>
          <w:lang w:val="es-ES"/>
        </w:rPr>
      </w:pPr>
    </w:p>
    <w:p w14:paraId="1A0BC553" w14:textId="77777777" w:rsidR="004F2D88" w:rsidRDefault="004F2D88" w:rsidP="00564755">
      <w:pPr>
        <w:autoSpaceDE w:val="0"/>
        <w:autoSpaceDN w:val="0"/>
        <w:adjustRightInd w:val="0"/>
        <w:spacing w:line="360" w:lineRule="auto"/>
        <w:jc w:val="both"/>
        <w:rPr>
          <w:rFonts w:ascii="Palatino Linotype" w:hAnsi="Palatino Linotype" w:cs="Tahoma"/>
          <w:sz w:val="22"/>
          <w:szCs w:val="22"/>
          <w:lang w:val="es-ES"/>
        </w:rPr>
      </w:pPr>
      <w:r w:rsidRPr="00F67BDF">
        <w:rPr>
          <w:rFonts w:ascii="Palatino Linotype" w:hAnsi="Palatino Linotype" w:cs="Tahoma"/>
          <w:sz w:val="22"/>
          <w:szCs w:val="22"/>
          <w:lang w:val="es-ES"/>
        </w:rPr>
        <w:t>De las constancias que forma parte de</w:t>
      </w:r>
      <w:r w:rsidR="008E1829" w:rsidRPr="00F67BDF">
        <w:rPr>
          <w:rFonts w:ascii="Palatino Linotype" w:hAnsi="Palatino Linotype" w:cs="Tahoma"/>
          <w:sz w:val="22"/>
          <w:szCs w:val="22"/>
          <w:lang w:val="es-ES"/>
        </w:rPr>
        <w:t>l R</w:t>
      </w:r>
      <w:r w:rsidRPr="00F67BDF">
        <w:rPr>
          <w:rFonts w:ascii="Palatino Linotype" w:hAnsi="Palatino Linotype" w:cs="Tahoma"/>
          <w:sz w:val="22"/>
          <w:szCs w:val="22"/>
          <w:lang w:val="es-ES"/>
        </w:rPr>
        <w:t>ecurso</w:t>
      </w:r>
      <w:r w:rsidR="008E1829" w:rsidRPr="00F67BDF">
        <w:rPr>
          <w:rFonts w:ascii="Palatino Linotype" w:hAnsi="Palatino Linotype" w:cs="Tahoma"/>
          <w:sz w:val="22"/>
          <w:szCs w:val="22"/>
          <w:lang w:val="es-ES"/>
        </w:rPr>
        <w:t xml:space="preserve"> de Revisión que se analiza,</w:t>
      </w:r>
      <w:r w:rsidRPr="00F67BDF">
        <w:rPr>
          <w:rFonts w:ascii="Palatino Linotype" w:hAnsi="Palatino Linotype" w:cs="Tahoma"/>
          <w:sz w:val="22"/>
          <w:szCs w:val="22"/>
          <w:lang w:val="es-ES"/>
        </w:rPr>
        <w:t xml:space="preserve"> se advierte que previo al estudio del fondo de la </w:t>
      </w:r>
      <w:r w:rsidRPr="00F67BDF">
        <w:rPr>
          <w:rFonts w:ascii="Palatino Linotype" w:hAnsi="Palatino Linotype" w:cs="Tahoma"/>
          <w:i/>
          <w:sz w:val="22"/>
          <w:szCs w:val="22"/>
          <w:lang w:val="es-ES"/>
        </w:rPr>
        <w:t>litis</w:t>
      </w:r>
      <w:r w:rsidRPr="00F67BDF">
        <w:rPr>
          <w:rFonts w:ascii="Palatino Linotype" w:hAnsi="Palatino Linotype" w:cs="Tahoma"/>
          <w:sz w:val="22"/>
          <w:szCs w:val="22"/>
          <w:lang w:val="es-ES"/>
        </w:rPr>
        <w:t>, es necesario estudiar las causales de improcedencia y sobreseimiento que se adviertan, para determinar lo que en Derecho proceda.</w:t>
      </w:r>
    </w:p>
    <w:p w14:paraId="1A0BC554" w14:textId="77777777" w:rsidR="005820E3" w:rsidRPr="00F67BDF" w:rsidRDefault="005820E3" w:rsidP="00564755">
      <w:pPr>
        <w:autoSpaceDE w:val="0"/>
        <w:autoSpaceDN w:val="0"/>
        <w:adjustRightInd w:val="0"/>
        <w:spacing w:line="360" w:lineRule="auto"/>
        <w:jc w:val="both"/>
        <w:rPr>
          <w:rFonts w:ascii="Palatino Linotype" w:hAnsi="Palatino Linotype" w:cs="Tahoma"/>
          <w:sz w:val="22"/>
          <w:szCs w:val="22"/>
        </w:rPr>
      </w:pPr>
    </w:p>
    <w:p w14:paraId="1A0BC555" w14:textId="77777777" w:rsidR="00D90C9D" w:rsidRDefault="004F2D88" w:rsidP="00564755">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F67BDF">
        <w:rPr>
          <w:rFonts w:ascii="Palatino Linotype" w:eastAsia="Calibri" w:hAnsi="Palatino Linotype" w:cs="Tahoma"/>
          <w:b/>
          <w:color w:val="000000"/>
          <w:sz w:val="22"/>
          <w:szCs w:val="22"/>
          <w:lang w:val="es-ES" w:eastAsia="es-MX"/>
        </w:rPr>
        <w:t>Causales de improcedencia.</w:t>
      </w:r>
    </w:p>
    <w:p w14:paraId="787FEEE7" w14:textId="77777777" w:rsidR="005F435F" w:rsidRDefault="005F435F" w:rsidP="00564755">
      <w:pPr>
        <w:widowControl w:val="0"/>
        <w:spacing w:line="360" w:lineRule="auto"/>
        <w:jc w:val="both"/>
        <w:rPr>
          <w:rFonts w:ascii="Palatino Linotype" w:hAnsi="Palatino Linotype" w:cs="Tahoma"/>
          <w:sz w:val="22"/>
          <w:szCs w:val="24"/>
        </w:rPr>
      </w:pPr>
    </w:p>
    <w:p w14:paraId="1A0BC558" w14:textId="77777777" w:rsidR="00F024EE" w:rsidRPr="00A56F39" w:rsidRDefault="00F024EE" w:rsidP="00564755">
      <w:pPr>
        <w:widowControl w:val="0"/>
        <w:spacing w:line="360" w:lineRule="auto"/>
        <w:jc w:val="both"/>
        <w:rPr>
          <w:rFonts w:ascii="Palatino Linotype" w:hAnsi="Palatino Linotype" w:cs="Tahoma"/>
          <w:sz w:val="22"/>
          <w:szCs w:val="24"/>
        </w:rPr>
      </w:pPr>
      <w:r w:rsidRPr="00A56F39">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A0BC559" w14:textId="77777777" w:rsidR="00F024EE" w:rsidRPr="009049B2" w:rsidRDefault="00F024EE" w:rsidP="0056475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A0BC55A" w14:textId="77777777" w:rsidR="00F024EE" w:rsidRPr="00A56F39" w:rsidRDefault="00F024EE" w:rsidP="00564755">
      <w:pPr>
        <w:spacing w:line="360" w:lineRule="auto"/>
        <w:jc w:val="both"/>
        <w:rPr>
          <w:rFonts w:ascii="Palatino Linotype" w:hAnsi="Palatino Linotype" w:cs="Tahoma"/>
          <w:sz w:val="22"/>
          <w:szCs w:val="24"/>
        </w:rPr>
      </w:pPr>
      <w:r w:rsidRPr="00A56F39">
        <w:rPr>
          <w:rFonts w:ascii="Palatino Linotype" w:hAnsi="Palatino Linotype" w:cs="Tahoma"/>
          <w:sz w:val="22"/>
          <w:szCs w:val="24"/>
        </w:rPr>
        <w:t>En el presente caso, </w:t>
      </w:r>
      <w:r w:rsidRPr="00A56F39">
        <w:rPr>
          <w:rFonts w:ascii="Palatino Linotype" w:hAnsi="Palatino Linotype" w:cs="Tahoma"/>
          <w:b/>
          <w:bCs/>
          <w:sz w:val="22"/>
          <w:szCs w:val="24"/>
        </w:rPr>
        <w:t>no se actualiza ninguna de las causales de improcedencia</w:t>
      </w:r>
      <w:r w:rsidRPr="00A56F39">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08177A">
        <w:rPr>
          <w:rFonts w:ascii="Palatino Linotype" w:hAnsi="Palatino Linotype" w:cs="Tahoma"/>
          <w:sz w:val="22"/>
          <w:szCs w:val="24"/>
        </w:rPr>
        <w:t>la R</w:t>
      </w:r>
      <w:r w:rsidRPr="00A56F39">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1A0BC55B" w14:textId="77777777" w:rsidR="00F024EE" w:rsidRPr="00A56F39" w:rsidRDefault="00F024EE" w:rsidP="00564755">
      <w:pPr>
        <w:spacing w:line="360" w:lineRule="auto"/>
        <w:jc w:val="both"/>
        <w:rPr>
          <w:rFonts w:ascii="Palatino Linotype" w:hAnsi="Palatino Linotype" w:cs="Tahoma"/>
          <w:sz w:val="22"/>
          <w:szCs w:val="24"/>
        </w:rPr>
      </w:pPr>
    </w:p>
    <w:p w14:paraId="1A0BC55C" w14:textId="0887EEBA" w:rsidR="00F024EE" w:rsidRDefault="00F024EE" w:rsidP="00564755">
      <w:pPr>
        <w:spacing w:line="360" w:lineRule="auto"/>
        <w:jc w:val="both"/>
        <w:rPr>
          <w:rFonts w:ascii="Palatino Linotype" w:hAnsi="Palatino Linotype" w:cs="Tahoma"/>
          <w:sz w:val="22"/>
          <w:szCs w:val="24"/>
          <w:lang w:val="es-ES"/>
        </w:rPr>
      </w:pPr>
      <w:r w:rsidRPr="00A56F39">
        <w:rPr>
          <w:rFonts w:ascii="Palatino Linotype" w:hAnsi="Palatino Linotype" w:cs="Tahoma"/>
          <w:sz w:val="22"/>
          <w:szCs w:val="24"/>
        </w:rPr>
        <w:t>Asimismo, </w:t>
      </w:r>
      <w:r w:rsidRPr="00A56F39">
        <w:rPr>
          <w:rFonts w:ascii="Palatino Linotype" w:hAnsi="Palatino Linotype" w:cs="Tahoma"/>
          <w:sz w:val="22"/>
          <w:szCs w:val="24"/>
          <w:lang w:val="es-ES"/>
        </w:rPr>
        <w:t>se actualiza</w:t>
      </w:r>
      <w:r w:rsidR="00C95035">
        <w:rPr>
          <w:rFonts w:ascii="Palatino Linotype" w:hAnsi="Palatino Linotype" w:cs="Tahoma"/>
          <w:sz w:val="22"/>
          <w:szCs w:val="24"/>
          <w:lang w:val="es-ES"/>
        </w:rPr>
        <w:t>n</w:t>
      </w:r>
      <w:r w:rsidRPr="00A56F39">
        <w:rPr>
          <w:rFonts w:ascii="Palatino Linotype" w:hAnsi="Palatino Linotype" w:cs="Tahoma"/>
          <w:sz w:val="22"/>
          <w:szCs w:val="24"/>
          <w:lang w:val="es-ES"/>
        </w:rPr>
        <w:t xml:space="preserve"> la</w:t>
      </w:r>
      <w:r w:rsidR="00C95035">
        <w:rPr>
          <w:rFonts w:ascii="Palatino Linotype" w:hAnsi="Palatino Linotype" w:cs="Tahoma"/>
          <w:sz w:val="22"/>
          <w:szCs w:val="24"/>
          <w:lang w:val="es-ES"/>
        </w:rPr>
        <w:t>s</w:t>
      </w:r>
      <w:r w:rsidRPr="00A56F39">
        <w:rPr>
          <w:rFonts w:ascii="Palatino Linotype" w:hAnsi="Palatino Linotype" w:cs="Tahoma"/>
          <w:sz w:val="22"/>
          <w:szCs w:val="24"/>
          <w:lang w:val="es-ES"/>
        </w:rPr>
        <w:t xml:space="preserve"> causal</w:t>
      </w:r>
      <w:r w:rsidR="00C95035">
        <w:rPr>
          <w:rFonts w:ascii="Palatino Linotype" w:hAnsi="Palatino Linotype" w:cs="Tahoma"/>
          <w:sz w:val="22"/>
          <w:szCs w:val="24"/>
          <w:lang w:val="es-ES"/>
        </w:rPr>
        <w:t>es</w:t>
      </w:r>
      <w:r w:rsidRPr="00A56F39">
        <w:rPr>
          <w:rFonts w:ascii="Palatino Linotype" w:hAnsi="Palatino Linotype" w:cs="Tahoma"/>
          <w:sz w:val="22"/>
          <w:szCs w:val="24"/>
          <w:lang w:val="es-ES"/>
        </w:rPr>
        <w:t xml:space="preserve"> de procedencia del </w:t>
      </w:r>
      <w:r w:rsidR="00C95035">
        <w:rPr>
          <w:rFonts w:ascii="Palatino Linotype" w:hAnsi="Palatino Linotype" w:cs="Tahoma"/>
          <w:sz w:val="22"/>
          <w:szCs w:val="24"/>
          <w:lang w:val="es-ES"/>
        </w:rPr>
        <w:t>R</w:t>
      </w:r>
      <w:r w:rsidRPr="00A56F39">
        <w:rPr>
          <w:rFonts w:ascii="Palatino Linotype" w:hAnsi="Palatino Linotype" w:cs="Tahoma"/>
          <w:sz w:val="22"/>
          <w:szCs w:val="24"/>
          <w:lang w:val="es-ES"/>
        </w:rPr>
        <w:t xml:space="preserve">ecurso de </w:t>
      </w:r>
      <w:r w:rsidR="00C95035">
        <w:rPr>
          <w:rFonts w:ascii="Palatino Linotype" w:hAnsi="Palatino Linotype" w:cs="Tahoma"/>
          <w:sz w:val="22"/>
          <w:szCs w:val="24"/>
          <w:lang w:val="es-ES"/>
        </w:rPr>
        <w:t>R</w:t>
      </w:r>
      <w:r w:rsidRPr="00A56F39">
        <w:rPr>
          <w:rFonts w:ascii="Palatino Linotype" w:hAnsi="Palatino Linotype" w:cs="Tahoma"/>
          <w:sz w:val="22"/>
          <w:szCs w:val="24"/>
          <w:lang w:val="es-ES"/>
        </w:rPr>
        <w:t>evisión señalada</w:t>
      </w:r>
      <w:r w:rsidR="00127A0E">
        <w:rPr>
          <w:rFonts w:ascii="Palatino Linotype" w:hAnsi="Palatino Linotype" w:cs="Tahoma"/>
          <w:sz w:val="22"/>
          <w:szCs w:val="24"/>
          <w:lang w:val="es-ES"/>
        </w:rPr>
        <w:t>s</w:t>
      </w:r>
      <w:r w:rsidRPr="00A56F39">
        <w:rPr>
          <w:rFonts w:ascii="Palatino Linotype" w:hAnsi="Palatino Linotype" w:cs="Tahoma"/>
          <w:sz w:val="22"/>
          <w:szCs w:val="24"/>
          <w:lang w:val="es-ES"/>
        </w:rPr>
        <w:t xml:space="preserve"> en el artículo 179, fracción </w:t>
      </w:r>
      <w:r>
        <w:rPr>
          <w:rFonts w:ascii="Palatino Linotype" w:hAnsi="Palatino Linotype" w:cs="Tahoma"/>
          <w:sz w:val="22"/>
          <w:szCs w:val="24"/>
          <w:lang w:val="es-ES"/>
        </w:rPr>
        <w:t>V</w:t>
      </w:r>
      <w:r w:rsidR="007A19BB">
        <w:rPr>
          <w:rFonts w:ascii="Palatino Linotype" w:hAnsi="Palatino Linotype" w:cs="Tahoma"/>
          <w:sz w:val="22"/>
          <w:szCs w:val="24"/>
          <w:lang w:val="es-ES"/>
        </w:rPr>
        <w:t xml:space="preserve"> y VI</w:t>
      </w:r>
      <w:r w:rsidRPr="00A56F39">
        <w:rPr>
          <w:rFonts w:ascii="Palatino Linotype" w:hAnsi="Palatino Linotype" w:cs="Tahoma"/>
          <w:sz w:val="22"/>
          <w:szCs w:val="24"/>
          <w:lang w:val="es-ES"/>
        </w:rPr>
        <w:t xml:space="preserve">, de la Ley en cita, pues la parte Recurrente se inconformó </w:t>
      </w:r>
      <w:r>
        <w:rPr>
          <w:rFonts w:ascii="Palatino Linotype" w:hAnsi="Palatino Linotype" w:cs="Tahoma"/>
          <w:sz w:val="22"/>
          <w:szCs w:val="24"/>
          <w:lang w:val="es-ES"/>
        </w:rPr>
        <w:t xml:space="preserve">con la entrega de información </w:t>
      </w:r>
      <w:r w:rsidR="00446A5C">
        <w:rPr>
          <w:rFonts w:ascii="Palatino Linotype" w:hAnsi="Palatino Linotype" w:cs="Tahoma"/>
          <w:sz w:val="22"/>
          <w:szCs w:val="24"/>
          <w:lang w:val="es-ES"/>
        </w:rPr>
        <w:t>incompleta</w:t>
      </w:r>
      <w:r w:rsidR="007A19BB">
        <w:rPr>
          <w:rFonts w:ascii="Palatino Linotype" w:hAnsi="Palatino Linotype" w:cs="Tahoma"/>
          <w:sz w:val="22"/>
          <w:szCs w:val="24"/>
          <w:lang w:val="es-ES"/>
        </w:rPr>
        <w:t xml:space="preserve">; así como, </w:t>
      </w:r>
      <w:r w:rsidR="005F435F">
        <w:rPr>
          <w:rFonts w:ascii="Palatino Linotype" w:hAnsi="Palatino Linotype" w:cs="Tahoma"/>
          <w:sz w:val="22"/>
          <w:szCs w:val="24"/>
          <w:lang w:val="es-ES"/>
        </w:rPr>
        <w:t>que la proporcionada no corresponde con lo solicitado</w:t>
      </w:r>
    </w:p>
    <w:p w14:paraId="1A0BC55D" w14:textId="77777777" w:rsidR="00F024EE" w:rsidRDefault="00F024EE" w:rsidP="00564755">
      <w:pPr>
        <w:spacing w:line="360" w:lineRule="auto"/>
        <w:jc w:val="both"/>
        <w:rPr>
          <w:rFonts w:ascii="Palatino Linotype" w:hAnsi="Palatino Linotype" w:cs="Tahoma"/>
          <w:sz w:val="22"/>
          <w:szCs w:val="24"/>
          <w:lang w:val="es-ES"/>
        </w:rPr>
      </w:pPr>
      <w:r w:rsidRPr="00A56F39">
        <w:rPr>
          <w:rFonts w:ascii="Palatino Linotype" w:hAnsi="Palatino Linotype" w:cs="Tahoma"/>
          <w:sz w:val="22"/>
          <w:szCs w:val="24"/>
          <w:lang w:val="es-ES"/>
        </w:rPr>
        <w:t> </w:t>
      </w:r>
    </w:p>
    <w:p w14:paraId="1A0BC55E" w14:textId="77777777" w:rsidR="00F024EE" w:rsidRPr="00A56F39" w:rsidRDefault="00F024EE" w:rsidP="00564755">
      <w:pPr>
        <w:spacing w:line="360" w:lineRule="auto"/>
        <w:jc w:val="both"/>
        <w:rPr>
          <w:rFonts w:ascii="Palatino Linotype" w:hAnsi="Palatino Linotype" w:cs="Tahoma"/>
          <w:sz w:val="22"/>
          <w:szCs w:val="24"/>
        </w:rPr>
      </w:pPr>
      <w:r w:rsidRPr="00A56F39">
        <w:rPr>
          <w:rFonts w:ascii="Palatino Linotype" w:hAnsi="Palatino Linotype" w:cs="Tahoma"/>
          <w:b/>
          <w:bCs/>
          <w:sz w:val="22"/>
          <w:szCs w:val="24"/>
        </w:rPr>
        <w:t>Causales de sobreseimiento.</w:t>
      </w:r>
    </w:p>
    <w:p w14:paraId="1A0BC55F" w14:textId="77777777" w:rsidR="00F024EE" w:rsidRDefault="00F024EE" w:rsidP="00564755">
      <w:pPr>
        <w:spacing w:line="360" w:lineRule="auto"/>
        <w:jc w:val="both"/>
        <w:rPr>
          <w:rFonts w:ascii="Palatino Linotype" w:hAnsi="Palatino Linotype" w:cs="Tahoma"/>
          <w:sz w:val="22"/>
          <w:szCs w:val="24"/>
        </w:rPr>
      </w:pPr>
      <w:r w:rsidRPr="00A56F39">
        <w:rPr>
          <w:rFonts w:ascii="Palatino Linotype" w:hAnsi="Palatino Linotype" w:cs="Tahoma"/>
          <w:sz w:val="22"/>
          <w:szCs w:val="24"/>
        </w:rPr>
        <w:t> </w:t>
      </w:r>
    </w:p>
    <w:p w14:paraId="1A0BC562" w14:textId="77777777" w:rsidR="00DE339D" w:rsidRPr="004E591C" w:rsidRDefault="00DE339D" w:rsidP="00564755">
      <w:pPr>
        <w:spacing w:line="360" w:lineRule="auto"/>
        <w:jc w:val="both"/>
        <w:rPr>
          <w:rFonts w:ascii="Palatino Linotype" w:eastAsia="Calibri" w:hAnsi="Palatino Linotype" w:cs="Tahoma"/>
          <w:sz w:val="22"/>
          <w:szCs w:val="22"/>
          <w:lang w:eastAsia="es-ES_tradnl"/>
        </w:rPr>
      </w:pPr>
      <w:r w:rsidRPr="004E591C">
        <w:rPr>
          <w:rFonts w:ascii="Palatino Linotype" w:eastAsia="Calibri" w:hAnsi="Palatino Linotype" w:cs="Tahoma"/>
          <w:sz w:val="22"/>
          <w:szCs w:val="22"/>
          <w:lang w:eastAsia="es-ES_tradnl"/>
        </w:rPr>
        <w:t>Por ser de previo y especial pronunciamiento, este Instituto analiza si se actualiza alguna causal de sobreseimiento, tal como lo solicitó el Sujeto Obligado.</w:t>
      </w:r>
    </w:p>
    <w:p w14:paraId="1A0BC563" w14:textId="77777777" w:rsidR="00DE339D" w:rsidRPr="004E591C" w:rsidRDefault="00DE339D" w:rsidP="00564755">
      <w:pPr>
        <w:spacing w:line="360" w:lineRule="auto"/>
        <w:jc w:val="both"/>
        <w:rPr>
          <w:rFonts w:ascii="Palatino Linotype" w:hAnsi="Palatino Linotype" w:cs="Tahoma"/>
          <w:sz w:val="22"/>
          <w:szCs w:val="22"/>
        </w:rPr>
      </w:pPr>
    </w:p>
    <w:p w14:paraId="1A0BC564" w14:textId="77777777" w:rsidR="00DE339D" w:rsidRPr="004E591C" w:rsidRDefault="00DE339D" w:rsidP="00564755">
      <w:pPr>
        <w:spacing w:line="360" w:lineRule="auto"/>
        <w:jc w:val="both"/>
        <w:rPr>
          <w:rFonts w:ascii="Palatino Linotype" w:eastAsia="Calibri" w:hAnsi="Palatino Linotype" w:cs="Tahoma"/>
          <w:sz w:val="22"/>
          <w:szCs w:val="22"/>
          <w:lang w:eastAsia="es-ES_tradnl"/>
        </w:rPr>
      </w:pPr>
      <w:r w:rsidRPr="004E591C">
        <w:rPr>
          <w:rFonts w:ascii="Palatino Linotype" w:hAnsi="Palatino Linotype" w:cs="Tahoma"/>
          <w:sz w:val="22"/>
          <w:szCs w:val="22"/>
        </w:rPr>
        <w:t xml:space="preserve">El artículo 192 de la </w:t>
      </w:r>
      <w:r w:rsidRPr="004E591C">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4E591C">
        <w:rPr>
          <w:rFonts w:ascii="Palatino Linotype" w:eastAsia="Calibri" w:hAnsi="Palatino Linotype" w:cs="Tahoma"/>
          <w:sz w:val="22"/>
          <w:szCs w:val="22"/>
          <w:lang w:eastAsia="es-ES_tradnl"/>
        </w:rPr>
        <w:t>del análisis realizado por este Instituto, se advierte que</w:t>
      </w:r>
      <w:r w:rsidRPr="004E591C">
        <w:rPr>
          <w:rFonts w:ascii="Palatino Linotype" w:eastAsia="Calibri" w:hAnsi="Palatino Linotype" w:cs="Tahoma"/>
          <w:b/>
          <w:sz w:val="22"/>
          <w:szCs w:val="22"/>
          <w:lang w:eastAsia="es-ES_tradnl"/>
        </w:rPr>
        <w:t xml:space="preserve"> no se configuran las causales establecidas en las fracciones I, II, IV y V, </w:t>
      </w:r>
      <w:r w:rsidRPr="004E591C">
        <w:rPr>
          <w:rFonts w:ascii="Palatino Linotype" w:eastAsia="Calibri" w:hAnsi="Palatino Linotype" w:cs="Tahoma"/>
          <w:sz w:val="22"/>
          <w:szCs w:val="22"/>
          <w:lang w:eastAsia="es-ES_tradnl"/>
        </w:rPr>
        <w:t>toda vez que no hay constancias en el expediente en que se actúa, de que el recurrente se haya desistido del recurso, haya fallecido, sobreviniera alguna causal de improcedencia, o bien, haya quedado sin materia.</w:t>
      </w:r>
    </w:p>
    <w:p w14:paraId="1A0BC565" w14:textId="77777777" w:rsidR="00DE339D" w:rsidRPr="004E591C" w:rsidRDefault="00DE339D" w:rsidP="00564755">
      <w:pPr>
        <w:spacing w:line="360" w:lineRule="auto"/>
        <w:jc w:val="both"/>
        <w:rPr>
          <w:rFonts w:ascii="Palatino Linotype" w:eastAsia="Calibri" w:hAnsi="Palatino Linotype" w:cs="Tahoma"/>
          <w:b/>
          <w:sz w:val="22"/>
          <w:szCs w:val="22"/>
          <w:lang w:eastAsia="es-ES_tradnl"/>
        </w:rPr>
      </w:pPr>
    </w:p>
    <w:p w14:paraId="1A0BC566" w14:textId="67B50FCF" w:rsidR="00DE339D" w:rsidRPr="004E591C" w:rsidRDefault="00DE339D" w:rsidP="00564755">
      <w:pPr>
        <w:spacing w:line="360" w:lineRule="auto"/>
        <w:jc w:val="both"/>
        <w:rPr>
          <w:rFonts w:ascii="Palatino Linotype" w:eastAsia="Calibri" w:hAnsi="Palatino Linotype" w:cs="Tahoma"/>
          <w:sz w:val="22"/>
          <w:szCs w:val="22"/>
          <w:lang w:eastAsia="es-ES_tradnl"/>
        </w:rPr>
      </w:pPr>
      <w:r w:rsidRPr="004E591C">
        <w:rPr>
          <w:rFonts w:ascii="Palatino Linotype" w:eastAsia="Calibri" w:hAnsi="Palatino Linotype" w:cs="Tahoma"/>
          <w:sz w:val="22"/>
          <w:szCs w:val="22"/>
          <w:lang w:eastAsia="es-ES_tradnl"/>
        </w:rPr>
        <w:t xml:space="preserve">No obstante, toda vez que durante la sustanciación </w:t>
      </w:r>
      <w:r>
        <w:rPr>
          <w:rFonts w:ascii="Palatino Linotype" w:eastAsia="Calibri" w:hAnsi="Palatino Linotype" w:cs="Tahoma"/>
          <w:sz w:val="22"/>
          <w:szCs w:val="22"/>
          <w:lang w:eastAsia="es-ES_tradnl"/>
        </w:rPr>
        <w:t>del Recurso de R</w:t>
      </w:r>
      <w:r w:rsidRPr="004E591C">
        <w:rPr>
          <w:rFonts w:ascii="Palatino Linotype" w:eastAsia="Calibri" w:hAnsi="Palatino Linotype" w:cs="Tahoma"/>
          <w:sz w:val="22"/>
          <w:szCs w:val="22"/>
          <w:lang w:eastAsia="es-ES_tradnl"/>
        </w:rPr>
        <w:t xml:space="preserve">evisión </w:t>
      </w:r>
      <w:r w:rsidRPr="004E591C">
        <w:rPr>
          <w:rFonts w:ascii="Palatino Linotype" w:hAnsi="Palatino Linotype" w:cs="Tahoma"/>
          <w:b/>
          <w:bCs/>
          <w:iCs/>
          <w:sz w:val="22"/>
          <w:szCs w:val="24"/>
          <w:lang w:val="es-ES_tradnl"/>
        </w:rPr>
        <w:t>0</w:t>
      </w:r>
      <w:r w:rsidR="00C776C8">
        <w:rPr>
          <w:rFonts w:ascii="Palatino Linotype" w:hAnsi="Palatino Linotype" w:cs="Tahoma"/>
          <w:b/>
          <w:bCs/>
          <w:iCs/>
          <w:sz w:val="22"/>
          <w:szCs w:val="24"/>
          <w:lang w:val="es-ES_tradnl"/>
        </w:rPr>
        <w:t>0087</w:t>
      </w:r>
      <w:r w:rsidR="00D45B07">
        <w:rPr>
          <w:rFonts w:ascii="Palatino Linotype" w:hAnsi="Palatino Linotype" w:cs="Tahoma"/>
          <w:b/>
          <w:bCs/>
          <w:iCs/>
          <w:sz w:val="22"/>
          <w:szCs w:val="24"/>
          <w:lang w:val="es-ES_tradnl"/>
        </w:rPr>
        <w:t>2</w:t>
      </w:r>
      <w:r w:rsidR="00C776C8">
        <w:rPr>
          <w:rFonts w:ascii="Palatino Linotype" w:hAnsi="Palatino Linotype" w:cs="Tahoma"/>
          <w:b/>
          <w:bCs/>
          <w:iCs/>
          <w:sz w:val="22"/>
          <w:szCs w:val="24"/>
          <w:lang w:val="es-ES_tradnl"/>
        </w:rPr>
        <w:t>/INFOEM/IP/RR/2019</w:t>
      </w:r>
      <w:r w:rsidRPr="004E591C">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 xml:space="preserve">el </w:t>
      </w:r>
      <w:r w:rsidR="00C776C8">
        <w:rPr>
          <w:rFonts w:ascii="Palatino Linotype" w:eastAsia="Calibri" w:hAnsi="Palatino Linotype" w:cs="Tahoma"/>
          <w:sz w:val="22"/>
          <w:szCs w:val="22"/>
          <w:lang w:eastAsia="es-ES_tradnl"/>
        </w:rPr>
        <w:t>Centro de Control de Confianza del Estado de México</w:t>
      </w:r>
      <w:r w:rsidRPr="004E591C">
        <w:rPr>
          <w:rFonts w:ascii="Palatino Linotype" w:eastAsia="Calibri" w:hAnsi="Palatino Linotype" w:cs="Tahoma"/>
          <w:sz w:val="22"/>
          <w:szCs w:val="22"/>
          <w:lang w:eastAsia="es-ES_tradnl"/>
        </w:rPr>
        <w:t xml:space="preserve"> modificó </w:t>
      </w:r>
      <w:r>
        <w:rPr>
          <w:rFonts w:ascii="Palatino Linotype" w:eastAsia="Calibri" w:hAnsi="Palatino Linotype" w:cs="Tahoma"/>
          <w:sz w:val="22"/>
          <w:szCs w:val="22"/>
          <w:lang w:eastAsia="es-ES_tradnl"/>
        </w:rPr>
        <w:t xml:space="preserve">parte de </w:t>
      </w:r>
      <w:r w:rsidRPr="004E591C">
        <w:rPr>
          <w:rFonts w:ascii="Palatino Linotype" w:eastAsia="Calibri" w:hAnsi="Palatino Linotype" w:cs="Tahoma"/>
          <w:sz w:val="22"/>
          <w:szCs w:val="22"/>
          <w:lang w:eastAsia="es-ES_tradnl"/>
        </w:rPr>
        <w:t xml:space="preserve">su respuesta, a través de su Informe Justificado, se estima procedente entrar al estudio de la causal de sobreseimiento prevista en la </w:t>
      </w:r>
      <w:r w:rsidRPr="004E591C">
        <w:rPr>
          <w:rFonts w:ascii="Palatino Linotype" w:eastAsia="Calibri" w:hAnsi="Palatino Linotype" w:cs="Tahoma"/>
          <w:b/>
          <w:sz w:val="22"/>
          <w:szCs w:val="22"/>
          <w:lang w:eastAsia="es-ES_tradnl"/>
        </w:rPr>
        <w:t>fracción III</w:t>
      </w:r>
      <w:r w:rsidRPr="004E591C">
        <w:rPr>
          <w:rFonts w:ascii="Palatino Linotype" w:eastAsia="Calibri" w:hAnsi="Palatino Linotype" w:cs="Tahoma"/>
          <w:sz w:val="22"/>
          <w:szCs w:val="22"/>
          <w:lang w:eastAsia="es-ES_tradnl"/>
        </w:rPr>
        <w:t xml:space="preserve"> del precepto legal previamente señalado.</w:t>
      </w:r>
    </w:p>
    <w:p w14:paraId="1A0BC567" w14:textId="77777777" w:rsidR="00F024EE" w:rsidRDefault="00F024EE" w:rsidP="00564755">
      <w:pPr>
        <w:spacing w:line="360" w:lineRule="auto"/>
        <w:jc w:val="both"/>
        <w:rPr>
          <w:rFonts w:ascii="Palatino Linotype" w:hAnsi="Palatino Linotype" w:cs="Tahoma"/>
          <w:sz w:val="22"/>
          <w:szCs w:val="24"/>
          <w:lang w:val="es-ES"/>
        </w:rPr>
      </w:pPr>
    </w:p>
    <w:p w14:paraId="1A0BC568" w14:textId="01C0E6AA" w:rsidR="00DE339D" w:rsidRDefault="00DE339D" w:rsidP="00564755">
      <w:pPr>
        <w:spacing w:line="360" w:lineRule="auto"/>
        <w:jc w:val="both"/>
        <w:rPr>
          <w:rStyle w:val="Hipervnculo"/>
          <w:rFonts w:ascii="Palatino Linotype" w:hAnsi="Palatino Linotype" w:cs="Tahoma"/>
          <w:bCs/>
          <w:color w:val="auto"/>
          <w:sz w:val="22"/>
          <w:szCs w:val="22"/>
          <w:u w:val="none"/>
        </w:rPr>
      </w:pPr>
      <w:r w:rsidRPr="004E591C">
        <w:rPr>
          <w:rFonts w:ascii="Palatino Linotype" w:eastAsia="Calibri" w:hAnsi="Palatino Linotype" w:cs="Tahoma"/>
          <w:sz w:val="22"/>
          <w:szCs w:val="22"/>
          <w:lang w:eastAsia="es-ES_tradnl"/>
        </w:rPr>
        <w:t xml:space="preserve">Al respecto, a efecto de verificar si se actualiza la causal de sobreseimiento, es necesario precisar que </w:t>
      </w:r>
      <w:r w:rsidR="00857EF1">
        <w:rPr>
          <w:rFonts w:ascii="Palatino Linotype" w:eastAsia="Calibri" w:hAnsi="Palatino Linotype" w:cs="Tahoma"/>
          <w:sz w:val="22"/>
          <w:szCs w:val="22"/>
          <w:lang w:eastAsia="es-ES_tradnl"/>
        </w:rPr>
        <w:t>la Particular</w:t>
      </w:r>
      <w:r w:rsidRPr="004E591C">
        <w:rPr>
          <w:rFonts w:ascii="Palatino Linotype" w:eastAsia="Calibri" w:hAnsi="Palatino Linotype" w:cs="Tahoma"/>
          <w:sz w:val="22"/>
          <w:szCs w:val="22"/>
          <w:lang w:eastAsia="es-ES_tradnl"/>
        </w:rPr>
        <w:t xml:space="preserve"> pidió </w:t>
      </w:r>
      <w:r w:rsidR="00857EF1">
        <w:rPr>
          <w:rStyle w:val="Hipervnculo"/>
          <w:rFonts w:ascii="Palatino Linotype" w:hAnsi="Palatino Linotype" w:cs="Tahoma"/>
          <w:bCs/>
          <w:color w:val="auto"/>
          <w:sz w:val="22"/>
          <w:szCs w:val="22"/>
          <w:u w:val="none"/>
        </w:rPr>
        <w:t xml:space="preserve">entre otras cosas, </w:t>
      </w:r>
      <w:r w:rsidR="00F941F8">
        <w:rPr>
          <w:rStyle w:val="Hipervnculo"/>
          <w:rFonts w:ascii="Palatino Linotype" w:hAnsi="Palatino Linotype" w:cs="Tahoma"/>
          <w:bCs/>
          <w:color w:val="auto"/>
          <w:sz w:val="22"/>
          <w:szCs w:val="22"/>
          <w:u w:val="none"/>
        </w:rPr>
        <w:t>en términos de la Ley de Planeación del Estado de México y el Manual para la Planeación, Programación y Presupuesto de Egresos Municipal para el Ejercicio Fiscal dos mil dieciocho, el Programa Operativo Anual de</w:t>
      </w:r>
      <w:r w:rsidR="00E66404">
        <w:rPr>
          <w:rStyle w:val="Hipervnculo"/>
          <w:rFonts w:ascii="Palatino Linotype" w:hAnsi="Palatino Linotype" w:cs="Tahoma"/>
          <w:bCs/>
          <w:color w:val="auto"/>
          <w:sz w:val="22"/>
          <w:szCs w:val="22"/>
          <w:u w:val="none"/>
        </w:rPr>
        <w:t xml:space="preserve"> la Unidad de Transparencia del Centro de Control de Confianza del Estado de México.</w:t>
      </w:r>
    </w:p>
    <w:p w14:paraId="1A0BC569" w14:textId="77777777" w:rsidR="00857EF1" w:rsidRDefault="00857EF1" w:rsidP="00564755">
      <w:pPr>
        <w:spacing w:line="360" w:lineRule="auto"/>
        <w:jc w:val="both"/>
        <w:rPr>
          <w:rStyle w:val="Hipervnculo"/>
          <w:rFonts w:ascii="Palatino Linotype" w:hAnsi="Palatino Linotype" w:cs="Tahoma"/>
          <w:bCs/>
          <w:color w:val="auto"/>
          <w:sz w:val="22"/>
          <w:szCs w:val="22"/>
          <w:u w:val="none"/>
        </w:rPr>
      </w:pPr>
    </w:p>
    <w:p w14:paraId="1288FBB1" w14:textId="4190030D" w:rsidR="00C7719D" w:rsidRPr="00C7719D" w:rsidRDefault="00857EF1" w:rsidP="00C7719D">
      <w:pPr>
        <w:spacing w:line="360" w:lineRule="auto"/>
        <w:jc w:val="both"/>
        <w:rPr>
          <w:rFonts w:ascii="Palatino Linotype" w:hAnsi="Palatino Linotype" w:cs="Tahoma"/>
          <w:bCs/>
          <w:sz w:val="22"/>
          <w:szCs w:val="22"/>
        </w:rPr>
      </w:pPr>
      <w:r>
        <w:rPr>
          <w:rStyle w:val="Hipervnculo"/>
          <w:rFonts w:ascii="Palatino Linotype" w:hAnsi="Palatino Linotype" w:cs="Tahoma"/>
          <w:bCs/>
          <w:color w:val="auto"/>
          <w:sz w:val="22"/>
          <w:szCs w:val="22"/>
          <w:u w:val="none"/>
        </w:rPr>
        <w:t xml:space="preserve">En respuesta, el Sujeto Obligado </w:t>
      </w:r>
      <w:r w:rsidR="00E66404">
        <w:rPr>
          <w:rStyle w:val="Hipervnculo"/>
          <w:rFonts w:ascii="Palatino Linotype" w:hAnsi="Palatino Linotype" w:cs="Tahoma"/>
          <w:bCs/>
          <w:color w:val="auto"/>
          <w:sz w:val="22"/>
          <w:szCs w:val="22"/>
          <w:u w:val="none"/>
        </w:rPr>
        <w:t>informó que las actividades y funciones que desarrollaba la Unidad de Transparencia no se integraban en su Programa Operativo Anual</w:t>
      </w:r>
      <w:r w:rsidR="00F32510">
        <w:rPr>
          <w:rStyle w:val="Hipervnculo"/>
          <w:rFonts w:ascii="Palatino Linotype" w:hAnsi="Palatino Linotype" w:cs="Tahoma"/>
          <w:bCs/>
          <w:color w:val="auto"/>
          <w:sz w:val="22"/>
          <w:szCs w:val="22"/>
          <w:u w:val="none"/>
        </w:rPr>
        <w:t xml:space="preserve">; sin embargo precisó que las actividades primordiales del Centro de Control de Confianza del Estado de México eran a través del </w:t>
      </w:r>
      <w:r w:rsidR="00F32510" w:rsidRPr="00F32510">
        <w:rPr>
          <w:rFonts w:ascii="Palatino Linotype" w:hAnsi="Palatino Linotype" w:cs="Tahoma"/>
          <w:bCs/>
          <w:sz w:val="22"/>
          <w:szCs w:val="22"/>
        </w:rPr>
        <w:t>Proyecto de Evaluación y Certificación para el Control de Confianza de los elementos de seguridad</w:t>
      </w:r>
      <w:r w:rsidR="00C7719D">
        <w:rPr>
          <w:rFonts w:ascii="Palatino Linotype" w:hAnsi="Palatino Linotype" w:cs="Tahoma"/>
          <w:bCs/>
          <w:sz w:val="22"/>
          <w:szCs w:val="22"/>
        </w:rPr>
        <w:t xml:space="preserve">, por lo cual, proporcionó el </w:t>
      </w:r>
      <w:r w:rsidR="00C7719D" w:rsidRPr="00C7719D">
        <w:rPr>
          <w:rFonts w:ascii="Palatino Linotype" w:hAnsi="Palatino Linotype" w:cs="Tahoma"/>
          <w:bCs/>
          <w:sz w:val="22"/>
          <w:szCs w:val="22"/>
        </w:rPr>
        <w:t>formato PbR-09a Evaluación y certificación para el control de confianz</w:t>
      </w:r>
      <w:r w:rsidR="00C7719D">
        <w:rPr>
          <w:rFonts w:ascii="Palatino Linotype" w:hAnsi="Palatino Linotype" w:cs="Tahoma"/>
          <w:bCs/>
          <w:sz w:val="22"/>
          <w:szCs w:val="22"/>
        </w:rPr>
        <w:t>a de los elementos de seguridad.</w:t>
      </w:r>
    </w:p>
    <w:p w14:paraId="1A0BC56A" w14:textId="5E1A9933" w:rsidR="00857EF1" w:rsidRDefault="00857EF1" w:rsidP="00564755">
      <w:pPr>
        <w:spacing w:line="360" w:lineRule="auto"/>
        <w:jc w:val="both"/>
        <w:rPr>
          <w:rStyle w:val="Hipervnculo"/>
          <w:rFonts w:ascii="Palatino Linotype" w:hAnsi="Palatino Linotype" w:cs="Tahoma"/>
          <w:bCs/>
          <w:color w:val="auto"/>
          <w:sz w:val="22"/>
          <w:szCs w:val="22"/>
          <w:u w:val="none"/>
        </w:rPr>
      </w:pPr>
    </w:p>
    <w:p w14:paraId="0657E4D0" w14:textId="4E5CB2E6" w:rsidR="00E66404" w:rsidRDefault="00C7719D" w:rsidP="00564755">
      <w:pPr>
        <w:spacing w:line="360" w:lineRule="auto"/>
        <w:jc w:val="both"/>
        <w:rPr>
          <w:rStyle w:val="Hipervnculo"/>
          <w:rFonts w:ascii="Palatino Linotype" w:hAnsi="Palatino Linotype" w:cs="Tahoma"/>
          <w:bCs/>
          <w:color w:val="auto"/>
          <w:sz w:val="22"/>
          <w:szCs w:val="22"/>
          <w:u w:val="none"/>
        </w:rPr>
      </w:pPr>
      <w:r>
        <w:rPr>
          <w:rStyle w:val="Hipervnculo"/>
          <w:rFonts w:ascii="Palatino Linotype" w:hAnsi="Palatino Linotype" w:cs="Tahoma"/>
          <w:bCs/>
          <w:color w:val="auto"/>
          <w:sz w:val="22"/>
          <w:szCs w:val="22"/>
          <w:u w:val="none"/>
        </w:rPr>
        <w:t>Inconforme con lo anterior, el Particular señaló como agravió, que no entregaba la información requerida, es decir, que la información no correspondía con lo solicitado</w:t>
      </w:r>
      <w:r w:rsidR="00462B15">
        <w:rPr>
          <w:rStyle w:val="Hipervnculo"/>
          <w:rFonts w:ascii="Palatino Linotype" w:hAnsi="Palatino Linotype" w:cs="Tahoma"/>
          <w:bCs/>
          <w:color w:val="auto"/>
          <w:sz w:val="22"/>
          <w:szCs w:val="22"/>
          <w:u w:val="none"/>
        </w:rPr>
        <w:t xml:space="preserve">. Así, el Ente Recurrido, al remitir el Informe Justificado, mismo que se puso a la vista del ahora Recurrente, en donde precisó </w:t>
      </w:r>
      <w:r w:rsidR="00C90DB3">
        <w:rPr>
          <w:rStyle w:val="Hipervnculo"/>
          <w:rFonts w:ascii="Palatino Linotype" w:hAnsi="Palatino Linotype" w:cs="Tahoma"/>
          <w:bCs/>
          <w:color w:val="auto"/>
          <w:sz w:val="22"/>
          <w:szCs w:val="22"/>
          <w:u w:val="none"/>
        </w:rPr>
        <w:t>lo siguiente:</w:t>
      </w:r>
    </w:p>
    <w:p w14:paraId="55480C40" w14:textId="77777777" w:rsidR="00C90DB3" w:rsidRDefault="00C90DB3" w:rsidP="00564755">
      <w:pPr>
        <w:spacing w:line="360" w:lineRule="auto"/>
        <w:jc w:val="both"/>
        <w:rPr>
          <w:rStyle w:val="Hipervnculo"/>
          <w:rFonts w:ascii="Palatino Linotype" w:hAnsi="Palatino Linotype" w:cs="Tahoma"/>
          <w:bCs/>
          <w:color w:val="auto"/>
          <w:sz w:val="22"/>
          <w:szCs w:val="22"/>
          <w:u w:val="none"/>
        </w:rPr>
      </w:pPr>
    </w:p>
    <w:p w14:paraId="480AE644" w14:textId="0129C8E4" w:rsidR="00C90DB3" w:rsidRDefault="00FB451A" w:rsidP="004F4D05">
      <w:pPr>
        <w:pStyle w:val="Prrafodelista"/>
        <w:numPr>
          <w:ilvl w:val="0"/>
          <w:numId w:val="4"/>
        </w:numPr>
        <w:spacing w:line="360" w:lineRule="auto"/>
        <w:jc w:val="both"/>
        <w:rPr>
          <w:rFonts w:ascii="Palatino Linotype" w:hAnsi="Palatino Linotype" w:cs="Tahoma"/>
          <w:bCs/>
          <w:szCs w:val="22"/>
        </w:rPr>
      </w:pPr>
      <w:r>
        <w:rPr>
          <w:rStyle w:val="Hipervnculo"/>
          <w:rFonts w:ascii="Palatino Linotype" w:hAnsi="Palatino Linotype" w:cs="Tahoma"/>
          <w:bCs/>
          <w:color w:val="auto"/>
          <w:szCs w:val="22"/>
          <w:u w:val="none"/>
        </w:rPr>
        <w:t xml:space="preserve">Que el Programa Operativo Anual, se compone de una serie de formatos Pbr (Presupuesto basado en Resultados), los cuales están clasificados por Unidad Ejecutora y Unidad Responsable, por lo que, los formatos que tenía que elaborar, eran los denominados PbR-1a, </w:t>
      </w:r>
      <w:r w:rsidRPr="00FB451A">
        <w:rPr>
          <w:rFonts w:ascii="Palatino Linotype" w:hAnsi="Palatino Linotype" w:cs="Tahoma"/>
          <w:bCs/>
          <w:szCs w:val="22"/>
        </w:rPr>
        <w:t>PbR-</w:t>
      </w:r>
      <w:r>
        <w:rPr>
          <w:rFonts w:ascii="Palatino Linotype" w:hAnsi="Palatino Linotype" w:cs="Tahoma"/>
          <w:bCs/>
          <w:szCs w:val="22"/>
        </w:rPr>
        <w:t>2</w:t>
      </w:r>
      <w:r w:rsidRPr="00FB451A">
        <w:rPr>
          <w:rFonts w:ascii="Palatino Linotype" w:hAnsi="Palatino Linotype" w:cs="Tahoma"/>
          <w:bCs/>
          <w:szCs w:val="22"/>
        </w:rPr>
        <w:t>a</w:t>
      </w:r>
      <w:r>
        <w:rPr>
          <w:rFonts w:ascii="Palatino Linotype" w:hAnsi="Palatino Linotype" w:cs="Tahoma"/>
          <w:bCs/>
          <w:szCs w:val="22"/>
        </w:rPr>
        <w:t>, PbR-3a y PbR-9</w:t>
      </w:r>
      <w:r w:rsidRPr="00FB451A">
        <w:rPr>
          <w:rFonts w:ascii="Palatino Linotype" w:hAnsi="Palatino Linotype" w:cs="Tahoma"/>
          <w:bCs/>
          <w:szCs w:val="22"/>
        </w:rPr>
        <w:t>a</w:t>
      </w:r>
      <w:r>
        <w:rPr>
          <w:rFonts w:ascii="Palatino Linotype" w:hAnsi="Palatino Linotype" w:cs="Tahoma"/>
          <w:bCs/>
          <w:szCs w:val="22"/>
        </w:rPr>
        <w:t>.</w:t>
      </w:r>
    </w:p>
    <w:p w14:paraId="559C9A83" w14:textId="77777777" w:rsidR="001F5573" w:rsidRDefault="001F5573" w:rsidP="001F5573">
      <w:pPr>
        <w:pStyle w:val="Prrafodelista"/>
        <w:spacing w:line="360" w:lineRule="auto"/>
        <w:jc w:val="both"/>
        <w:rPr>
          <w:rFonts w:ascii="Palatino Linotype" w:hAnsi="Palatino Linotype" w:cs="Tahoma"/>
          <w:bCs/>
          <w:szCs w:val="22"/>
        </w:rPr>
      </w:pPr>
    </w:p>
    <w:p w14:paraId="379C021E" w14:textId="436FAEBA" w:rsidR="00F00B7D" w:rsidRDefault="00F00B7D" w:rsidP="004F4D05">
      <w:pPr>
        <w:pStyle w:val="Prrafodelista"/>
        <w:numPr>
          <w:ilvl w:val="0"/>
          <w:numId w:val="4"/>
        </w:numPr>
        <w:spacing w:line="360" w:lineRule="auto"/>
        <w:jc w:val="both"/>
        <w:rPr>
          <w:rStyle w:val="Hipervnculo"/>
          <w:rFonts w:ascii="Palatino Linotype" w:hAnsi="Palatino Linotype" w:cs="Tahoma"/>
          <w:bCs/>
          <w:color w:val="auto"/>
          <w:szCs w:val="22"/>
          <w:u w:val="none"/>
        </w:rPr>
      </w:pPr>
      <w:r>
        <w:rPr>
          <w:rStyle w:val="Hipervnculo"/>
          <w:rFonts w:ascii="Palatino Linotype" w:hAnsi="Palatino Linotype" w:cs="Tahoma"/>
          <w:bCs/>
          <w:color w:val="auto"/>
          <w:szCs w:val="22"/>
          <w:u w:val="none"/>
        </w:rPr>
        <w:t>Que para la elaboración del Programa Operativo Anual para el Ejercicio Fiscal dos mil dieciocho, la Secretaría General de Gobierno fungía como Unidad Responsable y el Centro de Control de Confianza del Estado de México, como Unidad Ejecutora</w:t>
      </w:r>
      <w:r w:rsidR="001B3A9C">
        <w:rPr>
          <w:rStyle w:val="Hipervnculo"/>
          <w:rFonts w:ascii="Palatino Linotype" w:hAnsi="Palatino Linotype" w:cs="Tahoma"/>
          <w:bCs/>
          <w:color w:val="auto"/>
          <w:szCs w:val="22"/>
          <w:u w:val="none"/>
        </w:rPr>
        <w:t>.</w:t>
      </w:r>
    </w:p>
    <w:p w14:paraId="6863BED3" w14:textId="77777777" w:rsidR="001F5573" w:rsidRDefault="001F5573" w:rsidP="001F5573">
      <w:pPr>
        <w:pStyle w:val="Prrafodelista"/>
        <w:spacing w:line="360" w:lineRule="auto"/>
        <w:jc w:val="both"/>
        <w:rPr>
          <w:rStyle w:val="Hipervnculo"/>
          <w:rFonts w:ascii="Palatino Linotype" w:hAnsi="Palatino Linotype" w:cs="Tahoma"/>
          <w:bCs/>
          <w:color w:val="auto"/>
          <w:szCs w:val="22"/>
          <w:u w:val="none"/>
        </w:rPr>
      </w:pPr>
    </w:p>
    <w:p w14:paraId="2E8EFFD2" w14:textId="23221713" w:rsidR="001B3A9C" w:rsidRPr="00C90DB3" w:rsidRDefault="001B3A9C" w:rsidP="004F4D05">
      <w:pPr>
        <w:pStyle w:val="Prrafodelista"/>
        <w:numPr>
          <w:ilvl w:val="0"/>
          <w:numId w:val="4"/>
        </w:numPr>
        <w:spacing w:line="360" w:lineRule="auto"/>
        <w:jc w:val="both"/>
        <w:rPr>
          <w:rStyle w:val="Hipervnculo"/>
          <w:rFonts w:ascii="Palatino Linotype" w:hAnsi="Palatino Linotype" w:cs="Tahoma"/>
          <w:bCs/>
          <w:color w:val="auto"/>
          <w:szCs w:val="22"/>
          <w:u w:val="none"/>
        </w:rPr>
      </w:pPr>
      <w:r>
        <w:rPr>
          <w:rStyle w:val="Hipervnculo"/>
          <w:rFonts w:ascii="Palatino Linotype" w:hAnsi="Palatino Linotype" w:cs="Tahoma"/>
          <w:bCs/>
          <w:color w:val="auto"/>
          <w:szCs w:val="22"/>
          <w:u w:val="none"/>
        </w:rPr>
        <w:t xml:space="preserve">Que el Programa Operativo Anual agrupaba metas de actividades e indicadores de manera responsable </w:t>
      </w:r>
      <w:r w:rsidR="00CB33C2">
        <w:rPr>
          <w:rStyle w:val="Hipervnculo"/>
          <w:rFonts w:ascii="Palatino Linotype" w:hAnsi="Palatino Linotype" w:cs="Tahoma"/>
          <w:bCs/>
          <w:color w:val="auto"/>
          <w:szCs w:val="22"/>
          <w:u w:val="none"/>
        </w:rPr>
        <w:t>y programaba</w:t>
      </w:r>
      <w:r>
        <w:rPr>
          <w:rStyle w:val="Hipervnculo"/>
          <w:rFonts w:ascii="Palatino Linotype" w:hAnsi="Palatino Linotype" w:cs="Tahoma"/>
          <w:bCs/>
          <w:color w:val="auto"/>
          <w:szCs w:val="22"/>
          <w:u w:val="none"/>
        </w:rPr>
        <w:t xml:space="preserve"> acciones e indicadores que sean prioritarios, a efecto de alcanzar un impacto sustantivo, </w:t>
      </w:r>
      <w:r w:rsidR="006553DA">
        <w:rPr>
          <w:rStyle w:val="Hipervnculo"/>
          <w:rFonts w:ascii="Palatino Linotype" w:hAnsi="Palatino Linotype" w:cs="Tahoma"/>
          <w:bCs/>
          <w:color w:val="auto"/>
          <w:szCs w:val="22"/>
          <w:u w:val="none"/>
        </w:rPr>
        <w:t>por lo que, la Unidad Ejecutora no integraba</w:t>
      </w:r>
      <w:r w:rsidR="00FC7F02">
        <w:rPr>
          <w:rStyle w:val="Hipervnculo"/>
          <w:rFonts w:ascii="Palatino Linotype" w:hAnsi="Palatino Linotype" w:cs="Tahoma"/>
          <w:bCs/>
          <w:color w:val="auto"/>
          <w:szCs w:val="22"/>
          <w:u w:val="none"/>
        </w:rPr>
        <w:t xml:space="preserve"> las actividades de la Unidad de Transparencia de manera individualizada, pues únicamente los enfoca en agrupar acciones e indicadores prioritarios en donde esencialmente se involucran algunas áreas.</w:t>
      </w:r>
    </w:p>
    <w:p w14:paraId="74F1AD57" w14:textId="77777777" w:rsidR="00E66404" w:rsidRDefault="00E66404" w:rsidP="00564755">
      <w:pPr>
        <w:spacing w:line="360" w:lineRule="auto"/>
        <w:jc w:val="both"/>
        <w:rPr>
          <w:rStyle w:val="Hipervnculo"/>
          <w:rFonts w:ascii="Palatino Linotype" w:hAnsi="Palatino Linotype" w:cs="Tahoma"/>
          <w:bCs/>
          <w:color w:val="auto"/>
          <w:sz w:val="22"/>
          <w:szCs w:val="22"/>
          <w:u w:val="none"/>
        </w:rPr>
      </w:pPr>
    </w:p>
    <w:p w14:paraId="73E08913" w14:textId="1FA0EA87" w:rsidR="001F5573" w:rsidRDefault="001F5573" w:rsidP="00564755">
      <w:pPr>
        <w:spacing w:line="360" w:lineRule="auto"/>
        <w:jc w:val="both"/>
        <w:rPr>
          <w:rStyle w:val="Hipervnculo"/>
          <w:rFonts w:ascii="Palatino Linotype" w:hAnsi="Palatino Linotype" w:cs="Tahoma"/>
          <w:bCs/>
          <w:color w:val="auto"/>
          <w:sz w:val="22"/>
          <w:szCs w:val="22"/>
          <w:u w:val="none"/>
        </w:rPr>
      </w:pPr>
      <w:r>
        <w:rPr>
          <w:rStyle w:val="Hipervnculo"/>
          <w:rFonts w:ascii="Palatino Linotype" w:hAnsi="Palatino Linotype" w:cs="Tahoma"/>
          <w:bCs/>
          <w:color w:val="auto"/>
          <w:sz w:val="22"/>
          <w:szCs w:val="22"/>
          <w:u w:val="none"/>
        </w:rPr>
        <w:t xml:space="preserve">Además, proporcionó los formatos </w:t>
      </w:r>
      <w:r w:rsidRPr="001F5573">
        <w:rPr>
          <w:rFonts w:ascii="Palatino Linotype" w:hAnsi="Palatino Linotype" w:cs="Tahoma"/>
          <w:bCs/>
          <w:sz w:val="22"/>
          <w:szCs w:val="22"/>
        </w:rPr>
        <w:t>PbR-1a, PbR-2a, PbR-3a y PbR-9a</w:t>
      </w:r>
      <w:r>
        <w:rPr>
          <w:rFonts w:ascii="Palatino Linotype" w:hAnsi="Palatino Linotype" w:cs="Tahoma"/>
          <w:bCs/>
          <w:sz w:val="22"/>
          <w:szCs w:val="22"/>
        </w:rPr>
        <w:t>, para el Ejercicio Fiscal dos mil dieciocho.</w:t>
      </w:r>
    </w:p>
    <w:p w14:paraId="1A0BC56B" w14:textId="77777777" w:rsidR="00857EF1" w:rsidRDefault="00857EF1" w:rsidP="00564755">
      <w:pPr>
        <w:spacing w:line="360" w:lineRule="auto"/>
        <w:jc w:val="both"/>
        <w:rPr>
          <w:rStyle w:val="Hipervnculo"/>
          <w:rFonts w:ascii="Palatino Linotype" w:hAnsi="Palatino Linotype" w:cs="Tahoma"/>
          <w:bCs/>
          <w:color w:val="auto"/>
          <w:sz w:val="22"/>
          <w:szCs w:val="22"/>
          <w:u w:val="none"/>
        </w:rPr>
      </w:pPr>
    </w:p>
    <w:p w14:paraId="7D609D30" w14:textId="54C67FC7" w:rsidR="001F5573" w:rsidRDefault="001F5573" w:rsidP="00564755">
      <w:pPr>
        <w:spacing w:line="360" w:lineRule="auto"/>
        <w:jc w:val="both"/>
        <w:rPr>
          <w:rFonts w:ascii="Palatino Linotype" w:hAnsi="Palatino Linotype" w:cs="Tahoma"/>
          <w:b/>
          <w:sz w:val="22"/>
          <w:szCs w:val="22"/>
        </w:rPr>
      </w:pPr>
      <w:r>
        <w:rPr>
          <w:rFonts w:ascii="Palatino Linotype" w:hAnsi="Palatino Linotype" w:cs="Tahoma"/>
          <w:sz w:val="22"/>
          <w:szCs w:val="22"/>
        </w:rPr>
        <w:t>Una vez establecido lo anterior, en</w:t>
      </w:r>
      <w:r w:rsidR="00C92EFF">
        <w:rPr>
          <w:rFonts w:ascii="Palatino Linotype" w:hAnsi="Palatino Linotype" w:cs="Tahoma"/>
          <w:sz w:val="22"/>
          <w:szCs w:val="22"/>
        </w:rPr>
        <w:t xml:space="preserve"> principio</w:t>
      </w:r>
      <w:r w:rsidR="00C43AA2">
        <w:rPr>
          <w:rFonts w:ascii="Palatino Linotype" w:hAnsi="Palatino Linotype" w:cs="Tahoma"/>
          <w:sz w:val="22"/>
          <w:szCs w:val="22"/>
        </w:rPr>
        <w:t xml:space="preserve"> resulta necesario traer a colación el artículo 1° del Decreto 224, publicado en el Periódico Oficial de Gobierno del Estado Libre y Soberano de México “Gaceta del Gobierno”, el primero de diciembre de dos mil ocho (consultable en la liga </w:t>
      </w:r>
      <w:hyperlink r:id="rId12" w:history="1">
        <w:r w:rsidR="00C43AA2" w:rsidRPr="00C43AA2">
          <w:rPr>
            <w:rStyle w:val="Hipervnculo"/>
            <w:rFonts w:ascii="Palatino Linotype" w:hAnsi="Palatino Linotype" w:cs="Tahoma"/>
            <w:sz w:val="22"/>
            <w:szCs w:val="22"/>
          </w:rPr>
          <w:t>https://legislacion.edomex.gob.mx/sites/legislacion.edomex.gob.mx/files/files/pdf/gct/2008/dic013.pdf</w:t>
        </w:r>
      </w:hyperlink>
      <w:r w:rsidR="00C43AA2">
        <w:rPr>
          <w:rFonts w:ascii="Palatino Linotype" w:hAnsi="Palatino Linotype" w:cs="Tahoma"/>
          <w:sz w:val="22"/>
          <w:szCs w:val="22"/>
        </w:rPr>
        <w:t>),</w:t>
      </w:r>
      <w:r w:rsidR="00652D51">
        <w:rPr>
          <w:rFonts w:ascii="Palatino Linotype" w:hAnsi="Palatino Linotype" w:cs="Tahoma"/>
          <w:sz w:val="22"/>
          <w:szCs w:val="22"/>
        </w:rPr>
        <w:t xml:space="preserve"> que precisa que se crea el Centro de Control de Confianza del Estado de México, como un organismo público descentralizado de carácter Estatal con personalidad jurídica y patrimonio propios, </w:t>
      </w:r>
      <w:r w:rsidR="00652D51">
        <w:rPr>
          <w:rFonts w:ascii="Palatino Linotype" w:hAnsi="Palatino Linotype" w:cs="Tahoma"/>
          <w:b/>
          <w:sz w:val="22"/>
          <w:szCs w:val="22"/>
        </w:rPr>
        <w:t>sectorizado a la Secretaría General de Gobierno.</w:t>
      </w:r>
    </w:p>
    <w:p w14:paraId="2FFC14C0" w14:textId="77777777" w:rsidR="0069700B" w:rsidRPr="00652D51" w:rsidRDefault="0069700B" w:rsidP="00564755">
      <w:pPr>
        <w:spacing w:line="360" w:lineRule="auto"/>
        <w:jc w:val="both"/>
        <w:rPr>
          <w:rFonts w:ascii="Palatino Linotype" w:hAnsi="Palatino Linotype" w:cs="Tahoma"/>
          <w:b/>
          <w:sz w:val="22"/>
          <w:szCs w:val="22"/>
        </w:rPr>
      </w:pPr>
    </w:p>
    <w:p w14:paraId="5A26447F" w14:textId="718A73E7" w:rsidR="001F5573" w:rsidRDefault="002444ED" w:rsidP="00564755">
      <w:pPr>
        <w:spacing w:line="360" w:lineRule="auto"/>
        <w:jc w:val="both"/>
        <w:rPr>
          <w:rFonts w:ascii="Palatino Linotype" w:hAnsi="Palatino Linotype" w:cs="Tahoma"/>
          <w:b/>
          <w:sz w:val="22"/>
          <w:szCs w:val="22"/>
        </w:rPr>
      </w:pPr>
      <w:r>
        <w:rPr>
          <w:rFonts w:ascii="Palatino Linotype" w:hAnsi="Palatino Linotype" w:cs="Tahoma"/>
          <w:sz w:val="22"/>
          <w:szCs w:val="22"/>
        </w:rPr>
        <w:t xml:space="preserve">En ese contexto y toda vez que el Sujeto Obligado es un Órgano Estatal, respecto al Plan Operativo Anual, resulta necesario traer a colación el Manual para la Formulación del Anteproyecto de Presupuesto de Egresos del Gobierno del Estado de México, para el Ejercicio Fiscal dos mil dieciocho (consultado el veinticuatro de abril de dos mil diecinueve, en la liga </w:t>
      </w:r>
      <w:hyperlink r:id="rId13" w:history="1">
        <w:r w:rsidRPr="002444ED">
          <w:rPr>
            <w:rStyle w:val="Hipervnculo"/>
            <w:rFonts w:ascii="Palatino Linotype" w:hAnsi="Palatino Linotype" w:cs="Tahoma"/>
            <w:sz w:val="22"/>
            <w:szCs w:val="22"/>
          </w:rPr>
          <w:t>http://siprep.edomex.gob.mx/spp2018/doc/Catalogos/Manual%20Anteproyecto%20de%20Presupuesto%202018.pdf</w:t>
        </w:r>
      </w:hyperlink>
      <w:r>
        <w:rPr>
          <w:rFonts w:ascii="Palatino Linotype" w:hAnsi="Palatino Linotype" w:cs="Tahoma"/>
          <w:sz w:val="22"/>
          <w:szCs w:val="22"/>
        </w:rPr>
        <w:t>,</w:t>
      </w:r>
      <w:r w:rsidRPr="002444ED">
        <w:rPr>
          <w:rFonts w:ascii="Palatino Linotype" w:hAnsi="Palatino Linotype" w:cs="Tahoma"/>
          <w:sz w:val="22"/>
          <w:szCs w:val="22"/>
        </w:rPr>
        <w:t xml:space="preserve"> </w:t>
      </w:r>
      <w:r>
        <w:rPr>
          <w:rFonts w:ascii="Palatino Linotype" w:hAnsi="Palatino Linotype" w:cs="Tahoma"/>
          <w:sz w:val="22"/>
          <w:szCs w:val="22"/>
        </w:rPr>
        <w:t>a las diez horas)</w:t>
      </w:r>
      <w:r w:rsidR="00173796">
        <w:rPr>
          <w:rFonts w:ascii="Palatino Linotype" w:hAnsi="Palatino Linotype" w:cs="Tahoma"/>
          <w:sz w:val="22"/>
          <w:szCs w:val="22"/>
        </w:rPr>
        <w:t xml:space="preserve">, que en su </w:t>
      </w:r>
      <w:r w:rsidR="00173796" w:rsidRPr="00173796">
        <w:rPr>
          <w:rFonts w:ascii="Palatino Linotype" w:hAnsi="Palatino Linotype" w:cs="Tahoma"/>
          <w:b/>
          <w:sz w:val="22"/>
          <w:szCs w:val="22"/>
        </w:rPr>
        <w:t>apartado 1.4,</w:t>
      </w:r>
      <w:r w:rsidR="00173796">
        <w:rPr>
          <w:rFonts w:ascii="Palatino Linotype" w:hAnsi="Palatino Linotype" w:cs="Tahoma"/>
          <w:sz w:val="22"/>
          <w:szCs w:val="22"/>
        </w:rPr>
        <w:t xml:space="preserve"> establece que dicho documento es un </w:t>
      </w:r>
      <w:r w:rsidR="00173796">
        <w:rPr>
          <w:rFonts w:ascii="Palatino Linotype" w:hAnsi="Palatino Linotype" w:cs="Tahoma"/>
          <w:b/>
          <w:sz w:val="22"/>
          <w:szCs w:val="22"/>
        </w:rPr>
        <w:t>instrumento operativo que incluyen los objetivos, líneas de acción, indicadores y metas concretas a ejecutar  en el corto plazo.</w:t>
      </w:r>
    </w:p>
    <w:p w14:paraId="678D6711" w14:textId="77777777" w:rsidR="00173796" w:rsidRDefault="00173796" w:rsidP="00564755">
      <w:pPr>
        <w:spacing w:line="360" w:lineRule="auto"/>
        <w:jc w:val="both"/>
        <w:rPr>
          <w:rFonts w:ascii="Palatino Linotype" w:hAnsi="Palatino Linotype" w:cs="Tahoma"/>
          <w:b/>
          <w:sz w:val="22"/>
          <w:szCs w:val="22"/>
        </w:rPr>
      </w:pPr>
    </w:p>
    <w:p w14:paraId="36B7E4A6" w14:textId="22521A60" w:rsidR="00173796" w:rsidRPr="00122D54" w:rsidRDefault="00122D54" w:rsidP="00564755">
      <w:pPr>
        <w:spacing w:line="360" w:lineRule="auto"/>
        <w:jc w:val="both"/>
        <w:rPr>
          <w:rFonts w:ascii="Palatino Linotype" w:hAnsi="Palatino Linotype" w:cs="Tahoma"/>
          <w:sz w:val="22"/>
          <w:szCs w:val="22"/>
        </w:rPr>
      </w:pPr>
      <w:r>
        <w:rPr>
          <w:rFonts w:ascii="Palatino Linotype" w:hAnsi="Palatino Linotype" w:cs="Tahoma"/>
          <w:sz w:val="22"/>
          <w:szCs w:val="22"/>
        </w:rPr>
        <w:t>Además, que la formulación del Programa Anual Operativo, le corresponde a cada una de las dependencias</w:t>
      </w:r>
      <w:r w:rsidRPr="00122D54">
        <w:t xml:space="preserve"> </w:t>
      </w:r>
      <w:r w:rsidRPr="00122D54">
        <w:rPr>
          <w:rFonts w:ascii="Palatino Linotype" w:hAnsi="Palatino Linotype" w:cs="Tahoma"/>
          <w:sz w:val="22"/>
          <w:szCs w:val="22"/>
        </w:rPr>
        <w:t>y entidades públicas, los órganos autónomos, el Poder Legislativo y el Judicial del Gobierno del Estado de México y contiene los siguientes formatos:</w:t>
      </w:r>
      <w:r>
        <w:rPr>
          <w:rFonts w:ascii="Palatino Linotype" w:hAnsi="Palatino Linotype" w:cs="Tahoma"/>
          <w:sz w:val="22"/>
          <w:szCs w:val="22"/>
        </w:rPr>
        <w:t xml:space="preserve">  </w:t>
      </w:r>
    </w:p>
    <w:p w14:paraId="091EA5DD" w14:textId="77777777" w:rsidR="001F5573" w:rsidRDefault="001F5573" w:rsidP="00564755">
      <w:pPr>
        <w:spacing w:line="360" w:lineRule="auto"/>
        <w:jc w:val="both"/>
        <w:rPr>
          <w:rFonts w:ascii="Palatino Linotype" w:hAnsi="Palatino Linotype" w:cs="Tahoma"/>
          <w:sz w:val="22"/>
          <w:szCs w:val="22"/>
        </w:rPr>
      </w:pPr>
    </w:p>
    <w:p w14:paraId="0B5E6F0E" w14:textId="77777777" w:rsidR="00A06CFE" w:rsidRPr="00A06CFE" w:rsidRDefault="00A06CFE" w:rsidP="004F4D05">
      <w:pPr>
        <w:pStyle w:val="Prrafodelista"/>
        <w:numPr>
          <w:ilvl w:val="0"/>
          <w:numId w:val="5"/>
        </w:numPr>
        <w:spacing w:line="360" w:lineRule="auto"/>
        <w:jc w:val="both"/>
        <w:rPr>
          <w:rFonts w:ascii="Palatino Linotype" w:hAnsi="Palatino Linotype" w:cs="Tahoma"/>
          <w:szCs w:val="22"/>
        </w:rPr>
      </w:pPr>
      <w:r w:rsidRPr="00A06CFE">
        <w:rPr>
          <w:rFonts w:ascii="Palatino Linotype" w:hAnsi="Palatino Linotype" w:cs="Tahoma"/>
          <w:b/>
          <w:szCs w:val="22"/>
        </w:rPr>
        <w:t>PbR-01a.-</w:t>
      </w:r>
      <w:r w:rsidRPr="00A06CFE">
        <w:rPr>
          <w:rFonts w:ascii="Palatino Linotype" w:hAnsi="Palatino Linotype" w:cs="Tahoma"/>
          <w:szCs w:val="22"/>
        </w:rPr>
        <w:t xml:space="preserve"> Programa Anual: Descripción del Proyecto por Unidad Ejecutora. </w:t>
      </w:r>
    </w:p>
    <w:p w14:paraId="1AB9E844" w14:textId="77777777" w:rsidR="00A06CFE" w:rsidRPr="00A06CFE" w:rsidRDefault="00A06CFE" w:rsidP="004F4D05">
      <w:pPr>
        <w:pStyle w:val="Prrafodelista"/>
        <w:numPr>
          <w:ilvl w:val="0"/>
          <w:numId w:val="5"/>
        </w:numPr>
        <w:spacing w:line="360" w:lineRule="auto"/>
        <w:jc w:val="both"/>
        <w:rPr>
          <w:rFonts w:ascii="Palatino Linotype" w:hAnsi="Palatino Linotype" w:cs="Tahoma"/>
          <w:szCs w:val="22"/>
        </w:rPr>
      </w:pPr>
      <w:r w:rsidRPr="00A06CFE">
        <w:rPr>
          <w:rFonts w:ascii="Palatino Linotype" w:hAnsi="Palatino Linotype" w:cs="Tahoma"/>
          <w:b/>
          <w:szCs w:val="22"/>
        </w:rPr>
        <w:t>PbR-01b.-</w:t>
      </w:r>
      <w:r w:rsidRPr="00A06CFE">
        <w:rPr>
          <w:rFonts w:ascii="Palatino Linotype" w:hAnsi="Palatino Linotype" w:cs="Tahoma"/>
          <w:szCs w:val="22"/>
        </w:rPr>
        <w:t xml:space="preserve"> Programa Anual: Descripción del Proyecto por Unidad Responsable. </w:t>
      </w:r>
    </w:p>
    <w:p w14:paraId="31249CB7" w14:textId="77777777" w:rsidR="00A06CFE" w:rsidRPr="00A06CFE" w:rsidRDefault="00A06CFE" w:rsidP="004F4D05">
      <w:pPr>
        <w:pStyle w:val="Prrafodelista"/>
        <w:numPr>
          <w:ilvl w:val="0"/>
          <w:numId w:val="5"/>
        </w:numPr>
        <w:spacing w:line="360" w:lineRule="auto"/>
        <w:jc w:val="both"/>
        <w:rPr>
          <w:rFonts w:ascii="Palatino Linotype" w:hAnsi="Palatino Linotype" w:cs="Tahoma"/>
          <w:szCs w:val="22"/>
        </w:rPr>
      </w:pPr>
      <w:r w:rsidRPr="00A06CFE">
        <w:rPr>
          <w:rFonts w:ascii="Palatino Linotype" w:hAnsi="Palatino Linotype" w:cs="Tahoma"/>
          <w:b/>
          <w:szCs w:val="22"/>
        </w:rPr>
        <w:t xml:space="preserve">PbR-02a.- </w:t>
      </w:r>
      <w:r w:rsidRPr="00A06CFE">
        <w:rPr>
          <w:rFonts w:ascii="Palatino Linotype" w:hAnsi="Palatino Linotype" w:cs="Tahoma"/>
          <w:szCs w:val="22"/>
        </w:rPr>
        <w:t xml:space="preserve">Programa Anual: Metas de actividad por Proyecto y Unidad Ejecutora. </w:t>
      </w:r>
    </w:p>
    <w:p w14:paraId="70A20CA5" w14:textId="77777777" w:rsidR="00A06CFE" w:rsidRPr="00A06CFE" w:rsidRDefault="00A06CFE" w:rsidP="004F4D05">
      <w:pPr>
        <w:pStyle w:val="Prrafodelista"/>
        <w:numPr>
          <w:ilvl w:val="0"/>
          <w:numId w:val="5"/>
        </w:numPr>
        <w:spacing w:line="360" w:lineRule="auto"/>
        <w:jc w:val="both"/>
        <w:rPr>
          <w:rFonts w:ascii="Palatino Linotype" w:hAnsi="Palatino Linotype" w:cs="Tahoma"/>
          <w:szCs w:val="22"/>
        </w:rPr>
      </w:pPr>
      <w:r w:rsidRPr="00A06CFE">
        <w:rPr>
          <w:rFonts w:ascii="Palatino Linotype" w:hAnsi="Palatino Linotype" w:cs="Tahoma"/>
          <w:b/>
          <w:szCs w:val="22"/>
        </w:rPr>
        <w:t>PbR-02b.-</w:t>
      </w:r>
      <w:r w:rsidRPr="00A06CFE">
        <w:rPr>
          <w:rFonts w:ascii="Palatino Linotype" w:hAnsi="Palatino Linotype" w:cs="Tahoma"/>
          <w:szCs w:val="22"/>
        </w:rPr>
        <w:t xml:space="preserve"> Programa Anual: Metas de actividad por Proyecto y Unidad Responsable. </w:t>
      </w:r>
    </w:p>
    <w:p w14:paraId="14D119EB" w14:textId="77777777" w:rsidR="00A06CFE" w:rsidRPr="00A06CFE" w:rsidRDefault="00A06CFE" w:rsidP="004F4D05">
      <w:pPr>
        <w:pStyle w:val="Prrafodelista"/>
        <w:numPr>
          <w:ilvl w:val="0"/>
          <w:numId w:val="5"/>
        </w:numPr>
        <w:spacing w:line="360" w:lineRule="auto"/>
        <w:jc w:val="both"/>
        <w:rPr>
          <w:rFonts w:ascii="Palatino Linotype" w:hAnsi="Palatino Linotype" w:cs="Tahoma"/>
          <w:szCs w:val="22"/>
        </w:rPr>
      </w:pPr>
      <w:r w:rsidRPr="00A06CFE">
        <w:rPr>
          <w:rFonts w:ascii="Palatino Linotype" w:hAnsi="Palatino Linotype" w:cs="Tahoma"/>
          <w:b/>
          <w:szCs w:val="22"/>
        </w:rPr>
        <w:t xml:space="preserve">PbR-03a.- </w:t>
      </w:r>
      <w:r w:rsidRPr="00A06CFE">
        <w:rPr>
          <w:rFonts w:ascii="Palatino Linotype" w:hAnsi="Palatino Linotype" w:cs="Tahoma"/>
          <w:szCs w:val="22"/>
        </w:rPr>
        <w:t xml:space="preserve">Programa Anual: Definición y Calendarizado de Indicadores Estratégicos y de Gestión por Programa presupuestario / Proyecto y Unidad Ejecutora. </w:t>
      </w:r>
    </w:p>
    <w:p w14:paraId="75DC260C" w14:textId="77777777" w:rsidR="00A06CFE" w:rsidRPr="00A06CFE" w:rsidRDefault="00A06CFE" w:rsidP="004F4D05">
      <w:pPr>
        <w:pStyle w:val="Prrafodelista"/>
        <w:numPr>
          <w:ilvl w:val="0"/>
          <w:numId w:val="5"/>
        </w:numPr>
        <w:spacing w:line="360" w:lineRule="auto"/>
        <w:jc w:val="both"/>
        <w:rPr>
          <w:rFonts w:ascii="Palatino Linotype" w:hAnsi="Palatino Linotype" w:cs="Tahoma"/>
          <w:szCs w:val="22"/>
        </w:rPr>
      </w:pPr>
      <w:r w:rsidRPr="00A06CFE">
        <w:rPr>
          <w:rFonts w:ascii="Palatino Linotype" w:hAnsi="Palatino Linotype" w:cs="Tahoma"/>
          <w:b/>
          <w:szCs w:val="22"/>
        </w:rPr>
        <w:t>PbR-03b.-</w:t>
      </w:r>
      <w:r w:rsidRPr="00A06CFE">
        <w:rPr>
          <w:rFonts w:ascii="Palatino Linotype" w:hAnsi="Palatino Linotype" w:cs="Tahoma"/>
          <w:szCs w:val="22"/>
        </w:rPr>
        <w:t xml:space="preserve"> Programa Anual: Matriz de indicadores para Resultados por Programa presupuestario y Unidad Responsable. </w:t>
      </w:r>
    </w:p>
    <w:p w14:paraId="0A4B5F2C" w14:textId="77777777" w:rsidR="00A06CFE" w:rsidRPr="00A06CFE" w:rsidRDefault="00A06CFE" w:rsidP="004F4D05">
      <w:pPr>
        <w:pStyle w:val="Prrafodelista"/>
        <w:numPr>
          <w:ilvl w:val="0"/>
          <w:numId w:val="5"/>
        </w:numPr>
        <w:spacing w:line="360" w:lineRule="auto"/>
        <w:jc w:val="both"/>
        <w:rPr>
          <w:rFonts w:ascii="Palatino Linotype" w:hAnsi="Palatino Linotype" w:cs="Tahoma"/>
          <w:szCs w:val="22"/>
        </w:rPr>
      </w:pPr>
      <w:r w:rsidRPr="00A06CFE">
        <w:rPr>
          <w:rFonts w:ascii="Palatino Linotype" w:hAnsi="Palatino Linotype" w:cs="Tahoma"/>
          <w:b/>
          <w:szCs w:val="22"/>
        </w:rPr>
        <w:t>PbR-09a.-</w:t>
      </w:r>
      <w:r w:rsidRPr="00A06CFE">
        <w:rPr>
          <w:rFonts w:ascii="Palatino Linotype" w:hAnsi="Palatino Linotype" w:cs="Tahoma"/>
          <w:szCs w:val="22"/>
        </w:rPr>
        <w:t xml:space="preserve"> Calendarización de Metas de actividad por Proyecto y Unidad Ejecutora.</w:t>
      </w:r>
    </w:p>
    <w:p w14:paraId="77CDCE12" w14:textId="6CA9D2F9" w:rsidR="001F5573" w:rsidRPr="00A06CFE" w:rsidRDefault="00A06CFE" w:rsidP="004F4D05">
      <w:pPr>
        <w:pStyle w:val="Prrafodelista"/>
        <w:numPr>
          <w:ilvl w:val="0"/>
          <w:numId w:val="5"/>
        </w:numPr>
        <w:spacing w:line="360" w:lineRule="auto"/>
        <w:jc w:val="both"/>
        <w:rPr>
          <w:rFonts w:ascii="Palatino Linotype" w:hAnsi="Palatino Linotype" w:cs="Tahoma"/>
          <w:szCs w:val="22"/>
        </w:rPr>
      </w:pPr>
      <w:r w:rsidRPr="00A06CFE">
        <w:rPr>
          <w:rFonts w:ascii="Palatino Linotype" w:hAnsi="Palatino Linotype" w:cs="Tahoma"/>
          <w:b/>
          <w:szCs w:val="22"/>
        </w:rPr>
        <w:t>PbR-09b.-</w:t>
      </w:r>
      <w:r w:rsidRPr="00A06CFE">
        <w:rPr>
          <w:rFonts w:ascii="Palatino Linotype" w:hAnsi="Palatino Linotype" w:cs="Tahoma"/>
          <w:szCs w:val="22"/>
        </w:rPr>
        <w:t xml:space="preserve"> Calendarización de Metas de actividad por Proyecto y Unidad Responsable.</w:t>
      </w:r>
    </w:p>
    <w:p w14:paraId="0CB33C24" w14:textId="77777777" w:rsidR="00A06CFE" w:rsidRDefault="00A06CFE" w:rsidP="00564755">
      <w:pPr>
        <w:spacing w:line="360" w:lineRule="auto"/>
        <w:jc w:val="both"/>
        <w:rPr>
          <w:rFonts w:ascii="Palatino Linotype" w:hAnsi="Palatino Linotype" w:cs="Tahoma"/>
          <w:sz w:val="22"/>
          <w:szCs w:val="22"/>
        </w:rPr>
      </w:pPr>
    </w:p>
    <w:p w14:paraId="5316E274" w14:textId="214651ED" w:rsidR="00A06CFE" w:rsidRDefault="00224426" w:rsidP="00564755">
      <w:pPr>
        <w:spacing w:line="360" w:lineRule="auto"/>
        <w:jc w:val="both"/>
        <w:rPr>
          <w:rFonts w:ascii="Palatino Linotype" w:hAnsi="Palatino Linotype" w:cs="Tahoma"/>
          <w:sz w:val="22"/>
          <w:szCs w:val="22"/>
        </w:rPr>
      </w:pPr>
      <w:r>
        <w:rPr>
          <w:rFonts w:ascii="Palatino Linotype" w:hAnsi="Palatino Linotype" w:cs="Tahoma"/>
          <w:sz w:val="22"/>
          <w:szCs w:val="22"/>
        </w:rPr>
        <w:t>Asimismo</w:t>
      </w:r>
      <w:r w:rsidR="00E72195">
        <w:rPr>
          <w:rFonts w:ascii="Palatino Linotype" w:hAnsi="Palatino Linotype" w:cs="Tahoma"/>
          <w:sz w:val="22"/>
          <w:szCs w:val="22"/>
        </w:rPr>
        <w:t>,</w:t>
      </w:r>
      <w:r>
        <w:rPr>
          <w:rFonts w:ascii="Palatino Linotype" w:hAnsi="Palatino Linotype" w:cs="Tahoma"/>
          <w:sz w:val="22"/>
          <w:szCs w:val="22"/>
        </w:rPr>
        <w:t xml:space="preserve"> precisa</w:t>
      </w:r>
      <w:r w:rsidR="00E72195">
        <w:rPr>
          <w:rFonts w:ascii="Palatino Linotype" w:hAnsi="Palatino Linotype" w:cs="Tahoma"/>
          <w:sz w:val="22"/>
          <w:szCs w:val="22"/>
        </w:rPr>
        <w:t xml:space="preserve"> los formatos PbR con letra “a”</w:t>
      </w:r>
      <w:r>
        <w:rPr>
          <w:rFonts w:ascii="Palatino Linotype" w:hAnsi="Palatino Linotype" w:cs="Tahoma"/>
          <w:sz w:val="22"/>
          <w:szCs w:val="22"/>
        </w:rPr>
        <w:t xml:space="preserve"> de cada par, son responsabilidad de las Unidades Ejecutoras, los cuales deberán ser revisados y validados por las Unidades de Información, Planeación, Programación y Evaluaci</w:t>
      </w:r>
      <w:r w:rsidR="007E008D">
        <w:rPr>
          <w:rFonts w:ascii="Palatino Linotype" w:hAnsi="Palatino Linotype" w:cs="Tahoma"/>
          <w:sz w:val="22"/>
          <w:szCs w:val="22"/>
        </w:rPr>
        <w:t>ón</w:t>
      </w:r>
      <w:r w:rsidR="00A771B7">
        <w:rPr>
          <w:rFonts w:ascii="Palatino Linotype" w:hAnsi="Palatino Linotype" w:cs="Tahoma"/>
          <w:sz w:val="22"/>
          <w:szCs w:val="22"/>
        </w:rPr>
        <w:t xml:space="preserve"> (UIPPE)</w:t>
      </w:r>
      <w:r w:rsidR="007E008D">
        <w:rPr>
          <w:rFonts w:ascii="Palatino Linotype" w:hAnsi="Palatino Linotype" w:cs="Tahoma"/>
          <w:sz w:val="22"/>
          <w:szCs w:val="22"/>
        </w:rPr>
        <w:t xml:space="preserve">; por otra parte, precisa que dichos formatos deberán </w:t>
      </w:r>
      <w:r w:rsidR="00A771B7">
        <w:rPr>
          <w:rFonts w:ascii="Palatino Linotype" w:hAnsi="Palatino Linotype" w:cs="Tahoma"/>
          <w:sz w:val="22"/>
          <w:szCs w:val="22"/>
        </w:rPr>
        <w:t>ser llenados por cada una de las Unidades Ejecutoras y revisados por la denominada (UIPPE).</w:t>
      </w:r>
    </w:p>
    <w:p w14:paraId="2D6790FC" w14:textId="77777777" w:rsidR="001F5573" w:rsidRDefault="001F5573" w:rsidP="00564755">
      <w:pPr>
        <w:spacing w:line="360" w:lineRule="auto"/>
        <w:jc w:val="both"/>
        <w:rPr>
          <w:rFonts w:ascii="Palatino Linotype" w:hAnsi="Palatino Linotype" w:cs="Tahoma"/>
          <w:sz w:val="22"/>
          <w:szCs w:val="22"/>
        </w:rPr>
      </w:pPr>
    </w:p>
    <w:p w14:paraId="47FF4D9A" w14:textId="70CC5B14" w:rsidR="00B52FC5" w:rsidRDefault="002B5F47" w:rsidP="00564755">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ese orden de ideas, este Instituto localizó el Catálogo de Unidades Responsables, Unidades Ejecutoras y Centros de Costo dos mil dieciocho (consultado a las once horas, en la página </w:t>
      </w:r>
      <w:hyperlink r:id="rId14" w:history="1">
        <w:r w:rsidRPr="005D632F">
          <w:rPr>
            <w:rStyle w:val="Hipervnculo"/>
            <w:rFonts w:ascii="Palatino Linotype" w:hAnsi="Palatino Linotype" w:cs="Tahoma"/>
            <w:sz w:val="22"/>
            <w:szCs w:val="22"/>
          </w:rPr>
          <w:t>http://siprep.edomex.gob.mx/spp2018/doc/Catalogos/05%20Catalogo%20Unidades%20Responsables,%20Ejecutoras%20y%20Centros%20de%20Costo%202018.pdf</w:t>
        </w:r>
      </w:hyperlink>
      <w:r>
        <w:rPr>
          <w:rFonts w:ascii="Palatino Linotype" w:hAnsi="Palatino Linotype" w:cs="Tahoma"/>
          <w:sz w:val="22"/>
          <w:szCs w:val="22"/>
        </w:rPr>
        <w:t>, el veinticuatro de abril de dos mil diecinueve), del cual se desprende lo siguiente:</w:t>
      </w:r>
    </w:p>
    <w:p w14:paraId="31CF17AF" w14:textId="77777777" w:rsidR="002B5F47" w:rsidRDefault="002B5F47" w:rsidP="00564755">
      <w:pPr>
        <w:spacing w:line="360" w:lineRule="auto"/>
        <w:jc w:val="both"/>
        <w:rPr>
          <w:rFonts w:ascii="Palatino Linotype" w:hAnsi="Palatino Linotype" w:cs="Tahoma"/>
          <w:sz w:val="22"/>
          <w:szCs w:val="22"/>
        </w:rPr>
      </w:pPr>
    </w:p>
    <w:p w14:paraId="6ACF0B8B" w14:textId="5E2A01BD" w:rsidR="002B5F47" w:rsidRDefault="006F3DB6" w:rsidP="006F3DB6">
      <w:pPr>
        <w:spacing w:line="360" w:lineRule="auto"/>
        <w:jc w:val="center"/>
        <w:rPr>
          <w:rFonts w:ascii="Palatino Linotype" w:hAnsi="Palatino Linotype" w:cs="Tahoma"/>
          <w:sz w:val="22"/>
          <w:szCs w:val="22"/>
        </w:rPr>
      </w:pPr>
      <w:r>
        <w:rPr>
          <w:noProof/>
          <w:lang w:eastAsia="es-MX"/>
        </w:rPr>
        <w:drawing>
          <wp:inline distT="0" distB="0" distL="0" distR="0" wp14:anchorId="0C9186CE" wp14:editId="72D9C6E9">
            <wp:extent cx="5742940" cy="4241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424180"/>
                    </a:xfrm>
                    <a:prstGeom prst="rect">
                      <a:avLst/>
                    </a:prstGeom>
                  </pic:spPr>
                </pic:pic>
              </a:graphicData>
            </a:graphic>
          </wp:inline>
        </w:drawing>
      </w:r>
    </w:p>
    <w:p w14:paraId="27B0D7E0" w14:textId="12079942" w:rsidR="006F3DB6" w:rsidRDefault="006F3DB6" w:rsidP="006F3DB6">
      <w:pPr>
        <w:spacing w:line="360" w:lineRule="auto"/>
        <w:jc w:val="center"/>
        <w:rPr>
          <w:rFonts w:ascii="Palatino Linotype" w:hAnsi="Palatino Linotype" w:cs="Tahoma"/>
          <w:sz w:val="22"/>
          <w:szCs w:val="22"/>
        </w:rPr>
      </w:pPr>
      <w:r>
        <w:rPr>
          <w:rFonts w:ascii="Palatino Linotype" w:hAnsi="Palatino Linotype" w:cs="Tahoma"/>
          <w:sz w:val="22"/>
          <w:szCs w:val="22"/>
        </w:rPr>
        <w:t>…</w:t>
      </w:r>
    </w:p>
    <w:p w14:paraId="3F02578B" w14:textId="488F4208" w:rsidR="006F3DB6" w:rsidRDefault="006F3DB6" w:rsidP="006F3DB6">
      <w:pPr>
        <w:spacing w:line="360" w:lineRule="auto"/>
        <w:jc w:val="center"/>
        <w:rPr>
          <w:rFonts w:ascii="Palatino Linotype" w:hAnsi="Palatino Linotype" w:cs="Tahoma"/>
          <w:sz w:val="22"/>
          <w:szCs w:val="22"/>
        </w:rPr>
      </w:pPr>
      <w:r>
        <w:rPr>
          <w:noProof/>
          <w:lang w:eastAsia="es-MX"/>
        </w:rPr>
        <mc:AlternateContent>
          <mc:Choice Requires="wps">
            <w:drawing>
              <wp:anchor distT="0" distB="0" distL="114300" distR="114300" simplePos="0" relativeHeight="251661312" behindDoc="0" locked="0" layoutInCell="1" allowOverlap="1" wp14:anchorId="5154A63E" wp14:editId="4ED6884A">
                <wp:simplePos x="0" y="0"/>
                <wp:positionH relativeFrom="column">
                  <wp:posOffset>1270</wp:posOffset>
                </wp:positionH>
                <wp:positionV relativeFrom="paragraph">
                  <wp:posOffset>101600</wp:posOffset>
                </wp:positionV>
                <wp:extent cx="5742940" cy="205740"/>
                <wp:effectExtent l="19050" t="19050" r="10160" b="22860"/>
                <wp:wrapNone/>
                <wp:docPr id="11" name="Rectángulo 11"/>
                <wp:cNvGraphicFramePr/>
                <a:graphic xmlns:a="http://schemas.openxmlformats.org/drawingml/2006/main">
                  <a:graphicData uri="http://schemas.microsoft.com/office/word/2010/wordprocessingShape">
                    <wps:wsp>
                      <wps:cNvSpPr/>
                      <wps:spPr>
                        <a:xfrm>
                          <a:off x="0" y="0"/>
                          <a:ext cx="5742940" cy="20574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D7AEA" id="Rectángulo 11" o:spid="_x0000_s1026" style="position:absolute;margin-left:.1pt;margin-top:8pt;width:452.2pt;height:16.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" filled="f" strokecolor="black [3213]" strokeweight="3pt"/>
            </w:pict>
          </mc:Fallback>
        </mc:AlternateContent>
      </w:r>
      <w:r>
        <w:rPr>
          <w:noProof/>
          <w:lang w:eastAsia="es-MX"/>
        </w:rPr>
        <w:drawing>
          <wp:inline distT="0" distB="0" distL="0" distR="0" wp14:anchorId="7387D2F9" wp14:editId="12E5CC69">
            <wp:extent cx="5742940" cy="4419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441960"/>
                    </a:xfrm>
                    <a:prstGeom prst="rect">
                      <a:avLst/>
                    </a:prstGeom>
                  </pic:spPr>
                </pic:pic>
              </a:graphicData>
            </a:graphic>
          </wp:inline>
        </w:drawing>
      </w:r>
    </w:p>
    <w:p w14:paraId="14DF821B" w14:textId="0568873C" w:rsidR="006F3DB6" w:rsidRDefault="006F3DB6" w:rsidP="006F3DB6">
      <w:pPr>
        <w:spacing w:line="360" w:lineRule="auto"/>
        <w:jc w:val="center"/>
        <w:rPr>
          <w:rFonts w:ascii="Palatino Linotype" w:hAnsi="Palatino Linotype" w:cs="Tahoma"/>
          <w:sz w:val="22"/>
          <w:szCs w:val="22"/>
        </w:rPr>
      </w:pPr>
      <w:r>
        <w:rPr>
          <w:rFonts w:ascii="Palatino Linotype" w:hAnsi="Palatino Linotype" w:cs="Tahoma"/>
          <w:sz w:val="22"/>
          <w:szCs w:val="22"/>
        </w:rPr>
        <w:t>…</w:t>
      </w:r>
    </w:p>
    <w:p w14:paraId="1618C917" w14:textId="49198B7D" w:rsidR="006F3DB6" w:rsidRDefault="006F3DB6" w:rsidP="006F3DB6">
      <w:pPr>
        <w:spacing w:line="360" w:lineRule="auto"/>
        <w:jc w:val="center"/>
        <w:rPr>
          <w:rFonts w:ascii="Palatino Linotype" w:hAnsi="Palatino Linotype" w:cs="Tahoma"/>
          <w:sz w:val="22"/>
          <w:szCs w:val="22"/>
        </w:rPr>
      </w:pPr>
      <w:r>
        <w:rPr>
          <w:noProof/>
          <w:lang w:eastAsia="es-MX"/>
        </w:rPr>
        <mc:AlternateContent>
          <mc:Choice Requires="wps">
            <w:drawing>
              <wp:anchor distT="0" distB="0" distL="114300" distR="114300" simplePos="0" relativeHeight="251659264" behindDoc="0" locked="0" layoutInCell="1" allowOverlap="1" wp14:anchorId="00C1F052" wp14:editId="5FA1B05D">
                <wp:simplePos x="0" y="0"/>
                <wp:positionH relativeFrom="column">
                  <wp:posOffset>1270</wp:posOffset>
                </wp:positionH>
                <wp:positionV relativeFrom="paragraph">
                  <wp:posOffset>132715</wp:posOffset>
                </wp:positionV>
                <wp:extent cx="5742940" cy="205740"/>
                <wp:effectExtent l="19050" t="19050" r="10160" b="22860"/>
                <wp:wrapNone/>
                <wp:docPr id="10" name="Rectángulo 10"/>
                <wp:cNvGraphicFramePr/>
                <a:graphic xmlns:a="http://schemas.openxmlformats.org/drawingml/2006/main">
                  <a:graphicData uri="http://schemas.microsoft.com/office/word/2010/wordprocessingShape">
                    <wps:wsp>
                      <wps:cNvSpPr/>
                      <wps:spPr>
                        <a:xfrm>
                          <a:off x="0" y="0"/>
                          <a:ext cx="5742940" cy="20574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07AF4" id="Rectángulo 10" o:spid="_x0000_s1026" style="position:absolute;margin-left:.1pt;margin-top:10.45pt;width:452.2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" filled="f" strokecolor="black [3213]" strokeweight="3pt"/>
            </w:pict>
          </mc:Fallback>
        </mc:AlternateContent>
      </w:r>
      <w:r>
        <w:rPr>
          <w:noProof/>
          <w:lang w:eastAsia="es-MX"/>
        </w:rPr>
        <w:drawing>
          <wp:inline distT="0" distB="0" distL="0" distR="0" wp14:anchorId="657029E6" wp14:editId="3D368244">
            <wp:extent cx="5742940" cy="3390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339090"/>
                    </a:xfrm>
                    <a:prstGeom prst="rect">
                      <a:avLst/>
                    </a:prstGeom>
                  </pic:spPr>
                </pic:pic>
              </a:graphicData>
            </a:graphic>
          </wp:inline>
        </w:drawing>
      </w:r>
    </w:p>
    <w:p w14:paraId="2850F27A" w14:textId="77777777" w:rsidR="00B52FC5" w:rsidRDefault="00B52FC5" w:rsidP="00564755">
      <w:pPr>
        <w:spacing w:line="360" w:lineRule="auto"/>
        <w:jc w:val="both"/>
        <w:rPr>
          <w:rFonts w:ascii="Palatino Linotype" w:hAnsi="Palatino Linotype" w:cs="Tahoma"/>
          <w:sz w:val="22"/>
          <w:szCs w:val="22"/>
        </w:rPr>
      </w:pPr>
    </w:p>
    <w:p w14:paraId="21C1B8F5" w14:textId="2A00AE9D" w:rsidR="00A771B7" w:rsidRDefault="00D06123" w:rsidP="00564755">
      <w:pPr>
        <w:spacing w:line="360" w:lineRule="auto"/>
        <w:jc w:val="both"/>
        <w:rPr>
          <w:rFonts w:ascii="Palatino Linotype" w:hAnsi="Palatino Linotype" w:cs="Tahoma"/>
          <w:b/>
          <w:sz w:val="22"/>
          <w:szCs w:val="22"/>
        </w:rPr>
      </w:pPr>
      <w:r>
        <w:rPr>
          <w:rFonts w:ascii="Palatino Linotype" w:hAnsi="Palatino Linotype" w:cs="Tahoma"/>
          <w:sz w:val="22"/>
          <w:szCs w:val="22"/>
        </w:rPr>
        <w:t xml:space="preserve">Conforme a lo referido, se logra colegir que el </w:t>
      </w:r>
      <w:r w:rsidRPr="00D06123">
        <w:rPr>
          <w:rFonts w:ascii="Palatino Linotype" w:hAnsi="Palatino Linotype" w:cs="Tahoma"/>
          <w:b/>
          <w:sz w:val="22"/>
          <w:szCs w:val="22"/>
        </w:rPr>
        <w:t>Programa Anual Operativo, es generado por las Dependencias que tienen el carácter de Unidades Responsables</w:t>
      </w:r>
      <w:r>
        <w:rPr>
          <w:rFonts w:ascii="Palatino Linotype" w:hAnsi="Palatino Linotype" w:cs="Tahoma"/>
          <w:sz w:val="22"/>
          <w:szCs w:val="22"/>
        </w:rPr>
        <w:t xml:space="preserve">, en el presente caso, la Secretaría General de Gobierno; mientras que </w:t>
      </w:r>
      <w:r w:rsidR="00A17C24">
        <w:rPr>
          <w:rFonts w:ascii="Palatino Linotype" w:hAnsi="Palatino Linotype" w:cs="Tahoma"/>
          <w:sz w:val="22"/>
          <w:szCs w:val="22"/>
        </w:rPr>
        <w:t>sus</w:t>
      </w:r>
      <w:r>
        <w:rPr>
          <w:rFonts w:ascii="Palatino Linotype" w:hAnsi="Palatino Linotype" w:cs="Tahoma"/>
          <w:sz w:val="22"/>
          <w:szCs w:val="22"/>
        </w:rPr>
        <w:t xml:space="preserve"> Unidades Ejecutoras</w:t>
      </w:r>
      <w:r w:rsidR="00A17C24">
        <w:rPr>
          <w:rFonts w:ascii="Palatino Linotype" w:hAnsi="Palatino Linotype" w:cs="Tahoma"/>
          <w:sz w:val="22"/>
          <w:szCs w:val="22"/>
        </w:rPr>
        <w:t>, entre las que se encuentra el</w:t>
      </w:r>
      <w:r>
        <w:rPr>
          <w:rFonts w:ascii="Palatino Linotype" w:hAnsi="Palatino Linotype" w:cs="Tahoma"/>
          <w:sz w:val="22"/>
          <w:szCs w:val="22"/>
        </w:rPr>
        <w:t xml:space="preserve"> </w:t>
      </w:r>
      <w:r w:rsidR="00A17C24">
        <w:rPr>
          <w:rFonts w:ascii="Palatino Linotype" w:hAnsi="Palatino Linotype" w:cs="Tahoma"/>
          <w:sz w:val="22"/>
          <w:szCs w:val="22"/>
        </w:rPr>
        <w:t>“</w:t>
      </w:r>
      <w:r>
        <w:rPr>
          <w:rFonts w:ascii="Palatino Linotype" w:hAnsi="Palatino Linotype" w:cs="Tahoma"/>
          <w:sz w:val="22"/>
          <w:szCs w:val="22"/>
        </w:rPr>
        <w:t>Centro de Control de Confianza del Estado de México</w:t>
      </w:r>
      <w:r w:rsidR="00A17C24">
        <w:rPr>
          <w:rFonts w:ascii="Palatino Linotype" w:hAnsi="Palatino Linotype" w:cs="Tahoma"/>
          <w:sz w:val="22"/>
          <w:szCs w:val="22"/>
        </w:rPr>
        <w:t xml:space="preserve">”, únicamente se encuentran constreñidas a proporcionar los formatos </w:t>
      </w:r>
      <w:r w:rsidR="00A17C24" w:rsidRPr="007E0124">
        <w:rPr>
          <w:rFonts w:ascii="Palatino Linotype" w:hAnsi="Palatino Linotype" w:cs="Tahoma"/>
          <w:b/>
          <w:sz w:val="22"/>
          <w:szCs w:val="22"/>
        </w:rPr>
        <w:t>PbR-1a, PbR-2a, PbR-3a y PbR-9a</w:t>
      </w:r>
      <w:r w:rsidR="00A17C24">
        <w:rPr>
          <w:rFonts w:ascii="Palatino Linotype" w:hAnsi="Palatino Linotype" w:cs="Tahoma"/>
          <w:sz w:val="22"/>
          <w:szCs w:val="22"/>
        </w:rPr>
        <w:t>, con el fin de generar dicha documentación.</w:t>
      </w:r>
      <w:r w:rsidR="00A771B7">
        <w:rPr>
          <w:rFonts w:ascii="Palatino Linotype" w:hAnsi="Palatino Linotype" w:cs="Tahoma"/>
          <w:sz w:val="22"/>
          <w:szCs w:val="22"/>
        </w:rPr>
        <w:t xml:space="preserve"> </w:t>
      </w:r>
      <w:r w:rsidR="00A771B7" w:rsidRPr="00A771B7">
        <w:rPr>
          <w:rFonts w:ascii="Palatino Linotype" w:hAnsi="Palatino Linotype" w:cs="Tahoma"/>
          <w:b/>
          <w:sz w:val="22"/>
          <w:szCs w:val="22"/>
        </w:rPr>
        <w:t xml:space="preserve">Para tal situación, solamente se podrá llenar el formato por Unidad Ejecutora, es decir, que no se tendrá que generar un formato por área que conforma a dicha </w:t>
      </w:r>
      <w:r w:rsidR="003B0E11">
        <w:rPr>
          <w:rFonts w:ascii="Palatino Linotype" w:hAnsi="Palatino Linotype" w:cs="Tahoma"/>
          <w:b/>
          <w:sz w:val="22"/>
          <w:szCs w:val="22"/>
        </w:rPr>
        <w:t>institución, sino únicamente uno general.</w:t>
      </w:r>
    </w:p>
    <w:p w14:paraId="74B4DCB1" w14:textId="77777777" w:rsidR="0069700B" w:rsidRPr="00A771B7" w:rsidRDefault="0069700B" w:rsidP="00564755">
      <w:pPr>
        <w:spacing w:line="360" w:lineRule="auto"/>
        <w:jc w:val="both"/>
        <w:rPr>
          <w:rFonts w:ascii="Palatino Linotype" w:hAnsi="Palatino Linotype" w:cs="Tahoma"/>
          <w:b/>
          <w:sz w:val="22"/>
          <w:szCs w:val="22"/>
        </w:rPr>
      </w:pPr>
    </w:p>
    <w:p w14:paraId="1A161C4B" w14:textId="23F268DA" w:rsidR="00270AE6" w:rsidRPr="00D00D35" w:rsidRDefault="007E702A" w:rsidP="00270AE6">
      <w:pPr>
        <w:spacing w:line="360" w:lineRule="auto"/>
        <w:jc w:val="both"/>
        <w:rPr>
          <w:rFonts w:ascii="Palatino Linotype" w:hAnsi="Palatino Linotype" w:cs="Tahoma"/>
          <w:sz w:val="22"/>
          <w:szCs w:val="22"/>
        </w:rPr>
      </w:pPr>
      <w:r>
        <w:rPr>
          <w:rFonts w:ascii="Palatino Linotype" w:hAnsi="Palatino Linotype" w:cs="Tahoma"/>
          <w:sz w:val="22"/>
          <w:szCs w:val="22"/>
        </w:rPr>
        <w:t>Así</w:t>
      </w:r>
      <w:r w:rsidR="003B0E11">
        <w:rPr>
          <w:rFonts w:ascii="Palatino Linotype" w:hAnsi="Palatino Linotype" w:cs="Tahoma"/>
          <w:sz w:val="22"/>
          <w:szCs w:val="22"/>
        </w:rPr>
        <w:t xml:space="preserve">, se logra advertir que si bien el Sujeto Obligado no debe realizar el Programa Anual Operativo, lo cierto es que a través </w:t>
      </w:r>
      <w:r w:rsidR="004B3B7A">
        <w:rPr>
          <w:rFonts w:ascii="Palatino Linotype" w:hAnsi="Palatino Linotype" w:cs="Tahoma"/>
          <w:sz w:val="22"/>
          <w:szCs w:val="22"/>
        </w:rPr>
        <w:t xml:space="preserve">de los formatos que genera se elabora dicho documento; </w:t>
      </w:r>
      <w:r w:rsidR="004B3B7A" w:rsidRPr="00270AE6">
        <w:rPr>
          <w:rFonts w:ascii="Palatino Linotype" w:hAnsi="Palatino Linotype" w:cs="Tahoma"/>
          <w:b/>
          <w:sz w:val="22"/>
          <w:szCs w:val="22"/>
        </w:rPr>
        <w:t>por lo que, se advierte que los documentos que dan cuenta a la solicitud de información del Particular, son los propios formatos</w:t>
      </w:r>
      <w:r w:rsidR="004B3B7A">
        <w:rPr>
          <w:rFonts w:ascii="Palatino Linotype" w:hAnsi="Palatino Linotype" w:cs="Tahoma"/>
          <w:sz w:val="22"/>
          <w:szCs w:val="22"/>
        </w:rPr>
        <w:t xml:space="preserve"> </w:t>
      </w:r>
      <w:r w:rsidR="004B3B7A" w:rsidRPr="004B3B7A">
        <w:rPr>
          <w:rFonts w:ascii="Palatino Linotype" w:hAnsi="Palatino Linotype" w:cs="Tahoma"/>
          <w:b/>
          <w:sz w:val="22"/>
          <w:szCs w:val="22"/>
        </w:rPr>
        <w:t>PbR-1a, PbR-2a, PbR-3a y PbR-9</w:t>
      </w:r>
      <w:r w:rsidR="00270AE6">
        <w:rPr>
          <w:rFonts w:ascii="Palatino Linotype" w:hAnsi="Palatino Linotype" w:cs="Tahoma"/>
          <w:b/>
          <w:sz w:val="22"/>
          <w:szCs w:val="22"/>
        </w:rPr>
        <w:t>a, elaborados para el Ejercicio Fiscal dos mil dieciocho, con los cuales se generó el Programa Anual Operativo de la Secretaría General de Gobierno</w:t>
      </w:r>
      <w:r w:rsidR="004B3B7A" w:rsidRPr="004B3B7A">
        <w:rPr>
          <w:rFonts w:ascii="Palatino Linotype" w:hAnsi="Palatino Linotype" w:cs="Tahoma"/>
          <w:b/>
          <w:sz w:val="22"/>
          <w:szCs w:val="22"/>
        </w:rPr>
        <w:t xml:space="preserve">. </w:t>
      </w:r>
      <w:r w:rsidR="00270AE6">
        <w:rPr>
          <w:rFonts w:ascii="Palatino Linotype" w:hAnsi="Palatino Linotype" w:cs="Arial"/>
          <w:sz w:val="22"/>
          <w:szCs w:val="22"/>
        </w:rPr>
        <w:t>D</w:t>
      </w:r>
      <w:r w:rsidR="00270AE6" w:rsidRPr="00D00D35">
        <w:rPr>
          <w:rFonts w:ascii="Palatino Linotype" w:hAnsi="Palatino Linotype" w:cs="Tahoma"/>
          <w:bCs/>
          <w:iCs/>
          <w:sz w:val="22"/>
          <w:szCs w:val="24"/>
          <w:lang w:val="es-ES"/>
        </w:rPr>
        <w:t xml:space="preserve">icha determinación toma relevancia, pues </w:t>
      </w:r>
      <w:r w:rsidR="00270AE6" w:rsidRPr="00D00D35">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D483AFE" w14:textId="77777777" w:rsidR="00270AE6" w:rsidRPr="00D00D35" w:rsidRDefault="00270AE6" w:rsidP="00270AE6">
      <w:pPr>
        <w:tabs>
          <w:tab w:val="left" w:pos="4962"/>
        </w:tabs>
        <w:spacing w:line="360" w:lineRule="auto"/>
        <w:jc w:val="both"/>
        <w:rPr>
          <w:rFonts w:ascii="Palatino Linotype" w:hAnsi="Palatino Linotype" w:cs="Tahoma"/>
          <w:sz w:val="22"/>
          <w:szCs w:val="22"/>
        </w:rPr>
      </w:pPr>
    </w:p>
    <w:p w14:paraId="370C02A2" w14:textId="77777777" w:rsidR="00270AE6" w:rsidRPr="00D00D35" w:rsidRDefault="00270AE6" w:rsidP="00270AE6">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hAnsi="Palatino Linotype" w:cs="Tahoma"/>
          <w:sz w:val="22"/>
          <w:szCs w:val="22"/>
        </w:rPr>
        <w:t xml:space="preserve">De esta manera, </w:t>
      </w:r>
      <w:r w:rsidRPr="00D00D35">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D00D35">
        <w:rPr>
          <w:rFonts w:ascii="Palatino Linotype" w:hAnsi="Palatino Linotype" w:cs="Tahoma"/>
          <w:i/>
          <w:sz w:val="22"/>
          <w:szCs w:val="22"/>
        </w:rPr>
        <w:t>ad hoc</w:t>
      </w:r>
      <w:r w:rsidRPr="00D00D35">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D00D35">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62CDCAF4" w14:textId="77777777" w:rsidR="00270AE6" w:rsidRPr="00D00D35" w:rsidRDefault="00270AE6" w:rsidP="00270AE6">
      <w:pPr>
        <w:spacing w:before="73" w:line="360" w:lineRule="auto"/>
        <w:ind w:left="567" w:right="567"/>
        <w:jc w:val="both"/>
        <w:rPr>
          <w:rFonts w:ascii="Palatino Linotype" w:eastAsia="Arial" w:hAnsi="Palatino Linotype" w:cs="Arial"/>
          <w:b/>
          <w:sz w:val="22"/>
        </w:rPr>
      </w:pPr>
    </w:p>
    <w:p w14:paraId="0BEFE522" w14:textId="77777777" w:rsidR="00270AE6" w:rsidRPr="0069700B" w:rsidRDefault="00270AE6" w:rsidP="00270AE6">
      <w:pPr>
        <w:spacing w:before="73" w:line="360" w:lineRule="auto"/>
        <w:ind w:left="567" w:right="567"/>
        <w:jc w:val="both"/>
        <w:rPr>
          <w:rFonts w:ascii="Palatino Linotype" w:eastAsia="Arial" w:hAnsi="Palatino Linotype" w:cs="Arial"/>
          <w:i/>
        </w:rPr>
      </w:pPr>
      <w:r w:rsidRPr="0069700B">
        <w:rPr>
          <w:rFonts w:ascii="Palatino Linotype" w:eastAsia="Arial" w:hAnsi="Palatino Linotype" w:cs="Arial"/>
          <w:b/>
          <w:i/>
        </w:rPr>
        <w:t xml:space="preserve">“No existe obligación de elaborar </w:t>
      </w:r>
      <w:r w:rsidRPr="0069700B">
        <w:rPr>
          <w:rFonts w:ascii="Palatino Linotype" w:eastAsia="Arial" w:hAnsi="Palatino Linotype" w:cs="Arial"/>
          <w:b/>
          <w:i/>
          <w:spacing w:val="-3"/>
        </w:rPr>
        <w:t>d</w:t>
      </w:r>
      <w:r w:rsidRPr="0069700B">
        <w:rPr>
          <w:rFonts w:ascii="Palatino Linotype" w:eastAsia="Arial" w:hAnsi="Palatino Linotype" w:cs="Arial"/>
          <w:b/>
          <w:i/>
        </w:rPr>
        <w:t>ocum</w:t>
      </w:r>
      <w:r w:rsidRPr="0069700B">
        <w:rPr>
          <w:rFonts w:ascii="Palatino Linotype" w:eastAsia="Arial" w:hAnsi="Palatino Linotype" w:cs="Arial"/>
          <w:b/>
          <w:i/>
          <w:spacing w:val="1"/>
        </w:rPr>
        <w:t>e</w:t>
      </w:r>
      <w:r w:rsidRPr="0069700B">
        <w:rPr>
          <w:rFonts w:ascii="Palatino Linotype" w:eastAsia="Arial" w:hAnsi="Palatino Linotype" w:cs="Arial"/>
          <w:b/>
          <w:i/>
        </w:rPr>
        <w:t>n</w:t>
      </w:r>
      <w:r w:rsidRPr="0069700B">
        <w:rPr>
          <w:rFonts w:ascii="Palatino Linotype" w:eastAsia="Arial" w:hAnsi="Palatino Linotype" w:cs="Arial"/>
          <w:b/>
          <w:i/>
          <w:spacing w:val="-1"/>
        </w:rPr>
        <w:t>t</w:t>
      </w:r>
      <w:r w:rsidRPr="0069700B">
        <w:rPr>
          <w:rFonts w:ascii="Palatino Linotype" w:eastAsia="Arial" w:hAnsi="Palatino Linotype" w:cs="Arial"/>
          <w:b/>
          <w:i/>
        </w:rPr>
        <w:t xml:space="preserve">os </w:t>
      </w:r>
      <w:r w:rsidRPr="0069700B">
        <w:rPr>
          <w:rFonts w:ascii="Palatino Linotype" w:eastAsia="Arial" w:hAnsi="Palatino Linotype" w:cs="Arial"/>
          <w:b/>
          <w:i/>
          <w:spacing w:val="-1"/>
        </w:rPr>
        <w:t xml:space="preserve">ad </w:t>
      </w:r>
      <w:r w:rsidRPr="0069700B">
        <w:rPr>
          <w:rFonts w:ascii="Palatino Linotype" w:eastAsia="Arial" w:hAnsi="Palatino Linotype" w:cs="Arial"/>
          <w:b/>
          <w:i/>
        </w:rPr>
        <w:t>hoc para atender las sol</w:t>
      </w:r>
      <w:r w:rsidRPr="0069700B">
        <w:rPr>
          <w:rFonts w:ascii="Palatino Linotype" w:eastAsia="Arial" w:hAnsi="Palatino Linotype" w:cs="Arial"/>
          <w:b/>
          <w:i/>
          <w:spacing w:val="-2"/>
        </w:rPr>
        <w:t>i</w:t>
      </w:r>
      <w:r w:rsidRPr="0069700B">
        <w:rPr>
          <w:rFonts w:ascii="Palatino Linotype" w:eastAsia="Arial" w:hAnsi="Palatino Linotype" w:cs="Arial"/>
          <w:b/>
          <w:i/>
          <w:spacing w:val="1"/>
        </w:rPr>
        <w:t>c</w:t>
      </w:r>
      <w:r w:rsidRPr="0069700B">
        <w:rPr>
          <w:rFonts w:ascii="Palatino Linotype" w:eastAsia="Arial" w:hAnsi="Palatino Linotype" w:cs="Arial"/>
          <w:b/>
          <w:i/>
        </w:rPr>
        <w:t xml:space="preserve">itudes de </w:t>
      </w:r>
      <w:r w:rsidRPr="0069700B">
        <w:rPr>
          <w:rFonts w:ascii="Palatino Linotype" w:eastAsia="Arial" w:hAnsi="Palatino Linotype" w:cs="Arial"/>
          <w:b/>
          <w:i/>
          <w:spacing w:val="1"/>
        </w:rPr>
        <w:t>ac</w:t>
      </w:r>
      <w:r w:rsidRPr="0069700B">
        <w:rPr>
          <w:rFonts w:ascii="Palatino Linotype" w:eastAsia="Arial" w:hAnsi="Palatino Linotype" w:cs="Arial"/>
          <w:b/>
          <w:i/>
          <w:spacing w:val="-1"/>
        </w:rPr>
        <w:t>c</w:t>
      </w:r>
      <w:r w:rsidRPr="0069700B">
        <w:rPr>
          <w:rFonts w:ascii="Palatino Linotype" w:eastAsia="Arial" w:hAnsi="Palatino Linotype" w:cs="Arial"/>
          <w:b/>
          <w:i/>
          <w:spacing w:val="1"/>
        </w:rPr>
        <w:t>es</w:t>
      </w:r>
      <w:r w:rsidRPr="0069700B">
        <w:rPr>
          <w:rFonts w:ascii="Palatino Linotype" w:eastAsia="Arial" w:hAnsi="Palatino Linotype" w:cs="Arial"/>
          <w:b/>
          <w:i/>
        </w:rPr>
        <w:t>o a la informa</w:t>
      </w:r>
      <w:r w:rsidRPr="0069700B">
        <w:rPr>
          <w:rFonts w:ascii="Palatino Linotype" w:eastAsia="Arial" w:hAnsi="Palatino Linotype" w:cs="Arial"/>
          <w:b/>
          <w:i/>
          <w:spacing w:val="1"/>
        </w:rPr>
        <w:t>c</w:t>
      </w:r>
      <w:r w:rsidRPr="0069700B">
        <w:rPr>
          <w:rFonts w:ascii="Palatino Linotype" w:eastAsia="Arial" w:hAnsi="Palatino Linotype" w:cs="Arial"/>
          <w:b/>
          <w:i/>
        </w:rPr>
        <w:t>ió</w:t>
      </w:r>
      <w:r w:rsidRPr="0069700B">
        <w:rPr>
          <w:rFonts w:ascii="Palatino Linotype" w:eastAsia="Arial" w:hAnsi="Palatino Linotype" w:cs="Arial"/>
          <w:b/>
          <w:i/>
          <w:spacing w:val="-2"/>
        </w:rPr>
        <w:t>n</w:t>
      </w:r>
      <w:r w:rsidRPr="0069700B">
        <w:rPr>
          <w:rFonts w:ascii="Palatino Linotype" w:eastAsia="Arial" w:hAnsi="Palatino Linotype" w:cs="Arial"/>
          <w:b/>
          <w:i/>
        </w:rPr>
        <w:t xml:space="preserve">. </w:t>
      </w:r>
      <w:r w:rsidRPr="0069700B">
        <w:rPr>
          <w:rFonts w:ascii="Palatino Linotype" w:eastAsia="Arial" w:hAnsi="Palatino Linotype" w:cs="Arial"/>
          <w:i/>
          <w:spacing w:val="18"/>
        </w:rPr>
        <w:t>L</w:t>
      </w:r>
      <w:r w:rsidRPr="0069700B">
        <w:rPr>
          <w:rFonts w:ascii="Palatino Linotype" w:eastAsia="Arial" w:hAnsi="Palatino Linotype" w:cs="Arial"/>
          <w:i/>
          <w:spacing w:val="-1"/>
        </w:rPr>
        <w:t xml:space="preserve">os </w:t>
      </w:r>
      <w:r w:rsidRPr="0069700B">
        <w:rPr>
          <w:rFonts w:ascii="Palatino Linotype" w:eastAsia="Arial" w:hAnsi="Palatino Linotype" w:cs="Arial"/>
          <w:i/>
          <w:spacing w:val="1"/>
        </w:rPr>
        <w:t>a</w:t>
      </w:r>
      <w:r w:rsidRPr="0069700B">
        <w:rPr>
          <w:rFonts w:ascii="Palatino Linotype" w:eastAsia="Arial" w:hAnsi="Palatino Linotype" w:cs="Arial"/>
          <w:i/>
        </w:rPr>
        <w:t>rt</w:t>
      </w:r>
      <w:r w:rsidRPr="0069700B">
        <w:rPr>
          <w:rFonts w:ascii="Palatino Linotype" w:eastAsia="Arial" w:hAnsi="Palatino Linotype" w:cs="Arial"/>
          <w:i/>
          <w:spacing w:val="-2"/>
        </w:rPr>
        <w:t>í</w:t>
      </w:r>
      <w:r w:rsidRPr="0069700B">
        <w:rPr>
          <w:rFonts w:ascii="Palatino Linotype" w:eastAsia="Arial" w:hAnsi="Palatino Linotype" w:cs="Arial"/>
          <w:i/>
        </w:rPr>
        <w:t>c</w:t>
      </w:r>
      <w:r w:rsidRPr="0069700B">
        <w:rPr>
          <w:rFonts w:ascii="Palatino Linotype" w:eastAsia="Arial" w:hAnsi="Palatino Linotype" w:cs="Arial"/>
          <w:i/>
          <w:spacing w:val="1"/>
        </w:rPr>
        <w:t>u</w:t>
      </w:r>
      <w:r w:rsidRPr="0069700B">
        <w:rPr>
          <w:rFonts w:ascii="Palatino Linotype" w:eastAsia="Arial" w:hAnsi="Palatino Linotype" w:cs="Arial"/>
          <w:i/>
        </w:rPr>
        <w:t>los</w:t>
      </w:r>
      <w:r w:rsidRPr="0069700B">
        <w:rPr>
          <w:rFonts w:ascii="Palatino Linotype" w:eastAsia="Arial" w:hAnsi="Palatino Linotype" w:cs="Arial"/>
          <w:i/>
          <w:spacing w:val="8"/>
        </w:rPr>
        <w:t xml:space="preserve"> 129 </w:t>
      </w:r>
      <w:r w:rsidRPr="0069700B">
        <w:rPr>
          <w:rFonts w:ascii="Palatino Linotype" w:eastAsia="Arial" w:hAnsi="Palatino Linotype" w:cs="Arial"/>
          <w:i/>
          <w:spacing w:val="1"/>
        </w:rPr>
        <w:t>d</w:t>
      </w:r>
      <w:r w:rsidRPr="0069700B">
        <w:rPr>
          <w:rFonts w:ascii="Palatino Linotype" w:eastAsia="Arial" w:hAnsi="Palatino Linotype" w:cs="Arial"/>
          <w:i/>
        </w:rPr>
        <w:t xml:space="preserve">e la </w:t>
      </w:r>
      <w:r w:rsidRPr="0069700B">
        <w:rPr>
          <w:rFonts w:ascii="Palatino Linotype" w:eastAsia="Arial" w:hAnsi="Palatino Linotype" w:cs="Arial"/>
          <w:i/>
          <w:spacing w:val="-1"/>
        </w:rPr>
        <w:t>L</w:t>
      </w:r>
      <w:r w:rsidRPr="0069700B">
        <w:rPr>
          <w:rFonts w:ascii="Palatino Linotype" w:eastAsia="Arial" w:hAnsi="Palatino Linotype" w:cs="Arial"/>
          <w:i/>
          <w:spacing w:val="1"/>
        </w:rPr>
        <w:t>e</w:t>
      </w:r>
      <w:r w:rsidRPr="0069700B">
        <w:rPr>
          <w:rFonts w:ascii="Palatino Linotype" w:eastAsia="Arial" w:hAnsi="Palatino Linotype" w:cs="Arial"/>
          <w:i/>
        </w:rPr>
        <w:t xml:space="preserve">y General </w:t>
      </w:r>
      <w:r w:rsidRPr="0069700B">
        <w:rPr>
          <w:rFonts w:ascii="Palatino Linotype" w:eastAsia="Arial" w:hAnsi="Palatino Linotype" w:cs="Arial"/>
          <w:i/>
          <w:spacing w:val="-1"/>
        </w:rPr>
        <w:t>d</w:t>
      </w:r>
      <w:r w:rsidRPr="0069700B">
        <w:rPr>
          <w:rFonts w:ascii="Palatino Linotype" w:eastAsia="Arial" w:hAnsi="Palatino Linotype" w:cs="Arial"/>
          <w:i/>
        </w:rPr>
        <w:t xml:space="preserve">e </w:t>
      </w:r>
      <w:r w:rsidRPr="0069700B">
        <w:rPr>
          <w:rFonts w:ascii="Palatino Linotype" w:eastAsia="Arial" w:hAnsi="Palatino Linotype" w:cs="Arial"/>
          <w:i/>
          <w:spacing w:val="2"/>
        </w:rPr>
        <w:t>T</w:t>
      </w:r>
      <w:r w:rsidRPr="0069700B">
        <w:rPr>
          <w:rFonts w:ascii="Palatino Linotype" w:eastAsia="Arial" w:hAnsi="Palatino Linotype" w:cs="Arial"/>
          <w:i/>
        </w:rPr>
        <w:t>r</w:t>
      </w:r>
      <w:r w:rsidRPr="0069700B">
        <w:rPr>
          <w:rFonts w:ascii="Palatino Linotype" w:eastAsia="Arial" w:hAnsi="Palatino Linotype" w:cs="Arial"/>
          <w:i/>
          <w:spacing w:val="-2"/>
        </w:rPr>
        <w:t>a</w:t>
      </w:r>
      <w:r w:rsidRPr="0069700B">
        <w:rPr>
          <w:rFonts w:ascii="Palatino Linotype" w:eastAsia="Arial" w:hAnsi="Palatino Linotype" w:cs="Arial"/>
          <w:i/>
          <w:spacing w:val="1"/>
        </w:rPr>
        <w:t>n</w:t>
      </w:r>
      <w:r w:rsidRPr="0069700B">
        <w:rPr>
          <w:rFonts w:ascii="Palatino Linotype" w:eastAsia="Arial" w:hAnsi="Palatino Linotype" w:cs="Arial"/>
          <w:i/>
        </w:rPr>
        <w:t>s</w:t>
      </w:r>
      <w:r w:rsidRPr="0069700B">
        <w:rPr>
          <w:rFonts w:ascii="Palatino Linotype" w:eastAsia="Arial" w:hAnsi="Palatino Linotype" w:cs="Arial"/>
          <w:i/>
          <w:spacing w:val="1"/>
        </w:rPr>
        <w:t>pa</w:t>
      </w:r>
      <w:r w:rsidRPr="0069700B">
        <w:rPr>
          <w:rFonts w:ascii="Palatino Linotype" w:eastAsia="Arial" w:hAnsi="Palatino Linotype" w:cs="Arial"/>
          <w:i/>
        </w:rPr>
        <w:t>r</w:t>
      </w:r>
      <w:r w:rsidRPr="0069700B">
        <w:rPr>
          <w:rFonts w:ascii="Palatino Linotype" w:eastAsia="Arial" w:hAnsi="Palatino Linotype" w:cs="Arial"/>
          <w:i/>
          <w:spacing w:val="-2"/>
        </w:rPr>
        <w:t>e</w:t>
      </w:r>
      <w:r w:rsidRPr="0069700B">
        <w:rPr>
          <w:rFonts w:ascii="Palatino Linotype" w:eastAsia="Arial" w:hAnsi="Palatino Linotype" w:cs="Arial"/>
          <w:i/>
          <w:spacing w:val="1"/>
        </w:rPr>
        <w:t>n</w:t>
      </w:r>
      <w:r w:rsidRPr="0069700B">
        <w:rPr>
          <w:rFonts w:ascii="Palatino Linotype" w:eastAsia="Arial" w:hAnsi="Palatino Linotype" w:cs="Arial"/>
          <w:i/>
        </w:rPr>
        <w:t>cia y Acc</w:t>
      </w:r>
      <w:r w:rsidRPr="0069700B">
        <w:rPr>
          <w:rFonts w:ascii="Palatino Linotype" w:eastAsia="Arial" w:hAnsi="Palatino Linotype" w:cs="Arial"/>
          <w:i/>
          <w:spacing w:val="1"/>
        </w:rPr>
        <w:t>e</w:t>
      </w:r>
      <w:r w:rsidRPr="0069700B">
        <w:rPr>
          <w:rFonts w:ascii="Palatino Linotype" w:eastAsia="Arial" w:hAnsi="Palatino Linotype" w:cs="Arial"/>
          <w:i/>
        </w:rPr>
        <w:t>so a la I</w:t>
      </w:r>
      <w:r w:rsidRPr="0069700B">
        <w:rPr>
          <w:rFonts w:ascii="Palatino Linotype" w:eastAsia="Arial" w:hAnsi="Palatino Linotype" w:cs="Arial"/>
          <w:i/>
          <w:spacing w:val="-1"/>
        </w:rPr>
        <w:t>n</w:t>
      </w:r>
      <w:r w:rsidRPr="0069700B">
        <w:rPr>
          <w:rFonts w:ascii="Palatino Linotype" w:eastAsia="Arial" w:hAnsi="Palatino Linotype" w:cs="Arial"/>
          <w:i/>
        </w:rPr>
        <w:t>f</w:t>
      </w:r>
      <w:r w:rsidRPr="0069700B">
        <w:rPr>
          <w:rFonts w:ascii="Palatino Linotype" w:eastAsia="Arial" w:hAnsi="Palatino Linotype" w:cs="Arial"/>
          <w:i/>
          <w:spacing w:val="1"/>
        </w:rPr>
        <w:t>o</w:t>
      </w:r>
      <w:r w:rsidRPr="0069700B">
        <w:rPr>
          <w:rFonts w:ascii="Palatino Linotype" w:eastAsia="Arial" w:hAnsi="Palatino Linotype" w:cs="Arial"/>
          <w:i/>
          <w:spacing w:val="-3"/>
        </w:rPr>
        <w:t>r</w:t>
      </w:r>
      <w:r w:rsidRPr="0069700B">
        <w:rPr>
          <w:rFonts w:ascii="Palatino Linotype" w:eastAsia="Arial" w:hAnsi="Palatino Linotype" w:cs="Arial"/>
          <w:i/>
          <w:spacing w:val="1"/>
        </w:rPr>
        <w:t>ma</w:t>
      </w:r>
      <w:r w:rsidRPr="0069700B">
        <w:rPr>
          <w:rFonts w:ascii="Palatino Linotype" w:eastAsia="Arial" w:hAnsi="Palatino Linotype" w:cs="Arial"/>
          <w:i/>
        </w:rPr>
        <w:t>ci</w:t>
      </w:r>
      <w:r w:rsidRPr="0069700B">
        <w:rPr>
          <w:rFonts w:ascii="Palatino Linotype" w:eastAsia="Arial" w:hAnsi="Palatino Linotype" w:cs="Arial"/>
          <w:i/>
          <w:spacing w:val="-2"/>
        </w:rPr>
        <w:t>ó</w:t>
      </w:r>
      <w:r w:rsidRPr="0069700B">
        <w:rPr>
          <w:rFonts w:ascii="Palatino Linotype" w:eastAsia="Arial" w:hAnsi="Palatino Linotype" w:cs="Arial"/>
          <w:i/>
        </w:rPr>
        <w:t xml:space="preserve">n </w:t>
      </w:r>
      <w:r w:rsidRPr="0069700B">
        <w:rPr>
          <w:rFonts w:ascii="Palatino Linotype" w:eastAsia="Arial" w:hAnsi="Palatino Linotype" w:cs="Arial"/>
          <w:i/>
          <w:spacing w:val="-2"/>
        </w:rPr>
        <w:t>P</w:t>
      </w:r>
      <w:r w:rsidRPr="0069700B">
        <w:rPr>
          <w:rFonts w:ascii="Palatino Linotype" w:eastAsia="Arial" w:hAnsi="Palatino Linotype" w:cs="Arial"/>
          <w:i/>
          <w:spacing w:val="1"/>
        </w:rPr>
        <w:t>úb</w:t>
      </w:r>
      <w:r w:rsidRPr="0069700B">
        <w:rPr>
          <w:rFonts w:ascii="Palatino Linotype" w:eastAsia="Arial" w:hAnsi="Palatino Linotype" w:cs="Arial"/>
          <w:i/>
        </w:rPr>
        <w:t>l</w:t>
      </w:r>
      <w:r w:rsidRPr="0069700B">
        <w:rPr>
          <w:rFonts w:ascii="Palatino Linotype" w:eastAsia="Arial" w:hAnsi="Palatino Linotype" w:cs="Arial"/>
          <w:i/>
          <w:spacing w:val="-1"/>
        </w:rPr>
        <w:t>i</w:t>
      </w:r>
      <w:r w:rsidRPr="0069700B">
        <w:rPr>
          <w:rFonts w:ascii="Palatino Linotype" w:eastAsia="Arial" w:hAnsi="Palatino Linotype" w:cs="Arial"/>
          <w:i/>
        </w:rPr>
        <w:t xml:space="preserve">ca y </w:t>
      </w:r>
      <w:r w:rsidRPr="0069700B">
        <w:rPr>
          <w:rFonts w:ascii="Palatino Linotype" w:eastAsia="Arial" w:hAnsi="Palatino Linotype" w:cs="Arial"/>
          <w:i/>
          <w:spacing w:val="8"/>
        </w:rPr>
        <w:t xml:space="preserve">130, párrafo cuarto, </w:t>
      </w:r>
      <w:r w:rsidRPr="0069700B">
        <w:rPr>
          <w:rFonts w:ascii="Palatino Linotype" w:eastAsia="Arial" w:hAnsi="Palatino Linotype" w:cs="Arial"/>
          <w:i/>
          <w:spacing w:val="1"/>
        </w:rPr>
        <w:t>d</w:t>
      </w:r>
      <w:r w:rsidRPr="0069700B">
        <w:rPr>
          <w:rFonts w:ascii="Palatino Linotype" w:eastAsia="Arial" w:hAnsi="Palatino Linotype" w:cs="Arial"/>
          <w:i/>
        </w:rPr>
        <w:t xml:space="preserve">e la </w:t>
      </w:r>
      <w:r w:rsidRPr="0069700B">
        <w:rPr>
          <w:rFonts w:ascii="Palatino Linotype" w:eastAsia="Arial" w:hAnsi="Palatino Linotype" w:cs="Arial"/>
          <w:i/>
          <w:spacing w:val="-1"/>
        </w:rPr>
        <w:t>L</w:t>
      </w:r>
      <w:r w:rsidRPr="0069700B">
        <w:rPr>
          <w:rFonts w:ascii="Palatino Linotype" w:eastAsia="Arial" w:hAnsi="Palatino Linotype" w:cs="Arial"/>
          <w:i/>
          <w:spacing w:val="1"/>
        </w:rPr>
        <w:t>e</w:t>
      </w:r>
      <w:r w:rsidRPr="0069700B">
        <w:rPr>
          <w:rFonts w:ascii="Palatino Linotype" w:eastAsia="Arial" w:hAnsi="Palatino Linotype" w:cs="Arial"/>
          <w:i/>
        </w:rPr>
        <w:t>y Fe</w:t>
      </w:r>
      <w:r w:rsidRPr="0069700B">
        <w:rPr>
          <w:rFonts w:ascii="Palatino Linotype" w:eastAsia="Arial" w:hAnsi="Palatino Linotype" w:cs="Arial"/>
          <w:i/>
          <w:spacing w:val="1"/>
        </w:rPr>
        <w:t>de</w:t>
      </w:r>
      <w:r w:rsidRPr="0069700B">
        <w:rPr>
          <w:rFonts w:ascii="Palatino Linotype" w:eastAsia="Arial" w:hAnsi="Palatino Linotype" w:cs="Arial"/>
          <w:i/>
        </w:rPr>
        <w:t xml:space="preserve">ral </w:t>
      </w:r>
      <w:r w:rsidRPr="0069700B">
        <w:rPr>
          <w:rFonts w:ascii="Palatino Linotype" w:eastAsia="Arial" w:hAnsi="Palatino Linotype" w:cs="Arial"/>
          <w:i/>
          <w:spacing w:val="-1"/>
        </w:rPr>
        <w:t>d</w:t>
      </w:r>
      <w:r w:rsidRPr="0069700B">
        <w:rPr>
          <w:rFonts w:ascii="Palatino Linotype" w:eastAsia="Arial" w:hAnsi="Palatino Linotype" w:cs="Arial"/>
          <w:i/>
        </w:rPr>
        <w:t xml:space="preserve">e </w:t>
      </w:r>
      <w:r w:rsidRPr="0069700B">
        <w:rPr>
          <w:rFonts w:ascii="Palatino Linotype" w:eastAsia="Arial" w:hAnsi="Palatino Linotype" w:cs="Arial"/>
          <w:i/>
          <w:spacing w:val="2"/>
        </w:rPr>
        <w:t>T</w:t>
      </w:r>
      <w:r w:rsidRPr="0069700B">
        <w:rPr>
          <w:rFonts w:ascii="Palatino Linotype" w:eastAsia="Arial" w:hAnsi="Palatino Linotype" w:cs="Arial"/>
          <w:i/>
        </w:rPr>
        <w:t>r</w:t>
      </w:r>
      <w:r w:rsidRPr="0069700B">
        <w:rPr>
          <w:rFonts w:ascii="Palatino Linotype" w:eastAsia="Arial" w:hAnsi="Palatino Linotype" w:cs="Arial"/>
          <w:i/>
          <w:spacing w:val="-2"/>
        </w:rPr>
        <w:t>a</w:t>
      </w:r>
      <w:r w:rsidRPr="0069700B">
        <w:rPr>
          <w:rFonts w:ascii="Palatino Linotype" w:eastAsia="Arial" w:hAnsi="Palatino Linotype" w:cs="Arial"/>
          <w:i/>
          <w:spacing w:val="1"/>
        </w:rPr>
        <w:t>n</w:t>
      </w:r>
      <w:r w:rsidRPr="0069700B">
        <w:rPr>
          <w:rFonts w:ascii="Palatino Linotype" w:eastAsia="Arial" w:hAnsi="Palatino Linotype" w:cs="Arial"/>
          <w:i/>
        </w:rPr>
        <w:t>s</w:t>
      </w:r>
      <w:r w:rsidRPr="0069700B">
        <w:rPr>
          <w:rFonts w:ascii="Palatino Linotype" w:eastAsia="Arial" w:hAnsi="Palatino Linotype" w:cs="Arial"/>
          <w:i/>
          <w:spacing w:val="1"/>
        </w:rPr>
        <w:t>pa</w:t>
      </w:r>
      <w:r w:rsidRPr="0069700B">
        <w:rPr>
          <w:rFonts w:ascii="Palatino Linotype" w:eastAsia="Arial" w:hAnsi="Palatino Linotype" w:cs="Arial"/>
          <w:i/>
        </w:rPr>
        <w:t>r</w:t>
      </w:r>
      <w:r w:rsidRPr="0069700B">
        <w:rPr>
          <w:rFonts w:ascii="Palatino Linotype" w:eastAsia="Arial" w:hAnsi="Palatino Linotype" w:cs="Arial"/>
          <w:i/>
          <w:spacing w:val="-2"/>
        </w:rPr>
        <w:t>e</w:t>
      </w:r>
      <w:r w:rsidRPr="0069700B">
        <w:rPr>
          <w:rFonts w:ascii="Palatino Linotype" w:eastAsia="Arial" w:hAnsi="Palatino Linotype" w:cs="Arial"/>
          <w:i/>
          <w:spacing w:val="1"/>
        </w:rPr>
        <w:t>n</w:t>
      </w:r>
      <w:r w:rsidRPr="0069700B">
        <w:rPr>
          <w:rFonts w:ascii="Palatino Linotype" w:eastAsia="Arial" w:hAnsi="Palatino Linotype" w:cs="Arial"/>
          <w:i/>
        </w:rPr>
        <w:t>cia y Acc</w:t>
      </w:r>
      <w:r w:rsidRPr="0069700B">
        <w:rPr>
          <w:rFonts w:ascii="Palatino Linotype" w:eastAsia="Arial" w:hAnsi="Palatino Linotype" w:cs="Arial"/>
          <w:i/>
          <w:spacing w:val="1"/>
        </w:rPr>
        <w:t>e</w:t>
      </w:r>
      <w:r w:rsidRPr="0069700B">
        <w:rPr>
          <w:rFonts w:ascii="Palatino Linotype" w:eastAsia="Arial" w:hAnsi="Palatino Linotype" w:cs="Arial"/>
          <w:i/>
        </w:rPr>
        <w:t>so a la I</w:t>
      </w:r>
      <w:r w:rsidRPr="0069700B">
        <w:rPr>
          <w:rFonts w:ascii="Palatino Linotype" w:eastAsia="Arial" w:hAnsi="Palatino Linotype" w:cs="Arial"/>
          <w:i/>
          <w:spacing w:val="-1"/>
        </w:rPr>
        <w:t>n</w:t>
      </w:r>
      <w:r w:rsidRPr="0069700B">
        <w:rPr>
          <w:rFonts w:ascii="Palatino Linotype" w:eastAsia="Arial" w:hAnsi="Palatino Linotype" w:cs="Arial"/>
          <w:i/>
        </w:rPr>
        <w:t>f</w:t>
      </w:r>
      <w:r w:rsidRPr="0069700B">
        <w:rPr>
          <w:rFonts w:ascii="Palatino Linotype" w:eastAsia="Arial" w:hAnsi="Palatino Linotype" w:cs="Arial"/>
          <w:i/>
          <w:spacing w:val="1"/>
        </w:rPr>
        <w:t>o</w:t>
      </w:r>
      <w:r w:rsidRPr="0069700B">
        <w:rPr>
          <w:rFonts w:ascii="Palatino Linotype" w:eastAsia="Arial" w:hAnsi="Palatino Linotype" w:cs="Arial"/>
          <w:i/>
          <w:spacing w:val="-3"/>
        </w:rPr>
        <w:t>r</w:t>
      </w:r>
      <w:r w:rsidRPr="0069700B">
        <w:rPr>
          <w:rFonts w:ascii="Palatino Linotype" w:eastAsia="Arial" w:hAnsi="Palatino Linotype" w:cs="Arial"/>
          <w:i/>
          <w:spacing w:val="1"/>
        </w:rPr>
        <w:t>ma</w:t>
      </w:r>
      <w:r w:rsidRPr="0069700B">
        <w:rPr>
          <w:rFonts w:ascii="Palatino Linotype" w:eastAsia="Arial" w:hAnsi="Palatino Linotype" w:cs="Arial"/>
          <w:i/>
        </w:rPr>
        <w:t>ci</w:t>
      </w:r>
      <w:r w:rsidRPr="0069700B">
        <w:rPr>
          <w:rFonts w:ascii="Palatino Linotype" w:eastAsia="Arial" w:hAnsi="Palatino Linotype" w:cs="Arial"/>
          <w:i/>
          <w:spacing w:val="-2"/>
        </w:rPr>
        <w:t>ó</w:t>
      </w:r>
      <w:r w:rsidRPr="0069700B">
        <w:rPr>
          <w:rFonts w:ascii="Palatino Linotype" w:eastAsia="Arial" w:hAnsi="Palatino Linotype" w:cs="Arial"/>
          <w:i/>
        </w:rPr>
        <w:t xml:space="preserve">n </w:t>
      </w:r>
      <w:r w:rsidRPr="0069700B">
        <w:rPr>
          <w:rFonts w:ascii="Palatino Linotype" w:eastAsia="Arial" w:hAnsi="Palatino Linotype" w:cs="Arial"/>
          <w:i/>
          <w:spacing w:val="-2"/>
        </w:rPr>
        <w:t>P</w:t>
      </w:r>
      <w:r w:rsidRPr="0069700B">
        <w:rPr>
          <w:rFonts w:ascii="Palatino Linotype" w:eastAsia="Arial" w:hAnsi="Palatino Linotype" w:cs="Arial"/>
          <w:i/>
          <w:spacing w:val="1"/>
        </w:rPr>
        <w:t>úb</w:t>
      </w:r>
      <w:r w:rsidRPr="0069700B">
        <w:rPr>
          <w:rFonts w:ascii="Palatino Linotype" w:eastAsia="Arial" w:hAnsi="Palatino Linotype" w:cs="Arial"/>
          <w:i/>
        </w:rPr>
        <w:t>l</w:t>
      </w:r>
      <w:r w:rsidRPr="0069700B">
        <w:rPr>
          <w:rFonts w:ascii="Palatino Linotype" w:eastAsia="Arial" w:hAnsi="Palatino Linotype" w:cs="Arial"/>
          <w:i/>
          <w:spacing w:val="-1"/>
        </w:rPr>
        <w:t>i</w:t>
      </w:r>
      <w:r w:rsidRPr="0069700B">
        <w:rPr>
          <w:rFonts w:ascii="Palatino Linotype" w:eastAsia="Arial" w:hAnsi="Palatino Linotype" w:cs="Arial"/>
          <w:i/>
        </w:rPr>
        <w:t xml:space="preserve">ca, </w:t>
      </w:r>
      <w:r w:rsidRPr="0069700B">
        <w:rPr>
          <w:rFonts w:ascii="Palatino Linotype" w:eastAsia="Arial" w:hAnsi="Palatino Linotype" w:cs="Arial"/>
          <w:i/>
          <w:spacing w:val="-1"/>
        </w:rPr>
        <w:t>señalan q</w:t>
      </w:r>
      <w:r w:rsidRPr="0069700B">
        <w:rPr>
          <w:rFonts w:ascii="Palatino Linotype" w:eastAsia="Arial" w:hAnsi="Palatino Linotype" w:cs="Arial"/>
          <w:i/>
          <w:spacing w:val="1"/>
        </w:rPr>
        <w:t>u</w:t>
      </w:r>
      <w:r w:rsidRPr="0069700B">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9700B">
        <w:rPr>
          <w:rFonts w:ascii="Palatino Linotype" w:eastAsia="Arial" w:hAnsi="Palatino Linotype" w:cs="Arial"/>
          <w:i/>
          <w:spacing w:val="-1"/>
        </w:rPr>
        <w:t xml:space="preserve"> sin necesidad de</w:t>
      </w:r>
      <w:r w:rsidRPr="0069700B">
        <w:rPr>
          <w:rFonts w:ascii="Palatino Linotype" w:eastAsia="Arial" w:hAnsi="Palatino Linotype" w:cs="Arial"/>
          <w:i/>
          <w:spacing w:val="1"/>
        </w:rPr>
        <w:t xml:space="preserve"> e</w:t>
      </w:r>
      <w:r w:rsidRPr="0069700B">
        <w:rPr>
          <w:rFonts w:ascii="Palatino Linotype" w:eastAsia="Arial" w:hAnsi="Palatino Linotype" w:cs="Arial"/>
          <w:i/>
        </w:rPr>
        <w:t>la</w:t>
      </w:r>
      <w:r w:rsidRPr="0069700B">
        <w:rPr>
          <w:rFonts w:ascii="Palatino Linotype" w:eastAsia="Arial" w:hAnsi="Palatino Linotype" w:cs="Arial"/>
          <w:i/>
          <w:spacing w:val="1"/>
        </w:rPr>
        <w:t>bo</w:t>
      </w:r>
      <w:r w:rsidRPr="0069700B">
        <w:rPr>
          <w:rFonts w:ascii="Palatino Linotype" w:eastAsia="Arial" w:hAnsi="Palatino Linotype" w:cs="Arial"/>
          <w:i/>
        </w:rPr>
        <w:t xml:space="preserve">rar </w:t>
      </w:r>
      <w:r w:rsidRPr="0069700B">
        <w:rPr>
          <w:rFonts w:ascii="Palatino Linotype" w:eastAsia="Arial" w:hAnsi="Palatino Linotype" w:cs="Arial"/>
          <w:i/>
          <w:spacing w:val="1"/>
        </w:rPr>
        <w:t>do</w:t>
      </w:r>
      <w:r w:rsidRPr="0069700B">
        <w:rPr>
          <w:rFonts w:ascii="Palatino Linotype" w:eastAsia="Arial" w:hAnsi="Palatino Linotype" w:cs="Arial"/>
          <w:i/>
          <w:spacing w:val="-2"/>
        </w:rPr>
        <w:t>c</w:t>
      </w:r>
      <w:r w:rsidRPr="0069700B">
        <w:rPr>
          <w:rFonts w:ascii="Palatino Linotype" w:eastAsia="Arial" w:hAnsi="Palatino Linotype" w:cs="Arial"/>
          <w:i/>
          <w:spacing w:val="1"/>
        </w:rPr>
        <w:t>u</w:t>
      </w:r>
      <w:r w:rsidRPr="0069700B">
        <w:rPr>
          <w:rFonts w:ascii="Palatino Linotype" w:eastAsia="Arial" w:hAnsi="Palatino Linotype" w:cs="Arial"/>
          <w:i/>
          <w:spacing w:val="-1"/>
        </w:rPr>
        <w:t>m</w:t>
      </w:r>
      <w:r w:rsidRPr="0069700B">
        <w:rPr>
          <w:rFonts w:ascii="Palatino Linotype" w:eastAsia="Arial" w:hAnsi="Palatino Linotype" w:cs="Arial"/>
          <w:i/>
          <w:spacing w:val="1"/>
        </w:rPr>
        <w:t>en</w:t>
      </w:r>
      <w:r w:rsidRPr="0069700B">
        <w:rPr>
          <w:rFonts w:ascii="Palatino Linotype" w:eastAsia="Arial" w:hAnsi="Palatino Linotype" w:cs="Arial"/>
          <w:i/>
          <w:spacing w:val="-2"/>
        </w:rPr>
        <w:t>t</w:t>
      </w:r>
      <w:r w:rsidRPr="0069700B">
        <w:rPr>
          <w:rFonts w:ascii="Palatino Linotype" w:eastAsia="Arial" w:hAnsi="Palatino Linotype" w:cs="Arial"/>
          <w:i/>
          <w:spacing w:val="1"/>
        </w:rPr>
        <w:t>o</w:t>
      </w:r>
      <w:r w:rsidRPr="0069700B">
        <w:rPr>
          <w:rFonts w:ascii="Palatino Linotype" w:eastAsia="Arial" w:hAnsi="Palatino Linotype" w:cs="Arial"/>
          <w:i/>
        </w:rPr>
        <w:t xml:space="preserve">s </w:t>
      </w:r>
      <w:r w:rsidRPr="0069700B">
        <w:rPr>
          <w:rFonts w:ascii="Palatino Linotype" w:eastAsia="Arial" w:hAnsi="Palatino Linotype" w:cs="Arial"/>
          <w:i/>
          <w:spacing w:val="1"/>
        </w:rPr>
        <w:t>a</w:t>
      </w:r>
      <w:r w:rsidRPr="0069700B">
        <w:rPr>
          <w:rFonts w:ascii="Palatino Linotype" w:eastAsia="Arial" w:hAnsi="Palatino Linotype" w:cs="Arial"/>
          <w:i/>
        </w:rPr>
        <w:t>d</w:t>
      </w:r>
      <w:r w:rsidRPr="0069700B">
        <w:rPr>
          <w:rFonts w:ascii="Palatino Linotype" w:eastAsia="Arial" w:hAnsi="Palatino Linotype" w:cs="Arial"/>
          <w:i/>
          <w:spacing w:val="1"/>
        </w:rPr>
        <w:t xml:space="preserve"> ho</w:t>
      </w:r>
      <w:r w:rsidRPr="0069700B">
        <w:rPr>
          <w:rFonts w:ascii="Palatino Linotype" w:eastAsia="Arial" w:hAnsi="Palatino Linotype" w:cs="Arial"/>
          <w:i/>
        </w:rPr>
        <w:t xml:space="preserve">c </w:t>
      </w:r>
      <w:r w:rsidRPr="0069700B">
        <w:rPr>
          <w:rFonts w:ascii="Palatino Linotype" w:eastAsia="Arial" w:hAnsi="Palatino Linotype" w:cs="Arial"/>
          <w:i/>
          <w:spacing w:val="1"/>
        </w:rPr>
        <w:t>pa</w:t>
      </w:r>
      <w:r w:rsidRPr="0069700B">
        <w:rPr>
          <w:rFonts w:ascii="Palatino Linotype" w:eastAsia="Arial" w:hAnsi="Palatino Linotype" w:cs="Arial"/>
          <w:i/>
        </w:rPr>
        <w:t xml:space="preserve">ra </w:t>
      </w:r>
      <w:r w:rsidRPr="0069700B">
        <w:rPr>
          <w:rFonts w:ascii="Palatino Linotype" w:eastAsia="Arial" w:hAnsi="Palatino Linotype" w:cs="Arial"/>
          <w:i/>
          <w:spacing w:val="1"/>
        </w:rPr>
        <w:t>a</w:t>
      </w:r>
      <w:r w:rsidRPr="0069700B">
        <w:rPr>
          <w:rFonts w:ascii="Palatino Linotype" w:eastAsia="Arial" w:hAnsi="Palatino Linotype" w:cs="Arial"/>
          <w:i/>
        </w:rPr>
        <w:t>t</w:t>
      </w:r>
      <w:r w:rsidRPr="0069700B">
        <w:rPr>
          <w:rFonts w:ascii="Palatino Linotype" w:eastAsia="Arial" w:hAnsi="Palatino Linotype" w:cs="Arial"/>
          <w:i/>
          <w:spacing w:val="-1"/>
        </w:rPr>
        <w:t>e</w:t>
      </w:r>
      <w:r w:rsidRPr="0069700B">
        <w:rPr>
          <w:rFonts w:ascii="Palatino Linotype" w:eastAsia="Arial" w:hAnsi="Palatino Linotype" w:cs="Arial"/>
          <w:i/>
          <w:spacing w:val="1"/>
        </w:rPr>
        <w:t>n</w:t>
      </w:r>
      <w:r w:rsidRPr="0069700B">
        <w:rPr>
          <w:rFonts w:ascii="Palatino Linotype" w:eastAsia="Arial" w:hAnsi="Palatino Linotype" w:cs="Arial"/>
          <w:i/>
          <w:spacing w:val="-1"/>
        </w:rPr>
        <w:t>d</w:t>
      </w:r>
      <w:r w:rsidRPr="0069700B">
        <w:rPr>
          <w:rFonts w:ascii="Palatino Linotype" w:eastAsia="Arial" w:hAnsi="Palatino Linotype" w:cs="Arial"/>
          <w:i/>
          <w:spacing w:val="1"/>
        </w:rPr>
        <w:t>e</w:t>
      </w:r>
      <w:r w:rsidRPr="0069700B">
        <w:rPr>
          <w:rFonts w:ascii="Palatino Linotype" w:eastAsia="Arial" w:hAnsi="Palatino Linotype" w:cs="Arial"/>
          <w:i/>
        </w:rPr>
        <w:t>r l</w:t>
      </w:r>
      <w:r w:rsidRPr="0069700B">
        <w:rPr>
          <w:rFonts w:ascii="Palatino Linotype" w:eastAsia="Arial" w:hAnsi="Palatino Linotype" w:cs="Arial"/>
          <w:i/>
          <w:spacing w:val="-2"/>
        </w:rPr>
        <w:t>a</w:t>
      </w:r>
      <w:r w:rsidRPr="0069700B">
        <w:rPr>
          <w:rFonts w:ascii="Palatino Linotype" w:eastAsia="Arial" w:hAnsi="Palatino Linotype" w:cs="Arial"/>
          <w:i/>
        </w:rPr>
        <w:t>s s</w:t>
      </w:r>
      <w:r w:rsidRPr="0069700B">
        <w:rPr>
          <w:rFonts w:ascii="Palatino Linotype" w:eastAsia="Arial" w:hAnsi="Palatino Linotype" w:cs="Arial"/>
          <w:i/>
          <w:spacing w:val="1"/>
        </w:rPr>
        <w:t>o</w:t>
      </w:r>
      <w:r w:rsidRPr="0069700B">
        <w:rPr>
          <w:rFonts w:ascii="Palatino Linotype" w:eastAsia="Arial" w:hAnsi="Palatino Linotype" w:cs="Arial"/>
          <w:i/>
        </w:rPr>
        <w:t>l</w:t>
      </w:r>
      <w:r w:rsidRPr="0069700B">
        <w:rPr>
          <w:rFonts w:ascii="Palatino Linotype" w:eastAsia="Arial" w:hAnsi="Palatino Linotype" w:cs="Arial"/>
          <w:i/>
          <w:spacing w:val="-1"/>
        </w:rPr>
        <w:t>i</w:t>
      </w:r>
      <w:r w:rsidRPr="0069700B">
        <w:rPr>
          <w:rFonts w:ascii="Palatino Linotype" w:eastAsia="Arial" w:hAnsi="Palatino Linotype" w:cs="Arial"/>
          <w:i/>
        </w:rPr>
        <w:t>cit</w:t>
      </w:r>
      <w:r w:rsidRPr="0069700B">
        <w:rPr>
          <w:rFonts w:ascii="Palatino Linotype" w:eastAsia="Arial" w:hAnsi="Palatino Linotype" w:cs="Arial"/>
          <w:i/>
          <w:spacing w:val="1"/>
        </w:rPr>
        <w:t>ude</w:t>
      </w:r>
      <w:r w:rsidRPr="0069700B">
        <w:rPr>
          <w:rFonts w:ascii="Palatino Linotype" w:eastAsia="Arial" w:hAnsi="Palatino Linotype" w:cs="Arial"/>
          <w:i/>
        </w:rPr>
        <w:t xml:space="preserve">s </w:t>
      </w:r>
      <w:r w:rsidRPr="0069700B">
        <w:rPr>
          <w:rFonts w:ascii="Palatino Linotype" w:eastAsia="Arial" w:hAnsi="Palatino Linotype" w:cs="Arial"/>
          <w:i/>
          <w:spacing w:val="-1"/>
        </w:rPr>
        <w:t>d</w:t>
      </w:r>
      <w:r w:rsidRPr="0069700B">
        <w:rPr>
          <w:rFonts w:ascii="Palatino Linotype" w:eastAsia="Arial" w:hAnsi="Palatino Linotype" w:cs="Arial"/>
          <w:i/>
        </w:rPr>
        <w:t>e i</w:t>
      </w:r>
      <w:r w:rsidRPr="0069700B">
        <w:rPr>
          <w:rFonts w:ascii="Palatino Linotype" w:eastAsia="Arial" w:hAnsi="Palatino Linotype" w:cs="Arial"/>
          <w:i/>
          <w:spacing w:val="-2"/>
        </w:rPr>
        <w:t>n</w:t>
      </w:r>
      <w:r w:rsidRPr="0069700B">
        <w:rPr>
          <w:rFonts w:ascii="Palatino Linotype" w:eastAsia="Arial" w:hAnsi="Palatino Linotype" w:cs="Arial"/>
          <w:i/>
        </w:rPr>
        <w:t>f</w:t>
      </w:r>
      <w:r w:rsidRPr="0069700B">
        <w:rPr>
          <w:rFonts w:ascii="Palatino Linotype" w:eastAsia="Arial" w:hAnsi="Palatino Linotype" w:cs="Arial"/>
          <w:i/>
          <w:spacing w:val="1"/>
        </w:rPr>
        <w:t>o</w:t>
      </w:r>
      <w:r w:rsidRPr="0069700B">
        <w:rPr>
          <w:rFonts w:ascii="Palatino Linotype" w:eastAsia="Arial" w:hAnsi="Palatino Linotype" w:cs="Arial"/>
          <w:i/>
        </w:rPr>
        <w:t>r</w:t>
      </w:r>
      <w:r w:rsidRPr="0069700B">
        <w:rPr>
          <w:rFonts w:ascii="Palatino Linotype" w:eastAsia="Arial" w:hAnsi="Palatino Linotype" w:cs="Arial"/>
          <w:i/>
          <w:spacing w:val="-1"/>
        </w:rPr>
        <w:t>m</w:t>
      </w:r>
      <w:r w:rsidRPr="0069700B">
        <w:rPr>
          <w:rFonts w:ascii="Palatino Linotype" w:eastAsia="Arial" w:hAnsi="Palatino Linotype" w:cs="Arial"/>
          <w:i/>
          <w:spacing w:val="1"/>
        </w:rPr>
        <w:t>a</w:t>
      </w:r>
      <w:r w:rsidRPr="0069700B">
        <w:rPr>
          <w:rFonts w:ascii="Palatino Linotype" w:eastAsia="Arial" w:hAnsi="Palatino Linotype" w:cs="Arial"/>
          <w:i/>
        </w:rPr>
        <w:t>ció</w:t>
      </w:r>
      <w:r w:rsidRPr="0069700B">
        <w:rPr>
          <w:rFonts w:ascii="Palatino Linotype" w:eastAsia="Arial" w:hAnsi="Palatino Linotype" w:cs="Arial"/>
          <w:i/>
          <w:spacing w:val="1"/>
        </w:rPr>
        <w:t>n</w:t>
      </w:r>
      <w:r w:rsidRPr="0069700B">
        <w:rPr>
          <w:rFonts w:ascii="Palatino Linotype" w:eastAsia="Arial" w:hAnsi="Palatino Linotype" w:cs="Arial"/>
          <w:i/>
        </w:rPr>
        <w:t>.”</w:t>
      </w:r>
    </w:p>
    <w:p w14:paraId="0D3611D0" w14:textId="77777777" w:rsidR="00270AE6" w:rsidRPr="00D00D35" w:rsidRDefault="00270AE6" w:rsidP="00270AE6">
      <w:pPr>
        <w:spacing w:line="360" w:lineRule="auto"/>
        <w:jc w:val="both"/>
        <w:rPr>
          <w:rFonts w:ascii="Palatino Linotype" w:hAnsi="Palatino Linotype" w:cs="Tahoma"/>
          <w:sz w:val="22"/>
          <w:szCs w:val="22"/>
        </w:rPr>
      </w:pPr>
    </w:p>
    <w:p w14:paraId="6E55FE79" w14:textId="6978268D" w:rsidR="00270AE6" w:rsidRDefault="00270AE6" w:rsidP="00270AE6">
      <w:pPr>
        <w:spacing w:line="360" w:lineRule="auto"/>
        <w:jc w:val="both"/>
        <w:rPr>
          <w:rFonts w:ascii="Palatino Linotype" w:hAnsi="Palatino Linotype" w:cs="Tahoma"/>
          <w:sz w:val="22"/>
          <w:szCs w:val="24"/>
          <w:lang w:val="es-ES"/>
        </w:rPr>
      </w:pPr>
      <w:r w:rsidRPr="00D00D35">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Pr>
          <w:rFonts w:ascii="Palatino Linotype" w:hAnsi="Palatino Linotype" w:cs="Tahoma"/>
          <w:sz w:val="22"/>
          <w:szCs w:val="24"/>
          <w:lang w:val="es-ES"/>
        </w:rPr>
        <w:t>.</w:t>
      </w:r>
    </w:p>
    <w:p w14:paraId="416BE264" w14:textId="77777777" w:rsidR="00270AE6" w:rsidRDefault="00270AE6" w:rsidP="00270AE6">
      <w:pPr>
        <w:spacing w:line="360" w:lineRule="auto"/>
        <w:jc w:val="both"/>
        <w:rPr>
          <w:rFonts w:ascii="Palatino Linotype" w:hAnsi="Palatino Linotype" w:cs="Tahoma"/>
          <w:sz w:val="22"/>
          <w:szCs w:val="24"/>
          <w:lang w:val="es-ES"/>
        </w:rPr>
      </w:pPr>
    </w:p>
    <w:p w14:paraId="62D8E7C6" w14:textId="6E71B307" w:rsidR="00270AE6" w:rsidRDefault="00270AE6" w:rsidP="00270AE6">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Ahora bien</w:t>
      </w:r>
      <w:r w:rsidR="00CB3B22">
        <w:rPr>
          <w:rFonts w:ascii="Palatino Linotype" w:hAnsi="Palatino Linotype" w:cs="Tahoma"/>
          <w:sz w:val="22"/>
          <w:szCs w:val="24"/>
          <w:lang w:val="es-ES"/>
        </w:rPr>
        <w:t>, cabe precisar que en respuesta el Sujeto Obligado precisó que las actividades y funciones que desarrollaba la Unidad de Transparencia no se integraban al Programa Operativo Anual</w:t>
      </w:r>
      <w:r w:rsidR="006553DA">
        <w:rPr>
          <w:rFonts w:ascii="Palatino Linotype" w:hAnsi="Palatino Linotype" w:cs="Tahoma"/>
          <w:sz w:val="22"/>
          <w:szCs w:val="24"/>
          <w:lang w:val="es-ES"/>
        </w:rPr>
        <w:t xml:space="preserve"> y por otra parte, proporcionó el formato </w:t>
      </w:r>
      <w:r w:rsidR="006553DA" w:rsidRPr="006553DA">
        <w:rPr>
          <w:rFonts w:ascii="Palatino Linotype" w:hAnsi="Palatino Linotype" w:cs="Tahoma"/>
          <w:sz w:val="22"/>
          <w:szCs w:val="24"/>
          <w:lang w:val="es-ES"/>
        </w:rPr>
        <w:t>PbR-09a Evaluación y certificación para el control de confianza de los elementos de seguridad.</w:t>
      </w:r>
    </w:p>
    <w:p w14:paraId="2617B56D" w14:textId="77777777" w:rsidR="003B0E11" w:rsidRDefault="003B0E11" w:rsidP="00564755">
      <w:pPr>
        <w:spacing w:line="360" w:lineRule="auto"/>
        <w:jc w:val="both"/>
        <w:rPr>
          <w:rFonts w:ascii="Palatino Linotype" w:hAnsi="Palatino Linotype" w:cs="Tahoma"/>
          <w:sz w:val="22"/>
          <w:szCs w:val="22"/>
        </w:rPr>
      </w:pPr>
    </w:p>
    <w:p w14:paraId="1AEE122D" w14:textId="319F7857" w:rsidR="006553DA" w:rsidRDefault="004231B1" w:rsidP="00564755">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Conforme a lo anterior, </w:t>
      </w:r>
      <w:r w:rsidR="00140DB4">
        <w:rPr>
          <w:rFonts w:ascii="Palatino Linotype" w:hAnsi="Palatino Linotype" w:cs="Tahoma"/>
          <w:sz w:val="22"/>
          <w:szCs w:val="22"/>
        </w:rPr>
        <w:t>el</w:t>
      </w:r>
      <w:r>
        <w:rPr>
          <w:rFonts w:ascii="Palatino Linotype" w:hAnsi="Palatino Linotype" w:cs="Tahoma"/>
          <w:sz w:val="22"/>
          <w:szCs w:val="22"/>
        </w:rPr>
        <w:t xml:space="preserve"> Centro de Control de Confianza del Estado de México, señaló las razones por las cuales no contaba con el Programa Operativo Anual del Ejercicio Fiscal dos mil dieciocho, de la Unidad de Transparencia, al precisar que no lo genera por área. </w:t>
      </w:r>
    </w:p>
    <w:p w14:paraId="4DD8821D" w14:textId="77777777" w:rsidR="00140DB4" w:rsidRDefault="00140DB4" w:rsidP="00564755">
      <w:pPr>
        <w:spacing w:line="360" w:lineRule="auto"/>
        <w:jc w:val="both"/>
        <w:rPr>
          <w:rFonts w:ascii="Palatino Linotype" w:hAnsi="Palatino Linotype" w:cs="Tahoma"/>
          <w:sz w:val="22"/>
          <w:szCs w:val="22"/>
        </w:rPr>
      </w:pPr>
    </w:p>
    <w:p w14:paraId="06046A94" w14:textId="0D23063E" w:rsidR="00140DB4" w:rsidRDefault="00140DB4" w:rsidP="00564755">
      <w:pPr>
        <w:spacing w:line="360" w:lineRule="auto"/>
        <w:jc w:val="both"/>
        <w:rPr>
          <w:rFonts w:ascii="Palatino Linotype" w:hAnsi="Palatino Linotype" w:cs="Tahoma"/>
          <w:sz w:val="22"/>
          <w:szCs w:val="22"/>
        </w:rPr>
      </w:pPr>
      <w:r>
        <w:rPr>
          <w:rFonts w:ascii="Palatino Linotype" w:hAnsi="Palatino Linotype" w:cs="Tahoma"/>
          <w:sz w:val="22"/>
          <w:szCs w:val="22"/>
        </w:rPr>
        <w:t xml:space="preserve">Lo anterior, lo robusteció </w:t>
      </w:r>
      <w:r w:rsidR="00CB33C2">
        <w:rPr>
          <w:rFonts w:ascii="Palatino Linotype" w:hAnsi="Palatino Linotype" w:cs="Tahoma"/>
          <w:sz w:val="22"/>
          <w:szCs w:val="22"/>
        </w:rPr>
        <w:t xml:space="preserve">el Ente Recurrido </w:t>
      </w:r>
      <w:r>
        <w:rPr>
          <w:rFonts w:ascii="Palatino Linotype" w:hAnsi="Palatino Linotype" w:cs="Tahoma"/>
          <w:sz w:val="22"/>
          <w:szCs w:val="22"/>
        </w:rPr>
        <w:t>con el Informe Justificado proporcionado durante la substanciación del medio de impugnación</w:t>
      </w:r>
      <w:r w:rsidR="00CB33C2">
        <w:rPr>
          <w:rFonts w:ascii="Palatino Linotype" w:hAnsi="Palatino Linotype" w:cs="Tahoma"/>
          <w:sz w:val="22"/>
          <w:szCs w:val="22"/>
        </w:rPr>
        <w:t>, al precisar que el Programa Operativo Anual únicamente agrupaba metas de actividades e indicadores de manera responsable y programaba acciones e indicadores que sean prioritarios, a efecto de alcanzar un impacto sustantivo, por lo que, la Unidad Ejecutaba  no integraba</w:t>
      </w:r>
      <w:r w:rsidR="001616F9">
        <w:rPr>
          <w:rFonts w:ascii="Palatino Linotype" w:hAnsi="Palatino Linotype" w:cs="Tahoma"/>
          <w:sz w:val="22"/>
          <w:szCs w:val="22"/>
        </w:rPr>
        <w:t xml:space="preserve"> las actividades de la Unidad de Transparencia de manera individualizada, pues únicamente los enfoca en agrupar acciones e indicadores prioritarios.</w:t>
      </w:r>
    </w:p>
    <w:p w14:paraId="111B3973" w14:textId="77777777" w:rsidR="0069700B" w:rsidRDefault="0069700B" w:rsidP="00564755">
      <w:pPr>
        <w:spacing w:line="360" w:lineRule="auto"/>
        <w:jc w:val="both"/>
        <w:rPr>
          <w:rFonts w:ascii="Palatino Linotype" w:hAnsi="Palatino Linotype" w:cs="Tahoma"/>
          <w:sz w:val="22"/>
          <w:szCs w:val="22"/>
        </w:rPr>
      </w:pPr>
    </w:p>
    <w:p w14:paraId="6FC6FDAD" w14:textId="5AF32DC9" w:rsidR="005F5CCA" w:rsidRPr="005F5CCA" w:rsidRDefault="005F5CCA" w:rsidP="005F5CCA">
      <w:pPr>
        <w:spacing w:line="360" w:lineRule="auto"/>
        <w:jc w:val="both"/>
        <w:rPr>
          <w:rFonts w:ascii="Palatino Linotype" w:hAnsi="Palatino Linotype" w:cs="Tahoma"/>
          <w:sz w:val="22"/>
          <w:szCs w:val="22"/>
          <w:lang w:val="es-ES"/>
        </w:rPr>
      </w:pPr>
      <w:r w:rsidRPr="005F5CCA">
        <w:rPr>
          <w:rFonts w:ascii="Palatino Linotype" w:hAnsi="Palatino Linotype" w:cs="Tahoma"/>
          <w:sz w:val="22"/>
          <w:szCs w:val="22"/>
          <w:lang w:val="es-ES"/>
        </w:rPr>
        <w:t xml:space="preserve">En ese </w:t>
      </w:r>
      <w:r w:rsidR="001616F9">
        <w:rPr>
          <w:rFonts w:ascii="Palatino Linotype" w:hAnsi="Palatino Linotype" w:cs="Tahoma"/>
          <w:sz w:val="22"/>
          <w:szCs w:val="22"/>
          <w:lang w:val="es-ES"/>
        </w:rPr>
        <w:t>contexto</w:t>
      </w:r>
      <w:r w:rsidRPr="005F5CCA">
        <w:rPr>
          <w:rFonts w:ascii="Palatino Linotype" w:hAnsi="Palatino Linotype" w:cs="Tahoma"/>
          <w:sz w:val="22"/>
          <w:szCs w:val="22"/>
          <w:lang w:val="es-ES"/>
        </w:rPr>
        <w:t>, el artículo 19, segundo párrafo, de la Ley de Transparencia y Acceso a la Información Pública del Estado de México y Municipios, establece que en el caso de que ciertas facultades, competencias o funciones no se hayan ejercido, se debe motivar la respuesta en función de las causas que motiven tal circunstancia.</w:t>
      </w:r>
    </w:p>
    <w:p w14:paraId="3FFEB8E7" w14:textId="77777777" w:rsidR="005F5CCA" w:rsidRPr="005F5CCA" w:rsidRDefault="005F5CCA" w:rsidP="005F5CCA">
      <w:pPr>
        <w:spacing w:line="360" w:lineRule="auto"/>
        <w:jc w:val="both"/>
        <w:rPr>
          <w:rFonts w:ascii="Palatino Linotype" w:hAnsi="Palatino Linotype" w:cs="Tahoma"/>
          <w:sz w:val="22"/>
          <w:szCs w:val="22"/>
          <w:lang w:val="es-ES"/>
        </w:rPr>
      </w:pPr>
    </w:p>
    <w:p w14:paraId="2A0854DB" w14:textId="77777777" w:rsidR="005F5CCA" w:rsidRPr="005F5CCA" w:rsidRDefault="005F5CCA" w:rsidP="005F5CCA">
      <w:pPr>
        <w:spacing w:line="360" w:lineRule="auto"/>
        <w:jc w:val="both"/>
        <w:rPr>
          <w:rFonts w:ascii="Palatino Linotype" w:hAnsi="Palatino Linotype" w:cs="Tahoma"/>
          <w:bCs/>
          <w:sz w:val="22"/>
          <w:szCs w:val="22"/>
        </w:rPr>
      </w:pPr>
      <w:r w:rsidRPr="005F5CCA">
        <w:rPr>
          <w:rFonts w:ascii="Palatino Linotype" w:hAnsi="Palatino Linotype" w:cs="Tahoma"/>
          <w:sz w:val="22"/>
          <w:szCs w:val="22"/>
          <w:lang w:val="es-ES"/>
        </w:rPr>
        <w:t xml:space="preserve">De la misma manera, </w:t>
      </w:r>
      <w:r w:rsidRPr="005F5CCA">
        <w:rPr>
          <w:rFonts w:ascii="Palatino Linotype" w:hAnsi="Palatino Linotype" w:cs="Tahoma"/>
          <w:bCs/>
          <w:sz w:val="22"/>
          <w:szCs w:val="22"/>
        </w:rPr>
        <w:t>el Criterio 07/17,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1CAC0E5B" w14:textId="77777777" w:rsidR="005F5CCA" w:rsidRPr="005F5CCA" w:rsidRDefault="005F5CCA" w:rsidP="005F5CCA">
      <w:pPr>
        <w:spacing w:line="360" w:lineRule="auto"/>
        <w:jc w:val="both"/>
        <w:rPr>
          <w:rFonts w:ascii="Palatino Linotype" w:hAnsi="Palatino Linotype" w:cs="Tahoma"/>
          <w:sz w:val="22"/>
          <w:szCs w:val="22"/>
          <w:lang w:val="es-ES"/>
        </w:rPr>
      </w:pPr>
    </w:p>
    <w:p w14:paraId="5293D337" w14:textId="77777777" w:rsidR="005C4E8B" w:rsidRDefault="005F5CCA" w:rsidP="005F5CCA">
      <w:pPr>
        <w:spacing w:line="360" w:lineRule="auto"/>
        <w:jc w:val="both"/>
        <w:rPr>
          <w:rFonts w:ascii="Palatino Linotype" w:hAnsi="Palatino Linotype" w:cs="Tahoma"/>
          <w:b/>
          <w:bCs/>
          <w:sz w:val="22"/>
          <w:szCs w:val="22"/>
        </w:rPr>
      </w:pPr>
      <w:r w:rsidRPr="005F5CCA">
        <w:rPr>
          <w:rFonts w:ascii="Palatino Linotype" w:hAnsi="Palatino Linotype" w:cs="Tahoma"/>
          <w:sz w:val="22"/>
          <w:szCs w:val="22"/>
        </w:rPr>
        <w:t>Dicho criterio aplica al caso en concreto, ya que, al analizar la normatividad aplicable a la materia de la solicitud, así como de la búsqueda de información pública,</w:t>
      </w:r>
      <w:r w:rsidR="00EC6244">
        <w:rPr>
          <w:rFonts w:ascii="Palatino Linotype" w:hAnsi="Palatino Linotype" w:cs="Tahoma"/>
          <w:sz w:val="22"/>
          <w:szCs w:val="22"/>
        </w:rPr>
        <w:t xml:space="preserve"> no se localizó algún indicio de que el Sujeto Obligado deba generar el Programa </w:t>
      </w:r>
      <w:r w:rsidR="001616F9">
        <w:rPr>
          <w:rFonts w:ascii="Palatino Linotype" w:hAnsi="Palatino Linotype" w:cs="Tahoma"/>
          <w:sz w:val="22"/>
          <w:szCs w:val="22"/>
        </w:rPr>
        <w:t xml:space="preserve">Operativo Anual de la Unidad de Transparencia, o bien, los formatos </w:t>
      </w:r>
      <w:r w:rsidR="001616F9" w:rsidRPr="001616F9">
        <w:rPr>
          <w:rFonts w:ascii="Palatino Linotype" w:hAnsi="Palatino Linotype" w:cs="Tahoma"/>
          <w:bCs/>
          <w:sz w:val="22"/>
          <w:szCs w:val="22"/>
        </w:rPr>
        <w:t>PbR-1a, PbR-2a, PbR-3a y PbR-9</w:t>
      </w:r>
      <w:r w:rsidR="001616F9">
        <w:rPr>
          <w:rFonts w:ascii="Palatino Linotype" w:hAnsi="Palatino Linotype" w:cs="Tahoma"/>
          <w:bCs/>
          <w:sz w:val="22"/>
          <w:szCs w:val="22"/>
        </w:rPr>
        <w:t xml:space="preserve">a, de dicha </w:t>
      </w:r>
      <w:r w:rsidR="00E92448">
        <w:rPr>
          <w:rFonts w:ascii="Palatino Linotype" w:hAnsi="Palatino Linotype" w:cs="Tahoma"/>
          <w:bCs/>
          <w:sz w:val="22"/>
          <w:szCs w:val="22"/>
        </w:rPr>
        <w:t xml:space="preserve">área; por lo cual, </w:t>
      </w:r>
      <w:r w:rsidR="005C4E8B" w:rsidRPr="005C4E8B">
        <w:rPr>
          <w:rFonts w:ascii="Palatino Linotype" w:hAnsi="Palatino Linotype" w:cs="Tahoma"/>
          <w:b/>
          <w:bCs/>
          <w:sz w:val="22"/>
          <w:szCs w:val="22"/>
        </w:rPr>
        <w:t>se considera que el Sujeto Obligado señaló las razones por las cuales no contaba con la informaci</w:t>
      </w:r>
      <w:r w:rsidR="005C4E8B">
        <w:rPr>
          <w:rFonts w:ascii="Palatino Linotype" w:hAnsi="Palatino Linotype" w:cs="Tahoma"/>
          <w:b/>
          <w:bCs/>
          <w:sz w:val="22"/>
          <w:szCs w:val="22"/>
        </w:rPr>
        <w:t>ón solicitada, cumpliendo con el segundo párrafo del artículo 19 de la Ley de Transparencia y Acceso a la Información Pública del Estado de México y Municipios.</w:t>
      </w:r>
    </w:p>
    <w:p w14:paraId="7C2DCC65" w14:textId="77777777" w:rsidR="005C4E8B" w:rsidRDefault="005C4E8B" w:rsidP="005F5CCA">
      <w:pPr>
        <w:spacing w:line="360" w:lineRule="auto"/>
        <w:jc w:val="both"/>
        <w:rPr>
          <w:rFonts w:ascii="Palatino Linotype" w:hAnsi="Palatino Linotype" w:cs="Tahoma"/>
          <w:b/>
          <w:bCs/>
          <w:sz w:val="22"/>
          <w:szCs w:val="22"/>
        </w:rPr>
      </w:pPr>
    </w:p>
    <w:p w14:paraId="3B0A2BBA" w14:textId="6036DB13" w:rsidR="003B0E11" w:rsidRDefault="005C4E8B" w:rsidP="005F5CCA">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rPr>
        <w:t>Por otra parte, el Centro de Control de Confianza del Estado de México,</w:t>
      </w:r>
      <w:r w:rsidR="00484857">
        <w:rPr>
          <w:rFonts w:ascii="Palatino Linotype" w:hAnsi="Palatino Linotype" w:cs="Tahoma"/>
          <w:bCs/>
          <w:sz w:val="22"/>
          <w:szCs w:val="22"/>
        </w:rPr>
        <w:t xml:space="preserve"> en respuesta</w:t>
      </w:r>
      <w:r>
        <w:rPr>
          <w:rFonts w:ascii="Palatino Linotype" w:hAnsi="Palatino Linotype" w:cs="Tahoma"/>
          <w:bCs/>
          <w:sz w:val="22"/>
          <w:szCs w:val="22"/>
        </w:rPr>
        <w:t xml:space="preserve"> proporcionó el formato</w:t>
      </w:r>
      <w:r w:rsidR="00484857">
        <w:rPr>
          <w:rFonts w:ascii="Palatino Linotype" w:hAnsi="Palatino Linotype" w:cs="Tahoma"/>
          <w:bCs/>
          <w:sz w:val="22"/>
          <w:szCs w:val="22"/>
        </w:rPr>
        <w:t xml:space="preserve"> </w:t>
      </w:r>
      <w:r w:rsidR="00484857" w:rsidRPr="00484857">
        <w:rPr>
          <w:rFonts w:ascii="Palatino Linotype" w:hAnsi="Palatino Linotype" w:cs="Tahoma"/>
          <w:bCs/>
          <w:sz w:val="22"/>
          <w:szCs w:val="22"/>
          <w:lang w:val="es-ES"/>
        </w:rPr>
        <w:t>PbR-09a Evaluación y certificación para el control de confianza de los elementos de seguridad</w:t>
      </w:r>
      <w:r w:rsidR="00484857">
        <w:rPr>
          <w:rFonts w:ascii="Palatino Linotype" w:hAnsi="Palatino Linotype" w:cs="Tahoma"/>
          <w:bCs/>
          <w:sz w:val="22"/>
          <w:szCs w:val="22"/>
          <w:lang w:val="es-ES"/>
        </w:rPr>
        <w:t>, referente al Ejercicio Fiscal dos mil dieciocho, es decir, uno de los formatos que entregó a la Secretaría General de Gobierno para que esta pudiera genera</w:t>
      </w:r>
      <w:r w:rsidR="00480DBB">
        <w:rPr>
          <w:rFonts w:ascii="Palatino Linotype" w:hAnsi="Palatino Linotype" w:cs="Tahoma"/>
          <w:bCs/>
          <w:sz w:val="22"/>
          <w:szCs w:val="22"/>
          <w:lang w:val="es-ES"/>
        </w:rPr>
        <w:t>r</w:t>
      </w:r>
      <w:r w:rsidR="00484857">
        <w:rPr>
          <w:rFonts w:ascii="Palatino Linotype" w:hAnsi="Palatino Linotype" w:cs="Tahoma"/>
          <w:bCs/>
          <w:sz w:val="22"/>
          <w:szCs w:val="22"/>
          <w:lang w:val="es-ES"/>
        </w:rPr>
        <w:t xml:space="preserve"> e</w:t>
      </w:r>
      <w:r w:rsidR="00480DBB">
        <w:rPr>
          <w:rFonts w:ascii="Palatino Linotype" w:hAnsi="Palatino Linotype" w:cs="Tahoma"/>
          <w:bCs/>
          <w:sz w:val="22"/>
          <w:szCs w:val="22"/>
          <w:lang w:val="es-ES"/>
        </w:rPr>
        <w:t xml:space="preserve">l Programa Operativo Anual; sin embargo, durante la substanciación del presente medio de impugnación, indicó </w:t>
      </w:r>
      <w:r w:rsidR="00B34839">
        <w:rPr>
          <w:rFonts w:ascii="Palatino Linotype" w:hAnsi="Palatino Linotype" w:cs="Tahoma"/>
          <w:bCs/>
          <w:sz w:val="22"/>
          <w:szCs w:val="22"/>
          <w:lang w:val="es-ES"/>
        </w:rPr>
        <w:t xml:space="preserve">que proporcionada todos los formatos que integraban el Programa Operativo Anual. </w:t>
      </w:r>
    </w:p>
    <w:p w14:paraId="61321CDC" w14:textId="77777777" w:rsidR="00C71080" w:rsidRDefault="00C71080" w:rsidP="005F5CCA">
      <w:pPr>
        <w:spacing w:line="360" w:lineRule="auto"/>
        <w:jc w:val="both"/>
        <w:rPr>
          <w:rFonts w:ascii="Palatino Linotype" w:hAnsi="Palatino Linotype" w:cs="Tahoma"/>
          <w:bCs/>
          <w:sz w:val="22"/>
          <w:szCs w:val="22"/>
          <w:lang w:val="es-ES"/>
        </w:rPr>
      </w:pPr>
    </w:p>
    <w:p w14:paraId="20B8C917" w14:textId="77777777" w:rsidR="002E78BF" w:rsidRDefault="00B34839" w:rsidP="002E78BF">
      <w:pPr>
        <w:spacing w:line="360" w:lineRule="auto"/>
        <w:jc w:val="both"/>
        <w:rPr>
          <w:rFonts w:ascii="Palatino Linotype" w:hAnsi="Palatino Linotype" w:cs="Tahoma"/>
          <w:sz w:val="22"/>
          <w:szCs w:val="22"/>
        </w:rPr>
      </w:pPr>
      <w:r>
        <w:rPr>
          <w:rFonts w:ascii="Palatino Linotype" w:hAnsi="Palatino Linotype" w:cs="Tahoma"/>
          <w:bCs/>
          <w:sz w:val="22"/>
          <w:szCs w:val="22"/>
          <w:lang w:val="es-ES"/>
        </w:rPr>
        <w:t xml:space="preserve">En ese contexto, proporcionó los formatos </w:t>
      </w:r>
      <w:r w:rsidRPr="00B34839">
        <w:rPr>
          <w:rFonts w:ascii="Palatino Linotype" w:hAnsi="Palatino Linotype" w:cs="Tahoma"/>
          <w:bCs/>
          <w:iCs/>
          <w:sz w:val="22"/>
          <w:szCs w:val="22"/>
          <w:lang w:val="es-ES"/>
        </w:rPr>
        <w:t>PbR_01a (Fiscalización, control y evaluación interna de la gestión pública y Evaluación y certificación para el control de confianza de los elementos de seguridad), PbR_02a (Fiscalización, control y evaluación interna de la gestión pública y Evaluación y certificación para el control de confianza de los elementos de seguridad), PbR_03a, PbR_03b, PbR_09a (Fiscalización, control y evaluación interna de la gestión pública y Evaluación y certificación para el control de confianza de los elementos de seguridad)</w:t>
      </w:r>
      <w:r w:rsidR="002E78BF">
        <w:rPr>
          <w:rFonts w:ascii="Palatino Linotype" w:hAnsi="Palatino Linotype" w:cs="Tahoma"/>
          <w:bCs/>
          <w:iCs/>
          <w:sz w:val="22"/>
          <w:szCs w:val="22"/>
          <w:lang w:val="es-ES"/>
        </w:rPr>
        <w:t xml:space="preserve">. </w:t>
      </w:r>
      <w:r w:rsidR="002E78BF">
        <w:rPr>
          <w:rFonts w:ascii="Palatino Linotype" w:hAnsi="Palatino Linotype" w:cs="Tahoma"/>
          <w:sz w:val="22"/>
          <w:szCs w:val="22"/>
        </w:rPr>
        <w:t xml:space="preserve">Ante dicha situación, cabe precisar que este </w:t>
      </w:r>
      <w:r w:rsidR="002E78BF" w:rsidRPr="004E591C">
        <w:rPr>
          <w:rFonts w:ascii="Palatino Linotype" w:hAnsi="Palatino Linotype" w:cs="Tahoma"/>
          <w:sz w:val="22"/>
          <w:szCs w:val="22"/>
        </w:rPr>
        <w:t>Instituto no tiene atribuciones para pronunciarse sobre la veracidad de la información.</w:t>
      </w:r>
    </w:p>
    <w:p w14:paraId="6C073638" w14:textId="77777777" w:rsidR="002E78BF" w:rsidRPr="004E591C" w:rsidRDefault="002E78BF" w:rsidP="002E78BF">
      <w:pPr>
        <w:spacing w:line="360" w:lineRule="auto"/>
        <w:jc w:val="both"/>
        <w:rPr>
          <w:rFonts w:ascii="Palatino Linotype" w:hAnsi="Palatino Linotype" w:cs="Tahoma"/>
          <w:sz w:val="22"/>
          <w:szCs w:val="22"/>
        </w:rPr>
      </w:pPr>
    </w:p>
    <w:p w14:paraId="6BB7EB64" w14:textId="77777777" w:rsidR="002E78BF" w:rsidRPr="004E591C" w:rsidRDefault="002E78BF" w:rsidP="002E78BF">
      <w:pPr>
        <w:spacing w:line="360" w:lineRule="auto"/>
        <w:jc w:val="both"/>
        <w:rPr>
          <w:rFonts w:ascii="Palatino Linotype" w:hAnsi="Palatino Linotype" w:cs="Tahoma"/>
          <w:sz w:val="22"/>
          <w:szCs w:val="22"/>
        </w:rPr>
      </w:pPr>
      <w:r w:rsidRPr="004E591C">
        <w:rPr>
          <w:rFonts w:ascii="Palatino Linotype" w:hAnsi="Palatino Linotype" w:cs="Tahoma"/>
          <w:sz w:val="22"/>
          <w:szCs w:val="22"/>
        </w:rPr>
        <w:t>Apoya lo anterior, el Criterio histórico 31/10 del ahora denominado Instituto Nacional de Transparencia, Acceso a la Información y Protección de Datos Personales, que a continuación se cita:</w:t>
      </w:r>
    </w:p>
    <w:p w14:paraId="09CE4EA5" w14:textId="77777777" w:rsidR="002E78BF" w:rsidRPr="004E591C" w:rsidRDefault="002E78BF" w:rsidP="002E78BF">
      <w:pPr>
        <w:spacing w:line="360" w:lineRule="auto"/>
        <w:jc w:val="both"/>
        <w:rPr>
          <w:rFonts w:ascii="Palatino Linotype" w:hAnsi="Palatino Linotype" w:cs="Tahoma"/>
          <w:sz w:val="22"/>
          <w:szCs w:val="22"/>
        </w:rPr>
      </w:pPr>
    </w:p>
    <w:p w14:paraId="4AABD866" w14:textId="64998BEE" w:rsidR="002E78BF" w:rsidRPr="0069700B" w:rsidRDefault="002E78BF" w:rsidP="002E78BF">
      <w:pPr>
        <w:spacing w:line="360" w:lineRule="auto"/>
        <w:ind w:left="567" w:right="567"/>
        <w:jc w:val="both"/>
        <w:rPr>
          <w:rFonts w:ascii="Palatino Linotype" w:hAnsi="Palatino Linotype" w:cs="Tahoma"/>
          <w:i/>
        </w:rPr>
      </w:pPr>
      <w:r w:rsidRPr="0069700B">
        <w:rPr>
          <w:rFonts w:ascii="Palatino Linotype" w:hAnsi="Palatino Linotype" w:cs="Tahoma"/>
          <w:b/>
          <w:i/>
        </w:rPr>
        <w:t xml:space="preserve">“El Instituto Federal de Acceso a la Información y Protección de Datos </w:t>
      </w:r>
      <w:r w:rsidRPr="0069700B">
        <w:rPr>
          <w:rFonts w:ascii="Palatino Linotype" w:hAnsi="Palatino Linotype" w:cs="Tahoma"/>
          <w:b/>
          <w:i/>
          <w:u w:val="single"/>
        </w:rPr>
        <w:t xml:space="preserve">no cuenta con </w:t>
      </w:r>
      <w:r w:rsidRPr="0069700B">
        <w:rPr>
          <w:rFonts w:ascii="Palatino Linotype" w:hAnsi="Palatino Linotype" w:cs="Tahoma"/>
          <w:b/>
          <w:i/>
        </w:rPr>
        <w:t>facultades para pronunciarse respecto de la veracidad de los documentos proporcionados por los sujetos obligados.</w:t>
      </w:r>
      <w:r w:rsidRPr="0069700B">
        <w:rPr>
          <w:rFonts w:ascii="Palatino Linotype" w:hAnsi="Palatino Linotype" w:cs="Tahoma"/>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9342330" w14:textId="2ADFFC9C" w:rsidR="00B34839" w:rsidRPr="005C4E8B" w:rsidRDefault="00B34839" w:rsidP="005F5CCA">
      <w:pPr>
        <w:spacing w:line="360" w:lineRule="auto"/>
        <w:jc w:val="both"/>
        <w:rPr>
          <w:rFonts w:ascii="Palatino Linotype" w:hAnsi="Palatino Linotype" w:cs="Tahoma"/>
          <w:bCs/>
          <w:sz w:val="22"/>
          <w:szCs w:val="22"/>
        </w:rPr>
      </w:pPr>
    </w:p>
    <w:p w14:paraId="77427E6B" w14:textId="7939B30D" w:rsidR="005C4E8B" w:rsidRDefault="002E78BF" w:rsidP="005F5CCA">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Además, este Instituto revisó cada uno de los formatos previamente señalados y se logró advertir que todos corresponde al Ejercicio Fiscal dos mil dieciocho y que corresponden a los señalados en el </w:t>
      </w:r>
      <w:r w:rsidR="00CC7D0E" w:rsidRPr="00CC7D0E">
        <w:rPr>
          <w:rFonts w:ascii="Palatino Linotype" w:hAnsi="Palatino Linotype" w:cs="Tahoma"/>
          <w:bCs/>
          <w:sz w:val="22"/>
          <w:szCs w:val="22"/>
        </w:rPr>
        <w:t>Manual para la Formulación del Anteproyecto de Presupuesto de Egresos del Gobierno del Estado de México</w:t>
      </w:r>
      <w:r w:rsidR="00CC7D0E">
        <w:rPr>
          <w:rFonts w:ascii="Palatino Linotype" w:hAnsi="Palatino Linotype" w:cs="Tahoma"/>
          <w:bCs/>
          <w:sz w:val="22"/>
          <w:szCs w:val="22"/>
        </w:rPr>
        <w:t xml:space="preserve">, de dicho ejercicio previamente citado; por lo que, se puede concluir que el Ente Recurrido proporcionó todos los formatos que generó como Unidad Ejecutora para que estos fueran integrados al Programa Operativo Anual </w:t>
      </w:r>
      <w:r w:rsidR="00BF4559">
        <w:rPr>
          <w:rFonts w:ascii="Palatino Linotype" w:hAnsi="Palatino Linotype" w:cs="Tahoma"/>
          <w:bCs/>
          <w:sz w:val="22"/>
          <w:szCs w:val="22"/>
        </w:rPr>
        <w:t xml:space="preserve">del Ejercicio Fiscal dos mil dieciocho, </w:t>
      </w:r>
      <w:r w:rsidR="00CC7D0E">
        <w:rPr>
          <w:rFonts w:ascii="Palatino Linotype" w:hAnsi="Palatino Linotype" w:cs="Tahoma"/>
          <w:bCs/>
          <w:sz w:val="22"/>
          <w:szCs w:val="22"/>
        </w:rPr>
        <w:t>de la Secretaría General de Go</w:t>
      </w:r>
      <w:r w:rsidR="00BF4559">
        <w:rPr>
          <w:rFonts w:ascii="Palatino Linotype" w:hAnsi="Palatino Linotype" w:cs="Tahoma"/>
          <w:bCs/>
          <w:sz w:val="22"/>
          <w:szCs w:val="22"/>
        </w:rPr>
        <w:t>bierno, como Unidad Responsable; esto es, proporcionó los documentos que obran en sus archivos y que dan cuenta de lo solicitado por el Particular, dando cumplimiento al artículo 12 y 160 de la Ley de Transparencia y Acceso a la Información Pública del Estado de México Municipios.</w:t>
      </w:r>
    </w:p>
    <w:p w14:paraId="00917934" w14:textId="77777777" w:rsidR="005C4E8B" w:rsidRDefault="005C4E8B" w:rsidP="005F5CCA">
      <w:pPr>
        <w:spacing w:line="360" w:lineRule="auto"/>
        <w:jc w:val="both"/>
        <w:rPr>
          <w:rFonts w:ascii="Palatino Linotype" w:hAnsi="Palatino Linotype" w:cs="Tahoma"/>
          <w:sz w:val="22"/>
          <w:szCs w:val="22"/>
        </w:rPr>
      </w:pPr>
    </w:p>
    <w:p w14:paraId="103C4D06" w14:textId="2F83B19B" w:rsidR="003B0E11" w:rsidRDefault="00365120" w:rsidP="00564755">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tal situación, se concluye que el Sujeto Obligado durante la substanciación del medio de impugnación </w:t>
      </w:r>
      <w:r w:rsidRPr="00400A38">
        <w:rPr>
          <w:rFonts w:ascii="Palatino Linotype" w:hAnsi="Palatino Linotype" w:cs="Tahoma"/>
          <w:b/>
          <w:sz w:val="22"/>
          <w:szCs w:val="22"/>
        </w:rPr>
        <w:t>modificó su actuar y lo dejó sin materia,</w:t>
      </w:r>
      <w:r>
        <w:rPr>
          <w:rFonts w:ascii="Palatino Linotype" w:hAnsi="Palatino Linotype" w:cs="Tahoma"/>
          <w:sz w:val="22"/>
          <w:szCs w:val="22"/>
        </w:rPr>
        <w:t xml:space="preserve"> al realizar lo siguiente:</w:t>
      </w:r>
    </w:p>
    <w:p w14:paraId="27D84960" w14:textId="77777777" w:rsidR="00365120" w:rsidRDefault="00365120" w:rsidP="00564755">
      <w:pPr>
        <w:spacing w:line="360" w:lineRule="auto"/>
        <w:jc w:val="both"/>
        <w:rPr>
          <w:rFonts w:ascii="Palatino Linotype" w:hAnsi="Palatino Linotype" w:cs="Tahoma"/>
          <w:sz w:val="22"/>
          <w:szCs w:val="22"/>
        </w:rPr>
      </w:pPr>
    </w:p>
    <w:p w14:paraId="6A4156F5" w14:textId="0B1905AD" w:rsidR="00365120" w:rsidRDefault="00365120" w:rsidP="004F4D05">
      <w:pPr>
        <w:pStyle w:val="Prrafodelista"/>
        <w:numPr>
          <w:ilvl w:val="0"/>
          <w:numId w:val="6"/>
        </w:numPr>
        <w:spacing w:line="360" w:lineRule="auto"/>
        <w:jc w:val="both"/>
        <w:rPr>
          <w:rFonts w:ascii="Palatino Linotype" w:hAnsi="Palatino Linotype" w:cs="Tahoma"/>
          <w:szCs w:val="22"/>
        </w:rPr>
      </w:pPr>
      <w:r>
        <w:rPr>
          <w:rFonts w:ascii="Palatino Linotype" w:hAnsi="Palatino Linotype" w:cs="Tahoma"/>
          <w:szCs w:val="22"/>
        </w:rPr>
        <w:t>Señalara las razones por las cuales no contaba con el Programa Operativo Anual de su Unidad de Transparencia, en términos del segundo párrafo del artículo 19 de la Ley de la materia, y</w:t>
      </w:r>
    </w:p>
    <w:p w14:paraId="2817156C" w14:textId="77777777" w:rsidR="00F91AA7" w:rsidRDefault="00F91AA7" w:rsidP="00F91AA7">
      <w:pPr>
        <w:pStyle w:val="Prrafodelista"/>
        <w:spacing w:line="360" w:lineRule="auto"/>
        <w:jc w:val="both"/>
        <w:rPr>
          <w:rFonts w:ascii="Palatino Linotype" w:hAnsi="Palatino Linotype" w:cs="Tahoma"/>
          <w:szCs w:val="22"/>
        </w:rPr>
      </w:pPr>
    </w:p>
    <w:p w14:paraId="52831DBF" w14:textId="7EED671E" w:rsidR="00365120" w:rsidRPr="00365120" w:rsidRDefault="00365120" w:rsidP="004F4D05">
      <w:pPr>
        <w:pStyle w:val="Prrafodelista"/>
        <w:numPr>
          <w:ilvl w:val="0"/>
          <w:numId w:val="6"/>
        </w:numPr>
        <w:spacing w:line="360" w:lineRule="auto"/>
        <w:jc w:val="both"/>
        <w:rPr>
          <w:rFonts w:ascii="Palatino Linotype" w:hAnsi="Palatino Linotype" w:cs="Tahoma"/>
          <w:szCs w:val="22"/>
        </w:rPr>
      </w:pPr>
      <w:r>
        <w:rPr>
          <w:rFonts w:ascii="Palatino Linotype" w:hAnsi="Palatino Linotype" w:cs="Tahoma"/>
          <w:szCs w:val="22"/>
        </w:rPr>
        <w:t xml:space="preserve">Proporcionó los formatos </w:t>
      </w:r>
      <w:r w:rsidRPr="00365120">
        <w:rPr>
          <w:rFonts w:ascii="Palatino Linotype" w:hAnsi="Palatino Linotype" w:cs="Tahoma"/>
          <w:szCs w:val="22"/>
        </w:rPr>
        <w:t>PbR-1a, PbR-2a, PbR-3a y PbR-9</w:t>
      </w:r>
      <w:r w:rsidR="00F91AA7">
        <w:rPr>
          <w:rFonts w:ascii="Palatino Linotype" w:hAnsi="Palatino Linotype" w:cs="Tahoma"/>
          <w:szCs w:val="22"/>
        </w:rPr>
        <w:t xml:space="preserve">a del Ejercicio Fiscal dos mil dieciocho, los </w:t>
      </w:r>
      <w:r w:rsidR="0069700B">
        <w:rPr>
          <w:rFonts w:ascii="Palatino Linotype" w:hAnsi="Palatino Linotype" w:cs="Tahoma"/>
          <w:szCs w:val="22"/>
        </w:rPr>
        <w:t>cuales</w:t>
      </w:r>
      <w:r w:rsidR="00F91AA7">
        <w:rPr>
          <w:rFonts w:ascii="Palatino Linotype" w:hAnsi="Palatino Linotype" w:cs="Tahoma"/>
          <w:szCs w:val="22"/>
        </w:rPr>
        <w:t xml:space="preserve"> dan cuenta de lo requerido por el Solicitante, en términos de los artículos 12 y 160 de dicho </w:t>
      </w:r>
      <w:r w:rsidR="0069700B">
        <w:rPr>
          <w:rFonts w:ascii="Palatino Linotype" w:hAnsi="Palatino Linotype" w:cs="Tahoma"/>
          <w:szCs w:val="22"/>
        </w:rPr>
        <w:t>ordenamiento</w:t>
      </w:r>
      <w:r w:rsidR="00F91AA7">
        <w:rPr>
          <w:rFonts w:ascii="Palatino Linotype" w:hAnsi="Palatino Linotype" w:cs="Tahoma"/>
          <w:szCs w:val="22"/>
        </w:rPr>
        <w:t xml:space="preserve"> jurídico.</w:t>
      </w:r>
    </w:p>
    <w:p w14:paraId="74639979" w14:textId="77777777" w:rsidR="003B0E11" w:rsidRDefault="003B0E11" w:rsidP="00564755">
      <w:pPr>
        <w:spacing w:line="360" w:lineRule="auto"/>
        <w:jc w:val="both"/>
        <w:rPr>
          <w:rFonts w:ascii="Palatino Linotype" w:hAnsi="Palatino Linotype" w:cs="Tahoma"/>
          <w:sz w:val="22"/>
          <w:szCs w:val="22"/>
        </w:rPr>
      </w:pPr>
    </w:p>
    <w:p w14:paraId="3B796C9F" w14:textId="10729709" w:rsidR="00F91AA7" w:rsidRPr="00F91AA7" w:rsidRDefault="00F91AA7" w:rsidP="00F91AA7">
      <w:pPr>
        <w:spacing w:line="360" w:lineRule="auto"/>
        <w:jc w:val="both"/>
        <w:rPr>
          <w:rFonts w:ascii="Palatino Linotype" w:hAnsi="Palatino Linotype" w:cs="Tahoma"/>
          <w:sz w:val="22"/>
          <w:szCs w:val="22"/>
          <w:lang w:val="es-ES"/>
        </w:rPr>
      </w:pPr>
      <w:r w:rsidRPr="00F91AA7">
        <w:rPr>
          <w:rFonts w:ascii="Palatino Linotype" w:hAnsi="Palatino Linotype" w:cs="Tahoma"/>
          <w:sz w:val="22"/>
          <w:szCs w:val="22"/>
          <w:lang w:val="es-ES"/>
        </w:rPr>
        <w:t>De tal situación, se concluye que se actualiza la causal de sobreseimiento prevista en el artículo 192, fracción III, de la Ley de Transparencia y Acceso a la Información Pública del Estado de México y Municipios, toda vez, que el Centro de Control de Confianza del Estado de México señaló las razones por las cuales no contaba con la información</w:t>
      </w:r>
      <w:r>
        <w:rPr>
          <w:rFonts w:ascii="Palatino Linotype" w:hAnsi="Palatino Linotype" w:cs="Tahoma"/>
          <w:sz w:val="22"/>
          <w:szCs w:val="22"/>
          <w:lang w:val="es-ES"/>
        </w:rPr>
        <w:t xml:space="preserve"> requerida y proporcionó los documentos que obraban en sus archivos</w:t>
      </w:r>
      <w:r w:rsidRPr="00F91AA7">
        <w:rPr>
          <w:rFonts w:ascii="Palatino Linotype" w:hAnsi="Palatino Linotype" w:cs="Tahoma"/>
          <w:sz w:val="22"/>
          <w:szCs w:val="22"/>
          <w:lang w:val="es-ES"/>
        </w:rPr>
        <w:t xml:space="preserve">, por lo que resulta procedente </w:t>
      </w:r>
      <w:r w:rsidRPr="00F91AA7">
        <w:rPr>
          <w:rFonts w:ascii="Palatino Linotype" w:hAnsi="Palatino Linotype" w:cs="Tahoma"/>
          <w:b/>
          <w:bCs/>
          <w:iCs/>
          <w:sz w:val="22"/>
          <w:szCs w:val="22"/>
          <w:lang w:val="es-ES_tradnl"/>
        </w:rPr>
        <w:t xml:space="preserve">SOBRESEER PARCIALMENTE </w:t>
      </w:r>
      <w:r w:rsidRPr="00F91AA7">
        <w:rPr>
          <w:rFonts w:ascii="Palatino Linotype" w:hAnsi="Palatino Linotype" w:cs="Tahoma"/>
          <w:bCs/>
          <w:iCs/>
          <w:sz w:val="22"/>
          <w:szCs w:val="22"/>
          <w:lang w:val="es-ES_tradnl"/>
        </w:rPr>
        <w:t xml:space="preserve">el recurso de revisión </w:t>
      </w:r>
      <w:r w:rsidRPr="00F91AA7">
        <w:rPr>
          <w:rFonts w:ascii="Palatino Linotype" w:hAnsi="Palatino Linotype" w:cs="Tahoma"/>
          <w:b/>
          <w:bCs/>
          <w:iCs/>
          <w:sz w:val="22"/>
          <w:szCs w:val="22"/>
          <w:lang w:val="es-ES_tradnl"/>
        </w:rPr>
        <w:t>00087</w:t>
      </w:r>
      <w:r w:rsidR="00E83D1F">
        <w:rPr>
          <w:rFonts w:ascii="Palatino Linotype" w:hAnsi="Palatino Linotype" w:cs="Tahoma"/>
          <w:b/>
          <w:bCs/>
          <w:iCs/>
          <w:sz w:val="22"/>
          <w:szCs w:val="22"/>
          <w:lang w:val="es-ES_tradnl"/>
        </w:rPr>
        <w:t>2</w:t>
      </w:r>
      <w:r w:rsidRPr="00F91AA7">
        <w:rPr>
          <w:rFonts w:ascii="Palatino Linotype" w:hAnsi="Palatino Linotype" w:cs="Tahoma"/>
          <w:b/>
          <w:bCs/>
          <w:iCs/>
          <w:sz w:val="22"/>
          <w:szCs w:val="22"/>
          <w:lang w:val="es-ES_tradnl"/>
        </w:rPr>
        <w:t>/INFOEM/IP/RR/2019.</w:t>
      </w:r>
    </w:p>
    <w:p w14:paraId="2C039CF0" w14:textId="77777777" w:rsidR="003B0E11" w:rsidRDefault="003B0E11" w:rsidP="00564755">
      <w:pPr>
        <w:spacing w:line="360" w:lineRule="auto"/>
        <w:jc w:val="both"/>
        <w:rPr>
          <w:rFonts w:ascii="Palatino Linotype" w:hAnsi="Palatino Linotype" w:cs="Tahoma"/>
          <w:sz w:val="22"/>
          <w:szCs w:val="22"/>
        </w:rPr>
      </w:pPr>
    </w:p>
    <w:p w14:paraId="4325F9E8" w14:textId="77777777" w:rsidR="00400A38" w:rsidRPr="00400A38" w:rsidRDefault="00400A38" w:rsidP="00400A38">
      <w:pPr>
        <w:spacing w:line="360" w:lineRule="auto"/>
        <w:jc w:val="both"/>
        <w:rPr>
          <w:rFonts w:ascii="Palatino Linotype" w:hAnsi="Palatino Linotype" w:cs="Tahoma"/>
          <w:sz w:val="22"/>
          <w:szCs w:val="22"/>
        </w:rPr>
      </w:pPr>
      <w:r w:rsidRPr="00400A38">
        <w:rPr>
          <w:rFonts w:ascii="Palatino Linotype" w:hAnsi="Palatino Linotype" w:cs="Tahoma"/>
          <w:sz w:val="22"/>
          <w:szCs w:val="22"/>
        </w:rPr>
        <w:t xml:space="preserve">En ese orden de ideas, toda vez que no ha quedado por completo sin materia el Recurso de Revisión con número </w:t>
      </w:r>
      <w:r w:rsidRPr="00400A38">
        <w:rPr>
          <w:rFonts w:ascii="Palatino Linotype" w:hAnsi="Palatino Linotype" w:cs="Tahoma"/>
          <w:b/>
          <w:bCs/>
          <w:iCs/>
          <w:sz w:val="22"/>
          <w:szCs w:val="22"/>
          <w:lang w:val="es-ES_tradnl"/>
        </w:rPr>
        <w:t xml:space="preserve">00871/INFOEM/IP/RR/2019, </w:t>
      </w:r>
      <w:r w:rsidRPr="00400A38">
        <w:rPr>
          <w:rFonts w:ascii="Palatino Linotype" w:hAnsi="Palatino Linotype" w:cs="Tahoma"/>
          <w:bCs/>
          <w:iCs/>
          <w:sz w:val="22"/>
          <w:szCs w:val="22"/>
          <w:lang w:val="es-ES_tradnl"/>
        </w:rPr>
        <w:t xml:space="preserve">ni el diverso </w:t>
      </w:r>
      <w:r w:rsidRPr="00400A38">
        <w:rPr>
          <w:rFonts w:ascii="Palatino Linotype" w:hAnsi="Palatino Linotype" w:cs="Tahoma"/>
          <w:b/>
          <w:bCs/>
          <w:iCs/>
          <w:sz w:val="22"/>
          <w:szCs w:val="22"/>
          <w:lang w:val="es-ES_tradnl"/>
        </w:rPr>
        <w:t>000872/INFOEM/IP/RR/2019,</w:t>
      </w:r>
      <w:r w:rsidRPr="00400A38">
        <w:rPr>
          <w:rFonts w:ascii="Palatino Linotype" w:hAnsi="Palatino Linotype" w:cs="Tahoma"/>
          <w:sz w:val="22"/>
          <w:szCs w:val="22"/>
        </w:rPr>
        <w:t xml:space="preserve"> se considera procedente entrar al fondo del presente asunto, al no quedar sin materia.</w:t>
      </w:r>
    </w:p>
    <w:p w14:paraId="21A85EE8" w14:textId="77777777" w:rsidR="003B0E11" w:rsidRDefault="003B0E11" w:rsidP="00564755">
      <w:pPr>
        <w:spacing w:line="360" w:lineRule="auto"/>
        <w:jc w:val="both"/>
        <w:rPr>
          <w:rFonts w:ascii="Palatino Linotype" w:hAnsi="Palatino Linotype" w:cs="Tahoma"/>
          <w:sz w:val="22"/>
          <w:szCs w:val="22"/>
        </w:rPr>
      </w:pPr>
    </w:p>
    <w:p w14:paraId="0A92A0AD" w14:textId="77777777" w:rsidR="00400A38" w:rsidRPr="00D00D35" w:rsidRDefault="00400A38" w:rsidP="00400A38">
      <w:pPr>
        <w:tabs>
          <w:tab w:val="left" w:pos="4962"/>
        </w:tabs>
        <w:spacing w:line="360" w:lineRule="auto"/>
        <w:jc w:val="both"/>
        <w:rPr>
          <w:rFonts w:ascii="Palatino Linotype" w:eastAsia="Calibri" w:hAnsi="Palatino Linotype" w:cs="Tahoma"/>
          <w:b/>
          <w:iCs/>
          <w:sz w:val="22"/>
          <w:szCs w:val="22"/>
          <w:lang w:val="es-ES" w:eastAsia="es-ES_tradnl"/>
        </w:rPr>
      </w:pPr>
      <w:r w:rsidRPr="00D00D35">
        <w:rPr>
          <w:rFonts w:ascii="Palatino Linotype" w:eastAsia="Calibri" w:hAnsi="Palatino Linotype" w:cs="Tahoma"/>
          <w:b/>
          <w:iCs/>
          <w:sz w:val="22"/>
          <w:szCs w:val="22"/>
          <w:lang w:val="es-ES" w:eastAsia="es-ES_tradnl"/>
        </w:rPr>
        <w:t xml:space="preserve">TERCERO. Determinación de la Controversia. </w:t>
      </w:r>
    </w:p>
    <w:p w14:paraId="362AB8E8" w14:textId="77777777" w:rsidR="00400A38" w:rsidRPr="00D00D35" w:rsidRDefault="00400A38" w:rsidP="00400A38">
      <w:pPr>
        <w:tabs>
          <w:tab w:val="left" w:pos="4962"/>
        </w:tabs>
        <w:spacing w:line="360" w:lineRule="auto"/>
        <w:jc w:val="both"/>
        <w:rPr>
          <w:rFonts w:ascii="Palatino Linotype" w:eastAsia="Calibri" w:hAnsi="Palatino Linotype" w:cs="Tahoma"/>
          <w:b/>
          <w:iCs/>
          <w:sz w:val="22"/>
          <w:szCs w:val="22"/>
          <w:lang w:val="es-ES" w:eastAsia="es-ES_tradnl"/>
        </w:rPr>
      </w:pPr>
    </w:p>
    <w:p w14:paraId="20046EA1" w14:textId="77777777" w:rsidR="00400A38" w:rsidRDefault="00400A38" w:rsidP="00400A38">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eastAsia="Calibri" w:hAnsi="Palatino Linotype" w:cs="Tahoma"/>
          <w:iCs/>
          <w:sz w:val="22"/>
          <w:szCs w:val="22"/>
          <w:lang w:val="es-ES" w:eastAsia="es-ES_tradnl"/>
        </w:rPr>
        <w:t>Una vez realizado el estudio de las constancias que integran el expediente en que se actúa y con finalidad de tener claridad en lo solicitado, la respuesta del Sujeto Obligado y los agravios hechos valer por el Particular, se desarrolla el siguiente cuadro:</w:t>
      </w:r>
    </w:p>
    <w:p w14:paraId="75A0C5C0" w14:textId="77777777" w:rsidR="009F3FAC" w:rsidRPr="009F3FAC" w:rsidRDefault="009F3FAC" w:rsidP="009F3FAC">
      <w:pPr>
        <w:spacing w:line="360" w:lineRule="auto"/>
        <w:jc w:val="both"/>
        <w:rPr>
          <w:rFonts w:ascii="Palatino Linotype" w:hAnsi="Palatino Linotype" w:cs="Tahoma"/>
          <w:iCs/>
          <w:sz w:val="22"/>
          <w:szCs w:val="22"/>
          <w:lang w:val="es-ES"/>
        </w:rPr>
      </w:pPr>
    </w:p>
    <w:tbl>
      <w:tblPr>
        <w:tblStyle w:val="Tablaconcuadrcula"/>
        <w:tblpPr w:leftFromText="141" w:rightFromText="141" w:vertAnchor="text" w:tblpY="1"/>
        <w:tblOverlap w:val="never"/>
        <w:tblW w:w="9067" w:type="dxa"/>
        <w:tblLook w:val="04A0" w:firstRow="1" w:lastRow="0" w:firstColumn="1" w:lastColumn="0" w:noHBand="0" w:noVBand="1"/>
      </w:tblPr>
      <w:tblGrid>
        <w:gridCol w:w="3022"/>
        <w:gridCol w:w="3022"/>
        <w:gridCol w:w="3023"/>
      </w:tblGrid>
      <w:tr w:rsidR="008518DA" w:rsidRPr="009F3FAC" w14:paraId="063F583B" w14:textId="77777777" w:rsidTr="00535625">
        <w:trPr>
          <w:trHeight w:val="1517"/>
        </w:trPr>
        <w:tc>
          <w:tcPr>
            <w:tcW w:w="9067" w:type="dxa"/>
            <w:gridSpan w:val="3"/>
            <w:shd w:val="clear" w:color="auto" w:fill="D9D9D9"/>
          </w:tcPr>
          <w:p w14:paraId="754768FE" w14:textId="77777777" w:rsidR="008518DA" w:rsidRDefault="008518DA" w:rsidP="009F3FAC">
            <w:pPr>
              <w:spacing w:line="360" w:lineRule="auto"/>
              <w:jc w:val="center"/>
              <w:rPr>
                <w:rFonts w:ascii="Palatino Linotype" w:hAnsi="Palatino Linotype" w:cs="Tahoma"/>
                <w:b/>
              </w:rPr>
            </w:pPr>
            <w:r w:rsidRPr="009F3FAC">
              <w:rPr>
                <w:rFonts w:ascii="Palatino Linotype" w:hAnsi="Palatino Linotype" w:cs="Tahoma"/>
                <w:b/>
              </w:rPr>
              <w:t xml:space="preserve">Solicitud de información </w:t>
            </w:r>
            <w:r w:rsidRPr="009F3FAC">
              <w:rPr>
                <w:rFonts w:ascii="Palatino Linotype" w:hAnsi="Palatino Linotype" w:cs="Tahoma"/>
                <w:b/>
                <w:bCs/>
                <w:lang w:val="es-MX"/>
              </w:rPr>
              <w:t>00002/CCCEM/IP/2019</w:t>
            </w:r>
            <w:r w:rsidRPr="009F3FAC">
              <w:rPr>
                <w:rFonts w:ascii="Palatino Linotype" w:hAnsi="Palatino Linotype" w:cs="Tahoma"/>
                <w:b/>
              </w:rPr>
              <w:t xml:space="preserve"> </w:t>
            </w:r>
          </w:p>
          <w:p w14:paraId="1D41F421" w14:textId="4F93DD58" w:rsidR="008518DA" w:rsidRPr="009F3FAC" w:rsidRDefault="008518DA" w:rsidP="008518DA">
            <w:pPr>
              <w:spacing w:line="360" w:lineRule="auto"/>
              <w:jc w:val="both"/>
              <w:rPr>
                <w:rFonts w:ascii="Palatino Linotype" w:hAnsi="Palatino Linotype" w:cs="Tahoma"/>
                <w:b/>
              </w:rPr>
            </w:pPr>
            <w:r w:rsidRPr="009F3FAC">
              <w:rPr>
                <w:rFonts w:ascii="Palatino Linotype" w:hAnsi="Palatino Linotype" w:cs="Tahoma"/>
                <w:b/>
              </w:rPr>
              <w:t>Respecto a la Ley de Planeación del Estado de México y el Manual para la Planeación, Programación y Presupuesto de Egresos Municipal para el Ejercicio Fiscal dos mil dieciocho, lo siguiente:</w:t>
            </w:r>
          </w:p>
        </w:tc>
      </w:tr>
      <w:tr w:rsidR="009F3FAC" w:rsidRPr="009F3FAC" w14:paraId="26354A39" w14:textId="77777777" w:rsidTr="008518DA">
        <w:trPr>
          <w:trHeight w:val="763"/>
        </w:trPr>
        <w:tc>
          <w:tcPr>
            <w:tcW w:w="3022" w:type="dxa"/>
            <w:shd w:val="clear" w:color="auto" w:fill="D9D9D9"/>
          </w:tcPr>
          <w:p w14:paraId="33CF589A" w14:textId="77777777" w:rsidR="009F3FAC" w:rsidRPr="009F3FAC" w:rsidRDefault="009F3FAC" w:rsidP="009F3FAC">
            <w:pPr>
              <w:spacing w:line="360" w:lineRule="auto"/>
              <w:jc w:val="center"/>
              <w:rPr>
                <w:rFonts w:ascii="Palatino Linotype" w:hAnsi="Palatino Linotype" w:cs="Tahoma"/>
                <w:b/>
              </w:rPr>
            </w:pPr>
            <w:r w:rsidRPr="009F3FAC">
              <w:rPr>
                <w:rFonts w:ascii="Palatino Linotype" w:hAnsi="Palatino Linotype" w:cs="Tahoma"/>
                <w:b/>
              </w:rPr>
              <w:t>Solicitud</w:t>
            </w:r>
          </w:p>
          <w:p w14:paraId="3486DD8B" w14:textId="39B32DA0" w:rsidR="009F3FAC" w:rsidRPr="009F3FAC" w:rsidRDefault="009F3FAC" w:rsidP="009F3FAC">
            <w:pPr>
              <w:spacing w:line="360" w:lineRule="auto"/>
              <w:jc w:val="center"/>
              <w:rPr>
                <w:rFonts w:ascii="Palatino Linotype" w:hAnsi="Palatino Linotype" w:cs="Tahoma"/>
                <w:b/>
              </w:rPr>
            </w:pPr>
          </w:p>
        </w:tc>
        <w:tc>
          <w:tcPr>
            <w:tcW w:w="3022" w:type="dxa"/>
            <w:shd w:val="clear" w:color="auto" w:fill="D9D9D9"/>
          </w:tcPr>
          <w:p w14:paraId="34EDEFEB" w14:textId="0033B396" w:rsidR="009F3FAC" w:rsidRPr="009F3FAC" w:rsidRDefault="009F3FAC" w:rsidP="009F3FAC">
            <w:pPr>
              <w:spacing w:line="360" w:lineRule="auto"/>
              <w:jc w:val="center"/>
              <w:rPr>
                <w:rFonts w:ascii="Palatino Linotype" w:hAnsi="Palatino Linotype" w:cs="Tahoma"/>
                <w:b/>
              </w:rPr>
            </w:pPr>
            <w:r w:rsidRPr="009F3FAC">
              <w:rPr>
                <w:rFonts w:ascii="Palatino Linotype" w:hAnsi="Palatino Linotype" w:cs="Tahoma"/>
                <w:b/>
              </w:rPr>
              <w:t>Respuesta</w:t>
            </w:r>
          </w:p>
        </w:tc>
        <w:tc>
          <w:tcPr>
            <w:tcW w:w="3023" w:type="dxa"/>
            <w:shd w:val="clear" w:color="auto" w:fill="D9D9D9"/>
          </w:tcPr>
          <w:p w14:paraId="2719DCB8" w14:textId="77777777" w:rsidR="009F3FAC" w:rsidRPr="009F3FAC" w:rsidRDefault="009F3FAC" w:rsidP="009F3FAC">
            <w:pPr>
              <w:spacing w:line="360" w:lineRule="auto"/>
              <w:jc w:val="center"/>
              <w:rPr>
                <w:rFonts w:ascii="Palatino Linotype" w:hAnsi="Palatino Linotype" w:cs="Tahoma"/>
                <w:b/>
              </w:rPr>
            </w:pPr>
            <w:r w:rsidRPr="009F3FAC">
              <w:rPr>
                <w:rFonts w:ascii="Palatino Linotype" w:hAnsi="Palatino Linotype" w:cs="Tahoma"/>
                <w:b/>
              </w:rPr>
              <w:t>Agravios manifestados por el Recurrente</w:t>
            </w:r>
          </w:p>
        </w:tc>
      </w:tr>
      <w:tr w:rsidR="009F3FAC" w:rsidRPr="009F3FAC" w14:paraId="0AB92214" w14:textId="77777777" w:rsidTr="00F04874">
        <w:tc>
          <w:tcPr>
            <w:tcW w:w="3022" w:type="dxa"/>
            <w:shd w:val="clear" w:color="auto" w:fill="auto"/>
          </w:tcPr>
          <w:p w14:paraId="123537E3" w14:textId="77777777" w:rsidR="009F3FAC" w:rsidRPr="009F3FAC" w:rsidRDefault="009F3FAC" w:rsidP="009F3FAC">
            <w:pPr>
              <w:spacing w:line="360" w:lineRule="auto"/>
              <w:jc w:val="both"/>
              <w:rPr>
                <w:rFonts w:ascii="Palatino Linotype" w:hAnsi="Palatino Linotype" w:cs="Tahoma"/>
              </w:rPr>
            </w:pPr>
            <w:r w:rsidRPr="009F3FAC">
              <w:rPr>
                <w:rFonts w:ascii="Palatino Linotype" w:hAnsi="Palatino Linotype" w:cs="Tahoma"/>
                <w:b/>
              </w:rPr>
              <w:t xml:space="preserve">1. </w:t>
            </w:r>
            <w:r w:rsidRPr="009F3FAC">
              <w:rPr>
                <w:rFonts w:ascii="Palatino Linotype" w:hAnsi="Palatino Linotype" w:cs="Tahoma"/>
              </w:rPr>
              <w:t>Programa Operativo Anual de la Unidad de Transparencia del Centro de Control de Confianza del Estado de México.</w:t>
            </w:r>
          </w:p>
        </w:tc>
        <w:tc>
          <w:tcPr>
            <w:tcW w:w="6045" w:type="dxa"/>
            <w:gridSpan w:val="2"/>
            <w:shd w:val="clear" w:color="auto" w:fill="auto"/>
          </w:tcPr>
          <w:p w14:paraId="1EADC05B" w14:textId="77777777" w:rsidR="009F3FAC" w:rsidRPr="009F3FAC" w:rsidRDefault="009F3FAC" w:rsidP="009F3FAC">
            <w:pPr>
              <w:spacing w:line="360" w:lineRule="auto"/>
              <w:jc w:val="both"/>
              <w:rPr>
                <w:rFonts w:ascii="Palatino Linotype" w:hAnsi="Palatino Linotype" w:cs="Tahoma"/>
                <w:b/>
              </w:rPr>
            </w:pPr>
            <w:r w:rsidRPr="009F3FAC">
              <w:rPr>
                <w:rFonts w:ascii="Palatino Linotype" w:hAnsi="Palatino Linotype" w:cs="Tahoma"/>
              </w:rPr>
              <w:t>Como se estableció en el Considerando Segundo, dicho requerimiento quedo sin materia, en términos del artículo 192, fracción III, de la Ley de la materia.</w:t>
            </w:r>
          </w:p>
        </w:tc>
      </w:tr>
    </w:tbl>
    <w:p w14:paraId="7E570F26" w14:textId="77777777" w:rsidR="008518DA" w:rsidRDefault="008518DA">
      <w:r>
        <w:br w:type="page"/>
      </w:r>
    </w:p>
    <w:p w14:paraId="6CED1738" w14:textId="77777777" w:rsidR="008518DA" w:rsidRDefault="008518DA"/>
    <w:tbl>
      <w:tblPr>
        <w:tblStyle w:val="Tablaconcuadrcula"/>
        <w:tblpPr w:leftFromText="141" w:rightFromText="141" w:vertAnchor="text" w:tblpY="1"/>
        <w:tblOverlap w:val="never"/>
        <w:tblW w:w="9067" w:type="dxa"/>
        <w:tblLook w:val="04A0" w:firstRow="1" w:lastRow="0" w:firstColumn="1" w:lastColumn="0" w:noHBand="0" w:noVBand="1"/>
      </w:tblPr>
      <w:tblGrid>
        <w:gridCol w:w="3022"/>
        <w:gridCol w:w="3022"/>
        <w:gridCol w:w="3023"/>
      </w:tblGrid>
      <w:tr w:rsidR="008518DA" w:rsidRPr="009F3FAC" w14:paraId="042974A7" w14:textId="77777777" w:rsidTr="008518DA">
        <w:tc>
          <w:tcPr>
            <w:tcW w:w="3022" w:type="dxa"/>
            <w:shd w:val="clear" w:color="auto" w:fill="D9D9D9" w:themeFill="background1" w:themeFillShade="D9"/>
          </w:tcPr>
          <w:p w14:paraId="223082B9" w14:textId="70E78E9D" w:rsidR="008518DA" w:rsidRPr="009F3FAC" w:rsidRDefault="008518DA" w:rsidP="008518DA">
            <w:pPr>
              <w:spacing w:line="360" w:lineRule="auto"/>
              <w:jc w:val="center"/>
              <w:rPr>
                <w:rFonts w:ascii="Palatino Linotype" w:hAnsi="Palatino Linotype" w:cs="Tahoma"/>
                <w:b/>
              </w:rPr>
            </w:pPr>
            <w:r w:rsidRPr="009F3FAC">
              <w:rPr>
                <w:rFonts w:ascii="Palatino Linotype" w:hAnsi="Palatino Linotype" w:cs="Tahoma"/>
                <w:b/>
              </w:rPr>
              <w:t>Solicitud</w:t>
            </w:r>
          </w:p>
          <w:p w14:paraId="478BCA93" w14:textId="77777777" w:rsidR="008518DA" w:rsidRPr="009F3FAC" w:rsidRDefault="008518DA" w:rsidP="008518DA">
            <w:pPr>
              <w:spacing w:line="360" w:lineRule="auto"/>
              <w:jc w:val="center"/>
              <w:rPr>
                <w:rFonts w:ascii="Palatino Linotype" w:hAnsi="Palatino Linotype" w:cs="Tahoma"/>
                <w:b/>
              </w:rPr>
            </w:pPr>
          </w:p>
        </w:tc>
        <w:tc>
          <w:tcPr>
            <w:tcW w:w="3022" w:type="dxa"/>
            <w:shd w:val="clear" w:color="auto" w:fill="D9D9D9" w:themeFill="background1" w:themeFillShade="D9"/>
          </w:tcPr>
          <w:p w14:paraId="58E74749" w14:textId="3A13A52F" w:rsidR="008518DA" w:rsidRPr="009F3FAC" w:rsidRDefault="008518DA" w:rsidP="008518DA">
            <w:pPr>
              <w:spacing w:line="360" w:lineRule="auto"/>
              <w:jc w:val="center"/>
              <w:rPr>
                <w:rFonts w:ascii="Palatino Linotype" w:hAnsi="Palatino Linotype" w:cs="Tahoma"/>
              </w:rPr>
            </w:pPr>
            <w:r w:rsidRPr="009F3FAC">
              <w:rPr>
                <w:rFonts w:ascii="Palatino Linotype" w:hAnsi="Palatino Linotype" w:cs="Tahoma"/>
                <w:b/>
              </w:rPr>
              <w:t>Respuesta</w:t>
            </w:r>
          </w:p>
        </w:tc>
        <w:tc>
          <w:tcPr>
            <w:tcW w:w="3023" w:type="dxa"/>
            <w:shd w:val="clear" w:color="auto" w:fill="D9D9D9" w:themeFill="background1" w:themeFillShade="D9"/>
          </w:tcPr>
          <w:p w14:paraId="3BA6AC36" w14:textId="1EB4DBD6" w:rsidR="008518DA" w:rsidRPr="009F3FAC" w:rsidRDefault="008518DA" w:rsidP="008518DA">
            <w:pPr>
              <w:spacing w:line="360" w:lineRule="auto"/>
              <w:jc w:val="center"/>
              <w:rPr>
                <w:rFonts w:ascii="Palatino Linotype" w:hAnsi="Palatino Linotype" w:cs="Tahoma"/>
              </w:rPr>
            </w:pPr>
            <w:r w:rsidRPr="009F3FAC">
              <w:rPr>
                <w:rFonts w:ascii="Palatino Linotype" w:hAnsi="Palatino Linotype" w:cs="Tahoma"/>
                <w:b/>
              </w:rPr>
              <w:t>Agravios manifestados por el Recurrente</w:t>
            </w:r>
          </w:p>
        </w:tc>
      </w:tr>
      <w:tr w:rsidR="008518DA" w:rsidRPr="009F3FAC" w14:paraId="43E5423E" w14:textId="77777777" w:rsidTr="00F04874">
        <w:tc>
          <w:tcPr>
            <w:tcW w:w="3022" w:type="dxa"/>
            <w:shd w:val="clear" w:color="auto" w:fill="auto"/>
          </w:tcPr>
          <w:p w14:paraId="7B5D0386" w14:textId="77777777" w:rsidR="008518DA" w:rsidRPr="009F3FAC" w:rsidRDefault="008518DA" w:rsidP="008518DA">
            <w:pPr>
              <w:spacing w:line="360" w:lineRule="auto"/>
              <w:jc w:val="both"/>
              <w:rPr>
                <w:rFonts w:ascii="Palatino Linotype" w:hAnsi="Palatino Linotype" w:cs="Tahoma"/>
              </w:rPr>
            </w:pPr>
            <w:r w:rsidRPr="009F3FAC">
              <w:rPr>
                <w:rFonts w:ascii="Palatino Linotype" w:hAnsi="Palatino Linotype" w:cs="Tahoma"/>
                <w:b/>
              </w:rPr>
              <w:t xml:space="preserve">2. </w:t>
            </w:r>
            <w:r w:rsidRPr="009F3FAC">
              <w:rPr>
                <w:rFonts w:ascii="Palatino Linotype" w:hAnsi="Palatino Linotype" w:cs="Tahoma"/>
              </w:rPr>
              <w:t>Formatos PbRM-1a, PbRM-1b, PbRM-1c, PbRM-1d, PbRM- 1e y PbRM-02a.</w:t>
            </w:r>
          </w:p>
        </w:tc>
        <w:tc>
          <w:tcPr>
            <w:tcW w:w="3022" w:type="dxa"/>
            <w:shd w:val="clear" w:color="auto" w:fill="auto"/>
          </w:tcPr>
          <w:p w14:paraId="3A5D169A" w14:textId="77777777" w:rsidR="008518DA" w:rsidRPr="009F3FAC" w:rsidRDefault="008518DA" w:rsidP="008518DA">
            <w:pPr>
              <w:spacing w:line="360" w:lineRule="auto"/>
              <w:jc w:val="both"/>
              <w:rPr>
                <w:rFonts w:ascii="Palatino Linotype" w:hAnsi="Palatino Linotype" w:cs="Tahoma"/>
              </w:rPr>
            </w:pPr>
            <w:r w:rsidRPr="009F3FAC">
              <w:rPr>
                <w:rFonts w:ascii="Palatino Linotype" w:hAnsi="Palatino Linotype" w:cs="Tahoma"/>
              </w:rPr>
              <w:t>Precisó que en términos del artículo 12 de la Ley de Transparencia y Acceso a la Información Pública del Estado de México y Municipios, no generaba, administraba, procesaba, archivaba o conservaba los formatos requeridos, al ir estos enfocados directamente al ámbito municipal, mientras que el Centro de Control de Confianza del Estado de México, era de ámbito municipal.</w:t>
            </w:r>
          </w:p>
        </w:tc>
        <w:tc>
          <w:tcPr>
            <w:tcW w:w="3023" w:type="dxa"/>
            <w:shd w:val="clear" w:color="auto" w:fill="auto"/>
          </w:tcPr>
          <w:p w14:paraId="2038F394" w14:textId="77777777" w:rsidR="008518DA" w:rsidRPr="009F3FAC" w:rsidRDefault="008518DA" w:rsidP="008518DA">
            <w:pPr>
              <w:spacing w:line="360" w:lineRule="auto"/>
              <w:jc w:val="both"/>
              <w:rPr>
                <w:rFonts w:ascii="Palatino Linotype" w:hAnsi="Palatino Linotype" w:cs="Tahoma"/>
              </w:rPr>
            </w:pPr>
            <w:r w:rsidRPr="009F3FAC">
              <w:rPr>
                <w:rFonts w:ascii="Palatino Linotype" w:hAnsi="Palatino Linotype" w:cs="Tahoma"/>
              </w:rPr>
              <w:t>No se entregó la información requerida.</w:t>
            </w:r>
          </w:p>
        </w:tc>
      </w:tr>
    </w:tbl>
    <w:p w14:paraId="4D2B1752" w14:textId="43EEE89E" w:rsidR="009F3FAC" w:rsidRPr="009F3FAC" w:rsidRDefault="009F3FAC" w:rsidP="009F3FAC">
      <w:pPr>
        <w:spacing w:line="360" w:lineRule="auto"/>
        <w:jc w:val="both"/>
        <w:rPr>
          <w:rFonts w:ascii="Palatino Linotype" w:hAnsi="Palatino Linotype" w:cs="Tahoma"/>
        </w:rPr>
      </w:pPr>
    </w:p>
    <w:tbl>
      <w:tblPr>
        <w:tblStyle w:val="Tablaconcuadrcula"/>
        <w:tblW w:w="9067" w:type="dxa"/>
        <w:tblLook w:val="04A0" w:firstRow="1" w:lastRow="0" w:firstColumn="1" w:lastColumn="0" w:noHBand="0" w:noVBand="1"/>
      </w:tblPr>
      <w:tblGrid>
        <w:gridCol w:w="3022"/>
        <w:gridCol w:w="3022"/>
        <w:gridCol w:w="3023"/>
      </w:tblGrid>
      <w:tr w:rsidR="009F3FAC" w:rsidRPr="009F3FAC" w14:paraId="3CA22B2C" w14:textId="77777777" w:rsidTr="00F04874">
        <w:tc>
          <w:tcPr>
            <w:tcW w:w="9067" w:type="dxa"/>
            <w:gridSpan w:val="3"/>
            <w:shd w:val="clear" w:color="auto" w:fill="D9D9D9" w:themeFill="background1" w:themeFillShade="D9"/>
          </w:tcPr>
          <w:p w14:paraId="092A739E" w14:textId="77777777" w:rsidR="009F3FAC" w:rsidRPr="009F3FAC" w:rsidRDefault="009F3FAC" w:rsidP="008B2DA6">
            <w:pPr>
              <w:spacing w:line="360" w:lineRule="auto"/>
              <w:jc w:val="center"/>
              <w:rPr>
                <w:rFonts w:ascii="Palatino Linotype" w:hAnsi="Palatino Linotype" w:cs="Tahoma"/>
                <w:b/>
              </w:rPr>
            </w:pPr>
            <w:r w:rsidRPr="009F3FAC">
              <w:rPr>
                <w:rFonts w:ascii="Palatino Linotype" w:hAnsi="Palatino Linotype" w:cs="Tahoma"/>
                <w:b/>
              </w:rPr>
              <w:t>Solicitud de información 00003/CCCEM/IP/2019</w:t>
            </w:r>
          </w:p>
        </w:tc>
      </w:tr>
      <w:tr w:rsidR="008518DA" w:rsidRPr="009F3FAC" w14:paraId="1B068DC8" w14:textId="77777777" w:rsidTr="008518DA">
        <w:tc>
          <w:tcPr>
            <w:tcW w:w="3022" w:type="dxa"/>
            <w:shd w:val="clear" w:color="auto" w:fill="D9D9D9" w:themeFill="background1" w:themeFillShade="D9"/>
          </w:tcPr>
          <w:p w14:paraId="3C1A1BBC" w14:textId="77777777" w:rsidR="008518DA" w:rsidRPr="009F3FAC" w:rsidRDefault="008518DA" w:rsidP="008518DA">
            <w:pPr>
              <w:spacing w:line="360" w:lineRule="auto"/>
              <w:jc w:val="center"/>
              <w:rPr>
                <w:rFonts w:ascii="Palatino Linotype" w:hAnsi="Palatino Linotype" w:cs="Tahoma"/>
                <w:b/>
              </w:rPr>
            </w:pPr>
            <w:r w:rsidRPr="009F3FAC">
              <w:rPr>
                <w:rFonts w:ascii="Palatino Linotype" w:hAnsi="Palatino Linotype" w:cs="Tahoma"/>
                <w:b/>
              </w:rPr>
              <w:t>Solicitud</w:t>
            </w:r>
          </w:p>
          <w:p w14:paraId="770B4187" w14:textId="77777777" w:rsidR="008518DA" w:rsidRPr="009F3FAC" w:rsidRDefault="008518DA" w:rsidP="008518DA">
            <w:pPr>
              <w:spacing w:line="360" w:lineRule="auto"/>
              <w:jc w:val="center"/>
              <w:rPr>
                <w:rFonts w:ascii="Palatino Linotype" w:hAnsi="Palatino Linotype" w:cs="Tahoma"/>
                <w:b/>
              </w:rPr>
            </w:pPr>
          </w:p>
        </w:tc>
        <w:tc>
          <w:tcPr>
            <w:tcW w:w="3022" w:type="dxa"/>
            <w:shd w:val="clear" w:color="auto" w:fill="D9D9D9" w:themeFill="background1" w:themeFillShade="D9"/>
          </w:tcPr>
          <w:p w14:paraId="05DDC0A6" w14:textId="50A6DA28" w:rsidR="008518DA" w:rsidRPr="009F3FAC" w:rsidRDefault="008518DA" w:rsidP="008518DA">
            <w:pPr>
              <w:spacing w:line="360" w:lineRule="auto"/>
              <w:jc w:val="center"/>
              <w:rPr>
                <w:rFonts w:ascii="Palatino Linotype" w:hAnsi="Palatino Linotype" w:cs="Tahoma"/>
              </w:rPr>
            </w:pPr>
            <w:r w:rsidRPr="009F3FAC">
              <w:rPr>
                <w:rFonts w:ascii="Palatino Linotype" w:hAnsi="Palatino Linotype" w:cs="Tahoma"/>
                <w:b/>
              </w:rPr>
              <w:t>Respuesta</w:t>
            </w:r>
          </w:p>
        </w:tc>
        <w:tc>
          <w:tcPr>
            <w:tcW w:w="3023" w:type="dxa"/>
            <w:shd w:val="clear" w:color="auto" w:fill="D9D9D9" w:themeFill="background1" w:themeFillShade="D9"/>
          </w:tcPr>
          <w:p w14:paraId="2734434C" w14:textId="2C0C08B9" w:rsidR="008518DA" w:rsidRPr="009F3FAC" w:rsidRDefault="008518DA" w:rsidP="008518DA">
            <w:pPr>
              <w:spacing w:line="360" w:lineRule="auto"/>
              <w:jc w:val="center"/>
              <w:rPr>
                <w:rFonts w:ascii="Palatino Linotype" w:hAnsi="Palatino Linotype" w:cs="Tahoma"/>
              </w:rPr>
            </w:pPr>
            <w:r w:rsidRPr="009F3FAC">
              <w:rPr>
                <w:rFonts w:ascii="Palatino Linotype" w:hAnsi="Palatino Linotype" w:cs="Tahoma"/>
                <w:b/>
              </w:rPr>
              <w:t>Agravios manifestados por el Recurrente</w:t>
            </w:r>
          </w:p>
        </w:tc>
      </w:tr>
      <w:tr w:rsidR="009F3FAC" w:rsidRPr="009F3FAC" w14:paraId="6E6700CE" w14:textId="77777777" w:rsidTr="00F04874">
        <w:tc>
          <w:tcPr>
            <w:tcW w:w="3022" w:type="dxa"/>
            <w:shd w:val="clear" w:color="auto" w:fill="auto"/>
          </w:tcPr>
          <w:p w14:paraId="345F085C" w14:textId="77777777" w:rsidR="009F3FAC" w:rsidRPr="009F3FAC" w:rsidRDefault="009F3FAC" w:rsidP="009F3FAC">
            <w:pPr>
              <w:spacing w:line="360" w:lineRule="auto"/>
              <w:jc w:val="both"/>
              <w:rPr>
                <w:rFonts w:ascii="Palatino Linotype" w:hAnsi="Palatino Linotype" w:cs="Tahoma"/>
              </w:rPr>
            </w:pPr>
            <w:r w:rsidRPr="009F3FAC">
              <w:rPr>
                <w:rFonts w:ascii="Palatino Linotype" w:hAnsi="Palatino Linotype" w:cs="Tahoma"/>
                <w:b/>
              </w:rPr>
              <w:t xml:space="preserve">3. </w:t>
            </w:r>
            <w:r w:rsidRPr="009F3FAC">
              <w:rPr>
                <w:rFonts w:ascii="Palatino Linotype" w:hAnsi="Palatino Linotype" w:cs="Tahoma"/>
              </w:rPr>
              <w:t>Programa Operativo Anual de las áreas del Centro de Control de Confianza del Estado de México.</w:t>
            </w:r>
          </w:p>
        </w:tc>
        <w:tc>
          <w:tcPr>
            <w:tcW w:w="3022" w:type="dxa"/>
            <w:shd w:val="clear" w:color="auto" w:fill="auto"/>
          </w:tcPr>
          <w:p w14:paraId="3CD06EF0" w14:textId="77777777" w:rsidR="009F3FAC" w:rsidRPr="009F3FAC" w:rsidRDefault="009F3FAC" w:rsidP="009F3FAC">
            <w:pPr>
              <w:spacing w:line="360" w:lineRule="auto"/>
              <w:jc w:val="both"/>
              <w:rPr>
                <w:rFonts w:ascii="Palatino Linotype" w:hAnsi="Palatino Linotype" w:cs="Tahoma"/>
              </w:rPr>
            </w:pPr>
            <w:r w:rsidRPr="009F3FAC">
              <w:rPr>
                <w:rFonts w:ascii="Palatino Linotype" w:hAnsi="Palatino Linotype" w:cs="Tahoma"/>
              </w:rPr>
              <w:t>Formato PbR-09a Evaluación y certificación para el control de confianza de los elementos de seguridad.</w:t>
            </w:r>
          </w:p>
        </w:tc>
        <w:tc>
          <w:tcPr>
            <w:tcW w:w="3023" w:type="dxa"/>
            <w:shd w:val="clear" w:color="auto" w:fill="auto"/>
          </w:tcPr>
          <w:p w14:paraId="233CCBE6" w14:textId="77777777" w:rsidR="009F3FAC" w:rsidRPr="009F3FAC" w:rsidRDefault="009F3FAC" w:rsidP="009F3FAC">
            <w:pPr>
              <w:spacing w:line="360" w:lineRule="auto"/>
              <w:jc w:val="both"/>
              <w:rPr>
                <w:rFonts w:ascii="Palatino Linotype" w:hAnsi="Palatino Linotype" w:cs="Tahoma"/>
              </w:rPr>
            </w:pPr>
            <w:r w:rsidRPr="009F3FAC">
              <w:rPr>
                <w:rFonts w:ascii="Palatino Linotype" w:hAnsi="Palatino Linotype" w:cs="Tahoma"/>
              </w:rPr>
              <w:t>Sin agravio.</w:t>
            </w:r>
          </w:p>
        </w:tc>
      </w:tr>
    </w:tbl>
    <w:p w14:paraId="4FD5F80F" w14:textId="77777777" w:rsidR="008518DA" w:rsidRDefault="008518DA">
      <w:r>
        <w:br w:type="page"/>
      </w:r>
    </w:p>
    <w:tbl>
      <w:tblPr>
        <w:tblStyle w:val="Tablaconcuadrcula"/>
        <w:tblW w:w="9067" w:type="dxa"/>
        <w:tblLook w:val="04A0" w:firstRow="1" w:lastRow="0" w:firstColumn="1" w:lastColumn="0" w:noHBand="0" w:noVBand="1"/>
      </w:tblPr>
      <w:tblGrid>
        <w:gridCol w:w="3022"/>
        <w:gridCol w:w="3022"/>
        <w:gridCol w:w="3023"/>
      </w:tblGrid>
      <w:tr w:rsidR="008518DA" w:rsidRPr="009F3FAC" w14:paraId="27E01C5F" w14:textId="77777777" w:rsidTr="008518DA">
        <w:tc>
          <w:tcPr>
            <w:tcW w:w="3022" w:type="dxa"/>
            <w:shd w:val="clear" w:color="auto" w:fill="D9D9D9" w:themeFill="background1" w:themeFillShade="D9"/>
          </w:tcPr>
          <w:p w14:paraId="334D11A4" w14:textId="07B542F2" w:rsidR="008518DA" w:rsidRPr="009F3FAC" w:rsidRDefault="008518DA" w:rsidP="008518DA">
            <w:pPr>
              <w:spacing w:line="360" w:lineRule="auto"/>
              <w:jc w:val="center"/>
              <w:rPr>
                <w:rFonts w:ascii="Palatino Linotype" w:hAnsi="Palatino Linotype" w:cs="Tahoma"/>
                <w:b/>
              </w:rPr>
            </w:pPr>
            <w:r w:rsidRPr="009F3FAC">
              <w:rPr>
                <w:rFonts w:ascii="Palatino Linotype" w:hAnsi="Palatino Linotype" w:cs="Tahoma"/>
                <w:b/>
              </w:rPr>
              <w:t>Solicitud</w:t>
            </w:r>
          </w:p>
          <w:p w14:paraId="3FE27D4A" w14:textId="77777777" w:rsidR="008518DA" w:rsidRPr="009F3FAC" w:rsidRDefault="008518DA" w:rsidP="008518DA">
            <w:pPr>
              <w:spacing w:line="360" w:lineRule="auto"/>
              <w:jc w:val="center"/>
              <w:rPr>
                <w:rFonts w:ascii="Palatino Linotype" w:hAnsi="Palatino Linotype" w:cs="Tahoma"/>
                <w:b/>
              </w:rPr>
            </w:pPr>
          </w:p>
        </w:tc>
        <w:tc>
          <w:tcPr>
            <w:tcW w:w="3022" w:type="dxa"/>
            <w:shd w:val="clear" w:color="auto" w:fill="D9D9D9" w:themeFill="background1" w:themeFillShade="D9"/>
          </w:tcPr>
          <w:p w14:paraId="6EED52C0" w14:textId="2EAA8EBB" w:rsidR="008518DA" w:rsidRPr="009F3FAC" w:rsidRDefault="008518DA" w:rsidP="008518DA">
            <w:pPr>
              <w:spacing w:line="360" w:lineRule="auto"/>
              <w:jc w:val="center"/>
              <w:rPr>
                <w:rFonts w:ascii="Palatino Linotype" w:hAnsi="Palatino Linotype" w:cs="Tahoma"/>
              </w:rPr>
            </w:pPr>
            <w:r w:rsidRPr="009F3FAC">
              <w:rPr>
                <w:rFonts w:ascii="Palatino Linotype" w:hAnsi="Palatino Linotype" w:cs="Tahoma"/>
                <w:b/>
              </w:rPr>
              <w:t>Respuesta</w:t>
            </w:r>
          </w:p>
        </w:tc>
        <w:tc>
          <w:tcPr>
            <w:tcW w:w="3023" w:type="dxa"/>
            <w:shd w:val="clear" w:color="auto" w:fill="D9D9D9" w:themeFill="background1" w:themeFillShade="D9"/>
          </w:tcPr>
          <w:p w14:paraId="218C8BE9" w14:textId="603260B7" w:rsidR="008518DA" w:rsidRPr="009F3FAC" w:rsidRDefault="008518DA" w:rsidP="008518DA">
            <w:pPr>
              <w:spacing w:line="360" w:lineRule="auto"/>
              <w:jc w:val="center"/>
              <w:rPr>
                <w:rFonts w:ascii="Palatino Linotype" w:hAnsi="Palatino Linotype" w:cs="Tahoma"/>
              </w:rPr>
            </w:pPr>
            <w:r w:rsidRPr="009F3FAC">
              <w:rPr>
                <w:rFonts w:ascii="Palatino Linotype" w:hAnsi="Palatino Linotype" w:cs="Tahoma"/>
                <w:b/>
              </w:rPr>
              <w:t>Agravios manifestados por el Recurrente</w:t>
            </w:r>
          </w:p>
        </w:tc>
      </w:tr>
      <w:tr w:rsidR="009F3FAC" w:rsidRPr="009F3FAC" w14:paraId="6B0F36A6" w14:textId="77777777" w:rsidTr="00F04874">
        <w:tc>
          <w:tcPr>
            <w:tcW w:w="3022" w:type="dxa"/>
            <w:shd w:val="clear" w:color="auto" w:fill="auto"/>
          </w:tcPr>
          <w:p w14:paraId="0096DF44" w14:textId="77777777" w:rsidR="009F3FAC" w:rsidRPr="009F3FAC" w:rsidRDefault="009F3FAC" w:rsidP="009F3FAC">
            <w:pPr>
              <w:spacing w:line="360" w:lineRule="auto"/>
              <w:jc w:val="both"/>
              <w:rPr>
                <w:rFonts w:ascii="Palatino Linotype" w:hAnsi="Palatino Linotype" w:cs="Tahoma"/>
              </w:rPr>
            </w:pPr>
            <w:r w:rsidRPr="009F3FAC">
              <w:rPr>
                <w:rFonts w:ascii="Palatino Linotype" w:hAnsi="Palatino Linotype" w:cs="Tahoma"/>
                <w:b/>
              </w:rPr>
              <w:t xml:space="preserve">4. </w:t>
            </w:r>
            <w:r w:rsidRPr="009F3FAC">
              <w:rPr>
                <w:rFonts w:ascii="Palatino Linotype" w:hAnsi="Palatino Linotype" w:cs="Tahoma"/>
              </w:rPr>
              <w:t>Formatos PbRM-1a, PbRM-1b, PbRM-1c, PbRM-1d, PbRM- 1e y PbRM-02a.</w:t>
            </w:r>
          </w:p>
        </w:tc>
        <w:tc>
          <w:tcPr>
            <w:tcW w:w="3022" w:type="dxa"/>
            <w:shd w:val="clear" w:color="auto" w:fill="auto"/>
          </w:tcPr>
          <w:p w14:paraId="36FFF411" w14:textId="77777777" w:rsidR="009F3FAC" w:rsidRPr="009F3FAC" w:rsidRDefault="009F3FAC" w:rsidP="009F3FAC">
            <w:pPr>
              <w:spacing w:line="360" w:lineRule="auto"/>
              <w:jc w:val="both"/>
              <w:rPr>
                <w:rFonts w:ascii="Palatino Linotype" w:hAnsi="Palatino Linotype" w:cs="Tahoma"/>
                <w:b/>
              </w:rPr>
            </w:pPr>
            <w:r w:rsidRPr="009F3FAC">
              <w:rPr>
                <w:rFonts w:ascii="Palatino Linotype" w:hAnsi="Palatino Linotype" w:cs="Tahoma"/>
              </w:rPr>
              <w:t>Precisó que en términos del artículo 12 de la Ley de Transparencia y Acceso a la Información Pública del Estado de México y Municipios, no generaba, administraba, procesaba, archivaba o conservaba los formatos requeridos, al ir estos enfocados directamente al ámbito municipal, mientras que el Centro de Control de Confianza del Estado de México, era de ámbito municipal.</w:t>
            </w:r>
          </w:p>
        </w:tc>
        <w:tc>
          <w:tcPr>
            <w:tcW w:w="3023" w:type="dxa"/>
            <w:shd w:val="clear" w:color="auto" w:fill="auto"/>
          </w:tcPr>
          <w:p w14:paraId="14430B25" w14:textId="77777777" w:rsidR="009F3FAC" w:rsidRPr="009F3FAC" w:rsidRDefault="009F3FAC" w:rsidP="009F3FAC">
            <w:pPr>
              <w:spacing w:line="360" w:lineRule="auto"/>
              <w:jc w:val="both"/>
              <w:rPr>
                <w:rFonts w:ascii="Palatino Linotype" w:hAnsi="Palatino Linotype" w:cs="Tahoma"/>
              </w:rPr>
            </w:pPr>
            <w:r w:rsidRPr="009F3FAC">
              <w:rPr>
                <w:rFonts w:ascii="Palatino Linotype" w:hAnsi="Palatino Linotype" w:cs="Tahoma"/>
              </w:rPr>
              <w:t>No entregó los formatos requeridos.</w:t>
            </w:r>
          </w:p>
        </w:tc>
      </w:tr>
    </w:tbl>
    <w:p w14:paraId="41B05E96" w14:textId="77777777" w:rsidR="009F3FAC" w:rsidRPr="009F3FAC" w:rsidRDefault="009F3FAC" w:rsidP="009F3FAC">
      <w:pPr>
        <w:spacing w:line="360" w:lineRule="auto"/>
        <w:jc w:val="both"/>
        <w:rPr>
          <w:rFonts w:ascii="Palatino Linotype" w:hAnsi="Palatino Linotype" w:cs="Tahoma"/>
          <w:iCs/>
          <w:sz w:val="22"/>
          <w:szCs w:val="22"/>
          <w:lang w:val="es-ES"/>
        </w:rPr>
      </w:pPr>
    </w:p>
    <w:p w14:paraId="26298A11" w14:textId="77777777" w:rsidR="009F3FAC" w:rsidRPr="009F3FAC" w:rsidRDefault="009F3FAC" w:rsidP="009F3FAC">
      <w:pPr>
        <w:spacing w:line="360" w:lineRule="auto"/>
        <w:jc w:val="both"/>
        <w:rPr>
          <w:rFonts w:ascii="Palatino Linotype" w:hAnsi="Palatino Linotype" w:cs="Tahoma"/>
          <w:b/>
          <w:iCs/>
          <w:sz w:val="22"/>
          <w:szCs w:val="22"/>
          <w:lang w:val="es-ES"/>
        </w:rPr>
      </w:pPr>
      <w:r w:rsidRPr="009F3FAC">
        <w:rPr>
          <w:rFonts w:ascii="Palatino Linotype" w:hAnsi="Palatino Linotype" w:cs="Tahoma"/>
          <w:iCs/>
          <w:sz w:val="22"/>
          <w:szCs w:val="22"/>
          <w:lang w:val="es-ES"/>
        </w:rPr>
        <w:t>Conforme a lo analizado, se puede advertir que el ahora Recurrente se inconformó únicamente porque no se le entregaros los formatos PbRM-1a, PbRM-1b, PbRM-1c, PbRM-1d, PbRM- 1e y PbRM-02a de las áreas que conforman al Centro de Control de Confianza del Estado de México.</w:t>
      </w:r>
    </w:p>
    <w:p w14:paraId="22A28565" w14:textId="77777777" w:rsidR="009F3FAC" w:rsidRPr="009F3FAC" w:rsidRDefault="009F3FAC" w:rsidP="009F3FAC">
      <w:pPr>
        <w:spacing w:line="360" w:lineRule="auto"/>
        <w:jc w:val="both"/>
        <w:rPr>
          <w:rFonts w:ascii="Palatino Linotype" w:hAnsi="Palatino Linotype" w:cs="Tahoma"/>
          <w:b/>
          <w:iCs/>
          <w:sz w:val="22"/>
          <w:szCs w:val="22"/>
          <w:lang w:val="es-ES"/>
        </w:rPr>
      </w:pPr>
    </w:p>
    <w:p w14:paraId="4FE437A7" w14:textId="77777777" w:rsidR="009F3FAC" w:rsidRPr="009F3FAC" w:rsidRDefault="009F3FAC" w:rsidP="009F3FAC">
      <w:pPr>
        <w:spacing w:line="360" w:lineRule="auto"/>
        <w:jc w:val="both"/>
        <w:rPr>
          <w:rFonts w:ascii="Palatino Linotype" w:hAnsi="Palatino Linotype" w:cs="Tahoma"/>
          <w:iCs/>
          <w:sz w:val="22"/>
          <w:szCs w:val="22"/>
        </w:rPr>
      </w:pPr>
      <w:r w:rsidRPr="009F3FAC">
        <w:rPr>
          <w:rFonts w:ascii="Palatino Linotype" w:hAnsi="Palatino Linotype" w:cs="Tahoma"/>
          <w:iCs/>
          <w:sz w:val="22"/>
          <w:szCs w:val="22"/>
          <w:lang w:val="es-ES"/>
        </w:rPr>
        <w:t xml:space="preserve">En ese orden de ideas, por lo que hace al </w:t>
      </w:r>
      <w:r w:rsidRPr="009F3FAC">
        <w:rPr>
          <w:rFonts w:ascii="Palatino Linotype" w:hAnsi="Palatino Linotype" w:cs="Tahoma"/>
          <w:b/>
          <w:iCs/>
          <w:sz w:val="22"/>
          <w:szCs w:val="22"/>
          <w:lang w:val="es-ES"/>
        </w:rPr>
        <w:t>punto 3,</w:t>
      </w:r>
      <w:r w:rsidRPr="009F3FAC">
        <w:rPr>
          <w:rFonts w:ascii="Palatino Linotype" w:hAnsi="Palatino Linotype" w:cs="Tahoma"/>
          <w:iCs/>
          <w:sz w:val="22"/>
          <w:szCs w:val="22"/>
          <w:lang w:val="es-ES"/>
        </w:rPr>
        <w:t xml:space="preserve"> no se hará pronunciamiento alguno de conformidad con el artículo 195 </w:t>
      </w:r>
      <w:r w:rsidRPr="009F3FAC">
        <w:rPr>
          <w:rFonts w:ascii="Palatino Linotype" w:hAnsi="Palatino Linotype" w:cs="Tahoma"/>
          <w:iCs/>
          <w:sz w:val="22"/>
          <w:szCs w:val="22"/>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9F3FAC">
        <w:rPr>
          <w:rFonts w:ascii="Palatino Linotype" w:hAnsi="Palatino Linotype" w:cs="Tahoma"/>
          <w:b/>
          <w:iCs/>
          <w:sz w:val="22"/>
          <w:szCs w:val="22"/>
        </w:rPr>
        <w:t>los actos que se hayan consentido tácitamente,</w:t>
      </w:r>
      <w:r w:rsidRPr="009F3FAC">
        <w:rPr>
          <w:rFonts w:ascii="Palatino Linotype" w:hAnsi="Palatino Linotype" w:cs="Tahoma"/>
          <w:iCs/>
          <w:sz w:val="22"/>
          <w:szCs w:val="22"/>
        </w:rPr>
        <w:t xml:space="preserve"> entendiéndose por estos cuando el recurso no se haya promovido en el plazo señalado para el efecto.</w:t>
      </w:r>
    </w:p>
    <w:p w14:paraId="0137D1D8" w14:textId="77777777" w:rsidR="009F3FAC" w:rsidRPr="009F3FAC" w:rsidRDefault="009F3FAC" w:rsidP="009F3FAC">
      <w:pPr>
        <w:spacing w:line="360" w:lineRule="auto"/>
        <w:jc w:val="both"/>
        <w:rPr>
          <w:rFonts w:ascii="Palatino Linotype" w:hAnsi="Palatino Linotype" w:cs="Tahoma"/>
          <w:iCs/>
          <w:sz w:val="22"/>
          <w:szCs w:val="22"/>
          <w:lang w:val="es-ES"/>
        </w:rPr>
      </w:pPr>
    </w:p>
    <w:p w14:paraId="557A0C95" w14:textId="77777777" w:rsidR="009F3FAC" w:rsidRPr="009F3FAC" w:rsidRDefault="009F3FAC" w:rsidP="009F3FAC">
      <w:pPr>
        <w:spacing w:line="360" w:lineRule="auto"/>
        <w:jc w:val="both"/>
        <w:rPr>
          <w:rFonts w:ascii="Palatino Linotype" w:hAnsi="Palatino Linotype" w:cs="Tahoma"/>
          <w:sz w:val="22"/>
          <w:szCs w:val="22"/>
        </w:rPr>
      </w:pPr>
      <w:r w:rsidRPr="009F3FAC">
        <w:rPr>
          <w:rFonts w:ascii="Palatino Linotype" w:hAnsi="Palatino Linotype" w:cs="Tahoma"/>
          <w:sz w:val="22"/>
          <w:szCs w:val="22"/>
        </w:rPr>
        <w:t>De la misma manera resulta aplicable el criterio sostenido por el Poder Judicial de la Federación de rubro </w:t>
      </w:r>
      <w:r w:rsidRPr="009F3FAC">
        <w:rPr>
          <w:rFonts w:ascii="Palatino Linotype" w:hAnsi="Palatino Linotype" w:cs="Tahoma"/>
          <w:b/>
          <w:sz w:val="22"/>
          <w:szCs w:val="22"/>
        </w:rPr>
        <w:t>ACTOS CONSENTIDOS TÁCITAMENTE</w:t>
      </w:r>
      <w:r w:rsidRPr="009F3FAC">
        <w:rPr>
          <w:rFonts w:ascii="Palatino Linotype" w:hAnsi="Palatino Linotype" w:cs="Tahoma"/>
          <w:sz w:val="22"/>
          <w:szCs w:val="22"/>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4641840D" w14:textId="77777777" w:rsidR="009F3FAC" w:rsidRPr="009F3FAC" w:rsidRDefault="009F3FAC" w:rsidP="009F3FAC">
      <w:pPr>
        <w:spacing w:line="360" w:lineRule="auto"/>
        <w:jc w:val="both"/>
        <w:rPr>
          <w:rFonts w:ascii="Palatino Linotype" w:hAnsi="Palatino Linotype" w:cs="Tahoma"/>
          <w:iCs/>
          <w:sz w:val="22"/>
          <w:szCs w:val="22"/>
          <w:lang w:val="es-ES"/>
        </w:rPr>
      </w:pPr>
    </w:p>
    <w:p w14:paraId="5A73B672" w14:textId="77777777" w:rsidR="009F3FAC" w:rsidRPr="009F3FAC" w:rsidRDefault="009F3FAC" w:rsidP="009F3FAC">
      <w:pPr>
        <w:spacing w:line="360" w:lineRule="auto"/>
        <w:jc w:val="both"/>
        <w:rPr>
          <w:rFonts w:ascii="Palatino Linotype" w:hAnsi="Palatino Linotype" w:cs="Tahoma"/>
          <w:b/>
          <w:sz w:val="22"/>
          <w:szCs w:val="22"/>
        </w:rPr>
      </w:pPr>
      <w:r w:rsidRPr="009F3FAC">
        <w:rPr>
          <w:rFonts w:ascii="Palatino Linotype" w:hAnsi="Palatino Linotype" w:cs="Tahoma"/>
          <w:sz w:val="22"/>
          <w:szCs w:val="22"/>
        </w:rPr>
        <w:t>De acuerdo con el criterio en comento, en el caso de que el Solicitante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w:t>
      </w:r>
      <w:r w:rsidRPr="009F3FAC">
        <w:rPr>
          <w:rFonts w:ascii="Palatino Linotype" w:hAnsi="Palatino Linotype" w:cs="Tahoma"/>
          <w:b/>
          <w:sz w:val="22"/>
          <w:szCs w:val="22"/>
        </w:rPr>
        <w:t xml:space="preserve"> quedaron firmes.</w:t>
      </w:r>
    </w:p>
    <w:p w14:paraId="242B1772" w14:textId="77777777" w:rsidR="009F3FAC" w:rsidRPr="009F3FAC" w:rsidRDefault="009F3FAC" w:rsidP="009F3FAC">
      <w:pPr>
        <w:spacing w:line="360" w:lineRule="auto"/>
        <w:jc w:val="both"/>
        <w:rPr>
          <w:rFonts w:ascii="Palatino Linotype" w:hAnsi="Palatino Linotype" w:cs="Tahoma"/>
          <w:b/>
          <w:iCs/>
          <w:sz w:val="22"/>
          <w:szCs w:val="22"/>
          <w:lang w:val="es-ES"/>
        </w:rPr>
      </w:pPr>
    </w:p>
    <w:p w14:paraId="242F36B3" w14:textId="77777777" w:rsidR="009F3FAC" w:rsidRPr="009F3FAC" w:rsidRDefault="009F3FAC" w:rsidP="009F3FAC">
      <w:pPr>
        <w:spacing w:line="360" w:lineRule="auto"/>
        <w:jc w:val="both"/>
        <w:rPr>
          <w:rFonts w:ascii="Palatino Linotype" w:hAnsi="Palatino Linotype" w:cs="Tahoma"/>
          <w:iCs/>
          <w:sz w:val="22"/>
          <w:szCs w:val="22"/>
          <w:lang w:val="es-ES"/>
        </w:rPr>
      </w:pPr>
      <w:r w:rsidRPr="009F3FAC">
        <w:rPr>
          <w:rFonts w:ascii="Palatino Linotype" w:hAnsi="Palatino Linotype" w:cs="Tahoma"/>
          <w:iCs/>
          <w:sz w:val="22"/>
          <w:szCs w:val="22"/>
          <w:lang w:val="es-ES"/>
        </w:rPr>
        <w:t xml:space="preserve">Además, respecto al </w:t>
      </w:r>
      <w:r w:rsidRPr="009F3FAC">
        <w:rPr>
          <w:rFonts w:ascii="Palatino Linotype" w:hAnsi="Palatino Linotype" w:cs="Tahoma"/>
          <w:b/>
          <w:iCs/>
          <w:sz w:val="22"/>
          <w:szCs w:val="22"/>
          <w:lang w:val="es-ES"/>
        </w:rPr>
        <w:t>punto 1</w:t>
      </w:r>
      <w:r w:rsidRPr="009F3FAC">
        <w:rPr>
          <w:rFonts w:ascii="Palatino Linotype" w:hAnsi="Palatino Linotype" w:cs="Tahoma"/>
          <w:iCs/>
          <w:sz w:val="22"/>
          <w:szCs w:val="22"/>
          <w:lang w:val="es-ES"/>
        </w:rPr>
        <w:t>, quedó sin materia, toda vez que el Sujeto Obligado entregó la información como obraba en sus archivos, misma que daba cuenta de lo solicitado, tal como se analizó en el Considerando Segundo.</w:t>
      </w:r>
    </w:p>
    <w:p w14:paraId="4252330A" w14:textId="77777777" w:rsidR="009F3FAC" w:rsidRPr="009F3FAC" w:rsidRDefault="009F3FAC" w:rsidP="009F3FAC">
      <w:pPr>
        <w:spacing w:line="360" w:lineRule="auto"/>
        <w:jc w:val="both"/>
        <w:rPr>
          <w:rFonts w:ascii="Palatino Linotype" w:hAnsi="Palatino Linotype" w:cs="Tahoma"/>
          <w:b/>
          <w:iCs/>
          <w:sz w:val="22"/>
          <w:szCs w:val="22"/>
          <w:lang w:val="es-ES"/>
        </w:rPr>
      </w:pPr>
    </w:p>
    <w:p w14:paraId="667CE172" w14:textId="29496851" w:rsidR="009F3FAC" w:rsidRPr="009F3FAC" w:rsidRDefault="009F3FAC" w:rsidP="009F3FAC">
      <w:pPr>
        <w:spacing w:line="360" w:lineRule="auto"/>
        <w:jc w:val="both"/>
        <w:rPr>
          <w:rFonts w:ascii="Palatino Linotype" w:hAnsi="Palatino Linotype" w:cs="Tahoma"/>
          <w:sz w:val="22"/>
          <w:szCs w:val="22"/>
          <w:lang w:val="es-ES"/>
        </w:rPr>
      </w:pPr>
      <w:r w:rsidRPr="009F3FAC">
        <w:rPr>
          <w:rFonts w:ascii="Palatino Linotype" w:hAnsi="Palatino Linotype" w:cs="Tahoma"/>
          <w:iCs/>
          <w:sz w:val="22"/>
          <w:szCs w:val="22"/>
          <w:lang w:val="es-ES"/>
        </w:rPr>
        <w:t xml:space="preserve">Por lo expuesto, en el presente caso, la inconformidad del ahora Recurrente radica con la entrega de la información incompleta, lo cual constituye la causal de procedencia del Recurso de Revisión, en términos del artículo 179, fracción V, de la Ley de Transparencia y Acceso a la Información Pública del Estado de México y Municipios. </w:t>
      </w:r>
      <w:r w:rsidRPr="009F3FAC">
        <w:rPr>
          <w:rFonts w:ascii="Palatino Linotype" w:hAnsi="Palatino Linotype" w:cs="Tahoma"/>
          <w:sz w:val="22"/>
          <w:szCs w:val="22"/>
          <w:lang w:val="es-ES"/>
        </w:rPr>
        <w:t xml:space="preserve">Así las cosas, una vez admitido y notificado el Recurso de Revisión a las partes, el </w:t>
      </w:r>
      <w:r>
        <w:rPr>
          <w:rFonts w:ascii="Palatino Linotype" w:hAnsi="Palatino Linotype" w:cs="Tahoma"/>
          <w:sz w:val="22"/>
          <w:szCs w:val="22"/>
          <w:lang w:val="es-ES"/>
        </w:rPr>
        <w:t>Centro de Control de Confianza del Estado de México</w:t>
      </w:r>
      <w:r w:rsidRPr="009F3FAC">
        <w:rPr>
          <w:rFonts w:ascii="Palatino Linotype" w:hAnsi="Palatino Linotype" w:cs="Tahoma"/>
          <w:sz w:val="22"/>
          <w:szCs w:val="22"/>
          <w:lang w:val="es-ES"/>
        </w:rPr>
        <w:t xml:space="preserve"> </w:t>
      </w:r>
      <w:r>
        <w:rPr>
          <w:rFonts w:ascii="Palatino Linotype" w:hAnsi="Palatino Linotype" w:cs="Tahoma"/>
          <w:sz w:val="22"/>
          <w:szCs w:val="22"/>
          <w:lang w:val="es-ES"/>
        </w:rPr>
        <w:t xml:space="preserve">ratificó la respuesta inicial y precisó lo siguiente: </w:t>
      </w:r>
    </w:p>
    <w:p w14:paraId="534DBB34" w14:textId="77777777" w:rsidR="003B0E11" w:rsidRDefault="003B0E11" w:rsidP="00564755">
      <w:pPr>
        <w:spacing w:line="360" w:lineRule="auto"/>
        <w:jc w:val="both"/>
        <w:rPr>
          <w:rFonts w:ascii="Palatino Linotype" w:hAnsi="Palatino Linotype" w:cs="Tahoma"/>
          <w:sz w:val="22"/>
          <w:szCs w:val="22"/>
        </w:rPr>
      </w:pPr>
    </w:p>
    <w:p w14:paraId="7C8AD34A" w14:textId="2A7C208E" w:rsidR="008B2DA6" w:rsidRDefault="00FC7311" w:rsidP="004F4D05">
      <w:pPr>
        <w:pStyle w:val="Prrafodelista"/>
        <w:numPr>
          <w:ilvl w:val="0"/>
          <w:numId w:val="7"/>
        </w:numPr>
        <w:spacing w:line="360" w:lineRule="auto"/>
        <w:jc w:val="both"/>
        <w:rPr>
          <w:rFonts w:ascii="Palatino Linotype" w:hAnsi="Palatino Linotype" w:cs="Tahoma"/>
          <w:szCs w:val="22"/>
        </w:rPr>
      </w:pPr>
      <w:r>
        <w:rPr>
          <w:rFonts w:ascii="Palatino Linotype" w:hAnsi="Palatino Linotype" w:cs="Tahoma"/>
          <w:szCs w:val="22"/>
        </w:rPr>
        <w:t>Que la información solicitada había sido validada y aprobada por la Secretaría General de Gobierno del Estado de México; además, que el Centro de Control de Confianza del Estado de México era un Organismo de carácter Estatal.</w:t>
      </w:r>
    </w:p>
    <w:p w14:paraId="04955BDE" w14:textId="77777777" w:rsidR="00E42F79" w:rsidRDefault="00E42F79" w:rsidP="00E42F79">
      <w:pPr>
        <w:pStyle w:val="Prrafodelista"/>
        <w:spacing w:line="360" w:lineRule="auto"/>
        <w:jc w:val="both"/>
        <w:rPr>
          <w:rFonts w:ascii="Palatino Linotype" w:hAnsi="Palatino Linotype" w:cs="Tahoma"/>
          <w:szCs w:val="22"/>
        </w:rPr>
      </w:pPr>
    </w:p>
    <w:p w14:paraId="1718DD7C" w14:textId="6FBEC9C2" w:rsidR="00E83D1F" w:rsidRDefault="00E42F79" w:rsidP="004F4D05">
      <w:pPr>
        <w:pStyle w:val="Prrafodelista"/>
        <w:numPr>
          <w:ilvl w:val="0"/>
          <w:numId w:val="7"/>
        </w:numPr>
        <w:spacing w:line="360" w:lineRule="auto"/>
        <w:jc w:val="both"/>
        <w:rPr>
          <w:rFonts w:ascii="Palatino Linotype" w:hAnsi="Palatino Linotype" w:cs="Tahoma"/>
          <w:szCs w:val="22"/>
        </w:rPr>
      </w:pPr>
      <w:r>
        <w:rPr>
          <w:rFonts w:ascii="Palatino Linotype" w:hAnsi="Palatino Linotype" w:cs="Tahoma"/>
          <w:szCs w:val="22"/>
        </w:rPr>
        <w:t>Que los formatos solicitados, no le eran aplicables y por lo tanto, no los generaba, recopilaba, administraba, manejaba, procesaba, archivaba o conservaba, al corresponder al ámbito únicamente Municipal.</w:t>
      </w:r>
    </w:p>
    <w:p w14:paraId="43AE7E2A" w14:textId="77777777" w:rsidR="00E42F79" w:rsidRPr="00E42F79" w:rsidRDefault="00E42F79" w:rsidP="00E42F79">
      <w:pPr>
        <w:pStyle w:val="Prrafodelista"/>
        <w:rPr>
          <w:rFonts w:ascii="Palatino Linotype" w:hAnsi="Palatino Linotype" w:cs="Tahoma"/>
          <w:szCs w:val="22"/>
        </w:rPr>
      </w:pPr>
    </w:p>
    <w:p w14:paraId="054F0639" w14:textId="7D36992C" w:rsidR="00E42F79" w:rsidRPr="00E42F79" w:rsidRDefault="00E42F79" w:rsidP="004F4D05">
      <w:pPr>
        <w:pStyle w:val="Prrafodelista"/>
        <w:numPr>
          <w:ilvl w:val="0"/>
          <w:numId w:val="7"/>
        </w:numPr>
        <w:spacing w:line="360" w:lineRule="auto"/>
        <w:jc w:val="both"/>
        <w:rPr>
          <w:rFonts w:ascii="Palatino Linotype" w:hAnsi="Palatino Linotype" w:cs="Tahoma"/>
          <w:szCs w:val="22"/>
        </w:rPr>
      </w:pPr>
      <w:r>
        <w:rPr>
          <w:rFonts w:ascii="Palatino Linotype" w:hAnsi="Palatino Linotype" w:cs="Tahoma"/>
          <w:szCs w:val="22"/>
        </w:rPr>
        <w:t>Que los formatos solicitados se distinguían con la sigla “M”, los cuales los identifica propiamente con los Formatos de Presupuesto basado en Resultados Municipales</w:t>
      </w:r>
      <w:r w:rsidR="001310BA">
        <w:rPr>
          <w:rFonts w:ascii="Palatino Linotype" w:hAnsi="Palatino Linotype" w:cs="Tahoma"/>
          <w:szCs w:val="22"/>
        </w:rPr>
        <w:t xml:space="preserve"> (PbRM) y que el Centro de Control de Confianza del Estado de México como unidad Ejecutora, únicamente emitía Formatos de Presupuesto basado en Resultados (PbR), correspondientes al ámbito Estatal.</w:t>
      </w:r>
    </w:p>
    <w:p w14:paraId="2FF59947" w14:textId="77777777" w:rsidR="00E83D1F" w:rsidRDefault="00E83D1F" w:rsidP="00564755">
      <w:pPr>
        <w:spacing w:line="360" w:lineRule="auto"/>
        <w:jc w:val="both"/>
        <w:rPr>
          <w:rFonts w:ascii="Palatino Linotype" w:hAnsi="Palatino Linotype" w:cs="Tahoma"/>
          <w:sz w:val="22"/>
          <w:szCs w:val="22"/>
        </w:rPr>
      </w:pPr>
    </w:p>
    <w:p w14:paraId="065B814F" w14:textId="33B7AFA7" w:rsidR="005D51B6" w:rsidRPr="004E591C" w:rsidRDefault="007A7163" w:rsidP="007A7163">
      <w:pPr>
        <w:spacing w:line="360" w:lineRule="auto"/>
        <w:jc w:val="both"/>
        <w:rPr>
          <w:color w:val="222222"/>
          <w:sz w:val="22"/>
          <w:szCs w:val="22"/>
          <w:lang w:eastAsia="es-MX"/>
        </w:rPr>
      </w:pPr>
      <w:r w:rsidRPr="004E591C">
        <w:rPr>
          <w:rFonts w:ascii="Palatino Linotype" w:hAnsi="Palatino Linotype"/>
          <w:color w:val="222222"/>
          <w:sz w:val="22"/>
          <w:szCs w:val="22"/>
          <w:lang w:eastAsia="es-MX"/>
        </w:rPr>
        <w:t>Ahora bien, por exhaustividad, es preciso indicar que el Sujeto Obligado ofreció </w:t>
      </w:r>
      <w:r w:rsidRPr="007A7163">
        <w:rPr>
          <w:rFonts w:ascii="Palatino Linotype" w:hAnsi="Palatino Linotype"/>
          <w:bCs/>
          <w:color w:val="222222"/>
          <w:sz w:val="22"/>
          <w:szCs w:val="22"/>
          <w:lang w:val="es-ES" w:eastAsia="es-MX"/>
        </w:rPr>
        <w:t xml:space="preserve">como pruebas la </w:t>
      </w:r>
      <w:r w:rsidRPr="007A7163">
        <w:rPr>
          <w:rFonts w:ascii="Palatino Linotype" w:hAnsi="Palatino Linotype"/>
          <w:bCs/>
          <w:color w:val="222222"/>
          <w:sz w:val="22"/>
          <w:szCs w:val="22"/>
          <w:lang w:val="es-ES_tradnl" w:eastAsia="es-MX"/>
        </w:rPr>
        <w:t>instrumental de actuaciones y la presuncional</w:t>
      </w:r>
      <w:r>
        <w:rPr>
          <w:rFonts w:ascii="Palatino Linotype" w:hAnsi="Palatino Linotype"/>
          <w:bCs/>
          <w:color w:val="222222"/>
          <w:sz w:val="22"/>
          <w:szCs w:val="22"/>
          <w:lang w:val="es-ES_tradnl" w:eastAsia="es-MX"/>
        </w:rPr>
        <w:t xml:space="preserve">, mismas que desahogan por su propia y especial naturaleza. </w:t>
      </w:r>
      <w:r w:rsidR="005D51B6" w:rsidRPr="004E591C">
        <w:rPr>
          <w:rFonts w:ascii="Palatino Linotype" w:hAnsi="Palatino Linotype"/>
          <w:color w:val="222222"/>
          <w:sz w:val="22"/>
          <w:szCs w:val="22"/>
          <w:lang w:eastAsia="es-MX"/>
        </w:rPr>
        <w:t>Con la finalidad de justificar lo anterior, es preciso citar, por analogía, la Tesis I.4o.C.70 C, de Tribunales Colegiados de Circuito, visible en la página 1406 del Semanario Judicial de la Federación y su Gaceta, Tomo XX, diciembre 2004, Novena Época, de rubro y texto siguientes:</w:t>
      </w:r>
    </w:p>
    <w:p w14:paraId="7F7C6081" w14:textId="77777777" w:rsidR="005D51B6" w:rsidRPr="004E591C" w:rsidRDefault="005D51B6" w:rsidP="005D51B6">
      <w:pPr>
        <w:shd w:val="clear" w:color="auto" w:fill="FFFFFF"/>
        <w:spacing w:line="360" w:lineRule="auto"/>
        <w:jc w:val="both"/>
        <w:rPr>
          <w:color w:val="222222"/>
          <w:sz w:val="22"/>
          <w:szCs w:val="22"/>
          <w:lang w:eastAsia="es-MX"/>
        </w:rPr>
      </w:pPr>
      <w:r w:rsidRPr="004E591C">
        <w:rPr>
          <w:rFonts w:ascii="Palatino Linotype" w:hAnsi="Palatino Linotype"/>
          <w:i/>
          <w:iCs/>
          <w:color w:val="222222"/>
          <w:sz w:val="22"/>
          <w:szCs w:val="22"/>
          <w:lang w:eastAsia="es-MX"/>
        </w:rPr>
        <w:t> </w:t>
      </w:r>
    </w:p>
    <w:p w14:paraId="618F2687" w14:textId="77777777" w:rsidR="005D51B6" w:rsidRPr="0069700B" w:rsidRDefault="005D51B6" w:rsidP="0069700B">
      <w:pPr>
        <w:shd w:val="clear" w:color="auto" w:fill="FFFFFF"/>
        <w:spacing w:line="360" w:lineRule="auto"/>
        <w:ind w:left="567" w:right="567"/>
        <w:jc w:val="both"/>
        <w:rPr>
          <w:i/>
          <w:color w:val="222222"/>
          <w:lang w:eastAsia="es-MX"/>
        </w:rPr>
      </w:pPr>
      <w:r w:rsidRPr="0069700B">
        <w:rPr>
          <w:rFonts w:ascii="Palatino Linotype" w:hAnsi="Palatino Linotype"/>
          <w:b/>
          <w:bCs/>
          <w:i/>
          <w:color w:val="222222"/>
          <w:lang w:eastAsia="es-MX"/>
        </w:rPr>
        <w:t>“PRESUNCIONAL E INSTRUMENTAL DE ACTUACIONES. SU OFRECIMIENTO NO SE RIGE POR LO DISPUESTO EN EL ARTÍCULO 291 DEL CÓDIGO DE PROCEDIMIENTOS CIVILES PARA EL DISTRITO FEDERAL. </w:t>
      </w:r>
      <w:r w:rsidRPr="0069700B">
        <w:rPr>
          <w:rFonts w:ascii="Palatino Linotype" w:hAnsi="Palatino Linotype"/>
          <w:i/>
          <w:color w:val="222222"/>
          <w:lang w:eastAsia="es-MX"/>
        </w:rPr>
        <w:t>La prueba instrumental de actuaciones se constituye con las constancias que obran en el sumario; mientras que la de presunciones es la consecuencia lógica y natural de hechos conocidos, probados al momento de hacer la deducción respectiva, de lo que se advierte que tales pruebas se basan en el desahogo de otras, por consiguiente, no es factible que desde la demanda, la contestación o en la dilación probatoria, quien ofrece los medios de convicción señalados establezca con claridad el hecho o hechos que con ellos va a probar y las razones por las que estima que demostrará sus afirmaciones, pues ello sería tanto como obligarlo a que apoye tales probanzas en suposiciones. Así, tratándose del actor, éste tendría prácticamente que adivinar cuáles pruebas va a ofrecer su contrario, para con base en ellas precisar la instrumental y tendría que hacer lo mismo en cuanto al resultado de su desahogo, para con ello, sobre bases aún no dadas, señalar las presunciones legales y humanas que se actualicen. De ahí que resulte correcto afirmar que tales probanzas no tienen entidad propia, y debido a tan especial naturaleza, su ofrecimiento no tiene que hacerse con las exigencias del artículo 291 del código adjetivo, incluso, aun cuando no se ofrecieran como pruebas, no podría impedirse al Juez que tome en cuenta las actuaciones existentes y que aplique el análisis inductivo y deductivo que resulte de las pruebas, para resolver la litis planteada, pues en ello radica la esencia de la actividad jurisdiccional.”</w:t>
      </w:r>
    </w:p>
    <w:p w14:paraId="3A110E7A" w14:textId="77777777" w:rsidR="005D51B6" w:rsidRDefault="005D51B6" w:rsidP="00564755">
      <w:pPr>
        <w:spacing w:line="360" w:lineRule="auto"/>
        <w:jc w:val="both"/>
        <w:rPr>
          <w:rFonts w:ascii="Palatino Linotype" w:hAnsi="Palatino Linotype" w:cs="Tahoma"/>
          <w:sz w:val="22"/>
          <w:szCs w:val="22"/>
        </w:rPr>
      </w:pPr>
    </w:p>
    <w:p w14:paraId="7C0615F7" w14:textId="17949D54" w:rsidR="00E83D1F" w:rsidRDefault="007A7163" w:rsidP="00564755">
      <w:pPr>
        <w:spacing w:line="360" w:lineRule="auto"/>
        <w:jc w:val="both"/>
        <w:rPr>
          <w:rFonts w:ascii="Palatino Linotype" w:hAnsi="Palatino Linotype" w:cs="Tahoma"/>
          <w:sz w:val="22"/>
          <w:szCs w:val="22"/>
        </w:rPr>
      </w:pPr>
      <w:r>
        <w:rPr>
          <w:rFonts w:ascii="Palatino Linotype" w:hAnsi="Palatino Linotype" w:cs="Tahoma"/>
          <w:bCs/>
          <w:sz w:val="22"/>
          <w:szCs w:val="22"/>
        </w:rPr>
        <w:t>De la tesis citada,</w:t>
      </w:r>
      <w:r w:rsidR="005D51B6" w:rsidRPr="005D51B6">
        <w:rPr>
          <w:rFonts w:ascii="Palatino Linotype" w:hAnsi="Palatino Linotype" w:cs="Tahoma"/>
          <w:bCs/>
          <w:sz w:val="22"/>
          <w:szCs w:val="22"/>
        </w:rPr>
        <w:t xml:space="preserve"> se advierte que l</w:t>
      </w:r>
      <w:r w:rsidR="005D51B6" w:rsidRPr="005D51B6">
        <w:rPr>
          <w:rFonts w:ascii="Palatino Linotype" w:hAnsi="Palatino Linotype" w:cs="Tahoma"/>
          <w:sz w:val="22"/>
          <w:szCs w:val="22"/>
        </w:rPr>
        <w:t>a prueba instrumental de actuaciones son las constancias que obran en el expediente; mientras que la de presunciones es la consecuencia lógica y natural de hechos conocidos, probados al momento de hacer la deducción respectiva, esto es, al momento de resolver en definitiva un procedimiento. Mismas que se tienen por desahogadas por su propia y especial naturaleza por lo que ambas pruebas se toman en cuenta para resolver la controversia planteada, cuyo alcance consiste en acreditar la tramitación de la solicitud y los razonamientos lógico jurídicos que se deduzcan de las constancias que obran en el expediente de mérito.</w:t>
      </w:r>
    </w:p>
    <w:p w14:paraId="10858CC6" w14:textId="77777777" w:rsidR="00E83D1F" w:rsidRDefault="00E83D1F" w:rsidP="00564755">
      <w:pPr>
        <w:spacing w:line="360" w:lineRule="auto"/>
        <w:jc w:val="both"/>
        <w:rPr>
          <w:rFonts w:ascii="Palatino Linotype" w:hAnsi="Palatino Linotype" w:cs="Tahoma"/>
          <w:sz w:val="22"/>
          <w:szCs w:val="22"/>
        </w:rPr>
      </w:pPr>
    </w:p>
    <w:p w14:paraId="5E9A2F7D" w14:textId="77777777" w:rsidR="008518DA" w:rsidRDefault="008518DA" w:rsidP="00564755">
      <w:pPr>
        <w:spacing w:line="360" w:lineRule="auto"/>
        <w:jc w:val="both"/>
        <w:rPr>
          <w:rFonts w:ascii="Palatino Linotype" w:hAnsi="Palatino Linotype" w:cs="Tahoma"/>
          <w:sz w:val="22"/>
          <w:szCs w:val="22"/>
        </w:rPr>
      </w:pPr>
    </w:p>
    <w:p w14:paraId="5C1CB8A8" w14:textId="77777777" w:rsidR="008518DA" w:rsidRDefault="008518DA" w:rsidP="00564755">
      <w:pPr>
        <w:spacing w:line="360" w:lineRule="auto"/>
        <w:jc w:val="both"/>
        <w:rPr>
          <w:rFonts w:ascii="Palatino Linotype" w:hAnsi="Palatino Linotype" w:cs="Tahoma"/>
          <w:sz w:val="22"/>
          <w:szCs w:val="22"/>
        </w:rPr>
      </w:pPr>
    </w:p>
    <w:p w14:paraId="54E4F499" w14:textId="77777777" w:rsidR="008518DA" w:rsidRDefault="008518DA" w:rsidP="00564755">
      <w:pPr>
        <w:spacing w:line="360" w:lineRule="auto"/>
        <w:jc w:val="both"/>
        <w:rPr>
          <w:rFonts w:ascii="Palatino Linotype" w:hAnsi="Palatino Linotype" w:cs="Tahoma"/>
          <w:sz w:val="22"/>
          <w:szCs w:val="22"/>
        </w:rPr>
      </w:pPr>
    </w:p>
    <w:p w14:paraId="6E887D2D" w14:textId="77777777" w:rsidR="008518DA" w:rsidRDefault="008518DA" w:rsidP="00564755">
      <w:pPr>
        <w:spacing w:line="360" w:lineRule="auto"/>
        <w:jc w:val="both"/>
        <w:rPr>
          <w:rFonts w:ascii="Palatino Linotype" w:hAnsi="Palatino Linotype" w:cs="Tahoma"/>
          <w:sz w:val="22"/>
          <w:szCs w:val="22"/>
        </w:rPr>
      </w:pPr>
    </w:p>
    <w:p w14:paraId="5EBCCBA9" w14:textId="77777777" w:rsidR="00536B5C" w:rsidRPr="00F67BDF" w:rsidRDefault="00536B5C" w:rsidP="00536B5C">
      <w:pPr>
        <w:spacing w:line="360" w:lineRule="auto"/>
        <w:jc w:val="both"/>
        <w:rPr>
          <w:rFonts w:ascii="Palatino Linotype" w:hAnsi="Palatino Linotype" w:cs="Tahoma"/>
          <w:b/>
          <w:sz w:val="22"/>
          <w:szCs w:val="22"/>
        </w:rPr>
      </w:pPr>
      <w:r w:rsidRPr="00F67BDF">
        <w:rPr>
          <w:rFonts w:ascii="Palatino Linotype" w:hAnsi="Palatino Linotype" w:cs="Tahoma"/>
          <w:b/>
          <w:sz w:val="22"/>
          <w:szCs w:val="22"/>
          <w:lang w:val="es-ES"/>
        </w:rPr>
        <w:t xml:space="preserve">CUARTO. </w:t>
      </w:r>
      <w:r w:rsidRPr="00F67BDF">
        <w:rPr>
          <w:rFonts w:ascii="Palatino Linotype" w:hAnsi="Palatino Linotype" w:cs="Tahoma"/>
          <w:b/>
          <w:sz w:val="22"/>
          <w:szCs w:val="22"/>
        </w:rPr>
        <w:t>Marco normativo aplicable en materia de transparencia y acceso a la información pública.</w:t>
      </w:r>
    </w:p>
    <w:p w14:paraId="0BDE08DC" w14:textId="77777777" w:rsidR="00536B5C" w:rsidRPr="00F67BDF" w:rsidRDefault="00536B5C" w:rsidP="00536B5C">
      <w:pPr>
        <w:spacing w:line="360" w:lineRule="auto"/>
        <w:jc w:val="both"/>
        <w:rPr>
          <w:rFonts w:ascii="Palatino Linotype" w:hAnsi="Palatino Linotype" w:cs="Tahoma"/>
          <w:b/>
          <w:sz w:val="22"/>
          <w:szCs w:val="22"/>
        </w:rPr>
      </w:pPr>
    </w:p>
    <w:p w14:paraId="60069A11" w14:textId="77777777" w:rsidR="00536B5C" w:rsidRPr="00F67BDF" w:rsidRDefault="00536B5C" w:rsidP="00536B5C">
      <w:pPr>
        <w:spacing w:line="360" w:lineRule="auto"/>
        <w:contextualSpacing/>
        <w:jc w:val="both"/>
        <w:rPr>
          <w:rFonts w:ascii="Palatino Linotype" w:hAnsi="Palatino Linotype" w:cs="Tahoma"/>
          <w:sz w:val="22"/>
          <w:szCs w:val="22"/>
        </w:rPr>
      </w:pPr>
      <w:r w:rsidRPr="00F67BD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8515637" w14:textId="77777777" w:rsidR="00536B5C" w:rsidRPr="00F67BDF" w:rsidRDefault="00536B5C" w:rsidP="00536B5C">
      <w:pPr>
        <w:spacing w:line="360" w:lineRule="auto"/>
        <w:contextualSpacing/>
        <w:jc w:val="both"/>
        <w:rPr>
          <w:rFonts w:ascii="Palatino Linotype" w:hAnsi="Palatino Linotype" w:cs="Tahoma"/>
          <w:sz w:val="22"/>
          <w:szCs w:val="22"/>
        </w:rPr>
      </w:pPr>
    </w:p>
    <w:p w14:paraId="6365663A" w14:textId="77777777" w:rsidR="00536B5C" w:rsidRPr="00F67BDF" w:rsidRDefault="00536B5C" w:rsidP="00536B5C">
      <w:pPr>
        <w:spacing w:line="360" w:lineRule="auto"/>
        <w:jc w:val="both"/>
        <w:rPr>
          <w:rFonts w:ascii="Palatino Linotype" w:hAnsi="Palatino Linotype" w:cs="Tahoma"/>
          <w:sz w:val="22"/>
          <w:szCs w:val="22"/>
        </w:rPr>
      </w:pPr>
      <w:r w:rsidRPr="00F67BD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40FAECA" w14:textId="77777777" w:rsidR="00536B5C" w:rsidRDefault="00536B5C" w:rsidP="00536B5C">
      <w:pPr>
        <w:spacing w:line="360" w:lineRule="auto"/>
        <w:jc w:val="both"/>
        <w:rPr>
          <w:rFonts w:ascii="Palatino Linotype" w:hAnsi="Palatino Linotype" w:cs="Tahoma"/>
          <w:sz w:val="22"/>
          <w:szCs w:val="22"/>
        </w:rPr>
      </w:pPr>
    </w:p>
    <w:p w14:paraId="28B14E8E" w14:textId="77777777" w:rsidR="00536B5C" w:rsidRDefault="00536B5C" w:rsidP="00536B5C">
      <w:pPr>
        <w:spacing w:line="360" w:lineRule="auto"/>
        <w:jc w:val="both"/>
        <w:rPr>
          <w:rFonts w:ascii="Palatino Linotype" w:hAnsi="Palatino Linotype" w:cs="Tahoma"/>
          <w:sz w:val="22"/>
          <w:szCs w:val="22"/>
        </w:rPr>
      </w:pPr>
      <w:r w:rsidRPr="00F67BD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51F68E4" w14:textId="77777777" w:rsidR="00536B5C" w:rsidRPr="00F67BDF" w:rsidRDefault="00536B5C" w:rsidP="00536B5C">
      <w:pPr>
        <w:spacing w:line="360" w:lineRule="auto"/>
        <w:jc w:val="both"/>
        <w:rPr>
          <w:rFonts w:ascii="Palatino Linotype" w:hAnsi="Palatino Linotype" w:cs="Tahoma"/>
          <w:sz w:val="22"/>
          <w:szCs w:val="22"/>
        </w:rPr>
      </w:pPr>
    </w:p>
    <w:p w14:paraId="1107BB5D" w14:textId="77777777" w:rsidR="00536B5C" w:rsidRPr="00F67BDF" w:rsidRDefault="00536B5C" w:rsidP="00536B5C">
      <w:pPr>
        <w:spacing w:line="360" w:lineRule="auto"/>
        <w:jc w:val="both"/>
        <w:rPr>
          <w:rFonts w:ascii="Palatino Linotype" w:hAnsi="Palatino Linotype" w:cs="Tahoma"/>
          <w:sz w:val="22"/>
          <w:szCs w:val="22"/>
        </w:rPr>
      </w:pPr>
      <w:r w:rsidRPr="00F67BD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0AB8BAA" w14:textId="77777777" w:rsidR="00536B5C" w:rsidRPr="00F67BDF" w:rsidRDefault="00536B5C" w:rsidP="00536B5C">
      <w:pPr>
        <w:spacing w:line="360" w:lineRule="auto"/>
        <w:jc w:val="both"/>
        <w:rPr>
          <w:rFonts w:ascii="Palatino Linotype" w:hAnsi="Palatino Linotype" w:cs="Tahoma"/>
          <w:sz w:val="22"/>
          <w:szCs w:val="22"/>
        </w:rPr>
      </w:pPr>
    </w:p>
    <w:p w14:paraId="0019F166" w14:textId="77777777" w:rsidR="00536B5C" w:rsidRPr="00F67BDF" w:rsidRDefault="00536B5C" w:rsidP="00536B5C">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12, que, quienes generen, recopilen, administren, manejen, procesen, archiven o conserven información pública serán responsables de la misma.</w:t>
      </w:r>
    </w:p>
    <w:p w14:paraId="7E4E743F" w14:textId="77777777" w:rsidR="00536B5C" w:rsidRPr="00F67BDF" w:rsidRDefault="00536B5C" w:rsidP="00536B5C">
      <w:pPr>
        <w:spacing w:line="360" w:lineRule="auto"/>
        <w:jc w:val="both"/>
        <w:rPr>
          <w:rFonts w:ascii="Palatino Linotype" w:hAnsi="Palatino Linotype" w:cs="Tahoma"/>
          <w:sz w:val="22"/>
          <w:szCs w:val="22"/>
        </w:rPr>
      </w:pPr>
    </w:p>
    <w:p w14:paraId="22CE9CCF" w14:textId="77777777" w:rsidR="00536B5C" w:rsidRPr="00F67BDF" w:rsidRDefault="00536B5C" w:rsidP="00536B5C">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B62857E" w14:textId="77777777" w:rsidR="00536B5C" w:rsidRPr="00F67BDF" w:rsidRDefault="00536B5C" w:rsidP="00536B5C">
      <w:pPr>
        <w:spacing w:line="360" w:lineRule="auto"/>
        <w:jc w:val="both"/>
        <w:rPr>
          <w:rFonts w:ascii="Palatino Linotype" w:hAnsi="Palatino Linotype" w:cs="Tahoma"/>
          <w:sz w:val="22"/>
          <w:szCs w:val="22"/>
        </w:rPr>
      </w:pPr>
    </w:p>
    <w:p w14:paraId="3DA819E0" w14:textId="77777777" w:rsidR="00536B5C" w:rsidRPr="00F67BDF" w:rsidRDefault="00536B5C" w:rsidP="00536B5C">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E763050" w14:textId="77777777" w:rsidR="00E83D1F" w:rsidRDefault="00E83D1F" w:rsidP="00564755">
      <w:pPr>
        <w:spacing w:line="360" w:lineRule="auto"/>
        <w:jc w:val="both"/>
        <w:rPr>
          <w:rFonts w:ascii="Palatino Linotype" w:hAnsi="Palatino Linotype" w:cs="Tahoma"/>
          <w:sz w:val="22"/>
          <w:szCs w:val="22"/>
        </w:rPr>
      </w:pPr>
    </w:p>
    <w:p w14:paraId="5D7A96B4" w14:textId="77777777" w:rsidR="00536B5C" w:rsidRPr="00F67BDF" w:rsidRDefault="00536B5C" w:rsidP="00536B5C">
      <w:pPr>
        <w:spacing w:line="360" w:lineRule="auto"/>
        <w:jc w:val="both"/>
        <w:rPr>
          <w:rFonts w:ascii="Palatino Linotype" w:hAnsi="Palatino Linotype" w:cs="Tahoma"/>
          <w:b/>
          <w:sz w:val="22"/>
          <w:szCs w:val="22"/>
          <w:lang w:val="es-ES"/>
        </w:rPr>
      </w:pPr>
      <w:r w:rsidRPr="00F67BDF">
        <w:rPr>
          <w:rFonts w:ascii="Palatino Linotype" w:hAnsi="Palatino Linotype" w:cs="Tahoma"/>
          <w:b/>
          <w:sz w:val="22"/>
          <w:szCs w:val="22"/>
          <w:lang w:val="es-ES"/>
        </w:rPr>
        <w:t>QUINTO. Estudio de Fondo.</w:t>
      </w:r>
    </w:p>
    <w:p w14:paraId="74F57DD0" w14:textId="77777777" w:rsidR="00536B5C" w:rsidRDefault="00536B5C" w:rsidP="00564755">
      <w:pPr>
        <w:spacing w:line="360" w:lineRule="auto"/>
        <w:jc w:val="both"/>
        <w:rPr>
          <w:rFonts w:ascii="Palatino Linotype" w:hAnsi="Palatino Linotype" w:cs="Tahoma"/>
          <w:sz w:val="22"/>
          <w:szCs w:val="22"/>
        </w:rPr>
      </w:pPr>
    </w:p>
    <w:p w14:paraId="342505D3" w14:textId="4B9AE5B7" w:rsidR="00912BFE" w:rsidRDefault="009D516C" w:rsidP="00564755">
      <w:pPr>
        <w:spacing w:line="360" w:lineRule="auto"/>
        <w:jc w:val="both"/>
        <w:rPr>
          <w:rFonts w:ascii="Palatino Linotype" w:hAnsi="Palatino Linotype" w:cs="Tahoma"/>
          <w:sz w:val="22"/>
          <w:szCs w:val="22"/>
          <w:lang w:val="es-ES"/>
        </w:rPr>
      </w:pPr>
      <w:r>
        <w:rPr>
          <w:rFonts w:ascii="Palatino Linotype" w:hAnsi="Palatino Linotype" w:cs="Tahoma"/>
          <w:sz w:val="22"/>
          <w:szCs w:val="22"/>
        </w:rPr>
        <w:t xml:space="preserve">Una vez establecido, se procede analizar los dos agravios realizados por el Particular, los cuales serán analizados de manera conjunta, pues ambos corresponden a la negativa a proporcionar los </w:t>
      </w:r>
      <w:r w:rsidR="00912BFE" w:rsidRPr="00912BFE">
        <w:rPr>
          <w:rFonts w:ascii="Palatino Linotype" w:hAnsi="Palatino Linotype" w:cs="Tahoma"/>
          <w:sz w:val="22"/>
          <w:szCs w:val="22"/>
          <w:lang w:val="es-ES"/>
        </w:rPr>
        <w:t>Formatos PbRM-1a, PbRM-1b, PbRM-1c, PbRM-1d, PbRM-1e y PbRM-02</w:t>
      </w:r>
      <w:r w:rsidR="00D33038">
        <w:rPr>
          <w:rFonts w:ascii="Palatino Linotype" w:hAnsi="Palatino Linotype" w:cs="Tahoma"/>
          <w:sz w:val="22"/>
          <w:szCs w:val="22"/>
          <w:lang w:val="es-ES"/>
        </w:rPr>
        <w:t>a</w:t>
      </w:r>
      <w:r w:rsidR="00912BFE">
        <w:rPr>
          <w:rFonts w:ascii="Palatino Linotype" w:hAnsi="Palatino Linotype" w:cs="Tahoma"/>
          <w:sz w:val="22"/>
          <w:szCs w:val="22"/>
          <w:lang w:val="es-ES"/>
        </w:rPr>
        <w:t>.</w:t>
      </w:r>
    </w:p>
    <w:p w14:paraId="112D42BD" w14:textId="77777777" w:rsidR="00912BFE" w:rsidRDefault="00912BFE" w:rsidP="00564755">
      <w:pPr>
        <w:spacing w:line="360" w:lineRule="auto"/>
        <w:jc w:val="both"/>
        <w:rPr>
          <w:rFonts w:ascii="Palatino Linotype" w:hAnsi="Palatino Linotype" w:cs="Tahoma"/>
          <w:sz w:val="22"/>
          <w:szCs w:val="22"/>
          <w:lang w:val="es-ES"/>
        </w:rPr>
      </w:pPr>
    </w:p>
    <w:p w14:paraId="47286998" w14:textId="4AEAD44C" w:rsidR="00E83D1F" w:rsidRDefault="00912BFE" w:rsidP="00564755">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principio, dado que el Particular </w:t>
      </w:r>
      <w:r w:rsidR="00710A66">
        <w:rPr>
          <w:rFonts w:ascii="Palatino Linotype" w:hAnsi="Palatino Linotype" w:cs="Tahoma"/>
          <w:sz w:val="22"/>
          <w:szCs w:val="22"/>
          <w:lang w:val="es-ES"/>
        </w:rPr>
        <w:t xml:space="preserve">solicitó los formatos del </w:t>
      </w:r>
      <w:r w:rsidRPr="00912BFE">
        <w:rPr>
          <w:rFonts w:ascii="Palatino Linotype" w:hAnsi="Palatino Linotype" w:cs="Tahoma"/>
          <w:sz w:val="22"/>
          <w:szCs w:val="22"/>
          <w:lang w:val="es-ES"/>
        </w:rPr>
        <w:t>Manual para la Planeación, Programación y Presupuesto de Egresos Municipal para el Ejercicio Fiscal dos mil dieciocho</w:t>
      </w:r>
      <w:r w:rsidR="00710A66">
        <w:rPr>
          <w:rFonts w:ascii="Palatino Linotype" w:hAnsi="Palatino Linotype" w:cs="Tahoma"/>
          <w:sz w:val="22"/>
          <w:szCs w:val="22"/>
          <w:lang w:val="es-ES"/>
        </w:rPr>
        <w:t>, se puede colegir que requiere la información para dicho ejercicio.</w:t>
      </w:r>
    </w:p>
    <w:p w14:paraId="5CE6FDA3" w14:textId="77777777" w:rsidR="00710A66" w:rsidRDefault="00710A66" w:rsidP="00564755">
      <w:pPr>
        <w:spacing w:line="360" w:lineRule="auto"/>
        <w:jc w:val="both"/>
        <w:rPr>
          <w:rFonts w:ascii="Palatino Linotype" w:hAnsi="Palatino Linotype" w:cs="Tahoma"/>
          <w:sz w:val="22"/>
          <w:szCs w:val="22"/>
          <w:lang w:val="es-ES"/>
        </w:rPr>
      </w:pPr>
    </w:p>
    <w:p w14:paraId="06D82743" w14:textId="5A85FDBB" w:rsidR="00710A66" w:rsidRPr="00710A66" w:rsidRDefault="00710A66" w:rsidP="00710A66">
      <w:pPr>
        <w:spacing w:line="360" w:lineRule="auto"/>
        <w:jc w:val="both"/>
        <w:rPr>
          <w:rFonts w:ascii="Palatino Linotype" w:hAnsi="Palatino Linotype" w:cs="Tahoma"/>
          <w:bCs/>
          <w:sz w:val="22"/>
          <w:szCs w:val="22"/>
        </w:rPr>
      </w:pPr>
      <w:r>
        <w:rPr>
          <w:rFonts w:ascii="Palatino Linotype" w:hAnsi="Palatino Linotype" w:cs="Tahoma"/>
          <w:sz w:val="22"/>
          <w:szCs w:val="22"/>
          <w:lang w:val="es-ES"/>
        </w:rPr>
        <w:t xml:space="preserve">Ahora bien, </w:t>
      </w:r>
      <w:r w:rsidRPr="00710A66">
        <w:rPr>
          <w:rFonts w:ascii="Palatino Linotype" w:hAnsi="Palatino Linotype" w:cs="Tahoma"/>
          <w:sz w:val="22"/>
          <w:szCs w:val="22"/>
        </w:rPr>
        <w:t xml:space="preserve">cabe señalar que el Centro de Control de Confianza del Estado de México, turnó la solicitud de información, tanto en respuesta, como durante la sustanciación del presente medio de impugnación, a la </w:t>
      </w:r>
      <w:r w:rsidR="00C47A71" w:rsidRPr="00C47A71">
        <w:rPr>
          <w:rFonts w:ascii="Palatino Linotype" w:hAnsi="Palatino Linotype" w:cs="Tahoma"/>
          <w:sz w:val="22"/>
          <w:szCs w:val="22"/>
        </w:rPr>
        <w:t>Unidad de Información, Planeación, Programación y Evaluación</w:t>
      </w:r>
      <w:r w:rsidRPr="00710A66">
        <w:rPr>
          <w:rFonts w:ascii="Palatino Linotype" w:hAnsi="Palatino Linotype" w:cs="Tahoma"/>
          <w:sz w:val="22"/>
          <w:szCs w:val="22"/>
        </w:rPr>
        <w:t xml:space="preserve">; </w:t>
      </w:r>
      <w:r w:rsidRPr="00710A66">
        <w:rPr>
          <w:rFonts w:ascii="Palatino Linotype" w:hAnsi="Palatino Linotype" w:cs="Tahoma"/>
          <w:bCs/>
          <w:sz w:val="22"/>
          <w:szCs w:val="22"/>
        </w:rPr>
        <w:t xml:space="preserve">por lo que, es necesario hacer referencia </w:t>
      </w:r>
      <w:r w:rsidRPr="00710A66">
        <w:rPr>
          <w:rFonts w:ascii="Palatino Linotype" w:hAnsi="Palatino Linotype" w:cs="Tahoma"/>
          <w:sz w:val="22"/>
          <w:szCs w:val="22"/>
        </w:rPr>
        <w:t xml:space="preserve">al </w:t>
      </w:r>
      <w:r w:rsidRPr="00710A66">
        <w:rPr>
          <w:rFonts w:ascii="Palatino Linotype" w:hAnsi="Palatino Linotype" w:cs="Tahoma"/>
          <w:b/>
          <w:sz w:val="22"/>
          <w:szCs w:val="22"/>
        </w:rPr>
        <w:t>procedimiento de búsqueda que deben de seguir los Sujetos Obligados para localizar la información</w:t>
      </w:r>
      <w:r w:rsidRPr="00710A66">
        <w:rPr>
          <w:rFonts w:ascii="Palatino Linotype" w:hAnsi="Palatino Linotype" w:cs="Tahoma"/>
          <w:sz w:val="22"/>
          <w:szCs w:val="22"/>
        </w:rPr>
        <w:t>, el cual se encuentra previsto en los artículos</w:t>
      </w:r>
      <w:r w:rsidRPr="00710A66">
        <w:rPr>
          <w:rFonts w:ascii="Palatino Linotype" w:hAnsi="Palatino Linotype" w:cs="Tahoma"/>
          <w:bCs/>
          <w:sz w:val="22"/>
          <w:szCs w:val="22"/>
        </w:rPr>
        <w:t xml:space="preserve"> 160 y 162 de la Ley de Transparencia y Acceso a la Información Pública del Estado de México y Municipios,  mismo que es el siguiente:</w:t>
      </w:r>
    </w:p>
    <w:p w14:paraId="2D66DC61" w14:textId="77777777" w:rsidR="00710A66" w:rsidRPr="00710A66" w:rsidRDefault="00710A66" w:rsidP="00710A66">
      <w:pPr>
        <w:spacing w:line="360" w:lineRule="auto"/>
        <w:jc w:val="both"/>
        <w:rPr>
          <w:rFonts w:ascii="Palatino Linotype" w:hAnsi="Palatino Linotype" w:cs="Tahoma"/>
          <w:bCs/>
          <w:sz w:val="22"/>
          <w:szCs w:val="22"/>
          <w:lang w:val="es-ES"/>
        </w:rPr>
      </w:pPr>
    </w:p>
    <w:p w14:paraId="5E214110" w14:textId="77777777" w:rsidR="00710A66" w:rsidRPr="00710A66" w:rsidRDefault="00710A66" w:rsidP="004F4D05">
      <w:pPr>
        <w:numPr>
          <w:ilvl w:val="0"/>
          <w:numId w:val="2"/>
        </w:numPr>
        <w:spacing w:line="360" w:lineRule="auto"/>
        <w:jc w:val="both"/>
        <w:rPr>
          <w:rFonts w:ascii="Palatino Linotype" w:hAnsi="Palatino Linotype" w:cs="Tahoma"/>
          <w:bCs/>
          <w:sz w:val="22"/>
          <w:szCs w:val="22"/>
          <w:lang w:val="es-ES"/>
        </w:rPr>
      </w:pPr>
      <w:r w:rsidRPr="00710A66">
        <w:rPr>
          <w:rFonts w:ascii="Palatino Linotype" w:hAnsi="Palatino Linotype" w:cs="Tahoma"/>
          <w:b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CC9FC1F" w14:textId="77777777" w:rsidR="00710A66" w:rsidRPr="00710A66" w:rsidRDefault="00710A66" w:rsidP="00710A66">
      <w:pPr>
        <w:spacing w:line="360" w:lineRule="auto"/>
        <w:jc w:val="both"/>
        <w:rPr>
          <w:rFonts w:ascii="Palatino Linotype" w:hAnsi="Palatino Linotype" w:cs="Tahoma"/>
          <w:bCs/>
          <w:sz w:val="22"/>
          <w:szCs w:val="22"/>
          <w:lang w:val="es-ES"/>
        </w:rPr>
      </w:pPr>
    </w:p>
    <w:p w14:paraId="2BDA0E06" w14:textId="77777777" w:rsidR="00710A66" w:rsidRPr="00710A66" w:rsidRDefault="00710A66" w:rsidP="004F4D05">
      <w:pPr>
        <w:numPr>
          <w:ilvl w:val="0"/>
          <w:numId w:val="2"/>
        </w:numPr>
        <w:spacing w:line="360" w:lineRule="auto"/>
        <w:jc w:val="both"/>
        <w:rPr>
          <w:rFonts w:ascii="Palatino Linotype" w:hAnsi="Palatino Linotype" w:cs="Tahoma"/>
          <w:bCs/>
          <w:sz w:val="22"/>
          <w:szCs w:val="22"/>
          <w:lang w:val="es-ES"/>
        </w:rPr>
      </w:pPr>
      <w:r w:rsidRPr="00710A66">
        <w:rPr>
          <w:rFonts w:ascii="Palatino Linotype" w:hAnsi="Palatino Linotype" w:cs="Tahoma"/>
          <w:b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758D112" w14:textId="77777777" w:rsidR="00710A66" w:rsidRPr="00710A66" w:rsidRDefault="00710A66" w:rsidP="00710A66">
      <w:pPr>
        <w:spacing w:line="360" w:lineRule="auto"/>
        <w:jc w:val="both"/>
        <w:rPr>
          <w:rFonts w:ascii="Palatino Linotype" w:hAnsi="Palatino Linotype" w:cs="Tahoma"/>
          <w:b/>
          <w:bCs/>
          <w:sz w:val="22"/>
          <w:szCs w:val="22"/>
        </w:rPr>
      </w:pPr>
    </w:p>
    <w:p w14:paraId="3CA58221" w14:textId="69998F13" w:rsidR="00710A66" w:rsidRPr="00C47A71" w:rsidRDefault="00710A66" w:rsidP="00710A66">
      <w:pPr>
        <w:spacing w:line="360" w:lineRule="auto"/>
        <w:jc w:val="both"/>
        <w:rPr>
          <w:rFonts w:ascii="Palatino Linotype" w:hAnsi="Palatino Linotype" w:cs="Tahoma"/>
          <w:sz w:val="22"/>
          <w:szCs w:val="22"/>
          <w:lang w:val="es-ES"/>
        </w:rPr>
      </w:pPr>
      <w:r w:rsidRPr="00710A66">
        <w:rPr>
          <w:rFonts w:ascii="Palatino Linotype" w:hAnsi="Palatino Linotype" w:cs="Tahoma"/>
          <w:bCs/>
          <w:sz w:val="22"/>
          <w:szCs w:val="22"/>
        </w:rPr>
        <w:t>Atendiendo a lo dispuesto en los preceptos legales de referencia, a efecto de determinar si el Sujeto Obligado siguió el procedimiento antes descrito, es necesario citar</w:t>
      </w:r>
      <w:r w:rsidR="006308DE">
        <w:rPr>
          <w:rFonts w:ascii="Palatino Linotype" w:hAnsi="Palatino Linotype" w:cs="Tahoma"/>
          <w:bCs/>
          <w:sz w:val="22"/>
          <w:szCs w:val="22"/>
        </w:rPr>
        <w:t xml:space="preserve"> el Manual General de Organización del Centro de Control de Confianza del Estado de México (consultado en </w:t>
      </w:r>
      <w:hyperlink r:id="rId18" w:history="1">
        <w:r w:rsidR="006308DE" w:rsidRPr="006308DE">
          <w:rPr>
            <w:rStyle w:val="Hipervnculo"/>
            <w:rFonts w:ascii="Palatino Linotype" w:hAnsi="Palatino Linotype" w:cs="Tahoma"/>
            <w:bCs/>
            <w:sz w:val="22"/>
            <w:szCs w:val="22"/>
          </w:rPr>
          <w:t>http://legislacion.edomex.gob.mx/sites/legislacion.edomex.gob.mx/files/files/vigentes/jul053.PDF</w:t>
        </w:r>
      </w:hyperlink>
      <w:r w:rsidR="006308DE">
        <w:rPr>
          <w:rFonts w:ascii="Palatino Linotype" w:hAnsi="Palatino Linotype" w:cs="Tahoma"/>
          <w:bCs/>
          <w:sz w:val="22"/>
          <w:szCs w:val="22"/>
        </w:rPr>
        <w:t>, el veinticuatro de abril de dos mil diecinueve, a las doce horas)</w:t>
      </w:r>
      <w:r w:rsidR="00FB79BA">
        <w:rPr>
          <w:rFonts w:ascii="Palatino Linotype" w:hAnsi="Palatino Linotype" w:cs="Tahoma"/>
          <w:bCs/>
          <w:sz w:val="22"/>
          <w:szCs w:val="22"/>
        </w:rPr>
        <w:t xml:space="preserve">, que en su apartado VII. Objetivo y Funciones por Unidad Administrativa, punto 202H10300, establece que el Sujeto Obligad cuenta con diversas áreas para el ejercicio de sus atribuciones, entre las cuales se localiza la </w:t>
      </w:r>
      <w:r w:rsidR="00FB79BA">
        <w:rPr>
          <w:rFonts w:ascii="Palatino Linotype" w:hAnsi="Palatino Linotype" w:cs="Tahoma"/>
          <w:b/>
          <w:bCs/>
          <w:sz w:val="22"/>
          <w:szCs w:val="22"/>
        </w:rPr>
        <w:t>Unidad de Información, Planeación, Programación y Evaluación</w:t>
      </w:r>
      <w:r w:rsidR="00C47A71">
        <w:rPr>
          <w:rFonts w:ascii="Palatino Linotype" w:hAnsi="Palatino Linotype" w:cs="Tahoma"/>
          <w:b/>
          <w:bCs/>
          <w:sz w:val="22"/>
          <w:szCs w:val="22"/>
        </w:rPr>
        <w:t xml:space="preserve">, </w:t>
      </w:r>
      <w:r w:rsidR="00C47A71">
        <w:rPr>
          <w:rFonts w:ascii="Palatino Linotype" w:hAnsi="Palatino Linotype" w:cs="Tahoma"/>
          <w:bCs/>
          <w:sz w:val="22"/>
          <w:szCs w:val="22"/>
        </w:rPr>
        <w:t xml:space="preserve">encargada de coordinar y ejecutar las acciones en materia de planeación, programación y evaluación de los alcances de los programas del Ente Recurrido, al fin de asegurar el cumplimiento de los objetivos y metas establecidas en el programa anual; además, que conforme al </w:t>
      </w:r>
      <w:r w:rsidR="00054FE0">
        <w:rPr>
          <w:rFonts w:ascii="Palatino Linotype" w:hAnsi="Palatino Linotype" w:cs="Tahoma"/>
          <w:bCs/>
          <w:sz w:val="22"/>
          <w:szCs w:val="22"/>
        </w:rPr>
        <w:t xml:space="preserve">apartado 1.4, del </w:t>
      </w:r>
      <w:r w:rsidR="00054FE0" w:rsidRPr="00054FE0">
        <w:rPr>
          <w:rFonts w:ascii="Palatino Linotype" w:hAnsi="Palatino Linotype" w:cs="Tahoma"/>
          <w:bCs/>
          <w:sz w:val="22"/>
          <w:szCs w:val="22"/>
        </w:rPr>
        <w:t>Manual para la Formulación del Anteproyecto de Presupuesto de Egresos del Gobierno del Estado de México, para el Ejercicio Fiscal dos mil dieciocho</w:t>
      </w:r>
      <w:r w:rsidR="00054FE0">
        <w:rPr>
          <w:rFonts w:ascii="Palatino Linotype" w:hAnsi="Palatino Linotype" w:cs="Tahoma"/>
          <w:bCs/>
          <w:sz w:val="22"/>
          <w:szCs w:val="22"/>
        </w:rPr>
        <w:t>, dicha área será la encarga de revisar y validad los formatos respectivos.</w:t>
      </w:r>
    </w:p>
    <w:p w14:paraId="4512CA47" w14:textId="77777777" w:rsidR="00912BFE" w:rsidRDefault="00912BFE" w:rsidP="00564755">
      <w:pPr>
        <w:spacing w:line="360" w:lineRule="auto"/>
        <w:jc w:val="both"/>
        <w:rPr>
          <w:rFonts w:ascii="Palatino Linotype" w:hAnsi="Palatino Linotype" w:cs="Tahoma"/>
          <w:sz w:val="22"/>
          <w:szCs w:val="22"/>
          <w:lang w:val="es-ES"/>
        </w:rPr>
      </w:pPr>
    </w:p>
    <w:p w14:paraId="59690003" w14:textId="0A61B603" w:rsidR="00054FE0" w:rsidRPr="00054FE0" w:rsidRDefault="00054FE0" w:rsidP="00054FE0">
      <w:pPr>
        <w:spacing w:line="360" w:lineRule="auto"/>
        <w:jc w:val="both"/>
        <w:rPr>
          <w:rFonts w:ascii="Palatino Linotype" w:hAnsi="Palatino Linotype" w:cs="Tahoma"/>
          <w:sz w:val="22"/>
          <w:szCs w:val="22"/>
        </w:rPr>
      </w:pPr>
      <w:r w:rsidRPr="00054FE0">
        <w:rPr>
          <w:rFonts w:ascii="Palatino Linotype" w:hAnsi="Palatino Linotype" w:cs="Tahoma"/>
          <w:sz w:val="22"/>
          <w:szCs w:val="22"/>
        </w:rPr>
        <w:t>Conforme lo anterior, se advierte que el Centro de Control de Confianza del Estado de México cuenta con un área específica para conocer de la solicitud de información, a saber,</w:t>
      </w:r>
      <w:r w:rsidRPr="00054FE0">
        <w:rPr>
          <w:rFonts w:ascii="Palatino Linotype" w:hAnsi="Palatino Linotype" w:cs="Tahoma"/>
          <w:b/>
          <w:sz w:val="22"/>
          <w:szCs w:val="22"/>
        </w:rPr>
        <w:t xml:space="preserve"> la </w:t>
      </w:r>
      <w:r w:rsidRPr="00054FE0">
        <w:rPr>
          <w:rFonts w:ascii="Palatino Linotype" w:hAnsi="Palatino Linotype" w:cs="Tahoma"/>
          <w:b/>
          <w:bCs/>
          <w:sz w:val="22"/>
          <w:szCs w:val="22"/>
        </w:rPr>
        <w:t>Unidad de Información, Planeación, Programación y Evaluación</w:t>
      </w:r>
      <w:r w:rsidRPr="00054FE0">
        <w:rPr>
          <w:rFonts w:ascii="Palatino Linotype" w:hAnsi="Palatino Linotype" w:cs="Tahoma"/>
          <w:sz w:val="22"/>
          <w:szCs w:val="22"/>
        </w:rPr>
        <w:t xml:space="preserve">, al conocer de todas las cuestiones relaciones </w:t>
      </w:r>
      <w:r>
        <w:rPr>
          <w:rFonts w:ascii="Palatino Linotype" w:hAnsi="Palatino Linotype" w:cs="Tahoma"/>
          <w:sz w:val="22"/>
          <w:szCs w:val="22"/>
        </w:rPr>
        <w:t>con los formatos requeridos,</w:t>
      </w:r>
      <w:r w:rsidRPr="00054FE0">
        <w:rPr>
          <w:rFonts w:ascii="Palatino Linotype" w:hAnsi="Palatino Linotype" w:cs="Tahoma"/>
          <w:b/>
          <w:sz w:val="22"/>
          <w:szCs w:val="22"/>
        </w:rPr>
        <w:t xml:space="preserve"> </w:t>
      </w:r>
      <w:r w:rsidRPr="00054FE0">
        <w:rPr>
          <w:rFonts w:ascii="Palatino Linotype" w:hAnsi="Palatino Linotype" w:cs="Tahoma"/>
          <w:sz w:val="22"/>
          <w:szCs w:val="22"/>
        </w:rPr>
        <w:t xml:space="preserve">por lo que, se colige que cumplió con el procedimiento de búsqueda establecido en el artículo 162 de la Ley de la materia, pues gestionó el requerimiento a la única área competente para conocer de lo peticionado. </w:t>
      </w:r>
    </w:p>
    <w:p w14:paraId="7467C1DC" w14:textId="77777777" w:rsidR="00E83D1F" w:rsidRDefault="00E83D1F" w:rsidP="00564755">
      <w:pPr>
        <w:spacing w:line="360" w:lineRule="auto"/>
        <w:jc w:val="both"/>
        <w:rPr>
          <w:rFonts w:ascii="Palatino Linotype" w:hAnsi="Palatino Linotype" w:cs="Tahoma"/>
          <w:sz w:val="22"/>
          <w:szCs w:val="22"/>
        </w:rPr>
      </w:pPr>
    </w:p>
    <w:p w14:paraId="4B85065D" w14:textId="01F2B8BC" w:rsidR="00E83D1F" w:rsidRDefault="00596802" w:rsidP="00564755">
      <w:pPr>
        <w:spacing w:line="360" w:lineRule="auto"/>
        <w:jc w:val="both"/>
        <w:rPr>
          <w:rFonts w:ascii="Palatino Linotype" w:hAnsi="Palatino Linotype" w:cs="Tahoma"/>
          <w:sz w:val="22"/>
          <w:szCs w:val="22"/>
        </w:rPr>
      </w:pPr>
      <w:r>
        <w:rPr>
          <w:rFonts w:ascii="Palatino Linotype" w:hAnsi="Palatino Linotype" w:cs="Tahoma"/>
          <w:sz w:val="22"/>
          <w:szCs w:val="22"/>
        </w:rPr>
        <w:t>Ahora bien, en respuesta dicha área precisó que los formatos solicitados</w:t>
      </w:r>
      <w:r w:rsidR="00390943">
        <w:rPr>
          <w:rFonts w:ascii="Palatino Linotype" w:hAnsi="Palatino Linotype" w:cs="Tahoma"/>
          <w:sz w:val="22"/>
          <w:szCs w:val="22"/>
        </w:rPr>
        <w:t xml:space="preserve"> correspondían al Manual de Planeación, Programación y Presupuesto de Egresos Municipal para el Ejercicio Fiscal dos mil dieciocho</w:t>
      </w:r>
      <w:r>
        <w:rPr>
          <w:rFonts w:ascii="Palatino Linotype" w:hAnsi="Palatino Linotype" w:cs="Tahoma"/>
          <w:sz w:val="22"/>
          <w:szCs w:val="22"/>
        </w:rPr>
        <w:t>,</w:t>
      </w:r>
      <w:r w:rsidR="00390943">
        <w:rPr>
          <w:rFonts w:ascii="Palatino Linotype" w:hAnsi="Palatino Linotype" w:cs="Tahoma"/>
          <w:sz w:val="22"/>
          <w:szCs w:val="22"/>
        </w:rPr>
        <w:t xml:space="preserve"> a saber,</w:t>
      </w:r>
      <w:r>
        <w:rPr>
          <w:rFonts w:ascii="Palatino Linotype" w:hAnsi="Palatino Linotype" w:cs="Tahoma"/>
          <w:sz w:val="22"/>
          <w:szCs w:val="22"/>
        </w:rPr>
        <w:t xml:space="preserve"> los siguientes:</w:t>
      </w:r>
    </w:p>
    <w:p w14:paraId="705CCE68" w14:textId="77777777" w:rsidR="00596802" w:rsidRDefault="00596802" w:rsidP="00564755">
      <w:pPr>
        <w:spacing w:line="360" w:lineRule="auto"/>
        <w:jc w:val="both"/>
        <w:rPr>
          <w:rFonts w:ascii="Palatino Linotype" w:hAnsi="Palatino Linotype" w:cs="Tahoma"/>
          <w:sz w:val="22"/>
          <w:szCs w:val="22"/>
        </w:rPr>
      </w:pPr>
    </w:p>
    <w:p w14:paraId="6CBB4AB5" w14:textId="68DE96C0" w:rsidR="00596802" w:rsidRPr="00596802" w:rsidRDefault="00596802" w:rsidP="004F4D05">
      <w:pPr>
        <w:pStyle w:val="Prrafodelista"/>
        <w:numPr>
          <w:ilvl w:val="0"/>
          <w:numId w:val="8"/>
        </w:numPr>
        <w:spacing w:line="360" w:lineRule="auto"/>
        <w:jc w:val="both"/>
        <w:rPr>
          <w:rFonts w:ascii="Palatino Linotype" w:hAnsi="Palatino Linotype" w:cs="Tahoma"/>
          <w:szCs w:val="22"/>
        </w:rPr>
      </w:pPr>
      <w:r w:rsidRPr="00596802">
        <w:rPr>
          <w:rFonts w:ascii="Palatino Linotype" w:hAnsi="Palatino Linotype" w:cs="Tahoma"/>
          <w:b/>
          <w:szCs w:val="22"/>
        </w:rPr>
        <w:t>PbRM-01a</w:t>
      </w:r>
      <w:r>
        <w:rPr>
          <w:rFonts w:ascii="Palatino Linotype" w:hAnsi="Palatino Linotype" w:cs="Tahoma"/>
          <w:szCs w:val="22"/>
        </w:rPr>
        <w:t xml:space="preserve"> “</w:t>
      </w:r>
      <w:r w:rsidRPr="00596802">
        <w:rPr>
          <w:rFonts w:ascii="Palatino Linotype" w:hAnsi="Palatino Linotype" w:cs="Tahoma"/>
          <w:szCs w:val="22"/>
        </w:rPr>
        <w:t>Dimensión Administrativa del Gasto</w:t>
      </w:r>
      <w:r>
        <w:rPr>
          <w:rFonts w:ascii="Palatino Linotype" w:hAnsi="Palatino Linotype" w:cs="Tahoma"/>
          <w:szCs w:val="22"/>
        </w:rPr>
        <w:t>”</w:t>
      </w:r>
      <w:r w:rsidRPr="00596802">
        <w:rPr>
          <w:rFonts w:ascii="Palatino Linotype" w:hAnsi="Palatino Linotype" w:cs="Tahoma"/>
          <w:szCs w:val="22"/>
        </w:rPr>
        <w:t>, su propósito es identificar a nivel de estructura administrativa los programas y proyectos de los cuales se responsabiliza cada una de las Dependencias y Organismos Municipales.</w:t>
      </w:r>
    </w:p>
    <w:p w14:paraId="682DE661" w14:textId="77777777" w:rsidR="00596802" w:rsidRPr="00596802" w:rsidRDefault="00596802" w:rsidP="00596802">
      <w:pPr>
        <w:spacing w:line="360" w:lineRule="auto"/>
        <w:jc w:val="both"/>
        <w:rPr>
          <w:rFonts w:ascii="Palatino Linotype" w:hAnsi="Palatino Linotype" w:cs="Tahoma"/>
          <w:sz w:val="22"/>
          <w:szCs w:val="22"/>
        </w:rPr>
      </w:pPr>
    </w:p>
    <w:p w14:paraId="43EC1558" w14:textId="364359F4" w:rsidR="00596802" w:rsidRPr="00596802" w:rsidRDefault="00596802" w:rsidP="004F4D05">
      <w:pPr>
        <w:pStyle w:val="Prrafodelista"/>
        <w:numPr>
          <w:ilvl w:val="0"/>
          <w:numId w:val="8"/>
        </w:numPr>
        <w:spacing w:line="360" w:lineRule="auto"/>
        <w:jc w:val="both"/>
        <w:rPr>
          <w:rFonts w:ascii="Palatino Linotype" w:hAnsi="Palatino Linotype" w:cs="Tahoma"/>
          <w:szCs w:val="22"/>
        </w:rPr>
      </w:pPr>
      <w:r w:rsidRPr="00596802">
        <w:rPr>
          <w:rFonts w:ascii="Palatino Linotype" w:hAnsi="Palatino Linotype" w:cs="Tahoma"/>
          <w:b/>
          <w:szCs w:val="22"/>
        </w:rPr>
        <w:t>PbRM-01b</w:t>
      </w:r>
      <w:r w:rsidRPr="00596802">
        <w:rPr>
          <w:rFonts w:ascii="Palatino Linotype" w:hAnsi="Palatino Linotype" w:cs="Tahoma"/>
          <w:szCs w:val="22"/>
        </w:rPr>
        <w:t xml:space="preserve"> </w:t>
      </w:r>
      <w:r>
        <w:rPr>
          <w:rFonts w:ascii="Palatino Linotype" w:hAnsi="Palatino Linotype" w:cs="Tahoma"/>
          <w:szCs w:val="22"/>
        </w:rPr>
        <w:t>“</w:t>
      </w:r>
      <w:r w:rsidRPr="00596802">
        <w:rPr>
          <w:rFonts w:ascii="Palatino Linotype" w:hAnsi="Palatino Linotype" w:cs="Tahoma"/>
          <w:szCs w:val="22"/>
        </w:rPr>
        <w:t>Descripción del Programa Presupuestario</w:t>
      </w:r>
      <w:r>
        <w:rPr>
          <w:rFonts w:ascii="Palatino Linotype" w:hAnsi="Palatino Linotype" w:cs="Tahoma"/>
          <w:szCs w:val="22"/>
        </w:rPr>
        <w:t>”</w:t>
      </w:r>
      <w:r w:rsidRPr="00596802">
        <w:rPr>
          <w:rFonts w:ascii="Palatino Linotype" w:hAnsi="Palatino Linotype" w:cs="Tahoma"/>
          <w:szCs w:val="22"/>
        </w:rPr>
        <w:t>, su propósito es identificar el diagnóstico del entorno de responsabilidad del programa respectivo para sustentar y justificar la asignación del presupuesto del ejercicio fiscal 2018.</w:t>
      </w:r>
    </w:p>
    <w:p w14:paraId="52FB9F58" w14:textId="77777777" w:rsidR="00596802" w:rsidRPr="00596802" w:rsidRDefault="00596802" w:rsidP="00596802">
      <w:pPr>
        <w:spacing w:line="360" w:lineRule="auto"/>
        <w:jc w:val="both"/>
        <w:rPr>
          <w:rFonts w:ascii="Palatino Linotype" w:hAnsi="Palatino Linotype" w:cs="Tahoma"/>
          <w:sz w:val="22"/>
          <w:szCs w:val="22"/>
        </w:rPr>
      </w:pPr>
    </w:p>
    <w:p w14:paraId="1A1CCCA9" w14:textId="223E2625" w:rsidR="00596802" w:rsidRPr="00596802" w:rsidRDefault="00596802" w:rsidP="004F4D05">
      <w:pPr>
        <w:pStyle w:val="Prrafodelista"/>
        <w:numPr>
          <w:ilvl w:val="0"/>
          <w:numId w:val="8"/>
        </w:numPr>
        <w:spacing w:line="360" w:lineRule="auto"/>
        <w:jc w:val="both"/>
        <w:rPr>
          <w:rFonts w:ascii="Palatino Linotype" w:hAnsi="Palatino Linotype" w:cs="Tahoma"/>
          <w:szCs w:val="22"/>
        </w:rPr>
      </w:pPr>
      <w:r w:rsidRPr="00596802">
        <w:rPr>
          <w:rFonts w:ascii="Palatino Linotype" w:hAnsi="Palatino Linotype" w:cs="Tahoma"/>
          <w:b/>
          <w:szCs w:val="22"/>
        </w:rPr>
        <w:t>PbRM-01c</w:t>
      </w:r>
      <w:r w:rsidR="00390943">
        <w:rPr>
          <w:rFonts w:ascii="Palatino Linotype" w:hAnsi="Palatino Linotype" w:cs="Tahoma"/>
          <w:szCs w:val="22"/>
        </w:rPr>
        <w:t xml:space="preserve"> “</w:t>
      </w:r>
      <w:r w:rsidRPr="00596802">
        <w:rPr>
          <w:rFonts w:ascii="Palatino Linotype" w:hAnsi="Palatino Linotype" w:cs="Tahoma"/>
          <w:szCs w:val="22"/>
        </w:rPr>
        <w:t>Metas de Actividad por Proyecto</w:t>
      </w:r>
      <w:r w:rsidR="00390943">
        <w:rPr>
          <w:rFonts w:ascii="Palatino Linotype" w:hAnsi="Palatino Linotype" w:cs="Tahoma"/>
          <w:szCs w:val="22"/>
        </w:rPr>
        <w:t>”</w:t>
      </w:r>
      <w:r w:rsidRPr="00596802">
        <w:rPr>
          <w:rFonts w:ascii="Palatino Linotype" w:hAnsi="Palatino Linotype" w:cs="Tahoma"/>
          <w:szCs w:val="22"/>
        </w:rPr>
        <w:t>, su propósito es establecer acciones sustantivas para cada proyecto, mismas que deberán reflejar la diferencia entre el cumplimiento alcanzado durante el ejercicio fiscal 2017 y las cifras programadas que se estimen alcanzar para el ejercicio 2018, el alcance de las metas deberá asegurar el cumplimiento de los objetivos del Plan de Desarrollo Municipal vigente.</w:t>
      </w:r>
    </w:p>
    <w:p w14:paraId="5DE43321" w14:textId="77777777" w:rsidR="00596802" w:rsidRPr="00596802" w:rsidRDefault="00596802" w:rsidP="00596802">
      <w:pPr>
        <w:spacing w:line="360" w:lineRule="auto"/>
        <w:jc w:val="both"/>
        <w:rPr>
          <w:rFonts w:ascii="Palatino Linotype" w:hAnsi="Palatino Linotype" w:cs="Tahoma"/>
          <w:sz w:val="22"/>
          <w:szCs w:val="22"/>
        </w:rPr>
      </w:pPr>
    </w:p>
    <w:p w14:paraId="168A5A9F" w14:textId="75D6CACA" w:rsidR="00596802" w:rsidRPr="00596802" w:rsidRDefault="00596802" w:rsidP="004F4D05">
      <w:pPr>
        <w:pStyle w:val="Prrafodelista"/>
        <w:numPr>
          <w:ilvl w:val="0"/>
          <w:numId w:val="8"/>
        </w:numPr>
        <w:spacing w:line="360" w:lineRule="auto"/>
        <w:jc w:val="both"/>
        <w:rPr>
          <w:rFonts w:ascii="Palatino Linotype" w:hAnsi="Palatino Linotype" w:cs="Tahoma"/>
          <w:szCs w:val="22"/>
        </w:rPr>
      </w:pPr>
      <w:r w:rsidRPr="00596802">
        <w:rPr>
          <w:rFonts w:ascii="Palatino Linotype" w:hAnsi="Palatino Linotype" w:cs="Tahoma"/>
          <w:b/>
          <w:szCs w:val="22"/>
        </w:rPr>
        <w:t>PbRM-01d</w:t>
      </w:r>
      <w:r w:rsidR="00390943">
        <w:rPr>
          <w:rFonts w:ascii="Palatino Linotype" w:hAnsi="Palatino Linotype" w:cs="Tahoma"/>
          <w:szCs w:val="22"/>
        </w:rPr>
        <w:t xml:space="preserve"> “</w:t>
      </w:r>
      <w:r w:rsidRPr="00596802">
        <w:rPr>
          <w:rFonts w:ascii="Palatino Linotype" w:hAnsi="Palatino Linotype" w:cs="Tahoma"/>
          <w:szCs w:val="22"/>
        </w:rPr>
        <w:t>Ficha Técnica Diseño de Indicadores Estratégicos o de Gestión 2018</w:t>
      </w:r>
      <w:r w:rsidR="00390943">
        <w:rPr>
          <w:rFonts w:ascii="Palatino Linotype" w:hAnsi="Palatino Linotype" w:cs="Tahoma"/>
          <w:szCs w:val="22"/>
        </w:rPr>
        <w:t>”</w:t>
      </w:r>
      <w:r w:rsidRPr="00596802">
        <w:rPr>
          <w:rFonts w:ascii="Palatino Linotype" w:hAnsi="Palatino Linotype" w:cs="Tahoma"/>
          <w:szCs w:val="22"/>
        </w:rPr>
        <w:t>, tiene como finalidad el registro de indicadores de gestión que se manejen en el Sistema de Evaluación de la Gestión Municipal (SEGEMUN), mismo que deberá estar vinculado directamente en las metas programadas en el formato PbRM-01e.</w:t>
      </w:r>
    </w:p>
    <w:p w14:paraId="54C3533D" w14:textId="77777777" w:rsidR="00596802" w:rsidRPr="00596802" w:rsidRDefault="00596802" w:rsidP="00596802">
      <w:pPr>
        <w:spacing w:line="360" w:lineRule="auto"/>
        <w:jc w:val="both"/>
        <w:rPr>
          <w:rFonts w:ascii="Palatino Linotype" w:hAnsi="Palatino Linotype" w:cs="Tahoma"/>
          <w:sz w:val="22"/>
          <w:szCs w:val="22"/>
        </w:rPr>
      </w:pPr>
    </w:p>
    <w:p w14:paraId="645D1DF4" w14:textId="48759BC9" w:rsidR="00596802" w:rsidRPr="00596802" w:rsidRDefault="00596802" w:rsidP="004F4D05">
      <w:pPr>
        <w:pStyle w:val="Prrafodelista"/>
        <w:numPr>
          <w:ilvl w:val="0"/>
          <w:numId w:val="8"/>
        </w:numPr>
        <w:spacing w:line="360" w:lineRule="auto"/>
        <w:jc w:val="both"/>
        <w:rPr>
          <w:rFonts w:ascii="Palatino Linotype" w:hAnsi="Palatino Linotype" w:cs="Tahoma"/>
          <w:szCs w:val="22"/>
        </w:rPr>
      </w:pPr>
      <w:r w:rsidRPr="00596802">
        <w:rPr>
          <w:rFonts w:ascii="Palatino Linotype" w:hAnsi="Palatino Linotype" w:cs="Tahoma"/>
          <w:b/>
          <w:szCs w:val="22"/>
        </w:rPr>
        <w:t>PbRM-01e</w:t>
      </w:r>
      <w:r w:rsidRPr="00596802">
        <w:rPr>
          <w:rFonts w:ascii="Palatino Linotype" w:hAnsi="Palatino Linotype" w:cs="Tahoma"/>
          <w:szCs w:val="22"/>
        </w:rPr>
        <w:t xml:space="preserve"> </w:t>
      </w:r>
      <w:r w:rsidR="00390943">
        <w:rPr>
          <w:rFonts w:ascii="Palatino Linotype" w:hAnsi="Palatino Linotype" w:cs="Tahoma"/>
          <w:szCs w:val="22"/>
        </w:rPr>
        <w:t>“</w:t>
      </w:r>
      <w:r w:rsidRPr="00596802">
        <w:rPr>
          <w:rFonts w:ascii="Palatino Linotype" w:hAnsi="Palatino Linotype" w:cs="Tahoma"/>
          <w:szCs w:val="22"/>
        </w:rPr>
        <w:t>Matriz de Indicadores para Resultado por Programa Presupuestario y Dependencia General</w:t>
      </w:r>
      <w:r w:rsidR="00390943">
        <w:rPr>
          <w:rFonts w:ascii="Palatino Linotype" w:hAnsi="Palatino Linotype" w:cs="Tahoma"/>
          <w:szCs w:val="22"/>
        </w:rPr>
        <w:t>”</w:t>
      </w:r>
      <w:r w:rsidRPr="00596802">
        <w:rPr>
          <w:rFonts w:ascii="Palatino Linotype" w:hAnsi="Palatino Linotype" w:cs="Tahoma"/>
          <w:szCs w:val="22"/>
        </w:rPr>
        <w:t>, tiene como finalidad identificar los logros o beneficios que se esperan alcanzar para el ejercicio fiscal 2018.</w:t>
      </w:r>
    </w:p>
    <w:p w14:paraId="63530ED4" w14:textId="77777777" w:rsidR="00596802" w:rsidRDefault="00596802" w:rsidP="00596802">
      <w:pPr>
        <w:spacing w:line="360" w:lineRule="auto"/>
        <w:jc w:val="both"/>
        <w:rPr>
          <w:rFonts w:ascii="Palatino Linotype" w:hAnsi="Palatino Linotype" w:cs="Tahoma"/>
          <w:sz w:val="22"/>
          <w:szCs w:val="22"/>
        </w:rPr>
      </w:pPr>
    </w:p>
    <w:p w14:paraId="1E4AFAE4" w14:textId="48F70041" w:rsidR="00596802" w:rsidRPr="00596802" w:rsidRDefault="00596802" w:rsidP="004F4D05">
      <w:pPr>
        <w:pStyle w:val="Prrafodelista"/>
        <w:numPr>
          <w:ilvl w:val="0"/>
          <w:numId w:val="8"/>
        </w:numPr>
        <w:spacing w:line="360" w:lineRule="auto"/>
        <w:jc w:val="both"/>
        <w:rPr>
          <w:rFonts w:ascii="Palatino Linotype" w:hAnsi="Palatino Linotype" w:cs="Tahoma"/>
          <w:szCs w:val="22"/>
        </w:rPr>
      </w:pPr>
      <w:r w:rsidRPr="00596802">
        <w:rPr>
          <w:rFonts w:ascii="Palatino Linotype" w:hAnsi="Palatino Linotype" w:cs="Tahoma"/>
          <w:b/>
          <w:bCs/>
          <w:szCs w:val="22"/>
        </w:rPr>
        <w:t xml:space="preserve">PbRM-02a </w:t>
      </w:r>
      <w:r w:rsidR="00390943">
        <w:rPr>
          <w:rFonts w:ascii="Palatino Linotype" w:hAnsi="Palatino Linotype" w:cs="Tahoma"/>
          <w:b/>
          <w:bCs/>
          <w:szCs w:val="22"/>
        </w:rPr>
        <w:t>“</w:t>
      </w:r>
      <w:r w:rsidRPr="00596802">
        <w:rPr>
          <w:rFonts w:ascii="Palatino Linotype" w:hAnsi="Palatino Linotype" w:cs="Tahoma"/>
          <w:szCs w:val="22"/>
        </w:rPr>
        <w:t>Calendarización de Metas de Actividad</w:t>
      </w:r>
      <w:r w:rsidR="00390943">
        <w:rPr>
          <w:rFonts w:ascii="Palatino Linotype" w:hAnsi="Palatino Linotype" w:cs="Tahoma"/>
          <w:szCs w:val="22"/>
        </w:rPr>
        <w:t>”</w:t>
      </w:r>
      <w:r w:rsidRPr="00596802">
        <w:rPr>
          <w:rFonts w:ascii="Palatino Linotype" w:hAnsi="Palatino Linotype" w:cs="Tahoma"/>
          <w:szCs w:val="22"/>
        </w:rPr>
        <w:t>, su objetivo primordial es identificar trimestralmente la cantidad de las metas programadas anuales por proyecto.</w:t>
      </w:r>
    </w:p>
    <w:p w14:paraId="4951F7EC" w14:textId="77777777" w:rsidR="00E83D1F" w:rsidRDefault="00E83D1F" w:rsidP="00564755">
      <w:pPr>
        <w:spacing w:line="360" w:lineRule="auto"/>
        <w:jc w:val="both"/>
        <w:rPr>
          <w:rFonts w:ascii="Palatino Linotype" w:hAnsi="Palatino Linotype" w:cs="Tahoma"/>
          <w:sz w:val="22"/>
          <w:szCs w:val="22"/>
        </w:rPr>
      </w:pPr>
    </w:p>
    <w:p w14:paraId="535F5A09" w14:textId="0AE6D269" w:rsidR="00F56E7C" w:rsidRPr="00F56E7C" w:rsidRDefault="00F56E7C" w:rsidP="00F56E7C">
      <w:pPr>
        <w:spacing w:line="360" w:lineRule="auto"/>
        <w:jc w:val="both"/>
        <w:rPr>
          <w:rFonts w:ascii="Palatino Linotype" w:hAnsi="Palatino Linotype" w:cs="Tahoma"/>
          <w:sz w:val="22"/>
          <w:szCs w:val="22"/>
        </w:rPr>
      </w:pPr>
      <w:r w:rsidRPr="00F56E7C">
        <w:rPr>
          <w:rFonts w:ascii="Palatino Linotype" w:hAnsi="Palatino Linotype" w:cs="Tahoma"/>
          <w:sz w:val="22"/>
          <w:szCs w:val="22"/>
        </w:rPr>
        <w:t>Además, precisó en términos del artículo 12 de la Ley de la materia, que no generaba, poseía, administraba, procesaba, archivaba</w:t>
      </w:r>
      <w:r w:rsidRPr="00F56E7C">
        <w:rPr>
          <w:rFonts w:ascii="Palatino Linotype" w:hAnsi="Palatino Linotype" w:cs="Tahoma"/>
          <w:b/>
          <w:sz w:val="22"/>
          <w:szCs w:val="22"/>
        </w:rPr>
        <w:t xml:space="preserve"> </w:t>
      </w:r>
      <w:r w:rsidRPr="00F56E7C">
        <w:rPr>
          <w:rFonts w:ascii="Palatino Linotype" w:hAnsi="Palatino Linotype" w:cs="Tahoma"/>
          <w:sz w:val="22"/>
          <w:szCs w:val="22"/>
        </w:rPr>
        <w:t xml:space="preserve">o conservaba dichos formatos, toda vez que los mismos van enfocados directamente al ámbito </w:t>
      </w:r>
      <w:r w:rsidR="007660C1">
        <w:rPr>
          <w:rFonts w:ascii="Palatino Linotype" w:hAnsi="Palatino Linotype" w:cs="Tahoma"/>
          <w:sz w:val="22"/>
          <w:szCs w:val="22"/>
        </w:rPr>
        <w:t>municipal, mientras que su naturaleza jurídica, era de carácter Estatal, por lo que no elaboraba dicha información.</w:t>
      </w:r>
    </w:p>
    <w:p w14:paraId="7517A339" w14:textId="77777777" w:rsidR="00F56E7C" w:rsidRDefault="00F56E7C" w:rsidP="00564755">
      <w:pPr>
        <w:spacing w:line="360" w:lineRule="auto"/>
        <w:jc w:val="both"/>
        <w:rPr>
          <w:rFonts w:ascii="Palatino Linotype" w:hAnsi="Palatino Linotype" w:cs="Tahoma"/>
          <w:sz w:val="22"/>
          <w:szCs w:val="22"/>
        </w:rPr>
      </w:pPr>
    </w:p>
    <w:p w14:paraId="68A10647" w14:textId="7A791E75" w:rsidR="00E83D1F" w:rsidRDefault="00073E74" w:rsidP="00564755">
      <w:pPr>
        <w:spacing w:line="360" w:lineRule="auto"/>
        <w:jc w:val="both"/>
        <w:rPr>
          <w:rFonts w:ascii="Palatino Linotype" w:hAnsi="Palatino Linotype" w:cs="Tahoma"/>
          <w:sz w:val="22"/>
          <w:szCs w:val="22"/>
        </w:rPr>
      </w:pPr>
      <w:r>
        <w:rPr>
          <w:rFonts w:ascii="Palatino Linotype" w:hAnsi="Palatino Linotype" w:cs="Tahoma"/>
          <w:sz w:val="22"/>
          <w:szCs w:val="22"/>
        </w:rPr>
        <w:t xml:space="preserve">Lo anterior, lo ratificó el Sujeto Obligado durante la substanciación del medio de impugnación, al precisar que los formatos requeridos no le eran aplicables; además, que estos se </w:t>
      </w:r>
      <w:r w:rsidRPr="00073E74">
        <w:rPr>
          <w:rFonts w:ascii="Palatino Linotype" w:hAnsi="Palatino Linotype" w:cs="Tahoma"/>
          <w:sz w:val="22"/>
          <w:szCs w:val="22"/>
        </w:rPr>
        <w:t>distinguían con la sigla “M”, los cuales los identifica propiamente con los Formatos de Presupuesto basado en Resultados Municipales (PbRM) y que el Centro de Control de Confianza del Estado de México como unidad Ejecutora, únicamente emitía Formatos de Presupuesto basado en Resultados (PbR), correspondientes al ámbito Estatal.</w:t>
      </w:r>
    </w:p>
    <w:p w14:paraId="047AC111" w14:textId="77777777" w:rsidR="00E83D1F" w:rsidRDefault="00E83D1F" w:rsidP="00564755">
      <w:pPr>
        <w:spacing w:line="360" w:lineRule="auto"/>
        <w:jc w:val="both"/>
        <w:rPr>
          <w:rFonts w:ascii="Palatino Linotype" w:hAnsi="Palatino Linotype" w:cs="Tahoma"/>
          <w:sz w:val="22"/>
          <w:szCs w:val="22"/>
        </w:rPr>
      </w:pPr>
    </w:p>
    <w:p w14:paraId="11623D1D" w14:textId="6DB874C8" w:rsidR="00073E74" w:rsidRDefault="00073E74" w:rsidP="00073E74">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Por lo cual, se logra advertir que el Sujeto Obligado, señaló las razones por las cuales no contaba con la información referente al dos mil diecisiete, por lo que la misma era inexistente.</w:t>
      </w:r>
    </w:p>
    <w:p w14:paraId="00CF358A" w14:textId="77777777" w:rsidR="00073E74" w:rsidRDefault="00073E74" w:rsidP="00073E74">
      <w:pPr>
        <w:spacing w:line="360" w:lineRule="auto"/>
        <w:jc w:val="both"/>
        <w:rPr>
          <w:rFonts w:ascii="Palatino Linotype" w:hAnsi="Palatino Linotype" w:cs="Tahoma"/>
          <w:sz w:val="22"/>
          <w:szCs w:val="22"/>
        </w:rPr>
      </w:pPr>
    </w:p>
    <w:p w14:paraId="2845A4DC" w14:textId="77777777" w:rsidR="00073E74" w:rsidRDefault="00073E74" w:rsidP="00073E74">
      <w:pPr>
        <w:spacing w:line="360" w:lineRule="auto"/>
        <w:jc w:val="both"/>
        <w:rPr>
          <w:rFonts w:ascii="Palatino Linotype" w:hAnsi="Palatino Linotype" w:cs="Tahoma"/>
          <w:sz w:val="22"/>
          <w:szCs w:val="22"/>
        </w:rPr>
      </w:pPr>
      <w:r>
        <w:rPr>
          <w:rFonts w:ascii="Palatino Linotype" w:hAnsi="Palatino Linotype" w:cs="Tahoma"/>
          <w:sz w:val="22"/>
          <w:szCs w:val="22"/>
        </w:rPr>
        <w:t>En ese sentido, cabe traer a colación el Criterio 14/17, emitido el Instituto Nacional de Transparencia, Acceso a la Información y Protección de Datos Personales, el cual señala lo siguiente:</w:t>
      </w:r>
    </w:p>
    <w:p w14:paraId="12D24878" w14:textId="77777777" w:rsidR="00073E74" w:rsidRDefault="00073E74" w:rsidP="00073E74">
      <w:pPr>
        <w:spacing w:line="360" w:lineRule="auto"/>
        <w:jc w:val="both"/>
        <w:rPr>
          <w:rFonts w:ascii="Palatino Linotype" w:hAnsi="Palatino Linotype" w:cs="Tahoma"/>
          <w:sz w:val="22"/>
          <w:szCs w:val="22"/>
        </w:rPr>
      </w:pPr>
    </w:p>
    <w:p w14:paraId="2832D995" w14:textId="3AB7AA78" w:rsidR="00073E74" w:rsidRPr="00073E74" w:rsidRDefault="00073E74" w:rsidP="00073E74">
      <w:pPr>
        <w:spacing w:line="360" w:lineRule="auto"/>
        <w:ind w:left="567" w:right="567"/>
        <w:jc w:val="both"/>
        <w:rPr>
          <w:rFonts w:ascii="Palatino Linotype" w:hAnsi="Palatino Linotype" w:cs="Tahoma"/>
          <w:bCs/>
          <w:i/>
          <w:lang w:val="es-ES"/>
        </w:rPr>
      </w:pPr>
      <w:r w:rsidRPr="00073E74">
        <w:rPr>
          <w:rFonts w:ascii="Palatino Linotype" w:hAnsi="Palatino Linotype" w:cs="Tahoma"/>
          <w:b/>
          <w:bCs/>
          <w:i/>
        </w:rPr>
        <w:t xml:space="preserve">“Inexistencia. </w:t>
      </w:r>
      <w:r w:rsidRPr="00073E74">
        <w:rPr>
          <w:rFonts w:ascii="Palatino Linotype" w:hAnsi="Palatino Linotype" w:cs="Tahoma"/>
          <w:bCs/>
          <w:i/>
        </w:rPr>
        <w:t>La inexistencia es una cuestión de hecho que se atribuye a la información solicitada e implica que ésta no se encuentra en los archivos del sujeto obligado, no obstante que cuenta con facultades para poseerla.”</w:t>
      </w:r>
    </w:p>
    <w:p w14:paraId="41D1EAE1" w14:textId="77777777" w:rsidR="00073E74" w:rsidRDefault="00073E74" w:rsidP="00073E74">
      <w:pPr>
        <w:spacing w:line="360" w:lineRule="auto"/>
        <w:jc w:val="both"/>
        <w:rPr>
          <w:rFonts w:ascii="Palatino Linotype" w:hAnsi="Palatino Linotype" w:cs="Tahoma"/>
          <w:sz w:val="22"/>
          <w:szCs w:val="22"/>
        </w:rPr>
      </w:pPr>
    </w:p>
    <w:p w14:paraId="2D2C8F58" w14:textId="77777777" w:rsidR="00073E74" w:rsidRDefault="00073E74" w:rsidP="00073E74">
      <w:pPr>
        <w:spacing w:line="360" w:lineRule="auto"/>
        <w:jc w:val="both"/>
        <w:rPr>
          <w:rFonts w:ascii="Palatino Linotype" w:hAnsi="Palatino Linotype" w:cs="Tahoma"/>
          <w:sz w:val="22"/>
          <w:szCs w:val="22"/>
        </w:rPr>
      </w:pPr>
      <w:r>
        <w:rPr>
          <w:rFonts w:ascii="Palatino Linotype" w:hAnsi="Palatino Linotype" w:cs="Tahoma"/>
          <w:sz w:val="22"/>
          <w:szCs w:val="22"/>
        </w:rPr>
        <w:t>Del citado criterio, se desprende que la inexistencia de la información, es una cuestión de hecho que se le atribuye a la misma, cuando esta no se encuentra en los archivos del Sujeto Obligado.</w:t>
      </w:r>
    </w:p>
    <w:p w14:paraId="744D5289" w14:textId="77777777" w:rsidR="00E83D1F" w:rsidRDefault="00E83D1F" w:rsidP="00564755">
      <w:pPr>
        <w:spacing w:line="360" w:lineRule="auto"/>
        <w:jc w:val="both"/>
        <w:rPr>
          <w:rFonts w:ascii="Palatino Linotype" w:hAnsi="Palatino Linotype" w:cs="Tahoma"/>
          <w:sz w:val="22"/>
          <w:szCs w:val="22"/>
        </w:rPr>
      </w:pPr>
    </w:p>
    <w:p w14:paraId="556435CC" w14:textId="60611ED8" w:rsidR="00E83D1F" w:rsidRPr="001B65AB" w:rsidRDefault="002C4FF1" w:rsidP="00564755">
      <w:pPr>
        <w:spacing w:line="360" w:lineRule="auto"/>
        <w:jc w:val="both"/>
        <w:rPr>
          <w:rFonts w:ascii="Palatino Linotype" w:hAnsi="Palatino Linotype" w:cs="Tahoma"/>
          <w:b/>
          <w:sz w:val="22"/>
          <w:szCs w:val="22"/>
        </w:rPr>
      </w:pPr>
      <w:r>
        <w:rPr>
          <w:rFonts w:ascii="Palatino Linotype" w:hAnsi="Palatino Linotype" w:cs="Tahoma"/>
          <w:sz w:val="22"/>
          <w:szCs w:val="22"/>
        </w:rPr>
        <w:t xml:space="preserve">En ese sentido, se procede analizar la inexistencia manifestada por la </w:t>
      </w:r>
      <w:r w:rsidRPr="002C4FF1">
        <w:rPr>
          <w:rFonts w:ascii="Palatino Linotype" w:hAnsi="Palatino Linotype" w:cs="Tahoma"/>
          <w:sz w:val="22"/>
          <w:szCs w:val="22"/>
        </w:rPr>
        <w:t>Unidad de Información, Planeación, Programación y Evaluación</w:t>
      </w:r>
      <w:r>
        <w:rPr>
          <w:rFonts w:ascii="Palatino Linotype" w:hAnsi="Palatino Linotype" w:cs="Tahoma"/>
          <w:sz w:val="22"/>
          <w:szCs w:val="22"/>
        </w:rPr>
        <w:t>; para lo cual, resulta necesario traer a colación el Manual para la Planeación, Programación y Presupuesto de Egresos Municipal para el Ejer</w:t>
      </w:r>
      <w:r w:rsidR="001B65AB">
        <w:rPr>
          <w:rFonts w:ascii="Palatino Linotype" w:hAnsi="Palatino Linotype" w:cs="Tahoma"/>
          <w:sz w:val="22"/>
          <w:szCs w:val="22"/>
        </w:rPr>
        <w:t xml:space="preserve">cicio Fiscal dos mil dieciocho (consultado a los diecisiete horas en la liga </w:t>
      </w:r>
      <w:hyperlink r:id="rId19" w:history="1">
        <w:r w:rsidR="001B65AB" w:rsidRPr="001B65AB">
          <w:rPr>
            <w:rStyle w:val="Hipervnculo"/>
            <w:rFonts w:ascii="Palatino Linotype" w:hAnsi="Palatino Linotype" w:cs="Tahoma"/>
            <w:sz w:val="22"/>
            <w:szCs w:val="22"/>
          </w:rPr>
          <w:t>https://legislacion.edomex.gob.mx/sites/legislacion.edomex.gob.mx/files/files/pdf/gct/2017/oct243.pdf</w:t>
        </w:r>
      </w:hyperlink>
      <w:r w:rsidR="001B65AB">
        <w:rPr>
          <w:rFonts w:ascii="Palatino Linotype" w:hAnsi="Palatino Linotype" w:cs="Tahoma"/>
          <w:sz w:val="22"/>
          <w:szCs w:val="22"/>
        </w:rPr>
        <w:t xml:space="preserve">, el veinticuatro de abril de dos mil diecinueve), que en su apartado de Introducción, precisa que tiene como propósito dicho manual, apoyar a </w:t>
      </w:r>
      <w:r w:rsidR="001B65AB">
        <w:rPr>
          <w:rFonts w:ascii="Palatino Linotype" w:hAnsi="Palatino Linotype" w:cs="Tahoma"/>
          <w:b/>
          <w:sz w:val="22"/>
          <w:szCs w:val="22"/>
        </w:rPr>
        <w:t>los Ayuntamientos y entidades públicas municipales, para integrar el Anteproyecto y Proyecto de Presupuesto de Egresos Municipal.</w:t>
      </w:r>
    </w:p>
    <w:p w14:paraId="0070BFD6" w14:textId="77777777" w:rsidR="00E83D1F" w:rsidRDefault="00E83D1F" w:rsidP="00564755">
      <w:pPr>
        <w:spacing w:line="360" w:lineRule="auto"/>
        <w:jc w:val="both"/>
        <w:rPr>
          <w:rFonts w:ascii="Palatino Linotype" w:hAnsi="Palatino Linotype" w:cs="Tahoma"/>
          <w:sz w:val="22"/>
          <w:szCs w:val="22"/>
        </w:rPr>
      </w:pPr>
    </w:p>
    <w:p w14:paraId="4A414C3E" w14:textId="219C989C" w:rsidR="00313180" w:rsidRDefault="001A0A1A" w:rsidP="00564755">
      <w:pPr>
        <w:spacing w:line="360" w:lineRule="auto"/>
        <w:jc w:val="both"/>
        <w:rPr>
          <w:rFonts w:ascii="Palatino Linotype" w:hAnsi="Palatino Linotype" w:cs="Tahoma"/>
          <w:sz w:val="22"/>
          <w:szCs w:val="22"/>
        </w:rPr>
      </w:pPr>
      <w:r>
        <w:rPr>
          <w:rFonts w:ascii="Palatino Linotype" w:hAnsi="Palatino Linotype" w:cs="Tahoma"/>
          <w:sz w:val="22"/>
          <w:szCs w:val="22"/>
        </w:rPr>
        <w:t xml:space="preserve">Además, </w:t>
      </w:r>
      <w:r w:rsidR="00313180">
        <w:rPr>
          <w:rFonts w:ascii="Palatino Linotype" w:hAnsi="Palatino Linotype" w:cs="Tahoma"/>
          <w:sz w:val="22"/>
          <w:szCs w:val="22"/>
        </w:rPr>
        <w:t xml:space="preserve">el punto III.2.6 </w:t>
      </w:r>
      <w:r w:rsidR="00313180" w:rsidRPr="00313180">
        <w:rPr>
          <w:rFonts w:ascii="Palatino Linotype" w:hAnsi="Palatino Linotype" w:cs="Tahoma"/>
          <w:sz w:val="22"/>
          <w:szCs w:val="22"/>
        </w:rPr>
        <w:t>Formatos que integran el Anteproyecto de Presupuesto de Egresos</w:t>
      </w:r>
      <w:r w:rsidR="00313180">
        <w:rPr>
          <w:rFonts w:ascii="Palatino Linotype" w:hAnsi="Palatino Linotype" w:cs="Tahoma"/>
          <w:sz w:val="22"/>
          <w:szCs w:val="22"/>
        </w:rPr>
        <w:t xml:space="preserve">, establece que dicho documentos se integra de los Formatos del Programa Anual, concernientes en </w:t>
      </w:r>
      <w:r w:rsidR="00313180" w:rsidRPr="00313180">
        <w:rPr>
          <w:rFonts w:ascii="Palatino Linotype" w:hAnsi="Palatino Linotype" w:cs="Tahoma"/>
          <w:sz w:val="22"/>
          <w:szCs w:val="22"/>
        </w:rPr>
        <w:t xml:space="preserve">PbRM-01a </w:t>
      </w:r>
      <w:r w:rsidR="00313180">
        <w:rPr>
          <w:rFonts w:ascii="Palatino Linotype" w:hAnsi="Palatino Linotype" w:cs="Tahoma"/>
          <w:sz w:val="22"/>
          <w:szCs w:val="22"/>
        </w:rPr>
        <w:t>“</w:t>
      </w:r>
      <w:r w:rsidR="00313180" w:rsidRPr="00313180">
        <w:rPr>
          <w:rFonts w:ascii="Palatino Linotype" w:hAnsi="Palatino Linotype" w:cs="Tahoma"/>
          <w:sz w:val="22"/>
          <w:szCs w:val="22"/>
        </w:rPr>
        <w:t>Identificación de la Dimensión Administrativa del Gasto</w:t>
      </w:r>
      <w:r w:rsidR="00313180">
        <w:rPr>
          <w:rFonts w:ascii="Palatino Linotype" w:hAnsi="Palatino Linotype" w:cs="Tahoma"/>
          <w:sz w:val="22"/>
          <w:szCs w:val="22"/>
        </w:rPr>
        <w:t>”</w:t>
      </w:r>
      <w:r w:rsidR="00313180" w:rsidRPr="00313180">
        <w:rPr>
          <w:rFonts w:ascii="Palatino Linotype" w:hAnsi="Palatino Linotype" w:cs="Tahoma"/>
          <w:sz w:val="22"/>
          <w:szCs w:val="22"/>
        </w:rPr>
        <w:t xml:space="preserve">; PbRM-01b </w:t>
      </w:r>
      <w:r w:rsidR="00313180">
        <w:rPr>
          <w:rFonts w:ascii="Palatino Linotype" w:hAnsi="Palatino Linotype" w:cs="Tahoma"/>
          <w:sz w:val="22"/>
          <w:szCs w:val="22"/>
        </w:rPr>
        <w:t>“</w:t>
      </w:r>
      <w:r w:rsidR="00313180" w:rsidRPr="00313180">
        <w:rPr>
          <w:rFonts w:ascii="Palatino Linotype" w:hAnsi="Palatino Linotype" w:cs="Tahoma"/>
          <w:sz w:val="22"/>
          <w:szCs w:val="22"/>
        </w:rPr>
        <w:t>Descripción del Programa</w:t>
      </w:r>
      <w:r w:rsidR="00313180">
        <w:rPr>
          <w:rFonts w:ascii="Palatino Linotype" w:hAnsi="Palatino Linotype" w:cs="Tahoma"/>
          <w:sz w:val="22"/>
          <w:szCs w:val="22"/>
        </w:rPr>
        <w:t>”</w:t>
      </w:r>
      <w:r w:rsidR="00313180" w:rsidRPr="00313180">
        <w:rPr>
          <w:rFonts w:ascii="Palatino Linotype" w:hAnsi="Palatino Linotype" w:cs="Tahoma"/>
          <w:sz w:val="22"/>
          <w:szCs w:val="22"/>
        </w:rPr>
        <w:t xml:space="preserve">; PbRM-01c </w:t>
      </w:r>
      <w:r w:rsidR="00313180">
        <w:rPr>
          <w:rFonts w:ascii="Palatino Linotype" w:hAnsi="Palatino Linotype" w:cs="Tahoma"/>
          <w:sz w:val="22"/>
          <w:szCs w:val="22"/>
        </w:rPr>
        <w:t>“</w:t>
      </w:r>
      <w:r w:rsidR="00313180" w:rsidRPr="00313180">
        <w:rPr>
          <w:rFonts w:ascii="Palatino Linotype" w:hAnsi="Palatino Linotype" w:cs="Tahoma"/>
          <w:sz w:val="22"/>
          <w:szCs w:val="22"/>
        </w:rPr>
        <w:t>Metas de actividad por Proyecto</w:t>
      </w:r>
      <w:r w:rsidR="00313180">
        <w:rPr>
          <w:rFonts w:ascii="Palatino Linotype" w:hAnsi="Palatino Linotype" w:cs="Tahoma"/>
          <w:sz w:val="22"/>
          <w:szCs w:val="22"/>
        </w:rPr>
        <w:t>”</w:t>
      </w:r>
      <w:r w:rsidR="00313180" w:rsidRPr="00313180">
        <w:rPr>
          <w:rFonts w:ascii="Palatino Linotype" w:hAnsi="Palatino Linotype" w:cs="Tahoma"/>
          <w:sz w:val="22"/>
          <w:szCs w:val="22"/>
        </w:rPr>
        <w:t xml:space="preserve">; PbRM-01d </w:t>
      </w:r>
      <w:r w:rsidR="00313180">
        <w:rPr>
          <w:rFonts w:ascii="Palatino Linotype" w:hAnsi="Palatino Linotype" w:cs="Tahoma"/>
          <w:sz w:val="22"/>
          <w:szCs w:val="22"/>
        </w:rPr>
        <w:t>“</w:t>
      </w:r>
      <w:r w:rsidR="00313180" w:rsidRPr="00313180">
        <w:rPr>
          <w:rFonts w:ascii="Palatino Linotype" w:hAnsi="Palatino Linotype" w:cs="Tahoma"/>
          <w:sz w:val="22"/>
          <w:szCs w:val="22"/>
        </w:rPr>
        <w:t>Ficha técnica de diseño de indicadores estratégicos o de gestión</w:t>
      </w:r>
      <w:r w:rsidR="00313180">
        <w:rPr>
          <w:rFonts w:ascii="Palatino Linotype" w:hAnsi="Palatino Linotype" w:cs="Tahoma"/>
          <w:sz w:val="22"/>
          <w:szCs w:val="22"/>
        </w:rPr>
        <w:t>”</w:t>
      </w:r>
      <w:r w:rsidR="00313180" w:rsidRPr="00313180">
        <w:rPr>
          <w:rFonts w:ascii="Palatino Linotype" w:hAnsi="Palatino Linotype" w:cs="Tahoma"/>
          <w:sz w:val="22"/>
          <w:szCs w:val="22"/>
        </w:rPr>
        <w:t xml:space="preserve"> y PbRM-01e </w:t>
      </w:r>
      <w:r w:rsidR="00313180">
        <w:rPr>
          <w:rFonts w:ascii="Palatino Linotype" w:hAnsi="Palatino Linotype" w:cs="Tahoma"/>
          <w:sz w:val="22"/>
          <w:szCs w:val="22"/>
        </w:rPr>
        <w:t>“</w:t>
      </w:r>
      <w:r w:rsidR="00313180" w:rsidRPr="00313180">
        <w:rPr>
          <w:rFonts w:ascii="Palatino Linotype" w:hAnsi="Palatino Linotype" w:cs="Tahoma"/>
          <w:sz w:val="22"/>
          <w:szCs w:val="22"/>
        </w:rPr>
        <w:t>Matriz de Indicadores para Resultados por Programa presupuestario y Dependencia General</w:t>
      </w:r>
      <w:r w:rsidR="00313180">
        <w:rPr>
          <w:rFonts w:ascii="Palatino Linotype" w:hAnsi="Palatino Linotype" w:cs="Tahoma"/>
          <w:sz w:val="22"/>
          <w:szCs w:val="22"/>
        </w:rPr>
        <w:t>”.</w:t>
      </w:r>
    </w:p>
    <w:p w14:paraId="6FE49837" w14:textId="77777777" w:rsidR="00313180" w:rsidRDefault="00313180" w:rsidP="00564755">
      <w:pPr>
        <w:spacing w:line="360" w:lineRule="auto"/>
        <w:jc w:val="both"/>
        <w:rPr>
          <w:rFonts w:ascii="Palatino Linotype" w:hAnsi="Palatino Linotype" w:cs="Tahoma"/>
          <w:sz w:val="22"/>
          <w:szCs w:val="22"/>
        </w:rPr>
      </w:pPr>
    </w:p>
    <w:p w14:paraId="007C175D" w14:textId="408A9DD6" w:rsidR="00E83D1F" w:rsidRDefault="00313180" w:rsidP="00564755">
      <w:pPr>
        <w:spacing w:line="360" w:lineRule="auto"/>
        <w:jc w:val="both"/>
        <w:rPr>
          <w:rFonts w:ascii="Palatino Linotype" w:hAnsi="Palatino Linotype" w:cs="Tahoma"/>
          <w:sz w:val="22"/>
          <w:szCs w:val="22"/>
        </w:rPr>
      </w:pPr>
      <w:r>
        <w:rPr>
          <w:rFonts w:ascii="Palatino Linotype" w:hAnsi="Palatino Linotype" w:cs="Tahoma"/>
          <w:sz w:val="22"/>
          <w:szCs w:val="22"/>
        </w:rPr>
        <w:t>Asimismo, en el</w:t>
      </w:r>
      <w:r w:rsidR="001A0A1A">
        <w:rPr>
          <w:rFonts w:ascii="Palatino Linotype" w:hAnsi="Palatino Linotype" w:cs="Tahoma"/>
          <w:sz w:val="22"/>
          <w:szCs w:val="22"/>
        </w:rPr>
        <w:t xml:space="preserve"> punto III.3.2 Formatos que integran el Proyecto de Presupuesto de Egresos, establece que el primer apartado del </w:t>
      </w:r>
      <w:r w:rsidR="00DB4F4D">
        <w:rPr>
          <w:rFonts w:ascii="Palatino Linotype" w:hAnsi="Palatino Linotype" w:cs="Tahoma"/>
          <w:sz w:val="22"/>
          <w:szCs w:val="22"/>
        </w:rPr>
        <w:t>mismo, lo integrará el Programa Anual a nivel de Municipio, el cual está conformado por los Formatos de Programa Anual PbRM-01 en todas sus series, así como el PbRM-2a “</w:t>
      </w:r>
      <w:r w:rsidR="00DB4F4D" w:rsidRPr="00DB4F4D">
        <w:rPr>
          <w:rFonts w:ascii="Palatino Linotype" w:hAnsi="Palatino Linotype" w:cs="Tahoma"/>
          <w:sz w:val="22"/>
          <w:szCs w:val="22"/>
        </w:rPr>
        <w:t>Calendarización de Metas de actividad</w:t>
      </w:r>
      <w:r w:rsidR="00DB4F4D">
        <w:rPr>
          <w:rFonts w:ascii="Palatino Linotype" w:hAnsi="Palatino Linotype" w:cs="Tahoma"/>
          <w:sz w:val="22"/>
          <w:szCs w:val="22"/>
        </w:rPr>
        <w:t>”</w:t>
      </w:r>
      <w:r>
        <w:rPr>
          <w:rFonts w:ascii="Palatino Linotype" w:hAnsi="Palatino Linotype" w:cs="Tahoma"/>
          <w:sz w:val="22"/>
          <w:szCs w:val="22"/>
        </w:rPr>
        <w:t>.</w:t>
      </w:r>
    </w:p>
    <w:p w14:paraId="3398FB1E" w14:textId="77777777" w:rsidR="00E83D1F" w:rsidRDefault="00E83D1F" w:rsidP="00564755">
      <w:pPr>
        <w:spacing w:line="360" w:lineRule="auto"/>
        <w:jc w:val="both"/>
        <w:rPr>
          <w:rFonts w:ascii="Palatino Linotype" w:hAnsi="Palatino Linotype" w:cs="Tahoma"/>
          <w:sz w:val="22"/>
          <w:szCs w:val="22"/>
        </w:rPr>
      </w:pPr>
    </w:p>
    <w:p w14:paraId="0EE672F2" w14:textId="3FD9ECD9" w:rsidR="00E83D1F" w:rsidRDefault="00984E73" w:rsidP="00564755">
      <w:pPr>
        <w:spacing w:line="360" w:lineRule="auto"/>
        <w:jc w:val="both"/>
        <w:rPr>
          <w:rFonts w:ascii="Palatino Linotype" w:hAnsi="Palatino Linotype" w:cs="Tahoma"/>
          <w:sz w:val="22"/>
          <w:szCs w:val="22"/>
        </w:rPr>
      </w:pPr>
      <w:r>
        <w:rPr>
          <w:rFonts w:ascii="Palatino Linotype" w:hAnsi="Palatino Linotype" w:cs="Tahoma"/>
          <w:sz w:val="22"/>
          <w:szCs w:val="22"/>
        </w:rPr>
        <w:t>Conforme a lo analizado, se pueden advertir las siguientes consideraciones:</w:t>
      </w:r>
    </w:p>
    <w:p w14:paraId="26600E3C" w14:textId="77777777" w:rsidR="00984E73" w:rsidRDefault="00984E73" w:rsidP="00564755">
      <w:pPr>
        <w:spacing w:line="360" w:lineRule="auto"/>
        <w:jc w:val="both"/>
        <w:rPr>
          <w:rFonts w:ascii="Palatino Linotype" w:hAnsi="Palatino Linotype" w:cs="Tahoma"/>
          <w:sz w:val="22"/>
          <w:szCs w:val="22"/>
        </w:rPr>
      </w:pPr>
    </w:p>
    <w:p w14:paraId="39D46C38" w14:textId="3647E840" w:rsidR="00E83D1F" w:rsidRPr="00C71080" w:rsidRDefault="00984E73" w:rsidP="004F4D05">
      <w:pPr>
        <w:pStyle w:val="Prrafodelista"/>
        <w:numPr>
          <w:ilvl w:val="0"/>
          <w:numId w:val="9"/>
        </w:numPr>
        <w:spacing w:line="360" w:lineRule="auto"/>
        <w:jc w:val="both"/>
        <w:rPr>
          <w:rFonts w:ascii="Palatino Linotype" w:hAnsi="Palatino Linotype" w:cs="Tahoma"/>
          <w:b/>
          <w:szCs w:val="22"/>
        </w:rPr>
      </w:pPr>
      <w:r w:rsidRPr="00222151">
        <w:rPr>
          <w:rFonts w:ascii="Palatino Linotype" w:hAnsi="Palatino Linotype" w:cs="Tahoma"/>
          <w:szCs w:val="22"/>
        </w:rPr>
        <w:t xml:space="preserve">Que el presente requerimiento </w:t>
      </w:r>
      <w:r w:rsidR="00222151">
        <w:rPr>
          <w:rFonts w:ascii="Palatino Linotype" w:hAnsi="Palatino Linotype" w:cs="Tahoma"/>
          <w:szCs w:val="22"/>
        </w:rPr>
        <w:t xml:space="preserve">se solicitaron </w:t>
      </w:r>
      <w:r w:rsidR="00222151" w:rsidRPr="00222151">
        <w:rPr>
          <w:rFonts w:ascii="Palatino Linotype" w:hAnsi="Palatino Linotype" w:cs="Tahoma"/>
          <w:b/>
          <w:szCs w:val="22"/>
        </w:rPr>
        <w:t xml:space="preserve">los formatos del Presupuesto basado en Resultados Municipal con número </w:t>
      </w:r>
      <w:r w:rsidR="00222151" w:rsidRPr="00222151">
        <w:rPr>
          <w:rFonts w:ascii="Palatino Linotype" w:hAnsi="Palatino Linotype" w:cs="Tahoma"/>
          <w:b/>
          <w:szCs w:val="22"/>
          <w:lang w:val="es-ES"/>
        </w:rPr>
        <w:t>PbRM-1a, PbRM-1b, PbRM-1c, PbRM-1d, PbRM-1e y PbRM-02</w:t>
      </w:r>
      <w:r w:rsidR="00222151">
        <w:rPr>
          <w:rFonts w:ascii="Palatino Linotype" w:hAnsi="Palatino Linotype" w:cs="Tahoma"/>
          <w:b/>
          <w:szCs w:val="22"/>
          <w:lang w:val="es-ES"/>
        </w:rPr>
        <w:t>a</w:t>
      </w:r>
      <w:r w:rsidR="00222151" w:rsidRPr="00222151">
        <w:rPr>
          <w:rFonts w:ascii="Palatino Linotype" w:hAnsi="Palatino Linotype" w:cs="Tahoma"/>
          <w:b/>
          <w:szCs w:val="22"/>
          <w:lang w:val="es-ES"/>
        </w:rPr>
        <w:t>.</w:t>
      </w:r>
    </w:p>
    <w:p w14:paraId="4114497D" w14:textId="77777777" w:rsidR="00C71080" w:rsidRPr="00222151" w:rsidRDefault="00C71080" w:rsidP="00C71080">
      <w:pPr>
        <w:pStyle w:val="Prrafodelista"/>
        <w:spacing w:line="360" w:lineRule="auto"/>
        <w:jc w:val="both"/>
        <w:rPr>
          <w:rFonts w:ascii="Palatino Linotype" w:hAnsi="Palatino Linotype" w:cs="Tahoma"/>
          <w:b/>
          <w:szCs w:val="22"/>
        </w:rPr>
      </w:pPr>
    </w:p>
    <w:p w14:paraId="7FA5ACB9" w14:textId="4ECBFF77" w:rsidR="00222151" w:rsidRPr="00222151" w:rsidRDefault="00222151" w:rsidP="004F4D05">
      <w:pPr>
        <w:pStyle w:val="Prrafodelista"/>
        <w:numPr>
          <w:ilvl w:val="0"/>
          <w:numId w:val="9"/>
        </w:numPr>
        <w:spacing w:line="360" w:lineRule="auto"/>
        <w:jc w:val="both"/>
        <w:rPr>
          <w:rFonts w:ascii="Palatino Linotype" w:hAnsi="Palatino Linotype" w:cs="Tahoma"/>
          <w:b/>
          <w:szCs w:val="22"/>
        </w:rPr>
      </w:pPr>
      <w:r>
        <w:rPr>
          <w:rFonts w:ascii="Palatino Linotype" w:hAnsi="Palatino Linotype" w:cs="Tahoma"/>
          <w:szCs w:val="22"/>
          <w:lang w:val="es-ES"/>
        </w:rPr>
        <w:t xml:space="preserve">Que dichos formatos únicamente son para generar el </w:t>
      </w:r>
      <w:r>
        <w:rPr>
          <w:rFonts w:ascii="Palatino Linotype" w:hAnsi="Palatino Linotype" w:cs="Tahoma"/>
          <w:b/>
          <w:szCs w:val="22"/>
          <w:lang w:val="es-ES"/>
        </w:rPr>
        <w:t>Presupuesto de Egresos de los Municipios.</w:t>
      </w:r>
    </w:p>
    <w:p w14:paraId="25486850" w14:textId="77777777" w:rsidR="00E83D1F" w:rsidRDefault="00E83D1F" w:rsidP="00564755">
      <w:pPr>
        <w:spacing w:line="360" w:lineRule="auto"/>
        <w:jc w:val="both"/>
        <w:rPr>
          <w:rFonts w:ascii="Palatino Linotype" w:hAnsi="Palatino Linotype" w:cs="Tahoma"/>
          <w:sz w:val="22"/>
          <w:szCs w:val="22"/>
        </w:rPr>
      </w:pPr>
    </w:p>
    <w:p w14:paraId="65D69DA0" w14:textId="49FBC552" w:rsidR="00E83D1F" w:rsidRPr="007E702A" w:rsidRDefault="00C71080" w:rsidP="00564755">
      <w:pPr>
        <w:spacing w:line="360" w:lineRule="auto"/>
        <w:jc w:val="both"/>
        <w:rPr>
          <w:rFonts w:ascii="Palatino Linotype" w:hAnsi="Palatino Linotype" w:cs="Tahoma"/>
          <w:b/>
          <w:sz w:val="22"/>
          <w:szCs w:val="22"/>
        </w:rPr>
      </w:pPr>
      <w:r>
        <w:rPr>
          <w:rFonts w:ascii="Palatino Linotype" w:hAnsi="Palatino Linotype" w:cs="Tahoma"/>
          <w:sz w:val="22"/>
          <w:szCs w:val="22"/>
        </w:rPr>
        <w:t>En ese contexto, resulta necesario recordar la naturaleza jurídica</w:t>
      </w:r>
      <w:r w:rsidR="007E702A">
        <w:rPr>
          <w:rFonts w:ascii="Palatino Linotype" w:hAnsi="Palatino Linotype" w:cs="Tahoma"/>
          <w:sz w:val="22"/>
          <w:szCs w:val="22"/>
        </w:rPr>
        <w:t>,</w:t>
      </w:r>
      <w:r>
        <w:rPr>
          <w:rFonts w:ascii="Palatino Linotype" w:hAnsi="Palatino Linotype" w:cs="Tahoma"/>
          <w:sz w:val="22"/>
          <w:szCs w:val="22"/>
        </w:rPr>
        <w:t xml:space="preserve"> del Centro de Control de Confianza del Estado de México, </w:t>
      </w:r>
      <w:r w:rsidR="007E702A">
        <w:rPr>
          <w:rFonts w:ascii="Palatino Linotype" w:hAnsi="Palatino Linotype" w:cs="Tahoma"/>
          <w:sz w:val="22"/>
          <w:szCs w:val="22"/>
        </w:rPr>
        <w:t xml:space="preserve">esto es, </w:t>
      </w:r>
      <w:r w:rsidR="007E702A" w:rsidRPr="007E702A">
        <w:rPr>
          <w:rFonts w:ascii="Palatino Linotype" w:hAnsi="Palatino Linotype" w:cs="Tahoma"/>
          <w:sz w:val="22"/>
          <w:szCs w:val="22"/>
        </w:rPr>
        <w:t xml:space="preserve">un organismo público descentralizado de carácter Estatal con personalidad jurídica y patrimonio propios, sectorizado a la </w:t>
      </w:r>
      <w:r w:rsidR="007E702A" w:rsidRPr="007E702A">
        <w:rPr>
          <w:rFonts w:ascii="Palatino Linotype" w:hAnsi="Palatino Linotype" w:cs="Tahoma"/>
          <w:b/>
          <w:sz w:val="22"/>
          <w:szCs w:val="22"/>
        </w:rPr>
        <w:t>Secretaría General de Gobierno.</w:t>
      </w:r>
    </w:p>
    <w:p w14:paraId="7569F7C9" w14:textId="77777777" w:rsidR="00E83D1F" w:rsidRDefault="00E83D1F" w:rsidP="00564755">
      <w:pPr>
        <w:spacing w:line="360" w:lineRule="auto"/>
        <w:jc w:val="both"/>
        <w:rPr>
          <w:rFonts w:ascii="Palatino Linotype" w:hAnsi="Palatino Linotype" w:cs="Tahoma"/>
          <w:sz w:val="22"/>
          <w:szCs w:val="22"/>
        </w:rPr>
      </w:pPr>
    </w:p>
    <w:p w14:paraId="7D53D31A" w14:textId="335FD3DE" w:rsidR="00E83D1F" w:rsidRDefault="007E702A" w:rsidP="00564755">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ese sentido, el Sujeto Obligado al ser una Entidad Estatal, tal como lo señaló este en respuesta e Informe Justificado, </w:t>
      </w:r>
      <w:r w:rsidR="00E91E12" w:rsidRPr="00E91E12">
        <w:rPr>
          <w:rFonts w:ascii="Palatino Linotype" w:hAnsi="Palatino Linotype" w:cs="Tahoma"/>
          <w:b/>
          <w:sz w:val="22"/>
          <w:szCs w:val="22"/>
        </w:rPr>
        <w:t xml:space="preserve">no le </w:t>
      </w:r>
      <w:r w:rsidR="009B60E2">
        <w:rPr>
          <w:rFonts w:ascii="Palatino Linotype" w:hAnsi="Palatino Linotype" w:cs="Tahoma"/>
          <w:b/>
          <w:sz w:val="22"/>
          <w:szCs w:val="22"/>
        </w:rPr>
        <w:t>resultó</w:t>
      </w:r>
      <w:r w:rsidR="00E91E12" w:rsidRPr="00E91E12">
        <w:rPr>
          <w:rFonts w:ascii="Palatino Linotype" w:hAnsi="Palatino Linotype" w:cs="Tahoma"/>
          <w:b/>
          <w:sz w:val="22"/>
          <w:szCs w:val="22"/>
        </w:rPr>
        <w:t xml:space="preserve"> aplicable el Manual para la Planeación, Programación y Presupuesto de Egresos Municipal para el Ejercicio Fiscal dos mil dieciocho, dado que no es un Ayuntamiento o alguna Institución Pública Municipal.</w:t>
      </w:r>
      <w:r w:rsidR="00E91E12">
        <w:rPr>
          <w:rFonts w:ascii="Palatino Linotype" w:hAnsi="Palatino Linotype" w:cs="Tahoma"/>
          <w:b/>
          <w:sz w:val="22"/>
          <w:szCs w:val="22"/>
        </w:rPr>
        <w:t xml:space="preserve"> </w:t>
      </w:r>
    </w:p>
    <w:p w14:paraId="3AA79BA7" w14:textId="77777777" w:rsidR="00E91E12" w:rsidRDefault="00E91E12" w:rsidP="00564755">
      <w:pPr>
        <w:spacing w:line="360" w:lineRule="auto"/>
        <w:jc w:val="both"/>
        <w:rPr>
          <w:rFonts w:ascii="Palatino Linotype" w:hAnsi="Palatino Linotype" w:cs="Tahoma"/>
          <w:sz w:val="22"/>
          <w:szCs w:val="22"/>
        </w:rPr>
      </w:pPr>
    </w:p>
    <w:p w14:paraId="4B0B37D3" w14:textId="7B570A05" w:rsidR="00E91E12" w:rsidRPr="001E6A9C" w:rsidRDefault="00E91E12" w:rsidP="00564755">
      <w:pPr>
        <w:spacing w:line="360" w:lineRule="auto"/>
        <w:jc w:val="both"/>
        <w:rPr>
          <w:rFonts w:ascii="Palatino Linotype" w:hAnsi="Palatino Linotype" w:cs="Tahoma"/>
          <w:b/>
          <w:sz w:val="22"/>
          <w:szCs w:val="22"/>
        </w:rPr>
      </w:pPr>
      <w:r>
        <w:rPr>
          <w:rFonts w:ascii="Palatino Linotype" w:hAnsi="Palatino Linotype" w:cs="Tahoma"/>
          <w:sz w:val="22"/>
          <w:szCs w:val="22"/>
        </w:rPr>
        <w:t xml:space="preserve">De tales circunstancias, tampoco </w:t>
      </w:r>
      <w:r w:rsidR="009B60E2">
        <w:rPr>
          <w:rFonts w:ascii="Palatino Linotype" w:hAnsi="Palatino Linotype" w:cs="Tahoma"/>
          <w:sz w:val="22"/>
          <w:szCs w:val="22"/>
        </w:rPr>
        <w:t>estuvo</w:t>
      </w:r>
      <w:r>
        <w:rPr>
          <w:rFonts w:ascii="Palatino Linotype" w:hAnsi="Palatino Linotype" w:cs="Tahoma"/>
          <w:sz w:val="22"/>
          <w:szCs w:val="22"/>
        </w:rPr>
        <w:t xml:space="preserve"> obligado a generar los formatos solicitados por el Particular, a saber, los siguientes </w:t>
      </w:r>
      <w:r w:rsidRPr="00E91E12">
        <w:rPr>
          <w:rFonts w:ascii="Palatino Linotype" w:hAnsi="Palatino Linotype" w:cs="Tahoma"/>
          <w:sz w:val="22"/>
          <w:szCs w:val="22"/>
        </w:rPr>
        <w:t>PbRM-1a, PbRM-1b, PbRM-1c, PbRM-1d, PbRM-1e y PbRM-02</w:t>
      </w:r>
      <w:r w:rsidR="001E6A9C">
        <w:rPr>
          <w:rFonts w:ascii="Palatino Linotype" w:hAnsi="Palatino Linotype" w:cs="Tahoma"/>
          <w:sz w:val="22"/>
          <w:szCs w:val="22"/>
        </w:rPr>
        <w:t xml:space="preserve">a y por lo tanto, </w:t>
      </w:r>
      <w:r w:rsidR="001E6A9C" w:rsidRPr="001E6A9C">
        <w:rPr>
          <w:rFonts w:ascii="Palatino Linotype" w:hAnsi="Palatino Linotype" w:cs="Tahoma"/>
          <w:b/>
          <w:sz w:val="22"/>
          <w:szCs w:val="22"/>
        </w:rPr>
        <w:t>resulta inexistente dicha información.</w:t>
      </w:r>
    </w:p>
    <w:p w14:paraId="13D67AAB" w14:textId="77777777" w:rsidR="00E83D1F" w:rsidRDefault="00E83D1F" w:rsidP="00564755">
      <w:pPr>
        <w:spacing w:line="360" w:lineRule="auto"/>
        <w:jc w:val="both"/>
        <w:rPr>
          <w:rFonts w:ascii="Palatino Linotype" w:hAnsi="Palatino Linotype" w:cs="Tahoma"/>
          <w:sz w:val="22"/>
          <w:szCs w:val="22"/>
        </w:rPr>
      </w:pPr>
    </w:p>
    <w:p w14:paraId="262CAD17" w14:textId="52A3FE12" w:rsidR="00E83D1F" w:rsidRDefault="001E6A9C" w:rsidP="00564755">
      <w:pPr>
        <w:spacing w:line="360" w:lineRule="auto"/>
        <w:jc w:val="both"/>
        <w:rPr>
          <w:rFonts w:ascii="Palatino Linotype" w:hAnsi="Palatino Linotype" w:cs="Tahoma"/>
          <w:sz w:val="22"/>
          <w:szCs w:val="22"/>
        </w:rPr>
      </w:pPr>
      <w:r>
        <w:rPr>
          <w:rFonts w:ascii="Palatino Linotype" w:hAnsi="Palatino Linotype" w:cs="Tahoma"/>
          <w:sz w:val="22"/>
          <w:szCs w:val="22"/>
        </w:rPr>
        <w:t xml:space="preserve">Lo anterior, se robustece con el hecho que el Centro de Control de Confianza del Estado de México, al ser </w:t>
      </w:r>
      <w:r w:rsidR="009B60E2">
        <w:rPr>
          <w:rFonts w:ascii="Palatino Linotype" w:hAnsi="Palatino Linotype" w:cs="Tahoma"/>
          <w:sz w:val="22"/>
          <w:szCs w:val="22"/>
        </w:rPr>
        <w:t xml:space="preserve">para el Ejercicio Fiscal dos mil dieciocho, Unidad Ejecutora, adscrita a la Secretaría General de Gobierno (Unidad Responsable), </w:t>
      </w:r>
      <w:r w:rsidR="009B60E2" w:rsidRPr="00D630A7">
        <w:rPr>
          <w:rFonts w:ascii="Palatino Linotype" w:hAnsi="Palatino Linotype" w:cs="Tahoma"/>
          <w:b/>
          <w:sz w:val="22"/>
          <w:szCs w:val="22"/>
        </w:rPr>
        <w:t xml:space="preserve">le resultó aplicable el </w:t>
      </w:r>
      <w:r w:rsidR="00D630A7" w:rsidRPr="00D630A7">
        <w:rPr>
          <w:rFonts w:ascii="Palatino Linotype" w:hAnsi="Palatino Linotype" w:cs="Tahoma"/>
          <w:b/>
          <w:sz w:val="22"/>
          <w:szCs w:val="22"/>
        </w:rPr>
        <w:t xml:space="preserve">Manual para la Formulación del Anteproyecto de Presupuesto de Egresos del Gobierno del Estado de México, para el Ejercicio Fiscal dos mil dieciocho, </w:t>
      </w:r>
      <w:r w:rsidR="00D630A7">
        <w:rPr>
          <w:rFonts w:ascii="Palatino Linotype" w:hAnsi="Palatino Linotype" w:cs="Tahoma"/>
          <w:sz w:val="22"/>
          <w:szCs w:val="22"/>
        </w:rPr>
        <w:t>tal como se estableció en el Considerando Segundo.</w:t>
      </w:r>
    </w:p>
    <w:p w14:paraId="1AF92353" w14:textId="77777777" w:rsidR="00E83D1F" w:rsidRDefault="00E83D1F" w:rsidP="00564755">
      <w:pPr>
        <w:spacing w:line="360" w:lineRule="auto"/>
        <w:jc w:val="both"/>
        <w:rPr>
          <w:rFonts w:ascii="Palatino Linotype" w:hAnsi="Palatino Linotype" w:cs="Tahoma"/>
          <w:sz w:val="22"/>
          <w:szCs w:val="22"/>
        </w:rPr>
      </w:pPr>
    </w:p>
    <w:p w14:paraId="1A0BC58D" w14:textId="3F4154E1" w:rsidR="00C92EFF" w:rsidRDefault="00911DF7" w:rsidP="00F04874">
      <w:pPr>
        <w:spacing w:line="360" w:lineRule="auto"/>
        <w:ind w:right="-93"/>
        <w:jc w:val="both"/>
        <w:rPr>
          <w:rFonts w:ascii="Palatino Linotype" w:hAnsi="Palatino Linotype" w:cs="Tahoma"/>
          <w:sz w:val="22"/>
          <w:szCs w:val="24"/>
          <w:lang w:val="es-ES"/>
        </w:rPr>
      </w:pPr>
      <w:r>
        <w:rPr>
          <w:rFonts w:ascii="Palatino Linotype" w:hAnsi="Palatino Linotype" w:cs="Tahoma"/>
          <w:sz w:val="22"/>
          <w:szCs w:val="22"/>
        </w:rPr>
        <w:t>En ese orden de ideas, se considera que el Sujeto Obligado</w:t>
      </w:r>
      <w:r w:rsidR="00F04874">
        <w:rPr>
          <w:rFonts w:ascii="Palatino Linotype" w:hAnsi="Palatino Linotype" w:cs="Tahoma"/>
          <w:sz w:val="22"/>
          <w:szCs w:val="22"/>
        </w:rPr>
        <w:t xml:space="preserve"> desde respuesta, a través del área competente, a saber, </w:t>
      </w:r>
      <w:r w:rsidR="00F04874" w:rsidRPr="00F04874">
        <w:rPr>
          <w:rFonts w:ascii="Palatino Linotype" w:hAnsi="Palatino Linotype" w:cs="Tahoma"/>
          <w:sz w:val="22"/>
          <w:szCs w:val="22"/>
        </w:rPr>
        <w:t>Unidad de Información, Planeación, Programación y Evaluación</w:t>
      </w:r>
      <w:r>
        <w:rPr>
          <w:rFonts w:ascii="Palatino Linotype" w:hAnsi="Palatino Linotype" w:cs="Tahoma"/>
          <w:sz w:val="22"/>
          <w:szCs w:val="22"/>
        </w:rPr>
        <w:t xml:space="preserve">, señaló las razones por las cuales no contaba </w:t>
      </w:r>
      <w:r w:rsidR="004E7473">
        <w:rPr>
          <w:rFonts w:ascii="Palatino Linotype" w:hAnsi="Palatino Linotype" w:cs="Tahoma"/>
          <w:sz w:val="22"/>
          <w:szCs w:val="22"/>
        </w:rPr>
        <w:t xml:space="preserve">con los formatos </w:t>
      </w:r>
      <w:r w:rsidR="00F04874" w:rsidRPr="00F04874">
        <w:rPr>
          <w:rFonts w:ascii="Palatino Linotype" w:hAnsi="Palatino Linotype" w:cs="Tahoma"/>
          <w:sz w:val="22"/>
          <w:szCs w:val="22"/>
        </w:rPr>
        <w:t>PbRM-1a, PbRM-1b, PbRM-1c, PbRM-1d, PbRM-1e y PbRM-02a</w:t>
      </w:r>
      <w:r w:rsidR="00F04874">
        <w:rPr>
          <w:rFonts w:ascii="Palatino Linotype" w:hAnsi="Palatino Linotype" w:cs="Tahoma"/>
          <w:sz w:val="22"/>
          <w:szCs w:val="22"/>
        </w:rPr>
        <w:t xml:space="preserve">, por lo que, dio cumplimiento al </w:t>
      </w:r>
      <w:r>
        <w:rPr>
          <w:rFonts w:ascii="Palatino Linotype" w:hAnsi="Palatino Linotype" w:cs="Tahoma"/>
          <w:sz w:val="22"/>
          <w:szCs w:val="24"/>
          <w:lang w:val="es-ES"/>
        </w:rPr>
        <w:t>artículo 19, segundo párrafo, de la Ley de Transparencia y Acceso a la Información Pública del Estado de México y Municipios</w:t>
      </w:r>
      <w:r w:rsidR="00F04874">
        <w:rPr>
          <w:rFonts w:ascii="Palatino Linotype" w:hAnsi="Palatino Linotype" w:cs="Tahoma"/>
          <w:sz w:val="22"/>
          <w:szCs w:val="24"/>
          <w:lang w:val="es-ES"/>
        </w:rPr>
        <w:t>.</w:t>
      </w:r>
    </w:p>
    <w:p w14:paraId="1A0BC58E" w14:textId="77777777" w:rsidR="000908DE" w:rsidRDefault="000908DE" w:rsidP="00564755">
      <w:pPr>
        <w:spacing w:line="360" w:lineRule="auto"/>
        <w:jc w:val="both"/>
        <w:rPr>
          <w:rFonts w:ascii="Palatino Linotype" w:hAnsi="Palatino Linotype" w:cs="Tahoma"/>
          <w:sz w:val="22"/>
          <w:szCs w:val="24"/>
          <w:lang w:val="es-ES"/>
        </w:rPr>
      </w:pPr>
    </w:p>
    <w:p w14:paraId="1A0BC591" w14:textId="5CA80CAD" w:rsidR="000908DE" w:rsidRDefault="00F04874" w:rsidP="00564755">
      <w:pPr>
        <w:spacing w:line="360" w:lineRule="auto"/>
        <w:jc w:val="both"/>
        <w:rPr>
          <w:rStyle w:val="Hipervnculo"/>
          <w:rFonts w:ascii="Palatino Linotype" w:hAnsi="Palatino Linotype" w:cs="Tahoma"/>
          <w:bCs/>
          <w:color w:val="auto"/>
          <w:sz w:val="22"/>
          <w:szCs w:val="22"/>
          <w:u w:val="none"/>
        </w:rPr>
      </w:pPr>
      <w:r>
        <w:rPr>
          <w:rFonts w:ascii="Palatino Linotype" w:hAnsi="Palatino Linotype" w:cs="Tahoma"/>
          <w:sz w:val="22"/>
          <w:szCs w:val="24"/>
          <w:lang w:val="es-ES"/>
        </w:rPr>
        <w:t xml:space="preserve">Además, que resulta aplicable el Criterio 07/17 </w:t>
      </w:r>
      <w:r w:rsidR="00911DF7">
        <w:rPr>
          <w:rFonts w:ascii="Palatino Linotype" w:eastAsia="Calibri" w:hAnsi="Palatino Linotype" w:cs="Tahoma"/>
          <w:bCs/>
          <w:sz w:val="22"/>
          <w:szCs w:val="22"/>
          <w:lang w:eastAsia="en-US"/>
        </w:rPr>
        <w:t>emitido por el Instituto Nacional de Transparencia, Acceso a la Información y Protección de Datos Personales</w:t>
      </w:r>
      <w:r>
        <w:rPr>
          <w:rFonts w:ascii="Palatino Linotype" w:eastAsia="Calibri" w:hAnsi="Palatino Linotype" w:cs="Tahoma"/>
          <w:bCs/>
          <w:sz w:val="22"/>
          <w:szCs w:val="22"/>
          <w:lang w:eastAsia="en-US"/>
        </w:rPr>
        <w:t xml:space="preserve">, dado que al </w:t>
      </w:r>
      <w:r w:rsidR="00911DF7">
        <w:rPr>
          <w:rFonts w:ascii="Palatino Linotype" w:hAnsi="Palatino Linotype" w:cs="Tahoma"/>
          <w:sz w:val="22"/>
          <w:szCs w:val="22"/>
        </w:rPr>
        <w:t xml:space="preserve"> analizar la normatividad aplicable a la materia de la solicitud, así como de la búsqueda de información p</w:t>
      </w:r>
      <w:r w:rsidR="003B42F6">
        <w:rPr>
          <w:rFonts w:ascii="Palatino Linotype" w:hAnsi="Palatino Linotype" w:cs="Tahoma"/>
          <w:sz w:val="22"/>
          <w:szCs w:val="22"/>
        </w:rPr>
        <w:t>ública, no se advirtió</w:t>
      </w:r>
      <w:r w:rsidR="00911DF7">
        <w:rPr>
          <w:rFonts w:ascii="Palatino Linotype" w:hAnsi="Palatino Linotype" w:cs="Tahoma"/>
          <w:sz w:val="22"/>
          <w:szCs w:val="22"/>
        </w:rPr>
        <w:t xml:space="preserve"> alguna obligación por parte </w:t>
      </w:r>
      <w:r w:rsidR="006C4BF6">
        <w:rPr>
          <w:rFonts w:ascii="Palatino Linotype" w:hAnsi="Palatino Linotype" w:cs="Tahoma"/>
          <w:sz w:val="22"/>
          <w:szCs w:val="22"/>
        </w:rPr>
        <w:t xml:space="preserve">Centro de Control de Confianza del Estado de México, de contar con los formatos previamente señalados, del Ejercicio Fiscal dos mil dieciocho, pues no le resultó aplicable el </w:t>
      </w:r>
      <w:r w:rsidR="006C4BF6" w:rsidRPr="006C4BF6">
        <w:rPr>
          <w:rFonts w:ascii="Palatino Linotype" w:hAnsi="Palatino Linotype" w:cs="Tahoma"/>
          <w:sz w:val="22"/>
          <w:szCs w:val="22"/>
        </w:rPr>
        <w:t>Manual para la Planeación, Programación y Presupuesto de Egresos Municipal para el Ejercicio Fiscal dos mil dieciocho</w:t>
      </w:r>
      <w:r w:rsidR="006C4BF6">
        <w:rPr>
          <w:rFonts w:ascii="Palatino Linotype" w:hAnsi="Palatino Linotype" w:cs="Tahoma"/>
          <w:sz w:val="22"/>
          <w:szCs w:val="22"/>
        </w:rPr>
        <w:t>, al ser un organismo descentralizado Estatal.</w:t>
      </w:r>
    </w:p>
    <w:p w14:paraId="1A0BC592" w14:textId="77777777" w:rsidR="003B42F6" w:rsidRDefault="003B42F6" w:rsidP="00564755">
      <w:pPr>
        <w:spacing w:line="360" w:lineRule="auto"/>
        <w:jc w:val="both"/>
        <w:rPr>
          <w:rStyle w:val="Hipervnculo"/>
          <w:rFonts w:ascii="Palatino Linotype" w:hAnsi="Palatino Linotype" w:cs="Tahoma"/>
          <w:bCs/>
          <w:color w:val="auto"/>
          <w:sz w:val="22"/>
          <w:szCs w:val="22"/>
          <w:u w:val="none"/>
        </w:rPr>
      </w:pPr>
    </w:p>
    <w:p w14:paraId="3B0CF7AF" w14:textId="7F57E2A8" w:rsidR="002D27CE" w:rsidRPr="00775DA8" w:rsidRDefault="002D27CE" w:rsidP="00564755">
      <w:pPr>
        <w:spacing w:line="360" w:lineRule="auto"/>
        <w:jc w:val="both"/>
        <w:rPr>
          <w:rStyle w:val="Hipervnculo"/>
          <w:rFonts w:ascii="Palatino Linotype" w:hAnsi="Palatino Linotype" w:cs="Tahoma"/>
          <w:b/>
          <w:bCs/>
          <w:color w:val="auto"/>
          <w:sz w:val="22"/>
          <w:szCs w:val="22"/>
          <w:u w:val="none"/>
        </w:rPr>
      </w:pPr>
      <w:r>
        <w:rPr>
          <w:rStyle w:val="Hipervnculo"/>
          <w:rFonts w:ascii="Palatino Linotype" w:hAnsi="Palatino Linotype" w:cs="Tahoma"/>
          <w:bCs/>
          <w:color w:val="auto"/>
          <w:sz w:val="22"/>
          <w:szCs w:val="22"/>
          <w:u w:val="none"/>
        </w:rPr>
        <w:t>Así, toda vez que el Sujeto Obligado señaló las razones por las cuales no contaba con la información requerida</w:t>
      </w:r>
      <w:r w:rsidR="00775DA8">
        <w:rPr>
          <w:rStyle w:val="Hipervnculo"/>
          <w:rFonts w:ascii="Palatino Linotype" w:hAnsi="Palatino Linotype" w:cs="Tahoma"/>
          <w:bCs/>
          <w:color w:val="auto"/>
          <w:sz w:val="22"/>
          <w:szCs w:val="22"/>
          <w:u w:val="none"/>
        </w:rPr>
        <w:t>, en cumplimiento del artículo 19, segundo párrafo de la Ley de Transparencia y Acceso a la Información Pública del Estado de México</w:t>
      </w:r>
      <w:r>
        <w:rPr>
          <w:rStyle w:val="Hipervnculo"/>
          <w:rFonts w:ascii="Palatino Linotype" w:hAnsi="Palatino Linotype" w:cs="Tahoma"/>
          <w:bCs/>
          <w:color w:val="auto"/>
          <w:sz w:val="22"/>
          <w:szCs w:val="22"/>
          <w:u w:val="none"/>
        </w:rPr>
        <w:t xml:space="preserve">, se estima que </w:t>
      </w:r>
      <w:r w:rsidR="00D72D9A">
        <w:rPr>
          <w:rStyle w:val="Hipervnculo"/>
          <w:rFonts w:ascii="Palatino Linotype" w:hAnsi="Palatino Linotype" w:cs="Tahoma"/>
          <w:bCs/>
          <w:color w:val="auto"/>
          <w:sz w:val="22"/>
          <w:szCs w:val="22"/>
          <w:u w:val="none"/>
        </w:rPr>
        <w:t xml:space="preserve">los </w:t>
      </w:r>
      <w:r>
        <w:rPr>
          <w:rStyle w:val="Hipervnculo"/>
          <w:rFonts w:ascii="Palatino Linotype" w:hAnsi="Palatino Linotype" w:cs="Tahoma"/>
          <w:bCs/>
          <w:color w:val="auto"/>
          <w:sz w:val="22"/>
          <w:szCs w:val="22"/>
          <w:u w:val="none"/>
        </w:rPr>
        <w:t>agravio</w:t>
      </w:r>
      <w:r w:rsidR="00D72D9A">
        <w:rPr>
          <w:rStyle w:val="Hipervnculo"/>
          <w:rFonts w:ascii="Palatino Linotype" w:hAnsi="Palatino Linotype" w:cs="Tahoma"/>
          <w:bCs/>
          <w:color w:val="auto"/>
          <w:sz w:val="22"/>
          <w:szCs w:val="22"/>
          <w:u w:val="none"/>
        </w:rPr>
        <w:t>s</w:t>
      </w:r>
      <w:r>
        <w:rPr>
          <w:rStyle w:val="Hipervnculo"/>
          <w:rFonts w:ascii="Palatino Linotype" w:hAnsi="Palatino Linotype" w:cs="Tahoma"/>
          <w:bCs/>
          <w:color w:val="auto"/>
          <w:sz w:val="22"/>
          <w:szCs w:val="22"/>
          <w:u w:val="none"/>
        </w:rPr>
        <w:t xml:space="preserve"> hecho</w:t>
      </w:r>
      <w:r w:rsidR="00D72D9A">
        <w:rPr>
          <w:rStyle w:val="Hipervnculo"/>
          <w:rFonts w:ascii="Palatino Linotype" w:hAnsi="Palatino Linotype" w:cs="Tahoma"/>
          <w:bCs/>
          <w:color w:val="auto"/>
          <w:sz w:val="22"/>
          <w:szCs w:val="22"/>
          <w:u w:val="none"/>
        </w:rPr>
        <w:t>s</w:t>
      </w:r>
      <w:r>
        <w:rPr>
          <w:rStyle w:val="Hipervnculo"/>
          <w:rFonts w:ascii="Palatino Linotype" w:hAnsi="Palatino Linotype" w:cs="Tahoma"/>
          <w:bCs/>
          <w:color w:val="auto"/>
          <w:sz w:val="22"/>
          <w:szCs w:val="22"/>
          <w:u w:val="none"/>
        </w:rPr>
        <w:t xml:space="preserve"> valer por </w:t>
      </w:r>
      <w:r w:rsidR="00775DA8">
        <w:rPr>
          <w:rStyle w:val="Hipervnculo"/>
          <w:rFonts w:ascii="Palatino Linotype" w:hAnsi="Palatino Linotype" w:cs="Tahoma"/>
          <w:bCs/>
          <w:color w:val="auto"/>
          <w:sz w:val="22"/>
          <w:szCs w:val="22"/>
          <w:u w:val="none"/>
        </w:rPr>
        <w:t>el Particular resulta</w:t>
      </w:r>
      <w:r w:rsidR="00D72D9A">
        <w:rPr>
          <w:rStyle w:val="Hipervnculo"/>
          <w:rFonts w:ascii="Palatino Linotype" w:hAnsi="Palatino Linotype" w:cs="Tahoma"/>
          <w:bCs/>
          <w:color w:val="auto"/>
          <w:sz w:val="22"/>
          <w:szCs w:val="22"/>
          <w:u w:val="none"/>
        </w:rPr>
        <w:t>n</w:t>
      </w:r>
      <w:r w:rsidR="00775DA8">
        <w:rPr>
          <w:rStyle w:val="Hipervnculo"/>
          <w:rFonts w:ascii="Palatino Linotype" w:hAnsi="Palatino Linotype" w:cs="Tahoma"/>
          <w:bCs/>
          <w:color w:val="auto"/>
          <w:sz w:val="22"/>
          <w:szCs w:val="22"/>
          <w:u w:val="none"/>
        </w:rPr>
        <w:t xml:space="preserve"> </w:t>
      </w:r>
      <w:r w:rsidR="00775DA8">
        <w:rPr>
          <w:rStyle w:val="Hipervnculo"/>
          <w:rFonts w:ascii="Palatino Linotype" w:hAnsi="Palatino Linotype" w:cs="Tahoma"/>
          <w:b/>
          <w:bCs/>
          <w:color w:val="auto"/>
          <w:sz w:val="22"/>
          <w:szCs w:val="22"/>
          <w:u w:val="none"/>
        </w:rPr>
        <w:t>INFUNDADO</w:t>
      </w:r>
      <w:r w:rsidR="00D72D9A">
        <w:rPr>
          <w:rStyle w:val="Hipervnculo"/>
          <w:rFonts w:ascii="Palatino Linotype" w:hAnsi="Palatino Linotype" w:cs="Tahoma"/>
          <w:b/>
          <w:bCs/>
          <w:color w:val="auto"/>
          <w:sz w:val="22"/>
          <w:szCs w:val="22"/>
          <w:u w:val="none"/>
        </w:rPr>
        <w:t>S</w:t>
      </w:r>
      <w:r w:rsidR="00775DA8">
        <w:rPr>
          <w:rStyle w:val="Hipervnculo"/>
          <w:rFonts w:ascii="Palatino Linotype" w:hAnsi="Palatino Linotype" w:cs="Tahoma"/>
          <w:b/>
          <w:bCs/>
          <w:color w:val="auto"/>
          <w:sz w:val="22"/>
          <w:szCs w:val="22"/>
          <w:u w:val="none"/>
        </w:rPr>
        <w:t>.</w:t>
      </w:r>
    </w:p>
    <w:p w14:paraId="1A0BC594" w14:textId="77777777" w:rsidR="00DE339D" w:rsidRPr="00A56F39" w:rsidRDefault="00DE339D" w:rsidP="00564755">
      <w:pPr>
        <w:spacing w:line="360" w:lineRule="auto"/>
        <w:jc w:val="both"/>
        <w:rPr>
          <w:rFonts w:ascii="Palatino Linotype" w:hAnsi="Palatino Linotype" w:cs="Tahoma"/>
          <w:sz w:val="22"/>
          <w:szCs w:val="24"/>
          <w:lang w:val="es-ES"/>
        </w:rPr>
      </w:pPr>
    </w:p>
    <w:p w14:paraId="1A0BC595" w14:textId="374C1E72" w:rsidR="00AE14E4" w:rsidRDefault="00775DA8" w:rsidP="00AE14E4">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Sin menoscabar lo anterior, no pasa desapercibido para este Instituto que en cumplimiento al principio de máxima publicidad, durante la sustanciación del medio de impugnación, proporcionó los formatos que emiti</w:t>
      </w:r>
      <w:r w:rsidR="009E2DE1">
        <w:rPr>
          <w:rFonts w:ascii="Palatino Linotype" w:hAnsi="Palatino Linotype" w:cs="Tahoma"/>
          <w:sz w:val="22"/>
          <w:szCs w:val="22"/>
        </w:rPr>
        <w:t>ó como Unidad Ejecutora para generar el Programa Operativo Anual de la Secretaría General de Gobierno para el Ejercicio Fiscal dos mil dieciocho, a saber,</w:t>
      </w:r>
      <w:r w:rsidR="00273A4D">
        <w:rPr>
          <w:rFonts w:ascii="Palatino Linotype" w:hAnsi="Palatino Linotype" w:cs="Tahoma"/>
          <w:sz w:val="22"/>
          <w:szCs w:val="22"/>
        </w:rPr>
        <w:t xml:space="preserve"> los identificados como</w:t>
      </w:r>
      <w:r w:rsidR="009E2DE1">
        <w:rPr>
          <w:rFonts w:ascii="Palatino Linotype" w:hAnsi="Palatino Linotype" w:cs="Tahoma"/>
          <w:sz w:val="22"/>
          <w:szCs w:val="22"/>
        </w:rPr>
        <w:t xml:space="preserve"> </w:t>
      </w:r>
      <w:r w:rsidR="009E2DE1" w:rsidRPr="009E2DE1">
        <w:rPr>
          <w:rFonts w:ascii="Palatino Linotype" w:hAnsi="Palatino Linotype" w:cs="Tahoma"/>
          <w:sz w:val="22"/>
          <w:szCs w:val="22"/>
        </w:rPr>
        <w:t>PbR-1a, PbR-2a, PbR-3a y PbR-9a</w:t>
      </w:r>
      <w:r w:rsidR="00273A4D">
        <w:rPr>
          <w:rFonts w:ascii="Palatino Linotype" w:hAnsi="Palatino Linotype" w:cs="Tahoma"/>
          <w:sz w:val="22"/>
          <w:szCs w:val="22"/>
        </w:rPr>
        <w:t xml:space="preserve">; lo cual, robustece el hecho de que el Centro de Control de Confianza del Estado de México no genera ningún Formato del Presupuesto basado en Resultados Municipal, localizados en el </w:t>
      </w:r>
      <w:r w:rsidR="00273A4D" w:rsidRPr="00273A4D">
        <w:rPr>
          <w:rFonts w:ascii="Palatino Linotype" w:hAnsi="Palatino Linotype" w:cs="Tahoma"/>
          <w:sz w:val="22"/>
          <w:szCs w:val="22"/>
        </w:rPr>
        <w:t>Manual para la Planeación, Programación y Presupuesto de Egresos Municipal para el Ejercicio Fiscal dos mil dieciocho</w:t>
      </w:r>
      <w:r w:rsidR="00273A4D">
        <w:rPr>
          <w:rFonts w:ascii="Palatino Linotype" w:hAnsi="Palatino Linotype" w:cs="Tahoma"/>
          <w:sz w:val="22"/>
          <w:szCs w:val="22"/>
        </w:rPr>
        <w:t>.</w:t>
      </w:r>
    </w:p>
    <w:p w14:paraId="457431CC" w14:textId="77777777" w:rsidR="002D27CE" w:rsidRDefault="002D27CE" w:rsidP="00AE14E4">
      <w:pPr>
        <w:widowControl w:val="0"/>
        <w:spacing w:line="360" w:lineRule="auto"/>
        <w:ind w:right="-91"/>
        <w:jc w:val="both"/>
        <w:rPr>
          <w:rFonts w:ascii="Palatino Linotype" w:hAnsi="Palatino Linotype" w:cs="Tahoma"/>
          <w:sz w:val="22"/>
          <w:szCs w:val="22"/>
        </w:rPr>
      </w:pPr>
    </w:p>
    <w:p w14:paraId="1A0BC681" w14:textId="54B81910" w:rsidR="00F851FE" w:rsidRDefault="007E493E" w:rsidP="00362A6D">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 xml:space="preserve">SEXTO. Decisión. </w:t>
      </w:r>
    </w:p>
    <w:p w14:paraId="35A65015" w14:textId="77777777" w:rsidR="00362A6D" w:rsidRDefault="00362A6D" w:rsidP="00362A6D">
      <w:pPr>
        <w:spacing w:line="360" w:lineRule="auto"/>
        <w:ind w:right="-93"/>
        <w:jc w:val="both"/>
        <w:rPr>
          <w:rFonts w:ascii="Palatino Linotype" w:hAnsi="Palatino Linotype" w:cs="Tahoma"/>
          <w:b/>
          <w:sz w:val="22"/>
          <w:szCs w:val="22"/>
        </w:rPr>
      </w:pPr>
    </w:p>
    <w:p w14:paraId="553B4A87" w14:textId="2D6F521B" w:rsidR="00362A6D" w:rsidRDefault="00362A6D" w:rsidP="00362A6D">
      <w:pPr>
        <w:spacing w:line="360" w:lineRule="auto"/>
        <w:jc w:val="both"/>
        <w:rPr>
          <w:rFonts w:ascii="Palatino Linotype" w:eastAsia="Calibri" w:hAnsi="Palatino Linotype" w:cs="Tahoma"/>
          <w:iCs/>
          <w:sz w:val="22"/>
          <w:szCs w:val="22"/>
          <w:lang w:eastAsia="es-ES_tradnl"/>
        </w:rPr>
      </w:pPr>
      <w:r>
        <w:rPr>
          <w:rFonts w:ascii="Palatino Linotype" w:hAnsi="Palatino Linotype" w:cs="Tahoma"/>
          <w:sz w:val="22"/>
          <w:szCs w:val="22"/>
        </w:rPr>
        <w:t xml:space="preserve">Con fundamento en el artículo 186, fracción I, de la Ley de Transparencia y Acceso a la Información Pública del Estado de México y Municipios, este Instituto considera procedente </w:t>
      </w:r>
      <w:r>
        <w:rPr>
          <w:rFonts w:ascii="Palatino Linotype" w:hAnsi="Palatino Linotype" w:cs="Tahoma"/>
          <w:b/>
          <w:sz w:val="22"/>
          <w:szCs w:val="22"/>
        </w:rPr>
        <w:t xml:space="preserve">CONFIRMAR </w:t>
      </w:r>
      <w:r>
        <w:rPr>
          <w:rFonts w:ascii="Palatino Linotype" w:hAnsi="Palatino Linotype" w:cs="Tahoma"/>
          <w:sz w:val="22"/>
          <w:szCs w:val="22"/>
        </w:rPr>
        <w:t>las respuestas otorgadas por el Centro de Control de Confianza del Estado de México.</w:t>
      </w:r>
    </w:p>
    <w:p w14:paraId="1A0BC682" w14:textId="77777777" w:rsidR="00F851FE" w:rsidRPr="00F851FE" w:rsidRDefault="00F851FE" w:rsidP="00564755">
      <w:pPr>
        <w:pStyle w:val="Prrafodelista"/>
        <w:spacing w:line="360" w:lineRule="auto"/>
        <w:jc w:val="both"/>
        <w:rPr>
          <w:rFonts w:ascii="Palatino Linotype" w:eastAsia="Calibri" w:hAnsi="Palatino Linotype" w:cs="Tahoma"/>
          <w:iCs/>
          <w:szCs w:val="22"/>
          <w:lang w:val="es-ES" w:eastAsia="es-ES_tradnl"/>
        </w:rPr>
      </w:pPr>
    </w:p>
    <w:p w14:paraId="1A0BC683" w14:textId="77777777" w:rsidR="007E493E" w:rsidRDefault="007E493E" w:rsidP="0056475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expuesto y fundado, este Pleno:</w:t>
      </w:r>
    </w:p>
    <w:p w14:paraId="1A0BC684" w14:textId="77777777" w:rsidR="007E493E" w:rsidRDefault="007E493E" w:rsidP="00564755">
      <w:pPr>
        <w:spacing w:line="360" w:lineRule="auto"/>
        <w:ind w:right="-93"/>
        <w:jc w:val="both"/>
        <w:rPr>
          <w:rFonts w:ascii="Palatino Linotype" w:eastAsia="Calibri" w:hAnsi="Palatino Linotype" w:cs="Tahoma"/>
          <w:bCs/>
          <w:sz w:val="22"/>
          <w:szCs w:val="22"/>
          <w:lang w:eastAsia="en-US"/>
        </w:rPr>
      </w:pPr>
    </w:p>
    <w:p w14:paraId="1A0BC685" w14:textId="77777777" w:rsidR="007E493E" w:rsidRDefault="007E493E" w:rsidP="00564755">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1A0BC686" w14:textId="77777777" w:rsidR="007E493E" w:rsidRDefault="007E493E" w:rsidP="00564755">
      <w:pPr>
        <w:spacing w:line="360" w:lineRule="auto"/>
        <w:jc w:val="center"/>
        <w:rPr>
          <w:rFonts w:ascii="Palatino Linotype" w:hAnsi="Palatino Linotype" w:cs="Tahoma"/>
          <w:b/>
          <w:bCs/>
          <w:sz w:val="22"/>
          <w:szCs w:val="22"/>
          <w:lang w:val="es-ES_tradnl"/>
        </w:rPr>
      </w:pPr>
    </w:p>
    <w:p w14:paraId="7923FB4A" w14:textId="6A941012" w:rsidR="00362A6D" w:rsidRDefault="007E493E" w:rsidP="00362A6D">
      <w:pPr>
        <w:spacing w:line="360" w:lineRule="auto"/>
        <w:jc w:val="both"/>
        <w:rPr>
          <w:rFonts w:ascii="Palatino Linotype" w:hAnsi="Palatino Linotype" w:cs="Tahoma"/>
          <w:sz w:val="22"/>
          <w:szCs w:val="22"/>
          <w:lang w:val="es-ES"/>
        </w:rPr>
      </w:pPr>
      <w:r>
        <w:rPr>
          <w:rFonts w:ascii="Palatino Linotype" w:hAnsi="Palatino Linotype" w:cs="Tahoma"/>
          <w:b/>
          <w:bCs/>
          <w:sz w:val="22"/>
          <w:szCs w:val="22"/>
          <w:lang w:val="es-ES_tradnl"/>
        </w:rPr>
        <w:t xml:space="preserve">PRIMERO. </w:t>
      </w:r>
      <w:r w:rsidR="00362A6D">
        <w:rPr>
          <w:rFonts w:ascii="Palatino Linotype" w:hAnsi="Palatino Linotype" w:cs="Tahoma"/>
          <w:sz w:val="22"/>
          <w:szCs w:val="22"/>
        </w:rPr>
        <w:t xml:space="preserve">Se </w:t>
      </w:r>
      <w:r w:rsidR="00362A6D">
        <w:rPr>
          <w:rFonts w:ascii="Palatino Linotype" w:hAnsi="Palatino Linotype" w:cs="Tahoma"/>
          <w:b/>
          <w:sz w:val="22"/>
          <w:szCs w:val="22"/>
        </w:rPr>
        <w:t xml:space="preserve">CONFIRMAN </w:t>
      </w:r>
      <w:r w:rsidR="00362A6D">
        <w:rPr>
          <w:rFonts w:ascii="Palatino Linotype" w:hAnsi="Palatino Linotype" w:cs="Tahoma"/>
          <w:sz w:val="22"/>
          <w:szCs w:val="22"/>
        </w:rPr>
        <w:t xml:space="preserve">las respuestas entregadas por el Sujeto Obligado a las solicitudes de acceso a la información con número </w:t>
      </w:r>
      <w:r w:rsidR="00362A6D" w:rsidRPr="00362A6D">
        <w:rPr>
          <w:rFonts w:ascii="Palatino Linotype" w:hAnsi="Palatino Linotype" w:cs="Tahoma"/>
          <w:bCs/>
          <w:iCs/>
          <w:sz w:val="22"/>
          <w:szCs w:val="22"/>
        </w:rPr>
        <w:t>00002/CCCEM/IP/2019</w:t>
      </w:r>
      <w:r w:rsidR="00362A6D">
        <w:rPr>
          <w:rFonts w:ascii="Palatino Linotype" w:hAnsi="Palatino Linotype" w:cs="Tahoma"/>
          <w:bCs/>
          <w:iCs/>
          <w:sz w:val="22"/>
          <w:szCs w:val="22"/>
        </w:rPr>
        <w:t xml:space="preserve"> y </w:t>
      </w:r>
      <w:r w:rsidR="00362A6D" w:rsidRPr="00362A6D">
        <w:rPr>
          <w:rFonts w:ascii="Palatino Linotype" w:hAnsi="Palatino Linotype" w:cs="Tahoma"/>
          <w:bCs/>
          <w:iCs/>
          <w:sz w:val="22"/>
          <w:szCs w:val="22"/>
        </w:rPr>
        <w:t>0000</w:t>
      </w:r>
      <w:r w:rsidR="00362A6D">
        <w:rPr>
          <w:rFonts w:ascii="Palatino Linotype" w:hAnsi="Palatino Linotype" w:cs="Tahoma"/>
          <w:bCs/>
          <w:iCs/>
          <w:sz w:val="22"/>
          <w:szCs w:val="22"/>
        </w:rPr>
        <w:t>3</w:t>
      </w:r>
      <w:r w:rsidR="00362A6D" w:rsidRPr="00362A6D">
        <w:rPr>
          <w:rFonts w:ascii="Palatino Linotype" w:hAnsi="Palatino Linotype" w:cs="Tahoma"/>
          <w:bCs/>
          <w:iCs/>
          <w:sz w:val="22"/>
          <w:szCs w:val="22"/>
        </w:rPr>
        <w:t>/CCCEM/IP/2019</w:t>
      </w:r>
      <w:r w:rsidR="00362A6D">
        <w:rPr>
          <w:rFonts w:ascii="Palatino Linotype" w:hAnsi="Palatino Linotype" w:cs="Tahoma"/>
          <w:sz w:val="22"/>
          <w:szCs w:val="22"/>
        </w:rPr>
        <w:t xml:space="preserve">, por resultar </w:t>
      </w:r>
      <w:r w:rsidR="00D72D9A">
        <w:rPr>
          <w:rFonts w:ascii="Palatino Linotype" w:hAnsi="Palatino Linotype" w:cs="Tahoma"/>
          <w:b/>
          <w:sz w:val="22"/>
          <w:szCs w:val="22"/>
        </w:rPr>
        <w:t>INFUNDADOS</w:t>
      </w:r>
      <w:r w:rsidR="00362A6D">
        <w:rPr>
          <w:rFonts w:ascii="Palatino Linotype" w:hAnsi="Palatino Linotype" w:cs="Tahoma"/>
          <w:sz w:val="22"/>
          <w:szCs w:val="22"/>
        </w:rPr>
        <w:t xml:space="preserve"> los motivos de inconformidad vertidos por el Recurrente, en términos de los Considerandos </w:t>
      </w:r>
      <w:r w:rsidR="00362A6D" w:rsidRPr="000B6E27">
        <w:rPr>
          <w:rFonts w:ascii="Palatino Linotype" w:hAnsi="Palatino Linotype" w:cs="Tahoma"/>
          <w:b/>
          <w:sz w:val="22"/>
          <w:szCs w:val="22"/>
        </w:rPr>
        <w:t>QUINTO y SEXTO</w:t>
      </w:r>
      <w:r w:rsidR="00362A6D">
        <w:rPr>
          <w:rFonts w:ascii="Palatino Linotype" w:hAnsi="Palatino Linotype" w:cs="Tahoma"/>
          <w:sz w:val="22"/>
          <w:szCs w:val="22"/>
        </w:rPr>
        <w:t xml:space="preserve"> de la presente Resolución.</w:t>
      </w:r>
    </w:p>
    <w:p w14:paraId="7A555AB3" w14:textId="77777777" w:rsidR="00362A6D" w:rsidRDefault="00362A6D" w:rsidP="00564755">
      <w:pPr>
        <w:spacing w:line="360" w:lineRule="auto"/>
        <w:jc w:val="both"/>
        <w:rPr>
          <w:rFonts w:ascii="Palatino Linotype" w:hAnsi="Palatino Linotype" w:cs="Tahoma"/>
          <w:b/>
          <w:bCs/>
          <w:sz w:val="22"/>
          <w:szCs w:val="22"/>
          <w:lang w:val="es-ES_tradnl"/>
        </w:rPr>
      </w:pPr>
    </w:p>
    <w:p w14:paraId="416600D7" w14:textId="77777777" w:rsidR="00D72D9A" w:rsidRDefault="00D72D9A" w:rsidP="00D72D9A">
      <w:pPr>
        <w:spacing w:line="360" w:lineRule="auto"/>
        <w:jc w:val="both"/>
        <w:rPr>
          <w:rFonts w:ascii="Palatino Linotype" w:hAnsi="Palatino Linotype" w:cs="Tahoma"/>
          <w:b/>
          <w:sz w:val="22"/>
          <w:szCs w:val="22"/>
        </w:rPr>
      </w:pPr>
      <w:r w:rsidRPr="00E4518F">
        <w:rPr>
          <w:rFonts w:ascii="Palatino Linotype" w:eastAsia="Calibri" w:hAnsi="Palatino Linotype" w:cs="Tahoma"/>
          <w:b/>
          <w:bCs/>
          <w:sz w:val="22"/>
          <w:szCs w:val="22"/>
          <w:lang w:eastAsia="en-US"/>
        </w:rPr>
        <w:t>SEGUNDO.</w:t>
      </w:r>
      <w:r w:rsidRPr="00E4518F">
        <w:rPr>
          <w:rFonts w:ascii="Palatino Linotype" w:eastAsia="Calibri" w:hAnsi="Palatino Linotype" w:cs="Tahoma"/>
          <w:sz w:val="22"/>
          <w:szCs w:val="22"/>
          <w:lang w:eastAsia="es-MX"/>
        </w:rPr>
        <w:t xml:space="preserve">  </w:t>
      </w:r>
      <w:r w:rsidRPr="00FE39F9">
        <w:rPr>
          <w:rFonts w:ascii="Palatino Linotype" w:hAnsi="Palatino Linotype" w:cs="Tahoma"/>
          <w:b/>
          <w:sz w:val="22"/>
          <w:szCs w:val="22"/>
        </w:rPr>
        <w:t xml:space="preserve">NOTIFÍQUESE </w:t>
      </w:r>
      <w:r w:rsidRPr="00FE39F9">
        <w:rPr>
          <w:rFonts w:ascii="Palatino Linotype" w:hAnsi="Palatino Linotype" w:cs="Tahoma"/>
          <w:sz w:val="22"/>
          <w:szCs w:val="22"/>
        </w:rPr>
        <w:t>la resolución al Titular de la Unidad de Transparencia del Sujeto Obligado, a través del Sistema de Acceso a la Información Mexiquense (SAIMEX).</w:t>
      </w:r>
    </w:p>
    <w:p w14:paraId="013B0390" w14:textId="77777777" w:rsidR="00D72D9A" w:rsidRDefault="00D72D9A" w:rsidP="00D72D9A">
      <w:pPr>
        <w:spacing w:line="360" w:lineRule="auto"/>
        <w:jc w:val="both"/>
        <w:rPr>
          <w:rFonts w:ascii="Palatino Linotype" w:hAnsi="Palatino Linotype" w:cs="Tahoma"/>
          <w:bCs/>
          <w:szCs w:val="22"/>
        </w:rPr>
      </w:pPr>
    </w:p>
    <w:p w14:paraId="50045B6A" w14:textId="032E62DB" w:rsidR="00D72D9A" w:rsidRDefault="00D72D9A" w:rsidP="00D72D9A">
      <w:pPr>
        <w:shd w:val="clear" w:color="auto" w:fill="FFFFFF" w:themeFill="background1"/>
        <w:spacing w:line="360" w:lineRule="auto"/>
        <w:jc w:val="both"/>
      </w:pPr>
      <w:r w:rsidRPr="00E4518F">
        <w:rPr>
          <w:rFonts w:ascii="Palatino Linotype" w:eastAsia="Calibri" w:hAnsi="Palatino Linotype" w:cs="Tahoma"/>
          <w:b/>
          <w:bCs/>
          <w:sz w:val="22"/>
          <w:szCs w:val="22"/>
          <w:lang w:eastAsia="en-US"/>
        </w:rPr>
        <w:t xml:space="preserve">TERCERO. </w:t>
      </w:r>
      <w:r w:rsidRPr="00E4518F">
        <w:rPr>
          <w:rFonts w:ascii="Palatino Linotype" w:hAnsi="Palatino Linotype" w:cs="Tahoma"/>
          <w:b/>
          <w:sz w:val="22"/>
          <w:szCs w:val="22"/>
        </w:rPr>
        <w:t>NOTIFÍQUESE</w:t>
      </w:r>
      <w:r w:rsidRPr="00E4518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w:t>
      </w:r>
      <w:r w:rsidR="0042423C">
        <w:rPr>
          <w:rFonts w:ascii="Palatino Linotype" w:hAnsi="Palatino Linotype" w:cs="Tahoma"/>
          <w:sz w:val="22"/>
          <w:szCs w:val="22"/>
        </w:rPr>
        <w:t>érminos de las leyes aplicables</w:t>
      </w:r>
      <w:r w:rsidR="0042423C" w:rsidRPr="0042423C">
        <w:rPr>
          <w:rFonts w:ascii="Palatino Linotype" w:hAnsi="Palatino Linotype" w:cs="Tahoma"/>
          <w:sz w:val="22"/>
          <w:szCs w:val="22"/>
        </w:rPr>
        <w:t>.</w:t>
      </w:r>
    </w:p>
    <w:p w14:paraId="5233E2E0" w14:textId="77777777" w:rsidR="00D72D9A" w:rsidRDefault="00D72D9A" w:rsidP="00D72D9A">
      <w:pPr>
        <w:shd w:val="clear" w:color="auto" w:fill="FFFFFF" w:themeFill="background1"/>
        <w:spacing w:line="360" w:lineRule="auto"/>
        <w:jc w:val="both"/>
        <w:rPr>
          <w:rFonts w:ascii="Palatino Linotype" w:hAnsi="Palatino Linotype" w:cs="Tahoma"/>
          <w:sz w:val="22"/>
          <w:szCs w:val="22"/>
        </w:rPr>
      </w:pPr>
    </w:p>
    <w:p w14:paraId="2B9389DC" w14:textId="2378F12A" w:rsidR="00D72D9A" w:rsidRPr="005C6C26" w:rsidRDefault="00D72D9A" w:rsidP="00D72D9A">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w:t>
      </w:r>
      <w:r w:rsidR="00424A5D">
        <w:rPr>
          <w:rFonts w:ascii="Palatino Linotype" w:hAnsi="Palatino Linotype" w:cs="Tahoma"/>
          <w:sz w:val="22"/>
          <w:szCs w:val="24"/>
          <w:lang w:eastAsia="es-MX"/>
        </w:rPr>
        <w:t xml:space="preserve"> </w:t>
      </w:r>
      <w:r w:rsidR="00424A5D" w:rsidRPr="00424A5D">
        <w:rPr>
          <w:rFonts w:ascii="Palatino Linotype" w:hAnsi="Palatino Linotype" w:cs="Tahoma"/>
          <w:sz w:val="22"/>
          <w:szCs w:val="24"/>
          <w:lang w:eastAsia="es-MX"/>
        </w:rPr>
        <w:t>(</w:t>
      </w:r>
      <w:bookmarkStart w:id="0" w:name="_GoBack"/>
      <w:bookmarkEnd w:id="0"/>
      <w:r w:rsidR="00424A5D" w:rsidRPr="00424A5D">
        <w:rPr>
          <w:rFonts w:ascii="Palatino Linotype" w:hAnsi="Palatino Linotype" w:cs="Tahoma"/>
          <w:sz w:val="22"/>
          <w:szCs w:val="24"/>
          <w:lang w:eastAsia="es-MX"/>
        </w:rPr>
        <w:t>EMITIENDO VOTO PARTICULAR)</w:t>
      </w:r>
      <w:r>
        <w:rPr>
          <w:rFonts w:ascii="Palatino Linotype" w:hAnsi="Palatino Linotype" w:cs="Tahoma"/>
          <w:sz w:val="22"/>
          <w:szCs w:val="24"/>
          <w:lang w:eastAsia="es-MX"/>
        </w:rPr>
        <w:t xml:space="preserve">; JAVIER MARTÍNEZ CRUZ </w:t>
      </w:r>
      <w:r w:rsidRPr="005C6C26">
        <w:rPr>
          <w:rFonts w:ascii="Palatino Linotype" w:hAnsi="Palatino Linotype" w:cs="Tahoma"/>
          <w:sz w:val="22"/>
          <w:szCs w:val="24"/>
          <w:lang w:eastAsia="es-MX"/>
        </w:rPr>
        <w:t xml:space="preserve">Y LUIS GUSTAVO PARRA NORIEGA, EN LA </w:t>
      </w:r>
      <w:r>
        <w:rPr>
          <w:rFonts w:ascii="Palatino Linotype" w:hAnsi="Palatino Linotype" w:cs="Tahoma"/>
          <w:sz w:val="22"/>
          <w:szCs w:val="24"/>
          <w:lang w:eastAsia="es-MX"/>
        </w:rPr>
        <w:t>DÉCIMA SEXTA</w:t>
      </w:r>
      <w:r w:rsidRPr="005C6C26">
        <w:rPr>
          <w:rFonts w:ascii="Palatino Linotype" w:hAnsi="Palatino Linotype" w:cs="Tahoma"/>
          <w:sz w:val="22"/>
          <w:szCs w:val="24"/>
          <w:lang w:eastAsia="es-MX"/>
        </w:rPr>
        <w:t xml:space="preserve"> SESIÓN ORDINARIA, CELEBRADA EL </w:t>
      </w:r>
      <w:r>
        <w:rPr>
          <w:rFonts w:ascii="Palatino Linotype" w:hAnsi="Palatino Linotype" w:cs="Tahoma"/>
          <w:sz w:val="22"/>
          <w:szCs w:val="24"/>
          <w:lang w:eastAsia="es-MX"/>
        </w:rPr>
        <w:t>DOS DE MAYO DE DOS MIL DIECINUEVE</w:t>
      </w:r>
      <w:r w:rsidRPr="005C6C26">
        <w:rPr>
          <w:rFonts w:ascii="Palatino Linotype" w:hAnsi="Palatino Linotype" w:cs="Tahoma"/>
          <w:sz w:val="22"/>
          <w:szCs w:val="24"/>
          <w:lang w:eastAsia="es-MX"/>
        </w:rPr>
        <w:t>, ANTE EL SECRETARIO TÉCNICO DEL PLENO, ALEXIS TAPIA RAMÍREZ.</w:t>
      </w:r>
    </w:p>
    <w:p w14:paraId="561C98A2" w14:textId="77777777" w:rsidR="00D72D9A" w:rsidRDefault="00D72D9A" w:rsidP="00D72D9A">
      <w:pPr>
        <w:tabs>
          <w:tab w:val="left" w:pos="8931"/>
        </w:tabs>
        <w:spacing w:line="360" w:lineRule="auto"/>
        <w:ind w:right="-93"/>
        <w:rPr>
          <w:rFonts w:ascii="Palatino Linotype" w:eastAsia="Calibri" w:hAnsi="Palatino Linotype" w:cs="Tahoma"/>
          <w:b/>
          <w:bCs/>
          <w:sz w:val="22"/>
          <w:szCs w:val="22"/>
          <w:lang w:eastAsia="en-US"/>
        </w:rPr>
      </w:pPr>
    </w:p>
    <w:p w14:paraId="13B15A7B" w14:textId="77777777" w:rsidR="00D72D9A" w:rsidRDefault="00D72D9A" w:rsidP="00D72D9A">
      <w:pPr>
        <w:tabs>
          <w:tab w:val="left" w:pos="8931"/>
        </w:tabs>
        <w:spacing w:line="360" w:lineRule="auto"/>
        <w:ind w:right="-93"/>
        <w:rPr>
          <w:rFonts w:ascii="Palatino Linotype" w:eastAsia="Calibri" w:hAnsi="Palatino Linotype" w:cs="Tahoma"/>
          <w:b/>
          <w:bCs/>
          <w:sz w:val="22"/>
          <w:szCs w:val="22"/>
          <w:lang w:eastAsia="en-US"/>
        </w:rPr>
      </w:pPr>
    </w:p>
    <w:p w14:paraId="2F375F94" w14:textId="77777777" w:rsidR="00D72D9A" w:rsidRDefault="00D72D9A" w:rsidP="00D72D9A">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D72D9A" w:rsidRPr="00025F5D" w14:paraId="1D178E02" w14:textId="77777777" w:rsidTr="00535625">
        <w:tc>
          <w:tcPr>
            <w:tcW w:w="9214" w:type="dxa"/>
            <w:gridSpan w:val="2"/>
          </w:tcPr>
          <w:p w14:paraId="75E13BFB" w14:textId="77777777" w:rsidR="0042423C" w:rsidRDefault="0042423C" w:rsidP="00535625">
            <w:pPr>
              <w:tabs>
                <w:tab w:val="left" w:pos="2445"/>
                <w:tab w:val="center" w:pos="4428"/>
              </w:tabs>
              <w:jc w:val="center"/>
              <w:rPr>
                <w:rFonts w:ascii="Palatino Linotype" w:eastAsia="Calibri" w:hAnsi="Palatino Linotype" w:cs="Tahoma"/>
                <w:b/>
                <w:sz w:val="22"/>
                <w:szCs w:val="22"/>
                <w:lang w:eastAsia="es-MX"/>
              </w:rPr>
            </w:pPr>
          </w:p>
          <w:p w14:paraId="15E8E120" w14:textId="77777777" w:rsidR="00D72D9A" w:rsidRPr="00CE4250" w:rsidRDefault="00D72D9A" w:rsidP="00535625">
            <w:pPr>
              <w:tabs>
                <w:tab w:val="left" w:pos="2445"/>
                <w:tab w:val="center" w:pos="4428"/>
              </w:tabs>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Zulema Martínez Sánchez</w:t>
            </w:r>
          </w:p>
          <w:p w14:paraId="22114432" w14:textId="77777777" w:rsidR="00D72D9A" w:rsidRPr="00CE4250" w:rsidRDefault="00D72D9A" w:rsidP="00535625">
            <w:pPr>
              <w:ind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Comisionada Presidenta</w:t>
            </w:r>
          </w:p>
          <w:p w14:paraId="0B71F527" w14:textId="77777777" w:rsidR="00D72D9A" w:rsidRPr="00CE4250" w:rsidRDefault="00D72D9A" w:rsidP="00535625">
            <w:pPr>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2DD69B7B" w14:textId="77777777" w:rsidR="00D72D9A" w:rsidRPr="00CE4250" w:rsidRDefault="00D72D9A" w:rsidP="00535625">
            <w:pPr>
              <w:ind w:right="-108"/>
              <w:rPr>
                <w:rFonts w:ascii="Palatino Linotype" w:eastAsia="Calibri" w:hAnsi="Palatino Linotype" w:cs="Tahoma"/>
                <w:b/>
                <w:sz w:val="22"/>
                <w:szCs w:val="22"/>
              </w:rPr>
            </w:pPr>
          </w:p>
        </w:tc>
      </w:tr>
      <w:tr w:rsidR="00D72D9A" w:rsidRPr="00025F5D" w14:paraId="1E211627" w14:textId="77777777" w:rsidTr="00535625">
        <w:trPr>
          <w:trHeight w:val="2673"/>
        </w:trPr>
        <w:tc>
          <w:tcPr>
            <w:tcW w:w="4678" w:type="dxa"/>
          </w:tcPr>
          <w:p w14:paraId="2BAFB1C7" w14:textId="77777777" w:rsidR="00D72D9A" w:rsidRDefault="00D72D9A" w:rsidP="00535625">
            <w:pPr>
              <w:ind w:right="29"/>
              <w:jc w:val="center"/>
              <w:rPr>
                <w:rFonts w:ascii="Palatino Linotype" w:eastAsia="Calibri" w:hAnsi="Palatino Linotype" w:cs="Tahoma"/>
                <w:b/>
                <w:sz w:val="22"/>
                <w:szCs w:val="22"/>
              </w:rPr>
            </w:pPr>
          </w:p>
          <w:p w14:paraId="0E43EAF9" w14:textId="77777777" w:rsidR="00D72D9A" w:rsidRDefault="00D72D9A" w:rsidP="00535625">
            <w:pPr>
              <w:ind w:right="29"/>
              <w:jc w:val="center"/>
              <w:rPr>
                <w:rFonts w:ascii="Palatino Linotype" w:eastAsia="Calibri" w:hAnsi="Palatino Linotype" w:cs="Tahoma"/>
                <w:b/>
                <w:sz w:val="22"/>
                <w:szCs w:val="22"/>
              </w:rPr>
            </w:pPr>
          </w:p>
          <w:p w14:paraId="5E9A1777" w14:textId="77777777" w:rsidR="00D72D9A" w:rsidRDefault="00D72D9A" w:rsidP="00535625">
            <w:pPr>
              <w:ind w:right="29"/>
              <w:jc w:val="center"/>
              <w:rPr>
                <w:rFonts w:ascii="Palatino Linotype" w:eastAsia="Calibri" w:hAnsi="Palatino Linotype" w:cs="Tahoma"/>
                <w:b/>
                <w:sz w:val="22"/>
                <w:szCs w:val="22"/>
              </w:rPr>
            </w:pPr>
          </w:p>
          <w:p w14:paraId="5883153C" w14:textId="77777777" w:rsidR="00D72D9A" w:rsidRDefault="00D72D9A" w:rsidP="00535625">
            <w:pPr>
              <w:ind w:right="29"/>
              <w:jc w:val="center"/>
              <w:rPr>
                <w:rFonts w:ascii="Palatino Linotype" w:eastAsia="Calibri" w:hAnsi="Palatino Linotype" w:cs="Tahoma"/>
                <w:b/>
                <w:sz w:val="22"/>
                <w:szCs w:val="22"/>
              </w:rPr>
            </w:pPr>
          </w:p>
          <w:p w14:paraId="37D272F1" w14:textId="77777777" w:rsidR="00D72D9A" w:rsidRPr="00CE4250" w:rsidRDefault="00D72D9A" w:rsidP="00535625">
            <w:pPr>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Eva Abaid Yapur </w:t>
            </w:r>
          </w:p>
          <w:p w14:paraId="1F9060B8" w14:textId="77777777" w:rsidR="00D72D9A" w:rsidRPr="00CE4250" w:rsidRDefault="00D72D9A" w:rsidP="00535625">
            <w:pPr>
              <w:ind w:right="29"/>
              <w:jc w:val="center"/>
              <w:rPr>
                <w:rFonts w:ascii="Palatino Linotype" w:eastAsia="Calibri" w:hAnsi="Palatino Linotype" w:cs="Tahoma"/>
                <w:sz w:val="22"/>
                <w:szCs w:val="22"/>
              </w:rPr>
            </w:pPr>
            <w:r w:rsidRPr="00CE4250">
              <w:rPr>
                <w:rFonts w:ascii="Palatino Linotype" w:eastAsia="Calibri" w:hAnsi="Palatino Linotype" w:cs="Tahoma"/>
                <w:sz w:val="22"/>
                <w:szCs w:val="22"/>
              </w:rPr>
              <w:t>Comisionada</w:t>
            </w:r>
          </w:p>
          <w:p w14:paraId="00DB2C2B" w14:textId="77777777" w:rsidR="00D72D9A" w:rsidRPr="00CE4250" w:rsidRDefault="00D72D9A" w:rsidP="00535625">
            <w:pPr>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733A1F5F" w14:textId="77777777" w:rsidR="00D72D9A" w:rsidRPr="00CE4250" w:rsidRDefault="00D72D9A" w:rsidP="00535625">
            <w:pPr>
              <w:ind w:right="29"/>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 xml:space="preserve">       </w:t>
            </w:r>
          </w:p>
          <w:p w14:paraId="17D270BB" w14:textId="77777777" w:rsidR="00D72D9A" w:rsidRPr="00CE4250" w:rsidRDefault="00D72D9A" w:rsidP="00535625">
            <w:pPr>
              <w:ind w:right="29"/>
              <w:rPr>
                <w:rFonts w:ascii="Palatino Linotype" w:eastAsia="Calibri" w:hAnsi="Palatino Linotype" w:cs="Tahoma"/>
                <w:sz w:val="22"/>
                <w:szCs w:val="22"/>
                <w:lang w:eastAsia="es-MX"/>
              </w:rPr>
            </w:pPr>
          </w:p>
          <w:p w14:paraId="7F3B86A1" w14:textId="77777777" w:rsidR="00D72D9A" w:rsidRDefault="00D72D9A" w:rsidP="00535625">
            <w:pPr>
              <w:ind w:right="29"/>
              <w:rPr>
                <w:rFonts w:ascii="Palatino Linotype" w:eastAsia="Batang" w:hAnsi="Palatino Linotype" w:cs="Tahoma"/>
                <w:b/>
                <w:sz w:val="22"/>
                <w:szCs w:val="22"/>
              </w:rPr>
            </w:pPr>
          </w:p>
          <w:p w14:paraId="29A8C062" w14:textId="77777777" w:rsidR="00D72D9A" w:rsidRDefault="00D72D9A" w:rsidP="00535625">
            <w:pPr>
              <w:ind w:right="29"/>
              <w:rPr>
                <w:rFonts w:ascii="Palatino Linotype" w:eastAsia="Batang" w:hAnsi="Palatino Linotype" w:cs="Tahoma"/>
                <w:b/>
                <w:sz w:val="22"/>
                <w:szCs w:val="22"/>
              </w:rPr>
            </w:pPr>
          </w:p>
          <w:p w14:paraId="49E926AC" w14:textId="77777777" w:rsidR="00D72D9A" w:rsidRDefault="00D72D9A" w:rsidP="00535625">
            <w:pPr>
              <w:ind w:right="29"/>
              <w:rPr>
                <w:rFonts w:ascii="Palatino Linotype" w:eastAsia="Batang" w:hAnsi="Palatino Linotype" w:cs="Tahoma"/>
                <w:b/>
                <w:sz w:val="22"/>
                <w:szCs w:val="22"/>
              </w:rPr>
            </w:pPr>
          </w:p>
          <w:p w14:paraId="107D81BC" w14:textId="77777777" w:rsidR="00D72D9A" w:rsidRPr="00CE4250" w:rsidRDefault="00D72D9A" w:rsidP="00535625">
            <w:pPr>
              <w:ind w:right="29"/>
              <w:rPr>
                <w:rFonts w:ascii="Palatino Linotype" w:eastAsia="Batang" w:hAnsi="Palatino Linotype" w:cs="Tahoma"/>
                <w:b/>
                <w:sz w:val="22"/>
                <w:szCs w:val="22"/>
              </w:rPr>
            </w:pPr>
          </w:p>
        </w:tc>
        <w:tc>
          <w:tcPr>
            <w:tcW w:w="4536" w:type="dxa"/>
          </w:tcPr>
          <w:p w14:paraId="39E6B654" w14:textId="77777777" w:rsidR="00D72D9A" w:rsidRDefault="00D72D9A" w:rsidP="00535625">
            <w:pPr>
              <w:ind w:right="-108"/>
              <w:rPr>
                <w:rFonts w:ascii="Palatino Linotype" w:eastAsia="Calibri" w:hAnsi="Palatino Linotype" w:cs="Tahoma"/>
                <w:b/>
                <w:sz w:val="22"/>
                <w:szCs w:val="22"/>
              </w:rPr>
            </w:pPr>
          </w:p>
          <w:p w14:paraId="62ED94B9" w14:textId="77777777" w:rsidR="00D72D9A" w:rsidRDefault="00D72D9A" w:rsidP="00535625">
            <w:pPr>
              <w:ind w:right="-108"/>
              <w:rPr>
                <w:rFonts w:ascii="Palatino Linotype" w:eastAsia="Calibri" w:hAnsi="Palatino Linotype" w:cs="Tahoma"/>
                <w:b/>
                <w:sz w:val="22"/>
                <w:szCs w:val="22"/>
              </w:rPr>
            </w:pPr>
          </w:p>
          <w:p w14:paraId="4F6F5FBD" w14:textId="77777777" w:rsidR="00D72D9A" w:rsidRDefault="00D72D9A" w:rsidP="00535625">
            <w:pPr>
              <w:ind w:right="-108"/>
              <w:rPr>
                <w:rFonts w:ascii="Palatino Linotype" w:eastAsia="Calibri" w:hAnsi="Palatino Linotype" w:cs="Tahoma"/>
                <w:b/>
                <w:sz w:val="22"/>
                <w:szCs w:val="22"/>
              </w:rPr>
            </w:pPr>
          </w:p>
          <w:p w14:paraId="7EB8AA07" w14:textId="77777777" w:rsidR="00D72D9A" w:rsidRDefault="00D72D9A" w:rsidP="00535625">
            <w:pPr>
              <w:ind w:right="-108"/>
              <w:rPr>
                <w:rFonts w:ascii="Palatino Linotype" w:eastAsia="Calibri" w:hAnsi="Palatino Linotype" w:cs="Tahoma"/>
                <w:b/>
                <w:sz w:val="22"/>
                <w:szCs w:val="22"/>
              </w:rPr>
            </w:pPr>
          </w:p>
          <w:p w14:paraId="0D5FBC9E" w14:textId="77777777" w:rsidR="00D72D9A" w:rsidRPr="00CE4250" w:rsidRDefault="00D72D9A" w:rsidP="00535625">
            <w:pPr>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José Guadalupe Luna Hernández</w:t>
            </w:r>
          </w:p>
          <w:p w14:paraId="2CD3A66F" w14:textId="77777777" w:rsidR="00D72D9A" w:rsidRPr="00CE4250" w:rsidRDefault="00D72D9A" w:rsidP="00535625">
            <w:pPr>
              <w:ind w:left="747"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Comisionado</w:t>
            </w:r>
          </w:p>
          <w:p w14:paraId="106AD1DA" w14:textId="77777777" w:rsidR="00D72D9A" w:rsidRPr="00D72D9A" w:rsidRDefault="00D72D9A" w:rsidP="00D72D9A">
            <w:pPr>
              <w:ind w:left="747" w:right="-108"/>
              <w:jc w:val="center"/>
              <w:rPr>
                <w:rFonts w:ascii="Palatino Linotype" w:eastAsia="Calibri" w:hAnsi="Palatino Linotype" w:cs="Tahoma"/>
                <w:b/>
                <w:sz w:val="22"/>
                <w:szCs w:val="22"/>
                <w:lang w:eastAsia="es-MX"/>
              </w:rPr>
            </w:pPr>
            <w:r w:rsidRPr="00D72D9A">
              <w:rPr>
                <w:rFonts w:ascii="Palatino Linotype" w:eastAsia="Calibri" w:hAnsi="Palatino Linotype" w:cs="Tahoma"/>
                <w:b/>
                <w:sz w:val="22"/>
                <w:szCs w:val="22"/>
                <w:lang w:eastAsia="es-MX"/>
              </w:rPr>
              <w:t>(Rúbrica)</w:t>
            </w:r>
          </w:p>
          <w:p w14:paraId="4EA4AA2B" w14:textId="1CD0C6E4" w:rsidR="00D72D9A" w:rsidRPr="001C5C7A" w:rsidRDefault="00D72D9A" w:rsidP="00535625">
            <w:pPr>
              <w:ind w:left="747" w:right="-108"/>
              <w:jc w:val="center"/>
              <w:rPr>
                <w:rFonts w:ascii="Palatino Linotype" w:eastAsia="Calibri" w:hAnsi="Palatino Linotype" w:cs="Tahoma"/>
                <w:sz w:val="22"/>
                <w:szCs w:val="22"/>
                <w:lang w:eastAsia="es-MX"/>
              </w:rPr>
            </w:pPr>
          </w:p>
        </w:tc>
      </w:tr>
      <w:tr w:rsidR="00D72D9A" w:rsidRPr="00025F5D" w14:paraId="3088F2EC" w14:textId="77777777" w:rsidTr="00535625">
        <w:tc>
          <w:tcPr>
            <w:tcW w:w="4678" w:type="dxa"/>
          </w:tcPr>
          <w:p w14:paraId="765BAA89" w14:textId="77777777" w:rsidR="00D72D9A" w:rsidRPr="00CE4250" w:rsidRDefault="00D72D9A" w:rsidP="00535625">
            <w:pPr>
              <w:ind w:right="29"/>
              <w:jc w:val="center"/>
              <w:rPr>
                <w:rFonts w:ascii="Palatino Linotype" w:eastAsia="Calibri" w:hAnsi="Palatino Linotype" w:cs="Tahoma"/>
                <w:b/>
                <w:sz w:val="22"/>
                <w:szCs w:val="22"/>
                <w:lang w:val="es-ES_tradnl"/>
              </w:rPr>
            </w:pPr>
            <w:r w:rsidRPr="00CE4250">
              <w:rPr>
                <w:rFonts w:ascii="Palatino Linotype" w:eastAsia="Calibri" w:hAnsi="Palatino Linotype" w:cs="Tahoma"/>
                <w:b/>
                <w:sz w:val="22"/>
                <w:szCs w:val="22"/>
              </w:rPr>
              <w:t xml:space="preserve"> </w:t>
            </w:r>
            <w:r w:rsidRPr="00CE4250">
              <w:rPr>
                <w:rFonts w:ascii="Palatino Linotype" w:eastAsia="Calibri" w:hAnsi="Palatino Linotype" w:cs="Tahoma"/>
                <w:b/>
                <w:sz w:val="22"/>
                <w:szCs w:val="22"/>
                <w:lang w:val="es-ES_tradnl"/>
              </w:rPr>
              <w:t xml:space="preserve">Javier Martínez Cruz </w:t>
            </w:r>
          </w:p>
          <w:p w14:paraId="35AA37D7" w14:textId="77777777" w:rsidR="00D72D9A" w:rsidRPr="00CE4250" w:rsidRDefault="00D72D9A" w:rsidP="00535625">
            <w:pPr>
              <w:ind w:right="29"/>
              <w:jc w:val="center"/>
              <w:rPr>
                <w:rFonts w:ascii="Palatino Linotype" w:eastAsia="Calibri" w:hAnsi="Palatino Linotype" w:cs="Tahoma"/>
                <w:b/>
                <w:sz w:val="22"/>
                <w:szCs w:val="22"/>
              </w:rPr>
            </w:pPr>
            <w:r w:rsidRPr="00CE4250">
              <w:rPr>
                <w:rFonts w:ascii="Palatino Linotype" w:eastAsia="Calibri" w:hAnsi="Palatino Linotype" w:cs="Tahoma"/>
                <w:sz w:val="22"/>
                <w:szCs w:val="22"/>
              </w:rPr>
              <w:t>Comisionado</w:t>
            </w:r>
          </w:p>
          <w:p w14:paraId="5E2D0680" w14:textId="77777777" w:rsidR="00D72D9A" w:rsidRPr="00CE4250" w:rsidRDefault="00D72D9A" w:rsidP="00535625">
            <w:pPr>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c>
          <w:tcPr>
            <w:tcW w:w="4536" w:type="dxa"/>
          </w:tcPr>
          <w:p w14:paraId="005F3CB6" w14:textId="77777777" w:rsidR="00D72D9A" w:rsidRPr="00CE4250" w:rsidRDefault="00D72D9A" w:rsidP="00535625">
            <w:pPr>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Luis Gustavo Parra Noriega</w:t>
            </w:r>
          </w:p>
          <w:p w14:paraId="60A8CE48" w14:textId="77777777" w:rsidR="00D72D9A" w:rsidRPr="00FA330C" w:rsidRDefault="00D72D9A" w:rsidP="00535625">
            <w:pPr>
              <w:ind w:left="747" w:right="-108"/>
              <w:jc w:val="center"/>
              <w:rPr>
                <w:rFonts w:ascii="Palatino Linotype" w:eastAsia="Calibri" w:hAnsi="Palatino Linotype" w:cs="Tahoma"/>
                <w:sz w:val="22"/>
                <w:szCs w:val="22"/>
                <w:lang w:eastAsia="es-MX"/>
              </w:rPr>
            </w:pPr>
            <w:r w:rsidRPr="00FA330C">
              <w:rPr>
                <w:rFonts w:ascii="Palatino Linotype" w:eastAsia="Calibri" w:hAnsi="Palatino Linotype" w:cs="Tahoma"/>
                <w:sz w:val="22"/>
                <w:szCs w:val="22"/>
                <w:lang w:eastAsia="es-MX"/>
              </w:rPr>
              <w:t>Comisionado</w:t>
            </w:r>
          </w:p>
          <w:p w14:paraId="46FE9AE4" w14:textId="77777777" w:rsidR="00D72D9A" w:rsidRPr="00CE4250" w:rsidRDefault="00D72D9A" w:rsidP="00535625">
            <w:pPr>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r w:rsidR="00D72D9A" w:rsidRPr="00025F5D" w14:paraId="3BE89C47" w14:textId="77777777" w:rsidTr="00535625">
        <w:tc>
          <w:tcPr>
            <w:tcW w:w="9214" w:type="dxa"/>
            <w:gridSpan w:val="2"/>
          </w:tcPr>
          <w:p w14:paraId="10DC1643" w14:textId="77777777" w:rsidR="00D72D9A" w:rsidRPr="00CE4250" w:rsidRDefault="00D72D9A" w:rsidP="00535625">
            <w:pPr>
              <w:jc w:val="center"/>
              <w:rPr>
                <w:rFonts w:ascii="Palatino Linotype" w:eastAsia="Calibri" w:hAnsi="Palatino Linotype" w:cs="Tahoma"/>
                <w:b/>
                <w:sz w:val="22"/>
                <w:szCs w:val="22"/>
              </w:rPr>
            </w:pPr>
          </w:p>
          <w:p w14:paraId="664EC99A" w14:textId="77777777" w:rsidR="00D72D9A" w:rsidRDefault="00D72D9A" w:rsidP="00535625">
            <w:pPr>
              <w:jc w:val="center"/>
              <w:rPr>
                <w:rFonts w:ascii="Palatino Linotype" w:eastAsia="Calibri" w:hAnsi="Palatino Linotype" w:cs="Tahoma"/>
                <w:b/>
                <w:sz w:val="22"/>
                <w:szCs w:val="22"/>
              </w:rPr>
            </w:pPr>
          </w:p>
          <w:p w14:paraId="7798FACC" w14:textId="77777777" w:rsidR="00D72D9A" w:rsidRDefault="00D72D9A" w:rsidP="00535625">
            <w:pPr>
              <w:rPr>
                <w:rFonts w:ascii="Palatino Linotype" w:eastAsia="Calibri" w:hAnsi="Palatino Linotype" w:cs="Tahoma"/>
                <w:b/>
                <w:sz w:val="22"/>
                <w:szCs w:val="22"/>
              </w:rPr>
            </w:pPr>
          </w:p>
          <w:p w14:paraId="42DA6CDB" w14:textId="77777777" w:rsidR="00D72D9A" w:rsidRDefault="00D72D9A" w:rsidP="00535625">
            <w:pPr>
              <w:rPr>
                <w:rFonts w:ascii="Palatino Linotype" w:eastAsia="Calibri" w:hAnsi="Palatino Linotype" w:cs="Tahoma"/>
                <w:b/>
                <w:sz w:val="22"/>
                <w:szCs w:val="22"/>
              </w:rPr>
            </w:pPr>
          </w:p>
          <w:p w14:paraId="508ED411" w14:textId="77777777" w:rsidR="00D72D9A" w:rsidRPr="00CE4250" w:rsidRDefault="00D72D9A" w:rsidP="00535625">
            <w:pPr>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Alexis Tapia Ramírez</w:t>
            </w:r>
          </w:p>
          <w:p w14:paraId="126A6719" w14:textId="77777777" w:rsidR="00D72D9A" w:rsidRPr="00CE4250" w:rsidRDefault="00D72D9A" w:rsidP="00535625">
            <w:pPr>
              <w:jc w:val="center"/>
              <w:rPr>
                <w:rFonts w:ascii="Palatino Linotype" w:eastAsia="Calibri" w:hAnsi="Palatino Linotype" w:cs="Tahoma"/>
                <w:sz w:val="22"/>
                <w:szCs w:val="22"/>
              </w:rPr>
            </w:pPr>
            <w:r w:rsidRPr="00CE4250">
              <w:rPr>
                <w:rFonts w:ascii="Palatino Linotype" w:eastAsia="Calibri" w:hAnsi="Palatino Linotype" w:cs="Tahoma"/>
                <w:sz w:val="22"/>
                <w:szCs w:val="22"/>
              </w:rPr>
              <w:t>Secretario Técnico del Pleno</w:t>
            </w:r>
          </w:p>
          <w:p w14:paraId="1701D22C" w14:textId="77777777" w:rsidR="00D72D9A" w:rsidRPr="00CE4250" w:rsidRDefault="00D72D9A" w:rsidP="00535625">
            <w:pPr>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bl>
    <w:p w14:paraId="1A0BC6BA" w14:textId="77777777" w:rsidR="007E493E" w:rsidRDefault="007E493E" w:rsidP="00564755">
      <w:pPr>
        <w:tabs>
          <w:tab w:val="left" w:pos="8931"/>
        </w:tabs>
        <w:spacing w:line="360" w:lineRule="auto"/>
        <w:ind w:right="-93"/>
        <w:jc w:val="both"/>
        <w:rPr>
          <w:rFonts w:ascii="Palatino Linotype" w:eastAsia="Calibri" w:hAnsi="Palatino Linotype" w:cs="Tahoma"/>
          <w:lang w:eastAsia="en-US"/>
        </w:rPr>
      </w:pPr>
    </w:p>
    <w:p w14:paraId="1A0BC6BC" w14:textId="69FEC3BB" w:rsidR="00BA1948" w:rsidRPr="00BC4C9F" w:rsidRDefault="007E493E" w:rsidP="00564755">
      <w:pPr>
        <w:tabs>
          <w:tab w:val="left" w:pos="8931"/>
        </w:tabs>
        <w:spacing w:line="360" w:lineRule="auto"/>
        <w:ind w:right="-93"/>
        <w:jc w:val="both"/>
        <w:rPr>
          <w:rFonts w:ascii="Palatino Linotype" w:eastAsia="Calibri" w:hAnsi="Palatino Linotype" w:cs="Tahoma"/>
          <w:sz w:val="22"/>
          <w:lang w:eastAsia="en-US"/>
        </w:rPr>
      </w:pPr>
      <w:r w:rsidRPr="00BC4C9F">
        <w:rPr>
          <w:rFonts w:ascii="Palatino Linotype" w:eastAsia="Calibri" w:hAnsi="Palatino Linotype" w:cs="Tahoma"/>
          <w:sz w:val="22"/>
          <w:lang w:eastAsia="en-US"/>
        </w:rPr>
        <w:t xml:space="preserve">Esta foja corresponde a la resolución de fecha </w:t>
      </w:r>
      <w:r w:rsidR="00D72D9A">
        <w:rPr>
          <w:rFonts w:ascii="Palatino Linotype" w:eastAsia="Calibri" w:hAnsi="Palatino Linotype" w:cs="Tahoma"/>
          <w:sz w:val="22"/>
          <w:lang w:eastAsia="en-US"/>
        </w:rPr>
        <w:t>dos de mayo</w:t>
      </w:r>
      <w:r w:rsidR="00A94E3B" w:rsidRPr="00BC4C9F">
        <w:rPr>
          <w:rFonts w:ascii="Palatino Linotype" w:eastAsia="Calibri" w:hAnsi="Palatino Linotype" w:cs="Tahoma"/>
          <w:sz w:val="22"/>
          <w:lang w:eastAsia="en-US"/>
        </w:rPr>
        <w:t xml:space="preserve"> </w:t>
      </w:r>
      <w:r w:rsidRPr="00BC4C9F">
        <w:rPr>
          <w:rFonts w:ascii="Palatino Linotype" w:eastAsia="Calibri" w:hAnsi="Palatino Linotype" w:cs="Tahoma"/>
          <w:sz w:val="22"/>
          <w:lang w:eastAsia="en-US"/>
        </w:rPr>
        <w:t xml:space="preserve">de dos mil </w:t>
      </w:r>
      <w:r w:rsidR="00AE14E4">
        <w:rPr>
          <w:rFonts w:ascii="Palatino Linotype" w:eastAsia="Calibri" w:hAnsi="Palatino Linotype" w:cs="Tahoma"/>
          <w:sz w:val="22"/>
          <w:lang w:eastAsia="en-US"/>
        </w:rPr>
        <w:t>diecinueve</w:t>
      </w:r>
      <w:r w:rsidRPr="00BC4C9F">
        <w:rPr>
          <w:rFonts w:ascii="Palatino Linotype" w:eastAsia="Calibri" w:hAnsi="Palatino Linotype" w:cs="Tahoma"/>
          <w:sz w:val="22"/>
          <w:lang w:eastAsia="en-US"/>
        </w:rPr>
        <w:t xml:space="preserve">, emitida en el recurso de revisión número </w:t>
      </w:r>
      <w:r w:rsidRPr="00BC4C9F">
        <w:rPr>
          <w:rFonts w:ascii="Palatino Linotype" w:eastAsia="Calibri" w:hAnsi="Palatino Linotype" w:cs="Tahoma"/>
          <w:bCs/>
          <w:sz w:val="22"/>
          <w:lang w:eastAsia="en-US"/>
        </w:rPr>
        <w:t>0</w:t>
      </w:r>
      <w:r w:rsidR="00C776C8">
        <w:rPr>
          <w:rFonts w:ascii="Palatino Linotype" w:eastAsia="Calibri" w:hAnsi="Palatino Linotype" w:cs="Tahoma"/>
          <w:bCs/>
          <w:sz w:val="22"/>
          <w:lang w:eastAsia="en-US"/>
        </w:rPr>
        <w:t>00871/INFOEM/IP/RR/2019</w:t>
      </w:r>
      <w:r w:rsidR="00AE14E4">
        <w:rPr>
          <w:rFonts w:ascii="Palatino Linotype" w:eastAsia="Calibri" w:hAnsi="Palatino Linotype" w:cs="Tahoma"/>
          <w:bCs/>
          <w:sz w:val="22"/>
          <w:lang w:eastAsia="en-US"/>
        </w:rPr>
        <w:t xml:space="preserve"> y </w:t>
      </w:r>
      <w:r w:rsidR="00AE14E4" w:rsidRPr="00BC4C9F">
        <w:rPr>
          <w:rFonts w:ascii="Palatino Linotype" w:eastAsia="Calibri" w:hAnsi="Palatino Linotype" w:cs="Tahoma"/>
          <w:bCs/>
          <w:sz w:val="22"/>
          <w:lang w:eastAsia="en-US"/>
        </w:rPr>
        <w:t>0</w:t>
      </w:r>
      <w:r w:rsidR="00C776C8">
        <w:rPr>
          <w:rFonts w:ascii="Palatino Linotype" w:eastAsia="Calibri" w:hAnsi="Palatino Linotype" w:cs="Tahoma"/>
          <w:bCs/>
          <w:sz w:val="22"/>
          <w:lang w:eastAsia="en-US"/>
        </w:rPr>
        <w:t>00872/INFOEM/IP/RR/2019</w:t>
      </w:r>
      <w:r w:rsidRPr="00BC4C9F">
        <w:rPr>
          <w:rFonts w:ascii="Palatino Linotype" w:eastAsia="Calibri" w:hAnsi="Palatino Linotype" w:cs="Tahoma"/>
          <w:bCs/>
          <w:sz w:val="22"/>
          <w:lang w:eastAsia="en-US"/>
        </w:rPr>
        <w:t>.</w:t>
      </w:r>
    </w:p>
    <w:sectPr w:rsidR="00BA1948" w:rsidRPr="00BC4C9F" w:rsidSect="00DB7E5F">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AB72F" w14:textId="77777777" w:rsidR="00FC3BB6" w:rsidRDefault="00FC3BB6" w:rsidP="00B31222">
      <w:r>
        <w:separator/>
      </w:r>
    </w:p>
  </w:endnote>
  <w:endnote w:type="continuationSeparator" w:id="0">
    <w:p w14:paraId="435065A0" w14:textId="77777777" w:rsidR="00FC3BB6" w:rsidRDefault="00FC3BB6"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Content>
          <w:p w14:paraId="1A0BC6D3" w14:textId="77777777" w:rsidR="00FC3BB6" w:rsidRPr="00147666" w:rsidRDefault="00FC3BB6">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424A5D">
              <w:rPr>
                <w:rFonts w:ascii="Palatino Linotype" w:hAnsi="Palatino Linotype"/>
                <w:b/>
                <w:bCs/>
                <w:noProof/>
              </w:rPr>
              <w:t>44</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424A5D">
              <w:rPr>
                <w:rFonts w:ascii="Palatino Linotype" w:hAnsi="Palatino Linotype"/>
                <w:b/>
                <w:bCs/>
                <w:noProof/>
              </w:rPr>
              <w:t>46</w:t>
            </w:r>
            <w:r w:rsidRPr="00147666">
              <w:rPr>
                <w:rFonts w:ascii="Palatino Linotype" w:hAnsi="Palatino Linotype"/>
                <w:b/>
                <w:bCs/>
                <w:sz w:val="24"/>
                <w:szCs w:val="24"/>
              </w:rPr>
              <w:fldChar w:fldCharType="end"/>
            </w:r>
          </w:p>
        </w:sdtContent>
      </w:sdt>
    </w:sdtContent>
  </w:sdt>
  <w:p w14:paraId="1A0BC6D4" w14:textId="77777777" w:rsidR="00FC3BB6" w:rsidRDefault="00FC3B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Content>
      <w:sdt>
        <w:sdtPr>
          <w:id w:val="-1769616900"/>
          <w:docPartObj>
            <w:docPartGallery w:val="Page Numbers (Top of Page)"/>
            <w:docPartUnique/>
          </w:docPartObj>
        </w:sdtPr>
        <w:sdtContent>
          <w:p w14:paraId="1A0BC6E5" w14:textId="77777777" w:rsidR="00FC3BB6" w:rsidRDefault="00FC3BB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4A5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4A5D">
              <w:rPr>
                <w:b/>
                <w:bCs/>
                <w:noProof/>
              </w:rPr>
              <w:t>46</w:t>
            </w:r>
            <w:r>
              <w:rPr>
                <w:b/>
                <w:bCs/>
                <w:sz w:val="24"/>
                <w:szCs w:val="24"/>
              </w:rPr>
              <w:fldChar w:fldCharType="end"/>
            </w:r>
          </w:p>
        </w:sdtContent>
      </w:sdt>
    </w:sdtContent>
  </w:sdt>
  <w:p w14:paraId="1A0BC6E6" w14:textId="77777777" w:rsidR="00FC3BB6" w:rsidRDefault="00FC3B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3E3F7" w14:textId="77777777" w:rsidR="00FC3BB6" w:rsidRDefault="00FC3BB6" w:rsidP="00B31222">
      <w:r>
        <w:separator/>
      </w:r>
    </w:p>
  </w:footnote>
  <w:footnote w:type="continuationSeparator" w:id="0">
    <w:p w14:paraId="3929FCD9" w14:textId="77777777" w:rsidR="00FC3BB6" w:rsidRDefault="00FC3BB6"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C3BB6" w:rsidRPr="002A2CB9" w14:paraId="1A0BC6D1" w14:textId="77777777" w:rsidTr="00202DB8">
      <w:trPr>
        <w:trHeight w:val="1435"/>
      </w:trPr>
      <w:tc>
        <w:tcPr>
          <w:tcW w:w="2835" w:type="dxa"/>
          <w:shd w:val="clear" w:color="auto" w:fill="auto"/>
        </w:tcPr>
        <w:p w14:paraId="1A0BC6C5" w14:textId="77777777" w:rsidR="00FC3BB6" w:rsidRPr="005C106F" w:rsidRDefault="00FC3BB6" w:rsidP="00EF4A64">
          <w:pPr>
            <w:tabs>
              <w:tab w:val="right" w:pos="4273"/>
            </w:tabs>
            <w:rPr>
              <w:rFonts w:ascii="Garamond" w:eastAsia="Calibri" w:hAnsi="Garamond"/>
              <w:sz w:val="16"/>
              <w:szCs w:val="16"/>
              <w:lang w:eastAsia="en-US"/>
            </w:rPr>
          </w:pPr>
        </w:p>
      </w:tc>
      <w:tc>
        <w:tcPr>
          <w:tcW w:w="6733" w:type="dxa"/>
          <w:shd w:val="clear" w:color="auto" w:fill="auto"/>
        </w:tcPr>
        <w:p w14:paraId="1A0BC6C6" w14:textId="77777777" w:rsidR="00FC3BB6" w:rsidRPr="002A2CB9" w:rsidRDefault="00FC3BB6" w:rsidP="005743D2">
          <w:pPr>
            <w:rPr>
              <w:sz w:val="22"/>
              <w:szCs w:val="22"/>
            </w:rPr>
          </w:pPr>
        </w:p>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FC3BB6" w:rsidRPr="00BC4C9F" w14:paraId="1A0BC6C9" w14:textId="77777777" w:rsidTr="00FF46FD">
            <w:trPr>
              <w:trHeight w:val="144"/>
            </w:trPr>
            <w:tc>
              <w:tcPr>
                <w:tcW w:w="2727" w:type="dxa"/>
              </w:tcPr>
              <w:p w14:paraId="1A0BC6C7" w14:textId="77777777" w:rsidR="00FC3BB6" w:rsidRPr="00BC4C9F" w:rsidRDefault="00FC3BB6" w:rsidP="00BC4C9F">
                <w:pPr>
                  <w:tabs>
                    <w:tab w:val="right" w:pos="8838"/>
                  </w:tabs>
                  <w:spacing w:line="276" w:lineRule="auto"/>
                  <w:ind w:right="-105"/>
                  <w:rPr>
                    <w:rFonts w:ascii="Palatino Linotype" w:eastAsia="Calibri" w:hAnsi="Palatino Linotype" w:cs="Tahoma"/>
                    <w:b/>
                    <w:sz w:val="22"/>
                    <w:szCs w:val="22"/>
                    <w:lang w:val="es-MX" w:eastAsia="en-US"/>
                  </w:rPr>
                </w:pPr>
                <w:r w:rsidRPr="00BC4C9F">
                  <w:rPr>
                    <w:rFonts w:ascii="Palatino Linotype" w:eastAsia="Calibri" w:hAnsi="Palatino Linotype" w:cs="Tahoma"/>
                    <w:b/>
                    <w:sz w:val="22"/>
                    <w:szCs w:val="22"/>
                    <w:lang w:val="es-MX" w:eastAsia="en-US"/>
                  </w:rPr>
                  <w:t>Recurso de Revisión:</w:t>
                </w:r>
              </w:p>
            </w:tc>
            <w:tc>
              <w:tcPr>
                <w:tcW w:w="3509" w:type="dxa"/>
              </w:tcPr>
              <w:p w14:paraId="1A0BC6C8" w14:textId="6514F735" w:rsidR="00FC3BB6" w:rsidRPr="00BC4C9F" w:rsidRDefault="00FC3BB6" w:rsidP="00BC4C9F">
                <w:pPr>
                  <w:tabs>
                    <w:tab w:val="right" w:pos="8838"/>
                  </w:tabs>
                  <w:spacing w:line="276"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00871/INFOEM/IP/RR/2019 y 00872/INFOEM/IP/RR/2019</w:t>
                </w:r>
              </w:p>
            </w:tc>
          </w:tr>
          <w:tr w:rsidR="00FC3BB6" w:rsidRPr="002A2CB9" w14:paraId="1A0BC6CC" w14:textId="77777777" w:rsidTr="00FF46FD">
            <w:trPr>
              <w:trHeight w:val="283"/>
            </w:trPr>
            <w:tc>
              <w:tcPr>
                <w:tcW w:w="2727" w:type="dxa"/>
              </w:tcPr>
              <w:p w14:paraId="1A0BC6CA" w14:textId="77777777" w:rsidR="00FC3BB6" w:rsidRPr="002A2CB9" w:rsidRDefault="00FC3BB6" w:rsidP="00BC4C9F">
                <w:pPr>
                  <w:tabs>
                    <w:tab w:val="right" w:pos="8838"/>
                  </w:tabs>
                  <w:spacing w:line="276" w:lineRule="auto"/>
                  <w:ind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509" w:type="dxa"/>
              </w:tcPr>
              <w:p w14:paraId="1A0BC6CB" w14:textId="1299A08B" w:rsidR="00FC3BB6" w:rsidRPr="002A2CB9" w:rsidRDefault="00FC3BB6" w:rsidP="00BC4C9F">
                <w:pPr>
                  <w:tabs>
                    <w:tab w:val="left" w:pos="2834"/>
                    <w:tab w:val="right" w:pos="8838"/>
                  </w:tabs>
                  <w:spacing w:line="276" w:lineRule="auto"/>
                  <w:ind w:right="171"/>
                  <w:jc w:val="both"/>
                  <w:rPr>
                    <w:rFonts w:ascii="Palatino Linotype" w:eastAsia="Calibri" w:hAnsi="Palatino Linotype" w:cs="Tahoma"/>
                    <w:b/>
                    <w:sz w:val="22"/>
                    <w:szCs w:val="22"/>
                    <w:lang w:val="es-MX" w:eastAsia="en-US"/>
                  </w:rPr>
                </w:pPr>
                <w:r>
                  <w:rPr>
                    <w:rFonts w:ascii="Palatino Linotype" w:eastAsia="Calibri" w:hAnsi="Palatino Linotype" w:cs="Tahoma"/>
                    <w:bCs/>
                    <w:sz w:val="22"/>
                    <w:szCs w:val="22"/>
                    <w:lang w:val="es-MX" w:eastAsia="en-US"/>
                  </w:rPr>
                  <w:t>Centro de Control de Confianza del Estado de México</w:t>
                </w:r>
              </w:p>
            </w:tc>
          </w:tr>
          <w:tr w:rsidR="00FC3BB6" w:rsidRPr="002A2CB9" w14:paraId="1A0BC6CF" w14:textId="77777777" w:rsidTr="00FF46FD">
            <w:trPr>
              <w:trHeight w:val="283"/>
            </w:trPr>
            <w:tc>
              <w:tcPr>
                <w:tcW w:w="2727" w:type="dxa"/>
              </w:tcPr>
              <w:p w14:paraId="1A0BC6CD" w14:textId="77777777" w:rsidR="00FC3BB6" w:rsidRPr="002A2CB9" w:rsidRDefault="00FC3BB6" w:rsidP="00BC4C9F">
                <w:pPr>
                  <w:tabs>
                    <w:tab w:val="right" w:pos="8838"/>
                  </w:tabs>
                  <w:spacing w:line="276" w:lineRule="auto"/>
                  <w:ind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509" w:type="dxa"/>
              </w:tcPr>
              <w:p w14:paraId="1A0BC6CE" w14:textId="77777777" w:rsidR="00FC3BB6" w:rsidRPr="002A2CB9" w:rsidRDefault="00FC3BB6" w:rsidP="00BC4C9F">
                <w:pPr>
                  <w:tabs>
                    <w:tab w:val="right" w:pos="8838"/>
                  </w:tabs>
                  <w:spacing w:line="276" w:lineRule="auto"/>
                  <w:ind w:right="171"/>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1A0BC6D0" w14:textId="77777777" w:rsidR="00FC3BB6" w:rsidRPr="002A2CB9" w:rsidRDefault="00FC3BB6" w:rsidP="005743D2">
          <w:pPr>
            <w:tabs>
              <w:tab w:val="right" w:pos="8838"/>
            </w:tabs>
            <w:ind w:left="-28"/>
            <w:jc w:val="both"/>
            <w:rPr>
              <w:rFonts w:ascii="Arial" w:eastAsia="Calibri" w:hAnsi="Arial" w:cs="Arial"/>
              <w:b/>
              <w:sz w:val="22"/>
              <w:szCs w:val="22"/>
              <w:lang w:eastAsia="en-US"/>
            </w:rPr>
          </w:pPr>
        </w:p>
      </w:tc>
    </w:tr>
  </w:tbl>
  <w:p w14:paraId="1A0BC6D2" w14:textId="77777777" w:rsidR="00FC3BB6" w:rsidRPr="00443C6B" w:rsidRDefault="00FC3BB6"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C3BB6" w:rsidRPr="005C106F" w14:paraId="1A0BC6E3" w14:textId="77777777" w:rsidTr="003B165A">
      <w:trPr>
        <w:trHeight w:val="1435"/>
      </w:trPr>
      <w:tc>
        <w:tcPr>
          <w:tcW w:w="2835" w:type="dxa"/>
          <w:shd w:val="clear" w:color="auto" w:fill="auto"/>
        </w:tcPr>
        <w:p w14:paraId="1A0BC6D5" w14:textId="77777777" w:rsidR="00FC3BB6" w:rsidRPr="005C106F" w:rsidRDefault="00FC3BB6"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793"/>
          </w:tblGrid>
          <w:tr w:rsidR="00FC3BB6" w:rsidRPr="002A2CB9" w14:paraId="1A0BC6D8" w14:textId="77777777" w:rsidTr="00C36461">
            <w:trPr>
              <w:trHeight w:val="144"/>
            </w:trPr>
            <w:tc>
              <w:tcPr>
                <w:tcW w:w="2444" w:type="dxa"/>
              </w:tcPr>
              <w:p w14:paraId="1A0BC6D6" w14:textId="77777777" w:rsidR="00FC3BB6" w:rsidRPr="002A2CB9" w:rsidRDefault="00FC3BB6"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793" w:type="dxa"/>
              </w:tcPr>
              <w:p w14:paraId="1A0BC6D7" w14:textId="2C3D0E1A" w:rsidR="00FC3BB6" w:rsidRPr="002A2CB9" w:rsidRDefault="00FC3BB6" w:rsidP="00A5623B">
                <w:pPr>
                  <w:tabs>
                    <w:tab w:val="right" w:pos="8838"/>
                  </w:tabs>
                  <w:spacing w:line="360" w:lineRule="auto"/>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00871/INFOEM/IP/RR/2019 y 00872/INFOEM/IP/RR/2019</w:t>
                </w:r>
              </w:p>
            </w:tc>
          </w:tr>
          <w:tr w:rsidR="00FC3BB6" w:rsidRPr="002A2CB9" w14:paraId="1A0BC6DB" w14:textId="77777777" w:rsidTr="00C36461">
            <w:trPr>
              <w:trHeight w:val="144"/>
            </w:trPr>
            <w:tc>
              <w:tcPr>
                <w:tcW w:w="2444" w:type="dxa"/>
              </w:tcPr>
              <w:p w14:paraId="1A0BC6D9" w14:textId="77777777" w:rsidR="00FC3BB6" w:rsidRPr="002A2CB9" w:rsidRDefault="00FC3BB6"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Recurrente:</w:t>
                </w:r>
              </w:p>
            </w:tc>
            <w:tc>
              <w:tcPr>
                <w:tcW w:w="3793" w:type="dxa"/>
              </w:tcPr>
              <w:p w14:paraId="1A0BC6DA" w14:textId="48C7912E" w:rsidR="00FC3BB6" w:rsidRPr="002A2CB9" w:rsidRDefault="00FC3BB6" w:rsidP="00C776C8">
                <w:pPr>
                  <w:tabs>
                    <w:tab w:val="left" w:pos="3122"/>
                    <w:tab w:val="right" w:pos="8838"/>
                  </w:tabs>
                  <w:spacing w:line="360" w:lineRule="auto"/>
                  <w:ind w:left="-74" w:right="-105"/>
                  <w:jc w:val="both"/>
                  <w:rPr>
                    <w:rFonts w:ascii="Palatino Linotype" w:eastAsia="Calibri" w:hAnsi="Palatino Linotype" w:cs="Tahoma"/>
                    <w:sz w:val="22"/>
                    <w:szCs w:val="22"/>
                    <w:lang w:val="es-MX" w:eastAsia="en-US"/>
                  </w:rPr>
                </w:pPr>
                <w:proofErr w:type="spellStart"/>
                <w:r>
                  <w:rPr>
                    <w:rFonts w:ascii="Palatino Linotype" w:eastAsia="Calibri" w:hAnsi="Palatino Linotype" w:cs="Tahoma"/>
                    <w:sz w:val="22"/>
                    <w:szCs w:val="22"/>
                    <w:lang w:val="es-MX" w:eastAsia="en-US"/>
                  </w:rPr>
                  <w:t>XXXX</w:t>
                </w:r>
                <w:proofErr w:type="spellEnd"/>
                <w:r>
                  <w:rPr>
                    <w:rFonts w:ascii="Palatino Linotype" w:eastAsia="Calibri" w:hAnsi="Palatino Linotype" w:cs="Tahoma"/>
                    <w:sz w:val="22"/>
                    <w:szCs w:val="22"/>
                    <w:lang w:val="es-MX" w:eastAsia="en-US"/>
                  </w:rPr>
                  <w:t xml:space="preserve"> XX </w:t>
                </w:r>
                <w:proofErr w:type="spellStart"/>
                <w:r>
                  <w:rPr>
                    <w:rFonts w:ascii="Palatino Linotype" w:eastAsia="Calibri" w:hAnsi="Palatino Linotype" w:cs="Tahoma"/>
                    <w:sz w:val="22"/>
                    <w:szCs w:val="22"/>
                    <w:lang w:val="es-MX" w:eastAsia="en-US"/>
                  </w:rPr>
                  <w:t>XXXX</w:t>
                </w:r>
                <w:proofErr w:type="spellEnd"/>
                <w:r>
                  <w:rPr>
                    <w:rFonts w:ascii="Palatino Linotype" w:eastAsia="Calibri" w:hAnsi="Palatino Linotype" w:cs="Tahoma"/>
                    <w:sz w:val="22"/>
                    <w:szCs w:val="22"/>
                    <w:lang w:val="es-MX" w:eastAsia="en-US"/>
                  </w:rPr>
                  <w:t xml:space="preserve"> X </w:t>
                </w:r>
                <w:proofErr w:type="spellStart"/>
                <w:r>
                  <w:rPr>
                    <w:rFonts w:ascii="Palatino Linotype" w:eastAsia="Calibri" w:hAnsi="Palatino Linotype" w:cs="Tahoma"/>
                    <w:sz w:val="22"/>
                    <w:szCs w:val="22"/>
                    <w:lang w:val="es-MX" w:eastAsia="en-US"/>
                  </w:rPr>
                  <w:t>X</w:t>
                </w:r>
                <w:proofErr w:type="spellEnd"/>
              </w:p>
            </w:tc>
          </w:tr>
          <w:tr w:rsidR="00FC3BB6" w:rsidRPr="002A2CB9" w14:paraId="1A0BC6DE" w14:textId="77777777" w:rsidTr="00C36461">
            <w:trPr>
              <w:trHeight w:val="283"/>
            </w:trPr>
            <w:tc>
              <w:tcPr>
                <w:tcW w:w="2444" w:type="dxa"/>
              </w:tcPr>
              <w:p w14:paraId="1A0BC6DC" w14:textId="77777777" w:rsidR="00FC3BB6" w:rsidRPr="002A2CB9" w:rsidRDefault="00FC3BB6"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793" w:type="dxa"/>
              </w:tcPr>
              <w:p w14:paraId="1A0BC6DD" w14:textId="58BB0F83" w:rsidR="00FC3BB6" w:rsidRPr="002A2CB9" w:rsidRDefault="00FC3BB6" w:rsidP="002A2CB9">
                <w:pPr>
                  <w:tabs>
                    <w:tab w:val="left" w:pos="2834"/>
                    <w:tab w:val="right" w:pos="8838"/>
                  </w:tabs>
                  <w:spacing w:line="360" w:lineRule="auto"/>
                  <w:ind w:left="-74" w:right="-105"/>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val="es-MX" w:eastAsia="en-US"/>
                  </w:rPr>
                  <w:t>Centro de Control de Confianza del Estado de México</w:t>
                </w:r>
              </w:p>
            </w:tc>
          </w:tr>
          <w:tr w:rsidR="00FC3BB6" w:rsidRPr="002A2CB9" w14:paraId="1A0BC6E1" w14:textId="77777777" w:rsidTr="00C36461">
            <w:trPr>
              <w:trHeight w:val="283"/>
            </w:trPr>
            <w:tc>
              <w:tcPr>
                <w:tcW w:w="2444" w:type="dxa"/>
              </w:tcPr>
              <w:p w14:paraId="1A0BC6DF" w14:textId="77777777" w:rsidR="00FC3BB6" w:rsidRPr="002A2CB9" w:rsidRDefault="00FC3BB6"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793" w:type="dxa"/>
              </w:tcPr>
              <w:p w14:paraId="1A0BC6E0" w14:textId="77777777" w:rsidR="00FC3BB6" w:rsidRPr="002A2CB9" w:rsidRDefault="00FC3BB6" w:rsidP="002A2CB9">
                <w:pPr>
                  <w:tabs>
                    <w:tab w:val="right" w:pos="8838"/>
                  </w:tabs>
                  <w:spacing w:line="360" w:lineRule="auto"/>
                  <w:ind w:left="-74" w:right="-105"/>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1A0BC6E2" w14:textId="77777777" w:rsidR="00FC3BB6" w:rsidRPr="002A2CB9" w:rsidRDefault="00FC3BB6" w:rsidP="002A2CB9">
          <w:pPr>
            <w:tabs>
              <w:tab w:val="right" w:pos="8838"/>
            </w:tabs>
            <w:spacing w:line="360" w:lineRule="auto"/>
            <w:ind w:left="-28"/>
            <w:jc w:val="both"/>
            <w:rPr>
              <w:rFonts w:ascii="Arial" w:eastAsia="Calibri" w:hAnsi="Arial" w:cs="Arial"/>
              <w:b/>
              <w:sz w:val="22"/>
              <w:szCs w:val="22"/>
              <w:lang w:eastAsia="en-US"/>
            </w:rPr>
          </w:pPr>
        </w:p>
      </w:tc>
    </w:tr>
  </w:tbl>
  <w:p w14:paraId="1A0BC6E4" w14:textId="77777777" w:rsidR="00FC3BB6" w:rsidRDefault="00FC3BB6"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9213100"/>
    <w:multiLevelType w:val="hybridMultilevel"/>
    <w:tmpl w:val="0EA64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A5132B"/>
    <w:multiLevelType w:val="hybridMultilevel"/>
    <w:tmpl w:val="3D72A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05553B"/>
    <w:multiLevelType w:val="hybridMultilevel"/>
    <w:tmpl w:val="DD5815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652F134D"/>
    <w:multiLevelType w:val="hybridMultilevel"/>
    <w:tmpl w:val="4176A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472F33"/>
    <w:multiLevelType w:val="hybridMultilevel"/>
    <w:tmpl w:val="C3F8B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B12BD4"/>
    <w:multiLevelType w:val="hybridMultilevel"/>
    <w:tmpl w:val="2E42E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74D73A45"/>
    <w:multiLevelType w:val="hybridMultilevel"/>
    <w:tmpl w:val="5EBCC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
  </w:num>
  <w:num w:numId="6">
    <w:abstractNumId w:val="6"/>
  </w:num>
  <w:num w:numId="7">
    <w:abstractNumId w:val="8"/>
  </w:num>
  <w:num w:numId="8">
    <w:abstractNumId w:val="5"/>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81"/>
    <w:rsid w:val="000027EB"/>
    <w:rsid w:val="0000485A"/>
    <w:rsid w:val="00006543"/>
    <w:rsid w:val="00007C49"/>
    <w:rsid w:val="00013A19"/>
    <w:rsid w:val="00014465"/>
    <w:rsid w:val="00015CB5"/>
    <w:rsid w:val="00017D26"/>
    <w:rsid w:val="00020818"/>
    <w:rsid w:val="000212E5"/>
    <w:rsid w:val="00021C64"/>
    <w:rsid w:val="000241C5"/>
    <w:rsid w:val="00025F5D"/>
    <w:rsid w:val="000313A7"/>
    <w:rsid w:val="00032F5B"/>
    <w:rsid w:val="00034E9D"/>
    <w:rsid w:val="000373BC"/>
    <w:rsid w:val="00037B34"/>
    <w:rsid w:val="00037F4B"/>
    <w:rsid w:val="00043C4B"/>
    <w:rsid w:val="0004646B"/>
    <w:rsid w:val="00047282"/>
    <w:rsid w:val="000528E6"/>
    <w:rsid w:val="00054FE0"/>
    <w:rsid w:val="0006017B"/>
    <w:rsid w:val="00064855"/>
    <w:rsid w:val="00065E78"/>
    <w:rsid w:val="00066ACE"/>
    <w:rsid w:val="00071A4A"/>
    <w:rsid w:val="00073E74"/>
    <w:rsid w:val="000813B0"/>
    <w:rsid w:val="0008148B"/>
    <w:rsid w:val="0008177A"/>
    <w:rsid w:val="0008653D"/>
    <w:rsid w:val="000908DE"/>
    <w:rsid w:val="000914FD"/>
    <w:rsid w:val="00093CF1"/>
    <w:rsid w:val="00097211"/>
    <w:rsid w:val="000A0518"/>
    <w:rsid w:val="000A20A4"/>
    <w:rsid w:val="000A3E7C"/>
    <w:rsid w:val="000A5058"/>
    <w:rsid w:val="000A6ACA"/>
    <w:rsid w:val="000A7211"/>
    <w:rsid w:val="000B1D37"/>
    <w:rsid w:val="000B2C93"/>
    <w:rsid w:val="000B36DD"/>
    <w:rsid w:val="000B5711"/>
    <w:rsid w:val="000B6020"/>
    <w:rsid w:val="000B69AB"/>
    <w:rsid w:val="000C2283"/>
    <w:rsid w:val="000C27CA"/>
    <w:rsid w:val="000C59CB"/>
    <w:rsid w:val="000C7546"/>
    <w:rsid w:val="000D0B08"/>
    <w:rsid w:val="000D2A27"/>
    <w:rsid w:val="000D2CDE"/>
    <w:rsid w:val="000D72E7"/>
    <w:rsid w:val="000E0BEA"/>
    <w:rsid w:val="000E2952"/>
    <w:rsid w:val="000E2B71"/>
    <w:rsid w:val="000E3B88"/>
    <w:rsid w:val="000E5A72"/>
    <w:rsid w:val="000F05F8"/>
    <w:rsid w:val="000F24C8"/>
    <w:rsid w:val="000F2EBF"/>
    <w:rsid w:val="000F3DA0"/>
    <w:rsid w:val="000F4183"/>
    <w:rsid w:val="000F4876"/>
    <w:rsid w:val="000F555D"/>
    <w:rsid w:val="000F79BA"/>
    <w:rsid w:val="000F7A45"/>
    <w:rsid w:val="000F7FD8"/>
    <w:rsid w:val="00100244"/>
    <w:rsid w:val="00100BAC"/>
    <w:rsid w:val="00100D89"/>
    <w:rsid w:val="001017B7"/>
    <w:rsid w:val="001034C6"/>
    <w:rsid w:val="00103B75"/>
    <w:rsid w:val="001049B0"/>
    <w:rsid w:val="00104ADB"/>
    <w:rsid w:val="001052B4"/>
    <w:rsid w:val="001057BC"/>
    <w:rsid w:val="001065A9"/>
    <w:rsid w:val="00107D2F"/>
    <w:rsid w:val="00112085"/>
    <w:rsid w:val="001133D5"/>
    <w:rsid w:val="00114068"/>
    <w:rsid w:val="001150E9"/>
    <w:rsid w:val="001166C8"/>
    <w:rsid w:val="00116897"/>
    <w:rsid w:val="001216AC"/>
    <w:rsid w:val="00121EA5"/>
    <w:rsid w:val="00122D54"/>
    <w:rsid w:val="00127757"/>
    <w:rsid w:val="00127A0E"/>
    <w:rsid w:val="00130588"/>
    <w:rsid w:val="001310BA"/>
    <w:rsid w:val="0013199B"/>
    <w:rsid w:val="00132A80"/>
    <w:rsid w:val="00132F95"/>
    <w:rsid w:val="00133BC6"/>
    <w:rsid w:val="00137127"/>
    <w:rsid w:val="0013720F"/>
    <w:rsid w:val="0013791C"/>
    <w:rsid w:val="00140DB4"/>
    <w:rsid w:val="00142E7D"/>
    <w:rsid w:val="0014307A"/>
    <w:rsid w:val="00144D0B"/>
    <w:rsid w:val="00147566"/>
    <w:rsid w:val="00147666"/>
    <w:rsid w:val="00151053"/>
    <w:rsid w:val="00151FBB"/>
    <w:rsid w:val="00155F96"/>
    <w:rsid w:val="00156408"/>
    <w:rsid w:val="00156A6B"/>
    <w:rsid w:val="001616F9"/>
    <w:rsid w:val="00161DF9"/>
    <w:rsid w:val="00162383"/>
    <w:rsid w:val="00162503"/>
    <w:rsid w:val="00162CCE"/>
    <w:rsid w:val="001643DC"/>
    <w:rsid w:val="00165891"/>
    <w:rsid w:val="00170545"/>
    <w:rsid w:val="00170F44"/>
    <w:rsid w:val="00171ADD"/>
    <w:rsid w:val="00173796"/>
    <w:rsid w:val="0017459B"/>
    <w:rsid w:val="001758B5"/>
    <w:rsid w:val="00175CEB"/>
    <w:rsid w:val="00176367"/>
    <w:rsid w:val="00182D6C"/>
    <w:rsid w:val="00182DCE"/>
    <w:rsid w:val="00182F0F"/>
    <w:rsid w:val="00183D24"/>
    <w:rsid w:val="001851A6"/>
    <w:rsid w:val="00185CA6"/>
    <w:rsid w:val="001875A7"/>
    <w:rsid w:val="001879E1"/>
    <w:rsid w:val="00187D0D"/>
    <w:rsid w:val="00190A26"/>
    <w:rsid w:val="00191C72"/>
    <w:rsid w:val="00192414"/>
    <w:rsid w:val="0019389B"/>
    <w:rsid w:val="0019765C"/>
    <w:rsid w:val="001A0A1A"/>
    <w:rsid w:val="001A1B94"/>
    <w:rsid w:val="001A22F5"/>
    <w:rsid w:val="001A3EAE"/>
    <w:rsid w:val="001A7FD2"/>
    <w:rsid w:val="001B107D"/>
    <w:rsid w:val="001B2CD9"/>
    <w:rsid w:val="001B3A46"/>
    <w:rsid w:val="001B3A9C"/>
    <w:rsid w:val="001B62A0"/>
    <w:rsid w:val="001B65AB"/>
    <w:rsid w:val="001C282F"/>
    <w:rsid w:val="001D0086"/>
    <w:rsid w:val="001D0094"/>
    <w:rsid w:val="001D6EC3"/>
    <w:rsid w:val="001D7012"/>
    <w:rsid w:val="001D7BD2"/>
    <w:rsid w:val="001E2A4D"/>
    <w:rsid w:val="001E52EC"/>
    <w:rsid w:val="001E53C2"/>
    <w:rsid w:val="001E6A9C"/>
    <w:rsid w:val="001F0E9C"/>
    <w:rsid w:val="001F0EB8"/>
    <w:rsid w:val="001F1540"/>
    <w:rsid w:val="001F1772"/>
    <w:rsid w:val="001F5573"/>
    <w:rsid w:val="001F652C"/>
    <w:rsid w:val="001F6FCB"/>
    <w:rsid w:val="001F78D9"/>
    <w:rsid w:val="00201379"/>
    <w:rsid w:val="00202DB8"/>
    <w:rsid w:val="00207736"/>
    <w:rsid w:val="00212460"/>
    <w:rsid w:val="00213F12"/>
    <w:rsid w:val="00215D0D"/>
    <w:rsid w:val="00217AEF"/>
    <w:rsid w:val="002209FB"/>
    <w:rsid w:val="00220F59"/>
    <w:rsid w:val="00221EC9"/>
    <w:rsid w:val="00222151"/>
    <w:rsid w:val="00222731"/>
    <w:rsid w:val="00223C6D"/>
    <w:rsid w:val="00223ECD"/>
    <w:rsid w:val="002241A6"/>
    <w:rsid w:val="002241E8"/>
    <w:rsid w:val="00224426"/>
    <w:rsid w:val="00224774"/>
    <w:rsid w:val="002247B0"/>
    <w:rsid w:val="00224F7A"/>
    <w:rsid w:val="00225152"/>
    <w:rsid w:val="002251FE"/>
    <w:rsid w:val="00230E81"/>
    <w:rsid w:val="002317C8"/>
    <w:rsid w:val="00232673"/>
    <w:rsid w:val="0023495C"/>
    <w:rsid w:val="00236863"/>
    <w:rsid w:val="00237C1F"/>
    <w:rsid w:val="00237D0D"/>
    <w:rsid w:val="00240035"/>
    <w:rsid w:val="00241D0F"/>
    <w:rsid w:val="002433A4"/>
    <w:rsid w:val="002435DC"/>
    <w:rsid w:val="002444ED"/>
    <w:rsid w:val="00247B17"/>
    <w:rsid w:val="00250389"/>
    <w:rsid w:val="00252669"/>
    <w:rsid w:val="00254209"/>
    <w:rsid w:val="00254288"/>
    <w:rsid w:val="0025469C"/>
    <w:rsid w:val="00254705"/>
    <w:rsid w:val="002562E2"/>
    <w:rsid w:val="002579CE"/>
    <w:rsid w:val="00260FEC"/>
    <w:rsid w:val="00261DD6"/>
    <w:rsid w:val="002657E2"/>
    <w:rsid w:val="00265918"/>
    <w:rsid w:val="002706D6"/>
    <w:rsid w:val="00270AE6"/>
    <w:rsid w:val="00271592"/>
    <w:rsid w:val="002727CC"/>
    <w:rsid w:val="00273679"/>
    <w:rsid w:val="00273A4D"/>
    <w:rsid w:val="00275E14"/>
    <w:rsid w:val="0027640E"/>
    <w:rsid w:val="00281A35"/>
    <w:rsid w:val="00281AD9"/>
    <w:rsid w:val="00281AFC"/>
    <w:rsid w:val="002834B4"/>
    <w:rsid w:val="0028412B"/>
    <w:rsid w:val="0028420E"/>
    <w:rsid w:val="00284486"/>
    <w:rsid w:val="00285644"/>
    <w:rsid w:val="0028581E"/>
    <w:rsid w:val="00285B24"/>
    <w:rsid w:val="00290C33"/>
    <w:rsid w:val="00293491"/>
    <w:rsid w:val="002A0FB8"/>
    <w:rsid w:val="002A1B97"/>
    <w:rsid w:val="002A2CB9"/>
    <w:rsid w:val="002A30E1"/>
    <w:rsid w:val="002A3C1C"/>
    <w:rsid w:val="002A57D2"/>
    <w:rsid w:val="002A6193"/>
    <w:rsid w:val="002A6B0E"/>
    <w:rsid w:val="002A7B0F"/>
    <w:rsid w:val="002A7BD4"/>
    <w:rsid w:val="002A7F32"/>
    <w:rsid w:val="002B03CD"/>
    <w:rsid w:val="002B06C1"/>
    <w:rsid w:val="002B20A1"/>
    <w:rsid w:val="002B226E"/>
    <w:rsid w:val="002B3668"/>
    <w:rsid w:val="002B46D4"/>
    <w:rsid w:val="002B54CF"/>
    <w:rsid w:val="002B5F47"/>
    <w:rsid w:val="002C4FF1"/>
    <w:rsid w:val="002C7419"/>
    <w:rsid w:val="002D1BE4"/>
    <w:rsid w:val="002D27CE"/>
    <w:rsid w:val="002D37B5"/>
    <w:rsid w:val="002E5015"/>
    <w:rsid w:val="002E78BF"/>
    <w:rsid w:val="002E7ACF"/>
    <w:rsid w:val="002F0C1A"/>
    <w:rsid w:val="002F0CE9"/>
    <w:rsid w:val="002F3BD0"/>
    <w:rsid w:val="002F58D8"/>
    <w:rsid w:val="00300A0B"/>
    <w:rsid w:val="00300A25"/>
    <w:rsid w:val="00301F46"/>
    <w:rsid w:val="00303CAD"/>
    <w:rsid w:val="00303E71"/>
    <w:rsid w:val="00304206"/>
    <w:rsid w:val="00305BA2"/>
    <w:rsid w:val="00306418"/>
    <w:rsid w:val="003100F3"/>
    <w:rsid w:val="00310C11"/>
    <w:rsid w:val="00310FFE"/>
    <w:rsid w:val="00312BBC"/>
    <w:rsid w:val="00313180"/>
    <w:rsid w:val="00316600"/>
    <w:rsid w:val="003172EC"/>
    <w:rsid w:val="0032170B"/>
    <w:rsid w:val="00323325"/>
    <w:rsid w:val="003243B0"/>
    <w:rsid w:val="00325EC0"/>
    <w:rsid w:val="003279BB"/>
    <w:rsid w:val="00327FDE"/>
    <w:rsid w:val="003340EC"/>
    <w:rsid w:val="003350FF"/>
    <w:rsid w:val="00340452"/>
    <w:rsid w:val="0034057C"/>
    <w:rsid w:val="0034303D"/>
    <w:rsid w:val="00350142"/>
    <w:rsid w:val="00353B6D"/>
    <w:rsid w:val="00354920"/>
    <w:rsid w:val="00354FAA"/>
    <w:rsid w:val="00355DC6"/>
    <w:rsid w:val="00357EEF"/>
    <w:rsid w:val="003604D7"/>
    <w:rsid w:val="00361176"/>
    <w:rsid w:val="003615DF"/>
    <w:rsid w:val="00362A6D"/>
    <w:rsid w:val="0036351E"/>
    <w:rsid w:val="00364521"/>
    <w:rsid w:val="00365026"/>
    <w:rsid w:val="00365120"/>
    <w:rsid w:val="00367F82"/>
    <w:rsid w:val="003725BF"/>
    <w:rsid w:val="00372803"/>
    <w:rsid w:val="00373757"/>
    <w:rsid w:val="003749EC"/>
    <w:rsid w:val="003756AF"/>
    <w:rsid w:val="00375815"/>
    <w:rsid w:val="00380441"/>
    <w:rsid w:val="00381553"/>
    <w:rsid w:val="00382696"/>
    <w:rsid w:val="00383CAE"/>
    <w:rsid w:val="0038438A"/>
    <w:rsid w:val="003864D2"/>
    <w:rsid w:val="00390249"/>
    <w:rsid w:val="00390943"/>
    <w:rsid w:val="00390BF8"/>
    <w:rsid w:val="00392877"/>
    <w:rsid w:val="00392E12"/>
    <w:rsid w:val="00394D7E"/>
    <w:rsid w:val="0039556D"/>
    <w:rsid w:val="003956E9"/>
    <w:rsid w:val="003965EC"/>
    <w:rsid w:val="00396A2C"/>
    <w:rsid w:val="00396BA0"/>
    <w:rsid w:val="003A0E17"/>
    <w:rsid w:val="003A357E"/>
    <w:rsid w:val="003A6E62"/>
    <w:rsid w:val="003A7643"/>
    <w:rsid w:val="003A78B5"/>
    <w:rsid w:val="003A7BE8"/>
    <w:rsid w:val="003A7C85"/>
    <w:rsid w:val="003A7FBE"/>
    <w:rsid w:val="003B0D09"/>
    <w:rsid w:val="003B0E11"/>
    <w:rsid w:val="003B165A"/>
    <w:rsid w:val="003B1A65"/>
    <w:rsid w:val="003B1A7B"/>
    <w:rsid w:val="003B2140"/>
    <w:rsid w:val="003B42F6"/>
    <w:rsid w:val="003C28B8"/>
    <w:rsid w:val="003C5F9B"/>
    <w:rsid w:val="003C6934"/>
    <w:rsid w:val="003C6F30"/>
    <w:rsid w:val="003C7C67"/>
    <w:rsid w:val="003C7FD0"/>
    <w:rsid w:val="003D0268"/>
    <w:rsid w:val="003D1A43"/>
    <w:rsid w:val="003D1A64"/>
    <w:rsid w:val="003D4EA2"/>
    <w:rsid w:val="003D624F"/>
    <w:rsid w:val="003D7B6C"/>
    <w:rsid w:val="003E31E5"/>
    <w:rsid w:val="003E32ED"/>
    <w:rsid w:val="003E3A39"/>
    <w:rsid w:val="003E58C9"/>
    <w:rsid w:val="003F0DFC"/>
    <w:rsid w:val="003F632A"/>
    <w:rsid w:val="003F650B"/>
    <w:rsid w:val="004004E9"/>
    <w:rsid w:val="00400A38"/>
    <w:rsid w:val="004052C5"/>
    <w:rsid w:val="00410016"/>
    <w:rsid w:val="004100AA"/>
    <w:rsid w:val="00410CD2"/>
    <w:rsid w:val="00412203"/>
    <w:rsid w:val="004142DD"/>
    <w:rsid w:val="00417DE3"/>
    <w:rsid w:val="00420B07"/>
    <w:rsid w:val="00422869"/>
    <w:rsid w:val="004231B1"/>
    <w:rsid w:val="0042423C"/>
    <w:rsid w:val="00424A5D"/>
    <w:rsid w:val="00426448"/>
    <w:rsid w:val="00427457"/>
    <w:rsid w:val="0043257A"/>
    <w:rsid w:val="0043539D"/>
    <w:rsid w:val="00436FD3"/>
    <w:rsid w:val="004406CF"/>
    <w:rsid w:val="00441804"/>
    <w:rsid w:val="004435B4"/>
    <w:rsid w:val="00446A5C"/>
    <w:rsid w:val="00457F4E"/>
    <w:rsid w:val="0046048A"/>
    <w:rsid w:val="00462B15"/>
    <w:rsid w:val="00463BD6"/>
    <w:rsid w:val="004648C0"/>
    <w:rsid w:val="00466346"/>
    <w:rsid w:val="004663F8"/>
    <w:rsid w:val="004702B0"/>
    <w:rsid w:val="004751D6"/>
    <w:rsid w:val="00475E6B"/>
    <w:rsid w:val="00477DBA"/>
    <w:rsid w:val="00477E20"/>
    <w:rsid w:val="00480BB8"/>
    <w:rsid w:val="00480D4A"/>
    <w:rsid w:val="00480DBB"/>
    <w:rsid w:val="00481D51"/>
    <w:rsid w:val="00484857"/>
    <w:rsid w:val="0048519E"/>
    <w:rsid w:val="00485EC7"/>
    <w:rsid w:val="004860BD"/>
    <w:rsid w:val="00487430"/>
    <w:rsid w:val="004918F1"/>
    <w:rsid w:val="00494D42"/>
    <w:rsid w:val="004954E6"/>
    <w:rsid w:val="00497921"/>
    <w:rsid w:val="004A0A7B"/>
    <w:rsid w:val="004A0BB0"/>
    <w:rsid w:val="004A26CD"/>
    <w:rsid w:val="004A3584"/>
    <w:rsid w:val="004A3EAA"/>
    <w:rsid w:val="004A5121"/>
    <w:rsid w:val="004A577A"/>
    <w:rsid w:val="004A6ECB"/>
    <w:rsid w:val="004A7990"/>
    <w:rsid w:val="004B1796"/>
    <w:rsid w:val="004B3B7A"/>
    <w:rsid w:val="004B591D"/>
    <w:rsid w:val="004B643D"/>
    <w:rsid w:val="004B7542"/>
    <w:rsid w:val="004C3D66"/>
    <w:rsid w:val="004C4ACC"/>
    <w:rsid w:val="004C4E8F"/>
    <w:rsid w:val="004C7E83"/>
    <w:rsid w:val="004D5DB3"/>
    <w:rsid w:val="004E345F"/>
    <w:rsid w:val="004E3731"/>
    <w:rsid w:val="004E3914"/>
    <w:rsid w:val="004E3BBA"/>
    <w:rsid w:val="004E401B"/>
    <w:rsid w:val="004E41C7"/>
    <w:rsid w:val="004E63B4"/>
    <w:rsid w:val="004E71CE"/>
    <w:rsid w:val="004E7473"/>
    <w:rsid w:val="004E7DB7"/>
    <w:rsid w:val="004F1030"/>
    <w:rsid w:val="004F2D88"/>
    <w:rsid w:val="004F3D21"/>
    <w:rsid w:val="004F4D05"/>
    <w:rsid w:val="004F772E"/>
    <w:rsid w:val="00506AD1"/>
    <w:rsid w:val="005070C3"/>
    <w:rsid w:val="00507FF7"/>
    <w:rsid w:val="0051276F"/>
    <w:rsid w:val="00515FF4"/>
    <w:rsid w:val="00520FF8"/>
    <w:rsid w:val="005220BE"/>
    <w:rsid w:val="00525ED9"/>
    <w:rsid w:val="00531764"/>
    <w:rsid w:val="00535625"/>
    <w:rsid w:val="00536B5C"/>
    <w:rsid w:val="00540F7B"/>
    <w:rsid w:val="0054176B"/>
    <w:rsid w:val="0054253A"/>
    <w:rsid w:val="00542D5F"/>
    <w:rsid w:val="005435DE"/>
    <w:rsid w:val="00544C28"/>
    <w:rsid w:val="00546BAE"/>
    <w:rsid w:val="00550877"/>
    <w:rsid w:val="00552EBD"/>
    <w:rsid w:val="00553827"/>
    <w:rsid w:val="00555F71"/>
    <w:rsid w:val="00563193"/>
    <w:rsid w:val="00563BEB"/>
    <w:rsid w:val="00564755"/>
    <w:rsid w:val="00566849"/>
    <w:rsid w:val="0057298D"/>
    <w:rsid w:val="005740F6"/>
    <w:rsid w:val="00574159"/>
    <w:rsid w:val="005743D2"/>
    <w:rsid w:val="00575905"/>
    <w:rsid w:val="005764E6"/>
    <w:rsid w:val="005802BD"/>
    <w:rsid w:val="005820E3"/>
    <w:rsid w:val="00586FA8"/>
    <w:rsid w:val="00587F23"/>
    <w:rsid w:val="005905E6"/>
    <w:rsid w:val="00591431"/>
    <w:rsid w:val="00591E3A"/>
    <w:rsid w:val="00592D40"/>
    <w:rsid w:val="00593CB4"/>
    <w:rsid w:val="00593E68"/>
    <w:rsid w:val="00596802"/>
    <w:rsid w:val="005A1616"/>
    <w:rsid w:val="005A5DC7"/>
    <w:rsid w:val="005B0D7C"/>
    <w:rsid w:val="005B0E86"/>
    <w:rsid w:val="005B6854"/>
    <w:rsid w:val="005C1943"/>
    <w:rsid w:val="005C37A0"/>
    <w:rsid w:val="005C4034"/>
    <w:rsid w:val="005C4E8B"/>
    <w:rsid w:val="005C651C"/>
    <w:rsid w:val="005C656A"/>
    <w:rsid w:val="005C76DF"/>
    <w:rsid w:val="005C7E10"/>
    <w:rsid w:val="005D0033"/>
    <w:rsid w:val="005D1427"/>
    <w:rsid w:val="005D49C8"/>
    <w:rsid w:val="005D51B6"/>
    <w:rsid w:val="005D5607"/>
    <w:rsid w:val="005E0DB1"/>
    <w:rsid w:val="005E37E9"/>
    <w:rsid w:val="005E5FA2"/>
    <w:rsid w:val="005F03DB"/>
    <w:rsid w:val="005F42DD"/>
    <w:rsid w:val="005F435F"/>
    <w:rsid w:val="005F4977"/>
    <w:rsid w:val="005F556F"/>
    <w:rsid w:val="005F5CCA"/>
    <w:rsid w:val="005F737A"/>
    <w:rsid w:val="00603A46"/>
    <w:rsid w:val="00606194"/>
    <w:rsid w:val="0061115C"/>
    <w:rsid w:val="00611A49"/>
    <w:rsid w:val="00613017"/>
    <w:rsid w:val="00613A54"/>
    <w:rsid w:val="00614AF4"/>
    <w:rsid w:val="00616189"/>
    <w:rsid w:val="0062078C"/>
    <w:rsid w:val="00620E8F"/>
    <w:rsid w:val="00621760"/>
    <w:rsid w:val="006217BB"/>
    <w:rsid w:val="00624F8D"/>
    <w:rsid w:val="00625BD5"/>
    <w:rsid w:val="00625DFB"/>
    <w:rsid w:val="006261EC"/>
    <w:rsid w:val="00626A69"/>
    <w:rsid w:val="006277B7"/>
    <w:rsid w:val="006308DE"/>
    <w:rsid w:val="00630F1A"/>
    <w:rsid w:val="00634D1A"/>
    <w:rsid w:val="00637179"/>
    <w:rsid w:val="006414CF"/>
    <w:rsid w:val="00645F7D"/>
    <w:rsid w:val="00646100"/>
    <w:rsid w:val="006476CA"/>
    <w:rsid w:val="00652D51"/>
    <w:rsid w:val="006552AE"/>
    <w:rsid w:val="006553DA"/>
    <w:rsid w:val="00655773"/>
    <w:rsid w:val="006563CA"/>
    <w:rsid w:val="006578FC"/>
    <w:rsid w:val="00657930"/>
    <w:rsid w:val="006608AB"/>
    <w:rsid w:val="006620DA"/>
    <w:rsid w:val="00664587"/>
    <w:rsid w:val="00666F25"/>
    <w:rsid w:val="00667C1C"/>
    <w:rsid w:val="00673DD4"/>
    <w:rsid w:val="00674AEB"/>
    <w:rsid w:val="006816E3"/>
    <w:rsid w:val="0068238F"/>
    <w:rsid w:val="006828D8"/>
    <w:rsid w:val="0068455C"/>
    <w:rsid w:val="00684887"/>
    <w:rsid w:val="00693C8E"/>
    <w:rsid w:val="006969BA"/>
    <w:rsid w:val="0069700B"/>
    <w:rsid w:val="00697FF1"/>
    <w:rsid w:val="006A026A"/>
    <w:rsid w:val="006A0425"/>
    <w:rsid w:val="006A167E"/>
    <w:rsid w:val="006A1D62"/>
    <w:rsid w:val="006A396E"/>
    <w:rsid w:val="006A4EAE"/>
    <w:rsid w:val="006A56C3"/>
    <w:rsid w:val="006A6D7F"/>
    <w:rsid w:val="006A7463"/>
    <w:rsid w:val="006B0298"/>
    <w:rsid w:val="006B0E83"/>
    <w:rsid w:val="006B5493"/>
    <w:rsid w:val="006C10C0"/>
    <w:rsid w:val="006C1B1D"/>
    <w:rsid w:val="006C32BB"/>
    <w:rsid w:val="006C3747"/>
    <w:rsid w:val="006C40A5"/>
    <w:rsid w:val="006C4BF6"/>
    <w:rsid w:val="006C7760"/>
    <w:rsid w:val="006C7EEA"/>
    <w:rsid w:val="006D005D"/>
    <w:rsid w:val="006D1A5B"/>
    <w:rsid w:val="006D522C"/>
    <w:rsid w:val="006D5588"/>
    <w:rsid w:val="006D56AA"/>
    <w:rsid w:val="006D6A81"/>
    <w:rsid w:val="006D7795"/>
    <w:rsid w:val="006D7ACB"/>
    <w:rsid w:val="006E00EF"/>
    <w:rsid w:val="006E06BB"/>
    <w:rsid w:val="006E1A7A"/>
    <w:rsid w:val="006E716F"/>
    <w:rsid w:val="006F01E7"/>
    <w:rsid w:val="006F1F3A"/>
    <w:rsid w:val="006F3DB6"/>
    <w:rsid w:val="006F5BDB"/>
    <w:rsid w:val="006F7EB8"/>
    <w:rsid w:val="00702DD7"/>
    <w:rsid w:val="00703D83"/>
    <w:rsid w:val="007047D3"/>
    <w:rsid w:val="00705C40"/>
    <w:rsid w:val="0071087E"/>
    <w:rsid w:val="00710A66"/>
    <w:rsid w:val="00716A05"/>
    <w:rsid w:val="00721648"/>
    <w:rsid w:val="007229A1"/>
    <w:rsid w:val="007235AA"/>
    <w:rsid w:val="00723D66"/>
    <w:rsid w:val="007246E5"/>
    <w:rsid w:val="00724E18"/>
    <w:rsid w:val="00732289"/>
    <w:rsid w:val="007332AD"/>
    <w:rsid w:val="00735915"/>
    <w:rsid w:val="00735BA3"/>
    <w:rsid w:val="00735C21"/>
    <w:rsid w:val="0073614A"/>
    <w:rsid w:val="00736C21"/>
    <w:rsid w:val="00736FF2"/>
    <w:rsid w:val="00740C8C"/>
    <w:rsid w:val="00741AC4"/>
    <w:rsid w:val="00742CA5"/>
    <w:rsid w:val="007515BC"/>
    <w:rsid w:val="00752CAF"/>
    <w:rsid w:val="007573B2"/>
    <w:rsid w:val="007574BB"/>
    <w:rsid w:val="0075764C"/>
    <w:rsid w:val="00762198"/>
    <w:rsid w:val="0076306F"/>
    <w:rsid w:val="00763CE8"/>
    <w:rsid w:val="007660C1"/>
    <w:rsid w:val="00767E64"/>
    <w:rsid w:val="00770792"/>
    <w:rsid w:val="00774FFE"/>
    <w:rsid w:val="00775638"/>
    <w:rsid w:val="00775677"/>
    <w:rsid w:val="0077599A"/>
    <w:rsid w:val="00775DA8"/>
    <w:rsid w:val="0077724D"/>
    <w:rsid w:val="00777353"/>
    <w:rsid w:val="00780CD6"/>
    <w:rsid w:val="007827FA"/>
    <w:rsid w:val="00782EA4"/>
    <w:rsid w:val="00785461"/>
    <w:rsid w:val="00786FF3"/>
    <w:rsid w:val="007876CF"/>
    <w:rsid w:val="00793090"/>
    <w:rsid w:val="00793566"/>
    <w:rsid w:val="00796F2A"/>
    <w:rsid w:val="007A0176"/>
    <w:rsid w:val="007A19BB"/>
    <w:rsid w:val="007A2F67"/>
    <w:rsid w:val="007A3918"/>
    <w:rsid w:val="007A42DF"/>
    <w:rsid w:val="007A58D8"/>
    <w:rsid w:val="007A7163"/>
    <w:rsid w:val="007B0E89"/>
    <w:rsid w:val="007B2C38"/>
    <w:rsid w:val="007B2E54"/>
    <w:rsid w:val="007B543E"/>
    <w:rsid w:val="007B575B"/>
    <w:rsid w:val="007B6B7D"/>
    <w:rsid w:val="007B7498"/>
    <w:rsid w:val="007B7AEE"/>
    <w:rsid w:val="007C6A2B"/>
    <w:rsid w:val="007C7E84"/>
    <w:rsid w:val="007C7EB6"/>
    <w:rsid w:val="007D040F"/>
    <w:rsid w:val="007D2F75"/>
    <w:rsid w:val="007D7E3A"/>
    <w:rsid w:val="007E008D"/>
    <w:rsid w:val="007E0124"/>
    <w:rsid w:val="007E22E7"/>
    <w:rsid w:val="007E4232"/>
    <w:rsid w:val="007E493E"/>
    <w:rsid w:val="007E69BB"/>
    <w:rsid w:val="007E6AB8"/>
    <w:rsid w:val="007E6C4B"/>
    <w:rsid w:val="007E702A"/>
    <w:rsid w:val="007E7E96"/>
    <w:rsid w:val="007F2109"/>
    <w:rsid w:val="007F21C5"/>
    <w:rsid w:val="007F3EF1"/>
    <w:rsid w:val="007F4EEB"/>
    <w:rsid w:val="0080056E"/>
    <w:rsid w:val="008008CD"/>
    <w:rsid w:val="00801BCE"/>
    <w:rsid w:val="00802515"/>
    <w:rsid w:val="00804CB7"/>
    <w:rsid w:val="00805E62"/>
    <w:rsid w:val="00811E3D"/>
    <w:rsid w:val="0081283F"/>
    <w:rsid w:val="00812BD5"/>
    <w:rsid w:val="00812C0C"/>
    <w:rsid w:val="0081480A"/>
    <w:rsid w:val="008202EB"/>
    <w:rsid w:val="00820472"/>
    <w:rsid w:val="00820F86"/>
    <w:rsid w:val="00826A98"/>
    <w:rsid w:val="00827F88"/>
    <w:rsid w:val="008312EA"/>
    <w:rsid w:val="00832085"/>
    <w:rsid w:val="00833388"/>
    <w:rsid w:val="008336A5"/>
    <w:rsid w:val="00835474"/>
    <w:rsid w:val="00835523"/>
    <w:rsid w:val="00835D0D"/>
    <w:rsid w:val="008373C0"/>
    <w:rsid w:val="0084145F"/>
    <w:rsid w:val="00841DA2"/>
    <w:rsid w:val="00844C51"/>
    <w:rsid w:val="00844CB5"/>
    <w:rsid w:val="008458F6"/>
    <w:rsid w:val="00845AED"/>
    <w:rsid w:val="0084708E"/>
    <w:rsid w:val="008518DA"/>
    <w:rsid w:val="00851AE4"/>
    <w:rsid w:val="008554B6"/>
    <w:rsid w:val="0085598D"/>
    <w:rsid w:val="00857EF1"/>
    <w:rsid w:val="00862771"/>
    <w:rsid w:val="0086682F"/>
    <w:rsid w:val="00871098"/>
    <w:rsid w:val="00874894"/>
    <w:rsid w:val="00876975"/>
    <w:rsid w:val="00876D30"/>
    <w:rsid w:val="00876F54"/>
    <w:rsid w:val="00877292"/>
    <w:rsid w:val="0087754A"/>
    <w:rsid w:val="0087766C"/>
    <w:rsid w:val="00880552"/>
    <w:rsid w:val="0088206F"/>
    <w:rsid w:val="008839DA"/>
    <w:rsid w:val="00884782"/>
    <w:rsid w:val="00884EE8"/>
    <w:rsid w:val="00885168"/>
    <w:rsid w:val="00886DB9"/>
    <w:rsid w:val="00886DF7"/>
    <w:rsid w:val="0089173B"/>
    <w:rsid w:val="00891E76"/>
    <w:rsid w:val="0089220F"/>
    <w:rsid w:val="008935AA"/>
    <w:rsid w:val="008963F0"/>
    <w:rsid w:val="00897444"/>
    <w:rsid w:val="008A03A5"/>
    <w:rsid w:val="008A0DF3"/>
    <w:rsid w:val="008A282C"/>
    <w:rsid w:val="008A4138"/>
    <w:rsid w:val="008A5D96"/>
    <w:rsid w:val="008B2DA6"/>
    <w:rsid w:val="008B4F06"/>
    <w:rsid w:val="008B653F"/>
    <w:rsid w:val="008B6848"/>
    <w:rsid w:val="008C1E82"/>
    <w:rsid w:val="008C2FA1"/>
    <w:rsid w:val="008C3471"/>
    <w:rsid w:val="008D2C4C"/>
    <w:rsid w:val="008D40EC"/>
    <w:rsid w:val="008D789F"/>
    <w:rsid w:val="008D7A9D"/>
    <w:rsid w:val="008D7E0D"/>
    <w:rsid w:val="008D7EDB"/>
    <w:rsid w:val="008E1829"/>
    <w:rsid w:val="008E2327"/>
    <w:rsid w:val="008E5077"/>
    <w:rsid w:val="008E587D"/>
    <w:rsid w:val="008E64F0"/>
    <w:rsid w:val="008E6FF3"/>
    <w:rsid w:val="008E72D6"/>
    <w:rsid w:val="008E7B05"/>
    <w:rsid w:val="008F0D6B"/>
    <w:rsid w:val="008F18ED"/>
    <w:rsid w:val="008F3687"/>
    <w:rsid w:val="008F46C2"/>
    <w:rsid w:val="008F4EB7"/>
    <w:rsid w:val="008F7068"/>
    <w:rsid w:val="00903D37"/>
    <w:rsid w:val="0091055D"/>
    <w:rsid w:val="00911DF7"/>
    <w:rsid w:val="00912BFE"/>
    <w:rsid w:val="0091324D"/>
    <w:rsid w:val="00914C61"/>
    <w:rsid w:val="00917D6F"/>
    <w:rsid w:val="00921B1A"/>
    <w:rsid w:val="00921B7F"/>
    <w:rsid w:val="00921DDA"/>
    <w:rsid w:val="00922DE1"/>
    <w:rsid w:val="00925DA1"/>
    <w:rsid w:val="0092600D"/>
    <w:rsid w:val="0093039D"/>
    <w:rsid w:val="00931E4F"/>
    <w:rsid w:val="0093364D"/>
    <w:rsid w:val="00936574"/>
    <w:rsid w:val="00937EE1"/>
    <w:rsid w:val="00940405"/>
    <w:rsid w:val="00943BCE"/>
    <w:rsid w:val="00945C38"/>
    <w:rsid w:val="0095041B"/>
    <w:rsid w:val="00954701"/>
    <w:rsid w:val="00955AEE"/>
    <w:rsid w:val="00960346"/>
    <w:rsid w:val="009617D3"/>
    <w:rsid w:val="00964203"/>
    <w:rsid w:val="00964578"/>
    <w:rsid w:val="0096463B"/>
    <w:rsid w:val="00967869"/>
    <w:rsid w:val="0096796E"/>
    <w:rsid w:val="00971F54"/>
    <w:rsid w:val="009725C5"/>
    <w:rsid w:val="00973F40"/>
    <w:rsid w:val="00975B3E"/>
    <w:rsid w:val="00980900"/>
    <w:rsid w:val="00983EED"/>
    <w:rsid w:val="009849EF"/>
    <w:rsid w:val="00984E73"/>
    <w:rsid w:val="00986A7D"/>
    <w:rsid w:val="00986DB7"/>
    <w:rsid w:val="009934CF"/>
    <w:rsid w:val="009A0D75"/>
    <w:rsid w:val="009A347A"/>
    <w:rsid w:val="009A54CE"/>
    <w:rsid w:val="009A572D"/>
    <w:rsid w:val="009A5F0F"/>
    <w:rsid w:val="009A620E"/>
    <w:rsid w:val="009A6619"/>
    <w:rsid w:val="009B60E2"/>
    <w:rsid w:val="009B6A6F"/>
    <w:rsid w:val="009C1AFE"/>
    <w:rsid w:val="009C3E33"/>
    <w:rsid w:val="009C5F24"/>
    <w:rsid w:val="009D048B"/>
    <w:rsid w:val="009D4587"/>
    <w:rsid w:val="009D516C"/>
    <w:rsid w:val="009D5C79"/>
    <w:rsid w:val="009D69C6"/>
    <w:rsid w:val="009E0271"/>
    <w:rsid w:val="009E2DE1"/>
    <w:rsid w:val="009E5419"/>
    <w:rsid w:val="009E5A6E"/>
    <w:rsid w:val="009E70E7"/>
    <w:rsid w:val="009F2233"/>
    <w:rsid w:val="009F25A8"/>
    <w:rsid w:val="009F3FAC"/>
    <w:rsid w:val="009F46DC"/>
    <w:rsid w:val="00A01312"/>
    <w:rsid w:val="00A01C00"/>
    <w:rsid w:val="00A045CE"/>
    <w:rsid w:val="00A06CFE"/>
    <w:rsid w:val="00A06D06"/>
    <w:rsid w:val="00A0787D"/>
    <w:rsid w:val="00A11CAD"/>
    <w:rsid w:val="00A1620D"/>
    <w:rsid w:val="00A16AC0"/>
    <w:rsid w:val="00A16DC1"/>
    <w:rsid w:val="00A17C24"/>
    <w:rsid w:val="00A23D31"/>
    <w:rsid w:val="00A24C9B"/>
    <w:rsid w:val="00A253D6"/>
    <w:rsid w:val="00A25C0B"/>
    <w:rsid w:val="00A26ECD"/>
    <w:rsid w:val="00A27D2B"/>
    <w:rsid w:val="00A301A7"/>
    <w:rsid w:val="00A30C34"/>
    <w:rsid w:val="00A30FD3"/>
    <w:rsid w:val="00A3196C"/>
    <w:rsid w:val="00A35E2F"/>
    <w:rsid w:val="00A37891"/>
    <w:rsid w:val="00A4082B"/>
    <w:rsid w:val="00A4096A"/>
    <w:rsid w:val="00A40A51"/>
    <w:rsid w:val="00A42475"/>
    <w:rsid w:val="00A44AB1"/>
    <w:rsid w:val="00A47916"/>
    <w:rsid w:val="00A50033"/>
    <w:rsid w:val="00A524FC"/>
    <w:rsid w:val="00A536DA"/>
    <w:rsid w:val="00A5623B"/>
    <w:rsid w:val="00A571CD"/>
    <w:rsid w:val="00A57C3D"/>
    <w:rsid w:val="00A61198"/>
    <w:rsid w:val="00A6247A"/>
    <w:rsid w:val="00A62C52"/>
    <w:rsid w:val="00A6697B"/>
    <w:rsid w:val="00A719AA"/>
    <w:rsid w:val="00A73DE3"/>
    <w:rsid w:val="00A74C2D"/>
    <w:rsid w:val="00A76B34"/>
    <w:rsid w:val="00A771B7"/>
    <w:rsid w:val="00A83487"/>
    <w:rsid w:val="00A854FF"/>
    <w:rsid w:val="00A87035"/>
    <w:rsid w:val="00A8745D"/>
    <w:rsid w:val="00A908DA"/>
    <w:rsid w:val="00A90F9B"/>
    <w:rsid w:val="00A92694"/>
    <w:rsid w:val="00A93072"/>
    <w:rsid w:val="00A930EE"/>
    <w:rsid w:val="00A94E3B"/>
    <w:rsid w:val="00A9629C"/>
    <w:rsid w:val="00AA35D5"/>
    <w:rsid w:val="00AA417B"/>
    <w:rsid w:val="00AA533F"/>
    <w:rsid w:val="00AA5637"/>
    <w:rsid w:val="00AA5A86"/>
    <w:rsid w:val="00AA6279"/>
    <w:rsid w:val="00AB010D"/>
    <w:rsid w:val="00AB04C8"/>
    <w:rsid w:val="00AB0749"/>
    <w:rsid w:val="00AB750F"/>
    <w:rsid w:val="00AB76D8"/>
    <w:rsid w:val="00AB7E6A"/>
    <w:rsid w:val="00AC0DB1"/>
    <w:rsid w:val="00AC1620"/>
    <w:rsid w:val="00AC1B61"/>
    <w:rsid w:val="00AC2C6E"/>
    <w:rsid w:val="00AC5EE6"/>
    <w:rsid w:val="00AC6E40"/>
    <w:rsid w:val="00AC78B3"/>
    <w:rsid w:val="00AD03BD"/>
    <w:rsid w:val="00AD04B2"/>
    <w:rsid w:val="00AD0D24"/>
    <w:rsid w:val="00AD1923"/>
    <w:rsid w:val="00AD2611"/>
    <w:rsid w:val="00AD3AC5"/>
    <w:rsid w:val="00AD3D57"/>
    <w:rsid w:val="00AE14E4"/>
    <w:rsid w:val="00AE47BF"/>
    <w:rsid w:val="00AF1F42"/>
    <w:rsid w:val="00AF49A6"/>
    <w:rsid w:val="00AF6432"/>
    <w:rsid w:val="00AF6DED"/>
    <w:rsid w:val="00AF79BD"/>
    <w:rsid w:val="00B01A71"/>
    <w:rsid w:val="00B02B02"/>
    <w:rsid w:val="00B03088"/>
    <w:rsid w:val="00B07F12"/>
    <w:rsid w:val="00B10BAE"/>
    <w:rsid w:val="00B14154"/>
    <w:rsid w:val="00B1415B"/>
    <w:rsid w:val="00B15278"/>
    <w:rsid w:val="00B222A2"/>
    <w:rsid w:val="00B234EC"/>
    <w:rsid w:val="00B26A72"/>
    <w:rsid w:val="00B274AE"/>
    <w:rsid w:val="00B274BF"/>
    <w:rsid w:val="00B31222"/>
    <w:rsid w:val="00B318EB"/>
    <w:rsid w:val="00B34839"/>
    <w:rsid w:val="00B42C7F"/>
    <w:rsid w:val="00B42E81"/>
    <w:rsid w:val="00B4329D"/>
    <w:rsid w:val="00B44978"/>
    <w:rsid w:val="00B44D89"/>
    <w:rsid w:val="00B520F9"/>
    <w:rsid w:val="00B52812"/>
    <w:rsid w:val="00B52FC5"/>
    <w:rsid w:val="00B53C69"/>
    <w:rsid w:val="00B53DFE"/>
    <w:rsid w:val="00B544B9"/>
    <w:rsid w:val="00B5495A"/>
    <w:rsid w:val="00B54B5C"/>
    <w:rsid w:val="00B577A3"/>
    <w:rsid w:val="00B57C85"/>
    <w:rsid w:val="00B61446"/>
    <w:rsid w:val="00B6144B"/>
    <w:rsid w:val="00B622A0"/>
    <w:rsid w:val="00B62E78"/>
    <w:rsid w:val="00B64641"/>
    <w:rsid w:val="00B7262F"/>
    <w:rsid w:val="00B727C5"/>
    <w:rsid w:val="00B73FD4"/>
    <w:rsid w:val="00B74FC5"/>
    <w:rsid w:val="00B75A6C"/>
    <w:rsid w:val="00B82F2D"/>
    <w:rsid w:val="00B83E2A"/>
    <w:rsid w:val="00B83E38"/>
    <w:rsid w:val="00B85DF3"/>
    <w:rsid w:val="00B86C19"/>
    <w:rsid w:val="00B91649"/>
    <w:rsid w:val="00B92EDF"/>
    <w:rsid w:val="00B93510"/>
    <w:rsid w:val="00B93E33"/>
    <w:rsid w:val="00B94CBF"/>
    <w:rsid w:val="00B954F3"/>
    <w:rsid w:val="00B95BCD"/>
    <w:rsid w:val="00B95CDC"/>
    <w:rsid w:val="00B95CE5"/>
    <w:rsid w:val="00BA0D0B"/>
    <w:rsid w:val="00BA1948"/>
    <w:rsid w:val="00BA4F32"/>
    <w:rsid w:val="00BA787C"/>
    <w:rsid w:val="00BB06AB"/>
    <w:rsid w:val="00BB375D"/>
    <w:rsid w:val="00BB49A0"/>
    <w:rsid w:val="00BB515F"/>
    <w:rsid w:val="00BB532B"/>
    <w:rsid w:val="00BB6E7E"/>
    <w:rsid w:val="00BC1FA5"/>
    <w:rsid w:val="00BC28D1"/>
    <w:rsid w:val="00BC2C0C"/>
    <w:rsid w:val="00BC4C9F"/>
    <w:rsid w:val="00BC732A"/>
    <w:rsid w:val="00BC758B"/>
    <w:rsid w:val="00BD0476"/>
    <w:rsid w:val="00BD20A9"/>
    <w:rsid w:val="00BD2EAC"/>
    <w:rsid w:val="00BD36F8"/>
    <w:rsid w:val="00BD4BB3"/>
    <w:rsid w:val="00BD54FB"/>
    <w:rsid w:val="00BE17C6"/>
    <w:rsid w:val="00BE2BD3"/>
    <w:rsid w:val="00BE4865"/>
    <w:rsid w:val="00BE5595"/>
    <w:rsid w:val="00BE69BF"/>
    <w:rsid w:val="00BE725A"/>
    <w:rsid w:val="00BE7430"/>
    <w:rsid w:val="00BE7B48"/>
    <w:rsid w:val="00BF0F8A"/>
    <w:rsid w:val="00BF3381"/>
    <w:rsid w:val="00BF4559"/>
    <w:rsid w:val="00BF4DC2"/>
    <w:rsid w:val="00BF5E60"/>
    <w:rsid w:val="00C029D2"/>
    <w:rsid w:val="00C02B15"/>
    <w:rsid w:val="00C10FCF"/>
    <w:rsid w:val="00C12FBA"/>
    <w:rsid w:val="00C16B4B"/>
    <w:rsid w:val="00C17427"/>
    <w:rsid w:val="00C20C00"/>
    <w:rsid w:val="00C210FD"/>
    <w:rsid w:val="00C21BBF"/>
    <w:rsid w:val="00C22901"/>
    <w:rsid w:val="00C22FB1"/>
    <w:rsid w:val="00C25238"/>
    <w:rsid w:val="00C27C34"/>
    <w:rsid w:val="00C305F2"/>
    <w:rsid w:val="00C3345C"/>
    <w:rsid w:val="00C340A7"/>
    <w:rsid w:val="00C34181"/>
    <w:rsid w:val="00C36461"/>
    <w:rsid w:val="00C407E5"/>
    <w:rsid w:val="00C42DAC"/>
    <w:rsid w:val="00C4342B"/>
    <w:rsid w:val="00C43AA2"/>
    <w:rsid w:val="00C459A9"/>
    <w:rsid w:val="00C47A71"/>
    <w:rsid w:val="00C502A5"/>
    <w:rsid w:val="00C51CEA"/>
    <w:rsid w:val="00C521F7"/>
    <w:rsid w:val="00C52800"/>
    <w:rsid w:val="00C53008"/>
    <w:rsid w:val="00C55151"/>
    <w:rsid w:val="00C5575D"/>
    <w:rsid w:val="00C558FF"/>
    <w:rsid w:val="00C55A39"/>
    <w:rsid w:val="00C560FA"/>
    <w:rsid w:val="00C565BF"/>
    <w:rsid w:val="00C57FF9"/>
    <w:rsid w:val="00C64434"/>
    <w:rsid w:val="00C64B27"/>
    <w:rsid w:val="00C7063C"/>
    <w:rsid w:val="00C71080"/>
    <w:rsid w:val="00C729F8"/>
    <w:rsid w:val="00C73C57"/>
    <w:rsid w:val="00C746D9"/>
    <w:rsid w:val="00C74D43"/>
    <w:rsid w:val="00C75CA7"/>
    <w:rsid w:val="00C7719D"/>
    <w:rsid w:val="00C776C8"/>
    <w:rsid w:val="00C86FC6"/>
    <w:rsid w:val="00C87805"/>
    <w:rsid w:val="00C901BB"/>
    <w:rsid w:val="00C90CD3"/>
    <w:rsid w:val="00C90DB3"/>
    <w:rsid w:val="00C90F19"/>
    <w:rsid w:val="00C92552"/>
    <w:rsid w:val="00C92EFF"/>
    <w:rsid w:val="00C93F1B"/>
    <w:rsid w:val="00C95035"/>
    <w:rsid w:val="00C976D1"/>
    <w:rsid w:val="00CA308F"/>
    <w:rsid w:val="00CA71D4"/>
    <w:rsid w:val="00CB33C2"/>
    <w:rsid w:val="00CB3B22"/>
    <w:rsid w:val="00CB5D29"/>
    <w:rsid w:val="00CB675A"/>
    <w:rsid w:val="00CB782B"/>
    <w:rsid w:val="00CC0E77"/>
    <w:rsid w:val="00CC1541"/>
    <w:rsid w:val="00CC2092"/>
    <w:rsid w:val="00CC285C"/>
    <w:rsid w:val="00CC46CD"/>
    <w:rsid w:val="00CC5E76"/>
    <w:rsid w:val="00CC7D0E"/>
    <w:rsid w:val="00CD3A5D"/>
    <w:rsid w:val="00CD5FD4"/>
    <w:rsid w:val="00CE0DCE"/>
    <w:rsid w:val="00CE1BC9"/>
    <w:rsid w:val="00CE33C1"/>
    <w:rsid w:val="00CE4DD6"/>
    <w:rsid w:val="00CE76FF"/>
    <w:rsid w:val="00CF4012"/>
    <w:rsid w:val="00CF44D5"/>
    <w:rsid w:val="00D00A76"/>
    <w:rsid w:val="00D01F75"/>
    <w:rsid w:val="00D02BC6"/>
    <w:rsid w:val="00D0310D"/>
    <w:rsid w:val="00D03A5B"/>
    <w:rsid w:val="00D05803"/>
    <w:rsid w:val="00D05C7C"/>
    <w:rsid w:val="00D06123"/>
    <w:rsid w:val="00D06906"/>
    <w:rsid w:val="00D07742"/>
    <w:rsid w:val="00D1010C"/>
    <w:rsid w:val="00D10E6C"/>
    <w:rsid w:val="00D1276A"/>
    <w:rsid w:val="00D14DB7"/>
    <w:rsid w:val="00D15ED5"/>
    <w:rsid w:val="00D200AB"/>
    <w:rsid w:val="00D31CD5"/>
    <w:rsid w:val="00D33038"/>
    <w:rsid w:val="00D348F7"/>
    <w:rsid w:val="00D36EF4"/>
    <w:rsid w:val="00D371D0"/>
    <w:rsid w:val="00D4062A"/>
    <w:rsid w:val="00D40BC3"/>
    <w:rsid w:val="00D434EC"/>
    <w:rsid w:val="00D44391"/>
    <w:rsid w:val="00D44E9D"/>
    <w:rsid w:val="00D45B07"/>
    <w:rsid w:val="00D46DE6"/>
    <w:rsid w:val="00D472A7"/>
    <w:rsid w:val="00D5015D"/>
    <w:rsid w:val="00D51515"/>
    <w:rsid w:val="00D61A0E"/>
    <w:rsid w:val="00D61A7B"/>
    <w:rsid w:val="00D630A7"/>
    <w:rsid w:val="00D63A5C"/>
    <w:rsid w:val="00D70DAA"/>
    <w:rsid w:val="00D71CF9"/>
    <w:rsid w:val="00D72D9A"/>
    <w:rsid w:val="00D73437"/>
    <w:rsid w:val="00D80405"/>
    <w:rsid w:val="00D80F9D"/>
    <w:rsid w:val="00D81BAE"/>
    <w:rsid w:val="00D833A0"/>
    <w:rsid w:val="00D84B17"/>
    <w:rsid w:val="00D8507D"/>
    <w:rsid w:val="00D86735"/>
    <w:rsid w:val="00D8718E"/>
    <w:rsid w:val="00D871FB"/>
    <w:rsid w:val="00D90C9D"/>
    <w:rsid w:val="00D90E57"/>
    <w:rsid w:val="00D91910"/>
    <w:rsid w:val="00D91AA8"/>
    <w:rsid w:val="00D944A6"/>
    <w:rsid w:val="00D968AE"/>
    <w:rsid w:val="00D96FC3"/>
    <w:rsid w:val="00D976BA"/>
    <w:rsid w:val="00DA0839"/>
    <w:rsid w:val="00DA12C3"/>
    <w:rsid w:val="00DA22B5"/>
    <w:rsid w:val="00DA495D"/>
    <w:rsid w:val="00DA7BA0"/>
    <w:rsid w:val="00DB469A"/>
    <w:rsid w:val="00DB4F4D"/>
    <w:rsid w:val="00DB52C3"/>
    <w:rsid w:val="00DB5DA3"/>
    <w:rsid w:val="00DB78A4"/>
    <w:rsid w:val="00DB7E5F"/>
    <w:rsid w:val="00DC10B0"/>
    <w:rsid w:val="00DC1594"/>
    <w:rsid w:val="00DC16CF"/>
    <w:rsid w:val="00DC2B45"/>
    <w:rsid w:val="00DC4BCD"/>
    <w:rsid w:val="00DC7ABC"/>
    <w:rsid w:val="00DD1107"/>
    <w:rsid w:val="00DD178F"/>
    <w:rsid w:val="00DD1FE4"/>
    <w:rsid w:val="00DD5703"/>
    <w:rsid w:val="00DE0583"/>
    <w:rsid w:val="00DE2966"/>
    <w:rsid w:val="00DE339D"/>
    <w:rsid w:val="00DE4107"/>
    <w:rsid w:val="00DF04ED"/>
    <w:rsid w:val="00DF0B5E"/>
    <w:rsid w:val="00DF0ED5"/>
    <w:rsid w:val="00DF5502"/>
    <w:rsid w:val="00DF72D9"/>
    <w:rsid w:val="00DF75DC"/>
    <w:rsid w:val="00DF7EC8"/>
    <w:rsid w:val="00E00B32"/>
    <w:rsid w:val="00E0240D"/>
    <w:rsid w:val="00E028ED"/>
    <w:rsid w:val="00E10339"/>
    <w:rsid w:val="00E104F6"/>
    <w:rsid w:val="00E10748"/>
    <w:rsid w:val="00E11AC4"/>
    <w:rsid w:val="00E12F57"/>
    <w:rsid w:val="00E133FC"/>
    <w:rsid w:val="00E14282"/>
    <w:rsid w:val="00E156F2"/>
    <w:rsid w:val="00E1792D"/>
    <w:rsid w:val="00E2250E"/>
    <w:rsid w:val="00E24BF5"/>
    <w:rsid w:val="00E27DDF"/>
    <w:rsid w:val="00E27E01"/>
    <w:rsid w:val="00E30A90"/>
    <w:rsid w:val="00E32DBA"/>
    <w:rsid w:val="00E34BAC"/>
    <w:rsid w:val="00E42F79"/>
    <w:rsid w:val="00E43469"/>
    <w:rsid w:val="00E43535"/>
    <w:rsid w:val="00E43A0F"/>
    <w:rsid w:val="00E445DA"/>
    <w:rsid w:val="00E45379"/>
    <w:rsid w:val="00E50B22"/>
    <w:rsid w:val="00E51E18"/>
    <w:rsid w:val="00E533BD"/>
    <w:rsid w:val="00E53706"/>
    <w:rsid w:val="00E57CE2"/>
    <w:rsid w:val="00E600C3"/>
    <w:rsid w:val="00E617BD"/>
    <w:rsid w:val="00E61E05"/>
    <w:rsid w:val="00E64BD9"/>
    <w:rsid w:val="00E65A78"/>
    <w:rsid w:val="00E66404"/>
    <w:rsid w:val="00E670C7"/>
    <w:rsid w:val="00E67E50"/>
    <w:rsid w:val="00E705B4"/>
    <w:rsid w:val="00E72195"/>
    <w:rsid w:val="00E72263"/>
    <w:rsid w:val="00E72967"/>
    <w:rsid w:val="00E8155D"/>
    <w:rsid w:val="00E83D1F"/>
    <w:rsid w:val="00E84364"/>
    <w:rsid w:val="00E8554D"/>
    <w:rsid w:val="00E85CC0"/>
    <w:rsid w:val="00E91616"/>
    <w:rsid w:val="00E91E12"/>
    <w:rsid w:val="00E92448"/>
    <w:rsid w:val="00EA0E04"/>
    <w:rsid w:val="00EA0E12"/>
    <w:rsid w:val="00EA220D"/>
    <w:rsid w:val="00EA3156"/>
    <w:rsid w:val="00EA40A2"/>
    <w:rsid w:val="00EA4CD5"/>
    <w:rsid w:val="00EA5D2C"/>
    <w:rsid w:val="00EA5D8E"/>
    <w:rsid w:val="00EA7463"/>
    <w:rsid w:val="00EB07CF"/>
    <w:rsid w:val="00EB3B88"/>
    <w:rsid w:val="00EC0C14"/>
    <w:rsid w:val="00EC39BA"/>
    <w:rsid w:val="00EC3B8F"/>
    <w:rsid w:val="00EC4A46"/>
    <w:rsid w:val="00EC5CA0"/>
    <w:rsid w:val="00EC6244"/>
    <w:rsid w:val="00EC7372"/>
    <w:rsid w:val="00ED040E"/>
    <w:rsid w:val="00ED154F"/>
    <w:rsid w:val="00ED19D1"/>
    <w:rsid w:val="00ED2EF5"/>
    <w:rsid w:val="00ED303B"/>
    <w:rsid w:val="00ED30E8"/>
    <w:rsid w:val="00ED3B69"/>
    <w:rsid w:val="00ED4C2D"/>
    <w:rsid w:val="00ED6481"/>
    <w:rsid w:val="00ED6CD1"/>
    <w:rsid w:val="00EE008C"/>
    <w:rsid w:val="00EE5F2E"/>
    <w:rsid w:val="00EF1BA3"/>
    <w:rsid w:val="00EF4A64"/>
    <w:rsid w:val="00F00B7D"/>
    <w:rsid w:val="00F02171"/>
    <w:rsid w:val="00F024EE"/>
    <w:rsid w:val="00F033EF"/>
    <w:rsid w:val="00F04874"/>
    <w:rsid w:val="00F061A6"/>
    <w:rsid w:val="00F07102"/>
    <w:rsid w:val="00F0710C"/>
    <w:rsid w:val="00F11A37"/>
    <w:rsid w:val="00F11AB3"/>
    <w:rsid w:val="00F14017"/>
    <w:rsid w:val="00F1684C"/>
    <w:rsid w:val="00F20633"/>
    <w:rsid w:val="00F20844"/>
    <w:rsid w:val="00F235BF"/>
    <w:rsid w:val="00F256F5"/>
    <w:rsid w:val="00F25CFE"/>
    <w:rsid w:val="00F32510"/>
    <w:rsid w:val="00F35243"/>
    <w:rsid w:val="00F43113"/>
    <w:rsid w:val="00F43E6E"/>
    <w:rsid w:val="00F43EBF"/>
    <w:rsid w:val="00F44423"/>
    <w:rsid w:val="00F444DC"/>
    <w:rsid w:val="00F45D4E"/>
    <w:rsid w:val="00F51236"/>
    <w:rsid w:val="00F51242"/>
    <w:rsid w:val="00F5217B"/>
    <w:rsid w:val="00F5374C"/>
    <w:rsid w:val="00F541B8"/>
    <w:rsid w:val="00F56CC2"/>
    <w:rsid w:val="00F56E7C"/>
    <w:rsid w:val="00F60142"/>
    <w:rsid w:val="00F60BC0"/>
    <w:rsid w:val="00F61B7F"/>
    <w:rsid w:val="00F62370"/>
    <w:rsid w:val="00F628D3"/>
    <w:rsid w:val="00F62DF9"/>
    <w:rsid w:val="00F6497E"/>
    <w:rsid w:val="00F64B12"/>
    <w:rsid w:val="00F677E2"/>
    <w:rsid w:val="00F67BDF"/>
    <w:rsid w:val="00F72A5B"/>
    <w:rsid w:val="00F73751"/>
    <w:rsid w:val="00F74156"/>
    <w:rsid w:val="00F7443C"/>
    <w:rsid w:val="00F75EAD"/>
    <w:rsid w:val="00F77154"/>
    <w:rsid w:val="00F80F33"/>
    <w:rsid w:val="00F846D6"/>
    <w:rsid w:val="00F851FE"/>
    <w:rsid w:val="00F8579D"/>
    <w:rsid w:val="00F86336"/>
    <w:rsid w:val="00F9173A"/>
    <w:rsid w:val="00F91800"/>
    <w:rsid w:val="00F91AA7"/>
    <w:rsid w:val="00F941F8"/>
    <w:rsid w:val="00F94E99"/>
    <w:rsid w:val="00F95B9C"/>
    <w:rsid w:val="00F9650A"/>
    <w:rsid w:val="00F967C7"/>
    <w:rsid w:val="00FA0437"/>
    <w:rsid w:val="00FA233F"/>
    <w:rsid w:val="00FA2583"/>
    <w:rsid w:val="00FA2E05"/>
    <w:rsid w:val="00FA7D57"/>
    <w:rsid w:val="00FB0008"/>
    <w:rsid w:val="00FB071C"/>
    <w:rsid w:val="00FB3EA0"/>
    <w:rsid w:val="00FB451A"/>
    <w:rsid w:val="00FB55F4"/>
    <w:rsid w:val="00FB6164"/>
    <w:rsid w:val="00FB7140"/>
    <w:rsid w:val="00FB79BA"/>
    <w:rsid w:val="00FC0B63"/>
    <w:rsid w:val="00FC2209"/>
    <w:rsid w:val="00FC3BB6"/>
    <w:rsid w:val="00FC7311"/>
    <w:rsid w:val="00FC7531"/>
    <w:rsid w:val="00FC7977"/>
    <w:rsid w:val="00FC7EAA"/>
    <w:rsid w:val="00FC7F02"/>
    <w:rsid w:val="00FD2B88"/>
    <w:rsid w:val="00FD4FA5"/>
    <w:rsid w:val="00FD5166"/>
    <w:rsid w:val="00FD6F40"/>
    <w:rsid w:val="00FE5CF1"/>
    <w:rsid w:val="00FE6702"/>
    <w:rsid w:val="00FF2800"/>
    <w:rsid w:val="00FF30AC"/>
    <w:rsid w:val="00FF456A"/>
    <w:rsid w:val="00FF46FD"/>
    <w:rsid w:val="00FF6204"/>
    <w:rsid w:val="00FF634D"/>
    <w:rsid w:val="00FF7F6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0BC4A2"/>
  <w15:docId w15:val="{AE0AC1BB-9A05-42C4-884C-477498A1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40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5082466">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106316487">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rep.edomex.gob.mx/spp2018/doc/Catalogos/Manual%20Anteproyecto%20de%20Presupuesto%202018.pdf" TargetMode="External"/><Relationship Id="rId18" Type="http://schemas.openxmlformats.org/officeDocument/2006/relationships/hyperlink" Target="http://legislacion.edomex.gob.mx/sites/legislacion.edomex.gob.mx/files/files/vigentes/jul053.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08/dic013.pdf"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legislacion.edomex.gob.mx/sites/legislacion.edomex.gob.mx/files/files/pdf/gct/2017/oct24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rep.edomex.gob.mx/spp2018/doc/Catalogos/05%20Catalogo%20Unidades%20Responsables,%20Ejecutoras%20y%20Centros%20de%20Costo%202018.pdf"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88209-16B7-4C68-BCA5-F3C27A34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11359</Words>
  <Characters>62479</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José Fernando Lobato</cp:lastModifiedBy>
  <cp:revision>2</cp:revision>
  <cp:lastPrinted>2018-12-10T22:42:00Z</cp:lastPrinted>
  <dcterms:created xsi:type="dcterms:W3CDTF">2019-08-23T15:28:00Z</dcterms:created>
  <dcterms:modified xsi:type="dcterms:W3CDTF">2019-08-23T15:28:00Z</dcterms:modified>
</cp:coreProperties>
</file>