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52034C">
        <w:rPr>
          <w:rFonts w:ascii="Palatino Linotype" w:hAnsi="Palatino Linotype" w:cs="Arial"/>
          <w:b/>
        </w:rPr>
        <w:t>CUADRAGÉSIMA</w:t>
      </w:r>
      <w:r>
        <w:rPr>
          <w:rFonts w:ascii="Palatino Linotype" w:hAnsi="Palatino Linotype" w:cs="Arial"/>
          <w:b/>
        </w:rPr>
        <w:t xml:space="preserve"> SESIÓN ORDINARIA DE</w:t>
      </w:r>
      <w:r w:rsidR="005B4F98">
        <w:rPr>
          <w:rFonts w:ascii="Palatino Linotype" w:hAnsi="Palatino Linotype" w:cs="Arial"/>
          <w:b/>
        </w:rPr>
        <w:t xml:space="preserve"> </w:t>
      </w:r>
      <w:r w:rsidR="0052034C">
        <w:rPr>
          <w:rFonts w:ascii="Palatino Linotype" w:hAnsi="Palatino Linotype" w:cs="Arial"/>
          <w:b/>
        </w:rPr>
        <w:t>TREINTA</w:t>
      </w:r>
      <w:r w:rsidR="00D855D2">
        <w:rPr>
          <w:rFonts w:ascii="Palatino Linotype" w:hAnsi="Palatino Linotype" w:cs="Arial"/>
          <w:b/>
        </w:rPr>
        <w:t xml:space="preserve"> DE OCTUBRE</w:t>
      </w:r>
      <w:r w:rsidR="00BD1BCE">
        <w:rPr>
          <w:rFonts w:ascii="Palatino Linotype" w:hAnsi="Palatino Linotype" w:cs="Arial"/>
          <w:b/>
        </w:rPr>
        <w:t xml:space="preserve"> DE DOS MIL DIECINUEVE</w:t>
      </w:r>
      <w:r w:rsidRPr="0007653D">
        <w:rPr>
          <w:rFonts w:ascii="Palatino Linotype" w:hAnsi="Palatino Linotype" w:cs="Arial"/>
          <w:b/>
        </w:rPr>
        <w:t xml:space="preserve">, EN </w:t>
      </w:r>
      <w:r w:rsidR="00D855D2">
        <w:rPr>
          <w:rFonts w:ascii="Palatino Linotype" w:hAnsi="Palatino Linotype" w:cs="Arial"/>
          <w:b/>
        </w:rPr>
        <w:t>LOS</w:t>
      </w:r>
      <w:r>
        <w:rPr>
          <w:rFonts w:ascii="Palatino Linotype" w:hAnsi="Palatino Linotype" w:cs="Arial"/>
          <w:b/>
        </w:rPr>
        <w:t xml:space="preserve"> </w:t>
      </w:r>
      <w:r w:rsidRPr="0007653D">
        <w:rPr>
          <w:rFonts w:ascii="Palatino Linotype" w:hAnsi="Palatino Linotype" w:cs="Arial"/>
          <w:b/>
        </w:rPr>
        <w:t>RECURSO</w:t>
      </w:r>
      <w:r w:rsidR="00D855D2">
        <w:rPr>
          <w:rFonts w:ascii="Palatino Linotype" w:hAnsi="Palatino Linotype" w:cs="Arial"/>
          <w:b/>
        </w:rPr>
        <w:t>S</w:t>
      </w:r>
      <w:r w:rsidRPr="0007653D">
        <w:rPr>
          <w:rFonts w:ascii="Palatino Linotype" w:hAnsi="Palatino Linotype" w:cs="Arial"/>
          <w:b/>
        </w:rPr>
        <w:t xml:space="preserve"> DE REVISIÓN</w:t>
      </w:r>
      <w:r w:rsidR="00D855D2">
        <w:rPr>
          <w:rFonts w:ascii="Palatino Linotype" w:hAnsi="Palatino Linotype" w:cs="Arial"/>
          <w:b/>
        </w:rPr>
        <w:t xml:space="preserve"> ACUMULADOS</w:t>
      </w:r>
      <w:r w:rsidRPr="0007653D">
        <w:rPr>
          <w:rFonts w:ascii="Palatino Linotype" w:hAnsi="Palatino Linotype" w:cs="Arial"/>
          <w:b/>
        </w:rPr>
        <w:t xml:space="preserve"> </w:t>
      </w:r>
      <w:r w:rsidR="0052034C" w:rsidRPr="002976CD">
        <w:rPr>
          <w:rFonts w:ascii="Palatino Linotype" w:hAnsi="Palatino Linotype" w:cs="Arial"/>
          <w:b/>
        </w:rPr>
        <w:t xml:space="preserve">05554/INFOEM/IP/RR/2019, 05555/INFOEM/IP/RR/2019 </w:t>
      </w:r>
      <w:r w:rsidR="00E24B6E" w:rsidRPr="002976CD">
        <w:rPr>
          <w:rFonts w:ascii="Palatino Linotype" w:hAnsi="Palatino Linotype" w:cs="Arial"/>
          <w:b/>
        </w:rPr>
        <w:t xml:space="preserve">Y </w:t>
      </w:r>
      <w:r w:rsidR="0052034C" w:rsidRPr="002976CD">
        <w:rPr>
          <w:rFonts w:ascii="Palatino Linotype" w:hAnsi="Palatino Linotype" w:cs="Arial"/>
          <w:b/>
        </w:rPr>
        <w:t>05556/INFOEM/IP/RR/2019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D855D2">
        <w:rPr>
          <w:rFonts w:ascii="Palatino Linotype" w:hAnsi="Palatino Linotype" w:cs="Arial"/>
        </w:rPr>
        <w:t>o de la resolución dictada en los</w:t>
      </w:r>
      <w:r w:rsidRPr="00E42755">
        <w:rPr>
          <w:rFonts w:ascii="Palatino Linotype" w:hAnsi="Palatino Linotype" w:cs="Arial"/>
        </w:rPr>
        <w:t xml:space="preserve"> recurso</w:t>
      </w:r>
      <w:r w:rsidR="00D855D2">
        <w:rPr>
          <w:rFonts w:ascii="Palatino Linotype" w:hAnsi="Palatino Linotype" w:cs="Arial"/>
        </w:rPr>
        <w:t>s</w:t>
      </w:r>
      <w:r w:rsidRPr="00E42755">
        <w:rPr>
          <w:rFonts w:ascii="Palatino Linotype" w:hAnsi="Palatino Linotype" w:cs="Arial"/>
        </w:rPr>
        <w:t xml:space="preserve"> de revisión</w:t>
      </w:r>
      <w:r w:rsidR="00D855D2">
        <w:rPr>
          <w:rFonts w:ascii="Palatino Linotype" w:hAnsi="Palatino Linotype" w:cs="Arial"/>
        </w:rPr>
        <w:t xml:space="preserve"> acumulados</w:t>
      </w:r>
      <w:r w:rsidRPr="00E42755">
        <w:rPr>
          <w:rFonts w:ascii="Palatino Linotype" w:hAnsi="Palatino Linotype" w:cs="Arial"/>
        </w:rPr>
        <w:t xml:space="preserve"> </w:t>
      </w:r>
      <w:r w:rsidR="0052034C" w:rsidRPr="002976CD">
        <w:rPr>
          <w:rFonts w:ascii="Palatino Linotype" w:hAnsi="Palatino Linotype" w:cs="Arial"/>
          <w:b/>
        </w:rPr>
        <w:t>05554/INFOEM/IP/RR/2019, 05555/INFOEM/IP/RR/2019  y 05556/INFOEM/IP/RR/2019</w:t>
      </w:r>
      <w:r w:rsidR="0052034C">
        <w:rPr>
          <w:rFonts w:ascii="Palatino Linotype" w:hAnsi="Palatino Linotype" w:cs="Arial"/>
          <w:b/>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52034C">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D855D2">
        <w:rPr>
          <w:rFonts w:ascii="Palatino Linotype" w:hAnsi="Palatino Linotype"/>
        </w:rPr>
        <w:t>CUARTO</w:t>
      </w:r>
      <w:r w:rsidRPr="00D93A88">
        <w:rPr>
          <w:rFonts w:ascii="Palatino Linotype" w:hAnsi="Palatino Linotype"/>
        </w:rPr>
        <w:t>.</w:t>
      </w:r>
    </w:p>
    <w:p w:rsidR="004D34A9" w:rsidRDefault="00F7009C" w:rsidP="00EC5188">
      <w:pPr>
        <w:spacing w:before="100" w:beforeAutospacing="1" w:after="100" w:afterAutospacing="1" w:line="360" w:lineRule="auto"/>
        <w:ind w:right="49"/>
        <w:jc w:val="both"/>
        <w:rPr>
          <w:rFonts w:ascii="Palatino Linotype" w:hAnsi="Palatino Linotype"/>
        </w:rPr>
      </w:pPr>
      <w:r>
        <w:rPr>
          <w:rFonts w:ascii="Palatino Linotype" w:hAnsi="Palatino Linotype"/>
        </w:rPr>
        <w:lastRenderedPageBreak/>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52034C">
        <w:rPr>
          <w:rFonts w:ascii="Palatino Linotype" w:hAnsi="Palatino Linotype"/>
        </w:rPr>
        <w:t>l</w:t>
      </w:r>
      <w:r w:rsidR="00BD1BCE">
        <w:rPr>
          <w:rFonts w:ascii="Palatino Linotype" w:hAnsi="Palatino Linotype"/>
        </w:rPr>
        <w:t xml:space="preserve"> </w:t>
      </w:r>
      <w:r w:rsidR="0052034C" w:rsidRPr="002976CD">
        <w:rPr>
          <w:rFonts w:ascii="Palatino Linotype" w:hAnsi="Palatino Linotype" w:cs="Arial"/>
          <w:b/>
        </w:rPr>
        <w:t>Ayuntamiento de Cuautitlán Izcalli</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6739B1">
        <w:rPr>
          <w:rFonts w:ascii="Palatino Linotype" w:hAnsi="Palatino Linotype"/>
        </w:rPr>
        <w:t>la siguiente información:</w:t>
      </w:r>
    </w:p>
    <w:p w:rsidR="0052034C" w:rsidRPr="0052034C" w:rsidRDefault="0052034C" w:rsidP="0052034C">
      <w:pPr>
        <w:spacing w:before="240" w:after="240"/>
        <w:ind w:left="709" w:right="708"/>
        <w:jc w:val="both"/>
        <w:rPr>
          <w:rFonts w:ascii="Palatino Linotype" w:hAnsi="Palatino Linotype"/>
          <w:i/>
        </w:rPr>
      </w:pPr>
      <w:r w:rsidRPr="0052034C">
        <w:rPr>
          <w:rFonts w:ascii="Palatino Linotype" w:hAnsi="Palatino Linotype"/>
          <w:i/>
        </w:rPr>
        <w:t xml:space="preserve">1.  Solicitud de información 00422/CUAUTIZC/IP/2019: El análisis, estudio o símil por el que se determinó la compra de las 90 patrullas o símil del 2019. </w:t>
      </w:r>
    </w:p>
    <w:p w:rsidR="0052034C" w:rsidRPr="0052034C" w:rsidRDefault="0052034C" w:rsidP="0052034C">
      <w:pPr>
        <w:spacing w:before="240" w:after="240"/>
        <w:ind w:left="709" w:right="708"/>
        <w:jc w:val="both"/>
        <w:rPr>
          <w:rFonts w:ascii="Palatino Linotype" w:hAnsi="Palatino Linotype"/>
          <w:i/>
        </w:rPr>
      </w:pPr>
      <w:r w:rsidRPr="0052034C">
        <w:rPr>
          <w:rFonts w:ascii="Palatino Linotype" w:hAnsi="Palatino Linotype"/>
          <w:i/>
        </w:rPr>
        <w:t xml:space="preserve">2. Solicitud de información 00421/CUAUTIZC/IP/2019: Los números de serie del motor, el número de serie, la tarjeta de circulación en versión pública y la placa o símil de reconocimiento rotulado en los 90 vehículos (patrullas o símil) que ha adquirido el municipio en el año 2019. </w:t>
      </w:r>
    </w:p>
    <w:p w:rsidR="00D855D2" w:rsidRPr="00D855D2" w:rsidRDefault="0052034C" w:rsidP="0052034C">
      <w:pPr>
        <w:spacing w:before="100" w:beforeAutospacing="1" w:after="100" w:afterAutospacing="1"/>
        <w:ind w:left="709" w:right="708"/>
        <w:jc w:val="both"/>
        <w:rPr>
          <w:rFonts w:ascii="Palatino Linotype" w:eastAsia="MS Mincho" w:hAnsi="Palatino Linotype" w:cstheme="majorBidi"/>
          <w:i/>
          <w:sz w:val="22"/>
          <w:szCs w:val="22"/>
        </w:rPr>
      </w:pPr>
      <w:r w:rsidRPr="0052034C">
        <w:rPr>
          <w:rFonts w:ascii="Palatino Linotype" w:hAnsi="Palatino Linotype"/>
          <w:i/>
        </w:rPr>
        <w:t>3. Solicitud de información 00415/CUAUTIZC/IP/2019: Informe qué Dirección llevo a cabo la compra de las patrullas. Derivado de la respuesta,  entregue en versión pública todos los oficios generados en ésta Dirección durante el año 2019, así como las respuestas de las áreas que hayan tenido como tema la compra de las patrullas durante el año 2019.</w:t>
      </w:r>
    </w:p>
    <w:p w:rsidR="00990B21" w:rsidRDefault="00F7009C" w:rsidP="00E82989">
      <w:pPr>
        <w:spacing w:before="100" w:beforeAutospacing="1" w:after="100" w:afterAutospacing="1" w:line="360" w:lineRule="auto"/>
        <w:jc w:val="both"/>
        <w:rPr>
          <w:rFonts w:ascii="Palatino Linotype" w:eastAsia="MS Mincho" w:hAnsi="Palatino Linotype" w:cstheme="majorBidi"/>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D855D2">
        <w:rPr>
          <w:rFonts w:ascii="Palatino Linotype" w:hAnsi="Palatino Linotype" w:cs="Arial"/>
        </w:rPr>
        <w:t>mediante respuesta</w:t>
      </w:r>
      <w:r w:rsidR="000C2420">
        <w:rPr>
          <w:rFonts w:ascii="Palatino Linotype" w:hAnsi="Palatino Linotype" w:cs="Arial"/>
        </w:rPr>
        <w:t>s</w:t>
      </w:r>
      <w:r w:rsidR="00D855D2">
        <w:rPr>
          <w:rFonts w:ascii="Palatino Linotype" w:hAnsi="Palatino Linotype" w:cs="Arial"/>
        </w:rPr>
        <w:t xml:space="preserve"> </w:t>
      </w:r>
      <w:r w:rsidR="00D855D2" w:rsidRPr="00D855D2">
        <w:rPr>
          <w:rFonts w:ascii="Palatino Linotype" w:hAnsi="Palatino Linotype" w:cs="Arial"/>
        </w:rPr>
        <w:t xml:space="preserve">adjuntó </w:t>
      </w:r>
      <w:r w:rsidR="0052034C">
        <w:rPr>
          <w:rFonts w:ascii="Palatino Linotype" w:hAnsi="Palatino Linotype" w:cs="Arial"/>
        </w:rPr>
        <w:t>diversos archivos electrónicos, mediante los cuales pretendía satisfacer el derecho de acceso a la información pública accionado por el particular.</w:t>
      </w:r>
    </w:p>
    <w:p w:rsidR="00754E11" w:rsidRPr="00FB1347" w:rsidRDefault="00D855D2"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Inconforme con la</w:t>
      </w:r>
      <w:r w:rsidR="0052034C">
        <w:rPr>
          <w:rFonts w:ascii="Palatino Linotype" w:hAnsi="Palatino Linotype" w:cs="Arial"/>
        </w:rPr>
        <w:t>s</w:t>
      </w:r>
      <w:r w:rsidR="006739B1">
        <w:rPr>
          <w:rFonts w:ascii="Palatino Linotype" w:hAnsi="Palatino Linotype" w:cs="Arial"/>
        </w:rPr>
        <w:t xml:space="preserve"> </w:t>
      </w:r>
      <w:r w:rsidR="000D1731" w:rsidRPr="006B517F">
        <w:rPr>
          <w:rFonts w:ascii="Palatino Linotype" w:hAnsi="Palatino Linotype" w:cs="Arial"/>
        </w:rPr>
        <w:t>respuesta</w:t>
      </w:r>
      <w:r w:rsidR="0052034C">
        <w:rPr>
          <w:rFonts w:ascii="Palatino Linotype" w:hAnsi="Palatino Linotype" w:cs="Arial"/>
        </w:rPr>
        <w:t>s</w:t>
      </w:r>
      <w:r w:rsidR="000D1731" w:rsidRPr="006B517F">
        <w:rPr>
          <w:rFonts w:ascii="Palatino Linotype" w:hAnsi="Palatino Linotype" w:cs="Arial"/>
        </w:rPr>
        <w:t xml:space="preserve">, </w:t>
      </w:r>
      <w:r w:rsidR="000D1731" w:rsidRPr="006B517F">
        <w:rPr>
          <w:rFonts w:ascii="Palatino Linotype" w:hAnsi="Palatino Linotype" w:cs="Arial"/>
          <w:b/>
        </w:rPr>
        <w:t>EL RECURRENTE</w:t>
      </w:r>
      <w:r w:rsidR="000C2420">
        <w:rPr>
          <w:rFonts w:ascii="Palatino Linotype" w:hAnsi="Palatino Linotype" w:cs="Arial"/>
        </w:rPr>
        <w:t>, interpuso los</w:t>
      </w:r>
      <w:r w:rsidR="000D1731" w:rsidRPr="006B517F">
        <w:rPr>
          <w:rFonts w:ascii="Palatino Linotype" w:hAnsi="Palatino Linotype" w:cs="Arial"/>
        </w:rPr>
        <w:t xml:space="preserve"> recurso</w:t>
      </w:r>
      <w:r w:rsidR="000C2420">
        <w:rPr>
          <w:rFonts w:ascii="Palatino Linotype" w:hAnsi="Palatino Linotype" w:cs="Arial"/>
        </w:rPr>
        <w:t>s</w:t>
      </w:r>
      <w:r w:rsidR="000D1731" w:rsidRPr="006B517F">
        <w:rPr>
          <w:rFonts w:ascii="Palatino Linotype" w:hAnsi="Palatino Linotype" w:cs="Arial"/>
        </w:rPr>
        <w:t xml:space="preserve">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 </w:t>
      </w:r>
      <w:r>
        <w:rPr>
          <w:rFonts w:ascii="Palatino Linotype" w:hAnsi="Palatino Linotype" w:cs="Arial"/>
        </w:rPr>
        <w:t xml:space="preserve">que </w:t>
      </w:r>
      <w:r w:rsidR="0052034C">
        <w:rPr>
          <w:rFonts w:ascii="Palatino Linotype" w:hAnsi="Palatino Linotype" w:cs="Arial"/>
        </w:rPr>
        <w:t>se le había otorgado respuestas incompletas así como incomprensibles</w:t>
      </w:r>
      <w:r w:rsidR="00990B21">
        <w:rPr>
          <w:rFonts w:ascii="Palatino Linotype" w:hAnsi="Palatino Linotype" w:cs="Arial"/>
        </w:rPr>
        <w:t>.</w:t>
      </w:r>
    </w:p>
    <w:p w:rsidR="00B8098B" w:rsidRPr="008C0A09" w:rsidRDefault="004526B8" w:rsidP="008C0A09">
      <w:pPr>
        <w:spacing w:before="100" w:beforeAutospacing="1" w:after="100" w:afterAutospacing="1" w:line="360" w:lineRule="auto"/>
        <w:jc w:val="both"/>
        <w:rPr>
          <w:rFonts w:ascii="Palatino Linotype" w:hAnsi="Palatino Linotype"/>
        </w:rPr>
      </w:pPr>
      <w:r w:rsidRPr="008C0A09">
        <w:rPr>
          <w:rFonts w:ascii="Palatino Linotype" w:hAnsi="Palatino Linotype"/>
        </w:rPr>
        <w:lastRenderedPageBreak/>
        <w:t xml:space="preserve">Así, del estudio del expediente electrónico, la Ponencia </w:t>
      </w:r>
      <w:proofErr w:type="spellStart"/>
      <w:r w:rsidRPr="008C0A09">
        <w:rPr>
          <w:rFonts w:ascii="Palatino Linotype" w:hAnsi="Palatino Linotype"/>
        </w:rPr>
        <w:t>Resolutora</w:t>
      </w:r>
      <w:proofErr w:type="spellEnd"/>
      <w:r w:rsidRPr="008C0A09">
        <w:rPr>
          <w:rFonts w:ascii="Palatino Linotype" w:hAnsi="Palatino Linotype"/>
        </w:rPr>
        <w:t xml:space="preserve"> determinó </w:t>
      </w:r>
      <w:r w:rsidR="00B8098B" w:rsidRPr="008C0A09">
        <w:rPr>
          <w:rFonts w:ascii="Palatino Linotype" w:hAnsi="Palatino Linotype"/>
          <w:b/>
        </w:rPr>
        <w:t>SOBRESEER</w:t>
      </w:r>
      <w:r w:rsidRPr="008C0A09">
        <w:rPr>
          <w:rFonts w:ascii="Palatino Linotype" w:hAnsi="Palatino Linotype"/>
        </w:rPr>
        <w:t xml:space="preserve"> </w:t>
      </w:r>
      <w:r w:rsidR="00B8098B" w:rsidRPr="008C0A09">
        <w:rPr>
          <w:rFonts w:ascii="Palatino Linotype" w:hAnsi="Palatino Linotype"/>
        </w:rPr>
        <w:t xml:space="preserve">el recurso de revisión número </w:t>
      </w:r>
      <w:r w:rsidR="00B8098B" w:rsidRPr="008C0A09">
        <w:rPr>
          <w:rFonts w:ascii="Palatino Linotype" w:hAnsi="Palatino Linotype"/>
          <w:b/>
        </w:rPr>
        <w:t>05554/INFOEM/IP/RR/2019</w:t>
      </w:r>
      <w:r w:rsidR="00B8098B" w:rsidRPr="008C0A09">
        <w:rPr>
          <w:rFonts w:ascii="Palatino Linotype" w:hAnsi="Palatino Linotype"/>
        </w:rPr>
        <w:t xml:space="preserve"> por quedarse sin materia en términos del Considerando Cuarto de la presente resolución.</w:t>
      </w:r>
    </w:p>
    <w:p w:rsidR="002D6F8B" w:rsidRPr="008C0A09" w:rsidRDefault="00B8098B" w:rsidP="008C0A09">
      <w:pPr>
        <w:spacing w:before="100" w:beforeAutospacing="1" w:after="100" w:afterAutospacing="1" w:line="360" w:lineRule="auto"/>
        <w:jc w:val="both"/>
        <w:rPr>
          <w:rFonts w:ascii="Palatino Linotype" w:hAnsi="Palatino Linotype"/>
        </w:rPr>
      </w:pPr>
      <w:r w:rsidRPr="008C0A09">
        <w:rPr>
          <w:rFonts w:ascii="Palatino Linotype" w:hAnsi="Palatino Linotype"/>
        </w:rPr>
        <w:t>Por lo que hace a los</w:t>
      </w:r>
      <w:r w:rsidRPr="008C0A09">
        <w:rPr>
          <w:rFonts w:ascii="Palatino Linotype" w:eastAsia="Arial Unicode MS" w:hAnsi="Palatino Linotype"/>
        </w:rPr>
        <w:t xml:space="preserve"> recursos de revisión </w:t>
      </w:r>
      <w:r w:rsidRPr="008C0A09">
        <w:rPr>
          <w:rFonts w:ascii="Palatino Linotype" w:hAnsi="Palatino Linotype"/>
          <w:b/>
        </w:rPr>
        <w:t>05555/INFOEM/IP/RR/2019</w:t>
      </w:r>
      <w:r w:rsidRPr="008C0A09">
        <w:rPr>
          <w:rFonts w:ascii="Palatino Linotype" w:hAnsi="Palatino Linotype"/>
        </w:rPr>
        <w:t xml:space="preserve"> y</w:t>
      </w:r>
      <w:r w:rsidR="008C0A09">
        <w:rPr>
          <w:rFonts w:ascii="Palatino Linotype" w:hAnsi="Palatino Linotype"/>
        </w:rPr>
        <w:t xml:space="preserve"> </w:t>
      </w:r>
      <w:r w:rsidRPr="008C0A09">
        <w:rPr>
          <w:rFonts w:ascii="Palatino Linotype" w:hAnsi="Palatino Linotype"/>
          <w:b/>
        </w:rPr>
        <w:t>05556/INFOEM/IP/RR/2019</w:t>
      </w:r>
      <w:r w:rsidRPr="008C0A09">
        <w:rPr>
          <w:rFonts w:ascii="Palatino Linotype" w:hAnsi="Palatino Linotype"/>
        </w:rPr>
        <w:t xml:space="preserve">, determinó </w:t>
      </w:r>
      <w:r w:rsidRPr="008C0A09">
        <w:rPr>
          <w:rFonts w:ascii="Palatino Linotype" w:hAnsi="Palatino Linotype"/>
          <w:b/>
        </w:rPr>
        <w:t>MODIFICAR</w:t>
      </w:r>
      <w:r w:rsidRPr="008C0A09">
        <w:rPr>
          <w:rFonts w:ascii="Palatino Linotype" w:hAnsi="Palatino Linotype"/>
        </w:rPr>
        <w:t xml:space="preserve"> las respuestas otorgadas por el </w:t>
      </w:r>
      <w:r w:rsidRPr="008C0A09">
        <w:rPr>
          <w:rFonts w:ascii="Palatino Linotype" w:hAnsi="Palatino Linotype"/>
          <w:b/>
        </w:rPr>
        <w:t>SUJETO OBLIGADO</w:t>
      </w:r>
      <w:r w:rsidRPr="008C0A09">
        <w:rPr>
          <w:rFonts w:ascii="Palatino Linotype" w:hAnsi="Palatino Linotype"/>
        </w:rPr>
        <w:t xml:space="preserve">, ordenándole que </w:t>
      </w:r>
      <w:r w:rsidRPr="008C0A09">
        <w:rPr>
          <w:rFonts w:ascii="Palatino Linotype" w:eastAsia="Calibri" w:hAnsi="Palatino Linotype"/>
        </w:rPr>
        <w:t xml:space="preserve">atendiera las solicitudes de información </w:t>
      </w:r>
      <w:r w:rsidRPr="008C0A09">
        <w:rPr>
          <w:rFonts w:ascii="Palatino Linotype" w:hAnsi="Palatino Linotype"/>
          <w:b/>
        </w:rPr>
        <w:t>00421/CUATIZC/IP/2019</w:t>
      </w:r>
      <w:r w:rsidRPr="008C0A09">
        <w:rPr>
          <w:rFonts w:ascii="Palatino Linotype" w:hAnsi="Palatino Linotype"/>
        </w:rPr>
        <w:t xml:space="preserve"> y </w:t>
      </w:r>
      <w:r w:rsidRPr="008C0A09">
        <w:rPr>
          <w:rFonts w:ascii="Palatino Linotype" w:hAnsi="Palatino Linotype"/>
          <w:b/>
        </w:rPr>
        <w:t>00415/CUATIZC/IP/2019</w:t>
      </w:r>
      <w:r w:rsidRPr="008C0A09">
        <w:rPr>
          <w:rFonts w:ascii="Palatino Linotype" w:hAnsi="Palatino Linotype"/>
        </w:rPr>
        <w:t xml:space="preserve"> y entregue a través del SAIMEX, la siguiente información:  </w:t>
      </w:r>
      <w:r w:rsidR="002D6F8B" w:rsidRPr="008C0A09">
        <w:rPr>
          <w:rFonts w:ascii="Palatino Linotype" w:hAnsi="Palatino Linotype"/>
        </w:rPr>
        <w:t>:</w:t>
      </w:r>
    </w:p>
    <w:p w:rsidR="00B8098B" w:rsidRPr="00E24B6E" w:rsidRDefault="00B8098B" w:rsidP="00E24B6E">
      <w:pPr>
        <w:ind w:left="851" w:right="850"/>
        <w:jc w:val="both"/>
        <w:rPr>
          <w:rFonts w:ascii="Palatino Linotype" w:hAnsi="Palatino Linotype"/>
          <w:i/>
          <w:sz w:val="22"/>
        </w:rPr>
      </w:pPr>
      <w:r w:rsidRPr="00E24B6E">
        <w:rPr>
          <w:rFonts w:ascii="Palatino Linotype" w:hAnsi="Palatino Linotype"/>
          <w:i/>
          <w:sz w:val="22"/>
        </w:rPr>
        <w:t>Respecto al recurso de revisión 05555/INFOEM/IP/RR/2019:</w:t>
      </w:r>
    </w:p>
    <w:p w:rsidR="00B8098B" w:rsidRPr="00E24B6E" w:rsidRDefault="00B8098B" w:rsidP="00E24B6E">
      <w:pPr>
        <w:ind w:left="851" w:right="850"/>
        <w:jc w:val="both"/>
        <w:rPr>
          <w:rFonts w:ascii="Palatino Linotype" w:hAnsi="Palatino Linotype"/>
          <w:i/>
          <w:sz w:val="22"/>
        </w:rPr>
      </w:pPr>
      <w:r w:rsidRPr="00E24B6E">
        <w:rPr>
          <w:rFonts w:ascii="Palatino Linotype" w:hAnsi="Palatino Linotype"/>
          <w:i/>
          <w:sz w:val="22"/>
        </w:rPr>
        <w:t xml:space="preserve">- El acuerdo de clasificación de información reservada, debidamente fundado y motivado, emitido por el Comité de Transparencia.  </w:t>
      </w:r>
    </w:p>
    <w:p w:rsidR="00B8098B" w:rsidRPr="00E24B6E" w:rsidRDefault="00B8098B" w:rsidP="00E24B6E">
      <w:pPr>
        <w:ind w:left="851" w:right="850"/>
        <w:jc w:val="both"/>
        <w:rPr>
          <w:rFonts w:ascii="Palatino Linotype" w:hAnsi="Palatino Linotype"/>
          <w:i/>
          <w:sz w:val="22"/>
        </w:rPr>
      </w:pPr>
    </w:p>
    <w:p w:rsidR="00B8098B" w:rsidRPr="00E24B6E" w:rsidRDefault="00B8098B" w:rsidP="00E24B6E">
      <w:pPr>
        <w:ind w:left="851" w:right="850"/>
        <w:jc w:val="both"/>
        <w:rPr>
          <w:rFonts w:ascii="Palatino Linotype" w:hAnsi="Palatino Linotype"/>
          <w:i/>
          <w:sz w:val="22"/>
        </w:rPr>
      </w:pPr>
      <w:r w:rsidRPr="00E24B6E">
        <w:rPr>
          <w:rFonts w:ascii="Palatino Linotype" w:hAnsi="Palatino Linotype"/>
          <w:i/>
          <w:sz w:val="22"/>
        </w:rPr>
        <w:t>Por lo que hace al recurso de revisión 05556/INFOEM/IP/RR/2019, previa búsqueda exhaustiva y razonable, en su caso en versión pública:</w:t>
      </w:r>
    </w:p>
    <w:p w:rsidR="00B8098B" w:rsidRPr="00E24B6E" w:rsidRDefault="00B8098B" w:rsidP="00E24B6E">
      <w:pPr>
        <w:ind w:left="851" w:right="850"/>
        <w:jc w:val="both"/>
        <w:rPr>
          <w:rFonts w:ascii="Palatino Linotype" w:hAnsi="Palatino Linotype"/>
          <w:i/>
          <w:sz w:val="22"/>
        </w:rPr>
      </w:pPr>
      <w:r w:rsidRPr="00E24B6E">
        <w:rPr>
          <w:rFonts w:ascii="Palatino Linotype" w:hAnsi="Palatino Linotype"/>
          <w:i/>
          <w:sz w:val="22"/>
        </w:rPr>
        <w:t xml:space="preserve">- Los oficios generados y las respuestas de las áreas administrativas, correspondientes con la compra de las patrullas solicitadas, al 28 de mayo de 2019.     </w:t>
      </w:r>
    </w:p>
    <w:p w:rsidR="002D6F8B" w:rsidRPr="00E24B6E" w:rsidRDefault="00B8098B" w:rsidP="00E24B6E">
      <w:pPr>
        <w:ind w:left="851" w:right="850"/>
        <w:jc w:val="both"/>
        <w:rPr>
          <w:rFonts w:ascii="Palatino Linotype" w:hAnsi="Palatino Linotype"/>
          <w:i/>
          <w:sz w:val="22"/>
        </w:rPr>
      </w:pPr>
      <w:r w:rsidRPr="00E24B6E">
        <w:rPr>
          <w:rFonts w:ascii="Palatino Linotype" w:hAnsi="Palatino Linotype"/>
          <w:i/>
          <w:sz w:val="22"/>
        </w:rPr>
        <w:t>En su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rsidR="00B8098B" w:rsidRPr="00E24B6E" w:rsidRDefault="00B8098B" w:rsidP="00E24B6E">
      <w:pPr>
        <w:ind w:left="851" w:right="850"/>
        <w:jc w:val="both"/>
        <w:rPr>
          <w:rFonts w:ascii="Palatino Linotype" w:hAnsi="Palatino Linotype"/>
          <w:i/>
          <w:sz w:val="22"/>
        </w:rPr>
      </w:pPr>
      <w:r w:rsidRPr="00E24B6E">
        <w:rPr>
          <w:rFonts w:ascii="Palatino Linotype" w:hAnsi="Palatino Linotype"/>
          <w:i/>
          <w:sz w:val="22"/>
        </w:rPr>
        <w:t>…</w:t>
      </w:r>
    </w:p>
    <w:p w:rsidR="00B8098B" w:rsidRPr="00E24B6E" w:rsidRDefault="00B8098B" w:rsidP="00E24B6E">
      <w:pPr>
        <w:ind w:left="851" w:right="850"/>
        <w:jc w:val="both"/>
        <w:rPr>
          <w:rFonts w:ascii="Palatino Linotype" w:hAnsi="Palatino Linotype"/>
          <w:i/>
          <w:sz w:val="22"/>
        </w:rPr>
      </w:pPr>
      <w:r w:rsidRPr="00E24B6E">
        <w:rPr>
          <w:rFonts w:ascii="Palatino Linotype" w:hAnsi="Palatino Linotype"/>
          <w:i/>
          <w:sz w:val="22"/>
        </w:rPr>
        <w:t xml:space="preserve">Cuarto.  Hágase del conocimiento del RECURRENTE la presente resolución, así como, que de conformidad con lo establecido en el artículo 196 de la Ley de Transparencia y con lo establecido en los artículos </w:t>
      </w:r>
      <w:r w:rsidRPr="008C0A09">
        <w:rPr>
          <w:rFonts w:ascii="Palatino Linotype" w:hAnsi="Palatino Linotype"/>
          <w:b/>
          <w:i/>
          <w:sz w:val="22"/>
        </w:rPr>
        <w:t>159 y 160 de la Ley General de Transparencia</w:t>
      </w:r>
      <w:r w:rsidRPr="00E24B6E">
        <w:rPr>
          <w:rFonts w:ascii="Palatino Linotype" w:hAnsi="Palatino Linotype"/>
          <w:i/>
          <w:sz w:val="22"/>
        </w:rPr>
        <w:t xml:space="preserve"> </w:t>
      </w:r>
      <w:r w:rsidRPr="008C0A09">
        <w:rPr>
          <w:rFonts w:ascii="Palatino Linotype" w:hAnsi="Palatino Linotype"/>
          <w:b/>
          <w:i/>
          <w:sz w:val="22"/>
        </w:rPr>
        <w:t>y Acceso a la Información Pública</w:t>
      </w:r>
      <w:r w:rsidRPr="00E24B6E">
        <w:rPr>
          <w:rFonts w:ascii="Palatino Linotype" w:hAnsi="Palatino Linotype"/>
          <w:i/>
          <w:sz w:val="22"/>
        </w:rPr>
        <w:t xml:space="preserve"> podrá impugnarla vía recurso de inconformidad ante el Instituto Nacional de Transparencia, Acceso a la Información y Protección de Datos Personales, o bien, vía Juicio de Amparo en los términos de las leyes aplicables.</w:t>
      </w:r>
    </w:p>
    <w:p w:rsidR="00D21672" w:rsidRPr="00754E11" w:rsidRDefault="004526B8" w:rsidP="00E24B6E">
      <w:pPr>
        <w:ind w:left="851" w:right="850"/>
        <w:jc w:val="both"/>
        <w:rPr>
          <w:color w:val="222222"/>
          <w:lang w:eastAsia="es-MX"/>
        </w:rPr>
      </w:pPr>
      <w:r w:rsidRPr="00E24B6E">
        <w:rPr>
          <w:rFonts w:ascii="Palatino Linotype" w:eastAsia="Arial Unicode MS" w:hAnsi="Palatino Linotype"/>
          <w:i/>
          <w:sz w:val="22"/>
        </w:rPr>
        <w:lastRenderedPageBreak/>
        <w:t>” (Sic.</w:t>
      </w:r>
      <w:r w:rsidR="000A435F" w:rsidRPr="00E24B6E">
        <w:rPr>
          <w:rFonts w:ascii="Palatino Linotype" w:eastAsia="Arial Unicode MS" w:hAnsi="Palatino Linotype"/>
          <w:i/>
          <w:sz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Pr>
          <w:rFonts w:ascii="Palatino Linotype" w:hAnsi="Palatino Linotype" w:cs="Arial"/>
        </w:rPr>
        <w:t xml:space="preserve">en el resolutivo </w:t>
      </w:r>
      <w:r w:rsidR="00D95888">
        <w:rPr>
          <w:rFonts w:ascii="Palatino Linotype" w:hAnsi="Palatino Linotype" w:cs="Arial"/>
        </w:rPr>
        <w:t>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Lo anterior, obedece a que </w:t>
      </w:r>
      <w:r w:rsidR="00A05CE0">
        <w:rPr>
          <w:rFonts w:ascii="Palatino Linotype" w:hAnsi="Palatino Linotype" w:cs="Arial"/>
        </w:rPr>
        <w:t xml:space="preserve">el Acuerdo de Clasificación remitido mediante Informa Justificado, no se puso a disposición del particular, toda vez que carecía de la debida fundamentación y motivación, por lo que la Ponencia </w:t>
      </w:r>
      <w:proofErr w:type="spellStart"/>
      <w:r w:rsidR="00A05CE0">
        <w:rPr>
          <w:rFonts w:ascii="Palatino Linotype" w:hAnsi="Palatino Linotype" w:cs="Arial"/>
        </w:rPr>
        <w:t>Resolutora</w:t>
      </w:r>
      <w:proofErr w:type="spellEnd"/>
      <w:r w:rsidR="00A05CE0">
        <w:rPr>
          <w:rFonts w:ascii="Palatino Linotype" w:hAnsi="Palatino Linotype" w:cs="Arial"/>
        </w:rPr>
        <w:t xml:space="preserve"> concluyó que se debía ordenar nuevamente</w:t>
      </w:r>
      <w:r>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E24B6E">
      <w:pPr>
        <w:spacing w:before="100" w:beforeAutospacing="1" w:after="100" w:afterAutospacing="1"/>
        <w:ind w:left="851" w:right="850"/>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E24B6E">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E24B6E">
      <w:pPr>
        <w:spacing w:before="100" w:beforeAutospacing="1" w:after="100" w:afterAutospacing="1"/>
        <w:ind w:left="851" w:right="850"/>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Pr="00D642EC" w:rsidRDefault="005831CB" w:rsidP="00E24B6E">
      <w:pPr>
        <w:spacing w:before="100" w:beforeAutospacing="1" w:after="100" w:afterAutospacing="1"/>
        <w:ind w:left="851" w:right="850"/>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Así, de lo anterior se advierte que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 ya sea como confidencial o reservada o en su caso el Acuerdo de Inexistencia y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tbl>
      <w:tblPr>
        <w:tblpPr w:leftFromText="141" w:rightFromText="141" w:vertAnchor="text" w:horzAnchor="margin" w:tblpXSpec="center" w:tblpY="3334"/>
        <w:tblOverlap w:val="never"/>
        <w:tblW w:w="2665" w:type="dxa"/>
        <w:tblLayout w:type="fixed"/>
        <w:tblLook w:val="04A0" w:firstRow="1" w:lastRow="0" w:firstColumn="1" w:lastColumn="0" w:noHBand="0" w:noVBand="1"/>
      </w:tblPr>
      <w:tblGrid>
        <w:gridCol w:w="2665"/>
      </w:tblGrid>
      <w:tr w:rsidR="005831CB" w:rsidRPr="001B6F4B" w:rsidTr="00EF1C60">
        <w:trPr>
          <w:trHeight w:val="741"/>
        </w:trPr>
        <w:tc>
          <w:tcPr>
            <w:tcW w:w="2665" w:type="dxa"/>
          </w:tcPr>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p>
          <w:p w:rsidR="00E24B6E" w:rsidRDefault="00E24B6E" w:rsidP="00EF1C60">
            <w:pPr>
              <w:ind w:right="49"/>
              <w:jc w:val="center"/>
              <w:rPr>
                <w:rFonts w:ascii="Palatino Linotype" w:hAnsi="Palatino Linotype" w:cs="Arial"/>
                <w:b/>
              </w:rPr>
            </w:pPr>
          </w:p>
          <w:p w:rsidR="00E24B6E" w:rsidRDefault="00E24B6E" w:rsidP="00EF1C60">
            <w:pPr>
              <w:ind w:right="49"/>
              <w:jc w:val="center"/>
              <w:rPr>
                <w:rFonts w:ascii="Palatino Linotype" w:hAnsi="Palatino Linotype" w:cs="Arial"/>
                <w:b/>
              </w:rPr>
            </w:pPr>
          </w:p>
          <w:p w:rsidR="00E24B6E" w:rsidRDefault="00E24B6E" w:rsidP="00EF1C60">
            <w:pPr>
              <w:ind w:right="49"/>
              <w:jc w:val="center"/>
              <w:rPr>
                <w:rFonts w:ascii="Palatino Linotype" w:hAnsi="Palatino Linotype" w:cs="Arial"/>
                <w:b/>
              </w:rPr>
            </w:pPr>
          </w:p>
          <w:p w:rsidR="00E24B6E" w:rsidRDefault="00E24B6E" w:rsidP="00EF1C60">
            <w:pPr>
              <w:ind w:right="49"/>
              <w:jc w:val="center"/>
              <w:rPr>
                <w:rFonts w:ascii="Palatino Linotype" w:hAnsi="Palatino Linotype" w:cs="Arial"/>
                <w:b/>
              </w:rPr>
            </w:pPr>
          </w:p>
          <w:p w:rsidR="005831CB" w:rsidRDefault="005831CB" w:rsidP="00EF1C60">
            <w:pPr>
              <w:ind w:right="49"/>
              <w:jc w:val="center"/>
              <w:rPr>
                <w:rFonts w:ascii="Palatino Linotype" w:hAnsi="Palatino Linotype" w:cs="Arial"/>
                <w:b/>
              </w:rPr>
            </w:pPr>
            <w:r w:rsidRPr="0061470D">
              <w:rPr>
                <w:rFonts w:ascii="Palatino Linotype" w:hAnsi="Palatino Linotype" w:cs="Arial"/>
                <w:b/>
              </w:rPr>
              <w:t>EVA ABAID YAPUR</w:t>
            </w:r>
          </w:p>
          <w:p w:rsidR="005831CB" w:rsidRDefault="005831CB" w:rsidP="00E24B6E">
            <w:pPr>
              <w:ind w:right="49"/>
              <w:jc w:val="center"/>
              <w:rPr>
                <w:rFonts w:ascii="Palatino Linotype" w:hAnsi="Palatino Linotype" w:cs="Arial"/>
                <w:b/>
              </w:rPr>
            </w:pPr>
            <w:r w:rsidRPr="0061470D">
              <w:rPr>
                <w:rFonts w:ascii="Palatino Linotype" w:hAnsi="Palatino Linotype" w:cs="Arial"/>
                <w:b/>
              </w:rPr>
              <w:t>COMISIONADA</w:t>
            </w:r>
          </w:p>
          <w:p w:rsidR="00C566FF" w:rsidRPr="00AB7173" w:rsidRDefault="00C566FF" w:rsidP="00E24B6E">
            <w:pPr>
              <w:ind w:right="49"/>
              <w:jc w:val="center"/>
              <w:rPr>
                <w:rFonts w:ascii="Palatino Linotype" w:hAnsi="Palatino Linotype" w:cs="Arial"/>
                <w:b/>
              </w:rPr>
            </w:pPr>
            <w:r>
              <w:rPr>
                <w:rFonts w:ascii="Palatino Linotype" w:hAnsi="Palatino Linotype"/>
                <w:b/>
              </w:rPr>
              <w:t>(RÚBRICA)</w:t>
            </w:r>
            <w:bookmarkStart w:id="0" w:name="_GoBack"/>
            <w:bookmarkEnd w:id="0"/>
          </w:p>
        </w:tc>
      </w:tr>
    </w:tbl>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D95888">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C714B1" w:rsidRDefault="00C714B1" w:rsidP="001B5DD5">
      <w:pPr>
        <w:ind w:right="49"/>
        <w:jc w:val="both"/>
        <w:rPr>
          <w:rFonts w:ascii="Palatino Linotype" w:eastAsia="Calibri" w:hAnsi="Palatino Linotype" w:cs="Arial"/>
          <w:color w:val="000000" w:themeColor="text1"/>
          <w:sz w:val="18"/>
          <w:szCs w:val="20"/>
        </w:rPr>
      </w:pPr>
    </w:p>
    <w:p w:rsidR="00E24B6E" w:rsidRDefault="00E24B6E" w:rsidP="001B5DD5">
      <w:pPr>
        <w:ind w:right="49"/>
        <w:jc w:val="both"/>
        <w:rPr>
          <w:rFonts w:ascii="Palatino Linotype" w:eastAsia="Calibri" w:hAnsi="Palatino Linotype" w:cs="Arial"/>
          <w:color w:val="000000" w:themeColor="text1"/>
          <w:sz w:val="18"/>
          <w:szCs w:val="20"/>
        </w:rPr>
      </w:pPr>
    </w:p>
    <w:p w:rsidR="00E24B6E" w:rsidRDefault="00E24B6E" w:rsidP="001B5DD5">
      <w:pPr>
        <w:ind w:right="49"/>
        <w:jc w:val="both"/>
        <w:rPr>
          <w:rFonts w:ascii="Palatino Linotype" w:eastAsia="Calibri" w:hAnsi="Palatino Linotype" w:cs="Arial"/>
          <w:color w:val="000000" w:themeColor="text1"/>
          <w:sz w:val="18"/>
          <w:szCs w:val="20"/>
        </w:rPr>
      </w:pPr>
    </w:p>
    <w:p w:rsidR="00E24B6E" w:rsidRDefault="00E24B6E" w:rsidP="001B5DD5">
      <w:pPr>
        <w:ind w:right="49"/>
        <w:jc w:val="both"/>
        <w:rPr>
          <w:rFonts w:ascii="Palatino Linotype" w:eastAsia="Calibri" w:hAnsi="Palatino Linotype" w:cs="Arial"/>
          <w:color w:val="000000" w:themeColor="text1"/>
          <w:sz w:val="18"/>
          <w:szCs w:val="20"/>
        </w:rPr>
      </w:pPr>
    </w:p>
    <w:p w:rsidR="00E24B6E" w:rsidRDefault="00E24B6E" w:rsidP="001B5DD5">
      <w:pPr>
        <w:ind w:right="49"/>
        <w:jc w:val="both"/>
        <w:rPr>
          <w:rFonts w:ascii="Palatino Linotype" w:eastAsia="Calibri" w:hAnsi="Palatino Linotype" w:cs="Arial"/>
          <w:color w:val="000000" w:themeColor="text1"/>
          <w:sz w:val="18"/>
          <w:szCs w:val="20"/>
        </w:rPr>
      </w:pPr>
    </w:p>
    <w:p w:rsidR="00E24B6E" w:rsidRDefault="00E24B6E" w:rsidP="001B5DD5">
      <w:pPr>
        <w:ind w:right="49"/>
        <w:jc w:val="both"/>
        <w:rPr>
          <w:rFonts w:ascii="Palatino Linotype" w:eastAsia="Calibri" w:hAnsi="Palatino Linotype" w:cs="Arial"/>
          <w:color w:val="000000" w:themeColor="text1"/>
          <w:sz w:val="18"/>
          <w:szCs w:val="20"/>
        </w:rPr>
      </w:pPr>
    </w:p>
    <w:p w:rsidR="00F14A3E" w:rsidRPr="0099561F" w:rsidRDefault="00F7009C" w:rsidP="00A05CE0">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D95888">
        <w:rPr>
          <w:rFonts w:ascii="Palatino Linotype" w:eastAsia="Calibri" w:hAnsi="Palatino Linotype" w:cs="Arial"/>
          <w:color w:val="000000" w:themeColor="text1"/>
          <w:sz w:val="18"/>
          <w:szCs w:val="20"/>
        </w:rPr>
        <w:t>e los</w:t>
      </w:r>
      <w:r w:rsidRPr="0099561F">
        <w:rPr>
          <w:rFonts w:ascii="Palatino Linotype" w:eastAsia="Calibri" w:hAnsi="Palatino Linotype" w:cs="Arial"/>
          <w:color w:val="000000" w:themeColor="text1"/>
          <w:sz w:val="18"/>
          <w:szCs w:val="20"/>
        </w:rPr>
        <w:t xml:space="preserve"> recurso</w:t>
      </w:r>
      <w:r w:rsidR="00D95888">
        <w:rPr>
          <w:rFonts w:ascii="Palatino Linotype" w:eastAsia="Calibri" w:hAnsi="Palatino Linotype" w:cs="Arial"/>
          <w:color w:val="000000" w:themeColor="text1"/>
          <w:sz w:val="18"/>
          <w:szCs w:val="20"/>
        </w:rPr>
        <w:t>s</w:t>
      </w:r>
      <w:r w:rsidRPr="0099561F">
        <w:rPr>
          <w:rFonts w:ascii="Palatino Linotype" w:eastAsia="Calibri" w:hAnsi="Palatino Linotype" w:cs="Arial"/>
          <w:color w:val="000000" w:themeColor="text1"/>
          <w:sz w:val="18"/>
          <w:szCs w:val="20"/>
        </w:rPr>
        <w:t xml:space="preserve"> de revisión </w:t>
      </w:r>
      <w:r w:rsidR="00D95888">
        <w:rPr>
          <w:rFonts w:ascii="Palatino Linotype" w:eastAsia="Calibri" w:hAnsi="Palatino Linotype" w:cs="Arial"/>
          <w:color w:val="000000" w:themeColor="text1"/>
          <w:sz w:val="18"/>
          <w:szCs w:val="20"/>
        </w:rPr>
        <w:t xml:space="preserve">acumulados </w:t>
      </w:r>
      <w:r w:rsidR="00A05CE0" w:rsidRPr="00A05CE0">
        <w:rPr>
          <w:rFonts w:ascii="Palatino Linotype" w:eastAsia="Calibri" w:hAnsi="Palatino Linotype" w:cs="Arial"/>
          <w:color w:val="000000" w:themeColor="text1"/>
          <w:sz w:val="18"/>
          <w:szCs w:val="20"/>
        </w:rPr>
        <w:t>05554/INFOEM/IP/RR/20</w:t>
      </w:r>
      <w:r w:rsidR="00A05CE0">
        <w:rPr>
          <w:rFonts w:ascii="Palatino Linotype" w:eastAsia="Calibri" w:hAnsi="Palatino Linotype" w:cs="Arial"/>
          <w:color w:val="000000" w:themeColor="text1"/>
          <w:sz w:val="18"/>
          <w:szCs w:val="20"/>
        </w:rPr>
        <w:t xml:space="preserve">19, 05555/INFOEM/IP/RR/2019 y </w:t>
      </w:r>
      <w:r w:rsidR="00A05CE0" w:rsidRPr="00A05CE0">
        <w:rPr>
          <w:rFonts w:ascii="Palatino Linotype" w:eastAsia="Calibri" w:hAnsi="Palatino Linotype" w:cs="Arial"/>
          <w:color w:val="000000" w:themeColor="text1"/>
          <w:sz w:val="18"/>
          <w:szCs w:val="20"/>
        </w:rPr>
        <w:t>05556/INFOEM/IP/RR/2019</w:t>
      </w:r>
      <w:r w:rsidR="00D95888">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A05CE0">
        <w:rPr>
          <w:rFonts w:ascii="Palatino Linotype" w:eastAsia="Calibri" w:hAnsi="Palatino Linotype" w:cs="Arial"/>
          <w:color w:val="000000" w:themeColor="text1"/>
          <w:sz w:val="18"/>
          <w:szCs w:val="20"/>
        </w:rPr>
        <w:t>treinta</w:t>
      </w:r>
      <w:r w:rsidR="00D95888">
        <w:rPr>
          <w:rFonts w:ascii="Palatino Linotype" w:eastAsia="Calibri" w:hAnsi="Palatino Linotype" w:cs="Arial"/>
          <w:color w:val="000000" w:themeColor="text1"/>
          <w:sz w:val="18"/>
          <w:szCs w:val="20"/>
        </w:rPr>
        <w:t xml:space="preserve"> de octubre</w:t>
      </w:r>
      <w:r w:rsidR="00787892">
        <w:rPr>
          <w:rFonts w:ascii="Palatino Linotype" w:eastAsia="Calibri" w:hAnsi="Palatino Linotype" w:cs="Arial"/>
          <w:color w:val="000000" w:themeColor="text1"/>
          <w:sz w:val="18"/>
          <w:szCs w:val="20"/>
        </w:rPr>
        <w:t xml:space="preserve"> de dos mil diecinueve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E24B6E" w:rsidRPr="00E24B6E" w:rsidRDefault="00E24B6E" w:rsidP="001B5DD5">
      <w:pPr>
        <w:ind w:right="49"/>
        <w:jc w:val="both"/>
        <w:rPr>
          <w:rFonts w:ascii="Palatino Linotype" w:eastAsia="Calibri" w:hAnsi="Palatino Linotype" w:cs="Arial"/>
          <w:color w:val="000000" w:themeColor="text1"/>
          <w:sz w:val="8"/>
          <w:szCs w:val="8"/>
        </w:rPr>
      </w:pPr>
    </w:p>
    <w:p w:rsidR="00F7009C" w:rsidRPr="0099561F" w:rsidRDefault="00552AEB" w:rsidP="001B5DD5">
      <w:pPr>
        <w:ind w:right="49"/>
        <w:jc w:val="both"/>
        <w:rPr>
          <w:rFonts w:ascii="Palatino Linotype" w:eastAsia="Calibri" w:hAnsi="Palatino Linotype" w:cs="Arial"/>
          <w:color w:val="000000" w:themeColor="text1"/>
          <w:sz w:val="20"/>
          <w:szCs w:val="21"/>
        </w:rPr>
      </w:pPr>
      <w:r>
        <w:rPr>
          <w:rFonts w:ascii="Palatino Linotype" w:eastAsia="Calibri" w:hAnsi="Palatino Linotype" w:cs="Arial"/>
          <w:color w:val="000000" w:themeColor="text1"/>
          <w:sz w:val="20"/>
          <w:szCs w:val="21"/>
        </w:rPr>
        <w:t>YSM</w:t>
      </w:r>
      <w:r w:rsidR="00A12170" w:rsidRPr="0099561F">
        <w:rPr>
          <w:rFonts w:ascii="Palatino Linotype" w:eastAsia="Calibri" w:hAnsi="Palatino Linotype" w:cs="Arial"/>
          <w:color w:val="000000" w:themeColor="text1"/>
          <w:sz w:val="20"/>
          <w:szCs w:val="21"/>
        </w:rPr>
        <w:t>/</w:t>
      </w:r>
      <w:r w:rsidR="00E10843">
        <w:rPr>
          <w:rFonts w:ascii="Palatino Linotype" w:eastAsia="Calibri" w:hAnsi="Palatino Linotype" w:cs="Arial"/>
          <w:color w:val="000000" w:themeColor="text1"/>
          <w:sz w:val="20"/>
          <w:szCs w:val="21"/>
        </w:rPr>
        <w:t>ATU/</w:t>
      </w:r>
      <w:r w:rsidR="00A12170" w:rsidRPr="0099561F">
        <w:rPr>
          <w:rFonts w:ascii="Palatino Linotype" w:eastAsia="Calibri" w:hAnsi="Palatino Linotype" w:cs="Arial"/>
          <w:color w:val="000000" w:themeColor="text1"/>
          <w:sz w:val="20"/>
          <w:szCs w:val="21"/>
        </w:rPr>
        <w:t>EJCA</w:t>
      </w:r>
    </w:p>
    <w:sectPr w:rsidR="00F7009C" w:rsidRPr="0099561F" w:rsidSect="00990B21">
      <w:headerReference w:type="even" r:id="rId8"/>
      <w:headerReference w:type="default" r:id="rId9"/>
      <w:footerReference w:type="default" r:id="rId10"/>
      <w:headerReference w:type="first" r:id="rId11"/>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467" w:rsidRDefault="00434467" w:rsidP="00C80F8C">
      <w:r>
        <w:separator/>
      </w:r>
    </w:p>
  </w:endnote>
  <w:endnote w:type="continuationSeparator" w:id="0">
    <w:p w:rsidR="00434467" w:rsidRDefault="004344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E24B6E" w:rsidRDefault="00E24B6E"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566F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566F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467" w:rsidRDefault="00434467" w:rsidP="00C80F8C">
      <w:r>
        <w:separator/>
      </w:r>
    </w:p>
  </w:footnote>
  <w:footnote w:type="continuationSeparator" w:id="0">
    <w:p w:rsidR="00434467" w:rsidRDefault="0043446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4344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855D2"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RECURSO</w:t>
    </w:r>
    <w:r w:rsidR="00D855D2">
      <w:rPr>
        <w:rFonts w:ascii="Palatino Linotype" w:hAnsi="Palatino Linotype" w:cs="Arial"/>
        <w:sz w:val="20"/>
        <w:szCs w:val="20"/>
      </w:rPr>
      <w:t>S</w:t>
    </w:r>
    <w:r w:rsidRPr="00706042">
      <w:rPr>
        <w:rFonts w:ascii="Palatino Linotype" w:hAnsi="Palatino Linotype" w:cs="Arial"/>
        <w:sz w:val="20"/>
        <w:szCs w:val="20"/>
      </w:rPr>
      <w:t xml:space="preserve"> DE REVISIÓN </w:t>
    </w:r>
    <w:r w:rsidR="00D855D2">
      <w:rPr>
        <w:rFonts w:ascii="Palatino Linotype" w:hAnsi="Palatino Linotype" w:cs="Arial"/>
        <w:sz w:val="20"/>
        <w:szCs w:val="20"/>
      </w:rPr>
      <w:t>ACUMULADOS</w:t>
    </w:r>
  </w:p>
  <w:p w:rsidR="0052034C" w:rsidRDefault="0052034C" w:rsidP="00BD1BCE">
    <w:pPr>
      <w:pStyle w:val="Encabezado"/>
      <w:tabs>
        <w:tab w:val="clear" w:pos="4252"/>
        <w:tab w:val="clear" w:pos="8504"/>
        <w:tab w:val="left" w:pos="2326"/>
      </w:tabs>
      <w:ind w:right="-93"/>
      <w:jc w:val="right"/>
      <w:rPr>
        <w:rFonts w:ascii="Palatino Linotype" w:hAnsi="Palatino Linotype" w:cs="Arial"/>
        <w:sz w:val="20"/>
        <w:szCs w:val="20"/>
      </w:rPr>
    </w:pPr>
    <w:r w:rsidRPr="0052034C">
      <w:rPr>
        <w:rFonts w:ascii="Palatino Linotype" w:hAnsi="Palatino Linotype" w:cs="Arial"/>
        <w:sz w:val="20"/>
        <w:szCs w:val="20"/>
      </w:rPr>
      <w:t>05554/INFOEM/IP/RR</w:t>
    </w:r>
    <w:r w:rsidR="00E24B6E">
      <w:rPr>
        <w:rFonts w:ascii="Palatino Linotype" w:hAnsi="Palatino Linotype" w:cs="Arial"/>
        <w:sz w:val="20"/>
        <w:szCs w:val="20"/>
      </w:rPr>
      <w:t xml:space="preserve">/2019, 05555/INFOEM/IP/RR/2019 </w:t>
    </w:r>
    <w:r w:rsidR="00E24B6E" w:rsidRPr="0052034C">
      <w:rPr>
        <w:rFonts w:ascii="Palatino Linotype" w:hAnsi="Palatino Linotype" w:cs="Arial"/>
        <w:sz w:val="20"/>
        <w:szCs w:val="20"/>
      </w:rPr>
      <w:t xml:space="preserve">Y </w:t>
    </w:r>
  </w:p>
  <w:p w:rsidR="008A03F8" w:rsidRDefault="0052034C" w:rsidP="00BD1BCE">
    <w:pPr>
      <w:pStyle w:val="Encabezado"/>
      <w:tabs>
        <w:tab w:val="clear" w:pos="4252"/>
        <w:tab w:val="clear" w:pos="8504"/>
        <w:tab w:val="left" w:pos="2326"/>
      </w:tabs>
      <w:ind w:right="-93"/>
      <w:jc w:val="right"/>
      <w:rPr>
        <w:rFonts w:ascii="Palatino Linotype" w:hAnsi="Palatino Linotype" w:cs="Arial"/>
        <w:sz w:val="20"/>
        <w:szCs w:val="20"/>
      </w:rPr>
    </w:pPr>
    <w:r w:rsidRPr="0052034C">
      <w:rPr>
        <w:rFonts w:ascii="Palatino Linotype" w:hAnsi="Palatino Linotype" w:cs="Arial"/>
        <w:sz w:val="20"/>
        <w:szCs w:val="20"/>
      </w:rPr>
      <w:t>05556/INFOEM/IP/RR/2019</w:t>
    </w:r>
  </w:p>
  <w:p w:rsidR="008A03F8" w:rsidRDefault="00434467"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7.45pt;margin-top:229.15pt;width:636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43446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18"/>
  </w:num>
  <w:num w:numId="8">
    <w:abstractNumId w:val="10"/>
  </w:num>
  <w:num w:numId="9">
    <w:abstractNumId w:val="14"/>
  </w:num>
  <w:num w:numId="10">
    <w:abstractNumId w:val="4"/>
  </w:num>
  <w:num w:numId="11">
    <w:abstractNumId w:val="15"/>
  </w:num>
  <w:num w:numId="12">
    <w:abstractNumId w:val="9"/>
  </w:num>
  <w:num w:numId="13">
    <w:abstractNumId w:val="17"/>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73A1"/>
    <w:rsid w:val="00055107"/>
    <w:rsid w:val="0006079D"/>
    <w:rsid w:val="0007653D"/>
    <w:rsid w:val="00082101"/>
    <w:rsid w:val="0008542A"/>
    <w:rsid w:val="0008745A"/>
    <w:rsid w:val="00092678"/>
    <w:rsid w:val="00095B30"/>
    <w:rsid w:val="00097D44"/>
    <w:rsid w:val="000A435F"/>
    <w:rsid w:val="000B3FFD"/>
    <w:rsid w:val="000C1A85"/>
    <w:rsid w:val="000C2420"/>
    <w:rsid w:val="000C2CF9"/>
    <w:rsid w:val="000C4453"/>
    <w:rsid w:val="000D136C"/>
    <w:rsid w:val="000D1731"/>
    <w:rsid w:val="000D3987"/>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3BBD"/>
    <w:rsid w:val="002D4526"/>
    <w:rsid w:val="002D69E1"/>
    <w:rsid w:val="002D6F8B"/>
    <w:rsid w:val="002E5711"/>
    <w:rsid w:val="002F4562"/>
    <w:rsid w:val="002F5CF7"/>
    <w:rsid w:val="0030072F"/>
    <w:rsid w:val="003031E1"/>
    <w:rsid w:val="003056D9"/>
    <w:rsid w:val="003102FA"/>
    <w:rsid w:val="003169F5"/>
    <w:rsid w:val="0033370B"/>
    <w:rsid w:val="0034309A"/>
    <w:rsid w:val="00351129"/>
    <w:rsid w:val="00362FC3"/>
    <w:rsid w:val="0037318A"/>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4467"/>
    <w:rsid w:val="0044271B"/>
    <w:rsid w:val="00443646"/>
    <w:rsid w:val="0044475B"/>
    <w:rsid w:val="004526B8"/>
    <w:rsid w:val="00455CB3"/>
    <w:rsid w:val="004577AC"/>
    <w:rsid w:val="00460257"/>
    <w:rsid w:val="004610C0"/>
    <w:rsid w:val="004661D2"/>
    <w:rsid w:val="00475B49"/>
    <w:rsid w:val="004776FF"/>
    <w:rsid w:val="0048114D"/>
    <w:rsid w:val="00493D28"/>
    <w:rsid w:val="00496CEA"/>
    <w:rsid w:val="004B17F5"/>
    <w:rsid w:val="004B7325"/>
    <w:rsid w:val="004C40EA"/>
    <w:rsid w:val="004C64D9"/>
    <w:rsid w:val="004D0A26"/>
    <w:rsid w:val="004D34A9"/>
    <w:rsid w:val="004F206F"/>
    <w:rsid w:val="004F250E"/>
    <w:rsid w:val="00500FFD"/>
    <w:rsid w:val="00507AD1"/>
    <w:rsid w:val="00516914"/>
    <w:rsid w:val="0052034C"/>
    <w:rsid w:val="005228B4"/>
    <w:rsid w:val="005236B6"/>
    <w:rsid w:val="005318AB"/>
    <w:rsid w:val="005321E3"/>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2FD8"/>
    <w:rsid w:val="006078FA"/>
    <w:rsid w:val="00612544"/>
    <w:rsid w:val="0061616C"/>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ACC"/>
    <w:rsid w:val="007B6E55"/>
    <w:rsid w:val="007C0FDA"/>
    <w:rsid w:val="007C3C0E"/>
    <w:rsid w:val="007C4E7D"/>
    <w:rsid w:val="007D0FEE"/>
    <w:rsid w:val="008217CD"/>
    <w:rsid w:val="00827787"/>
    <w:rsid w:val="00832B51"/>
    <w:rsid w:val="00833BC7"/>
    <w:rsid w:val="00844AA1"/>
    <w:rsid w:val="00846A21"/>
    <w:rsid w:val="008556C3"/>
    <w:rsid w:val="008562AB"/>
    <w:rsid w:val="00870BFA"/>
    <w:rsid w:val="00885FAE"/>
    <w:rsid w:val="00892AFC"/>
    <w:rsid w:val="0089399E"/>
    <w:rsid w:val="008A03F8"/>
    <w:rsid w:val="008B79D6"/>
    <w:rsid w:val="008C0700"/>
    <w:rsid w:val="008C0A09"/>
    <w:rsid w:val="008C0C70"/>
    <w:rsid w:val="008C17F2"/>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6E59"/>
    <w:rsid w:val="009678EB"/>
    <w:rsid w:val="00975AA3"/>
    <w:rsid w:val="00975EB9"/>
    <w:rsid w:val="00976BAB"/>
    <w:rsid w:val="009773AF"/>
    <w:rsid w:val="00983759"/>
    <w:rsid w:val="00986740"/>
    <w:rsid w:val="00990B21"/>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05CE0"/>
    <w:rsid w:val="00A12170"/>
    <w:rsid w:val="00A14B1D"/>
    <w:rsid w:val="00A35217"/>
    <w:rsid w:val="00A40057"/>
    <w:rsid w:val="00A4593D"/>
    <w:rsid w:val="00A53958"/>
    <w:rsid w:val="00A60D1E"/>
    <w:rsid w:val="00A62DC1"/>
    <w:rsid w:val="00A73612"/>
    <w:rsid w:val="00A73A50"/>
    <w:rsid w:val="00A77B24"/>
    <w:rsid w:val="00A81140"/>
    <w:rsid w:val="00A824CA"/>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098B"/>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566FF"/>
    <w:rsid w:val="00C714B1"/>
    <w:rsid w:val="00C766EF"/>
    <w:rsid w:val="00C80F8C"/>
    <w:rsid w:val="00CA047D"/>
    <w:rsid w:val="00CB10D8"/>
    <w:rsid w:val="00CB24DA"/>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855D2"/>
    <w:rsid w:val="00D93CE4"/>
    <w:rsid w:val="00D95888"/>
    <w:rsid w:val="00DA5071"/>
    <w:rsid w:val="00DA5209"/>
    <w:rsid w:val="00DC223E"/>
    <w:rsid w:val="00DD6A6C"/>
    <w:rsid w:val="00DE6440"/>
    <w:rsid w:val="00DF733A"/>
    <w:rsid w:val="00E10843"/>
    <w:rsid w:val="00E10A96"/>
    <w:rsid w:val="00E146AA"/>
    <w:rsid w:val="00E170E8"/>
    <w:rsid w:val="00E24B6E"/>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909A3-4C89-4030-9E99-7FC8A20E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1284</Words>
  <Characters>7062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2019-10-21T19:57:00Z</cp:lastPrinted>
  <dcterms:created xsi:type="dcterms:W3CDTF">2019-11-04T19:26:00Z</dcterms:created>
  <dcterms:modified xsi:type="dcterms:W3CDTF">2019-12-17T17:35:00Z</dcterms:modified>
</cp:coreProperties>
</file>