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FE1" w:rsidRPr="00B06612" w:rsidRDefault="00AD1FE1" w:rsidP="00B06612">
      <w:pPr>
        <w:spacing w:before="240" w:after="240" w:line="360" w:lineRule="auto"/>
        <w:ind w:right="-142"/>
        <w:jc w:val="center"/>
        <w:rPr>
          <w:rFonts w:ascii="Palatino Linotype" w:eastAsiaTheme="minorEastAsia" w:hAnsi="Palatino Linotype"/>
          <w:b/>
          <w:sz w:val="24"/>
          <w:szCs w:val="24"/>
          <w:lang w:val="es-ES_tradnl" w:eastAsia="es-ES"/>
        </w:rPr>
      </w:pPr>
      <w:r w:rsidRPr="00B06612">
        <w:rPr>
          <w:rFonts w:ascii="Palatino Linotype" w:eastAsiaTheme="minorEastAsia" w:hAnsi="Palatino Linotype"/>
          <w:b/>
          <w:sz w:val="24"/>
          <w:szCs w:val="24"/>
          <w:lang w:val="es-ES_tradnl" w:eastAsia="es-ES"/>
        </w:rPr>
        <w:t>LÍNEAS ARGUMENTATIVAS</w:t>
      </w:r>
    </w:p>
    <w:p w:rsidR="00AD1FE1" w:rsidRPr="00B06612" w:rsidRDefault="00AD1FE1" w:rsidP="00B06612">
      <w:pPr>
        <w:spacing w:after="0" w:line="360" w:lineRule="auto"/>
        <w:jc w:val="both"/>
        <w:rPr>
          <w:rFonts w:ascii="Palatino Linotype" w:eastAsia="Arial Unicode MS" w:hAnsi="Palatino Linotype" w:cs="Arial"/>
          <w:sz w:val="24"/>
          <w:szCs w:val="24"/>
          <w:lang w:val="es-ES_tradnl" w:eastAsia="es-ES"/>
        </w:rPr>
      </w:pPr>
      <w:r w:rsidRPr="00B06612">
        <w:rPr>
          <w:rFonts w:ascii="Palatino Linotype" w:eastAsia="Arial Unicode MS" w:hAnsi="Palatino Linotype" w:cs="Arial"/>
          <w:b/>
          <w:sz w:val="24"/>
          <w:szCs w:val="24"/>
          <w:lang w:val="es-ES_tradnl" w:eastAsia="es-ES"/>
        </w:rPr>
        <w:t>DEBERES DE LAS AUTORIDADES</w:t>
      </w:r>
      <w:r w:rsidRPr="00B06612">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AD1FE1" w:rsidRPr="00B06612" w:rsidRDefault="00AD1FE1" w:rsidP="00B06612">
      <w:pPr>
        <w:spacing w:after="0" w:line="360" w:lineRule="auto"/>
        <w:contextualSpacing/>
        <w:jc w:val="both"/>
        <w:rPr>
          <w:rFonts w:ascii="Palatino Linotype" w:eastAsia="Calibri" w:hAnsi="Palatino Linotype" w:cs="Times New Roman"/>
          <w:b/>
          <w:sz w:val="24"/>
          <w:szCs w:val="24"/>
        </w:rPr>
      </w:pPr>
    </w:p>
    <w:p w:rsidR="00AD1FE1" w:rsidRPr="00B06612" w:rsidRDefault="00AD1FE1" w:rsidP="00B06612">
      <w:pPr>
        <w:spacing w:after="0" w:line="360" w:lineRule="auto"/>
        <w:jc w:val="both"/>
        <w:rPr>
          <w:rFonts w:ascii="Palatino Linotype" w:eastAsia="Calibri" w:hAnsi="Palatino Linotype" w:cs="Times New Roman"/>
          <w:sz w:val="24"/>
          <w:szCs w:val="24"/>
          <w:lang w:val="es-ES_tradnl" w:eastAsia="es-ES"/>
        </w:rPr>
      </w:pPr>
      <w:r w:rsidRPr="00B06612">
        <w:rPr>
          <w:rFonts w:ascii="Palatino Linotype" w:eastAsia="Calibri" w:hAnsi="Palatino Linotype" w:cs="Times New Roman"/>
          <w:b/>
          <w:sz w:val="24"/>
          <w:szCs w:val="24"/>
          <w:lang w:val="es-ES_tradnl" w:eastAsia="es-ES"/>
        </w:rPr>
        <w:t>DE LA GARANTÍA DE PROPORCIONAR LA INFORMACIÓN PÚBLICA GUBERNAMENTAL.</w:t>
      </w:r>
      <w:r w:rsidRPr="00B06612">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AD1FE1" w:rsidRPr="00B06612" w:rsidRDefault="00AD1FE1" w:rsidP="00B06612">
      <w:pPr>
        <w:spacing w:before="240" w:after="240" w:line="360" w:lineRule="auto"/>
        <w:ind w:right="-142"/>
        <w:jc w:val="both"/>
        <w:rPr>
          <w:rFonts w:ascii="Palatino Linotype" w:eastAsia="Times New Roman" w:hAnsi="Palatino Linotype" w:cs="Arial"/>
          <w:color w:val="000000"/>
          <w:sz w:val="24"/>
          <w:szCs w:val="24"/>
          <w:lang w:val="es-ES_tradnl" w:eastAsia="es-MX"/>
        </w:rPr>
      </w:pPr>
      <w:r w:rsidRPr="00B06612">
        <w:rPr>
          <w:rFonts w:ascii="Palatino Linotype" w:eastAsia="Times New Roman" w:hAnsi="Palatino Linotype" w:cs="Arial"/>
          <w:b/>
          <w:color w:val="000000"/>
          <w:sz w:val="24"/>
          <w:szCs w:val="24"/>
          <w:lang w:val="es-ES_tradnl" w:eastAsia="es-MX"/>
        </w:rPr>
        <w:t xml:space="preserve">DE LA SUPLENCIA DE LA QUEJA. </w:t>
      </w:r>
      <w:r w:rsidRPr="00B06612">
        <w:rPr>
          <w:rFonts w:ascii="Palatino Linotype" w:eastAsia="Times New Roman" w:hAnsi="Palatino Linotype" w:cs="Arial"/>
          <w:color w:val="000000"/>
          <w:sz w:val="24"/>
          <w:szCs w:val="24"/>
          <w:lang w:val="es-ES_tradnl" w:eastAsia="es-MX"/>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B06612">
        <w:rPr>
          <w:rFonts w:ascii="Palatino Linotype" w:eastAsia="Times New Roman" w:hAnsi="Palatino Linotype" w:cs="Arial"/>
          <w:color w:val="000000"/>
          <w:sz w:val="24"/>
          <w:szCs w:val="24"/>
          <w:lang w:val="es-ES_tradnl" w:eastAsia="es-MX"/>
        </w:rPr>
        <w:t>promovente</w:t>
      </w:r>
      <w:proofErr w:type="spellEnd"/>
      <w:r w:rsidRPr="00B06612">
        <w:rPr>
          <w:rFonts w:ascii="Palatino Linotype" w:eastAsia="Times New Roman" w:hAnsi="Palatino Linotype" w:cs="Arial"/>
          <w:color w:val="000000"/>
          <w:sz w:val="24"/>
          <w:szCs w:val="24"/>
          <w:lang w:val="es-ES_tradnl" w:eastAsia="es-MX"/>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B06612">
        <w:rPr>
          <w:rFonts w:ascii="Palatino Linotype" w:eastAsia="Times New Roman" w:hAnsi="Palatino Linotype" w:cs="Arial"/>
          <w:color w:val="000000"/>
          <w:sz w:val="24"/>
          <w:szCs w:val="24"/>
          <w:lang w:val="es-ES_tradnl" w:eastAsia="es-MX"/>
        </w:rPr>
        <w:t>pro</w:t>
      </w:r>
      <w:proofErr w:type="spellEnd"/>
      <w:r w:rsidRPr="00B06612">
        <w:rPr>
          <w:rFonts w:ascii="Palatino Linotype" w:eastAsia="Times New Roman" w:hAnsi="Palatino Linotype" w:cs="Arial"/>
          <w:color w:val="000000"/>
          <w:sz w:val="24"/>
          <w:szCs w:val="24"/>
          <w:lang w:val="es-ES_tradnl" w:eastAsia="es-MX"/>
        </w:rPr>
        <w:t xml:space="preserve"> persona.</w:t>
      </w:r>
    </w:p>
    <w:p w:rsidR="00AD71A8" w:rsidRPr="00B06612" w:rsidRDefault="00AD71A8" w:rsidP="00B06612">
      <w:pPr>
        <w:spacing w:before="240" w:after="240" w:line="360" w:lineRule="auto"/>
        <w:ind w:right="-142"/>
        <w:jc w:val="both"/>
        <w:rPr>
          <w:rFonts w:ascii="Palatino Linotype" w:eastAsia="Times New Roman" w:hAnsi="Palatino Linotype" w:cs="Arial"/>
          <w:color w:val="000000"/>
          <w:sz w:val="24"/>
          <w:szCs w:val="24"/>
          <w:lang w:val="es-ES" w:eastAsia="es-MX"/>
        </w:rPr>
      </w:pPr>
    </w:p>
    <w:p w:rsidR="00AD1FE1" w:rsidRPr="00B06612" w:rsidRDefault="00AD1FE1" w:rsidP="00B06612">
      <w:pPr>
        <w:spacing w:before="240" w:after="240" w:line="360" w:lineRule="auto"/>
        <w:ind w:right="-142"/>
        <w:jc w:val="center"/>
        <w:rPr>
          <w:rFonts w:ascii="Palatino Linotype" w:eastAsiaTheme="minorEastAsia" w:hAnsi="Palatino Linotype"/>
          <w:sz w:val="24"/>
          <w:szCs w:val="24"/>
          <w:lang w:val="es-ES_tradnl" w:eastAsia="es-ES"/>
        </w:rPr>
      </w:pPr>
      <w:r w:rsidRPr="00B06612">
        <w:rPr>
          <w:rFonts w:ascii="Palatino Linotype" w:eastAsiaTheme="minorEastAsia" w:hAnsi="Palatino Linotype"/>
          <w:b/>
          <w:sz w:val="24"/>
          <w:szCs w:val="24"/>
          <w:lang w:val="es-ES_tradnl" w:eastAsia="es-ES"/>
        </w:rPr>
        <w:lastRenderedPageBreak/>
        <w:t>Índice</w:t>
      </w:r>
      <w:r w:rsidRPr="00B06612">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AD71A8" w:rsidRPr="00B06612" w:rsidRDefault="00AD1FE1" w:rsidP="00B06612">
          <w:pPr>
            <w:keepNext/>
            <w:keepLines/>
            <w:spacing w:before="240" w:after="0" w:line="360" w:lineRule="auto"/>
            <w:ind w:right="-142"/>
            <w:rPr>
              <w:rFonts w:ascii="Palatino Linotype" w:eastAsiaTheme="majorEastAsia" w:hAnsi="Palatino Linotype" w:cstheme="majorBidi"/>
              <w:b/>
              <w:noProof/>
              <w:sz w:val="24"/>
              <w:szCs w:val="24"/>
              <w:lang w:eastAsia="es-MX"/>
            </w:rPr>
          </w:pPr>
          <w:r w:rsidRPr="00B06612">
            <w:rPr>
              <w:rFonts w:ascii="Palatino Linotype" w:eastAsiaTheme="minorEastAsia" w:hAnsi="Palatino Linotype"/>
              <w:b/>
              <w:sz w:val="24"/>
              <w:szCs w:val="24"/>
              <w:lang w:val="es-ES_tradnl" w:eastAsia="es-ES"/>
            </w:rPr>
            <w:fldChar w:fldCharType="begin"/>
          </w:r>
          <w:r w:rsidRPr="00B06612">
            <w:rPr>
              <w:rFonts w:ascii="Palatino Linotype" w:eastAsiaTheme="minorEastAsia" w:hAnsi="Palatino Linotype"/>
              <w:b/>
              <w:sz w:val="24"/>
              <w:szCs w:val="24"/>
              <w:lang w:val="es-ES_tradnl" w:eastAsia="es-ES"/>
            </w:rPr>
            <w:instrText xml:space="preserve"> TOC \o "1-3" \h \z \u </w:instrText>
          </w:r>
          <w:r w:rsidRPr="00B06612">
            <w:rPr>
              <w:rFonts w:ascii="Palatino Linotype" w:eastAsiaTheme="minorEastAsia" w:hAnsi="Palatino Linotype"/>
              <w:b/>
              <w:sz w:val="24"/>
              <w:szCs w:val="24"/>
              <w:lang w:val="es-ES_tradnl" w:eastAsia="es-ES"/>
            </w:rPr>
            <w:fldChar w:fldCharType="separate"/>
          </w:r>
          <w:hyperlink w:anchor="_Toc12379989" w:history="1">
            <w:r w:rsidR="00AD71A8" w:rsidRPr="00B06612">
              <w:rPr>
                <w:rStyle w:val="Hipervnculo"/>
                <w:rFonts w:ascii="Palatino Linotype" w:eastAsiaTheme="majorEastAsia" w:hAnsi="Palatino Linotype" w:cstheme="majorBidi"/>
                <w:b/>
                <w:noProof/>
                <w:sz w:val="24"/>
                <w:szCs w:val="24"/>
              </w:rPr>
              <w:t>A N T E C E D E N T E S</w:t>
            </w:r>
            <w:r w:rsidR="00AD71A8" w:rsidRPr="00B06612">
              <w:rPr>
                <w:rFonts w:ascii="Palatino Linotype" w:hAnsi="Palatino Linotype"/>
                <w:noProof/>
                <w:webHidden/>
                <w:sz w:val="24"/>
                <w:szCs w:val="24"/>
              </w:rPr>
              <w:tab/>
            </w:r>
            <w:r w:rsidR="00B06612">
              <w:rPr>
                <w:rFonts w:ascii="Palatino Linotype" w:hAnsi="Palatino Linotype"/>
                <w:noProof/>
                <w:webHidden/>
                <w:sz w:val="24"/>
                <w:szCs w:val="24"/>
              </w:rPr>
              <w:t>……………………………………………………………….</w:t>
            </w:r>
            <w:r w:rsidR="00AD71A8" w:rsidRPr="00B06612">
              <w:rPr>
                <w:rFonts w:ascii="Palatino Linotype" w:hAnsi="Palatino Linotype"/>
                <w:noProof/>
                <w:webHidden/>
                <w:sz w:val="24"/>
                <w:szCs w:val="24"/>
              </w:rPr>
              <w:fldChar w:fldCharType="begin"/>
            </w:r>
            <w:r w:rsidR="00AD71A8" w:rsidRPr="00B06612">
              <w:rPr>
                <w:rFonts w:ascii="Palatino Linotype" w:hAnsi="Palatino Linotype"/>
                <w:noProof/>
                <w:webHidden/>
                <w:sz w:val="24"/>
                <w:szCs w:val="24"/>
              </w:rPr>
              <w:instrText xml:space="preserve"> PAGEREF _Toc12379989 \h </w:instrText>
            </w:r>
            <w:r w:rsidR="00AD71A8" w:rsidRPr="00B06612">
              <w:rPr>
                <w:rFonts w:ascii="Palatino Linotype" w:hAnsi="Palatino Linotype"/>
                <w:noProof/>
                <w:webHidden/>
                <w:sz w:val="24"/>
                <w:szCs w:val="24"/>
              </w:rPr>
            </w:r>
            <w:r w:rsidR="00AD71A8" w:rsidRPr="00B06612">
              <w:rPr>
                <w:rFonts w:ascii="Palatino Linotype" w:hAnsi="Palatino Linotype"/>
                <w:noProof/>
                <w:webHidden/>
                <w:sz w:val="24"/>
                <w:szCs w:val="24"/>
              </w:rPr>
              <w:fldChar w:fldCharType="separate"/>
            </w:r>
            <w:r w:rsidR="00C27F72">
              <w:rPr>
                <w:rFonts w:ascii="Palatino Linotype" w:hAnsi="Palatino Linotype"/>
                <w:noProof/>
                <w:webHidden/>
                <w:sz w:val="24"/>
                <w:szCs w:val="24"/>
              </w:rPr>
              <w:t>3</w:t>
            </w:r>
            <w:r w:rsidR="00AD71A8" w:rsidRPr="00B06612">
              <w:rPr>
                <w:rFonts w:ascii="Palatino Linotype" w:hAnsi="Palatino Linotype"/>
                <w:noProof/>
                <w:webHidden/>
                <w:sz w:val="24"/>
                <w:szCs w:val="24"/>
              </w:rPr>
              <w:fldChar w:fldCharType="end"/>
            </w:r>
          </w:hyperlink>
        </w:p>
        <w:p w:rsidR="00AD71A8" w:rsidRPr="00B06612" w:rsidRDefault="00DB6572" w:rsidP="00B06612">
          <w:pPr>
            <w:pStyle w:val="TDC1"/>
            <w:tabs>
              <w:tab w:val="right" w:leader="dot" w:pos="8828"/>
            </w:tabs>
            <w:spacing w:line="360" w:lineRule="auto"/>
            <w:rPr>
              <w:rFonts w:ascii="Palatino Linotype" w:eastAsiaTheme="minorEastAsia" w:hAnsi="Palatino Linotype"/>
              <w:noProof/>
              <w:sz w:val="24"/>
              <w:szCs w:val="24"/>
              <w:lang w:eastAsia="es-MX"/>
            </w:rPr>
          </w:pPr>
          <w:hyperlink w:anchor="_Toc12379990" w:history="1">
            <w:r w:rsidR="00AD71A8" w:rsidRPr="00B06612">
              <w:rPr>
                <w:rStyle w:val="Hipervnculo"/>
                <w:rFonts w:ascii="Palatino Linotype" w:eastAsiaTheme="majorEastAsia" w:hAnsi="Palatino Linotype" w:cstheme="majorBidi"/>
                <w:b/>
                <w:noProof/>
                <w:sz w:val="24"/>
                <w:szCs w:val="24"/>
              </w:rPr>
              <w:t>C O N S I D E R A N D O</w:t>
            </w:r>
            <w:r w:rsidR="00AD71A8" w:rsidRPr="00B06612">
              <w:rPr>
                <w:rFonts w:ascii="Palatino Linotype" w:hAnsi="Palatino Linotype"/>
                <w:noProof/>
                <w:webHidden/>
                <w:sz w:val="24"/>
                <w:szCs w:val="24"/>
              </w:rPr>
              <w:tab/>
            </w:r>
            <w:r w:rsidR="00AD71A8" w:rsidRPr="00B06612">
              <w:rPr>
                <w:rFonts w:ascii="Palatino Linotype" w:hAnsi="Palatino Linotype"/>
                <w:noProof/>
                <w:webHidden/>
                <w:sz w:val="24"/>
                <w:szCs w:val="24"/>
              </w:rPr>
              <w:fldChar w:fldCharType="begin"/>
            </w:r>
            <w:r w:rsidR="00AD71A8" w:rsidRPr="00B06612">
              <w:rPr>
                <w:rFonts w:ascii="Palatino Linotype" w:hAnsi="Palatino Linotype"/>
                <w:noProof/>
                <w:webHidden/>
                <w:sz w:val="24"/>
                <w:szCs w:val="24"/>
              </w:rPr>
              <w:instrText xml:space="preserve"> PAGEREF _Toc12379990 \h </w:instrText>
            </w:r>
            <w:r w:rsidR="00AD71A8" w:rsidRPr="00B06612">
              <w:rPr>
                <w:rFonts w:ascii="Palatino Linotype" w:hAnsi="Palatino Linotype"/>
                <w:noProof/>
                <w:webHidden/>
                <w:sz w:val="24"/>
                <w:szCs w:val="24"/>
              </w:rPr>
            </w:r>
            <w:r w:rsidR="00AD71A8" w:rsidRPr="00B06612">
              <w:rPr>
                <w:rFonts w:ascii="Palatino Linotype" w:hAnsi="Palatino Linotype"/>
                <w:noProof/>
                <w:webHidden/>
                <w:sz w:val="24"/>
                <w:szCs w:val="24"/>
              </w:rPr>
              <w:fldChar w:fldCharType="separate"/>
            </w:r>
            <w:r w:rsidR="00C27F72">
              <w:rPr>
                <w:rFonts w:ascii="Palatino Linotype" w:hAnsi="Palatino Linotype"/>
                <w:noProof/>
                <w:webHidden/>
                <w:sz w:val="24"/>
                <w:szCs w:val="24"/>
              </w:rPr>
              <w:t>6</w:t>
            </w:r>
            <w:r w:rsidR="00AD71A8" w:rsidRPr="00B06612">
              <w:rPr>
                <w:rFonts w:ascii="Palatino Linotype" w:hAnsi="Palatino Linotype"/>
                <w:noProof/>
                <w:webHidden/>
                <w:sz w:val="24"/>
                <w:szCs w:val="24"/>
              </w:rPr>
              <w:fldChar w:fldCharType="end"/>
            </w:r>
          </w:hyperlink>
        </w:p>
        <w:p w:rsidR="00AD71A8" w:rsidRPr="00B06612" w:rsidRDefault="00DB6572" w:rsidP="00B06612">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12379991" w:history="1">
            <w:r w:rsidR="00AD71A8" w:rsidRPr="00B06612">
              <w:rPr>
                <w:rStyle w:val="Hipervnculo"/>
                <w:rFonts w:ascii="Palatino Linotype" w:eastAsiaTheme="majorEastAsia" w:hAnsi="Palatino Linotype" w:cstheme="majorBidi"/>
                <w:b/>
                <w:noProof/>
                <w:sz w:val="24"/>
                <w:szCs w:val="24"/>
              </w:rPr>
              <w:t>PRIMERO. De la competencia.</w:t>
            </w:r>
            <w:r w:rsidR="00AD71A8" w:rsidRPr="00B06612">
              <w:rPr>
                <w:rFonts w:ascii="Palatino Linotype" w:hAnsi="Palatino Linotype"/>
                <w:noProof/>
                <w:webHidden/>
                <w:sz w:val="24"/>
                <w:szCs w:val="24"/>
              </w:rPr>
              <w:tab/>
            </w:r>
            <w:r w:rsidR="00AD71A8" w:rsidRPr="00B06612">
              <w:rPr>
                <w:rFonts w:ascii="Palatino Linotype" w:hAnsi="Palatino Linotype"/>
                <w:noProof/>
                <w:webHidden/>
                <w:sz w:val="24"/>
                <w:szCs w:val="24"/>
              </w:rPr>
              <w:fldChar w:fldCharType="begin"/>
            </w:r>
            <w:r w:rsidR="00AD71A8" w:rsidRPr="00B06612">
              <w:rPr>
                <w:rFonts w:ascii="Palatino Linotype" w:hAnsi="Palatino Linotype"/>
                <w:noProof/>
                <w:webHidden/>
                <w:sz w:val="24"/>
                <w:szCs w:val="24"/>
              </w:rPr>
              <w:instrText xml:space="preserve"> PAGEREF _Toc12379991 \h </w:instrText>
            </w:r>
            <w:r w:rsidR="00AD71A8" w:rsidRPr="00B06612">
              <w:rPr>
                <w:rFonts w:ascii="Palatino Linotype" w:hAnsi="Palatino Linotype"/>
                <w:noProof/>
                <w:webHidden/>
                <w:sz w:val="24"/>
                <w:szCs w:val="24"/>
              </w:rPr>
            </w:r>
            <w:r w:rsidR="00AD71A8" w:rsidRPr="00B06612">
              <w:rPr>
                <w:rFonts w:ascii="Palatino Linotype" w:hAnsi="Palatino Linotype"/>
                <w:noProof/>
                <w:webHidden/>
                <w:sz w:val="24"/>
                <w:szCs w:val="24"/>
              </w:rPr>
              <w:fldChar w:fldCharType="separate"/>
            </w:r>
            <w:r w:rsidR="00C27F72">
              <w:rPr>
                <w:rFonts w:ascii="Palatino Linotype" w:hAnsi="Palatino Linotype"/>
                <w:noProof/>
                <w:webHidden/>
                <w:sz w:val="24"/>
                <w:szCs w:val="24"/>
              </w:rPr>
              <w:t>6</w:t>
            </w:r>
            <w:r w:rsidR="00AD71A8" w:rsidRPr="00B06612">
              <w:rPr>
                <w:rFonts w:ascii="Palatino Linotype" w:hAnsi="Palatino Linotype"/>
                <w:noProof/>
                <w:webHidden/>
                <w:sz w:val="24"/>
                <w:szCs w:val="24"/>
              </w:rPr>
              <w:fldChar w:fldCharType="end"/>
            </w:r>
          </w:hyperlink>
        </w:p>
        <w:p w:rsidR="00AD71A8" w:rsidRPr="00B06612" w:rsidRDefault="00DB6572" w:rsidP="00B06612">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12379992" w:history="1">
            <w:r w:rsidR="00AD71A8" w:rsidRPr="00B06612">
              <w:rPr>
                <w:rStyle w:val="Hipervnculo"/>
                <w:rFonts w:ascii="Palatino Linotype" w:eastAsiaTheme="majorEastAsia" w:hAnsi="Palatino Linotype" w:cstheme="majorBidi"/>
                <w:b/>
                <w:noProof/>
                <w:sz w:val="24"/>
                <w:szCs w:val="24"/>
              </w:rPr>
              <w:t>SEGUNDO. De la oportunidad y procedencia.</w:t>
            </w:r>
            <w:r w:rsidR="00AD71A8" w:rsidRPr="00B06612">
              <w:rPr>
                <w:rFonts w:ascii="Palatino Linotype" w:hAnsi="Palatino Linotype"/>
                <w:noProof/>
                <w:webHidden/>
                <w:sz w:val="24"/>
                <w:szCs w:val="24"/>
              </w:rPr>
              <w:tab/>
            </w:r>
            <w:r w:rsidR="00AD71A8" w:rsidRPr="00B06612">
              <w:rPr>
                <w:rFonts w:ascii="Palatino Linotype" w:hAnsi="Palatino Linotype"/>
                <w:noProof/>
                <w:webHidden/>
                <w:sz w:val="24"/>
                <w:szCs w:val="24"/>
              </w:rPr>
              <w:fldChar w:fldCharType="begin"/>
            </w:r>
            <w:r w:rsidR="00AD71A8" w:rsidRPr="00B06612">
              <w:rPr>
                <w:rFonts w:ascii="Palatino Linotype" w:hAnsi="Palatino Linotype"/>
                <w:noProof/>
                <w:webHidden/>
                <w:sz w:val="24"/>
                <w:szCs w:val="24"/>
              </w:rPr>
              <w:instrText xml:space="preserve"> PAGEREF _Toc12379992 \h </w:instrText>
            </w:r>
            <w:r w:rsidR="00AD71A8" w:rsidRPr="00B06612">
              <w:rPr>
                <w:rFonts w:ascii="Palatino Linotype" w:hAnsi="Palatino Linotype"/>
                <w:noProof/>
                <w:webHidden/>
                <w:sz w:val="24"/>
                <w:szCs w:val="24"/>
              </w:rPr>
            </w:r>
            <w:r w:rsidR="00AD71A8" w:rsidRPr="00B06612">
              <w:rPr>
                <w:rFonts w:ascii="Palatino Linotype" w:hAnsi="Palatino Linotype"/>
                <w:noProof/>
                <w:webHidden/>
                <w:sz w:val="24"/>
                <w:szCs w:val="24"/>
              </w:rPr>
              <w:fldChar w:fldCharType="separate"/>
            </w:r>
            <w:r w:rsidR="00C27F72">
              <w:rPr>
                <w:rFonts w:ascii="Palatino Linotype" w:hAnsi="Palatino Linotype"/>
                <w:noProof/>
                <w:webHidden/>
                <w:sz w:val="24"/>
                <w:szCs w:val="24"/>
              </w:rPr>
              <w:t>7</w:t>
            </w:r>
            <w:r w:rsidR="00AD71A8" w:rsidRPr="00B06612">
              <w:rPr>
                <w:rFonts w:ascii="Palatino Linotype" w:hAnsi="Palatino Linotype"/>
                <w:noProof/>
                <w:webHidden/>
                <w:sz w:val="24"/>
                <w:szCs w:val="24"/>
              </w:rPr>
              <w:fldChar w:fldCharType="end"/>
            </w:r>
          </w:hyperlink>
        </w:p>
        <w:p w:rsidR="00AD71A8" w:rsidRPr="00B06612" w:rsidRDefault="00DB6572" w:rsidP="00B06612">
          <w:pPr>
            <w:pStyle w:val="TDC1"/>
            <w:tabs>
              <w:tab w:val="right" w:leader="dot" w:pos="8828"/>
            </w:tabs>
            <w:spacing w:line="360" w:lineRule="auto"/>
            <w:rPr>
              <w:rFonts w:ascii="Palatino Linotype" w:eastAsiaTheme="minorEastAsia" w:hAnsi="Palatino Linotype"/>
              <w:noProof/>
              <w:sz w:val="24"/>
              <w:szCs w:val="24"/>
              <w:lang w:eastAsia="es-MX"/>
            </w:rPr>
          </w:pPr>
          <w:hyperlink w:anchor="_Toc12379993" w:history="1">
            <w:r w:rsidR="00AD71A8" w:rsidRPr="00B06612">
              <w:rPr>
                <w:rStyle w:val="Hipervnculo"/>
                <w:rFonts w:ascii="Palatino Linotype" w:eastAsia="MS Mincho" w:hAnsi="Palatino Linotype"/>
                <w:b/>
                <w:noProof/>
                <w:sz w:val="24"/>
                <w:szCs w:val="24"/>
                <w:lang w:val="es-ES_tradnl" w:eastAsia="es-ES"/>
              </w:rPr>
              <w:t>TERCERO. Del planteamiento de la Litis.</w:t>
            </w:r>
            <w:r w:rsidR="00AD71A8" w:rsidRPr="00B06612">
              <w:rPr>
                <w:rFonts w:ascii="Palatino Linotype" w:hAnsi="Palatino Linotype"/>
                <w:noProof/>
                <w:webHidden/>
                <w:sz w:val="24"/>
                <w:szCs w:val="24"/>
              </w:rPr>
              <w:tab/>
            </w:r>
            <w:r w:rsidR="00AD71A8" w:rsidRPr="00B06612">
              <w:rPr>
                <w:rFonts w:ascii="Palatino Linotype" w:hAnsi="Palatino Linotype"/>
                <w:noProof/>
                <w:webHidden/>
                <w:sz w:val="24"/>
                <w:szCs w:val="24"/>
              </w:rPr>
              <w:fldChar w:fldCharType="begin"/>
            </w:r>
            <w:r w:rsidR="00AD71A8" w:rsidRPr="00B06612">
              <w:rPr>
                <w:rFonts w:ascii="Palatino Linotype" w:hAnsi="Palatino Linotype"/>
                <w:noProof/>
                <w:webHidden/>
                <w:sz w:val="24"/>
                <w:szCs w:val="24"/>
              </w:rPr>
              <w:instrText xml:space="preserve"> PAGEREF _Toc12379993 \h </w:instrText>
            </w:r>
            <w:r w:rsidR="00AD71A8" w:rsidRPr="00B06612">
              <w:rPr>
                <w:rFonts w:ascii="Palatino Linotype" w:hAnsi="Palatino Linotype"/>
                <w:noProof/>
                <w:webHidden/>
                <w:sz w:val="24"/>
                <w:szCs w:val="24"/>
              </w:rPr>
            </w:r>
            <w:r w:rsidR="00AD71A8" w:rsidRPr="00B06612">
              <w:rPr>
                <w:rFonts w:ascii="Palatino Linotype" w:hAnsi="Palatino Linotype"/>
                <w:noProof/>
                <w:webHidden/>
                <w:sz w:val="24"/>
                <w:szCs w:val="24"/>
              </w:rPr>
              <w:fldChar w:fldCharType="separate"/>
            </w:r>
            <w:r w:rsidR="00C27F72">
              <w:rPr>
                <w:rFonts w:ascii="Palatino Linotype" w:hAnsi="Palatino Linotype"/>
                <w:noProof/>
                <w:webHidden/>
                <w:sz w:val="24"/>
                <w:szCs w:val="24"/>
              </w:rPr>
              <w:t>12</w:t>
            </w:r>
            <w:r w:rsidR="00AD71A8" w:rsidRPr="00B06612">
              <w:rPr>
                <w:rFonts w:ascii="Palatino Linotype" w:hAnsi="Palatino Linotype"/>
                <w:noProof/>
                <w:webHidden/>
                <w:sz w:val="24"/>
                <w:szCs w:val="24"/>
              </w:rPr>
              <w:fldChar w:fldCharType="end"/>
            </w:r>
          </w:hyperlink>
        </w:p>
        <w:p w:rsidR="00AD71A8" w:rsidRPr="00B06612" w:rsidRDefault="00DB6572" w:rsidP="00B06612">
          <w:pPr>
            <w:pStyle w:val="TDC1"/>
            <w:tabs>
              <w:tab w:val="right" w:leader="dot" w:pos="8828"/>
            </w:tabs>
            <w:spacing w:line="360" w:lineRule="auto"/>
            <w:rPr>
              <w:rFonts w:ascii="Palatino Linotype" w:eastAsiaTheme="minorEastAsia" w:hAnsi="Palatino Linotype"/>
              <w:noProof/>
              <w:sz w:val="24"/>
              <w:szCs w:val="24"/>
              <w:lang w:eastAsia="es-MX"/>
            </w:rPr>
          </w:pPr>
          <w:hyperlink w:anchor="_Toc12379994" w:history="1">
            <w:r w:rsidR="00AD71A8" w:rsidRPr="00B06612">
              <w:rPr>
                <w:rStyle w:val="Hipervnculo"/>
                <w:rFonts w:ascii="Palatino Linotype" w:eastAsia="MS Gothic" w:hAnsi="Palatino Linotype" w:cstheme="majorBidi"/>
                <w:b/>
                <w:noProof/>
                <w:sz w:val="24"/>
                <w:szCs w:val="24"/>
                <w:lang w:val="es-ES_tradnl" w:eastAsia="es-ES"/>
              </w:rPr>
              <w:t>CUARTO. Del estudio y resolución del recurso de revisión.</w:t>
            </w:r>
            <w:r w:rsidR="00AD71A8" w:rsidRPr="00B06612">
              <w:rPr>
                <w:rFonts w:ascii="Palatino Linotype" w:hAnsi="Palatino Linotype"/>
                <w:noProof/>
                <w:webHidden/>
                <w:sz w:val="24"/>
                <w:szCs w:val="24"/>
              </w:rPr>
              <w:tab/>
            </w:r>
            <w:r w:rsidR="00AD71A8" w:rsidRPr="00B06612">
              <w:rPr>
                <w:rFonts w:ascii="Palatino Linotype" w:hAnsi="Palatino Linotype"/>
                <w:noProof/>
                <w:webHidden/>
                <w:sz w:val="24"/>
                <w:szCs w:val="24"/>
              </w:rPr>
              <w:fldChar w:fldCharType="begin"/>
            </w:r>
            <w:r w:rsidR="00AD71A8" w:rsidRPr="00B06612">
              <w:rPr>
                <w:rFonts w:ascii="Palatino Linotype" w:hAnsi="Palatino Linotype"/>
                <w:noProof/>
                <w:webHidden/>
                <w:sz w:val="24"/>
                <w:szCs w:val="24"/>
              </w:rPr>
              <w:instrText xml:space="preserve"> PAGEREF _Toc12379994 \h </w:instrText>
            </w:r>
            <w:r w:rsidR="00AD71A8" w:rsidRPr="00B06612">
              <w:rPr>
                <w:rFonts w:ascii="Palatino Linotype" w:hAnsi="Palatino Linotype"/>
                <w:noProof/>
                <w:webHidden/>
                <w:sz w:val="24"/>
                <w:szCs w:val="24"/>
              </w:rPr>
            </w:r>
            <w:r w:rsidR="00AD71A8" w:rsidRPr="00B06612">
              <w:rPr>
                <w:rFonts w:ascii="Palatino Linotype" w:hAnsi="Palatino Linotype"/>
                <w:noProof/>
                <w:webHidden/>
                <w:sz w:val="24"/>
                <w:szCs w:val="24"/>
              </w:rPr>
              <w:fldChar w:fldCharType="separate"/>
            </w:r>
            <w:r w:rsidR="00C27F72">
              <w:rPr>
                <w:rFonts w:ascii="Palatino Linotype" w:hAnsi="Palatino Linotype"/>
                <w:noProof/>
                <w:webHidden/>
                <w:sz w:val="24"/>
                <w:szCs w:val="24"/>
              </w:rPr>
              <w:t>12</w:t>
            </w:r>
            <w:r w:rsidR="00AD71A8" w:rsidRPr="00B06612">
              <w:rPr>
                <w:rFonts w:ascii="Palatino Linotype" w:hAnsi="Palatino Linotype"/>
                <w:noProof/>
                <w:webHidden/>
                <w:sz w:val="24"/>
                <w:szCs w:val="24"/>
              </w:rPr>
              <w:fldChar w:fldCharType="end"/>
            </w:r>
          </w:hyperlink>
        </w:p>
        <w:p w:rsidR="00AD71A8" w:rsidRPr="00B06612" w:rsidRDefault="00DB6572" w:rsidP="00B06612">
          <w:pPr>
            <w:pStyle w:val="TDC1"/>
            <w:tabs>
              <w:tab w:val="left" w:pos="440"/>
              <w:tab w:val="right" w:leader="dot" w:pos="8828"/>
            </w:tabs>
            <w:spacing w:line="360" w:lineRule="auto"/>
            <w:rPr>
              <w:rFonts w:ascii="Palatino Linotype" w:eastAsiaTheme="minorEastAsia" w:hAnsi="Palatino Linotype"/>
              <w:noProof/>
              <w:sz w:val="24"/>
              <w:szCs w:val="24"/>
              <w:lang w:eastAsia="es-MX"/>
            </w:rPr>
          </w:pPr>
          <w:hyperlink w:anchor="_Toc12379995" w:history="1">
            <w:r w:rsidR="00AD71A8" w:rsidRPr="00B06612">
              <w:rPr>
                <w:rStyle w:val="Hipervnculo"/>
                <w:rFonts w:ascii="Palatino Linotype" w:hAnsi="Palatino Linotype"/>
                <w:b/>
                <w:i/>
                <w:noProof/>
                <w:sz w:val="24"/>
                <w:szCs w:val="24"/>
                <w:lang w:val="es-ES_tradnl" w:eastAsia="es-MX"/>
              </w:rPr>
              <w:t>I.</w:t>
            </w:r>
            <w:r w:rsidR="00AD71A8" w:rsidRPr="00B06612">
              <w:rPr>
                <w:rFonts w:ascii="Palatino Linotype" w:eastAsiaTheme="minorEastAsia" w:hAnsi="Palatino Linotype"/>
                <w:noProof/>
                <w:sz w:val="24"/>
                <w:szCs w:val="24"/>
                <w:lang w:eastAsia="es-MX"/>
              </w:rPr>
              <w:tab/>
            </w:r>
            <w:r w:rsidR="00AD71A8" w:rsidRPr="00B06612">
              <w:rPr>
                <w:rStyle w:val="Hipervnculo"/>
                <w:rFonts w:ascii="Palatino Linotype" w:eastAsia="MS Gothic" w:hAnsi="Palatino Linotype" w:cstheme="majorBidi"/>
                <w:b/>
                <w:i/>
                <w:noProof/>
                <w:sz w:val="24"/>
                <w:szCs w:val="24"/>
              </w:rPr>
              <w:t>El derecho de acceso a la información publica</w:t>
            </w:r>
            <w:r w:rsidR="00AD71A8" w:rsidRPr="00B06612">
              <w:rPr>
                <w:rStyle w:val="Hipervnculo"/>
                <w:rFonts w:ascii="Palatino Linotype" w:eastAsia="MS Mincho" w:hAnsi="Palatino Linotype" w:cs="Arial"/>
                <w:b/>
                <w:i/>
                <w:noProof/>
                <w:sz w:val="24"/>
                <w:szCs w:val="24"/>
                <w:lang w:val="es-ES_tradnl" w:eastAsia="es-MX"/>
              </w:rPr>
              <w:t>.</w:t>
            </w:r>
            <w:r w:rsidR="00AD71A8" w:rsidRPr="00B06612">
              <w:rPr>
                <w:rFonts w:ascii="Palatino Linotype" w:hAnsi="Palatino Linotype"/>
                <w:noProof/>
                <w:webHidden/>
                <w:sz w:val="24"/>
                <w:szCs w:val="24"/>
              </w:rPr>
              <w:tab/>
            </w:r>
            <w:r w:rsidR="00AD71A8" w:rsidRPr="00B06612">
              <w:rPr>
                <w:rFonts w:ascii="Palatino Linotype" w:hAnsi="Palatino Linotype"/>
                <w:noProof/>
                <w:webHidden/>
                <w:sz w:val="24"/>
                <w:szCs w:val="24"/>
              </w:rPr>
              <w:fldChar w:fldCharType="begin"/>
            </w:r>
            <w:r w:rsidR="00AD71A8" w:rsidRPr="00B06612">
              <w:rPr>
                <w:rFonts w:ascii="Palatino Linotype" w:hAnsi="Palatino Linotype"/>
                <w:noProof/>
                <w:webHidden/>
                <w:sz w:val="24"/>
                <w:szCs w:val="24"/>
              </w:rPr>
              <w:instrText xml:space="preserve"> PAGEREF _Toc12379995 \h </w:instrText>
            </w:r>
            <w:r w:rsidR="00AD71A8" w:rsidRPr="00B06612">
              <w:rPr>
                <w:rFonts w:ascii="Palatino Linotype" w:hAnsi="Palatino Linotype"/>
                <w:noProof/>
                <w:webHidden/>
                <w:sz w:val="24"/>
                <w:szCs w:val="24"/>
              </w:rPr>
            </w:r>
            <w:r w:rsidR="00AD71A8" w:rsidRPr="00B06612">
              <w:rPr>
                <w:rFonts w:ascii="Palatino Linotype" w:hAnsi="Palatino Linotype"/>
                <w:noProof/>
                <w:webHidden/>
                <w:sz w:val="24"/>
                <w:szCs w:val="24"/>
              </w:rPr>
              <w:fldChar w:fldCharType="separate"/>
            </w:r>
            <w:r w:rsidR="00C27F72">
              <w:rPr>
                <w:rFonts w:ascii="Palatino Linotype" w:hAnsi="Palatino Linotype"/>
                <w:noProof/>
                <w:webHidden/>
                <w:sz w:val="24"/>
                <w:szCs w:val="24"/>
              </w:rPr>
              <w:t>12</w:t>
            </w:r>
            <w:r w:rsidR="00AD71A8" w:rsidRPr="00B06612">
              <w:rPr>
                <w:rFonts w:ascii="Palatino Linotype" w:hAnsi="Palatino Linotype"/>
                <w:noProof/>
                <w:webHidden/>
                <w:sz w:val="24"/>
                <w:szCs w:val="24"/>
              </w:rPr>
              <w:fldChar w:fldCharType="end"/>
            </w:r>
          </w:hyperlink>
        </w:p>
        <w:p w:rsidR="00AD71A8" w:rsidRPr="00B06612" w:rsidRDefault="00DB6572" w:rsidP="00B06612">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12379996" w:history="1">
            <w:r w:rsidR="00AD71A8" w:rsidRPr="00B06612">
              <w:rPr>
                <w:rStyle w:val="Hipervnculo"/>
                <w:rFonts w:ascii="Palatino Linotype" w:eastAsia="MS Mincho" w:hAnsi="Palatino Linotype" w:cstheme="majorBidi"/>
                <w:b/>
                <w:i/>
                <w:noProof/>
                <w:sz w:val="24"/>
                <w:szCs w:val="24"/>
                <w:lang w:val="es-ES_tradnl" w:eastAsia="es-ES"/>
              </w:rPr>
              <w:t>II. De la respuesta del Sujeto Obligado.</w:t>
            </w:r>
            <w:r w:rsidR="00AD71A8" w:rsidRPr="00B06612">
              <w:rPr>
                <w:rFonts w:ascii="Palatino Linotype" w:hAnsi="Palatino Linotype"/>
                <w:noProof/>
                <w:webHidden/>
                <w:sz w:val="24"/>
                <w:szCs w:val="24"/>
              </w:rPr>
              <w:tab/>
            </w:r>
            <w:r w:rsidR="00AD71A8" w:rsidRPr="00B06612">
              <w:rPr>
                <w:rFonts w:ascii="Palatino Linotype" w:hAnsi="Palatino Linotype"/>
                <w:noProof/>
                <w:webHidden/>
                <w:sz w:val="24"/>
                <w:szCs w:val="24"/>
              </w:rPr>
              <w:fldChar w:fldCharType="begin"/>
            </w:r>
            <w:r w:rsidR="00AD71A8" w:rsidRPr="00B06612">
              <w:rPr>
                <w:rFonts w:ascii="Palatino Linotype" w:hAnsi="Palatino Linotype"/>
                <w:noProof/>
                <w:webHidden/>
                <w:sz w:val="24"/>
                <w:szCs w:val="24"/>
              </w:rPr>
              <w:instrText xml:space="preserve"> PAGEREF _Toc12379996 \h </w:instrText>
            </w:r>
            <w:r w:rsidR="00AD71A8" w:rsidRPr="00B06612">
              <w:rPr>
                <w:rFonts w:ascii="Palatino Linotype" w:hAnsi="Palatino Linotype"/>
                <w:noProof/>
                <w:webHidden/>
                <w:sz w:val="24"/>
                <w:szCs w:val="24"/>
              </w:rPr>
            </w:r>
            <w:r w:rsidR="00AD71A8" w:rsidRPr="00B06612">
              <w:rPr>
                <w:rFonts w:ascii="Palatino Linotype" w:hAnsi="Palatino Linotype"/>
                <w:noProof/>
                <w:webHidden/>
                <w:sz w:val="24"/>
                <w:szCs w:val="24"/>
              </w:rPr>
              <w:fldChar w:fldCharType="separate"/>
            </w:r>
            <w:r w:rsidR="00C27F72">
              <w:rPr>
                <w:rFonts w:ascii="Palatino Linotype" w:hAnsi="Palatino Linotype"/>
                <w:noProof/>
                <w:webHidden/>
                <w:sz w:val="24"/>
                <w:szCs w:val="24"/>
              </w:rPr>
              <w:t>14</w:t>
            </w:r>
            <w:r w:rsidR="00AD71A8" w:rsidRPr="00B06612">
              <w:rPr>
                <w:rFonts w:ascii="Palatino Linotype" w:hAnsi="Palatino Linotype"/>
                <w:noProof/>
                <w:webHidden/>
                <w:sz w:val="24"/>
                <w:szCs w:val="24"/>
              </w:rPr>
              <w:fldChar w:fldCharType="end"/>
            </w:r>
          </w:hyperlink>
        </w:p>
        <w:p w:rsidR="00AD71A8" w:rsidRPr="00B06612" w:rsidRDefault="00DB6572" w:rsidP="00B06612">
          <w:pPr>
            <w:pStyle w:val="TDC1"/>
            <w:tabs>
              <w:tab w:val="left" w:pos="440"/>
              <w:tab w:val="right" w:leader="dot" w:pos="8828"/>
            </w:tabs>
            <w:spacing w:line="360" w:lineRule="auto"/>
            <w:rPr>
              <w:rFonts w:ascii="Palatino Linotype" w:eastAsiaTheme="minorEastAsia" w:hAnsi="Palatino Linotype"/>
              <w:noProof/>
              <w:sz w:val="24"/>
              <w:szCs w:val="24"/>
              <w:lang w:eastAsia="es-MX"/>
            </w:rPr>
          </w:pPr>
          <w:hyperlink w:anchor="_Toc12379997" w:history="1">
            <w:r w:rsidR="00AD71A8" w:rsidRPr="00B06612">
              <w:rPr>
                <w:rStyle w:val="Hipervnculo"/>
                <w:rFonts w:ascii="Palatino Linotype" w:eastAsia="MS Mincho" w:hAnsi="Palatino Linotype"/>
                <w:b/>
                <w:i/>
                <w:noProof/>
                <w:sz w:val="24"/>
                <w:szCs w:val="24"/>
                <w:lang w:val="es-ES_tradnl" w:eastAsia="es-ES"/>
              </w:rPr>
              <w:t>a.</w:t>
            </w:r>
            <w:r w:rsidR="00AD71A8" w:rsidRPr="00B06612">
              <w:rPr>
                <w:rFonts w:ascii="Palatino Linotype" w:eastAsiaTheme="minorEastAsia" w:hAnsi="Palatino Linotype"/>
                <w:noProof/>
                <w:sz w:val="24"/>
                <w:szCs w:val="24"/>
                <w:lang w:eastAsia="es-MX"/>
              </w:rPr>
              <w:tab/>
            </w:r>
            <w:r w:rsidR="00AD71A8" w:rsidRPr="00B06612">
              <w:rPr>
                <w:rStyle w:val="Hipervnculo"/>
                <w:rFonts w:ascii="Palatino Linotype" w:eastAsia="MS Mincho" w:hAnsi="Palatino Linotype"/>
                <w:b/>
                <w:i/>
                <w:noProof/>
                <w:sz w:val="24"/>
                <w:szCs w:val="24"/>
                <w:lang w:val="es-ES_tradnl" w:eastAsia="es-ES"/>
              </w:rPr>
              <w:t>De la suplencia de la queja.</w:t>
            </w:r>
            <w:r w:rsidR="00AD71A8" w:rsidRPr="00B06612">
              <w:rPr>
                <w:rFonts w:ascii="Palatino Linotype" w:hAnsi="Palatino Linotype"/>
                <w:noProof/>
                <w:webHidden/>
                <w:sz w:val="24"/>
                <w:szCs w:val="24"/>
              </w:rPr>
              <w:tab/>
            </w:r>
            <w:r w:rsidR="00AD71A8" w:rsidRPr="00B06612">
              <w:rPr>
                <w:rFonts w:ascii="Palatino Linotype" w:hAnsi="Palatino Linotype"/>
                <w:noProof/>
                <w:webHidden/>
                <w:sz w:val="24"/>
                <w:szCs w:val="24"/>
              </w:rPr>
              <w:fldChar w:fldCharType="begin"/>
            </w:r>
            <w:r w:rsidR="00AD71A8" w:rsidRPr="00B06612">
              <w:rPr>
                <w:rFonts w:ascii="Palatino Linotype" w:hAnsi="Palatino Linotype"/>
                <w:noProof/>
                <w:webHidden/>
                <w:sz w:val="24"/>
                <w:szCs w:val="24"/>
              </w:rPr>
              <w:instrText xml:space="preserve"> PAGEREF _Toc12379997 \h </w:instrText>
            </w:r>
            <w:r w:rsidR="00AD71A8" w:rsidRPr="00B06612">
              <w:rPr>
                <w:rFonts w:ascii="Palatino Linotype" w:hAnsi="Palatino Linotype"/>
                <w:noProof/>
                <w:webHidden/>
                <w:sz w:val="24"/>
                <w:szCs w:val="24"/>
              </w:rPr>
            </w:r>
            <w:r w:rsidR="00AD71A8" w:rsidRPr="00B06612">
              <w:rPr>
                <w:rFonts w:ascii="Palatino Linotype" w:hAnsi="Palatino Linotype"/>
                <w:noProof/>
                <w:webHidden/>
                <w:sz w:val="24"/>
                <w:szCs w:val="24"/>
              </w:rPr>
              <w:fldChar w:fldCharType="separate"/>
            </w:r>
            <w:r w:rsidR="00C27F72">
              <w:rPr>
                <w:rFonts w:ascii="Palatino Linotype" w:hAnsi="Palatino Linotype"/>
                <w:noProof/>
                <w:webHidden/>
                <w:sz w:val="24"/>
                <w:szCs w:val="24"/>
              </w:rPr>
              <w:t>16</w:t>
            </w:r>
            <w:r w:rsidR="00AD71A8" w:rsidRPr="00B06612">
              <w:rPr>
                <w:rFonts w:ascii="Palatino Linotype" w:hAnsi="Palatino Linotype"/>
                <w:noProof/>
                <w:webHidden/>
                <w:sz w:val="24"/>
                <w:szCs w:val="24"/>
              </w:rPr>
              <w:fldChar w:fldCharType="end"/>
            </w:r>
          </w:hyperlink>
        </w:p>
        <w:p w:rsidR="00AD71A8" w:rsidRPr="00B06612" w:rsidRDefault="00DB6572" w:rsidP="00B06612">
          <w:pPr>
            <w:pStyle w:val="TDC1"/>
            <w:tabs>
              <w:tab w:val="right" w:leader="dot" w:pos="8828"/>
            </w:tabs>
            <w:spacing w:line="360" w:lineRule="auto"/>
            <w:rPr>
              <w:rFonts w:ascii="Palatino Linotype" w:eastAsiaTheme="minorEastAsia" w:hAnsi="Palatino Linotype"/>
              <w:noProof/>
              <w:sz w:val="24"/>
              <w:szCs w:val="24"/>
              <w:lang w:eastAsia="es-MX"/>
            </w:rPr>
          </w:pPr>
          <w:hyperlink w:anchor="_Toc12379998" w:history="1">
            <w:r w:rsidR="00AD71A8" w:rsidRPr="00B06612">
              <w:rPr>
                <w:rStyle w:val="Hipervnculo"/>
                <w:rFonts w:ascii="Palatino Linotype" w:eastAsia="MS Mincho" w:hAnsi="Palatino Linotype"/>
                <w:b/>
                <w:i/>
                <w:noProof/>
                <w:sz w:val="24"/>
                <w:szCs w:val="24"/>
                <w:lang w:val="es-ES_tradnl" w:eastAsia="es-ES"/>
              </w:rPr>
              <w:t>Análisis de la entrega de la información</w:t>
            </w:r>
            <w:r w:rsidR="00AD71A8" w:rsidRPr="00B06612">
              <w:rPr>
                <w:rFonts w:ascii="Palatino Linotype" w:hAnsi="Palatino Linotype"/>
                <w:noProof/>
                <w:webHidden/>
                <w:sz w:val="24"/>
                <w:szCs w:val="24"/>
              </w:rPr>
              <w:tab/>
            </w:r>
            <w:r w:rsidR="00AD71A8" w:rsidRPr="00B06612">
              <w:rPr>
                <w:rFonts w:ascii="Palatino Linotype" w:hAnsi="Palatino Linotype"/>
                <w:noProof/>
                <w:webHidden/>
                <w:sz w:val="24"/>
                <w:szCs w:val="24"/>
              </w:rPr>
              <w:fldChar w:fldCharType="begin"/>
            </w:r>
            <w:r w:rsidR="00AD71A8" w:rsidRPr="00B06612">
              <w:rPr>
                <w:rFonts w:ascii="Palatino Linotype" w:hAnsi="Palatino Linotype"/>
                <w:noProof/>
                <w:webHidden/>
                <w:sz w:val="24"/>
                <w:szCs w:val="24"/>
              </w:rPr>
              <w:instrText xml:space="preserve"> PAGEREF _Toc12379998 \h </w:instrText>
            </w:r>
            <w:r w:rsidR="00AD71A8" w:rsidRPr="00B06612">
              <w:rPr>
                <w:rFonts w:ascii="Palatino Linotype" w:hAnsi="Palatino Linotype"/>
                <w:noProof/>
                <w:webHidden/>
                <w:sz w:val="24"/>
                <w:szCs w:val="24"/>
              </w:rPr>
            </w:r>
            <w:r w:rsidR="00AD71A8" w:rsidRPr="00B06612">
              <w:rPr>
                <w:rFonts w:ascii="Palatino Linotype" w:hAnsi="Palatino Linotype"/>
                <w:noProof/>
                <w:webHidden/>
                <w:sz w:val="24"/>
                <w:szCs w:val="24"/>
              </w:rPr>
              <w:fldChar w:fldCharType="separate"/>
            </w:r>
            <w:r w:rsidR="00C27F72">
              <w:rPr>
                <w:rFonts w:ascii="Palatino Linotype" w:hAnsi="Palatino Linotype"/>
                <w:noProof/>
                <w:webHidden/>
                <w:sz w:val="24"/>
                <w:szCs w:val="24"/>
              </w:rPr>
              <w:t>18</w:t>
            </w:r>
            <w:r w:rsidR="00AD71A8" w:rsidRPr="00B06612">
              <w:rPr>
                <w:rFonts w:ascii="Palatino Linotype" w:hAnsi="Palatino Linotype"/>
                <w:noProof/>
                <w:webHidden/>
                <w:sz w:val="24"/>
                <w:szCs w:val="24"/>
              </w:rPr>
              <w:fldChar w:fldCharType="end"/>
            </w:r>
          </w:hyperlink>
        </w:p>
        <w:p w:rsidR="00AD71A8" w:rsidRPr="00B06612" w:rsidRDefault="00DB6572" w:rsidP="00B06612">
          <w:pPr>
            <w:pStyle w:val="TDC1"/>
            <w:tabs>
              <w:tab w:val="right" w:leader="dot" w:pos="8828"/>
            </w:tabs>
            <w:spacing w:line="360" w:lineRule="auto"/>
            <w:rPr>
              <w:rFonts w:ascii="Palatino Linotype" w:eastAsiaTheme="minorEastAsia" w:hAnsi="Palatino Linotype"/>
              <w:noProof/>
              <w:sz w:val="24"/>
              <w:szCs w:val="24"/>
              <w:lang w:eastAsia="es-MX"/>
            </w:rPr>
          </w:pPr>
          <w:hyperlink w:anchor="_Toc12379999" w:history="1">
            <w:r w:rsidR="00AD71A8" w:rsidRPr="00B06612">
              <w:rPr>
                <w:rStyle w:val="Hipervnculo"/>
                <w:rFonts w:ascii="Palatino Linotype" w:eastAsia="MS Gothic" w:hAnsi="Palatino Linotype" w:cstheme="majorBidi"/>
                <w:b/>
                <w:noProof/>
                <w:sz w:val="24"/>
                <w:szCs w:val="24"/>
                <w:lang w:val="es-ES_tradnl"/>
              </w:rPr>
              <w:t>QUINTO. De la Versión Pública</w:t>
            </w:r>
            <w:r w:rsidR="00AD71A8" w:rsidRPr="00B06612">
              <w:rPr>
                <w:rFonts w:ascii="Palatino Linotype" w:hAnsi="Palatino Linotype"/>
                <w:noProof/>
                <w:webHidden/>
                <w:sz w:val="24"/>
                <w:szCs w:val="24"/>
              </w:rPr>
              <w:tab/>
            </w:r>
            <w:r w:rsidR="00AD71A8" w:rsidRPr="00B06612">
              <w:rPr>
                <w:rFonts w:ascii="Palatino Linotype" w:hAnsi="Palatino Linotype"/>
                <w:noProof/>
                <w:webHidden/>
                <w:sz w:val="24"/>
                <w:szCs w:val="24"/>
              </w:rPr>
              <w:fldChar w:fldCharType="begin"/>
            </w:r>
            <w:r w:rsidR="00AD71A8" w:rsidRPr="00B06612">
              <w:rPr>
                <w:rFonts w:ascii="Palatino Linotype" w:hAnsi="Palatino Linotype"/>
                <w:noProof/>
                <w:webHidden/>
                <w:sz w:val="24"/>
                <w:szCs w:val="24"/>
              </w:rPr>
              <w:instrText xml:space="preserve"> PAGEREF _Toc12379999 \h </w:instrText>
            </w:r>
            <w:r w:rsidR="00AD71A8" w:rsidRPr="00B06612">
              <w:rPr>
                <w:rFonts w:ascii="Palatino Linotype" w:hAnsi="Palatino Linotype"/>
                <w:noProof/>
                <w:webHidden/>
                <w:sz w:val="24"/>
                <w:szCs w:val="24"/>
              </w:rPr>
            </w:r>
            <w:r w:rsidR="00AD71A8" w:rsidRPr="00B06612">
              <w:rPr>
                <w:rFonts w:ascii="Palatino Linotype" w:hAnsi="Palatino Linotype"/>
                <w:noProof/>
                <w:webHidden/>
                <w:sz w:val="24"/>
                <w:szCs w:val="24"/>
              </w:rPr>
              <w:fldChar w:fldCharType="separate"/>
            </w:r>
            <w:r w:rsidR="00C27F72">
              <w:rPr>
                <w:rFonts w:ascii="Palatino Linotype" w:hAnsi="Palatino Linotype"/>
                <w:noProof/>
                <w:webHidden/>
                <w:sz w:val="24"/>
                <w:szCs w:val="24"/>
              </w:rPr>
              <w:t>21</w:t>
            </w:r>
            <w:r w:rsidR="00AD71A8" w:rsidRPr="00B06612">
              <w:rPr>
                <w:rFonts w:ascii="Palatino Linotype" w:hAnsi="Palatino Linotype"/>
                <w:noProof/>
                <w:webHidden/>
                <w:sz w:val="24"/>
                <w:szCs w:val="24"/>
              </w:rPr>
              <w:fldChar w:fldCharType="end"/>
            </w:r>
          </w:hyperlink>
        </w:p>
        <w:p w:rsidR="00AD71A8" w:rsidRPr="00B06612" w:rsidRDefault="00DB6572" w:rsidP="00B06612">
          <w:pPr>
            <w:pStyle w:val="TDC1"/>
            <w:tabs>
              <w:tab w:val="right" w:leader="dot" w:pos="8828"/>
            </w:tabs>
            <w:spacing w:line="360" w:lineRule="auto"/>
            <w:rPr>
              <w:rFonts w:ascii="Palatino Linotype" w:eastAsiaTheme="minorEastAsia" w:hAnsi="Palatino Linotype"/>
              <w:noProof/>
              <w:sz w:val="24"/>
              <w:szCs w:val="24"/>
              <w:lang w:eastAsia="es-MX"/>
            </w:rPr>
          </w:pPr>
          <w:hyperlink w:anchor="_Toc12380000" w:history="1">
            <w:r w:rsidR="00AD71A8" w:rsidRPr="00B06612">
              <w:rPr>
                <w:rStyle w:val="Hipervnculo"/>
                <w:rFonts w:ascii="Palatino Linotype" w:eastAsia="Calibri" w:hAnsi="Palatino Linotype" w:cstheme="majorBidi"/>
                <w:b/>
                <w:noProof/>
                <w:sz w:val="24"/>
                <w:szCs w:val="24"/>
                <w:lang w:val="es-ES" w:eastAsia="es-ES"/>
              </w:rPr>
              <w:t>R E S O L U T I V O S</w:t>
            </w:r>
            <w:r w:rsidR="00AD71A8" w:rsidRPr="00B06612">
              <w:rPr>
                <w:rFonts w:ascii="Palatino Linotype" w:hAnsi="Palatino Linotype"/>
                <w:noProof/>
                <w:webHidden/>
                <w:sz w:val="24"/>
                <w:szCs w:val="24"/>
              </w:rPr>
              <w:tab/>
            </w:r>
            <w:r w:rsidR="00AD71A8" w:rsidRPr="00B06612">
              <w:rPr>
                <w:rFonts w:ascii="Palatino Linotype" w:hAnsi="Palatino Linotype"/>
                <w:noProof/>
                <w:webHidden/>
                <w:sz w:val="24"/>
                <w:szCs w:val="24"/>
              </w:rPr>
              <w:fldChar w:fldCharType="begin"/>
            </w:r>
            <w:r w:rsidR="00AD71A8" w:rsidRPr="00B06612">
              <w:rPr>
                <w:rFonts w:ascii="Palatino Linotype" w:hAnsi="Palatino Linotype"/>
                <w:noProof/>
                <w:webHidden/>
                <w:sz w:val="24"/>
                <w:szCs w:val="24"/>
              </w:rPr>
              <w:instrText xml:space="preserve"> PAGEREF _Toc12380000 \h </w:instrText>
            </w:r>
            <w:r w:rsidR="00AD71A8" w:rsidRPr="00B06612">
              <w:rPr>
                <w:rFonts w:ascii="Palatino Linotype" w:hAnsi="Palatino Linotype"/>
                <w:noProof/>
                <w:webHidden/>
                <w:sz w:val="24"/>
                <w:szCs w:val="24"/>
              </w:rPr>
            </w:r>
            <w:r w:rsidR="00AD71A8" w:rsidRPr="00B06612">
              <w:rPr>
                <w:rFonts w:ascii="Palatino Linotype" w:hAnsi="Palatino Linotype"/>
                <w:noProof/>
                <w:webHidden/>
                <w:sz w:val="24"/>
                <w:szCs w:val="24"/>
              </w:rPr>
              <w:fldChar w:fldCharType="separate"/>
            </w:r>
            <w:r w:rsidR="00C27F72">
              <w:rPr>
                <w:rFonts w:ascii="Palatino Linotype" w:hAnsi="Palatino Linotype"/>
                <w:noProof/>
                <w:webHidden/>
                <w:sz w:val="24"/>
                <w:szCs w:val="24"/>
              </w:rPr>
              <w:t>42</w:t>
            </w:r>
            <w:r w:rsidR="00AD71A8" w:rsidRPr="00B06612">
              <w:rPr>
                <w:rFonts w:ascii="Palatino Linotype" w:hAnsi="Palatino Linotype"/>
                <w:noProof/>
                <w:webHidden/>
                <w:sz w:val="24"/>
                <w:szCs w:val="24"/>
              </w:rPr>
              <w:fldChar w:fldCharType="end"/>
            </w:r>
          </w:hyperlink>
        </w:p>
        <w:p w:rsidR="00AD1FE1" w:rsidRPr="00B06612" w:rsidRDefault="00AD1FE1" w:rsidP="00B06612">
          <w:pPr>
            <w:spacing w:after="0" w:line="360" w:lineRule="auto"/>
            <w:ind w:right="-142"/>
            <w:rPr>
              <w:rFonts w:ascii="Palatino Linotype" w:eastAsiaTheme="minorEastAsia" w:hAnsi="Palatino Linotype"/>
              <w:bCs/>
              <w:sz w:val="24"/>
              <w:szCs w:val="24"/>
              <w:lang w:val="es-ES" w:eastAsia="es-ES"/>
            </w:rPr>
          </w:pPr>
          <w:r w:rsidRPr="00B06612">
            <w:rPr>
              <w:rFonts w:ascii="Palatino Linotype" w:eastAsiaTheme="minorEastAsia" w:hAnsi="Palatino Linotype"/>
              <w:b/>
              <w:bCs/>
              <w:sz w:val="24"/>
              <w:szCs w:val="24"/>
              <w:lang w:val="es-ES" w:eastAsia="es-ES"/>
            </w:rPr>
            <w:fldChar w:fldCharType="end"/>
          </w:r>
        </w:p>
      </w:sdtContent>
    </w:sdt>
    <w:p w:rsidR="00AD1FE1" w:rsidRPr="00B06612" w:rsidRDefault="00B06612" w:rsidP="00B06612">
      <w:pPr>
        <w:spacing w:before="240" w:after="24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-14535</wp:posOffset>
                </wp:positionH>
                <wp:positionV relativeFrom="paragraph">
                  <wp:posOffset>50580</wp:posOffset>
                </wp:positionV>
                <wp:extent cx="5536800" cy="2426400"/>
                <wp:effectExtent l="19050" t="19050" r="26035" b="31115"/>
                <wp:wrapNone/>
                <wp:docPr id="1" name="Conector recto 1"/>
                <wp:cNvGraphicFramePr/>
                <a:graphic xmlns:a="http://schemas.openxmlformats.org/drawingml/2006/main">
                  <a:graphicData uri="http://schemas.microsoft.com/office/word/2010/wordprocessingShape">
                    <wps:wsp>
                      <wps:cNvCnPr/>
                      <wps:spPr>
                        <a:xfrm flipH="1" flipV="1">
                          <a:off x="0" y="0"/>
                          <a:ext cx="5536800" cy="24264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16E96A" id="Conector recto 1" o:spid="_x0000_s1026" style="position:absolute;flip:x y;z-index:251665408;visibility:visible;mso-wrap-style:square;mso-wrap-distance-left:9pt;mso-wrap-distance-top:0;mso-wrap-distance-right:9pt;mso-wrap-distance-bottom:0;mso-position-horizontal:absolute;mso-position-horizontal-relative:text;mso-position-vertical:absolute;mso-position-vertical-relative:text" from="-1.15pt,4pt" to="434.8pt,1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" strokecolor="#5b9bd5 [3204]" strokeweight="3pt">
                <v:stroke joinstyle="miter"/>
              </v:line>
            </w:pict>
          </mc:Fallback>
        </mc:AlternateContent>
      </w:r>
    </w:p>
    <w:p w:rsidR="00AD1FE1" w:rsidRPr="00B06612" w:rsidRDefault="00AD1FE1" w:rsidP="00B06612">
      <w:pPr>
        <w:spacing w:before="240" w:after="240" w:line="360" w:lineRule="auto"/>
        <w:jc w:val="both"/>
        <w:rPr>
          <w:rFonts w:ascii="Palatino Linotype" w:eastAsiaTheme="minorEastAsia" w:hAnsi="Palatino Linotype"/>
          <w:sz w:val="24"/>
          <w:szCs w:val="24"/>
          <w:lang w:val="es-ES_tradnl" w:eastAsia="es-ES"/>
        </w:rPr>
      </w:pPr>
    </w:p>
    <w:p w:rsidR="00AD1FE1" w:rsidRPr="00B06612" w:rsidRDefault="00AD1FE1" w:rsidP="00B06612">
      <w:pPr>
        <w:spacing w:before="240" w:after="240" w:line="360" w:lineRule="auto"/>
        <w:jc w:val="both"/>
        <w:rPr>
          <w:rFonts w:ascii="Palatino Linotype" w:eastAsiaTheme="minorEastAsia" w:hAnsi="Palatino Linotype"/>
          <w:sz w:val="24"/>
          <w:szCs w:val="24"/>
          <w:lang w:val="es-ES_tradnl" w:eastAsia="es-ES"/>
        </w:rPr>
      </w:pPr>
    </w:p>
    <w:p w:rsidR="00AD1FE1" w:rsidRPr="00B06612" w:rsidRDefault="00AD1FE1" w:rsidP="00B06612">
      <w:pPr>
        <w:spacing w:before="240" w:after="240" w:line="360" w:lineRule="auto"/>
        <w:jc w:val="both"/>
        <w:rPr>
          <w:rFonts w:ascii="Palatino Linotype" w:eastAsiaTheme="minorEastAsia" w:hAnsi="Palatino Linotype"/>
          <w:sz w:val="24"/>
          <w:szCs w:val="24"/>
          <w:lang w:val="es-ES_tradnl" w:eastAsia="es-ES"/>
        </w:rPr>
      </w:pPr>
      <w:r w:rsidRPr="00B06612">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w:t>
      </w:r>
      <w:r w:rsidR="00B06612">
        <w:rPr>
          <w:rFonts w:ascii="Palatino Linotype" w:eastAsiaTheme="minorEastAsia" w:hAnsi="Palatino Linotype"/>
          <w:sz w:val="24"/>
          <w:szCs w:val="24"/>
          <w:lang w:val="es-ES_tradnl" w:eastAsia="es-ES"/>
        </w:rPr>
        <w:t xml:space="preserve">tado de México; de fecha tres (03) de julio </w:t>
      </w:r>
      <w:r w:rsidRPr="00B06612">
        <w:rPr>
          <w:rFonts w:ascii="Palatino Linotype" w:eastAsiaTheme="minorEastAsia" w:hAnsi="Palatino Linotype"/>
          <w:sz w:val="24"/>
          <w:szCs w:val="24"/>
          <w:lang w:val="es-ES_tradnl" w:eastAsia="es-ES"/>
        </w:rPr>
        <w:t>de dos mil diecinueve.</w:t>
      </w:r>
    </w:p>
    <w:p w:rsidR="00AD1FE1" w:rsidRPr="00B06612" w:rsidRDefault="00AD1FE1" w:rsidP="00B06612">
      <w:pPr>
        <w:spacing w:before="240" w:after="360" w:line="360" w:lineRule="auto"/>
        <w:jc w:val="both"/>
        <w:rPr>
          <w:rFonts w:ascii="Palatino Linotype" w:eastAsiaTheme="minorEastAsia" w:hAnsi="Palatino Linotype"/>
          <w:sz w:val="24"/>
          <w:szCs w:val="24"/>
          <w:lang w:val="es-ES_tradnl" w:eastAsia="es-ES"/>
        </w:rPr>
      </w:pPr>
      <w:r w:rsidRPr="00B06612">
        <w:rPr>
          <w:rFonts w:ascii="Palatino Linotype" w:eastAsiaTheme="minorEastAsia" w:hAnsi="Palatino Linotype"/>
          <w:b/>
          <w:sz w:val="24"/>
          <w:szCs w:val="24"/>
          <w:lang w:val="es-ES_tradnl" w:eastAsia="es-ES"/>
        </w:rPr>
        <w:t>VISTO</w:t>
      </w:r>
      <w:r w:rsidRPr="00B06612">
        <w:rPr>
          <w:rFonts w:ascii="Palatino Linotype" w:eastAsiaTheme="minorEastAsia" w:hAnsi="Palatino Linotype"/>
          <w:sz w:val="24"/>
          <w:szCs w:val="24"/>
          <w:lang w:val="es-ES_tradnl" w:eastAsia="es-ES"/>
        </w:rPr>
        <w:t xml:space="preserve"> el expediente electrónico formado con motivo del recurso de revisión </w:t>
      </w:r>
      <w:r w:rsidRPr="00B06612">
        <w:rPr>
          <w:rFonts w:ascii="Palatino Linotype" w:eastAsiaTheme="minorEastAsia" w:hAnsi="Palatino Linotype" w:cs="Arial"/>
          <w:b/>
          <w:bCs/>
          <w:sz w:val="24"/>
          <w:szCs w:val="24"/>
          <w:lang w:val="es-ES_tradnl" w:eastAsia="es-ES"/>
        </w:rPr>
        <w:t xml:space="preserve">03213/INFOEM/IP/RR/2019 </w:t>
      </w:r>
      <w:r w:rsidRPr="00B06612">
        <w:rPr>
          <w:rFonts w:ascii="Palatino Linotype" w:eastAsiaTheme="minorEastAsia" w:hAnsi="Palatino Linotype"/>
          <w:sz w:val="24"/>
          <w:szCs w:val="24"/>
          <w:lang w:val="es-ES_tradnl" w:eastAsia="es-ES"/>
        </w:rPr>
        <w:t xml:space="preserve">promovido por </w:t>
      </w:r>
      <w:r w:rsidR="00DB6572" w:rsidRPr="00DB6572">
        <w:rPr>
          <w:rFonts w:ascii="Palatino Linotype" w:eastAsiaTheme="minorEastAsia" w:hAnsi="Palatino Linotype"/>
          <w:b/>
          <w:sz w:val="24"/>
          <w:szCs w:val="24"/>
          <w:highlight w:val="black"/>
          <w:lang w:val="es-ES_tradnl" w:eastAsia="es-ES"/>
        </w:rPr>
        <w:t>-------------------------------</w:t>
      </w:r>
      <w:r w:rsidRPr="00B06612">
        <w:rPr>
          <w:rFonts w:ascii="Palatino Linotype" w:eastAsiaTheme="minorEastAsia" w:hAnsi="Palatino Linotype"/>
          <w:b/>
          <w:sz w:val="24"/>
          <w:szCs w:val="24"/>
          <w:lang w:val="es-ES_tradnl" w:eastAsia="es-ES"/>
        </w:rPr>
        <w:t xml:space="preserve">, </w:t>
      </w:r>
      <w:r w:rsidRPr="00B06612">
        <w:rPr>
          <w:rFonts w:ascii="Palatino Linotype" w:eastAsiaTheme="minorEastAsia" w:hAnsi="Palatino Linotype" w:cs="Arial"/>
          <w:sz w:val="24"/>
          <w:szCs w:val="24"/>
          <w:lang w:val="es-ES_tradnl" w:eastAsia="es-ES"/>
        </w:rPr>
        <w:t xml:space="preserve">en su calidad de </w:t>
      </w:r>
      <w:r w:rsidRPr="00B06612">
        <w:rPr>
          <w:rFonts w:ascii="Palatino Linotype" w:eastAsiaTheme="minorEastAsia" w:hAnsi="Palatino Linotype" w:cs="Arial"/>
          <w:b/>
          <w:sz w:val="24"/>
          <w:szCs w:val="24"/>
          <w:lang w:val="es-ES_tradnl" w:eastAsia="es-ES"/>
        </w:rPr>
        <w:t>RECURRENTE</w:t>
      </w:r>
      <w:r w:rsidRPr="00B06612">
        <w:rPr>
          <w:rFonts w:ascii="Palatino Linotype" w:eastAsiaTheme="minorEastAsia" w:hAnsi="Palatino Linotype" w:cs="Arial"/>
          <w:sz w:val="24"/>
          <w:szCs w:val="24"/>
          <w:lang w:val="es-ES_tradnl" w:eastAsia="es-ES"/>
        </w:rPr>
        <w:t xml:space="preserve">, en contra de la respuesta del </w:t>
      </w:r>
      <w:r w:rsidRPr="00B06612">
        <w:rPr>
          <w:rFonts w:ascii="Palatino Linotype" w:eastAsiaTheme="minorEastAsia" w:hAnsi="Palatino Linotype" w:cs="Arial"/>
          <w:b/>
          <w:sz w:val="24"/>
          <w:szCs w:val="24"/>
          <w:lang w:val="es-ES_tradnl" w:eastAsia="es-ES"/>
        </w:rPr>
        <w:t xml:space="preserve">Ayuntamiento de Metepec, </w:t>
      </w:r>
      <w:r w:rsidRPr="00B06612">
        <w:rPr>
          <w:rFonts w:ascii="Palatino Linotype" w:eastAsiaTheme="minorEastAsia" w:hAnsi="Palatino Linotype"/>
          <w:sz w:val="24"/>
          <w:szCs w:val="24"/>
          <w:lang w:val="es-ES_tradnl" w:eastAsia="es-ES"/>
        </w:rPr>
        <w:t>en lo sucesivo el</w:t>
      </w:r>
      <w:r w:rsidRPr="00B06612">
        <w:rPr>
          <w:rFonts w:ascii="Palatino Linotype" w:eastAsiaTheme="minorEastAsia" w:hAnsi="Palatino Linotype"/>
          <w:b/>
          <w:sz w:val="24"/>
          <w:szCs w:val="24"/>
          <w:lang w:val="es-ES_tradnl" w:eastAsia="es-ES"/>
        </w:rPr>
        <w:t xml:space="preserve"> SUJETO OBLIGADO, </w:t>
      </w:r>
      <w:r w:rsidRPr="00B06612">
        <w:rPr>
          <w:rFonts w:ascii="Palatino Linotype" w:eastAsiaTheme="minorEastAsia" w:hAnsi="Palatino Linotype"/>
          <w:sz w:val="24"/>
          <w:szCs w:val="24"/>
          <w:lang w:val="es-ES_tradnl" w:eastAsia="es-ES"/>
        </w:rPr>
        <w:t xml:space="preserve">se procede a dictar la presente resolución, con base en los siguientes: </w:t>
      </w:r>
    </w:p>
    <w:p w:rsidR="00AD1FE1" w:rsidRPr="00B06612" w:rsidRDefault="00AD1FE1" w:rsidP="00B06612">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12379989"/>
      <w:r w:rsidRPr="00B06612">
        <w:rPr>
          <w:rFonts w:ascii="Palatino Linotype" w:eastAsiaTheme="majorEastAsia" w:hAnsi="Palatino Linotype" w:cstheme="majorBidi"/>
          <w:b/>
          <w:sz w:val="24"/>
          <w:szCs w:val="24"/>
        </w:rPr>
        <w:t>A N T E C E D E N T E S</w:t>
      </w:r>
      <w:bookmarkEnd w:id="0"/>
    </w:p>
    <w:p w:rsidR="00AD1FE1" w:rsidRPr="00B06612" w:rsidRDefault="00AD1FE1" w:rsidP="00B06612">
      <w:pPr>
        <w:keepNext/>
        <w:keepLines/>
        <w:spacing w:before="240" w:after="0" w:line="360" w:lineRule="auto"/>
        <w:ind w:right="-142"/>
        <w:jc w:val="center"/>
        <w:outlineLvl w:val="0"/>
        <w:rPr>
          <w:rFonts w:ascii="Palatino Linotype" w:eastAsiaTheme="majorEastAsia" w:hAnsi="Palatino Linotype" w:cstheme="majorBidi"/>
          <w:sz w:val="24"/>
          <w:szCs w:val="24"/>
        </w:rPr>
      </w:pPr>
    </w:p>
    <w:p w:rsidR="00AD1FE1" w:rsidRPr="00B06612" w:rsidRDefault="00AD1FE1" w:rsidP="00B06612">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B06612">
        <w:rPr>
          <w:rFonts w:ascii="Palatino Linotype" w:eastAsia="Calibri" w:hAnsi="Palatino Linotype" w:cs="Arial"/>
          <w:sz w:val="24"/>
          <w:szCs w:val="24"/>
          <w:lang w:val="es-ES" w:eastAsia="es-ES"/>
        </w:rPr>
        <w:t xml:space="preserve">El día </w:t>
      </w:r>
      <w:r w:rsidRPr="00B06612">
        <w:rPr>
          <w:rFonts w:ascii="Palatino Linotype" w:eastAsia="Calibri" w:hAnsi="Palatino Linotype" w:cs="Arial"/>
          <w:b/>
          <w:sz w:val="24"/>
          <w:szCs w:val="24"/>
          <w:lang w:val="es-ES" w:eastAsia="es-ES"/>
        </w:rPr>
        <w:t>primero (01) de abril</w:t>
      </w:r>
      <w:r w:rsidRPr="00B06612">
        <w:rPr>
          <w:rFonts w:ascii="Palatino Linotype" w:eastAsia="Calibri" w:hAnsi="Palatino Linotype" w:cs="Arial"/>
          <w:sz w:val="24"/>
          <w:szCs w:val="24"/>
          <w:lang w:val="es-ES" w:eastAsia="es-ES"/>
        </w:rPr>
        <w:t xml:space="preserve"> de dos mil diecinueve,</w:t>
      </w:r>
      <w:r w:rsidRPr="00B06612">
        <w:rPr>
          <w:rFonts w:ascii="Palatino Linotype" w:eastAsia="Calibri" w:hAnsi="Palatino Linotype" w:cs="Times New Roman"/>
          <w:sz w:val="24"/>
          <w:szCs w:val="24"/>
          <w:lang w:val="es-ES" w:eastAsia="es-ES"/>
        </w:rPr>
        <w:t xml:space="preserve"> se</w:t>
      </w:r>
      <w:r w:rsidRPr="00B06612">
        <w:rPr>
          <w:rFonts w:ascii="Palatino Linotype" w:eastAsiaTheme="minorEastAsia" w:hAnsi="Palatino Linotype"/>
          <w:b/>
          <w:sz w:val="24"/>
          <w:szCs w:val="24"/>
          <w:lang w:val="es-ES_tradnl" w:eastAsia="es-ES"/>
        </w:rPr>
        <w:t xml:space="preserve"> </w:t>
      </w:r>
      <w:r w:rsidRPr="00B06612">
        <w:rPr>
          <w:rFonts w:ascii="Palatino Linotype" w:eastAsiaTheme="minorEastAsia" w:hAnsi="Palatino Linotype"/>
          <w:sz w:val="24"/>
          <w:szCs w:val="24"/>
          <w:lang w:val="es-ES_tradnl" w:eastAsia="es-ES"/>
        </w:rPr>
        <w:t xml:space="preserve">presentó </w:t>
      </w:r>
      <w:r w:rsidRPr="00B06612">
        <w:rPr>
          <w:rFonts w:ascii="Palatino Linotype" w:eastAsia="Calibri" w:hAnsi="Palatino Linotype" w:cs="Arial"/>
          <w:sz w:val="24"/>
          <w:szCs w:val="24"/>
          <w:lang w:val="es-ES" w:eastAsia="es-ES"/>
        </w:rPr>
        <w:t xml:space="preserve">ante el </w:t>
      </w:r>
      <w:r w:rsidRPr="00B06612">
        <w:rPr>
          <w:rFonts w:ascii="Palatino Linotype" w:eastAsia="Calibri" w:hAnsi="Palatino Linotype" w:cs="Arial"/>
          <w:b/>
          <w:sz w:val="24"/>
          <w:szCs w:val="24"/>
          <w:lang w:val="es-ES" w:eastAsia="es-ES"/>
        </w:rPr>
        <w:t>SUJETO OBLIGADO,</w:t>
      </w:r>
      <w:r w:rsidRPr="00B06612">
        <w:rPr>
          <w:rFonts w:ascii="Palatino Linotype" w:eastAsia="Calibri" w:hAnsi="Palatino Linotype" w:cs="Arial"/>
          <w:sz w:val="24"/>
          <w:szCs w:val="24"/>
          <w:lang w:val="es-ES_tradnl" w:eastAsia="es-ES"/>
        </w:rPr>
        <w:t xml:space="preserve"> vía </w:t>
      </w:r>
      <w:r w:rsidRPr="00B06612">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FA7299" w:rsidRPr="00B06612">
        <w:rPr>
          <w:rFonts w:ascii="Palatino Linotype" w:eastAsia="Times New Roman" w:hAnsi="Palatino Linotype" w:cs="Arial"/>
          <w:b/>
          <w:sz w:val="24"/>
          <w:szCs w:val="24"/>
          <w:lang w:val="es-ES" w:eastAsia="es-ES"/>
        </w:rPr>
        <w:t>00151/METEPEC</w:t>
      </w:r>
      <w:r w:rsidRPr="00B06612">
        <w:rPr>
          <w:rFonts w:ascii="Palatino Linotype" w:eastAsia="Times New Roman" w:hAnsi="Palatino Linotype" w:cs="Arial"/>
          <w:b/>
          <w:sz w:val="24"/>
          <w:szCs w:val="24"/>
          <w:lang w:val="es-ES" w:eastAsia="es-ES"/>
        </w:rPr>
        <w:t>/IP/2019</w:t>
      </w:r>
      <w:r w:rsidRPr="00B06612">
        <w:rPr>
          <w:rFonts w:ascii="Palatino Linotype" w:eastAsia="Calibri" w:hAnsi="Palatino Linotype" w:cs="Arial"/>
          <w:sz w:val="24"/>
          <w:szCs w:val="24"/>
          <w:lang w:val="es-ES" w:eastAsia="es-ES"/>
        </w:rPr>
        <w:t>, mediante la cual se requirió:</w:t>
      </w:r>
    </w:p>
    <w:p w:rsidR="00AD1FE1" w:rsidRPr="00B06612" w:rsidRDefault="00AD1FE1" w:rsidP="00B06612">
      <w:pPr>
        <w:spacing w:before="240" w:after="240" w:line="360" w:lineRule="auto"/>
        <w:ind w:right="-142"/>
        <w:contextualSpacing/>
        <w:jc w:val="both"/>
        <w:rPr>
          <w:rFonts w:ascii="Palatino Linotype" w:eastAsia="Calibri" w:hAnsi="Palatino Linotype" w:cs="Arial"/>
          <w:sz w:val="24"/>
          <w:szCs w:val="24"/>
          <w:lang w:val="es-ES" w:eastAsia="es-ES"/>
        </w:rPr>
      </w:pPr>
    </w:p>
    <w:p w:rsidR="00AD1FE1" w:rsidRPr="00B06612" w:rsidRDefault="00AD1FE1" w:rsidP="00B06612">
      <w:pPr>
        <w:spacing w:after="0" w:line="360" w:lineRule="auto"/>
        <w:ind w:left="567" w:right="616"/>
        <w:jc w:val="both"/>
        <w:rPr>
          <w:rFonts w:ascii="Palatino Linotype" w:eastAsia="Times New Roman" w:hAnsi="Palatino Linotype" w:cs="Times New Roman"/>
          <w:i/>
          <w:sz w:val="24"/>
          <w:szCs w:val="24"/>
          <w:lang w:eastAsia="es-MX"/>
        </w:rPr>
      </w:pPr>
      <w:r w:rsidRPr="00B06612">
        <w:rPr>
          <w:rFonts w:ascii="Palatino Linotype" w:eastAsia="Times New Roman" w:hAnsi="Palatino Linotype" w:cs="Times New Roman"/>
          <w:i/>
          <w:sz w:val="24"/>
          <w:szCs w:val="24"/>
          <w:lang w:eastAsia="es-MX"/>
        </w:rPr>
        <w:t>“</w:t>
      </w:r>
      <w:r w:rsidR="00FA7299" w:rsidRPr="00B06612">
        <w:rPr>
          <w:rFonts w:ascii="Palatino Linotype" w:eastAsia="Times New Roman" w:hAnsi="Palatino Linotype" w:cs="Times New Roman"/>
          <w:i/>
          <w:sz w:val="24"/>
          <w:szCs w:val="24"/>
          <w:lang w:eastAsia="es-MX"/>
        </w:rPr>
        <w:t xml:space="preserve">DESEO CONOCER </w:t>
      </w:r>
      <w:r w:rsidR="00FA7299" w:rsidRPr="00B06612">
        <w:rPr>
          <w:rFonts w:ascii="Palatino Linotype" w:eastAsia="Times New Roman" w:hAnsi="Palatino Linotype" w:cs="Times New Roman"/>
          <w:b/>
          <w:i/>
          <w:sz w:val="24"/>
          <w:szCs w:val="24"/>
          <w:lang w:eastAsia="es-MX"/>
        </w:rPr>
        <w:t>LA NOMINA GENERAL DE LOS REGIDORES DEL AYUNTAMIENTO DE METEPEC DE LA PRESENTE ADMINISTRACIÓN</w:t>
      </w:r>
      <w:r w:rsidR="00FA7299" w:rsidRPr="00B06612">
        <w:rPr>
          <w:rFonts w:ascii="Palatino Linotype" w:eastAsia="Times New Roman" w:hAnsi="Palatino Linotype" w:cs="Times New Roman"/>
          <w:i/>
          <w:sz w:val="24"/>
          <w:szCs w:val="24"/>
          <w:lang w:eastAsia="es-MX"/>
        </w:rPr>
        <w:t>.</w:t>
      </w:r>
      <w:r w:rsidRPr="00B06612">
        <w:rPr>
          <w:rFonts w:ascii="Palatino Linotype" w:eastAsia="Times New Roman" w:hAnsi="Palatino Linotype" w:cs="Times New Roman"/>
          <w:i/>
          <w:sz w:val="24"/>
          <w:szCs w:val="24"/>
          <w:lang w:eastAsia="es-MX"/>
        </w:rPr>
        <w:t>”(SIC)</w:t>
      </w:r>
    </w:p>
    <w:p w:rsidR="00AD1FE1" w:rsidRPr="00B06612" w:rsidRDefault="00AD1FE1" w:rsidP="00B06612">
      <w:pPr>
        <w:spacing w:after="0" w:line="360" w:lineRule="auto"/>
        <w:ind w:right="616"/>
        <w:jc w:val="both"/>
        <w:rPr>
          <w:rFonts w:ascii="Palatino Linotype" w:eastAsia="Times New Roman" w:hAnsi="Palatino Linotype" w:cs="Times New Roman"/>
          <w:i/>
          <w:sz w:val="24"/>
          <w:szCs w:val="24"/>
          <w:lang w:eastAsia="es-MX"/>
        </w:rPr>
      </w:pPr>
    </w:p>
    <w:p w:rsidR="00AD1FE1" w:rsidRPr="00B06612" w:rsidRDefault="00AD1FE1" w:rsidP="00B06612">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B06612">
        <w:rPr>
          <w:rFonts w:ascii="Palatino Linotype" w:eastAsia="Times New Roman" w:hAnsi="Palatino Linotype" w:cs="Arial"/>
          <w:sz w:val="24"/>
          <w:szCs w:val="24"/>
          <w:lang w:val="es-ES" w:eastAsia="es-ES"/>
        </w:rPr>
        <w:t>Señaló como modalidad de entrega de la información</w:t>
      </w:r>
      <w:r w:rsidRPr="00B06612">
        <w:rPr>
          <w:rFonts w:ascii="Palatino Linotype" w:eastAsia="Times New Roman" w:hAnsi="Palatino Linotype" w:cs="Arial"/>
          <w:b/>
          <w:sz w:val="24"/>
          <w:szCs w:val="24"/>
          <w:lang w:val="es-ES" w:eastAsia="es-ES"/>
        </w:rPr>
        <w:t>:</w:t>
      </w:r>
      <w:r w:rsidRPr="00B06612">
        <w:rPr>
          <w:rFonts w:ascii="Palatino Linotype" w:eastAsia="Times New Roman" w:hAnsi="Palatino Linotype" w:cs="Arial"/>
          <w:sz w:val="24"/>
          <w:szCs w:val="24"/>
          <w:lang w:val="es-ES" w:eastAsia="es-ES"/>
        </w:rPr>
        <w:t xml:space="preserve"> a través del </w:t>
      </w:r>
      <w:r w:rsidRPr="00B06612">
        <w:rPr>
          <w:rFonts w:ascii="Palatino Linotype" w:eastAsia="Times New Roman" w:hAnsi="Palatino Linotype" w:cs="Arial"/>
          <w:b/>
          <w:sz w:val="24"/>
          <w:szCs w:val="24"/>
          <w:lang w:val="es-ES" w:eastAsia="es-ES"/>
        </w:rPr>
        <w:t>SAIMEX</w:t>
      </w:r>
    </w:p>
    <w:p w:rsidR="00AD1FE1" w:rsidRPr="00B06612" w:rsidRDefault="00AD1FE1" w:rsidP="00B06612">
      <w:pPr>
        <w:spacing w:after="0" w:line="360" w:lineRule="auto"/>
        <w:contextualSpacing/>
        <w:jc w:val="both"/>
        <w:rPr>
          <w:rFonts w:ascii="Palatino Linotype" w:eastAsiaTheme="minorEastAsia" w:hAnsi="Palatino Linotype" w:cs="Arial"/>
          <w:i/>
          <w:sz w:val="24"/>
          <w:szCs w:val="24"/>
          <w:lang w:val="es-ES_tradnl" w:eastAsia="es-ES"/>
        </w:rPr>
      </w:pPr>
    </w:p>
    <w:p w:rsidR="00AD1FE1" w:rsidRPr="00B06612" w:rsidRDefault="00AD1FE1" w:rsidP="00B06612">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B06612">
        <w:rPr>
          <w:rFonts w:ascii="Palatino Linotype" w:eastAsiaTheme="minorEastAsia" w:hAnsi="Palatino Linotype" w:cs="Arial"/>
          <w:sz w:val="24"/>
          <w:szCs w:val="24"/>
          <w:lang w:val="es-ES_tradnl" w:eastAsia="es-ES"/>
        </w:rPr>
        <w:t xml:space="preserve">El </w:t>
      </w:r>
      <w:r w:rsidR="00FA7299" w:rsidRPr="00B06612">
        <w:rPr>
          <w:rFonts w:ascii="Palatino Linotype" w:eastAsiaTheme="minorEastAsia" w:hAnsi="Palatino Linotype" w:cs="Arial"/>
          <w:sz w:val="24"/>
          <w:szCs w:val="24"/>
          <w:lang w:val="es-ES_tradnl" w:eastAsia="es-ES"/>
        </w:rPr>
        <w:t xml:space="preserve">día </w:t>
      </w:r>
      <w:r w:rsidR="00FA7299" w:rsidRPr="00B06612">
        <w:rPr>
          <w:rFonts w:ascii="Palatino Linotype" w:eastAsiaTheme="minorEastAsia" w:hAnsi="Palatino Linotype" w:cs="Arial"/>
          <w:b/>
          <w:sz w:val="24"/>
          <w:szCs w:val="24"/>
          <w:lang w:val="es-ES_tradnl" w:eastAsia="es-ES"/>
        </w:rPr>
        <w:t>veintinueve (29) de abril</w:t>
      </w:r>
      <w:r w:rsidRPr="00B06612">
        <w:rPr>
          <w:rFonts w:ascii="Palatino Linotype" w:eastAsiaTheme="minorEastAsia" w:hAnsi="Palatino Linotype" w:cs="Arial"/>
          <w:sz w:val="24"/>
          <w:szCs w:val="24"/>
          <w:lang w:val="es-ES_tradnl" w:eastAsia="es-ES"/>
        </w:rPr>
        <w:t xml:space="preserve"> </w:t>
      </w:r>
      <w:r w:rsidR="00FA7299" w:rsidRPr="00B06612">
        <w:rPr>
          <w:rFonts w:ascii="Palatino Linotype" w:eastAsiaTheme="minorEastAsia" w:hAnsi="Palatino Linotype" w:cs="Arial"/>
          <w:sz w:val="24"/>
          <w:szCs w:val="24"/>
          <w:lang w:val="es-ES_tradnl" w:eastAsia="es-ES"/>
        </w:rPr>
        <w:t xml:space="preserve">de dos mil diecinueve el </w:t>
      </w:r>
      <w:r w:rsidRPr="00B06612">
        <w:rPr>
          <w:rFonts w:ascii="Palatino Linotype" w:eastAsiaTheme="minorEastAsia" w:hAnsi="Palatino Linotype" w:cs="Arial"/>
          <w:b/>
          <w:sz w:val="24"/>
          <w:szCs w:val="24"/>
          <w:lang w:val="es-ES_tradnl" w:eastAsia="es-ES"/>
        </w:rPr>
        <w:t xml:space="preserve">SUJETO OBLIGADO </w:t>
      </w:r>
      <w:r w:rsidR="00661C72" w:rsidRPr="00B06612">
        <w:rPr>
          <w:rFonts w:ascii="Palatino Linotype" w:eastAsiaTheme="minorEastAsia" w:hAnsi="Palatino Linotype" w:cs="Arial"/>
          <w:sz w:val="24"/>
          <w:szCs w:val="24"/>
          <w:lang w:val="es-ES_tradnl" w:eastAsia="es-ES"/>
        </w:rPr>
        <w:t>emitió su</w:t>
      </w:r>
      <w:r w:rsidRPr="00B06612">
        <w:rPr>
          <w:rFonts w:ascii="Palatino Linotype" w:eastAsiaTheme="minorEastAsia" w:hAnsi="Palatino Linotype" w:cs="Arial"/>
          <w:sz w:val="24"/>
          <w:szCs w:val="24"/>
          <w:lang w:val="es-ES_tradnl" w:eastAsia="es-ES"/>
        </w:rPr>
        <w:t xml:space="preserve"> respectiva respuesta a la solicitud de información presentada por el </w:t>
      </w:r>
      <w:r w:rsidR="00661C72" w:rsidRPr="00B06612">
        <w:rPr>
          <w:rFonts w:ascii="Palatino Linotype" w:eastAsiaTheme="minorEastAsia" w:hAnsi="Palatino Linotype" w:cs="Arial"/>
          <w:sz w:val="24"/>
          <w:szCs w:val="24"/>
          <w:lang w:val="es-ES_tradnl" w:eastAsia="es-ES"/>
        </w:rPr>
        <w:t>particular,</w:t>
      </w:r>
      <w:r w:rsidR="00661C72" w:rsidRPr="00B06612">
        <w:rPr>
          <w:rFonts w:ascii="Palatino Linotype" w:eastAsiaTheme="minorEastAsia" w:hAnsi="Palatino Linotype" w:cs="Arial"/>
          <w:b/>
          <w:sz w:val="24"/>
          <w:szCs w:val="24"/>
          <w:lang w:val="es-ES_tradnl" w:eastAsia="es-ES"/>
        </w:rPr>
        <w:t xml:space="preserve"> </w:t>
      </w:r>
      <w:r w:rsidR="00661C72" w:rsidRPr="00B06612">
        <w:rPr>
          <w:rFonts w:ascii="Palatino Linotype" w:eastAsiaTheme="minorEastAsia" w:hAnsi="Palatino Linotype" w:cs="Arial"/>
          <w:sz w:val="24"/>
          <w:szCs w:val="24"/>
          <w:lang w:val="es-ES_tradnl" w:eastAsia="es-ES"/>
        </w:rPr>
        <w:t>mediante la cual adjuntó tres archivo</w:t>
      </w:r>
      <w:r w:rsidR="006536BE" w:rsidRPr="00B06612">
        <w:rPr>
          <w:rFonts w:ascii="Palatino Linotype" w:eastAsiaTheme="minorEastAsia" w:hAnsi="Palatino Linotype" w:cs="Arial"/>
          <w:sz w:val="24"/>
          <w:szCs w:val="24"/>
          <w:lang w:val="es-ES_tradnl" w:eastAsia="es-ES"/>
        </w:rPr>
        <w:t>s</w:t>
      </w:r>
      <w:r w:rsidR="00661C72" w:rsidRPr="00B06612">
        <w:rPr>
          <w:rFonts w:ascii="Palatino Linotype" w:eastAsiaTheme="minorEastAsia" w:hAnsi="Palatino Linotype" w:cs="Arial"/>
          <w:sz w:val="24"/>
          <w:szCs w:val="24"/>
          <w:lang w:val="es-ES_tradnl" w:eastAsia="es-ES"/>
        </w:rPr>
        <w:t xml:space="preserve"> electrónicos identificados como 151IP19ADM1.pdf, JRA151IP19.pdf y 151IP19adm.PDF; mismo que refiere en lo medular a la nómina general en versión publica, correspondiente a la primera quincena del mes abril de 2019, oficio por el cual se le informa al solicitante </w:t>
      </w:r>
      <w:r w:rsidR="00E87131" w:rsidRPr="00B06612">
        <w:rPr>
          <w:rFonts w:ascii="Palatino Linotype" w:eastAsiaTheme="minorEastAsia" w:hAnsi="Palatino Linotype" w:cs="Arial"/>
          <w:sz w:val="24"/>
          <w:szCs w:val="24"/>
          <w:lang w:val="es-ES_tradnl" w:eastAsia="es-ES"/>
        </w:rPr>
        <w:t xml:space="preserve">la respuesta y oficio por el cual el servidor público habilitado remite a la unidad de transparencia la respuesta en versión pública. </w:t>
      </w:r>
    </w:p>
    <w:p w:rsidR="00AD1FE1" w:rsidRPr="00B06612" w:rsidRDefault="00AD1FE1" w:rsidP="00B06612">
      <w:pPr>
        <w:spacing w:before="240" w:after="240" w:line="360" w:lineRule="auto"/>
        <w:contextualSpacing/>
        <w:jc w:val="both"/>
        <w:rPr>
          <w:rFonts w:ascii="Palatino Linotype" w:eastAsiaTheme="minorEastAsia" w:hAnsi="Palatino Linotype" w:cs="Arial"/>
          <w:i/>
          <w:sz w:val="24"/>
          <w:szCs w:val="24"/>
          <w:lang w:val="es-ES_tradnl" w:eastAsia="es-ES"/>
        </w:rPr>
      </w:pPr>
    </w:p>
    <w:p w:rsidR="00AD1FE1" w:rsidRPr="00B06612" w:rsidRDefault="00AD1FE1" w:rsidP="00B06612">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B06612">
        <w:rPr>
          <w:rFonts w:ascii="Palatino Linotype" w:eastAsia="Calibri" w:hAnsi="Palatino Linotype" w:cs="Arial"/>
          <w:sz w:val="24"/>
          <w:szCs w:val="24"/>
          <w:lang w:val="es-AR" w:eastAsia="es-ES"/>
        </w:rPr>
        <w:t>El</w:t>
      </w:r>
      <w:r w:rsidRPr="00B06612">
        <w:rPr>
          <w:rFonts w:ascii="Palatino Linotype" w:eastAsia="Times New Roman" w:hAnsi="Palatino Linotype" w:cs="Arial"/>
          <w:sz w:val="24"/>
          <w:szCs w:val="24"/>
          <w:lang w:val="es-ES" w:eastAsia="es-ES"/>
        </w:rPr>
        <w:t xml:space="preserve"> día </w:t>
      </w:r>
      <w:r w:rsidR="00E87131" w:rsidRPr="00B06612">
        <w:rPr>
          <w:rFonts w:ascii="Palatino Linotype" w:eastAsia="Times New Roman" w:hAnsi="Palatino Linotype" w:cs="Arial"/>
          <w:b/>
          <w:sz w:val="24"/>
          <w:szCs w:val="24"/>
          <w:lang w:val="es-ES" w:eastAsia="es-ES"/>
        </w:rPr>
        <w:t>veintinueve (29</w:t>
      </w:r>
      <w:r w:rsidRPr="00B06612">
        <w:rPr>
          <w:rFonts w:ascii="Palatino Linotype" w:eastAsia="Times New Roman" w:hAnsi="Palatino Linotype" w:cs="Arial"/>
          <w:b/>
          <w:sz w:val="24"/>
          <w:szCs w:val="24"/>
          <w:lang w:val="es-ES" w:eastAsia="es-ES"/>
        </w:rPr>
        <w:t xml:space="preserve">) de abril </w:t>
      </w:r>
      <w:r w:rsidRPr="00B06612">
        <w:rPr>
          <w:rFonts w:ascii="Palatino Linotype" w:eastAsia="Times New Roman" w:hAnsi="Palatino Linotype" w:cs="Arial"/>
          <w:sz w:val="24"/>
          <w:szCs w:val="24"/>
          <w:lang w:val="es-ES" w:eastAsia="es-ES"/>
        </w:rPr>
        <w:t>de dos mil diecinueve, el particular interpuso el recurso de revisión, en contra de la falta de respuesta, señalando como:</w:t>
      </w:r>
      <w:bookmarkStart w:id="1" w:name="_Toc462307683"/>
      <w:bookmarkStart w:id="2" w:name="_Toc472427085"/>
      <w:bookmarkStart w:id="3" w:name="_Toc472500652"/>
    </w:p>
    <w:p w:rsidR="00AD1FE1" w:rsidRPr="00B06612" w:rsidRDefault="00AD1FE1" w:rsidP="00B06612">
      <w:pPr>
        <w:spacing w:before="240" w:after="240" w:line="360" w:lineRule="auto"/>
        <w:contextualSpacing/>
        <w:jc w:val="both"/>
        <w:rPr>
          <w:rFonts w:ascii="Palatino Linotype" w:eastAsiaTheme="minorEastAsia" w:hAnsi="Palatino Linotype" w:cs="Arial"/>
          <w:i/>
          <w:sz w:val="24"/>
          <w:szCs w:val="24"/>
          <w:lang w:val="es-ES_tradnl" w:eastAsia="es-ES"/>
        </w:rPr>
      </w:pPr>
    </w:p>
    <w:p w:rsidR="00AD1FE1" w:rsidRPr="00B06612" w:rsidRDefault="00AD1FE1" w:rsidP="00B06612">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B06612">
        <w:rPr>
          <w:rFonts w:ascii="Palatino Linotype" w:eastAsiaTheme="majorEastAsia" w:hAnsi="Palatino Linotype" w:cstheme="majorBidi"/>
          <w:b/>
          <w:sz w:val="24"/>
          <w:szCs w:val="24"/>
          <w:lang w:val="es-ES" w:eastAsia="es-ES"/>
        </w:rPr>
        <w:t>Acto impugnado</w:t>
      </w:r>
      <w:r w:rsidRPr="00B06612">
        <w:rPr>
          <w:rFonts w:ascii="Palatino Linotype" w:eastAsiaTheme="majorEastAsia" w:hAnsi="Palatino Linotype" w:cstheme="majorBidi"/>
          <w:b/>
          <w:i/>
          <w:sz w:val="24"/>
          <w:szCs w:val="24"/>
          <w:lang w:val="es-ES" w:eastAsia="es-ES"/>
        </w:rPr>
        <w:t>:</w:t>
      </w:r>
      <w:bookmarkEnd w:id="1"/>
      <w:bookmarkEnd w:id="2"/>
      <w:bookmarkEnd w:id="3"/>
      <w:r w:rsidRPr="00B06612">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AD1FE1" w:rsidRPr="00B06612" w:rsidRDefault="00AD1FE1" w:rsidP="00B06612">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AD1FE1" w:rsidRPr="00B06612" w:rsidRDefault="00AD1FE1" w:rsidP="00B06612">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B06612">
        <w:rPr>
          <w:rFonts w:ascii="Palatino Linotype" w:eastAsiaTheme="majorEastAsia" w:hAnsi="Palatino Linotype" w:cstheme="majorBidi"/>
          <w:i/>
          <w:sz w:val="24"/>
          <w:szCs w:val="24"/>
          <w:lang w:val="es-ES" w:eastAsia="es-ES"/>
        </w:rPr>
        <w:t>“</w:t>
      </w:r>
      <w:r w:rsidR="00E87131" w:rsidRPr="00B06612">
        <w:rPr>
          <w:rFonts w:ascii="Palatino Linotype" w:eastAsiaTheme="majorEastAsia" w:hAnsi="Palatino Linotype" w:cstheme="majorBidi"/>
          <w:i/>
          <w:sz w:val="24"/>
          <w:szCs w:val="24"/>
          <w:lang w:eastAsia="es-ES"/>
        </w:rPr>
        <w:t>No me entregan la información solicitada</w:t>
      </w:r>
      <w:r w:rsidRPr="00B06612">
        <w:rPr>
          <w:rFonts w:ascii="Palatino Linotype" w:eastAsia="Times New Roman" w:hAnsi="Palatino Linotype" w:cs="Times New Roman"/>
          <w:i/>
          <w:sz w:val="24"/>
          <w:szCs w:val="24"/>
          <w:lang w:eastAsia="es-MX"/>
        </w:rPr>
        <w:t>.</w:t>
      </w:r>
      <w:r w:rsidRPr="00B06612">
        <w:rPr>
          <w:rFonts w:ascii="Palatino Linotype" w:eastAsiaTheme="majorEastAsia" w:hAnsi="Palatino Linotype" w:cstheme="majorBidi"/>
          <w:i/>
          <w:sz w:val="24"/>
          <w:szCs w:val="24"/>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06612">
        <w:rPr>
          <w:rFonts w:ascii="Palatino Linotype" w:eastAsia="Calibri" w:hAnsi="Palatino Linotype" w:cs="Arial"/>
          <w:i/>
          <w:sz w:val="24"/>
          <w:szCs w:val="24"/>
          <w:lang w:val="es-ES" w:eastAsia="es-ES"/>
        </w:rPr>
        <w:t xml:space="preserve">; </w:t>
      </w:r>
      <w:r w:rsidRPr="00B06612">
        <w:rPr>
          <w:rFonts w:ascii="Palatino Linotype" w:eastAsia="Calibri" w:hAnsi="Palatino Linotype" w:cs="Arial"/>
          <w:sz w:val="24"/>
          <w:szCs w:val="24"/>
          <w:lang w:val="es-ES" w:eastAsia="es-ES"/>
        </w:rPr>
        <w:t xml:space="preserve">y como </w:t>
      </w:r>
    </w:p>
    <w:p w:rsidR="00AD1FE1" w:rsidRPr="00B06612" w:rsidRDefault="00AD1FE1" w:rsidP="00B06612">
      <w:pPr>
        <w:spacing w:after="0" w:line="360" w:lineRule="auto"/>
        <w:ind w:right="-142"/>
        <w:contextualSpacing/>
        <w:jc w:val="both"/>
        <w:rPr>
          <w:rFonts w:ascii="Palatino Linotype" w:eastAsiaTheme="minorEastAsia" w:hAnsi="Palatino Linotype" w:cs="Arial"/>
          <w:i/>
          <w:sz w:val="24"/>
          <w:szCs w:val="24"/>
          <w:lang w:val="es-ES_tradnl" w:eastAsia="es-ES"/>
        </w:rPr>
      </w:pPr>
    </w:p>
    <w:p w:rsidR="00AD1FE1" w:rsidRPr="00B06612" w:rsidRDefault="00AD1FE1" w:rsidP="00B06612">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B06612">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B06612">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AD1FE1" w:rsidRPr="00B06612" w:rsidRDefault="00AD1FE1" w:rsidP="00B06612">
      <w:pPr>
        <w:spacing w:after="0" w:line="360" w:lineRule="auto"/>
        <w:ind w:right="616"/>
        <w:contextualSpacing/>
        <w:jc w:val="both"/>
        <w:rPr>
          <w:rFonts w:ascii="Palatino Linotype" w:eastAsiaTheme="majorEastAsia" w:hAnsi="Palatino Linotype" w:cstheme="majorBidi"/>
          <w:b/>
          <w:i/>
          <w:sz w:val="24"/>
          <w:szCs w:val="24"/>
          <w:lang w:val="es-ES" w:eastAsia="es-ES"/>
        </w:rPr>
      </w:pPr>
    </w:p>
    <w:p w:rsidR="00AD1FE1" w:rsidRPr="00B06612" w:rsidRDefault="00AD1FE1" w:rsidP="00B06612">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B06612">
        <w:rPr>
          <w:rFonts w:ascii="Palatino Linotype" w:eastAsiaTheme="minorEastAsia" w:hAnsi="Palatino Linotype"/>
          <w:i/>
          <w:sz w:val="24"/>
          <w:szCs w:val="24"/>
          <w:lang w:val="es-ES_tradnl" w:eastAsia="es-ES"/>
        </w:rPr>
        <w:t>“</w:t>
      </w:r>
      <w:r w:rsidRPr="00B06612">
        <w:rPr>
          <w:rFonts w:ascii="Palatino Linotype" w:eastAsiaTheme="minorEastAsia" w:hAnsi="Palatino Linotype"/>
          <w:i/>
          <w:sz w:val="24"/>
          <w:szCs w:val="24"/>
          <w:lang w:eastAsia="es-ES"/>
        </w:rPr>
        <w:t>.</w:t>
      </w:r>
      <w:r w:rsidRPr="00B06612">
        <w:rPr>
          <w:rFonts w:ascii="Palatino Linotype" w:eastAsiaTheme="minorEastAsia" w:hAnsi="Palatino Linotype"/>
          <w:i/>
          <w:sz w:val="24"/>
          <w:szCs w:val="24"/>
          <w:lang w:val="es-ES_tradnl" w:eastAsia="es-ES"/>
        </w:rPr>
        <w:t xml:space="preserve">” </w:t>
      </w:r>
      <w:r w:rsidRPr="00B06612">
        <w:rPr>
          <w:rFonts w:ascii="Palatino Linotype" w:eastAsiaTheme="minorEastAsia" w:hAnsi="Palatino Linotype" w:cs="Arial"/>
          <w:i/>
          <w:sz w:val="24"/>
          <w:szCs w:val="24"/>
          <w:lang w:val="es-ES_tradnl" w:eastAsia="es-ES"/>
        </w:rPr>
        <w:t>(Sic)</w:t>
      </w:r>
    </w:p>
    <w:p w:rsidR="00AD1FE1" w:rsidRPr="00B06612" w:rsidRDefault="00AD1FE1" w:rsidP="00B06612">
      <w:pPr>
        <w:spacing w:after="0" w:line="360" w:lineRule="auto"/>
        <w:ind w:right="-142"/>
        <w:contextualSpacing/>
        <w:jc w:val="both"/>
        <w:rPr>
          <w:rFonts w:ascii="Palatino Linotype" w:eastAsiaTheme="minorEastAsia" w:hAnsi="Palatino Linotype" w:cs="Arial"/>
          <w:sz w:val="24"/>
          <w:szCs w:val="24"/>
          <w:lang w:val="es-ES_tradnl" w:eastAsia="es-ES"/>
        </w:rPr>
      </w:pPr>
    </w:p>
    <w:p w:rsidR="00AD1FE1" w:rsidRPr="00B06612" w:rsidRDefault="00AD1FE1" w:rsidP="00B06612">
      <w:pPr>
        <w:numPr>
          <w:ilvl w:val="0"/>
          <w:numId w:val="2"/>
        </w:numPr>
        <w:spacing w:before="240" w:after="24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B06612">
        <w:rPr>
          <w:rFonts w:ascii="Palatino Linotype" w:eastAsia="Times New Roman" w:hAnsi="Palatino Linotype" w:cs="Arial"/>
          <w:sz w:val="24"/>
          <w:szCs w:val="24"/>
          <w:lang w:val="es-ES" w:eastAsia="es-ES"/>
        </w:rPr>
        <w:t xml:space="preserve">Se registró el recurso de revisión bajo el número de expediente </w:t>
      </w:r>
      <w:r w:rsidRPr="00B06612">
        <w:rPr>
          <w:rFonts w:ascii="Palatino Linotype" w:eastAsiaTheme="minorEastAsia" w:hAnsi="Palatino Linotype" w:cs="Arial"/>
          <w:bCs/>
          <w:sz w:val="24"/>
          <w:szCs w:val="24"/>
          <w:lang w:val="es-ES_tradnl" w:eastAsia="es-ES"/>
        </w:rPr>
        <w:t xml:space="preserve">al rubro indicado, asimismo con fundamento en lo dispuesto por el </w:t>
      </w:r>
      <w:r w:rsidRPr="00B06612">
        <w:rPr>
          <w:rFonts w:ascii="Palatino Linotype" w:eastAsia="Calibri" w:hAnsi="Palatino Linotype" w:cs="Arial"/>
          <w:sz w:val="24"/>
          <w:szCs w:val="24"/>
          <w:lang w:val="es-ES" w:eastAsia="es-ES"/>
        </w:rPr>
        <w:t xml:space="preserve">artículo 185 fracción I de la </w:t>
      </w:r>
      <w:r w:rsidRPr="00B0661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06612">
        <w:rPr>
          <w:rFonts w:ascii="Palatino Linotype" w:eastAsia="Times New Roman" w:hAnsi="Palatino Linotype" w:cs="Arial"/>
          <w:sz w:val="24"/>
          <w:szCs w:val="24"/>
          <w:lang w:val="es-ES" w:eastAsia="es-ES"/>
        </w:rPr>
        <w:t xml:space="preserve">se turnó al </w:t>
      </w:r>
      <w:r w:rsidRPr="00B06612">
        <w:rPr>
          <w:rFonts w:ascii="Palatino Linotype" w:eastAsia="Times New Roman" w:hAnsi="Palatino Linotype" w:cs="Arial"/>
          <w:b/>
          <w:sz w:val="24"/>
          <w:szCs w:val="24"/>
          <w:lang w:val="es-ES" w:eastAsia="es-ES"/>
        </w:rPr>
        <w:t xml:space="preserve">Comisionado José Guadalupe Luna Hernández, </w:t>
      </w:r>
      <w:r w:rsidRPr="00B06612">
        <w:rPr>
          <w:rFonts w:ascii="Palatino Linotype" w:eastAsia="Times New Roman" w:hAnsi="Palatino Linotype" w:cs="Arial"/>
          <w:sz w:val="24"/>
          <w:szCs w:val="24"/>
          <w:lang w:val="es-ES" w:eastAsia="es-ES"/>
        </w:rPr>
        <w:t xml:space="preserve">con el objeto de </w:t>
      </w:r>
      <w:r w:rsidRPr="00B06612">
        <w:rPr>
          <w:rFonts w:ascii="Palatino Linotype" w:eastAsia="Times New Roman" w:hAnsi="Palatino Linotype" w:cs="Arial"/>
          <w:sz w:val="24"/>
          <w:szCs w:val="24"/>
          <w:lang w:eastAsia="es-ES"/>
        </w:rPr>
        <w:t>su análisis.</w:t>
      </w:r>
    </w:p>
    <w:p w:rsidR="00AD1FE1" w:rsidRPr="00B06612" w:rsidRDefault="00AD1FE1" w:rsidP="00B06612">
      <w:pPr>
        <w:spacing w:after="0" w:line="360" w:lineRule="auto"/>
        <w:ind w:right="-142"/>
        <w:contextualSpacing/>
        <w:rPr>
          <w:rFonts w:ascii="Palatino Linotype" w:eastAsiaTheme="minorEastAsia" w:hAnsi="Palatino Linotype"/>
          <w:i/>
          <w:color w:val="000000"/>
          <w:sz w:val="24"/>
          <w:szCs w:val="24"/>
          <w:lang w:val="es-ES_tradnl" w:eastAsia="es-ES"/>
        </w:rPr>
      </w:pPr>
    </w:p>
    <w:p w:rsidR="00AD1FE1" w:rsidRPr="00B06612" w:rsidRDefault="00AD1FE1" w:rsidP="00B06612">
      <w:pPr>
        <w:numPr>
          <w:ilvl w:val="0"/>
          <w:numId w:val="2"/>
        </w:numPr>
        <w:spacing w:before="240" w:after="24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B06612">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626AFE" w:rsidRPr="00B06612">
        <w:rPr>
          <w:rFonts w:ascii="Palatino Linotype" w:eastAsia="Calibri" w:hAnsi="Palatino Linotype" w:cs="Arial"/>
          <w:b/>
          <w:sz w:val="24"/>
          <w:szCs w:val="24"/>
          <w:lang w:val="es-ES" w:eastAsia="es-ES"/>
        </w:rPr>
        <w:t>siete (07) de mayo</w:t>
      </w:r>
      <w:r w:rsidRPr="00B06612">
        <w:rPr>
          <w:rFonts w:ascii="Palatino Linotype" w:eastAsia="Calibri" w:hAnsi="Palatino Linotype" w:cs="Arial"/>
          <w:sz w:val="24"/>
          <w:szCs w:val="24"/>
          <w:lang w:val="es-ES" w:eastAsia="es-ES"/>
        </w:rPr>
        <w:t xml:space="preserve"> de dos mil diecinueve, puso a disposición de las partes el expediente electrónico </w:t>
      </w:r>
      <w:r w:rsidRPr="00B06612">
        <w:rPr>
          <w:rFonts w:ascii="Palatino Linotype" w:eastAsia="Calibri" w:hAnsi="Palatino Linotype" w:cs="Arial"/>
          <w:sz w:val="24"/>
          <w:szCs w:val="24"/>
          <w:lang w:val="es-ES_tradnl" w:eastAsia="es-ES"/>
        </w:rPr>
        <w:t xml:space="preserve">vía </w:t>
      </w:r>
      <w:r w:rsidRPr="00B06612">
        <w:rPr>
          <w:rFonts w:ascii="Palatino Linotype" w:eastAsia="Calibri" w:hAnsi="Palatino Linotype" w:cs="Arial"/>
          <w:sz w:val="24"/>
          <w:szCs w:val="24"/>
          <w:lang w:val="es-ES" w:eastAsia="es-ES"/>
        </w:rPr>
        <w:t xml:space="preserve">Sistema de Acceso a la Información Mexiquense </w:t>
      </w:r>
      <w:r w:rsidRPr="00B06612">
        <w:rPr>
          <w:rFonts w:ascii="Palatino Linotype" w:eastAsia="Calibri" w:hAnsi="Palatino Linotype" w:cs="Arial"/>
          <w:b/>
          <w:sz w:val="24"/>
          <w:szCs w:val="24"/>
          <w:lang w:val="es-ES" w:eastAsia="es-ES"/>
        </w:rPr>
        <w:t xml:space="preserve">SAIMEX </w:t>
      </w:r>
      <w:r w:rsidRPr="00B06612">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B06612">
        <w:rPr>
          <w:rFonts w:ascii="Palatino Linotype" w:eastAsia="Calibri" w:hAnsi="Palatino Linotype" w:cs="Arial"/>
          <w:b/>
          <w:sz w:val="24"/>
          <w:szCs w:val="24"/>
          <w:lang w:val="es-ES" w:eastAsia="es-ES"/>
        </w:rPr>
        <w:t>SUJETO OBLIGADO</w:t>
      </w:r>
      <w:r w:rsidRPr="00B06612">
        <w:rPr>
          <w:rFonts w:ascii="Palatino Linotype" w:eastAsia="Calibri" w:hAnsi="Palatino Linotype" w:cs="Arial"/>
          <w:sz w:val="24"/>
          <w:szCs w:val="24"/>
          <w:lang w:val="es-ES" w:eastAsia="es-ES"/>
        </w:rPr>
        <w:t xml:space="preserve"> presentará el </w:t>
      </w:r>
      <w:r w:rsidR="000556A7" w:rsidRPr="00B06612">
        <w:rPr>
          <w:rFonts w:ascii="Palatino Linotype" w:eastAsia="Calibri" w:hAnsi="Palatino Linotype" w:cs="Arial"/>
          <w:sz w:val="24"/>
          <w:szCs w:val="24"/>
          <w:lang w:val="es-ES" w:eastAsia="es-ES"/>
        </w:rPr>
        <w:t>Informe Justificado procedente.</w:t>
      </w:r>
    </w:p>
    <w:p w:rsidR="00AD1FE1" w:rsidRPr="00B06612" w:rsidRDefault="00AD1FE1" w:rsidP="00B06612">
      <w:pPr>
        <w:spacing w:before="240" w:after="240" w:line="360" w:lineRule="auto"/>
        <w:ind w:right="-142"/>
        <w:contextualSpacing/>
        <w:jc w:val="both"/>
        <w:rPr>
          <w:rFonts w:ascii="Palatino Linotype" w:eastAsiaTheme="minorEastAsia" w:hAnsi="Palatino Linotype"/>
          <w:i/>
          <w:color w:val="000000"/>
          <w:sz w:val="24"/>
          <w:szCs w:val="24"/>
          <w:lang w:val="es-ES_tradnl" w:eastAsia="es-ES"/>
        </w:rPr>
      </w:pPr>
    </w:p>
    <w:p w:rsidR="00B06612" w:rsidRDefault="000556A7" w:rsidP="00B06612">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B06612">
        <w:rPr>
          <w:rFonts w:ascii="Palatino Linotype" w:eastAsia="Calibri" w:hAnsi="Palatino Linotype" w:cs="Arial"/>
          <w:sz w:val="24"/>
          <w:szCs w:val="24"/>
          <w:lang w:val="es-ES" w:eastAsia="es-ES"/>
        </w:rPr>
        <w:t xml:space="preserve">El día </w:t>
      </w:r>
      <w:r w:rsidRPr="00B06612">
        <w:rPr>
          <w:rFonts w:ascii="Palatino Linotype" w:eastAsia="Calibri" w:hAnsi="Palatino Linotype" w:cs="Arial"/>
          <w:b/>
          <w:sz w:val="24"/>
          <w:szCs w:val="24"/>
          <w:lang w:val="es-ES" w:eastAsia="es-ES"/>
        </w:rPr>
        <w:t>dieciséis (16)</w:t>
      </w:r>
      <w:r w:rsidRPr="00B06612">
        <w:rPr>
          <w:rFonts w:ascii="Palatino Linotype" w:eastAsia="Calibri" w:hAnsi="Palatino Linotype" w:cs="Arial"/>
          <w:sz w:val="24"/>
          <w:szCs w:val="24"/>
          <w:lang w:val="es-ES" w:eastAsia="es-ES"/>
        </w:rPr>
        <w:t xml:space="preserve"> </w:t>
      </w:r>
      <w:r w:rsidRPr="00B06612">
        <w:rPr>
          <w:rFonts w:ascii="Palatino Linotype" w:eastAsia="Calibri" w:hAnsi="Palatino Linotype" w:cs="Arial"/>
          <w:b/>
          <w:sz w:val="24"/>
          <w:szCs w:val="24"/>
          <w:lang w:val="es-ES" w:eastAsia="es-ES"/>
        </w:rPr>
        <w:t>de mayo</w:t>
      </w:r>
      <w:r w:rsidRPr="00B06612">
        <w:rPr>
          <w:rFonts w:ascii="Palatino Linotype" w:eastAsia="Calibri" w:hAnsi="Palatino Linotype" w:cs="Arial"/>
          <w:sz w:val="24"/>
          <w:szCs w:val="24"/>
          <w:lang w:val="es-ES" w:eastAsia="es-ES"/>
        </w:rPr>
        <w:t xml:space="preserve"> de dos mil diecinueve el </w:t>
      </w:r>
      <w:r w:rsidRPr="00B06612">
        <w:rPr>
          <w:rFonts w:ascii="Palatino Linotype" w:eastAsia="Calibri" w:hAnsi="Palatino Linotype" w:cs="Arial"/>
          <w:b/>
          <w:sz w:val="24"/>
          <w:szCs w:val="24"/>
          <w:lang w:val="es-ES" w:eastAsia="es-ES"/>
        </w:rPr>
        <w:t>SUJETO OBLIGADO</w:t>
      </w:r>
      <w:r w:rsidRPr="00B06612">
        <w:rPr>
          <w:rFonts w:ascii="Palatino Linotype" w:eastAsia="Calibri" w:hAnsi="Palatino Linotype" w:cs="Arial"/>
          <w:sz w:val="24"/>
          <w:szCs w:val="24"/>
          <w:lang w:val="es-ES" w:eastAsia="es-ES"/>
        </w:rPr>
        <w:t xml:space="preserve"> estando en tiempo y forma presentó su respectivo informe justificado por medio del cual refiere los antecedentes de la solicitud hasta la interposición del medio de impugnación, precisando un apartado denominado análisis en el cual se precisa en lo medular que para dar contestación a la solicitud se verificó en la 4° sesión ordinaria del Comité de Transparencia que el documento con el cual se atendía el requerimiento </w:t>
      </w:r>
      <w:r w:rsidR="00114FF0" w:rsidRPr="00B06612">
        <w:rPr>
          <w:rFonts w:ascii="Palatino Linotype" w:eastAsia="Calibri" w:hAnsi="Palatino Linotype" w:cs="Arial"/>
          <w:sz w:val="24"/>
          <w:szCs w:val="24"/>
          <w:lang w:val="es-ES" w:eastAsia="es-ES"/>
        </w:rPr>
        <w:t>contenía datos personales como: registro social, clave única de registro de población (CURP), ausentismo y días pagados; información considerada como confidencial, razón por la cual se clasificó la misma y se realizó la versión pública correspondiente; información que fue del conocimiento el particular a efecto de que el mismo presentara sus manifestación que a su derecho conviniera, situación que no ocurrió.</w:t>
      </w:r>
    </w:p>
    <w:p w:rsidR="00B06612" w:rsidRPr="00B06612" w:rsidRDefault="00B06612" w:rsidP="00B06612">
      <w:pPr>
        <w:spacing w:before="240" w:after="240" w:line="360" w:lineRule="auto"/>
        <w:ind w:right="-142"/>
        <w:contextualSpacing/>
        <w:jc w:val="both"/>
        <w:rPr>
          <w:rFonts w:ascii="Palatino Linotype" w:eastAsiaTheme="minorEastAsia" w:hAnsi="Palatino Linotype"/>
          <w:sz w:val="24"/>
          <w:szCs w:val="24"/>
          <w:lang w:val="es-ES_tradnl" w:eastAsia="es-ES"/>
        </w:rPr>
      </w:pPr>
    </w:p>
    <w:p w:rsidR="00AD1FE1" w:rsidRPr="00B06612" w:rsidRDefault="00AD1FE1" w:rsidP="00B06612">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B06612">
        <w:rPr>
          <w:rFonts w:ascii="Palatino Linotype" w:eastAsiaTheme="minorEastAsia" w:hAnsi="Palatino Linotype"/>
          <w:sz w:val="24"/>
          <w:szCs w:val="24"/>
          <w:lang w:val="es-ES_tradnl" w:eastAsia="es-ES"/>
        </w:rPr>
        <w:t>El Comisionado Ponente decretó el cierre de instrucción</w:t>
      </w:r>
      <w:r w:rsidRPr="00B06612">
        <w:rPr>
          <w:rFonts w:ascii="Palatino Linotype" w:eastAsiaTheme="minorEastAsia" w:hAnsi="Palatino Linotype" w:cs="Arial"/>
          <w:sz w:val="24"/>
          <w:szCs w:val="24"/>
          <w:lang w:val="es-ES_tradnl" w:eastAsia="es-ES"/>
        </w:rPr>
        <w:t xml:space="preserve"> </w:t>
      </w:r>
      <w:r w:rsidRPr="00B06612">
        <w:rPr>
          <w:rFonts w:ascii="Palatino Linotype" w:eastAsiaTheme="minorEastAsia" w:hAnsi="Palatino Linotype"/>
          <w:sz w:val="24"/>
          <w:szCs w:val="24"/>
          <w:lang w:val="es-ES_tradnl" w:eastAsia="es-ES"/>
        </w:rPr>
        <w:t xml:space="preserve">mediante acuerdo de fecha </w:t>
      </w:r>
      <w:r w:rsidR="00114FF0" w:rsidRPr="00B06612">
        <w:rPr>
          <w:rFonts w:ascii="Palatino Linotype" w:eastAsiaTheme="minorEastAsia" w:hAnsi="Palatino Linotype"/>
          <w:b/>
          <w:sz w:val="24"/>
          <w:szCs w:val="24"/>
          <w:lang w:val="es-ES_tradnl" w:eastAsia="es-ES"/>
        </w:rPr>
        <w:t>cuatro (04) de junio</w:t>
      </w:r>
      <w:r w:rsidRPr="00B06612">
        <w:rPr>
          <w:rFonts w:ascii="Palatino Linotype" w:eastAsiaTheme="minorEastAsia" w:hAnsi="Palatino Linotype"/>
          <w:sz w:val="24"/>
          <w:szCs w:val="24"/>
          <w:lang w:val="es-ES_tradnl" w:eastAsia="es-ES"/>
        </w:rPr>
        <w:t xml:space="preserve"> de dos mil diecinueve, </w:t>
      </w:r>
      <w:r w:rsidRPr="00B06612">
        <w:rPr>
          <w:rFonts w:ascii="Palatino Linotype" w:eastAsiaTheme="minorEastAsia" w:hAnsi="Palatino Linotype" w:cs="Arial"/>
          <w:sz w:val="24"/>
          <w:szCs w:val="24"/>
          <w:lang w:val="es-ES_tradnl" w:eastAsia="es-ES"/>
        </w:rPr>
        <w:t xml:space="preserve">por lo que, ordenó turnar el expediente a resolución; sin embargo, en fecha </w:t>
      </w:r>
      <w:r w:rsidR="00114FF0" w:rsidRPr="00B06612">
        <w:rPr>
          <w:rFonts w:ascii="Palatino Linotype" w:eastAsiaTheme="minorEastAsia" w:hAnsi="Palatino Linotype" w:cs="Arial"/>
          <w:b/>
          <w:sz w:val="24"/>
          <w:szCs w:val="24"/>
          <w:lang w:val="es-ES_tradnl" w:eastAsia="es-ES"/>
        </w:rPr>
        <w:t>diecinueve (19</w:t>
      </w:r>
      <w:r w:rsidRPr="00B06612">
        <w:rPr>
          <w:rFonts w:ascii="Palatino Linotype" w:eastAsiaTheme="minorEastAsia" w:hAnsi="Palatino Linotype" w:cs="Arial"/>
          <w:b/>
          <w:sz w:val="24"/>
          <w:szCs w:val="24"/>
          <w:lang w:val="es-ES_tradnl" w:eastAsia="es-ES"/>
        </w:rPr>
        <w:t xml:space="preserve">) de junio </w:t>
      </w:r>
      <w:r w:rsidRPr="00B06612">
        <w:rPr>
          <w:rFonts w:ascii="Palatino Linotype" w:eastAsiaTheme="minorEastAsia" w:hAnsi="Palatino Linotype" w:cs="Arial"/>
          <w:sz w:val="24"/>
          <w:szCs w:val="24"/>
          <w:lang w:val="es-ES_tradnl" w:eastAsia="es-ES"/>
        </w:rPr>
        <w:t>de la presente anualidad se acordó la ampliación del plazo derivado del cumulo de información que se integra el informe justificado, a efecto de emitir un mejor estudio del asunto, por lo que no habiendo más que hacer constar, y - - - - - - - - - - - - - - - - - - - - - - - - - - - - - - - -</w:t>
      </w:r>
    </w:p>
    <w:p w:rsidR="00AD1FE1" w:rsidRPr="00B06612" w:rsidRDefault="00AD1FE1" w:rsidP="00B06612">
      <w:pPr>
        <w:spacing w:before="240" w:after="240" w:line="360" w:lineRule="auto"/>
        <w:ind w:right="-142"/>
        <w:contextualSpacing/>
        <w:jc w:val="both"/>
        <w:rPr>
          <w:rFonts w:ascii="Palatino Linotype" w:eastAsia="Calibri" w:hAnsi="Palatino Linotype" w:cs="Arial"/>
          <w:sz w:val="24"/>
          <w:szCs w:val="24"/>
          <w:lang w:val="es-ES" w:eastAsia="es-ES"/>
        </w:rPr>
      </w:pPr>
    </w:p>
    <w:p w:rsidR="00AD1FE1" w:rsidRPr="00B06612" w:rsidRDefault="00AD1FE1" w:rsidP="00B06612">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5" w:name="_Toc12379990"/>
      <w:r w:rsidRPr="00B06612">
        <w:rPr>
          <w:rFonts w:ascii="Palatino Linotype" w:eastAsiaTheme="majorEastAsia" w:hAnsi="Palatino Linotype" w:cstheme="majorBidi"/>
          <w:b/>
          <w:sz w:val="24"/>
          <w:szCs w:val="24"/>
        </w:rPr>
        <w:t>C O N S I D E R A N D O</w:t>
      </w:r>
      <w:bookmarkEnd w:id="55"/>
    </w:p>
    <w:p w:rsidR="00AD1FE1" w:rsidRPr="00B06612" w:rsidRDefault="00AD1FE1" w:rsidP="00B06612">
      <w:pPr>
        <w:spacing w:after="0" w:line="360" w:lineRule="auto"/>
        <w:ind w:right="-142"/>
        <w:rPr>
          <w:rFonts w:ascii="Palatino Linotype" w:eastAsiaTheme="minorEastAsia" w:hAnsi="Palatino Linotype"/>
          <w:sz w:val="24"/>
          <w:szCs w:val="24"/>
        </w:rPr>
      </w:pPr>
    </w:p>
    <w:p w:rsidR="00AD1FE1" w:rsidRDefault="00AD1FE1" w:rsidP="00B06612">
      <w:pPr>
        <w:keepNext/>
        <w:keepLines/>
        <w:spacing w:before="40" w:after="0" w:line="360" w:lineRule="auto"/>
        <w:ind w:right="-142"/>
        <w:outlineLvl w:val="1"/>
        <w:rPr>
          <w:rFonts w:ascii="Palatino Linotype" w:eastAsiaTheme="majorEastAsia" w:hAnsi="Palatino Linotype" w:cstheme="majorBidi"/>
          <w:b/>
          <w:sz w:val="24"/>
          <w:szCs w:val="24"/>
        </w:rPr>
      </w:pPr>
      <w:bookmarkStart w:id="56" w:name="_Toc12379991"/>
      <w:r w:rsidRPr="00B06612">
        <w:rPr>
          <w:rFonts w:ascii="Palatino Linotype" w:eastAsiaTheme="majorEastAsia" w:hAnsi="Palatino Linotype" w:cstheme="majorBidi"/>
          <w:b/>
          <w:sz w:val="24"/>
          <w:szCs w:val="24"/>
        </w:rPr>
        <w:t>PRIMERO. De la competencia.</w:t>
      </w:r>
      <w:bookmarkEnd w:id="56"/>
    </w:p>
    <w:p w:rsidR="00B06612" w:rsidRPr="00B06612" w:rsidRDefault="00B06612" w:rsidP="00B06612">
      <w:pPr>
        <w:keepNext/>
        <w:keepLines/>
        <w:spacing w:before="40" w:after="0" w:line="360" w:lineRule="auto"/>
        <w:ind w:right="-142"/>
        <w:outlineLvl w:val="1"/>
        <w:rPr>
          <w:rFonts w:ascii="Palatino Linotype" w:eastAsiaTheme="majorEastAsia" w:hAnsi="Palatino Linotype" w:cstheme="majorBidi"/>
          <w:b/>
          <w:sz w:val="24"/>
          <w:szCs w:val="24"/>
        </w:rPr>
      </w:pPr>
    </w:p>
    <w:p w:rsidR="00AD1FE1" w:rsidRPr="00B06612" w:rsidRDefault="00AD1FE1" w:rsidP="00B06612">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B0661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06612">
        <w:rPr>
          <w:rFonts w:ascii="Palatino Linotype" w:eastAsia="Calibri" w:hAnsi="Palatino Linotype" w:cs="Times New Roman"/>
          <w:b/>
          <w:sz w:val="24"/>
          <w:szCs w:val="24"/>
          <w:lang w:val="es-ES" w:eastAsia="es-ES"/>
        </w:rPr>
        <w:t>Constitución Política de los Estados Unidos Mexicanos</w:t>
      </w:r>
      <w:r w:rsidRPr="00B06612">
        <w:rPr>
          <w:rFonts w:ascii="Palatino Linotype" w:eastAsia="Calibri" w:hAnsi="Palatino Linotype" w:cs="Times New Roman"/>
          <w:sz w:val="24"/>
          <w:szCs w:val="24"/>
          <w:lang w:val="es-ES" w:eastAsia="es-ES"/>
        </w:rPr>
        <w:t xml:space="preserve">; 5, párrafos </w:t>
      </w:r>
      <w:r w:rsidRPr="00B06612">
        <w:rPr>
          <w:rFonts w:ascii="Palatino Linotype" w:eastAsiaTheme="minorEastAsia" w:hAnsi="Palatino Linotype" w:cs="Arial"/>
          <w:bCs/>
          <w:color w:val="222222"/>
          <w:sz w:val="24"/>
          <w:szCs w:val="24"/>
          <w:lang w:val="es-ES" w:eastAsia="es-ES"/>
        </w:rPr>
        <w:t xml:space="preserve">vigésimo, vigésimo primero y vigésimo segundo </w:t>
      </w:r>
      <w:r w:rsidRPr="00B06612">
        <w:rPr>
          <w:rFonts w:ascii="Palatino Linotype" w:eastAsia="Calibri" w:hAnsi="Palatino Linotype" w:cs="Times New Roman"/>
          <w:sz w:val="24"/>
          <w:szCs w:val="24"/>
          <w:lang w:val="es-ES" w:eastAsia="es-ES"/>
        </w:rPr>
        <w:t xml:space="preserve">fracciones IV y V de la </w:t>
      </w:r>
      <w:r w:rsidRPr="00B06612">
        <w:rPr>
          <w:rFonts w:ascii="Palatino Linotype" w:eastAsia="Calibri" w:hAnsi="Palatino Linotype" w:cs="Times New Roman"/>
          <w:b/>
          <w:sz w:val="24"/>
          <w:szCs w:val="24"/>
          <w:lang w:val="es-ES" w:eastAsia="es-ES"/>
        </w:rPr>
        <w:t>Constitución Política del Estado Libre y Soberano de México</w:t>
      </w:r>
      <w:r w:rsidRPr="00B0661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06612">
        <w:rPr>
          <w:rFonts w:ascii="Palatino Linotype" w:eastAsia="Calibri" w:hAnsi="Palatino Linotype" w:cs="Arial"/>
          <w:sz w:val="24"/>
          <w:szCs w:val="24"/>
          <w:lang w:val="es-ES" w:eastAsia="es-ES"/>
        </w:rPr>
        <w:t xml:space="preserve">de la </w:t>
      </w:r>
      <w:r w:rsidRPr="00B06612">
        <w:rPr>
          <w:rFonts w:ascii="Palatino Linotype" w:eastAsia="Calibri" w:hAnsi="Palatino Linotype" w:cs="Arial"/>
          <w:b/>
          <w:sz w:val="24"/>
          <w:szCs w:val="24"/>
          <w:lang w:val="es-ES" w:eastAsia="es-ES"/>
        </w:rPr>
        <w:t>Ley de Transparencia y Acceso a la Información Pública del Estado de México y Municipios</w:t>
      </w:r>
      <w:r w:rsidRPr="00B06612">
        <w:rPr>
          <w:rFonts w:ascii="Palatino Linotype" w:eastAsia="Calibri" w:hAnsi="Palatino Linotype" w:cs="Arial"/>
          <w:sz w:val="24"/>
          <w:szCs w:val="24"/>
          <w:lang w:val="es-ES" w:eastAsia="es-ES"/>
        </w:rPr>
        <w:t xml:space="preserve">; y 7, 9 fracciones I y XXIV, y 11 del </w:t>
      </w:r>
      <w:r w:rsidRPr="00B0661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06612">
        <w:rPr>
          <w:rFonts w:ascii="Palatino Linotype" w:eastAsiaTheme="minorEastAsia" w:hAnsi="Palatino Linotype"/>
          <w:sz w:val="24"/>
          <w:szCs w:val="24"/>
          <w:lang w:val="es-ES_tradnl" w:eastAsia="es-ES"/>
        </w:rPr>
        <w:t>.</w:t>
      </w:r>
    </w:p>
    <w:p w:rsidR="00AD1FE1" w:rsidRPr="00B06612" w:rsidRDefault="00AD1FE1" w:rsidP="00B06612">
      <w:pPr>
        <w:keepNext/>
        <w:keepLines/>
        <w:spacing w:before="40" w:after="0" w:line="360" w:lineRule="auto"/>
        <w:ind w:right="-142"/>
        <w:outlineLvl w:val="1"/>
        <w:rPr>
          <w:rFonts w:ascii="Palatino Linotype" w:eastAsiaTheme="majorEastAsia" w:hAnsi="Palatino Linotype" w:cstheme="majorBidi"/>
          <w:b/>
          <w:sz w:val="24"/>
          <w:szCs w:val="24"/>
        </w:rPr>
      </w:pPr>
    </w:p>
    <w:p w:rsidR="00AD1FE1" w:rsidRPr="00B06612" w:rsidRDefault="00AD1FE1" w:rsidP="00B06612">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2379992"/>
      <w:r w:rsidRPr="00B06612">
        <w:rPr>
          <w:rFonts w:ascii="Palatino Linotype" w:eastAsiaTheme="majorEastAsia" w:hAnsi="Palatino Linotype" w:cstheme="majorBidi"/>
          <w:b/>
          <w:sz w:val="24"/>
          <w:szCs w:val="24"/>
        </w:rPr>
        <w:t>SEGUNDO. De la oportunidad y procedencia.</w:t>
      </w:r>
      <w:bookmarkEnd w:id="57"/>
    </w:p>
    <w:p w:rsidR="00AD1FE1" w:rsidRPr="00B06612" w:rsidRDefault="00AD1FE1" w:rsidP="00B06612">
      <w:pPr>
        <w:keepNext/>
        <w:keepLines/>
        <w:spacing w:before="40" w:after="0" w:line="360" w:lineRule="auto"/>
        <w:ind w:right="-142"/>
        <w:outlineLvl w:val="1"/>
        <w:rPr>
          <w:rFonts w:ascii="Palatino Linotype" w:eastAsiaTheme="majorEastAsia" w:hAnsi="Palatino Linotype" w:cstheme="majorBidi"/>
          <w:b/>
          <w:sz w:val="24"/>
          <w:szCs w:val="24"/>
        </w:rPr>
      </w:pPr>
    </w:p>
    <w:p w:rsidR="00B06612" w:rsidRPr="00B06612" w:rsidRDefault="00114FF0" w:rsidP="00B06612">
      <w:pPr>
        <w:numPr>
          <w:ilvl w:val="0"/>
          <w:numId w:val="2"/>
        </w:numPr>
        <w:spacing w:line="360" w:lineRule="auto"/>
        <w:ind w:left="0" w:firstLine="0"/>
        <w:contextualSpacing/>
        <w:jc w:val="both"/>
        <w:rPr>
          <w:rFonts w:ascii="Palatino Linotype" w:eastAsia="Calibri" w:hAnsi="Palatino Linotype" w:cs="Arial"/>
          <w:sz w:val="24"/>
          <w:szCs w:val="24"/>
          <w:lang w:val="es-ES_tradnl" w:eastAsia="es-ES"/>
        </w:rPr>
      </w:pPr>
      <w:r w:rsidRPr="00B06612">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B06612">
        <w:rPr>
          <w:rFonts w:ascii="Palatino Linotype" w:eastAsia="Calibri" w:hAnsi="Palatino Linotype" w:cs="Arial"/>
          <w:b/>
          <w:sz w:val="24"/>
          <w:szCs w:val="24"/>
          <w:lang w:val="es-ES_tradnl" w:eastAsia="es-ES"/>
        </w:rPr>
        <w:t>SUJETO OBLIGADO</w:t>
      </w:r>
      <w:r w:rsidRPr="00B06612">
        <w:rPr>
          <w:rFonts w:ascii="Palatino Linotype" w:eastAsia="Calibri" w:hAnsi="Palatino Linotype" w:cs="Arial"/>
          <w:sz w:val="24"/>
          <w:szCs w:val="24"/>
          <w:lang w:val="es-ES_tradnl" w:eastAsia="es-ES"/>
        </w:rPr>
        <w:t xml:space="preserve"> entregó la respuesta el día </w:t>
      </w:r>
      <w:r w:rsidR="00744AF4" w:rsidRPr="00B06612">
        <w:rPr>
          <w:rFonts w:ascii="Palatino Linotype" w:eastAsia="Calibri" w:hAnsi="Palatino Linotype" w:cs="Arial"/>
          <w:b/>
          <w:sz w:val="24"/>
          <w:szCs w:val="24"/>
          <w:lang w:val="es-ES_tradnl" w:eastAsia="es-ES"/>
        </w:rPr>
        <w:t>veintinueve (29) de abril</w:t>
      </w:r>
      <w:r w:rsidRPr="00B06612">
        <w:rPr>
          <w:rFonts w:ascii="Palatino Linotype" w:eastAsia="Calibri" w:hAnsi="Palatino Linotype" w:cs="Arial"/>
          <w:sz w:val="24"/>
          <w:szCs w:val="24"/>
          <w:lang w:val="es-ES_tradnl" w:eastAsia="es-ES"/>
        </w:rPr>
        <w:t xml:space="preserve"> de dos mil diecinueve, de tal forma que el plazo para interponer el recurso transcurrió del día </w:t>
      </w:r>
      <w:r w:rsidR="00744AF4" w:rsidRPr="00B06612">
        <w:rPr>
          <w:rFonts w:ascii="Palatino Linotype" w:eastAsia="Calibri" w:hAnsi="Palatino Linotype" w:cs="Arial"/>
          <w:b/>
          <w:sz w:val="24"/>
          <w:szCs w:val="24"/>
          <w:lang w:val="es-ES_tradnl" w:eastAsia="es-ES"/>
        </w:rPr>
        <w:t>treinta (30) de abril</w:t>
      </w:r>
      <w:r w:rsidRPr="00B06612">
        <w:rPr>
          <w:rFonts w:ascii="Palatino Linotype" w:eastAsia="Calibri" w:hAnsi="Palatino Linotype" w:cs="Arial"/>
          <w:b/>
          <w:sz w:val="24"/>
          <w:szCs w:val="24"/>
          <w:lang w:val="es-ES_tradnl" w:eastAsia="es-ES"/>
        </w:rPr>
        <w:t xml:space="preserve"> a</w:t>
      </w:r>
      <w:r w:rsidRPr="00B06612">
        <w:rPr>
          <w:rFonts w:ascii="Palatino Linotype" w:eastAsia="Calibri" w:hAnsi="Palatino Linotype" w:cs="Arial"/>
          <w:sz w:val="24"/>
          <w:szCs w:val="24"/>
          <w:lang w:val="es-ES_tradnl" w:eastAsia="es-ES"/>
        </w:rPr>
        <w:t xml:space="preserve">l </w:t>
      </w:r>
      <w:r w:rsidR="00744AF4" w:rsidRPr="00B06612">
        <w:rPr>
          <w:rFonts w:ascii="Palatino Linotype" w:eastAsia="Calibri" w:hAnsi="Palatino Linotype" w:cs="Arial"/>
          <w:b/>
          <w:sz w:val="24"/>
          <w:szCs w:val="24"/>
          <w:lang w:val="es-ES_tradnl" w:eastAsia="es-ES"/>
        </w:rPr>
        <w:t>veintidós (22</w:t>
      </w:r>
      <w:r w:rsidRPr="00B06612">
        <w:rPr>
          <w:rFonts w:ascii="Palatino Linotype" w:eastAsia="Calibri" w:hAnsi="Palatino Linotype" w:cs="Arial"/>
          <w:b/>
          <w:sz w:val="24"/>
          <w:szCs w:val="24"/>
          <w:lang w:val="es-ES_tradnl" w:eastAsia="es-ES"/>
        </w:rPr>
        <w:t>)</w:t>
      </w:r>
      <w:r w:rsidRPr="00B06612">
        <w:rPr>
          <w:rFonts w:ascii="Palatino Linotype" w:eastAsia="Calibri" w:hAnsi="Palatino Linotype" w:cs="Arial"/>
          <w:sz w:val="24"/>
          <w:szCs w:val="24"/>
          <w:lang w:val="es-ES_tradnl" w:eastAsia="es-ES"/>
        </w:rPr>
        <w:t xml:space="preserve"> </w:t>
      </w:r>
      <w:r w:rsidR="00744AF4" w:rsidRPr="00B06612">
        <w:rPr>
          <w:rFonts w:ascii="Palatino Linotype" w:eastAsia="Calibri" w:hAnsi="Palatino Linotype" w:cs="Arial"/>
          <w:b/>
          <w:sz w:val="24"/>
          <w:szCs w:val="24"/>
          <w:lang w:val="es-ES_tradnl" w:eastAsia="es-ES"/>
        </w:rPr>
        <w:t>de mayo</w:t>
      </w:r>
      <w:r w:rsidRPr="00B06612">
        <w:rPr>
          <w:rFonts w:ascii="Palatino Linotype" w:eastAsia="Calibri" w:hAnsi="Palatino Linotype" w:cs="Arial"/>
          <w:sz w:val="24"/>
          <w:szCs w:val="24"/>
          <w:lang w:val="es-ES_tradnl" w:eastAsia="es-ES"/>
        </w:rPr>
        <w:t xml:space="preserve"> </w:t>
      </w:r>
      <w:r w:rsidRPr="00B06612">
        <w:rPr>
          <w:rFonts w:ascii="Palatino Linotype" w:eastAsia="Calibri" w:hAnsi="Palatino Linotype" w:cs="Arial"/>
          <w:b/>
          <w:sz w:val="24"/>
          <w:szCs w:val="24"/>
          <w:lang w:val="es-ES_tradnl" w:eastAsia="es-ES"/>
        </w:rPr>
        <w:t xml:space="preserve">de </w:t>
      </w:r>
      <w:r w:rsidRPr="00B06612">
        <w:rPr>
          <w:rFonts w:ascii="Palatino Linotype" w:eastAsia="Calibri" w:hAnsi="Palatino Linotype" w:cs="Arial"/>
          <w:sz w:val="24"/>
          <w:szCs w:val="24"/>
          <w:lang w:val="es-ES_tradnl" w:eastAsia="es-ES"/>
        </w:rPr>
        <w:t xml:space="preserve">dos mil diecinueve; en consecuencia, presentó su inconformidad el </w:t>
      </w:r>
      <w:r w:rsidR="00744AF4" w:rsidRPr="00B06612">
        <w:rPr>
          <w:rFonts w:ascii="Palatino Linotype" w:eastAsia="Calibri" w:hAnsi="Palatino Linotype" w:cs="Arial"/>
          <w:b/>
          <w:sz w:val="24"/>
          <w:szCs w:val="24"/>
          <w:lang w:val="es-ES_tradnl" w:eastAsia="es-ES"/>
        </w:rPr>
        <w:t>día veintinueve (29</w:t>
      </w:r>
      <w:r w:rsidRPr="00B06612">
        <w:rPr>
          <w:rFonts w:ascii="Palatino Linotype" w:eastAsia="Calibri" w:hAnsi="Palatino Linotype" w:cs="Arial"/>
          <w:b/>
          <w:sz w:val="24"/>
          <w:szCs w:val="24"/>
          <w:lang w:val="es-ES_tradnl" w:eastAsia="es-ES"/>
        </w:rPr>
        <w:t>)</w:t>
      </w:r>
      <w:r w:rsidR="00744AF4" w:rsidRPr="00B06612">
        <w:rPr>
          <w:rFonts w:ascii="Palatino Linotype" w:eastAsia="Calibri" w:hAnsi="Palatino Linotype" w:cs="Arial"/>
          <w:b/>
          <w:sz w:val="24"/>
          <w:szCs w:val="24"/>
          <w:lang w:val="es-ES_tradnl" w:eastAsia="es-ES"/>
        </w:rPr>
        <w:t xml:space="preserve"> de abril</w:t>
      </w:r>
      <w:r w:rsidRPr="00B06612">
        <w:rPr>
          <w:rFonts w:ascii="Palatino Linotype" w:eastAsia="Calibri" w:hAnsi="Palatino Linotype" w:cs="Arial"/>
          <w:sz w:val="24"/>
          <w:szCs w:val="24"/>
          <w:lang w:val="es-ES_tradnl" w:eastAsia="es-ES"/>
        </w:rPr>
        <w:t xml:space="preserve"> de dos mil diecinueve, este se encuentra dentro de los márgenes temporales previstos en el artículo 178 de la Ley de Transparencia y Acceso a la Información Pública del Estado de México y Municipios.</w:t>
      </w:r>
    </w:p>
    <w:p w:rsidR="00744AF4" w:rsidRPr="00B06612" w:rsidRDefault="00744AF4" w:rsidP="00B06612">
      <w:pPr>
        <w:pStyle w:val="Prrafodelista"/>
        <w:numPr>
          <w:ilvl w:val="0"/>
          <w:numId w:val="2"/>
        </w:numPr>
        <w:tabs>
          <w:tab w:val="left" w:pos="0"/>
        </w:tabs>
        <w:spacing w:after="0" w:line="360" w:lineRule="auto"/>
        <w:ind w:left="0" w:right="49" w:firstLine="0"/>
        <w:jc w:val="both"/>
        <w:rPr>
          <w:rFonts w:ascii="Palatino Linotype" w:eastAsia="Times New Roman" w:hAnsi="Palatino Linotype" w:cs="Arial"/>
          <w:bCs/>
          <w:color w:val="555555"/>
          <w:sz w:val="24"/>
          <w:szCs w:val="24"/>
          <w:lang w:eastAsia="es-MX"/>
        </w:rPr>
      </w:pPr>
      <w:r w:rsidRPr="00B06612">
        <w:rPr>
          <w:rFonts w:ascii="Palatino Linotype" w:hAnsi="Palatino Linotype" w:cs="Arial"/>
          <w:sz w:val="24"/>
          <w:szCs w:val="24"/>
        </w:rPr>
        <w:t xml:space="preserve">Al respecto </w:t>
      </w:r>
      <w:r w:rsidRPr="00B06612">
        <w:rPr>
          <w:rFonts w:ascii="Palatino Linotype" w:eastAsia="Times New Roman" w:hAnsi="Palatino Linotype" w:cs="Arial"/>
          <w:bCs/>
          <w:color w:val="000000"/>
          <w:sz w:val="24"/>
          <w:szCs w:val="24"/>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744AF4" w:rsidRPr="00B06612" w:rsidRDefault="00744AF4" w:rsidP="00B06612">
      <w:pPr>
        <w:pStyle w:val="Prrafodelista"/>
        <w:spacing w:line="360" w:lineRule="auto"/>
        <w:rPr>
          <w:rFonts w:ascii="Palatino Linotype" w:eastAsia="Times New Roman" w:hAnsi="Palatino Linotype" w:cs="Arial"/>
          <w:bCs/>
          <w:color w:val="555555"/>
          <w:sz w:val="24"/>
          <w:szCs w:val="24"/>
          <w:lang w:eastAsia="es-MX"/>
        </w:rPr>
      </w:pPr>
    </w:p>
    <w:p w:rsidR="00744AF4" w:rsidRPr="00B06612" w:rsidRDefault="00744AF4" w:rsidP="00B06612">
      <w:pPr>
        <w:pStyle w:val="Prrafodelista"/>
        <w:numPr>
          <w:ilvl w:val="0"/>
          <w:numId w:val="2"/>
        </w:numPr>
        <w:tabs>
          <w:tab w:val="left" w:pos="0"/>
        </w:tabs>
        <w:spacing w:after="0" w:line="360" w:lineRule="auto"/>
        <w:ind w:left="0" w:right="49" w:firstLine="0"/>
        <w:jc w:val="both"/>
        <w:rPr>
          <w:rFonts w:ascii="Palatino Linotype" w:eastAsia="Times New Roman" w:hAnsi="Palatino Linotype" w:cs="Arial"/>
          <w:sz w:val="24"/>
          <w:szCs w:val="24"/>
        </w:rPr>
      </w:pPr>
      <w:r w:rsidRPr="00B06612">
        <w:rPr>
          <w:rFonts w:ascii="Palatino Linotype" w:hAnsi="Palatino Linotype" w:cs="Arial"/>
          <w:sz w:val="24"/>
          <w:szCs w:val="24"/>
        </w:rPr>
        <w:t>Lo</w:t>
      </w:r>
      <w:r w:rsidRPr="00B06612">
        <w:rPr>
          <w:rFonts w:ascii="Palatino Linotype" w:eastAsia="Times New Roman" w:hAnsi="Palatino Linotype" w:cs="Arial"/>
          <w:sz w:val="24"/>
          <w:szCs w:val="24"/>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744AF4" w:rsidRPr="00B06612" w:rsidRDefault="00744AF4" w:rsidP="00B06612">
      <w:pPr>
        <w:spacing w:before="240" w:after="240" w:line="360" w:lineRule="auto"/>
        <w:ind w:left="567" w:right="616"/>
        <w:contextualSpacing/>
        <w:jc w:val="both"/>
        <w:rPr>
          <w:rFonts w:ascii="Palatino Linotype" w:eastAsia="Times New Roman" w:hAnsi="Palatino Linotype" w:cs="Arial"/>
          <w:i/>
          <w:sz w:val="24"/>
          <w:szCs w:val="24"/>
        </w:rPr>
      </w:pPr>
      <w:r w:rsidRPr="00B06612">
        <w:rPr>
          <w:rFonts w:ascii="Palatino Linotype" w:eastAsia="Times New Roman" w:hAnsi="Palatino Linotype" w:cs="Arial"/>
          <w:b/>
          <w:i/>
          <w:sz w:val="24"/>
          <w:szCs w:val="24"/>
        </w:rPr>
        <w:t>RECURSO DE RECLAMACIÓN. SU INTERPOSICIÓN NO ES EXTEMPORÁNEA SI SE REALIZA ANTES DE QUE INICIE EL PLAZO PARA HACERLO</w:t>
      </w:r>
      <w:r w:rsidRPr="00B06612">
        <w:rPr>
          <w:rFonts w:ascii="Palatino Linotype" w:eastAsia="Times New Roman" w:hAnsi="Palatino Linotype" w:cs="Arial"/>
          <w:i/>
          <w:sz w:val="24"/>
          <w:szCs w:val="24"/>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744AF4" w:rsidRPr="00B06612" w:rsidRDefault="00744AF4" w:rsidP="00B06612">
      <w:pPr>
        <w:spacing w:before="240" w:after="240" w:line="360" w:lineRule="auto"/>
        <w:ind w:left="567" w:right="616"/>
        <w:contextualSpacing/>
        <w:jc w:val="both"/>
        <w:rPr>
          <w:rFonts w:ascii="Palatino Linotype" w:eastAsia="Times New Roman" w:hAnsi="Palatino Linotype" w:cs="Arial"/>
          <w:i/>
          <w:sz w:val="24"/>
          <w:szCs w:val="24"/>
        </w:rPr>
      </w:pPr>
      <w:r w:rsidRPr="00B06612">
        <w:rPr>
          <w:rFonts w:ascii="Palatino Linotype" w:eastAsia="Times New Roman" w:hAnsi="Palatino Linotype" w:cs="Arial"/>
          <w:i/>
          <w:sz w:val="24"/>
          <w:szCs w:val="24"/>
        </w:rPr>
        <w:t xml:space="preserve"> 1a</w:t>
      </w:r>
      <w:proofErr w:type="gramStart"/>
      <w:r w:rsidRPr="00B06612">
        <w:rPr>
          <w:rFonts w:ascii="Palatino Linotype" w:eastAsia="Times New Roman" w:hAnsi="Palatino Linotype" w:cs="Arial"/>
          <w:i/>
          <w:sz w:val="24"/>
          <w:szCs w:val="24"/>
        </w:rPr>
        <w:t>./</w:t>
      </w:r>
      <w:proofErr w:type="gramEnd"/>
      <w:r w:rsidRPr="00B06612">
        <w:rPr>
          <w:rFonts w:ascii="Palatino Linotype" w:eastAsia="Times New Roman" w:hAnsi="Palatino Linotype" w:cs="Arial"/>
          <w:i/>
          <w:sz w:val="24"/>
          <w:szCs w:val="24"/>
        </w:rPr>
        <w:t xml:space="preserve">J. 41/2015 (10a.) </w:t>
      </w:r>
    </w:p>
    <w:p w:rsidR="00744AF4" w:rsidRPr="00B06612" w:rsidRDefault="00744AF4" w:rsidP="00B06612">
      <w:pPr>
        <w:spacing w:before="240" w:after="240" w:line="360" w:lineRule="auto"/>
        <w:ind w:left="567" w:right="616"/>
        <w:contextualSpacing/>
        <w:jc w:val="both"/>
        <w:rPr>
          <w:rFonts w:ascii="Palatino Linotype" w:eastAsia="Times New Roman" w:hAnsi="Palatino Linotype" w:cs="Arial"/>
          <w:i/>
          <w:sz w:val="24"/>
          <w:szCs w:val="24"/>
        </w:rPr>
      </w:pPr>
      <w:r w:rsidRPr="00B06612">
        <w:rPr>
          <w:rFonts w:ascii="Palatino Linotype" w:eastAsia="Times New Roman" w:hAnsi="Palatino Linotype" w:cs="Arial"/>
          <w:i/>
          <w:sz w:val="24"/>
          <w:szCs w:val="24"/>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744AF4" w:rsidRPr="00B06612" w:rsidRDefault="00744AF4" w:rsidP="00B06612">
      <w:pPr>
        <w:spacing w:before="240" w:after="240" w:line="360" w:lineRule="auto"/>
        <w:ind w:left="567" w:right="616"/>
        <w:contextualSpacing/>
        <w:jc w:val="both"/>
        <w:rPr>
          <w:rFonts w:ascii="Palatino Linotype" w:eastAsia="Times New Roman" w:hAnsi="Palatino Linotype" w:cs="Arial"/>
          <w:i/>
          <w:sz w:val="24"/>
          <w:szCs w:val="24"/>
        </w:rPr>
      </w:pPr>
    </w:p>
    <w:p w:rsidR="00744AF4" w:rsidRPr="00B06612" w:rsidRDefault="00744AF4" w:rsidP="00B06612">
      <w:pPr>
        <w:spacing w:before="240" w:after="240" w:line="360" w:lineRule="auto"/>
        <w:ind w:left="567" w:right="616"/>
        <w:contextualSpacing/>
        <w:jc w:val="both"/>
        <w:rPr>
          <w:rFonts w:ascii="Palatino Linotype" w:eastAsia="Times New Roman" w:hAnsi="Palatino Linotype" w:cs="Arial"/>
          <w:i/>
          <w:sz w:val="24"/>
          <w:szCs w:val="24"/>
        </w:rPr>
      </w:pPr>
      <w:r w:rsidRPr="00B06612">
        <w:rPr>
          <w:rFonts w:ascii="Palatino Linotype" w:eastAsia="Times New Roman" w:hAnsi="Palatino Linotype" w:cs="Arial"/>
          <w:i/>
          <w:sz w:val="24"/>
          <w:szCs w:val="24"/>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744AF4" w:rsidRPr="00B06612" w:rsidRDefault="00744AF4" w:rsidP="00B06612">
      <w:pPr>
        <w:spacing w:before="240" w:after="240" w:line="360" w:lineRule="auto"/>
        <w:ind w:left="567" w:right="616"/>
        <w:contextualSpacing/>
        <w:jc w:val="both"/>
        <w:rPr>
          <w:rFonts w:ascii="Palatino Linotype" w:eastAsia="Times New Roman" w:hAnsi="Palatino Linotype" w:cs="Arial"/>
          <w:i/>
          <w:sz w:val="24"/>
          <w:szCs w:val="24"/>
        </w:rPr>
      </w:pPr>
    </w:p>
    <w:p w:rsidR="00744AF4" w:rsidRPr="00B06612" w:rsidRDefault="00744AF4" w:rsidP="00B06612">
      <w:pPr>
        <w:spacing w:before="240" w:after="240" w:line="360" w:lineRule="auto"/>
        <w:ind w:left="567" w:right="616"/>
        <w:contextualSpacing/>
        <w:jc w:val="both"/>
        <w:rPr>
          <w:rFonts w:ascii="Palatino Linotype" w:eastAsia="Times New Roman" w:hAnsi="Palatino Linotype" w:cs="Arial"/>
          <w:i/>
          <w:sz w:val="24"/>
          <w:szCs w:val="24"/>
        </w:rPr>
      </w:pPr>
      <w:r w:rsidRPr="00B06612">
        <w:rPr>
          <w:rFonts w:ascii="Palatino Linotype" w:eastAsia="Times New Roman" w:hAnsi="Palatino Linotype" w:cs="Arial"/>
          <w:i/>
          <w:sz w:val="24"/>
          <w:szCs w:val="24"/>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B06612">
        <w:rPr>
          <w:rFonts w:ascii="Palatino Linotype" w:eastAsia="Times New Roman" w:hAnsi="Palatino Linotype" w:cs="Arial"/>
          <w:i/>
          <w:sz w:val="24"/>
          <w:szCs w:val="24"/>
        </w:rPr>
        <w:t>Arboleya</w:t>
      </w:r>
      <w:proofErr w:type="spellEnd"/>
      <w:r w:rsidRPr="00B06612">
        <w:rPr>
          <w:rFonts w:ascii="Palatino Linotype" w:eastAsia="Times New Roman" w:hAnsi="Palatino Linotype" w:cs="Arial"/>
          <w:i/>
          <w:sz w:val="24"/>
          <w:szCs w:val="24"/>
        </w:rPr>
        <w:t xml:space="preserve">. </w:t>
      </w:r>
    </w:p>
    <w:p w:rsidR="00744AF4" w:rsidRPr="00B06612" w:rsidRDefault="00744AF4" w:rsidP="00B06612">
      <w:pPr>
        <w:spacing w:before="240" w:after="240" w:line="360" w:lineRule="auto"/>
        <w:ind w:left="567" w:right="616"/>
        <w:contextualSpacing/>
        <w:jc w:val="both"/>
        <w:rPr>
          <w:rFonts w:ascii="Palatino Linotype" w:eastAsia="Times New Roman" w:hAnsi="Palatino Linotype" w:cs="Arial"/>
          <w:i/>
          <w:sz w:val="24"/>
          <w:szCs w:val="24"/>
        </w:rPr>
      </w:pPr>
    </w:p>
    <w:p w:rsidR="00744AF4" w:rsidRPr="00B06612" w:rsidRDefault="00744AF4" w:rsidP="00B06612">
      <w:pPr>
        <w:spacing w:before="240" w:after="240" w:line="360" w:lineRule="auto"/>
        <w:ind w:left="567" w:right="616"/>
        <w:contextualSpacing/>
        <w:jc w:val="both"/>
        <w:rPr>
          <w:rFonts w:ascii="Palatino Linotype" w:eastAsia="Times New Roman" w:hAnsi="Palatino Linotype" w:cs="Arial"/>
          <w:i/>
          <w:sz w:val="24"/>
          <w:szCs w:val="24"/>
        </w:rPr>
      </w:pPr>
      <w:r w:rsidRPr="00B06612">
        <w:rPr>
          <w:rFonts w:ascii="Palatino Linotype" w:eastAsia="Times New Roman" w:hAnsi="Palatino Linotype" w:cs="Arial"/>
          <w:i/>
          <w:sz w:val="24"/>
          <w:szCs w:val="24"/>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B06612">
        <w:rPr>
          <w:rFonts w:ascii="Palatino Linotype" w:eastAsia="Times New Roman" w:hAnsi="Palatino Linotype" w:cs="Arial"/>
          <w:i/>
          <w:sz w:val="24"/>
          <w:szCs w:val="24"/>
        </w:rPr>
        <w:t>Goslinga</w:t>
      </w:r>
      <w:proofErr w:type="spellEnd"/>
      <w:r w:rsidRPr="00B06612">
        <w:rPr>
          <w:rFonts w:ascii="Palatino Linotype" w:eastAsia="Times New Roman" w:hAnsi="Palatino Linotype" w:cs="Arial"/>
          <w:i/>
          <w:sz w:val="24"/>
          <w:szCs w:val="24"/>
        </w:rPr>
        <w:t xml:space="preserve"> </w:t>
      </w:r>
      <w:proofErr w:type="spellStart"/>
      <w:r w:rsidRPr="00B06612">
        <w:rPr>
          <w:rFonts w:ascii="Palatino Linotype" w:eastAsia="Times New Roman" w:hAnsi="Palatino Linotype" w:cs="Arial"/>
          <w:i/>
          <w:sz w:val="24"/>
          <w:szCs w:val="24"/>
        </w:rPr>
        <w:t>Remírez</w:t>
      </w:r>
      <w:proofErr w:type="spellEnd"/>
      <w:r w:rsidRPr="00B06612">
        <w:rPr>
          <w:rFonts w:ascii="Palatino Linotype" w:eastAsia="Times New Roman" w:hAnsi="Palatino Linotype" w:cs="Arial"/>
          <w:i/>
          <w:sz w:val="24"/>
          <w:szCs w:val="24"/>
        </w:rPr>
        <w:t xml:space="preserve">. </w:t>
      </w:r>
    </w:p>
    <w:p w:rsidR="00744AF4" w:rsidRPr="00B06612" w:rsidRDefault="00744AF4" w:rsidP="00B06612">
      <w:pPr>
        <w:spacing w:before="240" w:after="240" w:line="360" w:lineRule="auto"/>
        <w:ind w:left="567" w:right="616"/>
        <w:contextualSpacing/>
        <w:jc w:val="both"/>
        <w:rPr>
          <w:rFonts w:ascii="Palatino Linotype" w:eastAsia="Times New Roman" w:hAnsi="Palatino Linotype" w:cs="Arial"/>
          <w:i/>
          <w:sz w:val="24"/>
          <w:szCs w:val="24"/>
        </w:rPr>
      </w:pPr>
    </w:p>
    <w:p w:rsidR="00744AF4" w:rsidRPr="00B06612" w:rsidRDefault="00744AF4" w:rsidP="00B06612">
      <w:pPr>
        <w:spacing w:before="240" w:after="240" w:line="360" w:lineRule="auto"/>
        <w:ind w:left="567" w:right="616"/>
        <w:contextualSpacing/>
        <w:jc w:val="both"/>
        <w:rPr>
          <w:rFonts w:ascii="Palatino Linotype" w:eastAsia="Times New Roman" w:hAnsi="Palatino Linotype" w:cs="Arial"/>
          <w:i/>
          <w:sz w:val="24"/>
          <w:szCs w:val="24"/>
        </w:rPr>
      </w:pPr>
      <w:r w:rsidRPr="00B06612">
        <w:rPr>
          <w:rFonts w:ascii="Palatino Linotype" w:eastAsia="Times New Roman" w:hAnsi="Palatino Linotype" w:cs="Arial"/>
          <w:i/>
          <w:sz w:val="24"/>
          <w:szCs w:val="24"/>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744AF4" w:rsidRPr="00B06612" w:rsidRDefault="00744AF4" w:rsidP="00B06612">
      <w:pPr>
        <w:spacing w:before="240" w:after="240" w:line="360" w:lineRule="auto"/>
        <w:ind w:left="567" w:right="616"/>
        <w:contextualSpacing/>
        <w:jc w:val="both"/>
        <w:rPr>
          <w:rFonts w:ascii="Palatino Linotype" w:eastAsia="Times New Roman" w:hAnsi="Palatino Linotype" w:cs="Arial"/>
          <w:i/>
          <w:sz w:val="24"/>
          <w:szCs w:val="24"/>
        </w:rPr>
      </w:pPr>
      <w:r w:rsidRPr="00B06612">
        <w:rPr>
          <w:rFonts w:ascii="Palatino Linotype" w:eastAsia="Times New Roman" w:hAnsi="Palatino Linotype" w:cs="Arial"/>
          <w:i/>
          <w:sz w:val="24"/>
          <w:szCs w:val="24"/>
        </w:rPr>
        <w:t>Tesis de jurisprudencia 41/2015 (10a.). Aprobada por la Primera Sala de este Alto Tribunal, en sesión privada de veintisiete de mayo de dos mil quince.</w:t>
      </w:r>
    </w:p>
    <w:p w:rsidR="00744AF4" w:rsidRPr="00B06612" w:rsidRDefault="00744AF4" w:rsidP="00B06612">
      <w:pPr>
        <w:pStyle w:val="Prrafodelista"/>
        <w:numPr>
          <w:ilvl w:val="0"/>
          <w:numId w:val="2"/>
        </w:numPr>
        <w:tabs>
          <w:tab w:val="left" w:pos="0"/>
        </w:tabs>
        <w:spacing w:after="0" w:line="360" w:lineRule="auto"/>
        <w:ind w:left="0" w:right="49" w:firstLine="0"/>
        <w:jc w:val="both"/>
        <w:rPr>
          <w:rFonts w:ascii="Palatino Linotype" w:hAnsi="Palatino Linotype" w:cs="Arial"/>
          <w:i/>
          <w:sz w:val="24"/>
          <w:szCs w:val="24"/>
        </w:rPr>
      </w:pPr>
      <w:r w:rsidRPr="00B06612">
        <w:rPr>
          <w:rFonts w:ascii="Palatino Linotype" w:hAnsi="Palatino Linotype" w:cs="Arial"/>
          <w:sz w:val="24"/>
          <w:szCs w:val="24"/>
        </w:rPr>
        <w:t>Esto</w:t>
      </w:r>
      <w:r w:rsidRPr="00B06612">
        <w:rPr>
          <w:rFonts w:ascii="Palatino Linotype" w:hAnsi="Palatino Linotype"/>
          <w:sz w:val="24"/>
          <w:szCs w:val="24"/>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744AF4" w:rsidRPr="00B06612" w:rsidRDefault="00744AF4" w:rsidP="00B06612">
      <w:pPr>
        <w:pStyle w:val="Prrafodelista"/>
        <w:spacing w:before="240" w:after="240" w:line="360" w:lineRule="auto"/>
        <w:ind w:left="0" w:right="49"/>
        <w:jc w:val="both"/>
        <w:rPr>
          <w:rFonts w:ascii="Palatino Linotype" w:hAnsi="Palatino Linotype" w:cs="Arial"/>
          <w:i/>
          <w:sz w:val="24"/>
          <w:szCs w:val="24"/>
        </w:rPr>
      </w:pPr>
    </w:p>
    <w:p w:rsidR="00744AF4" w:rsidRPr="00B06612" w:rsidRDefault="00744AF4" w:rsidP="00B06612">
      <w:pPr>
        <w:pStyle w:val="Prrafodelista"/>
        <w:numPr>
          <w:ilvl w:val="0"/>
          <w:numId w:val="2"/>
        </w:numPr>
        <w:tabs>
          <w:tab w:val="left" w:pos="0"/>
        </w:tabs>
        <w:spacing w:after="0" w:line="360" w:lineRule="auto"/>
        <w:ind w:left="0" w:right="49" w:firstLine="0"/>
        <w:jc w:val="both"/>
        <w:rPr>
          <w:rFonts w:ascii="Palatino Linotype" w:hAnsi="Palatino Linotype" w:cs="Arial"/>
          <w:i/>
          <w:sz w:val="24"/>
          <w:szCs w:val="24"/>
        </w:rPr>
      </w:pPr>
      <w:r w:rsidRPr="00B06612">
        <w:rPr>
          <w:rFonts w:ascii="Palatino Linotype" w:hAnsi="Palatino Linotype"/>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744AF4" w:rsidRPr="00B06612" w:rsidRDefault="00744AF4" w:rsidP="00B06612">
      <w:pPr>
        <w:pStyle w:val="Prrafodelista"/>
        <w:spacing w:line="360" w:lineRule="auto"/>
        <w:rPr>
          <w:rFonts w:ascii="Palatino Linotype" w:hAnsi="Palatino Linotype" w:cs="Arial"/>
          <w:i/>
          <w:sz w:val="24"/>
          <w:szCs w:val="24"/>
        </w:rPr>
      </w:pPr>
    </w:p>
    <w:p w:rsidR="00744AF4" w:rsidRPr="00B06612" w:rsidRDefault="00744AF4" w:rsidP="00B06612">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B06612">
        <w:rPr>
          <w:rFonts w:ascii="Palatino Linotype" w:hAnsi="Palatino Linotype"/>
          <w:sz w:val="24"/>
          <w:szCs w:val="24"/>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B06612">
        <w:rPr>
          <w:rFonts w:ascii="Palatino Linotype" w:hAnsi="Palatino Linotype"/>
          <w:b/>
          <w:sz w:val="24"/>
          <w:szCs w:val="24"/>
        </w:rPr>
        <w:t>SUJETO OBLIGADO.</w:t>
      </w:r>
    </w:p>
    <w:p w:rsidR="00744AF4" w:rsidRPr="00B06612" w:rsidRDefault="00744AF4" w:rsidP="00B06612">
      <w:pPr>
        <w:spacing w:after="0" w:line="360" w:lineRule="auto"/>
        <w:contextualSpacing/>
        <w:jc w:val="both"/>
        <w:rPr>
          <w:rFonts w:ascii="Palatino Linotype" w:eastAsia="Calibri" w:hAnsi="Palatino Linotype" w:cs="Times New Roman"/>
          <w:sz w:val="24"/>
          <w:szCs w:val="24"/>
          <w:lang w:val="es-ES" w:eastAsia="es-ES"/>
        </w:rPr>
      </w:pPr>
    </w:p>
    <w:p w:rsidR="00744AF4" w:rsidRPr="00B06612" w:rsidRDefault="00744AF4" w:rsidP="00B06612">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B06612">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B06612">
        <w:rPr>
          <w:rFonts w:ascii="Palatino Linotype" w:hAnsi="Palatino Linotype" w:cs="Arial"/>
          <w:b/>
          <w:sz w:val="24"/>
          <w:szCs w:val="24"/>
        </w:rPr>
        <w:t>Ley de Transparencia y Acceso a la Información Pública del Estado de México y Municipios</w:t>
      </w:r>
      <w:r w:rsidRPr="00B06612">
        <w:rPr>
          <w:rFonts w:ascii="Palatino Linotype" w:hAnsi="Palatino Linotype" w:cs="Arial"/>
          <w:sz w:val="24"/>
          <w:szCs w:val="24"/>
        </w:rPr>
        <w:t xml:space="preserve">, y determinar la confirmación; revocación o modificación; </w:t>
      </w:r>
      <w:proofErr w:type="spellStart"/>
      <w:r w:rsidRPr="00B06612">
        <w:rPr>
          <w:rFonts w:ascii="Palatino Linotype" w:hAnsi="Palatino Linotype" w:cs="Arial"/>
          <w:sz w:val="24"/>
          <w:szCs w:val="24"/>
        </w:rPr>
        <w:t>desechamiento</w:t>
      </w:r>
      <w:proofErr w:type="spellEnd"/>
      <w:r w:rsidRPr="00B06612">
        <w:rPr>
          <w:rFonts w:ascii="Palatino Linotype" w:hAnsi="Palatino Linotype" w:cs="Arial"/>
          <w:sz w:val="24"/>
          <w:szCs w:val="24"/>
        </w:rPr>
        <w:t xml:space="preserve"> o sobreseimiento; y en su caso ordenar la entrega de la información.</w:t>
      </w:r>
    </w:p>
    <w:p w:rsidR="00744AF4" w:rsidRPr="00B06612" w:rsidRDefault="00744AF4" w:rsidP="00B06612">
      <w:pPr>
        <w:pStyle w:val="Prrafodelista"/>
        <w:spacing w:line="360" w:lineRule="auto"/>
        <w:rPr>
          <w:rFonts w:ascii="Palatino Linotype" w:eastAsia="Calibri" w:hAnsi="Palatino Linotype" w:cs="Arial"/>
          <w:sz w:val="24"/>
          <w:szCs w:val="24"/>
          <w:lang w:val="es-ES_tradnl" w:eastAsia="es-ES"/>
        </w:rPr>
      </w:pPr>
    </w:p>
    <w:p w:rsidR="00114FF0" w:rsidRPr="00B06612" w:rsidRDefault="00114FF0" w:rsidP="00B06612">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B06612">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AD1FE1" w:rsidRPr="00B06612" w:rsidRDefault="00AD1FE1" w:rsidP="00B06612">
      <w:pPr>
        <w:pStyle w:val="Ttulo1"/>
        <w:spacing w:line="360" w:lineRule="auto"/>
        <w:rPr>
          <w:rFonts w:ascii="Palatino Linotype" w:eastAsia="MS Mincho" w:hAnsi="Palatino Linotype"/>
          <w:b/>
          <w:color w:val="auto"/>
          <w:sz w:val="24"/>
          <w:szCs w:val="24"/>
          <w:lang w:val="es-ES_tradnl" w:eastAsia="es-ES"/>
        </w:rPr>
      </w:pPr>
      <w:bookmarkStart w:id="58" w:name="_Toc2881747"/>
      <w:bookmarkStart w:id="59" w:name="_Toc12379993"/>
      <w:r w:rsidRPr="00B06612">
        <w:rPr>
          <w:rFonts w:ascii="Palatino Linotype" w:eastAsia="MS Mincho" w:hAnsi="Palatino Linotype"/>
          <w:b/>
          <w:color w:val="auto"/>
          <w:sz w:val="24"/>
          <w:szCs w:val="24"/>
          <w:lang w:val="es-ES_tradnl" w:eastAsia="es-ES"/>
        </w:rPr>
        <w:t>TERCERO. Del planteamiento de la Litis.</w:t>
      </w:r>
      <w:bookmarkEnd w:id="58"/>
      <w:bookmarkEnd w:id="59"/>
    </w:p>
    <w:p w:rsidR="00AD1FE1" w:rsidRPr="00B06612" w:rsidRDefault="00AD1FE1" w:rsidP="00B06612">
      <w:pPr>
        <w:spacing w:after="0" w:line="360" w:lineRule="auto"/>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p>
    <w:p w:rsidR="00AD1FE1" w:rsidRPr="00B06612" w:rsidRDefault="00AD1FE1" w:rsidP="00B06612">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B06612">
        <w:rPr>
          <w:rFonts w:ascii="Palatino Linotype" w:hAnsi="Palatino Linotype" w:cs="Arial"/>
          <w:sz w:val="24"/>
          <w:szCs w:val="24"/>
          <w:lang w:val="es-ES_tradnl"/>
        </w:rPr>
        <w:t xml:space="preserve">En consecuencia, la Litis del presente asunto corresponde en verificar si el </w:t>
      </w:r>
      <w:r w:rsidRPr="00B06612">
        <w:rPr>
          <w:rFonts w:ascii="Palatino Linotype" w:hAnsi="Palatino Linotype" w:cs="Arial"/>
          <w:b/>
          <w:sz w:val="24"/>
          <w:szCs w:val="24"/>
          <w:lang w:val="es-ES_tradnl"/>
        </w:rPr>
        <w:t>SUJETO OBLIGADO</w:t>
      </w:r>
      <w:r w:rsidRPr="00B06612">
        <w:rPr>
          <w:rFonts w:ascii="Palatino Linotype" w:hAnsi="Palatino Linotype" w:cs="Arial"/>
          <w:sz w:val="24"/>
          <w:szCs w:val="24"/>
          <w:lang w:val="es-ES_tradnl"/>
        </w:rPr>
        <w:t xml:space="preserve"> </w:t>
      </w:r>
      <w:r w:rsidR="00404593" w:rsidRPr="00B06612">
        <w:rPr>
          <w:rFonts w:ascii="Palatino Linotype" w:hAnsi="Palatino Linotype" w:cs="Arial"/>
          <w:sz w:val="24"/>
          <w:szCs w:val="24"/>
          <w:lang w:val="es-ES_tradnl"/>
        </w:rPr>
        <w:t xml:space="preserve">da cumplimiento al derecho de acceso a la </w:t>
      </w:r>
      <w:proofErr w:type="gramStart"/>
      <w:r w:rsidR="00404593" w:rsidRPr="00B06612">
        <w:rPr>
          <w:rFonts w:ascii="Palatino Linotype" w:hAnsi="Palatino Linotype" w:cs="Arial"/>
          <w:sz w:val="24"/>
          <w:szCs w:val="24"/>
          <w:lang w:val="es-ES_tradnl"/>
        </w:rPr>
        <w:t>información  con</w:t>
      </w:r>
      <w:proofErr w:type="gramEnd"/>
      <w:r w:rsidR="00404593" w:rsidRPr="00B06612">
        <w:rPr>
          <w:rFonts w:ascii="Palatino Linotype" w:hAnsi="Palatino Linotype" w:cs="Arial"/>
          <w:sz w:val="24"/>
          <w:szCs w:val="24"/>
          <w:lang w:val="es-ES_tradnl"/>
        </w:rPr>
        <w:t xml:space="preserve"> la información remitida en la respuesta</w:t>
      </w:r>
      <w:r w:rsidR="006A0CCA" w:rsidRPr="00B06612">
        <w:rPr>
          <w:rFonts w:ascii="Palatino Linotype" w:hAnsi="Palatino Linotype" w:cs="Arial"/>
          <w:sz w:val="24"/>
          <w:szCs w:val="24"/>
          <w:lang w:val="es-ES_tradnl"/>
        </w:rPr>
        <w:t xml:space="preserve"> y esta encuadra en el supuesto del contenido del artículo 11 de la Ley de Transparencia y Acceso a la Información Pública del Estado de México y Municipios, de no ser el caso se ordene la reparación de la afectación en que se haya incurrido al derecho del particular.</w:t>
      </w:r>
    </w:p>
    <w:p w:rsidR="00AD1FE1" w:rsidRPr="00B06612" w:rsidRDefault="00AD1FE1" w:rsidP="00B06612">
      <w:pPr>
        <w:shd w:val="clear" w:color="auto" w:fill="FFFFFF"/>
        <w:spacing w:after="0" w:line="360" w:lineRule="auto"/>
        <w:ind w:right="567"/>
        <w:jc w:val="both"/>
        <w:rPr>
          <w:rFonts w:ascii="Palatino Linotype" w:eastAsia="Times New Roman" w:hAnsi="Palatino Linotype" w:cs="Arial"/>
          <w:color w:val="222222"/>
          <w:sz w:val="24"/>
          <w:szCs w:val="24"/>
          <w:lang w:val="es-ES" w:eastAsia="es-ES"/>
        </w:rPr>
      </w:pPr>
    </w:p>
    <w:p w:rsidR="00AD1FE1" w:rsidRPr="004D6C56" w:rsidRDefault="00AD1FE1" w:rsidP="004D6C56">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B06612">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B06612">
        <w:rPr>
          <w:rFonts w:ascii="Palatino Linotype" w:eastAsia="MS Mincho" w:hAnsi="Palatino Linotype" w:cs="Times New Roman"/>
          <w:b/>
          <w:sz w:val="24"/>
          <w:szCs w:val="24"/>
          <w:lang w:val="es-ES_tradnl" w:eastAsia="es-ES"/>
        </w:rPr>
        <w:t>fracció</w:t>
      </w:r>
      <w:r w:rsidR="006A0CCA" w:rsidRPr="00B06612">
        <w:rPr>
          <w:rFonts w:ascii="Palatino Linotype" w:eastAsia="MS Mincho" w:hAnsi="Palatino Linotype" w:cs="Times New Roman"/>
          <w:b/>
          <w:sz w:val="24"/>
          <w:szCs w:val="24"/>
          <w:lang w:val="es-ES_tradnl" w:eastAsia="es-ES"/>
        </w:rPr>
        <w:t>n II</w:t>
      </w:r>
      <w:r w:rsidRPr="00B06612">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B06612">
        <w:rPr>
          <w:rFonts w:ascii="Palatino Linotype" w:eastAsia="MS Mincho" w:hAnsi="Palatino Linotype" w:cs="Times New Roman"/>
          <w:sz w:val="24"/>
          <w:szCs w:val="24"/>
          <w:lang w:val="es-ES_tradnl" w:eastAsia="es-ES"/>
        </w:rPr>
        <w:t>.</w:t>
      </w:r>
    </w:p>
    <w:p w:rsidR="004D6C56" w:rsidRPr="004D6C56" w:rsidRDefault="004D6C56" w:rsidP="004D6C56">
      <w:pPr>
        <w:spacing w:before="240" w:after="240" w:line="360" w:lineRule="auto"/>
        <w:ind w:right="49"/>
        <w:contextualSpacing/>
        <w:jc w:val="both"/>
        <w:rPr>
          <w:rFonts w:ascii="Palatino Linotype" w:eastAsia="MS Mincho" w:hAnsi="Palatino Linotype" w:cs="Arial"/>
          <w:sz w:val="24"/>
          <w:szCs w:val="24"/>
          <w:lang w:val="es-ES_tradnl" w:eastAsia="es-ES"/>
        </w:rPr>
      </w:pPr>
    </w:p>
    <w:p w:rsidR="00AD1FE1" w:rsidRPr="004D6C56" w:rsidRDefault="00AD1FE1" w:rsidP="004D6C56">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12379994"/>
      <w:r w:rsidRPr="00B06612">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AD1FE1" w:rsidRPr="00B06612" w:rsidRDefault="00AD1FE1" w:rsidP="00B06612">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12379995"/>
      <w:r w:rsidRPr="00B06612">
        <w:rPr>
          <w:rFonts w:ascii="Palatino Linotype" w:eastAsia="MS Gothic" w:hAnsi="Palatino Linotype" w:cstheme="majorBidi"/>
          <w:b/>
          <w:i/>
          <w:noProof/>
          <w:sz w:val="24"/>
          <w:szCs w:val="24"/>
        </w:rPr>
        <w:t>El derecho de acceso a la información publica</w:t>
      </w:r>
      <w:bookmarkEnd w:id="70"/>
      <w:r w:rsidRPr="00B06612">
        <w:rPr>
          <w:rFonts w:ascii="Palatino Linotype" w:eastAsia="MS Mincho" w:hAnsi="Palatino Linotype" w:cs="Arial"/>
          <w:b/>
          <w:i/>
          <w:sz w:val="24"/>
          <w:szCs w:val="24"/>
          <w:lang w:val="es-ES_tradnl" w:eastAsia="es-MX"/>
        </w:rPr>
        <w:t>.</w:t>
      </w:r>
      <w:bookmarkEnd w:id="71"/>
    </w:p>
    <w:p w:rsidR="00AD1FE1" w:rsidRPr="00B06612" w:rsidRDefault="00AD1FE1" w:rsidP="00B06612">
      <w:pPr>
        <w:spacing w:after="0" w:line="360" w:lineRule="auto"/>
        <w:contextualSpacing/>
        <w:rPr>
          <w:rFonts w:ascii="Palatino Linotype" w:eastAsia="MS Mincho" w:hAnsi="Palatino Linotype" w:cs="Arial"/>
          <w:sz w:val="24"/>
          <w:szCs w:val="24"/>
          <w:lang w:val="es-ES_tradnl" w:eastAsia="es-MX"/>
        </w:rPr>
      </w:pPr>
    </w:p>
    <w:p w:rsidR="00AD1FE1" w:rsidRPr="00B06612" w:rsidRDefault="00AD1FE1" w:rsidP="00B06612">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06612">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AD1FE1" w:rsidRPr="00B06612" w:rsidRDefault="00AD1FE1" w:rsidP="00B06612">
      <w:pPr>
        <w:spacing w:after="0" w:line="360" w:lineRule="auto"/>
        <w:ind w:right="49"/>
        <w:contextualSpacing/>
        <w:jc w:val="both"/>
        <w:rPr>
          <w:rFonts w:ascii="Palatino Linotype" w:eastAsia="MS Mincho" w:hAnsi="Palatino Linotype" w:cs="Times New Roman"/>
          <w:sz w:val="24"/>
          <w:szCs w:val="24"/>
          <w:lang w:val="es-ES_tradnl" w:eastAsia="es-ES"/>
        </w:rPr>
      </w:pPr>
    </w:p>
    <w:p w:rsidR="00AD1FE1" w:rsidRPr="00B06612" w:rsidRDefault="00AD1FE1" w:rsidP="00B06612">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06612">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AD1FE1" w:rsidRPr="00B06612" w:rsidRDefault="00AD1FE1" w:rsidP="00B06612">
      <w:pPr>
        <w:spacing w:after="0" w:line="360" w:lineRule="auto"/>
        <w:ind w:right="49"/>
        <w:contextualSpacing/>
        <w:jc w:val="both"/>
        <w:rPr>
          <w:rFonts w:ascii="Palatino Linotype" w:eastAsia="MS Mincho" w:hAnsi="Palatino Linotype" w:cs="Times New Roman"/>
          <w:sz w:val="24"/>
          <w:szCs w:val="24"/>
          <w:lang w:val="es-ES_tradnl" w:eastAsia="es-ES"/>
        </w:rPr>
      </w:pPr>
    </w:p>
    <w:p w:rsidR="00AD1FE1" w:rsidRPr="00B06612" w:rsidRDefault="00AD1FE1" w:rsidP="00B06612">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06612">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AD1FE1" w:rsidRPr="00B06612" w:rsidRDefault="00AD1FE1" w:rsidP="00B06612">
      <w:pPr>
        <w:spacing w:after="0" w:line="360" w:lineRule="auto"/>
        <w:contextualSpacing/>
        <w:rPr>
          <w:rFonts w:ascii="Palatino Linotype" w:eastAsia="MS Mincho" w:hAnsi="Palatino Linotype" w:cs="Times New Roman"/>
          <w:sz w:val="24"/>
          <w:szCs w:val="24"/>
          <w:lang w:val="es-ES_tradnl" w:eastAsia="es-ES"/>
        </w:rPr>
      </w:pPr>
    </w:p>
    <w:p w:rsidR="00AD1FE1" w:rsidRPr="00B06612" w:rsidRDefault="00AD1FE1" w:rsidP="00B06612">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06612">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D1FE1" w:rsidRPr="00B06612" w:rsidRDefault="00AD1FE1" w:rsidP="00B06612">
      <w:pPr>
        <w:spacing w:after="0" w:line="360" w:lineRule="auto"/>
        <w:ind w:right="34"/>
        <w:contextualSpacing/>
        <w:jc w:val="both"/>
        <w:rPr>
          <w:rFonts w:ascii="Palatino Linotype" w:eastAsia="MS Mincho" w:hAnsi="Palatino Linotype" w:cs="Times New Roman"/>
          <w:sz w:val="24"/>
          <w:szCs w:val="24"/>
          <w:lang w:val="es-ES_tradnl" w:eastAsia="es-ES"/>
        </w:rPr>
      </w:pPr>
    </w:p>
    <w:p w:rsidR="00AD1FE1" w:rsidRDefault="00AD1FE1" w:rsidP="00B06612">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06612">
        <w:rPr>
          <w:rFonts w:ascii="Palatino Linotype" w:eastAsia="MS Mincho" w:hAnsi="Palatino Linotype" w:cs="Times New Roman"/>
          <w:sz w:val="24"/>
          <w:szCs w:val="24"/>
          <w:lang w:val="es-ES_tradnl" w:eastAsia="es-ES"/>
        </w:rPr>
        <w:t>Derivado</w:t>
      </w:r>
      <w:r w:rsidRPr="00B06612">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B06612" w:rsidRPr="00B06612" w:rsidRDefault="00B06612" w:rsidP="00B06612">
      <w:pPr>
        <w:spacing w:after="0" w:line="360" w:lineRule="auto"/>
        <w:ind w:right="34"/>
        <w:contextualSpacing/>
        <w:jc w:val="both"/>
        <w:rPr>
          <w:rFonts w:ascii="Palatino Linotype" w:eastAsia="MS Mincho" w:hAnsi="Palatino Linotype" w:cs="Arial"/>
          <w:sz w:val="24"/>
          <w:szCs w:val="24"/>
          <w:lang w:val="es-ES_tradnl" w:eastAsia="es-ES"/>
        </w:rPr>
      </w:pPr>
    </w:p>
    <w:p w:rsidR="00AD1FE1" w:rsidRDefault="00AD1FE1" w:rsidP="00B06612">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72" w:name="_Toc12379996"/>
      <w:r w:rsidRPr="00B06612">
        <w:rPr>
          <w:rFonts w:ascii="Palatino Linotype" w:eastAsia="MS Mincho" w:hAnsi="Palatino Linotype" w:cstheme="majorBidi"/>
          <w:b/>
          <w:i/>
          <w:sz w:val="24"/>
          <w:szCs w:val="24"/>
          <w:lang w:val="es-ES_tradnl" w:eastAsia="es-ES"/>
        </w:rPr>
        <w:t xml:space="preserve">II. De la </w:t>
      </w:r>
      <w:r w:rsidR="00B96BDA" w:rsidRPr="00B06612">
        <w:rPr>
          <w:rFonts w:ascii="Palatino Linotype" w:eastAsia="MS Mincho" w:hAnsi="Palatino Linotype" w:cstheme="majorBidi"/>
          <w:b/>
          <w:i/>
          <w:sz w:val="24"/>
          <w:szCs w:val="24"/>
          <w:lang w:val="es-ES_tradnl" w:eastAsia="es-ES"/>
        </w:rPr>
        <w:t xml:space="preserve">respuesta </w:t>
      </w:r>
      <w:r w:rsidRPr="00B06612">
        <w:rPr>
          <w:rFonts w:ascii="Palatino Linotype" w:eastAsia="MS Mincho" w:hAnsi="Palatino Linotype" w:cstheme="majorBidi"/>
          <w:b/>
          <w:i/>
          <w:sz w:val="24"/>
          <w:szCs w:val="24"/>
          <w:lang w:val="es-ES_tradnl" w:eastAsia="es-ES"/>
        </w:rPr>
        <w:t>del Sujeto Obligado.</w:t>
      </w:r>
      <w:bookmarkEnd w:id="72"/>
    </w:p>
    <w:p w:rsidR="00B06612" w:rsidRPr="00B06612" w:rsidRDefault="00B06612" w:rsidP="00B06612">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AD1FE1" w:rsidRPr="00B06612" w:rsidRDefault="00AD1FE1" w:rsidP="00B06612">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B06612">
        <w:rPr>
          <w:rFonts w:ascii="Palatino Linotype" w:eastAsia="MS Mincho" w:hAnsi="Palatino Linotype" w:cstheme="majorBidi"/>
          <w:sz w:val="24"/>
          <w:szCs w:val="24"/>
          <w:lang w:val="es-ES_tradnl" w:eastAsia="es-ES"/>
        </w:rPr>
        <w:t xml:space="preserve">Previo al análisis es necesario precisar </w:t>
      </w:r>
      <w:r w:rsidR="006A0CCA" w:rsidRPr="00B06612">
        <w:rPr>
          <w:rFonts w:ascii="Palatino Linotype" w:eastAsia="MS Mincho" w:hAnsi="Palatino Linotype" w:cstheme="majorBidi"/>
          <w:sz w:val="24"/>
          <w:szCs w:val="24"/>
          <w:lang w:val="es-ES_tradnl" w:eastAsia="es-ES"/>
        </w:rPr>
        <w:t xml:space="preserve">que </w:t>
      </w:r>
      <w:r w:rsidRPr="00B06612">
        <w:rPr>
          <w:rFonts w:ascii="Palatino Linotype" w:eastAsia="MS Mincho" w:hAnsi="Palatino Linotype" w:cstheme="majorBidi"/>
          <w:sz w:val="24"/>
          <w:szCs w:val="24"/>
          <w:lang w:val="es-ES_tradnl" w:eastAsia="es-ES"/>
        </w:rPr>
        <w:t>la información a la que pretende acceder el particular</w:t>
      </w:r>
      <w:r w:rsidR="006A0CCA" w:rsidRPr="00B06612">
        <w:rPr>
          <w:rFonts w:ascii="Palatino Linotype" w:eastAsia="MS Mincho" w:hAnsi="Palatino Linotype" w:cstheme="majorBidi"/>
          <w:sz w:val="24"/>
          <w:szCs w:val="24"/>
          <w:lang w:val="es-ES_tradnl" w:eastAsia="es-ES"/>
        </w:rPr>
        <w:t xml:space="preserve"> corresponde</w:t>
      </w:r>
      <w:r w:rsidRPr="00B06612">
        <w:rPr>
          <w:rFonts w:ascii="Palatino Linotype" w:eastAsia="MS Mincho" w:hAnsi="Palatino Linotype" w:cstheme="majorBidi"/>
          <w:sz w:val="24"/>
          <w:szCs w:val="24"/>
          <w:lang w:val="es-ES_tradnl" w:eastAsia="es-ES"/>
        </w:rPr>
        <w:t xml:space="preserve"> a:</w:t>
      </w:r>
    </w:p>
    <w:p w:rsidR="006A0CCA" w:rsidRPr="00B06612" w:rsidRDefault="006A0CCA" w:rsidP="00B06612">
      <w:pPr>
        <w:spacing w:after="120" w:line="360" w:lineRule="auto"/>
        <w:ind w:right="49"/>
        <w:contextualSpacing/>
        <w:jc w:val="both"/>
        <w:rPr>
          <w:rFonts w:ascii="Palatino Linotype" w:eastAsia="MS Mincho" w:hAnsi="Palatino Linotype" w:cstheme="majorBidi"/>
          <w:sz w:val="24"/>
          <w:szCs w:val="24"/>
          <w:lang w:val="es-ES_tradnl" w:eastAsia="es-ES"/>
        </w:rPr>
      </w:pPr>
    </w:p>
    <w:p w:rsidR="00AD1FE1" w:rsidRDefault="006A0CCA" w:rsidP="00B06612">
      <w:pPr>
        <w:numPr>
          <w:ilvl w:val="0"/>
          <w:numId w:val="7"/>
        </w:numPr>
        <w:spacing w:after="120" w:line="360" w:lineRule="auto"/>
        <w:ind w:left="567" w:right="616" w:firstLine="0"/>
        <w:contextualSpacing/>
        <w:jc w:val="both"/>
        <w:rPr>
          <w:rFonts w:ascii="Palatino Linotype" w:eastAsia="MS Mincho" w:hAnsi="Palatino Linotype" w:cstheme="majorBidi"/>
          <w:b/>
          <w:sz w:val="24"/>
          <w:szCs w:val="24"/>
          <w:lang w:val="es-ES_tradnl" w:eastAsia="es-ES"/>
        </w:rPr>
      </w:pPr>
      <w:r w:rsidRPr="00B06612">
        <w:rPr>
          <w:rFonts w:ascii="Palatino Linotype" w:eastAsia="MS Mincho" w:hAnsi="Palatino Linotype" w:cstheme="majorBidi"/>
          <w:b/>
          <w:i/>
          <w:sz w:val="24"/>
          <w:szCs w:val="24"/>
          <w:lang w:eastAsia="es-ES"/>
        </w:rPr>
        <w:t>LA NOMINA GENERAL DE LOS REGIDORES DEL AYUNTAMIENTO DE METEPEC DE LA PRESENTE ADMINISTRACIÓN</w:t>
      </w:r>
      <w:r w:rsidR="00AD1FE1" w:rsidRPr="00B06612">
        <w:rPr>
          <w:rFonts w:ascii="Palatino Linotype" w:eastAsia="MS Mincho" w:hAnsi="Palatino Linotype" w:cstheme="majorBidi"/>
          <w:b/>
          <w:sz w:val="24"/>
          <w:szCs w:val="24"/>
          <w:lang w:val="es-ES_tradnl" w:eastAsia="es-ES"/>
        </w:rPr>
        <w:t>.</w:t>
      </w:r>
    </w:p>
    <w:p w:rsidR="00B06612" w:rsidRPr="00B06612" w:rsidRDefault="00B06612" w:rsidP="00B06612">
      <w:pPr>
        <w:spacing w:after="120" w:line="360" w:lineRule="auto"/>
        <w:ind w:left="567" w:right="616"/>
        <w:contextualSpacing/>
        <w:jc w:val="both"/>
        <w:rPr>
          <w:rFonts w:ascii="Palatino Linotype" w:eastAsia="MS Mincho" w:hAnsi="Palatino Linotype" w:cstheme="majorBidi"/>
          <w:b/>
          <w:sz w:val="24"/>
          <w:szCs w:val="24"/>
          <w:lang w:val="es-ES_tradnl" w:eastAsia="es-ES"/>
        </w:rPr>
      </w:pPr>
    </w:p>
    <w:p w:rsidR="00B96BDA" w:rsidRPr="00B06612" w:rsidRDefault="00B96BDA" w:rsidP="00B06612">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06612">
        <w:rPr>
          <w:rFonts w:ascii="Palatino Linotype" w:eastAsia="MS Mincho" w:hAnsi="Palatino Linotype" w:cs="Arial"/>
          <w:sz w:val="24"/>
          <w:szCs w:val="24"/>
          <w:lang w:val="es-ES_tradnl" w:eastAsia="es-ES"/>
        </w:rPr>
        <w:t xml:space="preserve">El </w:t>
      </w:r>
      <w:r w:rsidRPr="00B06612">
        <w:rPr>
          <w:rFonts w:ascii="Palatino Linotype" w:eastAsia="MS Mincho" w:hAnsi="Palatino Linotype" w:cs="Arial"/>
          <w:b/>
          <w:sz w:val="24"/>
          <w:szCs w:val="24"/>
          <w:lang w:val="es-ES_tradnl" w:eastAsia="es-ES"/>
        </w:rPr>
        <w:t>SUJETO OBLIGADO</w:t>
      </w:r>
      <w:r w:rsidRPr="00B06612">
        <w:rPr>
          <w:rFonts w:ascii="Palatino Linotype" w:eastAsia="MS Mincho" w:hAnsi="Palatino Linotype" w:cs="Arial"/>
          <w:sz w:val="24"/>
          <w:szCs w:val="24"/>
          <w:lang w:val="es-ES_tradnl" w:eastAsia="es-ES"/>
        </w:rPr>
        <w:t xml:space="preserve"> en su respuesta remitió la información correspondiente a formato de la nómina general en el cual se puede apreciar las percepciones tanto brutas como netas de los trece regidores del Ayuntamiento de Metepec, para mejor referencia se inserta la siguiente imagen:</w:t>
      </w:r>
    </w:p>
    <w:p w:rsidR="00573E3B" w:rsidRPr="00B06612" w:rsidRDefault="00573E3B" w:rsidP="00B06612">
      <w:pPr>
        <w:spacing w:after="0" w:line="360" w:lineRule="auto"/>
        <w:ind w:right="34"/>
        <w:contextualSpacing/>
        <w:jc w:val="both"/>
        <w:rPr>
          <w:rFonts w:ascii="Palatino Linotype" w:eastAsia="MS Mincho" w:hAnsi="Palatino Linotype" w:cs="Arial"/>
          <w:sz w:val="24"/>
          <w:szCs w:val="24"/>
          <w:lang w:val="es-ES_tradnl" w:eastAsia="es-ES"/>
        </w:rPr>
      </w:pPr>
    </w:p>
    <w:p w:rsidR="00B96BDA" w:rsidRPr="00B06612" w:rsidRDefault="00573E3B" w:rsidP="00B06612">
      <w:pPr>
        <w:spacing w:after="0" w:line="360" w:lineRule="auto"/>
        <w:ind w:right="34"/>
        <w:contextualSpacing/>
        <w:jc w:val="both"/>
        <w:rPr>
          <w:rFonts w:ascii="Palatino Linotype" w:eastAsia="MS Mincho" w:hAnsi="Palatino Linotype" w:cs="Arial"/>
          <w:sz w:val="24"/>
          <w:szCs w:val="24"/>
          <w:lang w:val="es-ES_tradnl" w:eastAsia="es-ES"/>
        </w:rPr>
      </w:pPr>
      <w:r w:rsidRPr="00B06612">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simplePos x="0" y="0"/>
                <wp:positionH relativeFrom="column">
                  <wp:posOffset>355978</wp:posOffset>
                </wp:positionH>
                <wp:positionV relativeFrom="paragraph">
                  <wp:posOffset>158641</wp:posOffset>
                </wp:positionV>
                <wp:extent cx="566591" cy="0"/>
                <wp:effectExtent l="0" t="0" r="24130" b="19050"/>
                <wp:wrapNone/>
                <wp:docPr id="11" name="Conector recto 11"/>
                <wp:cNvGraphicFramePr/>
                <a:graphic xmlns:a="http://schemas.openxmlformats.org/drawingml/2006/main">
                  <a:graphicData uri="http://schemas.microsoft.com/office/word/2010/wordprocessingShape">
                    <wps:wsp>
                      <wps:cNvCnPr/>
                      <wps:spPr>
                        <a:xfrm>
                          <a:off x="0" y="0"/>
                          <a:ext cx="566591"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A7CC6" id="Conector recto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05pt,12.5pt" to="72.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" strokecolor="red" strokeweight="1.5pt">
                <v:stroke joinstyle="miter"/>
              </v:line>
            </w:pict>
          </mc:Fallback>
        </mc:AlternateContent>
      </w:r>
      <w:r w:rsidRPr="00B06612">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3794794</wp:posOffset>
                </wp:positionH>
                <wp:positionV relativeFrom="paragraph">
                  <wp:posOffset>158641</wp:posOffset>
                </wp:positionV>
                <wp:extent cx="1020987" cy="5610"/>
                <wp:effectExtent l="0" t="0" r="27305" b="33020"/>
                <wp:wrapNone/>
                <wp:docPr id="10" name="Conector recto 10"/>
                <wp:cNvGraphicFramePr/>
                <a:graphic xmlns:a="http://schemas.openxmlformats.org/drawingml/2006/main">
                  <a:graphicData uri="http://schemas.microsoft.com/office/word/2010/wordprocessingShape">
                    <wps:wsp>
                      <wps:cNvCnPr/>
                      <wps:spPr>
                        <a:xfrm flipV="1">
                          <a:off x="0" y="0"/>
                          <a:ext cx="1020987" cy="561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668BDC" id="Conector recto 10"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98.8pt,12.5pt" to="379.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" strokecolor="red" strokeweight="1.5pt">
                <v:stroke joinstyle="miter"/>
              </v:line>
            </w:pict>
          </mc:Fallback>
        </mc:AlternateContent>
      </w:r>
      <w:r w:rsidRPr="00B06612">
        <w:rPr>
          <w:rFonts w:ascii="Palatino Linotype" w:hAnsi="Palatino Linotype"/>
          <w:noProof/>
          <w:sz w:val="24"/>
          <w:szCs w:val="24"/>
          <w:lang w:eastAsia="es-MX"/>
        </w:rPr>
        <w:drawing>
          <wp:inline distT="0" distB="0" distL="0" distR="0" wp14:anchorId="0F7BBE3E" wp14:editId="3E382993">
            <wp:extent cx="5492010" cy="162684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00" t="31634" r="1127" b="16820"/>
                    <a:stretch/>
                  </pic:blipFill>
                  <pic:spPr bwMode="auto">
                    <a:xfrm>
                      <a:off x="0" y="0"/>
                      <a:ext cx="5492794" cy="1627079"/>
                    </a:xfrm>
                    <a:prstGeom prst="rect">
                      <a:avLst/>
                    </a:prstGeom>
                    <a:ln>
                      <a:noFill/>
                    </a:ln>
                    <a:extLst>
                      <a:ext uri="{53640926-AAD7-44D8-BBD7-CCE9431645EC}">
                        <a14:shadowObscured xmlns:a14="http://schemas.microsoft.com/office/drawing/2010/main"/>
                      </a:ext>
                    </a:extLst>
                  </pic:spPr>
                </pic:pic>
              </a:graphicData>
            </a:graphic>
          </wp:inline>
        </w:drawing>
      </w:r>
    </w:p>
    <w:p w:rsidR="00B96BDA" w:rsidRPr="00B06612" w:rsidRDefault="00B96BDA" w:rsidP="00B06612">
      <w:pPr>
        <w:spacing w:after="0" w:line="360" w:lineRule="auto"/>
        <w:ind w:right="34"/>
        <w:contextualSpacing/>
        <w:jc w:val="both"/>
        <w:rPr>
          <w:rFonts w:ascii="Palatino Linotype" w:eastAsia="MS Mincho" w:hAnsi="Palatino Linotype" w:cs="Arial"/>
          <w:sz w:val="24"/>
          <w:szCs w:val="24"/>
          <w:lang w:val="es-ES_tradnl" w:eastAsia="es-ES"/>
        </w:rPr>
      </w:pPr>
    </w:p>
    <w:p w:rsidR="00B96BDA" w:rsidRPr="00B06612" w:rsidRDefault="00573E3B" w:rsidP="00B06612">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06612">
        <w:rPr>
          <w:rFonts w:ascii="Palatino Linotype" w:eastAsia="MS Mincho" w:hAnsi="Palatino Linotype" w:cs="Arial"/>
          <w:sz w:val="24"/>
          <w:szCs w:val="24"/>
          <w:lang w:val="es-ES_tradnl" w:eastAsia="es-ES"/>
        </w:rPr>
        <w:t xml:space="preserve">De la imagen inserta se puede observar que el </w:t>
      </w:r>
      <w:r w:rsidRPr="00B06612">
        <w:rPr>
          <w:rFonts w:ascii="Palatino Linotype" w:eastAsia="MS Mincho" w:hAnsi="Palatino Linotype" w:cs="Arial"/>
          <w:b/>
          <w:sz w:val="24"/>
          <w:szCs w:val="24"/>
          <w:lang w:val="es-ES_tradnl" w:eastAsia="es-ES"/>
        </w:rPr>
        <w:t>SUJETO OBLIGADO</w:t>
      </w:r>
      <w:r w:rsidRPr="00B06612">
        <w:rPr>
          <w:rFonts w:ascii="Palatino Linotype" w:eastAsia="MS Mincho" w:hAnsi="Palatino Linotype" w:cs="Arial"/>
          <w:sz w:val="24"/>
          <w:szCs w:val="24"/>
          <w:lang w:val="es-ES_tradnl" w:eastAsia="es-ES"/>
        </w:rPr>
        <w:t xml:space="preserve"> asume contar con la información, toda vez que este proporcion</w:t>
      </w:r>
      <w:r w:rsidR="00764ABF" w:rsidRPr="00B06612">
        <w:rPr>
          <w:rFonts w:ascii="Palatino Linotype" w:eastAsia="MS Mincho" w:hAnsi="Palatino Linotype" w:cs="Arial"/>
          <w:sz w:val="24"/>
          <w:szCs w:val="24"/>
          <w:lang w:val="es-ES_tradnl" w:eastAsia="es-ES"/>
        </w:rPr>
        <w:t xml:space="preserve">ó </w:t>
      </w:r>
      <w:r w:rsidRPr="00B06612">
        <w:rPr>
          <w:rFonts w:ascii="Palatino Linotype" w:eastAsia="MS Mincho" w:hAnsi="Palatino Linotype" w:cs="Arial"/>
          <w:sz w:val="24"/>
          <w:szCs w:val="24"/>
          <w:lang w:val="es-ES_tradnl" w:eastAsia="es-ES"/>
        </w:rPr>
        <w:t>la misma; sin embargo, se puede apreciar que la versión realizada al documento fue realizada de forma excesiva en razón de que se testaron datos de más, como es las faltas y lo días pagos, información no encuadra en el supuesto confidencial.</w:t>
      </w:r>
    </w:p>
    <w:p w:rsidR="00764ABF" w:rsidRDefault="00764ABF" w:rsidP="00B06612">
      <w:pPr>
        <w:pStyle w:val="Ttulo1"/>
        <w:numPr>
          <w:ilvl w:val="0"/>
          <w:numId w:val="10"/>
        </w:numPr>
        <w:spacing w:line="360" w:lineRule="auto"/>
        <w:rPr>
          <w:rFonts w:ascii="Palatino Linotype" w:eastAsia="MS Mincho" w:hAnsi="Palatino Linotype"/>
          <w:b/>
          <w:i/>
          <w:color w:val="auto"/>
          <w:sz w:val="24"/>
          <w:szCs w:val="24"/>
          <w:lang w:val="es-ES_tradnl" w:eastAsia="es-ES"/>
        </w:rPr>
      </w:pPr>
      <w:bookmarkStart w:id="73" w:name="_Toc12379997"/>
      <w:r w:rsidRPr="00B06612">
        <w:rPr>
          <w:rFonts w:ascii="Palatino Linotype" w:eastAsia="MS Mincho" w:hAnsi="Palatino Linotype"/>
          <w:b/>
          <w:i/>
          <w:color w:val="auto"/>
          <w:sz w:val="24"/>
          <w:szCs w:val="24"/>
          <w:lang w:val="es-ES_tradnl" w:eastAsia="es-ES"/>
        </w:rPr>
        <w:t>De la suplencia de la queja.</w:t>
      </w:r>
      <w:bookmarkEnd w:id="73"/>
    </w:p>
    <w:p w:rsidR="00B06612" w:rsidRPr="00B06612" w:rsidRDefault="00B06612" w:rsidP="00B06612">
      <w:pPr>
        <w:rPr>
          <w:lang w:val="es-ES_tradnl" w:eastAsia="es-ES"/>
        </w:rPr>
      </w:pPr>
    </w:p>
    <w:p w:rsidR="00B96BDA" w:rsidRPr="00B06612" w:rsidRDefault="00573E3B" w:rsidP="00B06612">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06612">
        <w:rPr>
          <w:rFonts w:ascii="Palatino Linotype" w:eastAsia="MS Mincho" w:hAnsi="Palatino Linotype" w:cs="Arial"/>
          <w:sz w:val="24"/>
          <w:szCs w:val="24"/>
          <w:lang w:val="es-ES_tradnl" w:eastAsia="es-ES"/>
        </w:rPr>
        <w:t>Ahora bien, el particular no refiere ningún argumento de inconformidad</w:t>
      </w:r>
      <w:r w:rsidR="00764ABF" w:rsidRPr="00B06612">
        <w:rPr>
          <w:rFonts w:ascii="Palatino Linotype" w:eastAsia="MS Mincho" w:hAnsi="Palatino Linotype" w:cs="Arial"/>
          <w:sz w:val="24"/>
          <w:szCs w:val="24"/>
          <w:lang w:val="es-ES_tradnl" w:eastAsia="es-ES"/>
        </w:rPr>
        <w:t xml:space="preserve"> en el medio de impugnaci</w:t>
      </w:r>
      <w:r w:rsidR="004D6C17" w:rsidRPr="00B06612">
        <w:rPr>
          <w:rFonts w:ascii="Palatino Linotype" w:eastAsia="MS Mincho" w:hAnsi="Palatino Linotype" w:cs="Arial"/>
          <w:sz w:val="24"/>
          <w:szCs w:val="24"/>
          <w:lang w:val="es-ES_tradnl" w:eastAsia="es-ES"/>
        </w:rPr>
        <w:t xml:space="preserve">ón, </w:t>
      </w:r>
      <w:r w:rsidRPr="00B06612">
        <w:rPr>
          <w:rFonts w:ascii="Palatino Linotype" w:eastAsia="MS Mincho" w:hAnsi="Palatino Linotype" w:cs="Arial"/>
          <w:sz w:val="24"/>
          <w:szCs w:val="24"/>
          <w:lang w:val="es-ES_tradnl" w:eastAsia="es-ES"/>
        </w:rPr>
        <w:t xml:space="preserve">solo manifiesta como acto impugnado que </w:t>
      </w:r>
      <w:r w:rsidR="00B13010" w:rsidRPr="00B06612">
        <w:rPr>
          <w:rFonts w:ascii="Palatino Linotype" w:eastAsia="MS Mincho" w:hAnsi="Palatino Linotype" w:cs="Arial"/>
          <w:sz w:val="24"/>
          <w:szCs w:val="24"/>
          <w:lang w:val="es-ES_tradnl" w:eastAsia="es-ES"/>
        </w:rPr>
        <w:t>no le fue entregada la información requerida, motivo por el cual se tomara como</w:t>
      </w:r>
      <w:r w:rsidR="00764ABF" w:rsidRPr="00B06612">
        <w:rPr>
          <w:rFonts w:ascii="Palatino Linotype" w:eastAsia="MS Mincho" w:hAnsi="Palatino Linotype" w:cs="Arial"/>
          <w:sz w:val="24"/>
          <w:szCs w:val="24"/>
          <w:lang w:val="es-ES_tradnl" w:eastAsia="es-ES"/>
        </w:rPr>
        <w:t xml:space="preserve"> su motivo de inconformidad ya que muy probablemente el particular hizo dicha manifestación para atender los rubros de acto impugnado y motivos de inconformidad y al no ser un experto en la materia dicha deficiencia puede subsanarse a favor del mismo en términos del artículo 181 de la Ley en la materia.</w:t>
      </w:r>
    </w:p>
    <w:p w:rsidR="00764ABF" w:rsidRPr="00B06612" w:rsidRDefault="00764ABF" w:rsidP="00B06612">
      <w:pPr>
        <w:spacing w:after="0" w:line="360" w:lineRule="auto"/>
        <w:ind w:right="34"/>
        <w:contextualSpacing/>
        <w:jc w:val="both"/>
        <w:rPr>
          <w:rFonts w:ascii="Palatino Linotype" w:eastAsia="MS Mincho" w:hAnsi="Palatino Linotype" w:cs="Arial"/>
          <w:sz w:val="24"/>
          <w:szCs w:val="24"/>
          <w:highlight w:val="cyan"/>
          <w:lang w:val="es-ES_tradnl" w:eastAsia="es-ES"/>
        </w:rPr>
      </w:pPr>
    </w:p>
    <w:p w:rsidR="00764ABF" w:rsidRPr="00B06612" w:rsidRDefault="00764ABF" w:rsidP="00B06612">
      <w:pPr>
        <w:numPr>
          <w:ilvl w:val="0"/>
          <w:numId w:val="2"/>
        </w:numPr>
        <w:spacing w:after="0" w:line="360" w:lineRule="auto"/>
        <w:ind w:left="0" w:right="34" w:firstLine="0"/>
        <w:contextualSpacing/>
        <w:jc w:val="both"/>
        <w:rPr>
          <w:rFonts w:ascii="Palatino Linotype" w:eastAsia="Times New Roman" w:hAnsi="Palatino Linotype" w:cs="Times New Roman"/>
          <w:sz w:val="24"/>
          <w:szCs w:val="24"/>
          <w:lang w:val="es-ES_tradnl" w:eastAsia="es-ES"/>
        </w:rPr>
      </w:pPr>
      <w:r w:rsidRPr="00B06612">
        <w:rPr>
          <w:rFonts w:ascii="Palatino Linotype" w:eastAsia="Times New Roman" w:hAnsi="Palatino Linotype" w:cs="Times New Roman"/>
          <w:sz w:val="24"/>
          <w:szCs w:val="24"/>
          <w:lang w:val="es-ES" w:eastAsia="es-ES"/>
        </w:rPr>
        <w:t xml:space="preserve">Este Órgano Garante procede a suplir la deficiencia de la queja ya que en </w:t>
      </w:r>
      <w:r w:rsidR="004D6C17" w:rsidRPr="00B06612">
        <w:rPr>
          <w:rFonts w:ascii="Palatino Linotype" w:eastAsia="Times New Roman" w:hAnsi="Palatino Linotype" w:cs="Times New Roman"/>
          <w:sz w:val="24"/>
          <w:szCs w:val="24"/>
          <w:lang w:val="es-ES" w:eastAsia="es-ES"/>
        </w:rPr>
        <w:t>recurso de revisión en el que no se</w:t>
      </w:r>
      <w:r w:rsidRPr="00B06612">
        <w:rPr>
          <w:rFonts w:ascii="Palatino Linotype" w:eastAsia="Times New Roman" w:hAnsi="Palatino Linotype" w:cs="Times New Roman"/>
          <w:sz w:val="24"/>
          <w:szCs w:val="24"/>
          <w:lang w:val="es-ES" w:eastAsia="es-ES"/>
        </w:rPr>
        <w:t xml:space="preserve"> advierten elementos que no permiten relacionar la solicitud de información</w:t>
      </w:r>
      <w:r w:rsidR="004D6C17" w:rsidRPr="00B06612">
        <w:rPr>
          <w:rFonts w:ascii="Palatino Linotype" w:eastAsia="Times New Roman" w:hAnsi="Palatino Linotype" w:cs="Times New Roman"/>
          <w:sz w:val="24"/>
          <w:szCs w:val="24"/>
          <w:lang w:val="es-ES" w:eastAsia="es-ES"/>
        </w:rPr>
        <w:t xml:space="preserve"> con los motivos de inconformidad del</w:t>
      </w:r>
      <w:r w:rsidRPr="00B06612">
        <w:rPr>
          <w:rFonts w:ascii="Palatino Linotype" w:eastAsia="Times New Roman" w:hAnsi="Palatino Linotype" w:cs="Times New Roman"/>
          <w:sz w:val="24"/>
          <w:szCs w:val="24"/>
          <w:lang w:val="es-ES" w:eastAsia="es-ES"/>
        </w:rPr>
        <w:t xml:space="preserve"> recurrente </w:t>
      </w:r>
      <w:r w:rsidR="004D6C17" w:rsidRPr="00B06612">
        <w:rPr>
          <w:rFonts w:ascii="Palatino Linotype" w:eastAsia="Times New Roman" w:hAnsi="Palatino Linotype" w:cs="Times New Roman"/>
          <w:sz w:val="24"/>
          <w:szCs w:val="24"/>
          <w:lang w:val="es-ES" w:eastAsia="es-ES"/>
        </w:rPr>
        <w:t xml:space="preserve">quien precisa solamente como acto </w:t>
      </w:r>
      <w:r w:rsidRPr="00B06612">
        <w:rPr>
          <w:rFonts w:ascii="Palatino Linotype" w:eastAsia="Times New Roman" w:hAnsi="Palatino Linotype" w:cs="Times New Roman"/>
          <w:sz w:val="24"/>
          <w:szCs w:val="24"/>
          <w:lang w:val="es-ES" w:eastAsia="es-ES"/>
        </w:rPr>
        <w:t>impugna</w:t>
      </w:r>
      <w:r w:rsidR="004D6C17" w:rsidRPr="00B06612">
        <w:rPr>
          <w:rFonts w:ascii="Palatino Linotype" w:eastAsia="Times New Roman" w:hAnsi="Palatino Linotype" w:cs="Times New Roman"/>
          <w:sz w:val="24"/>
          <w:szCs w:val="24"/>
          <w:lang w:val="es-ES" w:eastAsia="es-ES"/>
        </w:rPr>
        <w:t>do que no me fue entregada la información solicitada</w:t>
      </w:r>
      <w:r w:rsidRPr="00B06612">
        <w:rPr>
          <w:rFonts w:ascii="Palatino Linotype" w:eastAsia="Times New Roman" w:hAnsi="Palatino Linotype" w:cs="Times New Roman"/>
          <w:sz w:val="24"/>
          <w:szCs w:val="24"/>
          <w:lang w:val="es-ES" w:eastAsia="es-ES"/>
        </w:rPr>
        <w:t>, siendo</w:t>
      </w:r>
      <w:r w:rsidRPr="00B06612">
        <w:rPr>
          <w:rFonts w:ascii="Palatino Linotype" w:eastAsia="Times New Roman" w:hAnsi="Palatino Linotype" w:cs="Times New Roman"/>
          <w:sz w:val="24"/>
          <w:szCs w:val="24"/>
          <w:lang w:val="es-ES_tradnl" w:eastAsia="es-ES"/>
        </w:rPr>
        <w:t xml:space="preserve"> necesario interpretar </w:t>
      </w:r>
      <w:r w:rsidR="004D6C17" w:rsidRPr="00B06612">
        <w:rPr>
          <w:rFonts w:ascii="Palatino Linotype" w:eastAsia="Times New Roman" w:hAnsi="Palatino Linotype" w:cs="Times New Roman"/>
          <w:sz w:val="24"/>
          <w:szCs w:val="24"/>
          <w:lang w:val="es-ES_tradnl" w:eastAsia="es-ES"/>
        </w:rPr>
        <w:t xml:space="preserve">el mismo; </w:t>
      </w:r>
      <w:r w:rsidRPr="00B06612">
        <w:rPr>
          <w:rFonts w:ascii="Palatino Linotype" w:eastAsia="Times New Roman" w:hAnsi="Palatino Linotype" w:cs="Times New Roman"/>
          <w:sz w:val="24"/>
          <w:szCs w:val="24"/>
          <w:lang w:val="es-ES_tradnl" w:eastAsia="es-ES"/>
        </w:rPr>
        <w:t>hechos valer conforme a la facultad que nos otorga. La suplencia de la queja, es el instrumento adecuado para prevenir una posible vulneración al derecho de acceso a la información y que se encuentra disponible para ser operado por esta autoridad conforme a la facultad que nos otorga la Ley de Transparencia y Acceso a la Información Pública del Estado de Méxic</w:t>
      </w:r>
      <w:r w:rsidR="004875EC" w:rsidRPr="00B06612">
        <w:rPr>
          <w:rFonts w:ascii="Palatino Linotype" w:eastAsia="Times New Roman" w:hAnsi="Palatino Linotype" w:cs="Times New Roman"/>
          <w:sz w:val="24"/>
          <w:szCs w:val="24"/>
          <w:lang w:val="es-ES_tradnl" w:eastAsia="es-ES"/>
        </w:rPr>
        <w:t xml:space="preserve">o y Municipios en el artículo 181 </w:t>
      </w:r>
      <w:r w:rsidRPr="00B06612">
        <w:rPr>
          <w:rFonts w:ascii="Palatino Linotype" w:eastAsia="Times New Roman" w:hAnsi="Palatino Linotype" w:cs="Times New Roman"/>
          <w:sz w:val="24"/>
          <w:szCs w:val="24"/>
          <w:lang w:val="es-ES_tradnl" w:eastAsia="es-ES"/>
        </w:rPr>
        <w:t>el cual describe lo siguiente:</w:t>
      </w:r>
    </w:p>
    <w:p w:rsidR="004875EC" w:rsidRPr="00B06612" w:rsidRDefault="004875EC" w:rsidP="00B06612">
      <w:pPr>
        <w:spacing w:after="0" w:line="360" w:lineRule="auto"/>
        <w:ind w:right="34"/>
        <w:contextualSpacing/>
        <w:jc w:val="both"/>
        <w:rPr>
          <w:rFonts w:ascii="Palatino Linotype" w:eastAsia="MS Mincho" w:hAnsi="Palatino Linotype" w:cs="Arial"/>
          <w:sz w:val="24"/>
          <w:szCs w:val="24"/>
          <w:lang w:val="es-ES_tradnl" w:eastAsia="es-ES"/>
        </w:rPr>
      </w:pPr>
    </w:p>
    <w:p w:rsidR="004875EC" w:rsidRPr="00B06612" w:rsidRDefault="004875EC" w:rsidP="00B06612">
      <w:pPr>
        <w:tabs>
          <w:tab w:val="left" w:pos="426"/>
        </w:tabs>
        <w:spacing w:after="0" w:line="360" w:lineRule="auto"/>
        <w:ind w:left="567" w:right="616"/>
        <w:contextualSpacing/>
        <w:jc w:val="both"/>
        <w:rPr>
          <w:rFonts w:ascii="Palatino Linotype" w:hAnsi="Palatino Linotype"/>
          <w:i/>
          <w:sz w:val="24"/>
          <w:szCs w:val="24"/>
        </w:rPr>
      </w:pPr>
      <w:r w:rsidRPr="00B06612">
        <w:rPr>
          <w:rFonts w:ascii="Palatino Linotype" w:hAnsi="Palatino Linotype"/>
          <w:b/>
          <w:i/>
          <w:sz w:val="24"/>
          <w:szCs w:val="24"/>
        </w:rPr>
        <w:t>Artículo 181.</w:t>
      </w:r>
      <w:r w:rsidRPr="00B06612">
        <w:rPr>
          <w:rFonts w:ascii="Palatino Linotype" w:hAnsi="Palatino Linotype"/>
          <w:i/>
          <w:sz w:val="24"/>
          <w:szCs w:val="24"/>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rsidR="004875EC" w:rsidRPr="00B06612" w:rsidRDefault="004875EC" w:rsidP="00B06612">
      <w:pPr>
        <w:tabs>
          <w:tab w:val="left" w:pos="426"/>
        </w:tabs>
        <w:spacing w:after="0" w:line="360" w:lineRule="auto"/>
        <w:ind w:left="567" w:right="616"/>
        <w:contextualSpacing/>
        <w:jc w:val="both"/>
        <w:rPr>
          <w:rFonts w:ascii="Palatino Linotype" w:hAnsi="Palatino Linotype"/>
          <w:i/>
          <w:sz w:val="24"/>
          <w:szCs w:val="24"/>
        </w:rPr>
      </w:pPr>
      <w:r w:rsidRPr="00B06612">
        <w:rPr>
          <w:rFonts w:ascii="Palatino Linotype" w:hAnsi="Palatino Linotype"/>
          <w:i/>
          <w:sz w:val="24"/>
          <w:szCs w:val="24"/>
        </w:rPr>
        <w:t>…</w:t>
      </w:r>
    </w:p>
    <w:p w:rsidR="004875EC" w:rsidRPr="00B06612" w:rsidRDefault="004875EC" w:rsidP="00B06612">
      <w:pPr>
        <w:tabs>
          <w:tab w:val="left" w:pos="426"/>
        </w:tabs>
        <w:spacing w:after="0" w:line="360" w:lineRule="auto"/>
        <w:ind w:left="567" w:right="616"/>
        <w:contextualSpacing/>
        <w:jc w:val="both"/>
        <w:rPr>
          <w:rFonts w:ascii="Palatino Linotype" w:hAnsi="Palatino Linotype"/>
          <w:i/>
          <w:sz w:val="24"/>
          <w:szCs w:val="24"/>
        </w:rPr>
      </w:pPr>
      <w:r w:rsidRPr="00B06612">
        <w:rPr>
          <w:rFonts w:ascii="Palatino Linotype" w:hAnsi="Palatino Linotype"/>
          <w:b/>
          <w:i/>
          <w:sz w:val="24"/>
          <w:szCs w:val="24"/>
        </w:rPr>
        <w:t>Durante el procedimiento deberá aplicarse la suplencia de la queja a favor del recurrente, sin cambiar los hechos expuestos, asegurándose de que las partes puedan presentar, de manera oral o escrita, los argumentos que funden y motiven sus pretensiones</w:t>
      </w:r>
      <w:r w:rsidRPr="00B06612">
        <w:rPr>
          <w:rFonts w:ascii="Palatino Linotype" w:hAnsi="Palatino Linotype"/>
          <w:i/>
          <w:sz w:val="24"/>
          <w:szCs w:val="24"/>
        </w:rPr>
        <w:t xml:space="preserve">. </w:t>
      </w:r>
    </w:p>
    <w:p w:rsidR="004875EC" w:rsidRPr="00B06612" w:rsidRDefault="004875EC" w:rsidP="00B06612">
      <w:pPr>
        <w:tabs>
          <w:tab w:val="left" w:pos="426"/>
        </w:tabs>
        <w:spacing w:after="0" w:line="360" w:lineRule="auto"/>
        <w:ind w:left="567" w:right="616"/>
        <w:contextualSpacing/>
        <w:jc w:val="both"/>
        <w:rPr>
          <w:rFonts w:ascii="Palatino Linotype" w:eastAsia="Times New Roman" w:hAnsi="Palatino Linotype" w:cs="Times New Roman"/>
          <w:i/>
          <w:sz w:val="24"/>
          <w:szCs w:val="24"/>
          <w:lang w:val="es-ES_tradnl" w:eastAsia="es-ES"/>
        </w:rPr>
      </w:pPr>
      <w:r w:rsidRPr="00B06612">
        <w:rPr>
          <w:rFonts w:ascii="Palatino Linotype" w:eastAsia="Times New Roman" w:hAnsi="Palatino Linotype" w:cs="Times New Roman"/>
          <w:i/>
          <w:sz w:val="24"/>
          <w:szCs w:val="24"/>
          <w:lang w:val="es-ES_tradnl" w:eastAsia="es-ES"/>
        </w:rPr>
        <w:t>…</w:t>
      </w:r>
    </w:p>
    <w:p w:rsidR="00764ABF" w:rsidRPr="00B06612" w:rsidRDefault="00764ABF" w:rsidP="00B06612">
      <w:pPr>
        <w:tabs>
          <w:tab w:val="left" w:pos="426"/>
        </w:tabs>
        <w:spacing w:after="0" w:line="360" w:lineRule="auto"/>
        <w:ind w:left="567" w:right="758"/>
        <w:contextualSpacing/>
        <w:jc w:val="both"/>
        <w:rPr>
          <w:rFonts w:ascii="Palatino Linotype" w:eastAsia="Times New Roman" w:hAnsi="Palatino Linotype" w:cs="Times New Roman"/>
          <w:i/>
          <w:sz w:val="24"/>
          <w:szCs w:val="24"/>
          <w:lang w:val="es-ES_tradnl" w:eastAsia="es-ES"/>
        </w:rPr>
      </w:pPr>
      <w:r w:rsidRPr="00B06612">
        <w:rPr>
          <w:rFonts w:ascii="Palatino Linotype" w:eastAsia="Times New Roman" w:hAnsi="Palatino Linotype" w:cs="Times New Roman"/>
          <w:i/>
          <w:sz w:val="24"/>
          <w:szCs w:val="24"/>
          <w:lang w:val="es-ES_tradnl" w:eastAsia="es-ES"/>
        </w:rPr>
        <w:t xml:space="preserve">     </w:t>
      </w:r>
    </w:p>
    <w:p w:rsidR="00764ABF" w:rsidRPr="00B06612" w:rsidRDefault="00764ABF" w:rsidP="00B06612">
      <w:pPr>
        <w:numPr>
          <w:ilvl w:val="0"/>
          <w:numId w:val="2"/>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B06612">
        <w:rPr>
          <w:rFonts w:ascii="Palatino Linotype" w:hAnsi="Palatino Linotype" w:cs="Arial"/>
          <w:sz w:val="24"/>
          <w:szCs w:val="24"/>
        </w:rPr>
        <w:t xml:space="preserve">La figura de la suplencia de la queja es central para apreciar la verdadera fuerza de los derechos humanos, entre ellos el de acceso a la información, que demandan una actuación clara, contundente y eficaz por parte de las autoridades, en el que ya no resultan admisibles las excusas de </w:t>
      </w:r>
      <w:proofErr w:type="spellStart"/>
      <w:r w:rsidRPr="00B06612">
        <w:rPr>
          <w:rFonts w:ascii="Palatino Linotype" w:hAnsi="Palatino Linotype" w:cs="Arial"/>
          <w:sz w:val="24"/>
          <w:szCs w:val="24"/>
        </w:rPr>
        <w:t>procedibilidad</w:t>
      </w:r>
      <w:proofErr w:type="spellEnd"/>
      <w:r w:rsidRPr="00B06612">
        <w:rPr>
          <w:rFonts w:ascii="Palatino Linotype" w:hAnsi="Palatino Linotype" w:cs="Arial"/>
          <w:sz w:val="24"/>
          <w:szCs w:val="24"/>
        </w:rPr>
        <w:t>, ya que en todo momento nos encontramos ante un derecho más alto que, puede considerarse en los siguientes términos:</w:t>
      </w:r>
    </w:p>
    <w:p w:rsidR="00764ABF" w:rsidRPr="00B06612" w:rsidRDefault="00764ABF" w:rsidP="00B06612">
      <w:pPr>
        <w:spacing w:after="0" w:line="360" w:lineRule="auto"/>
        <w:ind w:left="284"/>
        <w:contextualSpacing/>
        <w:jc w:val="both"/>
        <w:rPr>
          <w:rFonts w:ascii="Palatino Linotype" w:hAnsi="Palatino Linotype" w:cs="Arial"/>
          <w:sz w:val="24"/>
          <w:szCs w:val="24"/>
        </w:rPr>
      </w:pPr>
    </w:p>
    <w:p w:rsidR="00764ABF" w:rsidRPr="00B06612" w:rsidRDefault="00764ABF" w:rsidP="00B06612">
      <w:pPr>
        <w:spacing w:after="0" w:line="360" w:lineRule="auto"/>
        <w:ind w:left="567" w:right="618"/>
        <w:jc w:val="both"/>
        <w:rPr>
          <w:rFonts w:ascii="Palatino Linotype" w:hAnsi="Palatino Linotype" w:cs="Arial"/>
          <w:i/>
          <w:sz w:val="24"/>
          <w:szCs w:val="24"/>
        </w:rPr>
      </w:pPr>
      <w:r w:rsidRPr="00B06612">
        <w:rPr>
          <w:rFonts w:ascii="Palatino Linotype" w:hAnsi="Palatino Linotype" w:cs="Arial"/>
          <w:i/>
          <w:sz w:val="24"/>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B06612">
        <w:rPr>
          <w:rFonts w:ascii="Palatino Linotype" w:hAnsi="Palatino Linotype" w:cs="Arial"/>
          <w:i/>
          <w:sz w:val="24"/>
          <w:szCs w:val="24"/>
        </w:rPr>
        <w:t>ocasionalidad</w:t>
      </w:r>
      <w:proofErr w:type="spellEnd"/>
      <w:r w:rsidRPr="00B06612">
        <w:rPr>
          <w:rFonts w:ascii="Palatino Linotype" w:hAnsi="Palatino Linotype" w:cs="Arial"/>
          <w:i/>
          <w:sz w:val="24"/>
          <w:szCs w:val="24"/>
        </w:rPr>
        <w:t xml:space="preserve"> de las presiones sociales que se ejercen sobre el mismo”.</w:t>
      </w:r>
      <w:r w:rsidRPr="00B06612">
        <w:rPr>
          <w:rFonts w:ascii="Palatino Linotype" w:hAnsi="Palatino Linotype" w:cs="Arial"/>
          <w:i/>
          <w:sz w:val="24"/>
          <w:szCs w:val="24"/>
          <w:vertAlign w:val="superscript"/>
        </w:rPr>
        <w:footnoteReference w:id="1"/>
      </w:r>
    </w:p>
    <w:p w:rsidR="00764ABF" w:rsidRPr="00B06612" w:rsidRDefault="00764ABF" w:rsidP="00B06612">
      <w:pPr>
        <w:spacing w:after="0" w:line="360" w:lineRule="auto"/>
        <w:contextualSpacing/>
        <w:jc w:val="both"/>
        <w:rPr>
          <w:rFonts w:ascii="Palatino Linotype" w:eastAsia="MS Mincho" w:hAnsi="Palatino Linotype" w:cs="Times New Roman"/>
          <w:color w:val="000000"/>
          <w:sz w:val="24"/>
          <w:szCs w:val="24"/>
          <w:lang w:val="es-ES_tradnl" w:eastAsia="es-ES"/>
        </w:rPr>
      </w:pPr>
    </w:p>
    <w:p w:rsidR="00764ABF" w:rsidRPr="004D6C56" w:rsidRDefault="00764ABF" w:rsidP="004D6C56">
      <w:pPr>
        <w:pStyle w:val="Prrafodelista"/>
        <w:numPr>
          <w:ilvl w:val="0"/>
          <w:numId w:val="2"/>
        </w:numPr>
        <w:spacing w:line="360" w:lineRule="auto"/>
        <w:ind w:left="0" w:firstLine="0"/>
        <w:jc w:val="both"/>
        <w:rPr>
          <w:rFonts w:ascii="Palatino Linotype" w:hAnsi="Palatino Linotype" w:cs="Arial"/>
          <w:sz w:val="24"/>
          <w:szCs w:val="24"/>
        </w:rPr>
      </w:pPr>
      <w:r w:rsidRPr="00B06612">
        <w:rPr>
          <w:rFonts w:ascii="Palatino Linotype" w:hAnsi="Palatino Linotype" w:cs="Arial"/>
          <w:sz w:val="24"/>
          <w:szCs w:val="24"/>
        </w:rPr>
        <w:t>Es así que en aras de tutelar la correcta aplicación en términos d</w:t>
      </w:r>
      <w:r w:rsidR="004875EC" w:rsidRPr="00B06612">
        <w:rPr>
          <w:rFonts w:ascii="Palatino Linotype" w:hAnsi="Palatino Linotype" w:cs="Arial"/>
          <w:sz w:val="24"/>
          <w:szCs w:val="24"/>
        </w:rPr>
        <w:t>el artículo 181</w:t>
      </w:r>
      <w:r w:rsidRPr="00B06612">
        <w:rPr>
          <w:rFonts w:ascii="Palatino Linotype" w:hAnsi="Palatino Linotype" w:cs="Arial"/>
          <w:sz w:val="24"/>
          <w:szCs w:val="24"/>
        </w:rPr>
        <w:t xml:space="preserve">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B06612">
        <w:rPr>
          <w:rFonts w:ascii="Palatino Linotype" w:hAnsi="Palatino Linotype" w:cs="Arial"/>
          <w:sz w:val="24"/>
          <w:szCs w:val="24"/>
        </w:rPr>
        <w:t>refutantes</w:t>
      </w:r>
      <w:proofErr w:type="spellEnd"/>
      <w:r w:rsidRPr="00B06612">
        <w:rPr>
          <w:rFonts w:ascii="Palatino Linotype" w:hAnsi="Palatino Linotype" w:cs="Arial"/>
          <w:sz w:val="24"/>
          <w:szCs w:val="24"/>
        </w:rPr>
        <w:t xml:space="preserve"> que cubran los elementos mínimos requeridos de la causa </w:t>
      </w:r>
      <w:proofErr w:type="spellStart"/>
      <w:r w:rsidRPr="00B06612">
        <w:rPr>
          <w:rFonts w:ascii="Palatino Linotype" w:hAnsi="Palatino Linotype" w:cs="Arial"/>
          <w:sz w:val="24"/>
          <w:szCs w:val="24"/>
        </w:rPr>
        <w:t>petendi</w:t>
      </w:r>
      <w:proofErr w:type="spellEnd"/>
      <w:r w:rsidRPr="00B06612">
        <w:rPr>
          <w:rFonts w:ascii="Palatino Linotype" w:hAnsi="Palatino Linotype" w:cs="Arial"/>
          <w:sz w:val="24"/>
          <w:szCs w:val="24"/>
        </w:rPr>
        <w:t>, (causa de pedir) aunado a que existe jurisprudencia que no obliga a los particulares a cubrir tales parámetros en las materias que admitan la suplencia de la queja deficiente.</w:t>
      </w:r>
    </w:p>
    <w:p w:rsidR="00B96BDA" w:rsidRDefault="00AD71A8" w:rsidP="00B06612">
      <w:pPr>
        <w:pStyle w:val="Ttulo1"/>
        <w:spacing w:line="360" w:lineRule="auto"/>
        <w:rPr>
          <w:rFonts w:ascii="Palatino Linotype" w:eastAsia="MS Mincho" w:hAnsi="Palatino Linotype"/>
          <w:b/>
          <w:i/>
          <w:color w:val="auto"/>
          <w:sz w:val="24"/>
          <w:szCs w:val="24"/>
          <w:lang w:val="es-ES_tradnl" w:eastAsia="es-ES"/>
        </w:rPr>
      </w:pPr>
      <w:bookmarkStart w:id="74" w:name="_Toc12379998"/>
      <w:r w:rsidRPr="00B06612">
        <w:rPr>
          <w:rFonts w:ascii="Palatino Linotype" w:eastAsia="MS Mincho" w:hAnsi="Palatino Linotype"/>
          <w:b/>
          <w:i/>
          <w:color w:val="auto"/>
          <w:sz w:val="24"/>
          <w:szCs w:val="24"/>
          <w:lang w:val="es-ES_tradnl" w:eastAsia="es-ES"/>
        </w:rPr>
        <w:t xml:space="preserve">III. </w:t>
      </w:r>
      <w:r w:rsidR="004875EC" w:rsidRPr="00B06612">
        <w:rPr>
          <w:rFonts w:ascii="Palatino Linotype" w:eastAsia="MS Mincho" w:hAnsi="Palatino Linotype"/>
          <w:b/>
          <w:i/>
          <w:color w:val="auto"/>
          <w:sz w:val="24"/>
          <w:szCs w:val="24"/>
          <w:lang w:val="es-ES_tradnl" w:eastAsia="es-ES"/>
        </w:rPr>
        <w:t>Análisis de la entrega de la información</w:t>
      </w:r>
      <w:bookmarkEnd w:id="74"/>
    </w:p>
    <w:p w:rsidR="00B06612" w:rsidRPr="00B06612" w:rsidRDefault="00B06612" w:rsidP="00B06612">
      <w:pPr>
        <w:rPr>
          <w:lang w:val="es-ES_tradnl" w:eastAsia="es-ES"/>
        </w:rPr>
      </w:pPr>
    </w:p>
    <w:p w:rsidR="00B96BDA" w:rsidRDefault="00103DE1" w:rsidP="00B06612">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06612">
        <w:rPr>
          <w:rFonts w:ascii="Palatino Linotype" w:eastAsia="MS Mincho" w:hAnsi="Palatino Linotype" w:cs="Arial"/>
          <w:sz w:val="24"/>
          <w:szCs w:val="24"/>
          <w:lang w:val="es-ES_tradnl" w:eastAsia="es-ES"/>
        </w:rPr>
        <w:t xml:space="preserve">Por lo anteriormente expuesto, es de precisar que los motivos de inconformidad resulta parcialmente fundados en razón de que el </w:t>
      </w:r>
      <w:r w:rsidRPr="00B06612">
        <w:rPr>
          <w:rFonts w:ascii="Palatino Linotype" w:eastAsia="MS Mincho" w:hAnsi="Palatino Linotype" w:cs="Arial"/>
          <w:b/>
          <w:sz w:val="24"/>
          <w:szCs w:val="24"/>
          <w:lang w:val="es-ES_tradnl" w:eastAsia="es-ES"/>
        </w:rPr>
        <w:t>SUJETO OBLIGADO</w:t>
      </w:r>
      <w:r w:rsidRPr="00B06612">
        <w:rPr>
          <w:rFonts w:ascii="Palatino Linotype" w:eastAsia="MS Mincho" w:hAnsi="Palatino Linotype" w:cs="Arial"/>
          <w:sz w:val="24"/>
          <w:szCs w:val="24"/>
          <w:lang w:val="es-ES_tradnl" w:eastAsia="es-ES"/>
        </w:rPr>
        <w:t xml:space="preserve"> si entregó la información, sin embargo esta fue testa de manera excesiva por lo que corresponde a los rubros de faltas y días pagados, luego entonces no se puede considera que no se haya entregado la información sino que de manera incorrecta.</w:t>
      </w:r>
    </w:p>
    <w:p w:rsidR="00B06612" w:rsidRPr="00B06612" w:rsidRDefault="00B06612" w:rsidP="00B06612">
      <w:pPr>
        <w:spacing w:after="0" w:line="360" w:lineRule="auto"/>
        <w:ind w:right="34"/>
        <w:contextualSpacing/>
        <w:jc w:val="both"/>
        <w:rPr>
          <w:rFonts w:ascii="Palatino Linotype" w:eastAsia="MS Mincho" w:hAnsi="Palatino Linotype" w:cs="Arial"/>
          <w:sz w:val="24"/>
          <w:szCs w:val="24"/>
          <w:lang w:val="es-ES_tradnl" w:eastAsia="es-ES"/>
        </w:rPr>
      </w:pPr>
    </w:p>
    <w:p w:rsidR="00103DE1" w:rsidRDefault="00103DE1" w:rsidP="00B06612">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06612">
        <w:rPr>
          <w:rFonts w:ascii="Palatino Linotype" w:eastAsia="MS Mincho" w:hAnsi="Palatino Linotype" w:cs="Arial"/>
          <w:sz w:val="24"/>
          <w:szCs w:val="24"/>
          <w:lang w:val="es-ES_tradnl" w:eastAsia="es-ES"/>
        </w:rPr>
        <w:t xml:space="preserve">Por lo anterior, resulta factible ordenar al </w:t>
      </w:r>
      <w:r w:rsidRPr="00B06612">
        <w:rPr>
          <w:rFonts w:ascii="Palatino Linotype" w:eastAsia="MS Mincho" w:hAnsi="Palatino Linotype" w:cs="Arial"/>
          <w:b/>
          <w:sz w:val="24"/>
          <w:szCs w:val="24"/>
          <w:lang w:val="es-ES_tradnl" w:eastAsia="es-ES"/>
        </w:rPr>
        <w:t>SUJETO OBLIGADO</w:t>
      </w:r>
      <w:r w:rsidRPr="00B06612">
        <w:rPr>
          <w:rFonts w:ascii="Palatino Linotype" w:eastAsia="MS Mincho" w:hAnsi="Palatino Linotype" w:cs="Arial"/>
          <w:sz w:val="24"/>
          <w:szCs w:val="24"/>
          <w:lang w:val="es-ES_tradnl" w:eastAsia="es-ES"/>
        </w:rPr>
        <w:t xml:space="preserve"> realice una nueva versión pública en la cual se deje visible la información correspondiente a los rubros de días pagados y falta</w:t>
      </w:r>
      <w:r w:rsidR="000F5B9B" w:rsidRPr="00B06612">
        <w:rPr>
          <w:rFonts w:ascii="Palatino Linotype" w:eastAsia="MS Mincho" w:hAnsi="Palatino Linotype" w:cs="Arial"/>
          <w:sz w:val="24"/>
          <w:szCs w:val="24"/>
          <w:lang w:val="es-ES_tradnl" w:eastAsia="es-ES"/>
        </w:rPr>
        <w:t>s,</w:t>
      </w:r>
      <w:r w:rsidRPr="00B06612">
        <w:rPr>
          <w:rFonts w:ascii="Palatino Linotype" w:eastAsia="MS Mincho" w:hAnsi="Palatino Linotype" w:cs="Arial"/>
          <w:sz w:val="24"/>
          <w:szCs w:val="24"/>
          <w:lang w:val="es-ES_tradnl" w:eastAsia="es-ES"/>
        </w:rPr>
        <w:t xml:space="preserve"> en razón de que es información que no se encuentra en el supuesto de confidencial y no contiene datos personales que pueda ha</w:t>
      </w:r>
      <w:r w:rsidR="000F5B9B" w:rsidRPr="00B06612">
        <w:rPr>
          <w:rFonts w:ascii="Palatino Linotype" w:eastAsia="MS Mincho" w:hAnsi="Palatino Linotype" w:cs="Arial"/>
          <w:sz w:val="24"/>
          <w:szCs w:val="24"/>
          <w:lang w:val="es-ES_tradnl" w:eastAsia="es-ES"/>
        </w:rPr>
        <w:t>cer identificable a una persona</w:t>
      </w:r>
      <w:r w:rsidRPr="00B06612">
        <w:rPr>
          <w:rFonts w:ascii="Palatino Linotype" w:eastAsia="MS Mincho" w:hAnsi="Palatino Linotype" w:cs="Arial"/>
          <w:sz w:val="24"/>
          <w:szCs w:val="24"/>
          <w:lang w:val="es-ES_tradnl" w:eastAsia="es-ES"/>
        </w:rPr>
        <w:t>.</w:t>
      </w:r>
    </w:p>
    <w:p w:rsidR="00B06612" w:rsidRPr="00B06612" w:rsidRDefault="00B06612" w:rsidP="00B06612">
      <w:pPr>
        <w:spacing w:after="0" w:line="360" w:lineRule="auto"/>
        <w:ind w:right="34"/>
        <w:contextualSpacing/>
        <w:jc w:val="both"/>
        <w:rPr>
          <w:rFonts w:ascii="Palatino Linotype" w:eastAsia="MS Mincho" w:hAnsi="Palatino Linotype" w:cs="Arial"/>
          <w:sz w:val="24"/>
          <w:szCs w:val="24"/>
          <w:lang w:val="es-ES_tradnl" w:eastAsia="es-ES"/>
        </w:rPr>
      </w:pPr>
    </w:p>
    <w:p w:rsidR="004875EC" w:rsidRPr="00B06612" w:rsidRDefault="000F5B9B" w:rsidP="00B06612">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06612">
        <w:rPr>
          <w:rFonts w:ascii="Palatino Linotype" w:eastAsia="MS Mincho" w:hAnsi="Palatino Linotype" w:cs="Arial"/>
          <w:sz w:val="24"/>
          <w:szCs w:val="24"/>
          <w:lang w:val="es-ES_tradnl" w:eastAsia="es-ES"/>
        </w:rPr>
        <w:t xml:space="preserve">Ahora bien, es de observar que el </w:t>
      </w:r>
      <w:r w:rsidRPr="00B06612">
        <w:rPr>
          <w:rFonts w:ascii="Palatino Linotype" w:eastAsia="MS Mincho" w:hAnsi="Palatino Linotype" w:cs="Arial"/>
          <w:b/>
          <w:sz w:val="24"/>
          <w:szCs w:val="24"/>
          <w:lang w:val="es-ES_tradnl" w:eastAsia="es-ES"/>
        </w:rPr>
        <w:t>SUJETO OBLIGADO</w:t>
      </w:r>
      <w:r w:rsidR="0016752B" w:rsidRPr="00B06612">
        <w:rPr>
          <w:rFonts w:ascii="Palatino Linotype" w:eastAsia="MS Mincho" w:hAnsi="Palatino Linotype" w:cs="Arial"/>
          <w:sz w:val="24"/>
          <w:szCs w:val="24"/>
          <w:lang w:val="es-ES_tradnl" w:eastAsia="es-ES"/>
        </w:rPr>
        <w:t xml:space="preserve"> entregó</w:t>
      </w:r>
      <w:r w:rsidRPr="00B06612">
        <w:rPr>
          <w:rFonts w:ascii="Palatino Linotype" w:eastAsia="MS Mincho" w:hAnsi="Palatino Linotype" w:cs="Arial"/>
          <w:sz w:val="24"/>
          <w:szCs w:val="24"/>
          <w:lang w:val="es-ES_tradnl" w:eastAsia="es-ES"/>
        </w:rPr>
        <w:t xml:space="preserve"> la información correspondiente a la primera quinc</w:t>
      </w:r>
      <w:r w:rsidR="0016752B" w:rsidRPr="00B06612">
        <w:rPr>
          <w:rFonts w:ascii="Palatino Linotype" w:eastAsia="MS Mincho" w:hAnsi="Palatino Linotype" w:cs="Arial"/>
          <w:sz w:val="24"/>
          <w:szCs w:val="24"/>
          <w:lang w:val="es-ES_tradnl" w:eastAsia="es-ES"/>
        </w:rPr>
        <w:t>ena del mes de abril, lo que se traduce que lo pagos realizados a los servidores públicos de quien se solicitó la información corresponde a pagos quincenales mismos que se comprenden de los días 01 al 15 de cada mes y del 16 al 30/31 de cada mes, información que</w:t>
      </w:r>
      <w:r w:rsidR="003F6D3D" w:rsidRPr="00B06612">
        <w:rPr>
          <w:rFonts w:ascii="Palatino Linotype" w:eastAsia="MS Mincho" w:hAnsi="Palatino Linotype" w:cs="Arial"/>
          <w:sz w:val="24"/>
          <w:szCs w:val="24"/>
          <w:lang w:val="es-ES_tradnl" w:eastAsia="es-ES"/>
        </w:rPr>
        <w:t xml:space="preserve"> debe de enterarse de manera mensual al Órgano Superior de Fiscalización del Estado de México, la cual no tiene razón de ser su clasificación ya en nada afectaría su divulgación sino todo lo contrario dar a conocer a la sociedad la percepciones que se pagan a los servidores públicos. </w:t>
      </w:r>
    </w:p>
    <w:p w:rsidR="004875EC" w:rsidRPr="00B06612" w:rsidRDefault="004875EC" w:rsidP="00B06612">
      <w:pPr>
        <w:spacing w:after="0" w:line="360" w:lineRule="auto"/>
        <w:ind w:right="34"/>
        <w:contextualSpacing/>
        <w:jc w:val="both"/>
        <w:rPr>
          <w:rFonts w:ascii="Palatino Linotype" w:eastAsia="MS Mincho" w:hAnsi="Palatino Linotype" w:cs="Arial"/>
          <w:sz w:val="24"/>
          <w:szCs w:val="24"/>
          <w:lang w:val="es-ES_tradnl" w:eastAsia="es-ES"/>
        </w:rPr>
      </w:pPr>
    </w:p>
    <w:p w:rsidR="004875EC" w:rsidRDefault="003F6D3D" w:rsidP="00B06612">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06612">
        <w:rPr>
          <w:rFonts w:ascii="Palatino Linotype" w:eastAsia="MS Mincho" w:hAnsi="Palatino Linotype" w:cs="Arial"/>
          <w:sz w:val="24"/>
          <w:szCs w:val="24"/>
          <w:lang w:val="es-ES_tradnl" w:eastAsia="es-ES"/>
        </w:rPr>
        <w:t xml:space="preserve">En cuanto a la información correspondientes a las faltas que pudieran tener los regidores es de hacer mención </w:t>
      </w:r>
      <w:r w:rsidR="00DC038F" w:rsidRPr="00B06612">
        <w:rPr>
          <w:rFonts w:ascii="Palatino Linotype" w:eastAsia="MS Mincho" w:hAnsi="Palatino Linotype" w:cs="Arial"/>
          <w:sz w:val="24"/>
          <w:szCs w:val="24"/>
          <w:lang w:val="es-ES_tradnl" w:eastAsia="es-ES"/>
        </w:rPr>
        <w:t>que derivado de sus funciones con las que cuentan, en diversas ocasiones es necesario que estos se ausente de las oficinas en las cuales despachan, así mismo para el caso de que las faltas exceden de 15 días se procederá a lo establecido por la Ley Orgánica Municipal del Estado de México en su artículo 41 párrafos cuatro y cinco.</w:t>
      </w:r>
    </w:p>
    <w:p w:rsidR="00B06612" w:rsidRPr="00B06612" w:rsidRDefault="00B06612" w:rsidP="00B06612">
      <w:pPr>
        <w:spacing w:after="0" w:line="360" w:lineRule="auto"/>
        <w:ind w:right="34"/>
        <w:contextualSpacing/>
        <w:jc w:val="both"/>
        <w:rPr>
          <w:rFonts w:ascii="Palatino Linotype" w:eastAsia="MS Mincho" w:hAnsi="Palatino Linotype" w:cs="Arial"/>
          <w:sz w:val="24"/>
          <w:szCs w:val="24"/>
          <w:lang w:val="es-ES_tradnl" w:eastAsia="es-ES"/>
        </w:rPr>
      </w:pPr>
    </w:p>
    <w:p w:rsidR="00DC038F" w:rsidRPr="00B06612" w:rsidRDefault="00DC038F" w:rsidP="00B06612">
      <w:pPr>
        <w:pStyle w:val="Prrafodelista"/>
        <w:spacing w:line="360" w:lineRule="auto"/>
        <w:ind w:left="567" w:right="616"/>
        <w:jc w:val="both"/>
        <w:rPr>
          <w:rFonts w:ascii="Palatino Linotype" w:eastAsia="MS Mincho" w:hAnsi="Palatino Linotype" w:cs="Arial"/>
          <w:i/>
          <w:sz w:val="24"/>
          <w:szCs w:val="24"/>
          <w:lang w:eastAsia="es-ES"/>
        </w:rPr>
      </w:pPr>
      <w:r w:rsidRPr="00B06612">
        <w:rPr>
          <w:rFonts w:ascii="Palatino Linotype" w:eastAsia="MS Mincho" w:hAnsi="Palatino Linotype" w:cs="Arial"/>
          <w:i/>
          <w:sz w:val="24"/>
          <w:szCs w:val="24"/>
          <w:lang w:eastAsia="es-ES"/>
        </w:rPr>
        <w:t>Articulo 41…</w:t>
      </w:r>
    </w:p>
    <w:p w:rsidR="00DC038F" w:rsidRPr="00B06612" w:rsidRDefault="00DC038F" w:rsidP="00B06612">
      <w:pPr>
        <w:pStyle w:val="Prrafodelista"/>
        <w:spacing w:line="360" w:lineRule="auto"/>
        <w:ind w:left="567" w:right="616"/>
        <w:jc w:val="both"/>
        <w:rPr>
          <w:rFonts w:ascii="Palatino Linotype" w:eastAsia="MS Mincho" w:hAnsi="Palatino Linotype" w:cs="Arial"/>
          <w:i/>
          <w:sz w:val="24"/>
          <w:szCs w:val="24"/>
          <w:lang w:eastAsia="es-ES"/>
        </w:rPr>
      </w:pPr>
      <w:r w:rsidRPr="00B06612">
        <w:rPr>
          <w:rFonts w:ascii="Palatino Linotype" w:eastAsia="MS Mincho" w:hAnsi="Palatino Linotype" w:cs="Arial"/>
          <w:i/>
          <w:sz w:val="24"/>
          <w:szCs w:val="24"/>
          <w:lang w:eastAsia="es-ES"/>
        </w:rPr>
        <w:t>…</w:t>
      </w:r>
    </w:p>
    <w:p w:rsidR="00DC038F" w:rsidRPr="00B06612" w:rsidRDefault="00DC038F" w:rsidP="00B06612">
      <w:pPr>
        <w:pStyle w:val="Prrafodelista"/>
        <w:spacing w:line="360" w:lineRule="auto"/>
        <w:ind w:left="567" w:right="616"/>
        <w:jc w:val="both"/>
        <w:rPr>
          <w:rFonts w:ascii="Palatino Linotype" w:eastAsia="MS Mincho" w:hAnsi="Palatino Linotype" w:cs="Arial"/>
          <w:i/>
          <w:sz w:val="24"/>
          <w:szCs w:val="24"/>
          <w:lang w:eastAsia="es-ES"/>
        </w:rPr>
      </w:pPr>
      <w:r w:rsidRPr="00B06612">
        <w:rPr>
          <w:rFonts w:ascii="Palatino Linotype" w:eastAsia="MS Mincho" w:hAnsi="Palatino Linotype" w:cs="Arial"/>
          <w:i/>
          <w:sz w:val="24"/>
          <w:szCs w:val="24"/>
          <w:lang w:eastAsia="es-ES"/>
        </w:rPr>
        <w:t xml:space="preserve">Las </w:t>
      </w:r>
      <w:r w:rsidRPr="00B06612">
        <w:rPr>
          <w:rFonts w:ascii="Palatino Linotype" w:eastAsia="MS Mincho" w:hAnsi="Palatino Linotype" w:cs="Arial"/>
          <w:b/>
          <w:i/>
          <w:sz w:val="24"/>
          <w:szCs w:val="24"/>
          <w:lang w:eastAsia="es-ES"/>
        </w:rPr>
        <w:t>faltas de los regidores</w:t>
      </w:r>
      <w:r w:rsidRPr="00B06612">
        <w:rPr>
          <w:rFonts w:ascii="Palatino Linotype" w:eastAsia="MS Mincho" w:hAnsi="Palatino Linotype" w:cs="Arial"/>
          <w:i/>
          <w:sz w:val="24"/>
          <w:szCs w:val="24"/>
          <w:lang w:eastAsia="es-ES"/>
        </w:rPr>
        <w:t xml:space="preserve"> </w:t>
      </w:r>
      <w:r w:rsidRPr="00B06612">
        <w:rPr>
          <w:rFonts w:ascii="Palatino Linotype" w:eastAsia="MS Mincho" w:hAnsi="Palatino Linotype" w:cs="Arial"/>
          <w:b/>
          <w:i/>
          <w:sz w:val="24"/>
          <w:szCs w:val="24"/>
          <w:lang w:eastAsia="es-ES"/>
        </w:rPr>
        <w:t>no se cubrirán</w:t>
      </w:r>
      <w:r w:rsidRPr="00B06612">
        <w:rPr>
          <w:rFonts w:ascii="Palatino Linotype" w:eastAsia="MS Mincho" w:hAnsi="Palatino Linotype" w:cs="Arial"/>
          <w:i/>
          <w:sz w:val="24"/>
          <w:szCs w:val="24"/>
          <w:lang w:eastAsia="es-ES"/>
        </w:rPr>
        <w:t xml:space="preserve">, </w:t>
      </w:r>
      <w:r w:rsidRPr="00B06612">
        <w:rPr>
          <w:rFonts w:ascii="Palatino Linotype" w:eastAsia="MS Mincho" w:hAnsi="Palatino Linotype" w:cs="Arial"/>
          <w:b/>
          <w:i/>
          <w:sz w:val="24"/>
          <w:szCs w:val="24"/>
          <w:lang w:eastAsia="es-ES"/>
        </w:rPr>
        <w:t>cuando no excedan de quince días</w:t>
      </w:r>
      <w:r w:rsidRPr="00B06612">
        <w:rPr>
          <w:rFonts w:ascii="Palatino Linotype" w:eastAsia="MS Mincho" w:hAnsi="Palatino Linotype" w:cs="Arial"/>
          <w:i/>
          <w:sz w:val="24"/>
          <w:szCs w:val="24"/>
          <w:lang w:eastAsia="es-ES"/>
        </w:rPr>
        <w:t xml:space="preserve"> y haya el número suficiente de miembros que marca la ley para que los actos del ayuntamiento tengan validez</w:t>
      </w:r>
      <w:r w:rsidRPr="00B06612">
        <w:rPr>
          <w:rFonts w:ascii="Palatino Linotype" w:eastAsia="MS Mincho" w:hAnsi="Palatino Linotype" w:cs="Arial"/>
          <w:b/>
          <w:i/>
          <w:sz w:val="24"/>
          <w:szCs w:val="24"/>
          <w:lang w:eastAsia="es-ES"/>
        </w:rPr>
        <w:t>; cuando</w:t>
      </w:r>
      <w:r w:rsidRPr="00B06612">
        <w:rPr>
          <w:rFonts w:ascii="Palatino Linotype" w:eastAsia="MS Mincho" w:hAnsi="Palatino Linotype" w:cs="Arial"/>
          <w:i/>
          <w:sz w:val="24"/>
          <w:szCs w:val="24"/>
          <w:lang w:eastAsia="es-ES"/>
        </w:rPr>
        <w:t xml:space="preserve"> no haya ese número, o </w:t>
      </w:r>
      <w:r w:rsidRPr="00B06612">
        <w:rPr>
          <w:rFonts w:ascii="Palatino Linotype" w:eastAsia="MS Mincho" w:hAnsi="Palatino Linotype" w:cs="Arial"/>
          <w:b/>
          <w:i/>
          <w:sz w:val="24"/>
          <w:szCs w:val="24"/>
          <w:lang w:eastAsia="es-ES"/>
        </w:rPr>
        <w:t>las faltas excedieran el plazo indicado, se llamará al suplente respectivo.</w:t>
      </w:r>
      <w:r w:rsidRPr="00B06612">
        <w:rPr>
          <w:rFonts w:ascii="Palatino Linotype" w:eastAsia="MS Mincho" w:hAnsi="Palatino Linotype" w:cs="Arial"/>
          <w:i/>
          <w:sz w:val="24"/>
          <w:szCs w:val="24"/>
          <w:lang w:eastAsia="es-ES"/>
        </w:rPr>
        <w:t xml:space="preserve"> </w:t>
      </w:r>
    </w:p>
    <w:p w:rsidR="00DC038F" w:rsidRPr="00B06612" w:rsidRDefault="00DC038F" w:rsidP="00B06612">
      <w:pPr>
        <w:pStyle w:val="Prrafodelista"/>
        <w:spacing w:line="360" w:lineRule="auto"/>
        <w:ind w:left="567" w:right="616"/>
        <w:jc w:val="both"/>
        <w:rPr>
          <w:rFonts w:ascii="Palatino Linotype" w:eastAsia="MS Mincho" w:hAnsi="Palatino Linotype" w:cs="Arial"/>
          <w:i/>
          <w:sz w:val="24"/>
          <w:szCs w:val="24"/>
          <w:lang w:eastAsia="es-ES"/>
        </w:rPr>
      </w:pPr>
    </w:p>
    <w:p w:rsidR="00DC038F" w:rsidRPr="00B06612" w:rsidRDefault="00DC038F" w:rsidP="00B06612">
      <w:pPr>
        <w:pStyle w:val="Prrafodelista"/>
        <w:spacing w:line="360" w:lineRule="auto"/>
        <w:ind w:left="567" w:right="616"/>
        <w:jc w:val="both"/>
        <w:rPr>
          <w:rFonts w:ascii="Palatino Linotype" w:eastAsia="MS Mincho" w:hAnsi="Palatino Linotype" w:cs="Arial"/>
          <w:i/>
          <w:sz w:val="24"/>
          <w:szCs w:val="24"/>
          <w:lang w:eastAsia="es-ES"/>
        </w:rPr>
      </w:pPr>
      <w:r w:rsidRPr="00B06612">
        <w:rPr>
          <w:rFonts w:ascii="Palatino Linotype" w:eastAsia="MS Mincho" w:hAnsi="Palatino Linotype" w:cs="Arial"/>
          <w:i/>
          <w:sz w:val="24"/>
          <w:szCs w:val="24"/>
          <w:lang w:eastAsia="es-ES"/>
        </w:rPr>
        <w:t>Para cubrir las faltas definitivas de los miembros de los ayuntamientos, serán llamados los suplentes respectivos. Si faltase también el suplente para cubrir la vacante que corresponda, la Legislatura, a propuesta del Ejecutivo, designará a los sustitutos.</w:t>
      </w:r>
    </w:p>
    <w:p w:rsidR="00DC038F" w:rsidRPr="00B06612" w:rsidRDefault="00DC038F" w:rsidP="00B06612">
      <w:pPr>
        <w:pStyle w:val="Prrafodelista"/>
        <w:spacing w:line="360" w:lineRule="auto"/>
        <w:ind w:left="567" w:right="616"/>
        <w:jc w:val="both"/>
        <w:rPr>
          <w:rFonts w:ascii="Palatino Linotype" w:eastAsia="MS Mincho" w:hAnsi="Palatino Linotype" w:cs="Arial"/>
          <w:i/>
          <w:sz w:val="24"/>
          <w:szCs w:val="24"/>
          <w:lang w:val="es-ES_tradnl" w:eastAsia="es-ES"/>
        </w:rPr>
      </w:pPr>
      <w:r w:rsidRPr="00B06612">
        <w:rPr>
          <w:rFonts w:ascii="Palatino Linotype" w:eastAsia="MS Mincho" w:hAnsi="Palatino Linotype" w:cs="Arial"/>
          <w:i/>
          <w:sz w:val="24"/>
          <w:szCs w:val="24"/>
          <w:lang w:eastAsia="es-ES"/>
        </w:rPr>
        <w:t>…</w:t>
      </w:r>
    </w:p>
    <w:p w:rsidR="00C40A1B" w:rsidRPr="00B06612" w:rsidRDefault="00375DDA" w:rsidP="00B06612">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06612">
        <w:rPr>
          <w:rFonts w:ascii="Palatino Linotype" w:eastAsia="MS Mincho" w:hAnsi="Palatino Linotype" w:cs="Arial"/>
          <w:sz w:val="24"/>
          <w:szCs w:val="24"/>
          <w:lang w:val="es-ES_tradnl" w:eastAsia="es-ES"/>
        </w:rPr>
        <w:t>De lo anterior, se concluye que la información correspondiente a las faltas debe ser pública en razón que es de interés público conocer si los servidores públicos elegidos por elección popular cumplen con lo establecido por la normatividad y estos asiste a dar cumplimien</w:t>
      </w:r>
      <w:r w:rsidR="00860CB0" w:rsidRPr="00B06612">
        <w:rPr>
          <w:rFonts w:ascii="Palatino Linotype" w:eastAsia="MS Mincho" w:hAnsi="Palatino Linotype" w:cs="Arial"/>
          <w:sz w:val="24"/>
          <w:szCs w:val="24"/>
          <w:lang w:val="es-ES_tradnl" w:eastAsia="es-ES"/>
        </w:rPr>
        <w:t xml:space="preserve">to de su cargo que le fue designado. Por lo anterior se ordena al </w:t>
      </w:r>
      <w:r w:rsidR="00860CB0" w:rsidRPr="00B06612">
        <w:rPr>
          <w:rFonts w:ascii="Palatino Linotype" w:eastAsia="MS Mincho" w:hAnsi="Palatino Linotype" w:cs="Arial"/>
          <w:b/>
          <w:sz w:val="24"/>
          <w:szCs w:val="24"/>
          <w:lang w:val="es-ES_tradnl" w:eastAsia="es-ES"/>
        </w:rPr>
        <w:t>SUJETO OBLIGADO</w:t>
      </w:r>
      <w:r w:rsidR="00860CB0" w:rsidRPr="00B06612">
        <w:rPr>
          <w:rFonts w:ascii="Palatino Linotype" w:eastAsia="MS Mincho" w:hAnsi="Palatino Linotype" w:cs="Arial"/>
          <w:sz w:val="24"/>
          <w:szCs w:val="24"/>
          <w:lang w:val="es-ES_tradnl" w:eastAsia="es-ES"/>
        </w:rPr>
        <w:t xml:space="preserve"> una nueva versión pública de la información y se acompañe el respectivo acuerdo emitido por el Comité de Transparencia, tal como lo establece el siguiente apartado.</w:t>
      </w:r>
    </w:p>
    <w:p w:rsidR="00AD1FE1" w:rsidRPr="00B06612" w:rsidRDefault="00AD1FE1" w:rsidP="00B06612">
      <w:pPr>
        <w:keepNext/>
        <w:keepLines/>
        <w:spacing w:before="240" w:after="0" w:line="360" w:lineRule="auto"/>
        <w:outlineLvl w:val="0"/>
        <w:rPr>
          <w:rFonts w:ascii="Palatino Linotype" w:eastAsia="MS Gothic" w:hAnsi="Palatino Linotype" w:cstheme="majorBidi"/>
          <w:b/>
          <w:sz w:val="24"/>
          <w:szCs w:val="24"/>
          <w:lang w:val="es-ES_tradnl"/>
        </w:rPr>
      </w:pPr>
      <w:bookmarkStart w:id="75" w:name="_Toc536726465"/>
      <w:bookmarkStart w:id="76" w:name="_Toc12379999"/>
      <w:r w:rsidRPr="00B06612">
        <w:rPr>
          <w:rFonts w:ascii="Palatino Linotype" w:eastAsia="MS Gothic" w:hAnsi="Palatino Linotype" w:cstheme="majorBidi"/>
          <w:b/>
          <w:sz w:val="24"/>
          <w:szCs w:val="24"/>
          <w:lang w:val="es-ES_tradnl"/>
        </w:rPr>
        <w:t>QUINTO. De la Versión Pública</w:t>
      </w:r>
      <w:bookmarkEnd w:id="75"/>
      <w:bookmarkEnd w:id="76"/>
      <w:r w:rsidRPr="00B06612">
        <w:rPr>
          <w:rFonts w:ascii="Palatino Linotype" w:eastAsia="MS Gothic" w:hAnsi="Palatino Linotype" w:cstheme="majorBidi"/>
          <w:b/>
          <w:sz w:val="24"/>
          <w:szCs w:val="24"/>
          <w:lang w:val="es-ES_tradnl"/>
        </w:rPr>
        <w:t xml:space="preserve"> </w:t>
      </w:r>
    </w:p>
    <w:p w:rsidR="00AD1FE1" w:rsidRPr="00B06612" w:rsidRDefault="00AD1FE1" w:rsidP="00B06612">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AD1FE1" w:rsidRPr="00B06612" w:rsidRDefault="00AD1FE1" w:rsidP="00B06612">
      <w:pPr>
        <w:numPr>
          <w:ilvl w:val="0"/>
          <w:numId w:val="2"/>
        </w:numPr>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B06612">
        <w:rPr>
          <w:rFonts w:ascii="Palatino Linotype" w:eastAsia="Calibri" w:hAnsi="Palatino Linotype" w:cs="Arial"/>
          <w:sz w:val="24"/>
          <w:szCs w:val="24"/>
          <w:lang w:val="es-ES_tradnl" w:eastAsia="es-MX"/>
        </w:rPr>
        <w:t xml:space="preserve">Como ya se ha señalado en el considerando anteriormente </w:t>
      </w:r>
      <w:r w:rsidRPr="00B06612">
        <w:rPr>
          <w:rFonts w:ascii="Palatino Linotype" w:eastAsia="Calibri" w:hAnsi="Palatino Linotype" w:cs="Arial"/>
          <w:sz w:val="24"/>
          <w:szCs w:val="24"/>
          <w:lang w:val="es-ES" w:eastAsia="es-MX"/>
        </w:rPr>
        <w:t xml:space="preserve">el </w:t>
      </w:r>
      <w:r w:rsidRPr="00B06612">
        <w:rPr>
          <w:rFonts w:ascii="Palatino Linotype" w:eastAsia="Calibri" w:hAnsi="Palatino Linotype" w:cs="Arial"/>
          <w:b/>
          <w:sz w:val="24"/>
          <w:szCs w:val="24"/>
          <w:lang w:val="es-ES" w:eastAsia="es-MX"/>
        </w:rPr>
        <w:t>SUJETO OBLIGADO,</w:t>
      </w:r>
      <w:r w:rsidR="00860CB0" w:rsidRPr="00B06612">
        <w:rPr>
          <w:rFonts w:ascii="Palatino Linotype" w:eastAsia="Calibri" w:hAnsi="Palatino Linotype" w:cs="Arial"/>
          <w:sz w:val="24"/>
          <w:szCs w:val="24"/>
          <w:lang w:val="es-ES" w:eastAsia="es-MX"/>
        </w:rPr>
        <w:t xml:space="preserve"> deberá entregar la</w:t>
      </w:r>
      <w:r w:rsidRPr="00B06612">
        <w:rPr>
          <w:rFonts w:ascii="Palatino Linotype" w:eastAsia="Calibri" w:hAnsi="Palatino Linotype" w:cs="Arial"/>
          <w:sz w:val="24"/>
          <w:szCs w:val="24"/>
          <w:lang w:val="es-ES" w:eastAsia="es-MX"/>
        </w:rPr>
        <w:t xml:space="preserve"> Nómina General </w:t>
      </w:r>
      <w:r w:rsidR="00860CB0" w:rsidRPr="00B06612">
        <w:rPr>
          <w:rFonts w:ascii="Palatino Linotype" w:eastAsia="Calibri" w:hAnsi="Palatino Linotype" w:cs="Arial"/>
          <w:sz w:val="24"/>
          <w:szCs w:val="24"/>
          <w:lang w:val="es-ES" w:eastAsia="es-MX"/>
        </w:rPr>
        <w:t>correspondiente a los Regidores del Ayuntamiento de Metepec</w:t>
      </w:r>
      <w:r w:rsidR="00860CB0" w:rsidRPr="00B06612">
        <w:rPr>
          <w:rFonts w:ascii="Palatino Linotype" w:eastAsia="Calibri" w:hAnsi="Palatino Linotype" w:cs="Arial"/>
          <w:sz w:val="24"/>
          <w:szCs w:val="24"/>
          <w:lang w:val="es-ES_tradnl" w:eastAsia="es-MX"/>
        </w:rPr>
        <w:t>, correspondiente a la primera</w:t>
      </w:r>
      <w:r w:rsidRPr="00B06612">
        <w:rPr>
          <w:rFonts w:ascii="Palatino Linotype" w:eastAsia="Calibri" w:hAnsi="Palatino Linotype" w:cs="Arial"/>
          <w:sz w:val="24"/>
          <w:szCs w:val="24"/>
          <w:lang w:val="es-ES_tradnl" w:eastAsia="es-MX"/>
        </w:rPr>
        <w:t xml:space="preserve"> quinc</w:t>
      </w:r>
      <w:r w:rsidR="00860CB0" w:rsidRPr="00B06612">
        <w:rPr>
          <w:rFonts w:ascii="Palatino Linotype" w:eastAsia="Calibri" w:hAnsi="Palatino Linotype" w:cs="Arial"/>
          <w:sz w:val="24"/>
          <w:szCs w:val="24"/>
          <w:lang w:val="es-ES_tradnl" w:eastAsia="es-MX"/>
        </w:rPr>
        <w:t>ena de abril</w:t>
      </w:r>
      <w:r w:rsidRPr="00B06612">
        <w:rPr>
          <w:rFonts w:ascii="Palatino Linotype" w:eastAsia="Calibri" w:hAnsi="Palatino Linotype" w:cs="Arial"/>
          <w:sz w:val="24"/>
          <w:szCs w:val="24"/>
          <w:lang w:val="es-ES_tradnl" w:eastAsia="es-MX"/>
        </w:rPr>
        <w:t xml:space="preserve"> de la presente anualidad.</w:t>
      </w:r>
    </w:p>
    <w:p w:rsidR="00B06612" w:rsidRPr="00B06612" w:rsidRDefault="00B06612" w:rsidP="00B06612">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AD1FE1" w:rsidRDefault="00AD1FE1" w:rsidP="00B0661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06612">
        <w:rPr>
          <w:rFonts w:ascii="Palatino Linotype" w:eastAsia="MS Mincho" w:hAnsi="Palatino Linotype" w:cs="Arial"/>
          <w:color w:val="000000"/>
          <w:sz w:val="24"/>
          <w:szCs w:val="24"/>
          <w:lang w:val="es-ES_tradnl" w:eastAsia="es-ES"/>
        </w:rPr>
        <w:t xml:space="preserve">Asimismo 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06612">
        <w:rPr>
          <w:rFonts w:ascii="Palatino Linotype" w:eastAsia="MS Mincho" w:hAnsi="Palatino Linotype" w:cs="Arial"/>
          <w:b/>
          <w:color w:val="000000"/>
          <w:sz w:val="24"/>
          <w:szCs w:val="24"/>
          <w:u w:val="single"/>
          <w:lang w:val="es-ES_tradnl" w:eastAsia="es-ES"/>
        </w:rPr>
        <w:t>versión pública</w:t>
      </w:r>
      <w:r w:rsidRPr="00B06612">
        <w:rPr>
          <w:rFonts w:ascii="Palatino Linotype" w:eastAsia="MS Mincho" w:hAnsi="Palatino Linotype" w:cs="Arial"/>
          <w:color w:val="000000"/>
          <w:sz w:val="24"/>
          <w:szCs w:val="24"/>
          <w:lang w:val="es-ES_tradnl" w:eastAsia="es-ES"/>
        </w:rPr>
        <w:t xml:space="preserve"> </w:t>
      </w:r>
      <w:r w:rsidRPr="00B06612">
        <w:rPr>
          <w:rFonts w:ascii="Palatino Linotype" w:eastAsia="MS Mincho" w:hAnsi="Palatino Linotype" w:cs="Arial"/>
          <w:sz w:val="24"/>
          <w:szCs w:val="24"/>
          <w:lang w:val="es-ES_tradnl" w:eastAsia="es-ES"/>
        </w:rPr>
        <w:t>del</w:t>
      </w:r>
      <w:r w:rsidRPr="00B06612">
        <w:rPr>
          <w:rFonts w:ascii="Palatino Linotype" w:eastAsia="MS Mincho" w:hAnsi="Palatino Linotype" w:cs="Arial"/>
          <w:color w:val="000000"/>
          <w:sz w:val="24"/>
          <w:szCs w:val="24"/>
          <w:lang w:val="es-ES_tradnl" w:eastAsia="es-ES"/>
        </w:rPr>
        <w:t xml:space="preserve"> documento por las consideraciones que se estimen pertinentes.</w:t>
      </w:r>
    </w:p>
    <w:p w:rsidR="00B06612" w:rsidRPr="00B06612" w:rsidRDefault="00B06612" w:rsidP="00B06612">
      <w:pPr>
        <w:spacing w:after="0" w:line="360" w:lineRule="auto"/>
        <w:contextualSpacing/>
        <w:jc w:val="both"/>
        <w:rPr>
          <w:rFonts w:ascii="Palatino Linotype" w:eastAsia="MS Mincho" w:hAnsi="Palatino Linotype" w:cs="Times New Roman"/>
          <w:sz w:val="24"/>
          <w:szCs w:val="24"/>
          <w:lang w:val="es-ES_tradnl" w:eastAsia="es-ES"/>
        </w:rPr>
      </w:pPr>
    </w:p>
    <w:p w:rsidR="00AD1FE1" w:rsidRPr="00B06612" w:rsidRDefault="00AD1FE1" w:rsidP="00B06612">
      <w:pPr>
        <w:numPr>
          <w:ilvl w:val="0"/>
          <w:numId w:val="5"/>
        </w:numPr>
        <w:spacing w:line="360" w:lineRule="auto"/>
        <w:ind w:left="0" w:firstLine="0"/>
        <w:contextualSpacing/>
        <w:rPr>
          <w:rFonts w:ascii="Palatino Linotype" w:eastAsia="MS Gothic" w:hAnsi="Palatino Linotype" w:cs="Times New Roman"/>
          <w:b/>
          <w:sz w:val="24"/>
          <w:szCs w:val="24"/>
          <w:lang w:val="es-ES_tradnl"/>
        </w:rPr>
      </w:pPr>
      <w:bookmarkStart w:id="77" w:name="_Toc487025371"/>
      <w:bookmarkStart w:id="78" w:name="_Toc493790439"/>
      <w:bookmarkStart w:id="79" w:name="_Toc495606559"/>
      <w:bookmarkStart w:id="80" w:name="_Toc517362231"/>
      <w:bookmarkStart w:id="81" w:name="_Toc523159043"/>
      <w:bookmarkStart w:id="82" w:name="_Toc536726466"/>
      <w:r w:rsidRPr="00B06612">
        <w:rPr>
          <w:rFonts w:ascii="Palatino Linotype" w:eastAsia="MS Gothic" w:hAnsi="Palatino Linotype" w:cs="Times New Roman"/>
          <w:b/>
          <w:sz w:val="24"/>
          <w:szCs w:val="24"/>
          <w:lang w:val="es-ES_tradnl"/>
        </w:rPr>
        <w:t>Requisitos previos.</w:t>
      </w:r>
      <w:bookmarkEnd w:id="77"/>
      <w:bookmarkEnd w:id="78"/>
      <w:bookmarkEnd w:id="79"/>
      <w:bookmarkEnd w:id="80"/>
      <w:bookmarkEnd w:id="81"/>
      <w:bookmarkEnd w:id="82"/>
    </w:p>
    <w:p w:rsidR="00AD1FE1" w:rsidRPr="00B06612" w:rsidRDefault="00AD1FE1" w:rsidP="00B06612">
      <w:pPr>
        <w:spacing w:after="0" w:line="360" w:lineRule="auto"/>
        <w:rPr>
          <w:rFonts w:ascii="Palatino Linotype" w:eastAsia="MS Mincho" w:hAnsi="Palatino Linotype" w:cs="Times New Roman"/>
          <w:noProof/>
          <w:sz w:val="24"/>
          <w:szCs w:val="24"/>
          <w:lang w:val="es-ES_tradnl"/>
        </w:rPr>
      </w:pPr>
    </w:p>
    <w:p w:rsidR="00AD1FE1" w:rsidRPr="00B06612" w:rsidRDefault="00AD1FE1" w:rsidP="00B06612">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B06612">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AD1FE1" w:rsidRPr="00B06612" w:rsidRDefault="00AD1FE1" w:rsidP="00B06612">
      <w:pPr>
        <w:spacing w:after="0" w:line="360" w:lineRule="auto"/>
        <w:contextualSpacing/>
        <w:jc w:val="both"/>
        <w:rPr>
          <w:rFonts w:ascii="Palatino Linotype" w:eastAsia="Calibri" w:hAnsi="Palatino Linotype" w:cs="Arial"/>
          <w:sz w:val="24"/>
          <w:szCs w:val="24"/>
          <w:lang w:val="es-ES_tradnl" w:eastAsia="es-MX"/>
        </w:rPr>
      </w:pPr>
    </w:p>
    <w:p w:rsidR="00AD1FE1" w:rsidRPr="00B06612" w:rsidRDefault="00AD1FE1" w:rsidP="00B06612">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B06612">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AD1FE1" w:rsidRPr="00B06612" w:rsidRDefault="00AD1FE1" w:rsidP="00B06612">
      <w:pPr>
        <w:spacing w:after="0" w:line="360" w:lineRule="auto"/>
        <w:contextualSpacing/>
        <w:rPr>
          <w:rFonts w:ascii="Palatino Linotype" w:eastAsia="Calibri" w:hAnsi="Palatino Linotype" w:cs="Arial"/>
          <w:sz w:val="24"/>
          <w:szCs w:val="24"/>
          <w:lang w:val="es-ES_tradnl" w:eastAsia="es-MX"/>
        </w:rPr>
      </w:pPr>
    </w:p>
    <w:p w:rsidR="00AD1FE1" w:rsidRPr="00B06612" w:rsidRDefault="00AD1FE1" w:rsidP="00B06612">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B06612">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AD1FE1" w:rsidRPr="00B06612" w:rsidRDefault="00AD1FE1" w:rsidP="00B06612">
      <w:pPr>
        <w:spacing w:after="0" w:line="360" w:lineRule="auto"/>
        <w:contextualSpacing/>
        <w:rPr>
          <w:rFonts w:ascii="Palatino Linotype" w:eastAsia="Calibri" w:hAnsi="Palatino Linotype" w:cs="Arial"/>
          <w:sz w:val="24"/>
          <w:szCs w:val="24"/>
          <w:lang w:val="es-ES_tradnl" w:eastAsia="es-MX"/>
        </w:rPr>
      </w:pPr>
    </w:p>
    <w:p w:rsidR="00AD1FE1" w:rsidRPr="00B06612" w:rsidRDefault="00AD1FE1" w:rsidP="00B06612">
      <w:pPr>
        <w:numPr>
          <w:ilvl w:val="0"/>
          <w:numId w:val="5"/>
        </w:numPr>
        <w:spacing w:line="360" w:lineRule="auto"/>
        <w:ind w:left="0" w:firstLine="0"/>
        <w:contextualSpacing/>
        <w:rPr>
          <w:rFonts w:ascii="Palatino Linotype" w:eastAsia="MS Gothic" w:hAnsi="Palatino Linotype" w:cs="Times New Roman"/>
          <w:b/>
          <w:sz w:val="24"/>
          <w:szCs w:val="24"/>
          <w:lang w:val="es-ES_tradnl"/>
        </w:rPr>
      </w:pPr>
      <w:bookmarkStart w:id="83" w:name="_Toc487025372"/>
      <w:bookmarkStart w:id="84" w:name="_Toc493790440"/>
      <w:bookmarkStart w:id="85" w:name="_Toc495606560"/>
      <w:bookmarkStart w:id="86" w:name="_Toc517362232"/>
      <w:bookmarkStart w:id="87" w:name="_Toc523159044"/>
      <w:bookmarkStart w:id="88" w:name="_Toc536726467"/>
      <w:r w:rsidRPr="00B06612">
        <w:rPr>
          <w:rFonts w:ascii="Palatino Linotype" w:eastAsia="MS Gothic" w:hAnsi="Palatino Linotype" w:cs="Times New Roman"/>
          <w:b/>
          <w:sz w:val="24"/>
          <w:szCs w:val="24"/>
          <w:lang w:val="es-ES_tradnl"/>
        </w:rPr>
        <w:t>Supuesto de clasificación.</w:t>
      </w:r>
      <w:bookmarkEnd w:id="83"/>
      <w:bookmarkEnd w:id="84"/>
      <w:bookmarkEnd w:id="85"/>
      <w:bookmarkEnd w:id="86"/>
      <w:bookmarkEnd w:id="87"/>
      <w:bookmarkEnd w:id="88"/>
    </w:p>
    <w:p w:rsidR="00AD1FE1" w:rsidRPr="00B06612" w:rsidRDefault="00AD1FE1" w:rsidP="00B06612">
      <w:pPr>
        <w:spacing w:after="0" w:line="360" w:lineRule="auto"/>
        <w:rPr>
          <w:rFonts w:ascii="Palatino Linotype" w:eastAsia="MS Mincho" w:hAnsi="Palatino Linotype" w:cs="Times New Roman"/>
          <w:noProof/>
          <w:sz w:val="24"/>
          <w:szCs w:val="24"/>
          <w:lang w:val="es-ES_tradnl"/>
        </w:rPr>
      </w:pPr>
    </w:p>
    <w:p w:rsidR="00AD1FE1" w:rsidRPr="00B06612" w:rsidRDefault="00AD1FE1" w:rsidP="00B06612">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B06612">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B06612">
        <w:rPr>
          <w:rFonts w:ascii="Palatino Linotype" w:eastAsia="MS Mincho" w:hAnsi="Palatino Linotype" w:cs="Arial"/>
          <w:sz w:val="24"/>
          <w:szCs w:val="24"/>
          <w:lang w:val="es-ES_tradnl" w:eastAsia="es-ES"/>
        </w:rPr>
        <w:t>Acceso</w:t>
      </w:r>
      <w:r w:rsidRPr="00B06612">
        <w:rPr>
          <w:rFonts w:ascii="Palatino Linotype" w:eastAsia="Calibri" w:hAnsi="Palatino Linotype" w:cs="Arial"/>
          <w:sz w:val="24"/>
          <w:szCs w:val="24"/>
          <w:lang w:val="es-ES_tradnl" w:eastAsia="es-MX"/>
        </w:rPr>
        <w:t xml:space="preserve"> a la Información Pública del Estado de México y Municipios.</w:t>
      </w:r>
    </w:p>
    <w:p w:rsidR="00AD1FE1" w:rsidRPr="00B06612" w:rsidRDefault="00AD1FE1" w:rsidP="00B06612">
      <w:pPr>
        <w:spacing w:after="0" w:line="360" w:lineRule="auto"/>
        <w:contextualSpacing/>
        <w:jc w:val="both"/>
        <w:rPr>
          <w:rFonts w:ascii="Palatino Linotype" w:eastAsia="Calibri" w:hAnsi="Palatino Linotype" w:cs="Arial"/>
          <w:sz w:val="24"/>
          <w:szCs w:val="24"/>
          <w:lang w:val="es-ES_tradnl" w:eastAsia="es-MX"/>
        </w:rPr>
      </w:pPr>
    </w:p>
    <w:p w:rsidR="00AD1FE1" w:rsidRPr="00B06612" w:rsidRDefault="00AD1FE1" w:rsidP="00B06612">
      <w:pPr>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B06612">
        <w:rPr>
          <w:rFonts w:ascii="Palatino Linotype" w:eastAsia="MS Mincho" w:hAnsi="Palatino Linotype" w:cs="Arial"/>
          <w:b/>
          <w:bCs/>
          <w:i/>
          <w:sz w:val="24"/>
          <w:szCs w:val="24"/>
          <w:lang w:val="es-ES_tradnl" w:eastAsia="es-ES"/>
        </w:rPr>
        <w:t xml:space="preserve">Artículo 3. </w:t>
      </w:r>
      <w:r w:rsidRPr="00B06612">
        <w:rPr>
          <w:rFonts w:ascii="Palatino Linotype" w:eastAsia="MS Mincho" w:hAnsi="Palatino Linotype" w:cs="Arial"/>
          <w:i/>
          <w:sz w:val="24"/>
          <w:szCs w:val="24"/>
          <w:lang w:val="es-ES_tradnl" w:eastAsia="es-ES"/>
        </w:rPr>
        <w:t>Para los efectos de la presente Ley se entenderá por:</w:t>
      </w:r>
    </w:p>
    <w:p w:rsidR="00AD1FE1" w:rsidRPr="00B06612" w:rsidRDefault="00AD1FE1" w:rsidP="00B0661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B06612">
        <w:rPr>
          <w:rFonts w:ascii="Palatino Linotype" w:eastAsia="Calibri" w:hAnsi="Palatino Linotype" w:cs="Arial"/>
          <w:i/>
          <w:sz w:val="24"/>
          <w:szCs w:val="24"/>
          <w:lang w:val="es-ES_tradnl" w:eastAsia="es-MX"/>
        </w:rPr>
        <w:t xml:space="preserve"> (…)</w:t>
      </w:r>
    </w:p>
    <w:p w:rsidR="00AD1FE1" w:rsidRPr="00B06612" w:rsidRDefault="00AD1FE1" w:rsidP="00B0661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B06612">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AD1FE1" w:rsidRPr="00B06612" w:rsidRDefault="00AD1FE1" w:rsidP="00B0661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B06612">
        <w:rPr>
          <w:rFonts w:ascii="Palatino Linotype" w:eastAsia="Calibri" w:hAnsi="Palatino Linotype" w:cs="Arial"/>
          <w:i/>
          <w:sz w:val="24"/>
          <w:szCs w:val="24"/>
          <w:lang w:val="es-ES_tradnl" w:eastAsia="es-MX"/>
        </w:rPr>
        <w:t>(…)</w:t>
      </w:r>
    </w:p>
    <w:p w:rsidR="00AD1FE1" w:rsidRPr="00B06612" w:rsidRDefault="00AD1FE1" w:rsidP="00B0661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B06612">
        <w:rPr>
          <w:rFonts w:ascii="Palatino Linotype" w:eastAsia="Calibri" w:hAnsi="Palatino Linotype" w:cs="Arial"/>
          <w:i/>
          <w:sz w:val="24"/>
          <w:szCs w:val="24"/>
          <w:lang w:val="es-ES_tradnl" w:eastAsia="es-MX"/>
        </w:rPr>
        <w:t>XX. Información clasificada: Aquella considerada por la presente Ley como reservada o confidencial;</w:t>
      </w:r>
    </w:p>
    <w:p w:rsidR="00AD1FE1" w:rsidRPr="00B06612" w:rsidRDefault="00AD1FE1" w:rsidP="00B0661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B06612">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D1FE1" w:rsidRPr="00B06612" w:rsidRDefault="00AD1FE1" w:rsidP="00B0661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B06612">
        <w:rPr>
          <w:rFonts w:ascii="Palatino Linotype" w:eastAsia="Calibri" w:hAnsi="Palatino Linotype" w:cs="Arial"/>
          <w:i/>
          <w:sz w:val="24"/>
          <w:szCs w:val="24"/>
          <w:lang w:val="es-ES_tradnl" w:eastAsia="es-MX"/>
        </w:rPr>
        <w:t>(…)</w:t>
      </w:r>
    </w:p>
    <w:p w:rsidR="00AD1FE1" w:rsidRPr="00B06612" w:rsidRDefault="00AD1FE1" w:rsidP="00B0661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B06612">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AD1FE1" w:rsidRPr="00B06612" w:rsidRDefault="00AD1FE1" w:rsidP="00B0661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B06612">
        <w:rPr>
          <w:rFonts w:ascii="Palatino Linotype" w:eastAsia="Calibri" w:hAnsi="Palatino Linotype" w:cs="Arial"/>
          <w:i/>
          <w:sz w:val="24"/>
          <w:szCs w:val="24"/>
          <w:lang w:val="es-ES_tradnl" w:eastAsia="es-MX"/>
        </w:rPr>
        <w:t>(…)</w:t>
      </w:r>
    </w:p>
    <w:p w:rsidR="00AD1FE1" w:rsidRPr="00B06612" w:rsidRDefault="00AD1FE1" w:rsidP="00B0661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B06612">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AD1FE1" w:rsidRPr="00B06612" w:rsidRDefault="00AD1FE1" w:rsidP="00B0661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B06612">
        <w:rPr>
          <w:rFonts w:ascii="Palatino Linotype" w:eastAsia="Calibri" w:hAnsi="Palatino Linotype" w:cs="Arial"/>
          <w:i/>
          <w:sz w:val="24"/>
          <w:szCs w:val="24"/>
          <w:lang w:val="es-ES_tradnl" w:eastAsia="es-MX"/>
        </w:rPr>
        <w:t>(…)</w:t>
      </w:r>
    </w:p>
    <w:p w:rsidR="00AD1FE1" w:rsidRPr="00B06612" w:rsidRDefault="00AD1FE1" w:rsidP="00B0661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B06612">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AD1FE1" w:rsidRPr="00B06612" w:rsidRDefault="00AD1FE1" w:rsidP="00B0661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B06612">
        <w:rPr>
          <w:rFonts w:ascii="Palatino Linotype" w:eastAsia="Calibri" w:hAnsi="Palatino Linotype" w:cs="Arial"/>
          <w:i/>
          <w:sz w:val="24"/>
          <w:szCs w:val="24"/>
          <w:lang w:val="es-ES_tradnl" w:eastAsia="es-MX"/>
        </w:rPr>
        <w:t>(…)</w:t>
      </w:r>
    </w:p>
    <w:p w:rsidR="00AD1FE1" w:rsidRPr="00B06612" w:rsidRDefault="00AD1FE1" w:rsidP="00B0661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B06612">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AD1FE1" w:rsidRPr="00B06612" w:rsidRDefault="00AD1FE1" w:rsidP="00B0661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B06612">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B06612">
        <w:rPr>
          <w:rFonts w:ascii="Palatino Linotype" w:eastAsia="Calibri" w:hAnsi="Palatino Linotype" w:cs="Arial"/>
          <w:i/>
          <w:sz w:val="24"/>
          <w:szCs w:val="24"/>
          <w:lang w:val="es-ES_tradnl" w:eastAsia="es-MX"/>
        </w:rPr>
        <w:t>jurídico</w:t>
      </w:r>
      <w:proofErr w:type="gramEnd"/>
      <w:r w:rsidRPr="00B06612">
        <w:rPr>
          <w:rFonts w:ascii="Palatino Linotype" w:eastAsia="Calibri" w:hAnsi="Palatino Linotype" w:cs="Arial"/>
          <w:i/>
          <w:sz w:val="24"/>
          <w:szCs w:val="24"/>
          <w:lang w:val="es-ES_tradnl" w:eastAsia="es-MX"/>
        </w:rPr>
        <w:t xml:space="preserve"> colectiva identificada o identificable;</w:t>
      </w:r>
    </w:p>
    <w:p w:rsidR="00AD1FE1" w:rsidRPr="00B06612" w:rsidRDefault="00AD1FE1" w:rsidP="00B0661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B06612">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AD1FE1" w:rsidRPr="00B06612" w:rsidRDefault="00AD1FE1" w:rsidP="00B0661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B06612">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AD1FE1" w:rsidRPr="00B06612" w:rsidRDefault="00AD1FE1" w:rsidP="00B06612">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p>
    <w:p w:rsidR="00AD1FE1" w:rsidRPr="00B06612" w:rsidRDefault="00AD1FE1" w:rsidP="00B06612">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B06612">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AD1FE1" w:rsidRPr="00B06612" w:rsidRDefault="00AD1FE1" w:rsidP="00B06612">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AD1FE1" w:rsidRPr="00B06612" w:rsidRDefault="00AD1FE1" w:rsidP="00B06612">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B06612">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B06612">
        <w:rPr>
          <w:rFonts w:ascii="Palatino Linotype" w:eastAsia="MS Mincho" w:hAnsi="Palatino Linotype" w:cs="Arial"/>
          <w:sz w:val="24"/>
          <w:szCs w:val="24"/>
          <w:vertAlign w:val="superscript"/>
          <w:lang w:val="es-ES_tradnl" w:eastAsia="es-ES"/>
        </w:rPr>
        <w:footnoteReference w:id="2"/>
      </w:r>
      <w:r w:rsidRPr="00B06612">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AD1FE1" w:rsidRPr="00B06612" w:rsidRDefault="00AD1FE1" w:rsidP="00B06612">
      <w:pPr>
        <w:spacing w:after="0" w:line="360" w:lineRule="auto"/>
        <w:contextualSpacing/>
        <w:rPr>
          <w:rFonts w:ascii="Palatino Linotype" w:eastAsia="Calibri" w:hAnsi="Palatino Linotype" w:cs="Arial"/>
          <w:sz w:val="24"/>
          <w:szCs w:val="24"/>
          <w:lang w:val="es-ES_tradnl" w:eastAsia="es-MX"/>
        </w:rPr>
      </w:pPr>
    </w:p>
    <w:p w:rsidR="00AD1FE1" w:rsidRDefault="00AD1FE1" w:rsidP="00B06612">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B06612">
        <w:rPr>
          <w:rFonts w:ascii="Palatino Linotype" w:eastAsia="MS Mincho" w:hAnsi="Palatino Linotype" w:cs="Arial"/>
          <w:sz w:val="24"/>
          <w:szCs w:val="24"/>
          <w:lang w:val="es-ES_tradnl" w:eastAsia="es-ES"/>
        </w:rPr>
        <w:t xml:space="preserve">Una vez hecho lo </w:t>
      </w:r>
      <w:r w:rsidRPr="00B06612">
        <w:rPr>
          <w:rFonts w:ascii="Palatino Linotype" w:eastAsia="MS Mincho" w:hAnsi="Palatino Linotype" w:cs="Times New Roman"/>
          <w:sz w:val="24"/>
          <w:szCs w:val="24"/>
          <w:lang w:val="es-ES_tradnl" w:eastAsia="es-ES"/>
        </w:rPr>
        <w:t>anterior</w:t>
      </w:r>
      <w:r w:rsidRPr="00B06612">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B06612" w:rsidRPr="00B06612" w:rsidRDefault="00B06612" w:rsidP="00B06612">
      <w:pPr>
        <w:spacing w:after="0" w:line="360" w:lineRule="auto"/>
        <w:contextualSpacing/>
        <w:jc w:val="both"/>
        <w:rPr>
          <w:rFonts w:ascii="Palatino Linotype" w:eastAsia="Calibri" w:hAnsi="Palatino Linotype" w:cs="Arial"/>
          <w:sz w:val="24"/>
          <w:szCs w:val="24"/>
          <w:lang w:val="es-ES_tradnl" w:eastAsia="es-MX"/>
        </w:rPr>
      </w:pPr>
    </w:p>
    <w:p w:rsidR="00AD1FE1" w:rsidRPr="00B06612" w:rsidRDefault="00AD1FE1" w:rsidP="00B06612">
      <w:pPr>
        <w:spacing w:line="360" w:lineRule="auto"/>
        <w:rPr>
          <w:rFonts w:ascii="Palatino Linotype" w:eastAsia="MS Gothic" w:hAnsi="Palatino Linotype" w:cs="Times New Roman"/>
          <w:b/>
          <w:sz w:val="24"/>
          <w:szCs w:val="24"/>
          <w:lang w:val="es-ES_tradnl"/>
        </w:rPr>
      </w:pPr>
      <w:bookmarkStart w:id="89" w:name="_Toc486509923"/>
      <w:bookmarkStart w:id="90" w:name="_Toc487025373"/>
      <w:bookmarkStart w:id="91" w:name="_Toc493790441"/>
      <w:bookmarkStart w:id="92" w:name="_Toc495606561"/>
      <w:bookmarkStart w:id="93" w:name="_Toc517362233"/>
      <w:bookmarkStart w:id="94" w:name="_Toc523159045"/>
      <w:bookmarkStart w:id="95" w:name="_Toc536726468"/>
      <w:r w:rsidRPr="00B06612">
        <w:rPr>
          <w:rFonts w:ascii="Palatino Linotype" w:eastAsia="MS Gothic" w:hAnsi="Palatino Linotype" w:cs="Times New Roman"/>
          <w:b/>
          <w:sz w:val="24"/>
          <w:szCs w:val="24"/>
          <w:lang w:val="es-ES_tradnl"/>
        </w:rPr>
        <w:t>La intervención del Comité de Transparencia.</w:t>
      </w:r>
      <w:bookmarkEnd w:id="89"/>
      <w:bookmarkEnd w:id="90"/>
      <w:bookmarkEnd w:id="91"/>
      <w:bookmarkEnd w:id="92"/>
      <w:bookmarkEnd w:id="93"/>
      <w:bookmarkEnd w:id="94"/>
      <w:bookmarkEnd w:id="95"/>
    </w:p>
    <w:p w:rsidR="00AD1FE1" w:rsidRDefault="00AD1FE1" w:rsidP="00B06612">
      <w:pPr>
        <w:numPr>
          <w:ilvl w:val="0"/>
          <w:numId w:val="6"/>
        </w:numPr>
        <w:spacing w:line="360" w:lineRule="auto"/>
        <w:ind w:left="0" w:firstLine="0"/>
        <w:contextualSpacing/>
        <w:rPr>
          <w:rFonts w:ascii="Palatino Linotype" w:eastAsia="MS Gothic" w:hAnsi="Palatino Linotype" w:cs="Times New Roman"/>
          <w:b/>
          <w:sz w:val="24"/>
          <w:szCs w:val="24"/>
          <w:lang w:val="es-ES_tradnl" w:eastAsia="es-ES"/>
        </w:rPr>
      </w:pPr>
      <w:bookmarkStart w:id="96" w:name="_Toc487025374"/>
      <w:bookmarkStart w:id="97" w:name="_Toc493790442"/>
      <w:bookmarkStart w:id="98" w:name="_Toc495606562"/>
      <w:bookmarkStart w:id="99" w:name="_Toc517362234"/>
      <w:bookmarkStart w:id="100" w:name="_Toc523159046"/>
      <w:bookmarkStart w:id="101" w:name="_Toc536726469"/>
      <w:r w:rsidRPr="00B06612">
        <w:rPr>
          <w:rFonts w:ascii="Palatino Linotype" w:eastAsia="MS Gothic" w:hAnsi="Palatino Linotype" w:cs="Times New Roman"/>
          <w:b/>
          <w:sz w:val="24"/>
          <w:szCs w:val="24"/>
          <w:lang w:val="es-ES_tradnl" w:eastAsia="es-ES"/>
        </w:rPr>
        <w:t>Formalidades para emitir el acuerdo de clasificación.</w:t>
      </w:r>
      <w:bookmarkEnd w:id="96"/>
      <w:bookmarkEnd w:id="97"/>
      <w:bookmarkEnd w:id="98"/>
      <w:bookmarkEnd w:id="99"/>
      <w:bookmarkEnd w:id="100"/>
      <w:bookmarkEnd w:id="101"/>
    </w:p>
    <w:p w:rsidR="00B06612" w:rsidRPr="00B06612" w:rsidRDefault="00B06612" w:rsidP="00B06612">
      <w:pPr>
        <w:spacing w:line="360" w:lineRule="auto"/>
        <w:contextualSpacing/>
        <w:rPr>
          <w:rFonts w:ascii="Palatino Linotype" w:eastAsia="MS Gothic" w:hAnsi="Palatino Linotype" w:cs="Times New Roman"/>
          <w:b/>
          <w:sz w:val="24"/>
          <w:szCs w:val="24"/>
          <w:lang w:val="es-ES_tradnl" w:eastAsia="es-ES"/>
        </w:rPr>
      </w:pPr>
    </w:p>
    <w:p w:rsidR="00AD1FE1" w:rsidRPr="00B06612" w:rsidRDefault="00AD1FE1" w:rsidP="00B06612">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B06612">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B06612">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B06612">
        <w:rPr>
          <w:rFonts w:ascii="Palatino Linotype" w:eastAsia="MS Mincho" w:hAnsi="Palatino Linotype" w:cs="Times New Roman"/>
          <w:sz w:val="24"/>
          <w:szCs w:val="24"/>
          <w:lang w:val="es-ES_tradnl" w:eastAsia="es-ES"/>
        </w:rPr>
        <w:t>Desclasificación</w:t>
      </w:r>
      <w:r w:rsidRPr="00B06612">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AD1FE1" w:rsidRPr="00B06612" w:rsidRDefault="00AD1FE1" w:rsidP="00B06612">
      <w:pPr>
        <w:spacing w:after="0" w:line="360" w:lineRule="auto"/>
        <w:ind w:left="567" w:right="616"/>
        <w:contextualSpacing/>
        <w:jc w:val="both"/>
        <w:rPr>
          <w:rFonts w:ascii="Palatino Linotype" w:eastAsia="Calibri" w:hAnsi="Palatino Linotype" w:cs="Arial"/>
          <w:sz w:val="24"/>
          <w:szCs w:val="24"/>
          <w:lang w:val="es-ES_tradnl" w:eastAsia="es-MX"/>
        </w:rPr>
      </w:pPr>
    </w:p>
    <w:p w:rsidR="00AD1FE1" w:rsidRPr="00B06612" w:rsidRDefault="00AD1FE1" w:rsidP="00B0661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B06612">
        <w:rPr>
          <w:rFonts w:ascii="Palatino Linotype" w:eastAsia="MS Mincho" w:hAnsi="Palatino Linotype" w:cs="Bookman Old Style,Bold"/>
          <w:b/>
          <w:bCs/>
          <w:i/>
          <w:sz w:val="24"/>
          <w:szCs w:val="24"/>
          <w:lang w:val="es-ES_tradnl" w:eastAsia="es-ES"/>
        </w:rPr>
        <w:t xml:space="preserve">Artículo 128. </w:t>
      </w:r>
      <w:r w:rsidRPr="00B06612">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B06612">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AD1FE1" w:rsidRPr="00B06612" w:rsidRDefault="00AD1FE1" w:rsidP="00B0661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B06612">
        <w:rPr>
          <w:rFonts w:ascii="Palatino Linotype" w:eastAsia="MS Mincho" w:hAnsi="Palatino Linotype" w:cs="Arial"/>
          <w:b/>
          <w:i/>
          <w:sz w:val="24"/>
          <w:szCs w:val="24"/>
          <w:lang w:val="es-ES_tradnl"/>
        </w:rPr>
        <w:t>Artículo 149</w:t>
      </w:r>
      <w:r w:rsidRPr="00B06612">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AD1FE1" w:rsidRPr="00B06612" w:rsidRDefault="00AD1FE1" w:rsidP="00B06612">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B06612">
        <w:rPr>
          <w:rFonts w:ascii="Palatino Linotype" w:eastAsia="MS Mincho" w:hAnsi="Palatino Linotype" w:cs="Times New Roman"/>
          <w:b/>
          <w:i/>
          <w:sz w:val="24"/>
          <w:szCs w:val="24"/>
          <w:lang w:val="es-ES_tradnl" w:eastAsia="es-ES"/>
        </w:rPr>
        <w:t>Segundo</w:t>
      </w:r>
      <w:r w:rsidRPr="00B06612">
        <w:rPr>
          <w:rFonts w:ascii="Palatino Linotype" w:eastAsia="MS Mincho" w:hAnsi="Palatino Linotype" w:cs="Times New Roman"/>
          <w:i/>
          <w:sz w:val="24"/>
          <w:szCs w:val="24"/>
          <w:lang w:val="es-ES_tradnl" w:eastAsia="es-ES"/>
        </w:rPr>
        <w:t>. Para efectos de los presentes Lineamientos Generales, se entenderá por:</w:t>
      </w:r>
    </w:p>
    <w:p w:rsidR="00AD1FE1" w:rsidRPr="00B06612" w:rsidRDefault="00AD1FE1" w:rsidP="00B0661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B06612">
        <w:rPr>
          <w:rFonts w:ascii="Palatino Linotype" w:eastAsia="MS Mincho" w:hAnsi="Palatino Linotype" w:cs="Times New Roman"/>
          <w:b/>
          <w:i/>
          <w:sz w:val="24"/>
          <w:szCs w:val="24"/>
          <w:lang w:val="es-ES_tradnl" w:eastAsia="es-ES"/>
        </w:rPr>
        <w:t>IV. Comité de Transparencia</w:t>
      </w:r>
      <w:r w:rsidRPr="00B06612">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B06612">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B06612">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AD1FE1" w:rsidRPr="00B06612" w:rsidRDefault="00AD1FE1" w:rsidP="00B0661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B06612">
        <w:rPr>
          <w:rFonts w:ascii="Palatino Linotype" w:eastAsia="MS Mincho" w:hAnsi="Palatino Linotype" w:cs="Arial"/>
          <w:b/>
          <w:i/>
          <w:sz w:val="24"/>
          <w:szCs w:val="24"/>
          <w:lang w:val="es-ES_tradnl"/>
        </w:rPr>
        <w:t>Quincuagésimo sexto</w:t>
      </w:r>
      <w:r w:rsidRPr="00B06612">
        <w:rPr>
          <w:rFonts w:ascii="Palatino Linotype" w:eastAsia="MS Mincho" w:hAnsi="Palatino Linotype" w:cs="Arial"/>
          <w:i/>
          <w:sz w:val="24"/>
          <w:szCs w:val="24"/>
          <w:lang w:val="es-ES_tradnl"/>
        </w:rPr>
        <w:t xml:space="preserve">. La versión pública del documento o expediente que contenga partes o secciones reservadas o </w:t>
      </w:r>
      <w:r w:rsidRPr="00B06612">
        <w:rPr>
          <w:rFonts w:ascii="Palatino Linotype" w:eastAsia="MS Mincho" w:hAnsi="Palatino Linotype" w:cs="Arial"/>
          <w:b/>
          <w:i/>
          <w:sz w:val="24"/>
          <w:szCs w:val="24"/>
          <w:lang w:val="es-ES_tradnl"/>
        </w:rPr>
        <w:t>confidenciales</w:t>
      </w:r>
      <w:r w:rsidRPr="00B06612">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AD1FE1" w:rsidRPr="00B06612" w:rsidRDefault="00AD1FE1" w:rsidP="00B0661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B06612">
        <w:rPr>
          <w:rFonts w:ascii="Palatino Linotype" w:eastAsia="MS Mincho" w:hAnsi="Palatino Linotype" w:cs="Arial"/>
          <w:b/>
          <w:i/>
          <w:sz w:val="24"/>
          <w:szCs w:val="24"/>
          <w:lang w:val="es-ES_tradnl"/>
        </w:rPr>
        <w:t>Quincuagésimo séptimo</w:t>
      </w:r>
      <w:r w:rsidRPr="00B06612">
        <w:rPr>
          <w:rFonts w:ascii="Palatino Linotype" w:eastAsia="MS Mincho" w:hAnsi="Palatino Linotype" w:cs="Arial"/>
          <w:i/>
          <w:sz w:val="24"/>
          <w:szCs w:val="24"/>
          <w:lang w:val="es-ES_tradnl"/>
        </w:rPr>
        <w:t xml:space="preserve">. Se considera, en principio, como información pública y no podrá omitirse de </w:t>
      </w:r>
      <w:proofErr w:type="gramStart"/>
      <w:r w:rsidRPr="00B06612">
        <w:rPr>
          <w:rFonts w:ascii="Palatino Linotype" w:eastAsia="MS Mincho" w:hAnsi="Palatino Linotype" w:cs="Arial"/>
          <w:i/>
          <w:sz w:val="24"/>
          <w:szCs w:val="24"/>
          <w:lang w:val="es-ES_tradnl"/>
        </w:rPr>
        <w:t>las  versiones</w:t>
      </w:r>
      <w:proofErr w:type="gramEnd"/>
      <w:r w:rsidRPr="00B06612">
        <w:rPr>
          <w:rFonts w:ascii="Palatino Linotype" w:eastAsia="MS Mincho" w:hAnsi="Palatino Linotype" w:cs="Arial"/>
          <w:i/>
          <w:sz w:val="24"/>
          <w:szCs w:val="24"/>
          <w:lang w:val="es-ES_tradnl"/>
        </w:rPr>
        <w:t xml:space="preserve"> públicas la siguiente:</w:t>
      </w:r>
    </w:p>
    <w:p w:rsidR="00AD1FE1" w:rsidRPr="00B06612" w:rsidRDefault="00AD1FE1" w:rsidP="00B0661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B06612">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AD1FE1" w:rsidRPr="00B06612" w:rsidRDefault="00AD1FE1" w:rsidP="00B0661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B06612">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AD1FE1" w:rsidRPr="00B06612" w:rsidRDefault="00AD1FE1" w:rsidP="00B06612">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B06612">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AD1FE1" w:rsidRPr="00B06612" w:rsidRDefault="00AD1FE1" w:rsidP="00B06612">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B06612">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AD1FE1" w:rsidRDefault="00AD1FE1" w:rsidP="004D6C56">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B06612">
        <w:rPr>
          <w:rFonts w:ascii="Palatino Linotype" w:eastAsia="MS Mincho" w:hAnsi="Palatino Linotype" w:cs="Arial"/>
          <w:b/>
          <w:i/>
          <w:sz w:val="24"/>
          <w:szCs w:val="24"/>
          <w:lang w:val="es-ES_tradnl" w:eastAsia="es-ES"/>
        </w:rPr>
        <w:t>Quincuagésimo octavo.</w:t>
      </w:r>
      <w:r w:rsidRPr="00B06612">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4D6C56" w:rsidRPr="00B06612" w:rsidRDefault="004D6C56" w:rsidP="004D6C56">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p>
    <w:p w:rsidR="00AD1FE1" w:rsidRPr="00B06612" w:rsidRDefault="00AD1FE1" w:rsidP="00B06612">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B06612">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B06612">
        <w:rPr>
          <w:rFonts w:ascii="Palatino Linotype" w:eastAsia="MS Mincho" w:hAnsi="Palatino Linotype" w:cs="Times New Roman"/>
          <w:sz w:val="24"/>
          <w:szCs w:val="24"/>
          <w:lang w:val="es-ES_tradnl" w:eastAsia="es-ES"/>
        </w:rPr>
        <w:t>integrantes</w:t>
      </w:r>
      <w:r w:rsidRPr="00B06612">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AD1FE1" w:rsidRPr="00B06612" w:rsidRDefault="00AD1FE1" w:rsidP="00B06612">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AD1FE1" w:rsidRDefault="00AD1FE1" w:rsidP="00B06612">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B06612">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4D6C56" w:rsidRPr="004D6C56" w:rsidRDefault="004D6C56" w:rsidP="004D6C56">
      <w:pPr>
        <w:spacing w:after="0" w:line="360" w:lineRule="auto"/>
        <w:contextualSpacing/>
        <w:jc w:val="both"/>
        <w:rPr>
          <w:rFonts w:ascii="Palatino Linotype" w:eastAsia="Calibri" w:hAnsi="Palatino Linotype" w:cs="Arial"/>
          <w:sz w:val="24"/>
          <w:szCs w:val="24"/>
          <w:lang w:val="es-ES_tradnl" w:eastAsia="es-MX"/>
        </w:rPr>
      </w:pPr>
    </w:p>
    <w:p w:rsidR="004D6C56" w:rsidRPr="004D6C56" w:rsidRDefault="00AD1FE1" w:rsidP="004D6C56">
      <w:pPr>
        <w:spacing w:line="360" w:lineRule="auto"/>
        <w:rPr>
          <w:rFonts w:ascii="Palatino Linotype" w:eastAsia="MS Gothic" w:hAnsi="Palatino Linotype" w:cs="Times New Roman"/>
          <w:b/>
          <w:sz w:val="24"/>
          <w:szCs w:val="24"/>
          <w:lang w:val="es-ES_tradnl" w:eastAsia="es-ES"/>
        </w:rPr>
      </w:pPr>
      <w:bookmarkStart w:id="102" w:name="_Toc486509925"/>
      <w:bookmarkStart w:id="103" w:name="_Toc487025375"/>
      <w:bookmarkStart w:id="104" w:name="_Toc493790443"/>
      <w:bookmarkStart w:id="105" w:name="_Toc495606563"/>
      <w:bookmarkStart w:id="106" w:name="_Toc517362235"/>
      <w:bookmarkStart w:id="107" w:name="_Toc523159047"/>
      <w:bookmarkStart w:id="108" w:name="_Toc536726470"/>
      <w:r w:rsidRPr="00B06612">
        <w:rPr>
          <w:rFonts w:ascii="Palatino Linotype" w:eastAsia="MS Gothic" w:hAnsi="Palatino Linotype" w:cs="Times New Roman"/>
          <w:b/>
          <w:sz w:val="24"/>
          <w:szCs w:val="24"/>
          <w:lang w:val="es-ES_tradnl" w:eastAsia="es-ES"/>
        </w:rPr>
        <w:t>II. Requisitos de fondo del acuerdo de clasificación</w:t>
      </w:r>
      <w:bookmarkEnd w:id="102"/>
      <w:bookmarkEnd w:id="103"/>
      <w:bookmarkEnd w:id="104"/>
      <w:bookmarkEnd w:id="105"/>
      <w:bookmarkEnd w:id="106"/>
      <w:bookmarkEnd w:id="107"/>
      <w:bookmarkEnd w:id="108"/>
    </w:p>
    <w:p w:rsidR="00AD1FE1" w:rsidRPr="00B06612" w:rsidRDefault="00AD1FE1" w:rsidP="00B06612">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B06612">
        <w:rPr>
          <w:rFonts w:ascii="Palatino Linotype" w:eastAsia="MS Mincho" w:hAnsi="Palatino Linotype" w:cs="Arial"/>
          <w:sz w:val="24"/>
          <w:szCs w:val="24"/>
          <w:lang w:val="es-ES_tradnl" w:eastAsia="es-ES"/>
        </w:rPr>
        <w:t xml:space="preserve">Como se ha señalado antes, al hacer el juicio de subsunción o encaje entre el </w:t>
      </w:r>
      <w:r w:rsidRPr="00B06612">
        <w:rPr>
          <w:rFonts w:ascii="Palatino Linotype" w:eastAsia="Times New Roman" w:hAnsi="Palatino Linotype" w:cs="Arial"/>
          <w:sz w:val="24"/>
          <w:szCs w:val="24"/>
          <w:lang w:val="es-ES_tradnl" w:eastAsia="es-MX"/>
        </w:rPr>
        <w:t>supuesto</w:t>
      </w:r>
      <w:r w:rsidRPr="00B06612">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proofErr w:type="gramStart"/>
      <w:r w:rsidRPr="00B06612">
        <w:rPr>
          <w:rFonts w:ascii="Palatino Linotype" w:eastAsia="MS Mincho" w:hAnsi="Palatino Linotype" w:cs="Arial"/>
          <w:sz w:val="24"/>
          <w:szCs w:val="24"/>
          <w:lang w:val="es-ES_tradnl" w:eastAsia="es-ES"/>
        </w:rPr>
        <w:t>la  Ley</w:t>
      </w:r>
      <w:proofErr w:type="gramEnd"/>
      <w:r w:rsidRPr="00B06612">
        <w:rPr>
          <w:rFonts w:ascii="Palatino Linotype" w:eastAsia="MS Mincho" w:hAnsi="Palatino Linotype" w:cs="Arial"/>
          <w:sz w:val="24"/>
          <w:szCs w:val="24"/>
          <w:lang w:val="es-ES_tradnl" w:eastAsia="es-ES"/>
        </w:rPr>
        <w:t xml:space="preserve"> en materia.</w:t>
      </w:r>
    </w:p>
    <w:p w:rsidR="00AD1FE1" w:rsidRPr="00B06612" w:rsidRDefault="00AD1FE1" w:rsidP="00B06612">
      <w:pPr>
        <w:spacing w:after="0" w:line="360" w:lineRule="auto"/>
        <w:ind w:left="567"/>
        <w:contextualSpacing/>
        <w:jc w:val="both"/>
        <w:rPr>
          <w:rFonts w:ascii="Palatino Linotype" w:eastAsia="Calibri" w:hAnsi="Palatino Linotype" w:cs="Arial"/>
          <w:sz w:val="24"/>
          <w:szCs w:val="24"/>
          <w:lang w:val="es-ES_tradnl" w:eastAsia="es-MX"/>
        </w:rPr>
      </w:pPr>
    </w:p>
    <w:p w:rsidR="00AD1FE1" w:rsidRPr="00B06612" w:rsidRDefault="00AD1FE1" w:rsidP="00B06612">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B06612">
        <w:rPr>
          <w:rFonts w:ascii="Palatino Linotype" w:eastAsia="MS Mincho" w:hAnsi="Palatino Linotype" w:cs="Bookman Old Style,Bold"/>
          <w:b/>
          <w:bCs/>
          <w:i/>
          <w:sz w:val="24"/>
          <w:szCs w:val="24"/>
          <w:lang w:val="es-ES_tradnl" w:eastAsia="es-ES"/>
        </w:rPr>
        <w:t xml:space="preserve">Artículo 131. </w:t>
      </w:r>
      <w:r w:rsidRPr="00B06612">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B06612">
        <w:rPr>
          <w:rFonts w:ascii="Palatino Linotype" w:eastAsia="MS Mincho" w:hAnsi="Palatino Linotype" w:cs="Bookman Old Style"/>
          <w:b/>
          <w:i/>
          <w:sz w:val="24"/>
          <w:szCs w:val="24"/>
          <w:lang w:val="es-ES_tradnl" w:eastAsia="es-ES"/>
        </w:rPr>
        <w:t>en tal caso deberá fundar y motivar debidamente la clasificación de la información,</w:t>
      </w:r>
      <w:r w:rsidRPr="00B06612">
        <w:rPr>
          <w:rFonts w:ascii="Palatino Linotype" w:eastAsia="MS Mincho" w:hAnsi="Palatino Linotype" w:cs="Bookman Old Style"/>
          <w:i/>
          <w:sz w:val="24"/>
          <w:szCs w:val="24"/>
          <w:lang w:val="es-ES_tradnl" w:eastAsia="es-ES"/>
        </w:rPr>
        <w:t xml:space="preserve"> de conformidad con lo previsto en la presente Ley.</w:t>
      </w:r>
    </w:p>
    <w:p w:rsidR="00AD1FE1" w:rsidRPr="00B06612" w:rsidRDefault="00AD1FE1" w:rsidP="00B06612">
      <w:pPr>
        <w:tabs>
          <w:tab w:val="left" w:pos="2031"/>
        </w:tabs>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r w:rsidRPr="00B06612">
        <w:rPr>
          <w:rFonts w:ascii="Palatino Linotype" w:eastAsia="MS Mincho" w:hAnsi="Palatino Linotype" w:cs="Arial"/>
          <w:sz w:val="24"/>
          <w:szCs w:val="24"/>
          <w:lang w:val="es-ES_tradnl" w:eastAsia="es-ES"/>
        </w:rPr>
        <w:tab/>
      </w:r>
    </w:p>
    <w:p w:rsidR="00AD1FE1" w:rsidRPr="00B06612" w:rsidRDefault="00AD1FE1" w:rsidP="00B06612">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B06612">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B06612">
        <w:rPr>
          <w:rFonts w:ascii="Palatino Linotype" w:eastAsia="Times New Roman" w:hAnsi="Palatino Linotype" w:cs="Arial"/>
          <w:sz w:val="24"/>
          <w:szCs w:val="24"/>
          <w:lang w:val="es-ES_tradnl" w:eastAsia="es-MX"/>
        </w:rPr>
        <w:t>la</w:t>
      </w:r>
      <w:r w:rsidRPr="00B06612">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AD1FE1" w:rsidRPr="00B06612" w:rsidRDefault="00AD1FE1" w:rsidP="00B06612">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AD1FE1" w:rsidRPr="00B06612" w:rsidRDefault="00AD1FE1" w:rsidP="00B06612">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B06612">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AD1FE1" w:rsidRPr="00B06612" w:rsidRDefault="00AD1FE1" w:rsidP="00B06612">
      <w:pPr>
        <w:spacing w:after="0" w:line="360" w:lineRule="auto"/>
        <w:ind w:right="616"/>
        <w:contextualSpacing/>
        <w:jc w:val="both"/>
        <w:rPr>
          <w:rFonts w:ascii="Palatino Linotype" w:eastAsia="Calibri" w:hAnsi="Palatino Linotype" w:cs="Arial"/>
          <w:sz w:val="24"/>
          <w:szCs w:val="24"/>
          <w:lang w:val="es-ES_tradnl" w:eastAsia="es-MX"/>
        </w:rPr>
      </w:pPr>
    </w:p>
    <w:p w:rsidR="00AD1FE1" w:rsidRPr="00B06612" w:rsidRDefault="00AD1FE1" w:rsidP="00B06612">
      <w:pPr>
        <w:spacing w:after="0" w:line="360" w:lineRule="auto"/>
        <w:ind w:left="567" w:right="616"/>
        <w:contextualSpacing/>
        <w:jc w:val="both"/>
        <w:rPr>
          <w:rFonts w:ascii="Palatino Linotype" w:eastAsia="MS Mincho" w:hAnsi="Palatino Linotype" w:cs="Arial"/>
          <w:i/>
          <w:sz w:val="24"/>
          <w:szCs w:val="24"/>
          <w:lang w:val="es-ES_tradnl" w:eastAsia="es-ES"/>
        </w:rPr>
      </w:pPr>
      <w:r w:rsidRPr="00B06612">
        <w:rPr>
          <w:rFonts w:ascii="Palatino Linotype" w:eastAsia="MS Mincho" w:hAnsi="Palatino Linotype" w:cs="Arial"/>
          <w:b/>
          <w:i/>
          <w:sz w:val="24"/>
          <w:szCs w:val="24"/>
          <w:lang w:val="es-ES_tradnl" w:eastAsia="es-ES"/>
        </w:rPr>
        <w:t>FUNDAMENTACIÓN Y MOTIVACIÓN.</w:t>
      </w:r>
      <w:r w:rsidRPr="00B06612">
        <w:rPr>
          <w:rFonts w:ascii="Palatino Linotype" w:eastAsia="MS Mincho" w:hAnsi="Palatino Linotype" w:cs="Arial"/>
          <w:i/>
          <w:sz w:val="24"/>
          <w:szCs w:val="24"/>
          <w:lang w:val="es-ES_tradnl" w:eastAsia="es-ES"/>
        </w:rPr>
        <w:t xml:space="preserve"> La </w:t>
      </w:r>
      <w:r w:rsidRPr="00B06612">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06612">
        <w:rPr>
          <w:rFonts w:ascii="Palatino Linotype" w:eastAsia="MS Mincho" w:hAnsi="Palatino Linotype" w:cs="Arial"/>
          <w:i/>
          <w:sz w:val="24"/>
          <w:szCs w:val="24"/>
          <w:lang w:val="es-ES_tradnl" w:eastAsia="es-ES"/>
        </w:rPr>
        <w:t>.</w:t>
      </w:r>
    </w:p>
    <w:p w:rsidR="00AD1FE1" w:rsidRPr="00B06612" w:rsidRDefault="00AD1FE1" w:rsidP="00B06612">
      <w:pPr>
        <w:spacing w:after="0" w:line="360" w:lineRule="auto"/>
        <w:ind w:left="567" w:right="616"/>
        <w:contextualSpacing/>
        <w:jc w:val="both"/>
        <w:rPr>
          <w:rFonts w:ascii="Palatino Linotype" w:eastAsia="MS Mincho" w:hAnsi="Palatino Linotype" w:cs="Arial"/>
          <w:i/>
          <w:sz w:val="24"/>
          <w:szCs w:val="24"/>
          <w:lang w:val="es-ES_tradnl" w:eastAsia="es-ES"/>
        </w:rPr>
      </w:pPr>
      <w:r w:rsidRPr="00B06612">
        <w:rPr>
          <w:rFonts w:ascii="Palatino Linotype" w:eastAsia="MS Mincho" w:hAnsi="Palatino Linotype" w:cs="Arial"/>
          <w:i/>
          <w:sz w:val="24"/>
          <w:szCs w:val="24"/>
          <w:lang w:val="es-ES_tradnl" w:eastAsia="es-ES"/>
        </w:rPr>
        <w:t>SEGUNDO TRIBUNAL COLEGIADO DEL SEXTO CIRCUITO.</w:t>
      </w:r>
    </w:p>
    <w:p w:rsidR="00AD1FE1" w:rsidRPr="00B06612" w:rsidRDefault="00AD1FE1" w:rsidP="00B06612">
      <w:pPr>
        <w:spacing w:after="0" w:line="360" w:lineRule="auto"/>
        <w:ind w:left="567" w:right="616"/>
        <w:contextualSpacing/>
        <w:jc w:val="both"/>
        <w:rPr>
          <w:rFonts w:ascii="Palatino Linotype" w:eastAsia="MS Mincho" w:hAnsi="Palatino Linotype" w:cs="Arial"/>
          <w:i/>
          <w:sz w:val="24"/>
          <w:szCs w:val="24"/>
          <w:lang w:val="es-ES_tradnl" w:eastAsia="es-ES"/>
        </w:rPr>
      </w:pPr>
      <w:r w:rsidRPr="00B06612">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AD1FE1" w:rsidRPr="00B06612" w:rsidRDefault="00AD1FE1" w:rsidP="00B06612">
      <w:pPr>
        <w:spacing w:after="0" w:line="360" w:lineRule="auto"/>
        <w:ind w:left="567" w:right="616"/>
        <w:contextualSpacing/>
        <w:jc w:val="both"/>
        <w:rPr>
          <w:rFonts w:ascii="Palatino Linotype" w:eastAsia="MS Mincho" w:hAnsi="Palatino Linotype" w:cs="Arial"/>
          <w:i/>
          <w:sz w:val="24"/>
          <w:szCs w:val="24"/>
          <w:lang w:val="es-ES_tradnl" w:eastAsia="es-ES"/>
        </w:rPr>
      </w:pPr>
      <w:r w:rsidRPr="00B06612">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B06612">
        <w:rPr>
          <w:rFonts w:ascii="Palatino Linotype" w:eastAsia="MS Mincho" w:hAnsi="Palatino Linotype" w:cs="Arial"/>
          <w:i/>
          <w:sz w:val="24"/>
          <w:szCs w:val="24"/>
          <w:lang w:val="es-ES_tradnl" w:eastAsia="es-ES"/>
        </w:rPr>
        <w:t>Esponda</w:t>
      </w:r>
      <w:proofErr w:type="spellEnd"/>
      <w:r w:rsidRPr="00B06612">
        <w:rPr>
          <w:rFonts w:ascii="Palatino Linotype" w:eastAsia="MS Mincho" w:hAnsi="Palatino Linotype" w:cs="Arial"/>
          <w:i/>
          <w:sz w:val="24"/>
          <w:szCs w:val="24"/>
          <w:lang w:val="es-ES_tradnl" w:eastAsia="es-ES"/>
        </w:rPr>
        <w:t xml:space="preserve"> Rincón.</w:t>
      </w:r>
    </w:p>
    <w:p w:rsidR="00AD1FE1" w:rsidRPr="00B06612" w:rsidRDefault="00AD1FE1" w:rsidP="00B06612">
      <w:pPr>
        <w:spacing w:after="0" w:line="360" w:lineRule="auto"/>
        <w:ind w:left="567" w:right="616"/>
        <w:contextualSpacing/>
        <w:jc w:val="both"/>
        <w:rPr>
          <w:rFonts w:ascii="Palatino Linotype" w:eastAsia="MS Mincho" w:hAnsi="Palatino Linotype" w:cs="Arial"/>
          <w:i/>
          <w:sz w:val="24"/>
          <w:szCs w:val="24"/>
          <w:lang w:val="es-ES_tradnl" w:eastAsia="es-ES"/>
        </w:rPr>
      </w:pPr>
      <w:r w:rsidRPr="00B06612">
        <w:rPr>
          <w:rFonts w:ascii="Palatino Linotype" w:eastAsia="MS Mincho" w:hAnsi="Palatino Linotype" w:cs="Arial"/>
          <w:i/>
          <w:sz w:val="24"/>
          <w:szCs w:val="24"/>
          <w:lang w:val="es-ES_tradnl" w:eastAsia="es-ES"/>
        </w:rPr>
        <w:t xml:space="preserve">Amparo en revisión 333/88. </w:t>
      </w:r>
      <w:proofErr w:type="spellStart"/>
      <w:r w:rsidRPr="00B06612">
        <w:rPr>
          <w:rFonts w:ascii="Palatino Linotype" w:eastAsia="MS Mincho" w:hAnsi="Palatino Linotype" w:cs="Arial"/>
          <w:i/>
          <w:sz w:val="24"/>
          <w:szCs w:val="24"/>
          <w:lang w:val="es-ES_tradnl" w:eastAsia="es-ES"/>
        </w:rPr>
        <w:t>Adilia</w:t>
      </w:r>
      <w:proofErr w:type="spellEnd"/>
      <w:r w:rsidRPr="00B06612">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AD1FE1" w:rsidRPr="00B06612" w:rsidRDefault="00AD1FE1" w:rsidP="00B06612">
      <w:pPr>
        <w:spacing w:after="0" w:line="360" w:lineRule="auto"/>
        <w:ind w:left="567" w:right="616"/>
        <w:contextualSpacing/>
        <w:jc w:val="both"/>
        <w:rPr>
          <w:rFonts w:ascii="Palatino Linotype" w:eastAsia="MS Mincho" w:hAnsi="Palatino Linotype" w:cs="Arial"/>
          <w:i/>
          <w:sz w:val="24"/>
          <w:szCs w:val="24"/>
          <w:lang w:val="es-ES_tradnl" w:eastAsia="es-ES"/>
        </w:rPr>
      </w:pPr>
      <w:r w:rsidRPr="00B06612">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B06612">
        <w:rPr>
          <w:rFonts w:ascii="Palatino Linotype" w:eastAsia="MS Mincho" w:hAnsi="Palatino Linotype" w:cs="Arial"/>
          <w:i/>
          <w:sz w:val="24"/>
          <w:szCs w:val="24"/>
          <w:lang w:val="es-ES_tradnl" w:eastAsia="es-ES"/>
        </w:rPr>
        <w:t>Goyzueta</w:t>
      </w:r>
      <w:proofErr w:type="spellEnd"/>
      <w:r w:rsidRPr="00B06612">
        <w:rPr>
          <w:rFonts w:ascii="Palatino Linotype" w:eastAsia="MS Mincho" w:hAnsi="Palatino Linotype" w:cs="Arial"/>
          <w:i/>
          <w:sz w:val="24"/>
          <w:szCs w:val="24"/>
          <w:lang w:val="es-ES_tradnl" w:eastAsia="es-ES"/>
        </w:rPr>
        <w:t>. Secretario: Gonzalo Carrera Molina.</w:t>
      </w:r>
    </w:p>
    <w:p w:rsidR="00AD1FE1" w:rsidRPr="00B06612" w:rsidRDefault="00AD1FE1" w:rsidP="00B06612">
      <w:pPr>
        <w:spacing w:after="0" w:line="360" w:lineRule="auto"/>
        <w:ind w:left="567" w:right="616"/>
        <w:contextualSpacing/>
        <w:jc w:val="both"/>
        <w:rPr>
          <w:rFonts w:ascii="Palatino Linotype" w:eastAsia="MS Mincho" w:hAnsi="Palatino Linotype" w:cs="Arial"/>
          <w:i/>
          <w:sz w:val="24"/>
          <w:szCs w:val="24"/>
          <w:lang w:val="es-ES_tradnl" w:eastAsia="es-ES"/>
        </w:rPr>
      </w:pPr>
      <w:r w:rsidRPr="00B06612">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B06612">
        <w:rPr>
          <w:rFonts w:ascii="Palatino Linotype" w:eastAsia="MS Mincho" w:hAnsi="Palatino Linotype" w:cs="Arial"/>
          <w:i/>
          <w:sz w:val="24"/>
          <w:szCs w:val="24"/>
          <w:lang w:val="es-ES_tradnl" w:eastAsia="es-ES"/>
        </w:rPr>
        <w:t>Baigts</w:t>
      </w:r>
      <w:proofErr w:type="spellEnd"/>
      <w:r w:rsidRPr="00B06612">
        <w:rPr>
          <w:rFonts w:ascii="Palatino Linotype" w:eastAsia="MS Mincho" w:hAnsi="Palatino Linotype" w:cs="Arial"/>
          <w:i/>
          <w:sz w:val="24"/>
          <w:szCs w:val="24"/>
          <w:lang w:val="es-ES_tradnl" w:eastAsia="es-ES"/>
        </w:rPr>
        <w:t xml:space="preserve"> Muñoz.</w:t>
      </w:r>
    </w:p>
    <w:p w:rsidR="00AD1FE1" w:rsidRPr="00B06612" w:rsidRDefault="00AD1FE1" w:rsidP="00B06612">
      <w:pPr>
        <w:spacing w:after="0" w:line="360" w:lineRule="auto"/>
        <w:ind w:right="618"/>
        <w:contextualSpacing/>
        <w:jc w:val="both"/>
        <w:rPr>
          <w:rFonts w:ascii="Palatino Linotype" w:eastAsia="MS Mincho" w:hAnsi="Palatino Linotype" w:cs="Arial"/>
          <w:i/>
          <w:sz w:val="24"/>
          <w:szCs w:val="24"/>
          <w:lang w:val="es-ES_tradnl" w:eastAsia="es-ES"/>
        </w:rPr>
      </w:pPr>
    </w:p>
    <w:p w:rsidR="00AD1FE1" w:rsidRPr="00B06612" w:rsidRDefault="00AD1FE1" w:rsidP="00B06612">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B06612">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AD1FE1" w:rsidRPr="00B06612" w:rsidRDefault="00AD1FE1" w:rsidP="00B06612">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AD1FE1" w:rsidRPr="00B06612" w:rsidRDefault="00AD1FE1" w:rsidP="00B06612">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B06612">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B06612">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B06612">
        <w:rPr>
          <w:rFonts w:ascii="Palatino Linotype" w:eastAsia="MS Mincho" w:hAnsi="Palatino Linotype" w:cs="Times New Roman"/>
          <w:color w:val="000000"/>
          <w:sz w:val="24"/>
          <w:szCs w:val="24"/>
          <w:lang w:val="es-ES_tradnl" w:eastAsia="es-ES"/>
        </w:rPr>
        <w:footnoteReference w:id="3"/>
      </w:r>
      <w:r w:rsidRPr="00B06612">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w:t>
      </w:r>
      <w:r w:rsidRPr="00B06612">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B06612">
        <w:rPr>
          <w:rFonts w:ascii="Palatino Linotype" w:eastAsia="MS Mincho" w:hAnsi="Palatino Linotype" w:cs="Times New Roman"/>
          <w:color w:val="000000"/>
          <w:sz w:val="24"/>
          <w:szCs w:val="24"/>
          <w:lang w:val="es-ES_tradnl" w:eastAsia="es-ES"/>
        </w:rPr>
        <w:t xml:space="preserve"> </w:t>
      </w:r>
      <w:r w:rsidRPr="00B06612">
        <w:rPr>
          <w:rFonts w:ascii="Palatino Linotype" w:eastAsia="MS Mincho" w:hAnsi="Palatino Linotype" w:cs="Times New Roman"/>
          <w:b/>
          <w:color w:val="000000"/>
          <w:sz w:val="24"/>
          <w:szCs w:val="24"/>
          <w:lang w:val="es-ES_tradnl" w:eastAsia="es-ES"/>
        </w:rPr>
        <w:t>número de cuenta, deducciones (concepto y monto) de sindicato, mutualidad, ayuda por defunción, fondo de resistencia sindical, caja de ahorro, seguro de vida, los Códigos Bidimensionales, también denominados Códigos QR</w:t>
      </w:r>
      <w:r w:rsidRPr="00B06612">
        <w:rPr>
          <w:rFonts w:ascii="Palatino Linotype" w:eastAsia="MS Mincho" w:hAnsi="Palatino Linotype" w:cs="Times New Roman"/>
          <w:color w:val="000000"/>
          <w:sz w:val="24"/>
          <w:szCs w:val="24"/>
          <w:lang w:val="es-ES_tradnl" w:eastAsia="es-ES"/>
        </w:rPr>
        <w:t xml:space="preserve">, estos son datos susceptibles de clasificarse como confidenciales mediante una versión pública que deje a la vista los datos que </w:t>
      </w:r>
      <w:r w:rsidRPr="00B06612">
        <w:rPr>
          <w:rFonts w:ascii="Palatino Linotype" w:eastAsia="Calibri" w:hAnsi="Palatino Linotype" w:cs="Arial"/>
          <w:bCs/>
          <w:sz w:val="24"/>
          <w:szCs w:val="24"/>
          <w:lang w:val="es-ES_tradnl" w:eastAsia="es-ES"/>
        </w:rPr>
        <w:t xml:space="preserve">ofrezcan la información requerida. </w:t>
      </w:r>
    </w:p>
    <w:p w:rsidR="00AD1FE1" w:rsidRPr="00B06612" w:rsidRDefault="00AD1FE1" w:rsidP="00B06612">
      <w:pPr>
        <w:spacing w:after="0" w:line="360" w:lineRule="auto"/>
        <w:contextualSpacing/>
        <w:rPr>
          <w:rFonts w:ascii="Palatino Linotype" w:eastAsia="Calibri" w:hAnsi="Palatino Linotype" w:cs="Arial"/>
          <w:bCs/>
          <w:sz w:val="12"/>
          <w:szCs w:val="24"/>
          <w:lang w:val="es-ES_tradnl" w:eastAsia="es-ES"/>
        </w:rPr>
      </w:pPr>
    </w:p>
    <w:p w:rsidR="00AD1FE1" w:rsidRPr="00B06612" w:rsidRDefault="00AD1FE1" w:rsidP="00B06612">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06612">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AD1FE1" w:rsidRPr="00B06612" w:rsidRDefault="00AD1FE1" w:rsidP="00B06612">
      <w:pPr>
        <w:spacing w:after="0" w:line="360" w:lineRule="auto"/>
        <w:contextualSpacing/>
        <w:rPr>
          <w:rFonts w:ascii="Palatino Linotype" w:eastAsia="MS Mincho" w:hAnsi="Palatino Linotype" w:cs="Arial"/>
          <w:sz w:val="12"/>
          <w:szCs w:val="24"/>
          <w:lang w:val="es-ES_tradnl" w:eastAsia="es-MX"/>
        </w:rPr>
      </w:pPr>
    </w:p>
    <w:p w:rsidR="00AD1FE1" w:rsidRPr="00B06612" w:rsidRDefault="00AD1FE1" w:rsidP="00B06612">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06612">
        <w:rPr>
          <w:rFonts w:ascii="Palatino Linotype" w:eastAsia="MS Mincho" w:hAnsi="Palatino Linotype" w:cs="Arial"/>
          <w:sz w:val="24"/>
          <w:szCs w:val="24"/>
          <w:lang w:val="es-ES_tradnl" w:eastAsia="es-MX"/>
        </w:rPr>
        <w:t xml:space="preserve">Por cuanto hace al </w:t>
      </w:r>
      <w:r w:rsidRPr="00B06612">
        <w:rPr>
          <w:rFonts w:ascii="Palatino Linotype" w:eastAsia="MS Mincho" w:hAnsi="Palatino Linotype" w:cs="Arial"/>
          <w:b/>
          <w:sz w:val="24"/>
          <w:szCs w:val="24"/>
          <w:lang w:val="es-ES_tradnl" w:eastAsia="es-MX"/>
        </w:rPr>
        <w:t>Registro Federal de Contribuyentes</w:t>
      </w:r>
      <w:r w:rsidRPr="00B06612">
        <w:rPr>
          <w:rFonts w:ascii="Palatino Linotype" w:eastAsia="MS Mincho" w:hAnsi="Palatino Linotype" w:cs="Arial"/>
          <w:sz w:val="24"/>
          <w:szCs w:val="24"/>
          <w:lang w:val="es-ES_tradnl" w:eastAsia="es-MX"/>
        </w:rPr>
        <w:t xml:space="preserve"> </w:t>
      </w:r>
      <w:r w:rsidRPr="00B06612">
        <w:rPr>
          <w:rFonts w:ascii="Palatino Linotype" w:eastAsia="MS Mincho" w:hAnsi="Palatino Linotype" w:cs="Arial"/>
          <w:b/>
          <w:sz w:val="24"/>
          <w:szCs w:val="24"/>
          <w:lang w:val="es-ES_tradnl" w:eastAsia="es-MX"/>
        </w:rPr>
        <w:t>de las personas físicas</w:t>
      </w:r>
      <w:r w:rsidRPr="00B06612">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06612">
        <w:rPr>
          <w:rFonts w:ascii="Palatino Linotype" w:eastAsia="MS Mincho" w:hAnsi="Palatino Linotype" w:cs="Times New Roman"/>
          <w:sz w:val="24"/>
          <w:szCs w:val="24"/>
          <w:lang w:val="es-ES_tradnl" w:eastAsia="es-ES"/>
        </w:rPr>
        <w:t xml:space="preserve"> y finalmente la </w:t>
      </w:r>
      <w:proofErr w:type="spellStart"/>
      <w:r w:rsidRPr="00B06612">
        <w:rPr>
          <w:rFonts w:ascii="Palatino Linotype" w:eastAsia="MS Mincho" w:hAnsi="Palatino Linotype" w:cs="Times New Roman"/>
          <w:sz w:val="24"/>
          <w:szCs w:val="24"/>
          <w:lang w:val="es-ES_tradnl" w:eastAsia="es-ES"/>
        </w:rPr>
        <w:t>homoclave</w:t>
      </w:r>
      <w:proofErr w:type="spellEnd"/>
      <w:r w:rsidRPr="00B06612">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AD1FE1" w:rsidRPr="00B06612" w:rsidRDefault="00AD1FE1" w:rsidP="00B06612">
      <w:pPr>
        <w:spacing w:after="0" w:line="360" w:lineRule="auto"/>
        <w:contextualSpacing/>
        <w:rPr>
          <w:rFonts w:ascii="Palatino Linotype" w:eastAsia="MS Mincho" w:hAnsi="Palatino Linotype" w:cs="Arial"/>
          <w:sz w:val="12"/>
          <w:szCs w:val="24"/>
          <w:lang w:val="es-ES_tradnl" w:eastAsia="es-MX"/>
        </w:rPr>
      </w:pPr>
    </w:p>
    <w:p w:rsidR="00AD1FE1" w:rsidRPr="00B06612" w:rsidRDefault="00AD1FE1" w:rsidP="00B06612">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06612">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AD1FE1" w:rsidRPr="00B06612" w:rsidRDefault="00AD1FE1" w:rsidP="00B06612">
      <w:pPr>
        <w:autoSpaceDE w:val="0"/>
        <w:autoSpaceDN w:val="0"/>
        <w:adjustRightInd w:val="0"/>
        <w:spacing w:after="0" w:line="360" w:lineRule="auto"/>
        <w:ind w:left="567"/>
        <w:jc w:val="both"/>
        <w:rPr>
          <w:rFonts w:ascii="Palatino Linotype" w:eastAsia="MS Mincho" w:hAnsi="Palatino Linotype" w:cs="Arial"/>
          <w:b/>
          <w:bCs/>
          <w:i/>
          <w:sz w:val="12"/>
          <w:szCs w:val="24"/>
          <w:lang w:val="es-ES_tradnl" w:eastAsia="es-ES"/>
        </w:rPr>
      </w:pPr>
    </w:p>
    <w:p w:rsidR="00AD1FE1" w:rsidRPr="00B06612" w:rsidRDefault="00AD1FE1" w:rsidP="00B06612">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B06612">
        <w:rPr>
          <w:rFonts w:ascii="Palatino Linotype" w:eastAsia="MS Mincho" w:hAnsi="Palatino Linotype" w:cs="Arial"/>
          <w:bCs/>
          <w:i/>
          <w:sz w:val="24"/>
          <w:szCs w:val="24"/>
          <w:lang w:val="es-ES_tradnl" w:eastAsia="es-ES"/>
        </w:rPr>
        <w:t>“</w:t>
      </w:r>
      <w:r w:rsidRPr="00B06612">
        <w:rPr>
          <w:rFonts w:ascii="Palatino Linotype" w:eastAsia="MS Mincho" w:hAnsi="Palatino Linotype" w:cs="Arial"/>
          <w:b/>
          <w:bCs/>
          <w:i/>
          <w:sz w:val="24"/>
          <w:szCs w:val="24"/>
          <w:lang w:val="es-ES_tradnl" w:eastAsia="es-ES"/>
        </w:rPr>
        <w:t>Registro Federal de Contribuyentes (RFC) de personas físicas</w:t>
      </w:r>
      <w:r w:rsidRPr="00B06612">
        <w:rPr>
          <w:rFonts w:ascii="Palatino Linotype" w:eastAsia="MS Mincho" w:hAnsi="Palatino Linotype" w:cs="Arial"/>
          <w:bCs/>
          <w:i/>
          <w:sz w:val="24"/>
          <w:szCs w:val="24"/>
          <w:lang w:val="es-ES_tradnl" w:eastAsia="es-ES"/>
        </w:rPr>
        <w:t xml:space="preserve">. El RFC es una clave de carácter fiscal, </w:t>
      </w:r>
      <w:proofErr w:type="gramStart"/>
      <w:r w:rsidRPr="00B06612">
        <w:rPr>
          <w:rFonts w:ascii="Palatino Linotype" w:eastAsia="MS Mincho" w:hAnsi="Palatino Linotype" w:cs="Arial"/>
          <w:bCs/>
          <w:i/>
          <w:sz w:val="24"/>
          <w:szCs w:val="24"/>
          <w:lang w:val="es-ES_tradnl" w:eastAsia="es-ES"/>
        </w:rPr>
        <w:t>única</w:t>
      </w:r>
      <w:proofErr w:type="gramEnd"/>
      <w:r w:rsidRPr="00B06612">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AD1FE1" w:rsidRPr="00B06612" w:rsidRDefault="00AD1FE1" w:rsidP="00B06612">
      <w:pPr>
        <w:spacing w:after="0" w:line="360" w:lineRule="auto"/>
        <w:ind w:left="567" w:right="616"/>
        <w:jc w:val="both"/>
        <w:rPr>
          <w:rFonts w:ascii="Palatino Linotype" w:eastAsia="MS Mincho" w:hAnsi="Palatino Linotype" w:cs="Arial"/>
          <w:bCs/>
          <w:i/>
          <w:sz w:val="24"/>
          <w:szCs w:val="24"/>
          <w:lang w:val="es-ES_tradnl" w:eastAsia="es-ES"/>
        </w:rPr>
      </w:pPr>
      <w:r w:rsidRPr="00B06612">
        <w:rPr>
          <w:rFonts w:ascii="Palatino Linotype" w:eastAsia="MS Mincho" w:hAnsi="Palatino Linotype" w:cs="Arial"/>
          <w:bCs/>
          <w:i/>
          <w:sz w:val="24"/>
          <w:szCs w:val="24"/>
          <w:lang w:val="es-ES_tradnl" w:eastAsia="es-ES"/>
        </w:rPr>
        <w:t>Resoluciones:</w:t>
      </w:r>
    </w:p>
    <w:p w:rsidR="00AD1FE1" w:rsidRPr="00B06612" w:rsidRDefault="00AD1FE1" w:rsidP="00B06612">
      <w:pPr>
        <w:spacing w:after="0" w:line="360" w:lineRule="auto"/>
        <w:ind w:left="567" w:right="616"/>
        <w:jc w:val="both"/>
        <w:rPr>
          <w:rFonts w:ascii="Palatino Linotype" w:eastAsia="MS Mincho" w:hAnsi="Palatino Linotype" w:cs="Arial"/>
          <w:bCs/>
          <w:i/>
          <w:sz w:val="24"/>
          <w:szCs w:val="24"/>
          <w:lang w:val="es-ES_tradnl" w:eastAsia="es-ES"/>
        </w:rPr>
      </w:pPr>
      <w:r w:rsidRPr="00B06612">
        <w:rPr>
          <w:rFonts w:ascii="Palatino Linotype" w:eastAsia="MS Mincho" w:hAnsi="Palatino Linotype" w:cs="Arial"/>
          <w:bCs/>
          <w:i/>
          <w:sz w:val="24"/>
          <w:szCs w:val="24"/>
          <w:lang w:val="es-ES_tradnl" w:eastAsia="es-ES"/>
        </w:rPr>
        <w:t>•</w:t>
      </w:r>
      <w:r w:rsidRPr="00B06612">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AD1FE1" w:rsidRPr="00B06612" w:rsidRDefault="00AD1FE1" w:rsidP="00B06612">
      <w:pPr>
        <w:spacing w:after="0" w:line="360" w:lineRule="auto"/>
        <w:ind w:left="567" w:right="616"/>
        <w:jc w:val="both"/>
        <w:rPr>
          <w:rFonts w:ascii="Palatino Linotype" w:eastAsia="MS Mincho" w:hAnsi="Palatino Linotype" w:cs="Arial"/>
          <w:bCs/>
          <w:i/>
          <w:sz w:val="24"/>
          <w:szCs w:val="24"/>
          <w:lang w:val="es-ES_tradnl" w:eastAsia="es-ES"/>
        </w:rPr>
      </w:pPr>
      <w:r w:rsidRPr="00B06612">
        <w:rPr>
          <w:rFonts w:ascii="Palatino Linotype" w:eastAsia="MS Mincho" w:hAnsi="Palatino Linotype" w:cs="Arial"/>
          <w:bCs/>
          <w:i/>
          <w:sz w:val="24"/>
          <w:szCs w:val="24"/>
          <w:lang w:val="es-ES_tradnl" w:eastAsia="es-ES"/>
        </w:rPr>
        <w:t>•</w:t>
      </w:r>
      <w:r w:rsidRPr="00B06612">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B06612">
        <w:rPr>
          <w:rFonts w:ascii="Palatino Linotype" w:eastAsia="MS Mincho" w:hAnsi="Palatino Linotype" w:cs="Arial"/>
          <w:bCs/>
          <w:i/>
          <w:sz w:val="24"/>
          <w:szCs w:val="24"/>
          <w:lang w:val="es-ES_tradnl" w:eastAsia="es-ES"/>
        </w:rPr>
        <w:t>Rosendoevgueni</w:t>
      </w:r>
      <w:proofErr w:type="spellEnd"/>
      <w:r w:rsidRPr="00B06612">
        <w:rPr>
          <w:rFonts w:ascii="Palatino Linotype" w:eastAsia="MS Mincho" w:hAnsi="Palatino Linotype" w:cs="Arial"/>
          <w:bCs/>
          <w:i/>
          <w:sz w:val="24"/>
          <w:szCs w:val="24"/>
          <w:lang w:val="es-ES_tradnl" w:eastAsia="es-ES"/>
        </w:rPr>
        <w:t xml:space="preserve"> Monterrey </w:t>
      </w:r>
      <w:proofErr w:type="spellStart"/>
      <w:r w:rsidRPr="00B06612">
        <w:rPr>
          <w:rFonts w:ascii="Palatino Linotype" w:eastAsia="MS Mincho" w:hAnsi="Palatino Linotype" w:cs="Arial"/>
          <w:bCs/>
          <w:i/>
          <w:sz w:val="24"/>
          <w:szCs w:val="24"/>
          <w:lang w:val="es-ES_tradnl" w:eastAsia="es-ES"/>
        </w:rPr>
        <w:t>Chepov</w:t>
      </w:r>
      <w:proofErr w:type="spellEnd"/>
      <w:r w:rsidRPr="00B06612">
        <w:rPr>
          <w:rFonts w:ascii="Palatino Linotype" w:eastAsia="MS Mincho" w:hAnsi="Palatino Linotype" w:cs="Arial"/>
          <w:bCs/>
          <w:i/>
          <w:sz w:val="24"/>
          <w:szCs w:val="24"/>
          <w:lang w:val="es-ES_tradnl" w:eastAsia="es-ES"/>
        </w:rPr>
        <w:t xml:space="preserve">. </w:t>
      </w:r>
    </w:p>
    <w:p w:rsidR="00AD1FE1" w:rsidRPr="00B06612" w:rsidRDefault="00AD1FE1" w:rsidP="00B06612">
      <w:pPr>
        <w:spacing w:after="0" w:line="360" w:lineRule="auto"/>
        <w:ind w:left="567" w:right="616"/>
        <w:jc w:val="both"/>
        <w:rPr>
          <w:rFonts w:ascii="Palatino Linotype" w:eastAsia="MS Mincho" w:hAnsi="Palatino Linotype" w:cs="Arial"/>
          <w:bCs/>
          <w:i/>
          <w:sz w:val="24"/>
          <w:szCs w:val="24"/>
          <w:lang w:val="es-ES_tradnl" w:eastAsia="es-ES"/>
        </w:rPr>
      </w:pPr>
      <w:r w:rsidRPr="00B06612">
        <w:rPr>
          <w:rFonts w:ascii="Palatino Linotype" w:eastAsia="MS Mincho" w:hAnsi="Palatino Linotype" w:cs="Arial"/>
          <w:bCs/>
          <w:i/>
          <w:sz w:val="24"/>
          <w:szCs w:val="24"/>
          <w:lang w:val="es-ES_tradnl" w:eastAsia="es-ES"/>
        </w:rPr>
        <w:t>•</w:t>
      </w:r>
      <w:r w:rsidRPr="00B06612">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AD1FE1" w:rsidRPr="00B06612" w:rsidRDefault="00AD1FE1" w:rsidP="00B06612">
      <w:pPr>
        <w:spacing w:after="0" w:line="360" w:lineRule="auto"/>
        <w:ind w:left="567" w:right="616"/>
        <w:jc w:val="both"/>
        <w:rPr>
          <w:rFonts w:ascii="Palatino Linotype" w:eastAsia="MS Mincho" w:hAnsi="Palatino Linotype" w:cs="Arial"/>
          <w:bCs/>
          <w:sz w:val="24"/>
          <w:szCs w:val="24"/>
          <w:lang w:val="es-ES_tradnl" w:eastAsia="es-ES"/>
        </w:rPr>
      </w:pPr>
      <w:r w:rsidRPr="00B06612">
        <w:rPr>
          <w:rFonts w:ascii="Palatino Linotype" w:eastAsia="MS Mincho" w:hAnsi="Palatino Linotype" w:cs="Arial"/>
          <w:bCs/>
          <w:sz w:val="24"/>
          <w:szCs w:val="24"/>
          <w:lang w:val="es-ES_tradnl" w:eastAsia="es-ES"/>
        </w:rPr>
        <w:t>(Énfasis añadido)</w:t>
      </w:r>
    </w:p>
    <w:p w:rsidR="00AD1FE1" w:rsidRPr="00B06612" w:rsidRDefault="00AD1FE1" w:rsidP="00B06612">
      <w:pPr>
        <w:spacing w:after="0" w:line="360" w:lineRule="auto"/>
        <w:jc w:val="both"/>
        <w:rPr>
          <w:rFonts w:ascii="Palatino Linotype" w:eastAsia="MS Mincho" w:hAnsi="Palatino Linotype" w:cs="Arial"/>
          <w:sz w:val="24"/>
          <w:szCs w:val="24"/>
          <w:lang w:val="es-ES_tradnl" w:eastAsia="es-MX"/>
        </w:rPr>
      </w:pPr>
    </w:p>
    <w:p w:rsidR="00AD1FE1" w:rsidRPr="00B06612" w:rsidRDefault="00AD1FE1" w:rsidP="00B0661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06612">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B06612">
        <w:rPr>
          <w:rFonts w:ascii="Palatino Linotype" w:eastAsia="MS Mincho" w:hAnsi="Palatino Linotype" w:cs="Arial"/>
          <w:sz w:val="24"/>
          <w:szCs w:val="24"/>
          <w:lang w:val="es-ES_tradnl" w:eastAsia="es-MX"/>
        </w:rPr>
        <w:t>homoclave</w:t>
      </w:r>
      <w:proofErr w:type="spellEnd"/>
      <w:r w:rsidRPr="00B06612">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B06612">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B06612">
        <w:rPr>
          <w:rFonts w:ascii="Palatino Linotype" w:eastAsia="MS Mincho" w:hAnsi="Palatino Linotype" w:cs="Arial"/>
          <w:sz w:val="24"/>
          <w:szCs w:val="24"/>
          <w:lang w:val="es-ES_tradnl" w:eastAsia="es-MX"/>
        </w:rPr>
        <w:t>.</w:t>
      </w:r>
    </w:p>
    <w:p w:rsidR="00AD1FE1" w:rsidRPr="00B06612" w:rsidRDefault="00AD1FE1" w:rsidP="00B06612">
      <w:pPr>
        <w:spacing w:after="0" w:line="360" w:lineRule="auto"/>
        <w:contextualSpacing/>
        <w:jc w:val="both"/>
        <w:rPr>
          <w:rFonts w:ascii="Palatino Linotype" w:eastAsia="MS Mincho" w:hAnsi="Palatino Linotype" w:cs="Arial"/>
          <w:sz w:val="24"/>
          <w:szCs w:val="24"/>
          <w:lang w:val="es-ES_tradnl" w:eastAsia="es-MX"/>
        </w:rPr>
      </w:pPr>
    </w:p>
    <w:p w:rsidR="00AD1FE1" w:rsidRPr="00B06612" w:rsidRDefault="00AD1FE1" w:rsidP="00B0661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06612">
        <w:rPr>
          <w:rFonts w:ascii="Palatino Linotype" w:eastAsia="MS Mincho" w:hAnsi="Palatino Linotype" w:cs="Arial"/>
          <w:sz w:val="24"/>
          <w:szCs w:val="24"/>
          <w:lang w:val="es-ES_tradnl" w:eastAsia="es-MX"/>
        </w:rPr>
        <w:t xml:space="preserve">Por cuanto hace a la </w:t>
      </w:r>
      <w:r w:rsidRPr="00B06612">
        <w:rPr>
          <w:rFonts w:ascii="Palatino Linotype" w:eastAsia="MS Mincho" w:hAnsi="Palatino Linotype" w:cs="Arial"/>
          <w:b/>
          <w:sz w:val="24"/>
          <w:szCs w:val="24"/>
          <w:lang w:val="es-ES_tradnl" w:eastAsia="es-ES"/>
        </w:rPr>
        <w:t xml:space="preserve">Clave Única de Registro de Población, </w:t>
      </w:r>
      <w:r w:rsidRPr="00B06612">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AD1FE1" w:rsidRPr="00B06612" w:rsidRDefault="00AD1FE1" w:rsidP="00B06612">
      <w:pPr>
        <w:spacing w:after="0" w:line="360" w:lineRule="auto"/>
        <w:jc w:val="both"/>
        <w:rPr>
          <w:rFonts w:ascii="Palatino Linotype" w:eastAsia="MS Mincho" w:hAnsi="Palatino Linotype" w:cs="Arial"/>
          <w:sz w:val="24"/>
          <w:szCs w:val="24"/>
          <w:lang w:val="es-ES_tradnl" w:eastAsia="es-MX"/>
        </w:rPr>
      </w:pPr>
    </w:p>
    <w:p w:rsidR="00AD1FE1" w:rsidRPr="00B06612" w:rsidRDefault="00AD1FE1" w:rsidP="00B0661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06612">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AD1FE1" w:rsidRPr="00B06612" w:rsidRDefault="00AD1FE1" w:rsidP="00B06612">
      <w:pPr>
        <w:spacing w:after="0" w:line="360" w:lineRule="auto"/>
        <w:ind w:right="616"/>
        <w:rPr>
          <w:rFonts w:ascii="Palatino Linotype" w:eastAsia="MS Mincho" w:hAnsi="Palatino Linotype" w:cs="Arial"/>
          <w:sz w:val="12"/>
          <w:szCs w:val="24"/>
          <w:lang w:val="es-ES_tradnl" w:eastAsia="es-MX"/>
        </w:rPr>
      </w:pPr>
    </w:p>
    <w:p w:rsidR="00AD1FE1" w:rsidRPr="00B06612" w:rsidRDefault="00AD1FE1" w:rsidP="00B06612">
      <w:pPr>
        <w:spacing w:after="0" w:line="360" w:lineRule="auto"/>
        <w:ind w:left="567" w:right="616"/>
        <w:jc w:val="both"/>
        <w:rPr>
          <w:rFonts w:ascii="Palatino Linotype" w:eastAsia="MS Mincho" w:hAnsi="Palatino Linotype" w:cs="Arial"/>
          <w:i/>
          <w:sz w:val="24"/>
          <w:szCs w:val="24"/>
          <w:lang w:val="es-ES_tradnl" w:eastAsia="es-MX"/>
        </w:rPr>
      </w:pPr>
      <w:r w:rsidRPr="00B06612">
        <w:rPr>
          <w:rFonts w:ascii="Palatino Linotype" w:eastAsia="MS Mincho" w:hAnsi="Palatino Linotype" w:cs="Arial,Bold"/>
          <w:b/>
          <w:bCs/>
          <w:i/>
          <w:sz w:val="24"/>
          <w:szCs w:val="24"/>
          <w:lang w:val="es-ES_tradnl" w:eastAsia="es-MX"/>
        </w:rPr>
        <w:t xml:space="preserve">“Artículo 86. </w:t>
      </w:r>
      <w:r w:rsidRPr="00B06612">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AD1FE1" w:rsidRPr="00B06612" w:rsidRDefault="00AD1FE1" w:rsidP="00B06612">
      <w:pPr>
        <w:spacing w:after="0" w:line="360" w:lineRule="auto"/>
        <w:ind w:left="567" w:right="616"/>
        <w:jc w:val="both"/>
        <w:rPr>
          <w:rFonts w:ascii="Palatino Linotype" w:eastAsia="MS Mincho" w:hAnsi="Palatino Linotype" w:cs="Arial"/>
          <w:i/>
          <w:sz w:val="12"/>
          <w:szCs w:val="24"/>
          <w:lang w:val="es-ES_tradnl" w:eastAsia="es-MX"/>
        </w:rPr>
      </w:pPr>
    </w:p>
    <w:p w:rsidR="00AD1FE1" w:rsidRPr="00B06612" w:rsidRDefault="00AD1FE1" w:rsidP="00B06612">
      <w:pPr>
        <w:spacing w:after="0" w:line="360" w:lineRule="auto"/>
        <w:ind w:left="567" w:right="616"/>
        <w:jc w:val="both"/>
        <w:rPr>
          <w:rFonts w:ascii="Palatino Linotype" w:eastAsia="MS Mincho" w:hAnsi="Palatino Linotype" w:cs="Arial"/>
          <w:i/>
          <w:sz w:val="24"/>
          <w:szCs w:val="24"/>
          <w:lang w:val="es-ES_tradnl" w:eastAsia="es-MX"/>
        </w:rPr>
      </w:pPr>
      <w:r w:rsidRPr="00B06612">
        <w:rPr>
          <w:rFonts w:ascii="Palatino Linotype" w:eastAsia="MS Mincho" w:hAnsi="Palatino Linotype" w:cs="Arial,Bold"/>
          <w:b/>
          <w:bCs/>
          <w:i/>
          <w:sz w:val="24"/>
          <w:szCs w:val="24"/>
          <w:lang w:val="es-ES_tradnl" w:eastAsia="es-MX"/>
        </w:rPr>
        <w:t xml:space="preserve">Artículo 91. </w:t>
      </w:r>
      <w:r w:rsidRPr="00B06612">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AD1FE1" w:rsidRPr="00B06612" w:rsidRDefault="00AD1FE1" w:rsidP="00B06612">
      <w:pPr>
        <w:spacing w:after="0" w:line="360" w:lineRule="auto"/>
        <w:rPr>
          <w:rFonts w:ascii="Palatino Linotype" w:eastAsia="MS Mincho" w:hAnsi="Palatino Linotype" w:cs="Arial"/>
          <w:sz w:val="12"/>
          <w:szCs w:val="24"/>
          <w:lang w:val="es-ES_tradnl" w:eastAsia="es-MX"/>
        </w:rPr>
      </w:pPr>
    </w:p>
    <w:p w:rsidR="00AD1FE1" w:rsidRPr="00B06612" w:rsidRDefault="00AD1FE1" w:rsidP="00B06612">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B06612">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B06612">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B06612">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AD1FE1" w:rsidRPr="00B06612" w:rsidRDefault="00AD1FE1" w:rsidP="00B06612">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AD1FE1" w:rsidRPr="00B06612" w:rsidRDefault="00AD1FE1" w:rsidP="00B0661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06612">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AD1FE1" w:rsidRPr="00B06612" w:rsidRDefault="00AD1FE1" w:rsidP="00B06612">
      <w:pPr>
        <w:spacing w:after="0" w:line="360" w:lineRule="auto"/>
        <w:ind w:left="567" w:right="616"/>
        <w:jc w:val="both"/>
        <w:rPr>
          <w:rFonts w:ascii="Palatino Linotype" w:eastAsia="MS Mincho" w:hAnsi="Palatino Linotype" w:cs="Arial"/>
          <w:sz w:val="12"/>
          <w:szCs w:val="24"/>
          <w:lang w:val="es-ES_tradnl" w:eastAsia="es-MX"/>
        </w:rPr>
      </w:pPr>
    </w:p>
    <w:p w:rsidR="00AD1FE1" w:rsidRPr="00B06612" w:rsidRDefault="00AD1FE1" w:rsidP="00B06612">
      <w:pPr>
        <w:spacing w:after="0" w:line="360" w:lineRule="auto"/>
        <w:ind w:left="567" w:right="616"/>
        <w:jc w:val="both"/>
        <w:rPr>
          <w:rFonts w:ascii="Palatino Linotype" w:eastAsia="MS Mincho" w:hAnsi="Palatino Linotype" w:cs="Arial"/>
          <w:bCs/>
          <w:i/>
          <w:sz w:val="24"/>
          <w:szCs w:val="24"/>
          <w:lang w:val="es-ES_tradnl" w:eastAsia="es-MX"/>
        </w:rPr>
      </w:pPr>
      <w:r w:rsidRPr="00B06612">
        <w:rPr>
          <w:rFonts w:ascii="Palatino Linotype" w:eastAsia="MS Mincho" w:hAnsi="Palatino Linotype" w:cs="Arial"/>
          <w:bCs/>
          <w:i/>
          <w:sz w:val="24"/>
          <w:szCs w:val="24"/>
          <w:lang w:val="es-ES_tradnl" w:eastAsia="es-MX"/>
        </w:rPr>
        <w:t>“</w:t>
      </w:r>
      <w:r w:rsidRPr="00B06612">
        <w:rPr>
          <w:rFonts w:ascii="Palatino Linotype" w:eastAsia="MS Mincho" w:hAnsi="Palatino Linotype" w:cs="Arial"/>
          <w:b/>
          <w:bCs/>
          <w:i/>
          <w:sz w:val="24"/>
          <w:szCs w:val="24"/>
          <w:lang w:val="es-ES_tradnl" w:eastAsia="es-MX"/>
        </w:rPr>
        <w:t>Clave Única de Registro de Población (CURP)</w:t>
      </w:r>
      <w:r w:rsidRPr="00B06612">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D1FE1" w:rsidRPr="00B06612" w:rsidRDefault="00AD1FE1" w:rsidP="00B06612">
      <w:pPr>
        <w:spacing w:after="0" w:line="360" w:lineRule="auto"/>
        <w:ind w:left="567" w:right="616"/>
        <w:jc w:val="both"/>
        <w:rPr>
          <w:rFonts w:ascii="Palatino Linotype" w:eastAsia="MS Mincho" w:hAnsi="Palatino Linotype" w:cs="Arial"/>
          <w:bCs/>
          <w:i/>
          <w:sz w:val="24"/>
          <w:szCs w:val="24"/>
          <w:lang w:val="es-ES_tradnl" w:eastAsia="es-MX"/>
        </w:rPr>
      </w:pPr>
      <w:r w:rsidRPr="00B06612">
        <w:rPr>
          <w:rFonts w:ascii="Palatino Linotype" w:eastAsia="MS Mincho" w:hAnsi="Palatino Linotype" w:cs="Arial"/>
          <w:bCs/>
          <w:i/>
          <w:sz w:val="24"/>
          <w:szCs w:val="24"/>
          <w:lang w:val="es-ES_tradnl" w:eastAsia="es-MX"/>
        </w:rPr>
        <w:t>Resoluciones:</w:t>
      </w:r>
    </w:p>
    <w:p w:rsidR="00AD1FE1" w:rsidRPr="00B06612" w:rsidRDefault="00AD1FE1" w:rsidP="00B06612">
      <w:pPr>
        <w:spacing w:after="0" w:line="360" w:lineRule="auto"/>
        <w:ind w:left="567" w:right="616"/>
        <w:jc w:val="both"/>
        <w:rPr>
          <w:rFonts w:ascii="Palatino Linotype" w:eastAsia="MS Mincho" w:hAnsi="Palatino Linotype" w:cs="Arial"/>
          <w:bCs/>
          <w:i/>
          <w:sz w:val="24"/>
          <w:szCs w:val="24"/>
          <w:lang w:val="es-ES_tradnl" w:eastAsia="es-MX"/>
        </w:rPr>
      </w:pPr>
      <w:r w:rsidRPr="00B06612">
        <w:rPr>
          <w:rFonts w:ascii="Palatino Linotype" w:eastAsia="MS Mincho" w:hAnsi="Palatino Linotype" w:cs="Arial"/>
          <w:bCs/>
          <w:i/>
          <w:sz w:val="24"/>
          <w:szCs w:val="24"/>
          <w:lang w:val="es-ES_tradnl" w:eastAsia="es-MX"/>
        </w:rPr>
        <w:t>•</w:t>
      </w:r>
      <w:r w:rsidRPr="00B06612">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B06612">
        <w:rPr>
          <w:rFonts w:ascii="Palatino Linotype" w:eastAsia="MS Mincho" w:hAnsi="Palatino Linotype" w:cs="Arial"/>
          <w:bCs/>
          <w:i/>
          <w:sz w:val="24"/>
          <w:szCs w:val="24"/>
          <w:lang w:val="es-ES_tradnl" w:eastAsia="es-MX"/>
        </w:rPr>
        <w:t>Rosendoevgueni</w:t>
      </w:r>
      <w:proofErr w:type="spellEnd"/>
      <w:r w:rsidRPr="00B06612">
        <w:rPr>
          <w:rFonts w:ascii="Palatino Linotype" w:eastAsia="MS Mincho" w:hAnsi="Palatino Linotype" w:cs="Arial"/>
          <w:bCs/>
          <w:i/>
          <w:sz w:val="24"/>
          <w:szCs w:val="24"/>
          <w:lang w:val="es-ES_tradnl" w:eastAsia="es-MX"/>
        </w:rPr>
        <w:t xml:space="preserve"> Monterrey </w:t>
      </w:r>
      <w:proofErr w:type="spellStart"/>
      <w:r w:rsidRPr="00B06612">
        <w:rPr>
          <w:rFonts w:ascii="Palatino Linotype" w:eastAsia="MS Mincho" w:hAnsi="Palatino Linotype" w:cs="Arial"/>
          <w:bCs/>
          <w:i/>
          <w:sz w:val="24"/>
          <w:szCs w:val="24"/>
          <w:lang w:val="es-ES_tradnl" w:eastAsia="es-MX"/>
        </w:rPr>
        <w:t>Chepov</w:t>
      </w:r>
      <w:proofErr w:type="spellEnd"/>
      <w:r w:rsidRPr="00B06612">
        <w:rPr>
          <w:rFonts w:ascii="Palatino Linotype" w:eastAsia="MS Mincho" w:hAnsi="Palatino Linotype" w:cs="Arial"/>
          <w:bCs/>
          <w:i/>
          <w:sz w:val="24"/>
          <w:szCs w:val="24"/>
          <w:lang w:val="es-ES_tradnl" w:eastAsia="es-MX"/>
        </w:rPr>
        <w:t>.</w:t>
      </w:r>
    </w:p>
    <w:p w:rsidR="00AD1FE1" w:rsidRPr="00B06612" w:rsidRDefault="00AD1FE1" w:rsidP="00B06612">
      <w:pPr>
        <w:spacing w:after="0" w:line="360" w:lineRule="auto"/>
        <w:ind w:left="567" w:right="616"/>
        <w:jc w:val="both"/>
        <w:rPr>
          <w:rFonts w:ascii="Palatino Linotype" w:eastAsia="MS Mincho" w:hAnsi="Palatino Linotype" w:cs="Arial"/>
          <w:bCs/>
          <w:i/>
          <w:sz w:val="24"/>
          <w:szCs w:val="24"/>
          <w:lang w:val="es-ES_tradnl" w:eastAsia="es-MX"/>
        </w:rPr>
      </w:pPr>
      <w:r w:rsidRPr="00B06612">
        <w:rPr>
          <w:rFonts w:ascii="Palatino Linotype" w:eastAsia="MS Mincho" w:hAnsi="Palatino Linotype" w:cs="Arial"/>
          <w:bCs/>
          <w:i/>
          <w:sz w:val="24"/>
          <w:szCs w:val="24"/>
          <w:lang w:val="es-ES_tradnl" w:eastAsia="es-MX"/>
        </w:rPr>
        <w:t>•</w:t>
      </w:r>
      <w:r w:rsidRPr="00B06612">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AD1FE1" w:rsidRPr="00B06612" w:rsidRDefault="00AD1FE1" w:rsidP="00B06612">
      <w:pPr>
        <w:spacing w:after="0" w:line="360" w:lineRule="auto"/>
        <w:ind w:left="567" w:right="616"/>
        <w:jc w:val="both"/>
        <w:rPr>
          <w:rFonts w:ascii="Palatino Linotype" w:eastAsia="MS Mincho" w:hAnsi="Palatino Linotype" w:cs="Arial"/>
          <w:i/>
          <w:sz w:val="24"/>
          <w:szCs w:val="24"/>
          <w:lang w:val="es-ES_tradnl" w:eastAsia="es-MX"/>
        </w:rPr>
      </w:pPr>
      <w:r w:rsidRPr="00B06612">
        <w:rPr>
          <w:rFonts w:ascii="Palatino Linotype" w:eastAsia="MS Mincho" w:hAnsi="Palatino Linotype" w:cs="Arial"/>
          <w:bCs/>
          <w:i/>
          <w:sz w:val="24"/>
          <w:szCs w:val="24"/>
          <w:lang w:val="es-ES_tradnl" w:eastAsia="es-MX"/>
        </w:rPr>
        <w:t>•</w:t>
      </w:r>
      <w:r w:rsidRPr="00B06612">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B06612">
        <w:rPr>
          <w:rFonts w:ascii="Palatino Linotype" w:eastAsia="MS Mincho" w:hAnsi="Palatino Linotype" w:cs="Arial"/>
          <w:i/>
          <w:sz w:val="24"/>
          <w:szCs w:val="24"/>
          <w:lang w:val="es-ES_tradnl" w:eastAsia="es-MX"/>
        </w:rPr>
        <w:t>” (SIC)</w:t>
      </w:r>
    </w:p>
    <w:p w:rsidR="00AD1FE1" w:rsidRPr="00B06612" w:rsidRDefault="00AD1FE1" w:rsidP="00B06612">
      <w:pPr>
        <w:spacing w:after="0" w:line="360" w:lineRule="auto"/>
        <w:ind w:right="757"/>
        <w:jc w:val="both"/>
        <w:rPr>
          <w:rFonts w:ascii="Palatino Linotype" w:eastAsia="MS Mincho" w:hAnsi="Palatino Linotype" w:cs="Arial"/>
          <w:i/>
          <w:sz w:val="12"/>
          <w:szCs w:val="24"/>
          <w:lang w:val="es-ES_tradnl" w:eastAsia="es-MX"/>
        </w:rPr>
      </w:pPr>
    </w:p>
    <w:p w:rsidR="00AD1FE1" w:rsidRPr="00B06612" w:rsidRDefault="00AD1FE1" w:rsidP="00B0661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06612">
        <w:rPr>
          <w:rFonts w:ascii="Palatino Linotype" w:eastAsia="MS Mincho" w:hAnsi="Palatino Linotype" w:cs="Arial"/>
          <w:sz w:val="24"/>
          <w:szCs w:val="24"/>
          <w:lang w:val="es-ES_tradnl" w:eastAsia="es-MX"/>
        </w:rPr>
        <w:t xml:space="preserve">De lo anterior, se desprende que la </w:t>
      </w:r>
      <w:r w:rsidRPr="00B06612">
        <w:rPr>
          <w:rFonts w:ascii="Palatino Linotype" w:eastAsia="MS Mincho" w:hAnsi="Palatino Linotype" w:cs="Times New Roman"/>
          <w:sz w:val="24"/>
          <w:szCs w:val="24"/>
          <w:lang w:val="es-ES_tradnl" w:eastAsia="es-MX"/>
        </w:rPr>
        <w:t xml:space="preserve">Clave Única de Registro de Población, </w:t>
      </w:r>
      <w:r w:rsidRPr="00B06612">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AD1FE1" w:rsidRPr="00B06612" w:rsidRDefault="00AD1FE1" w:rsidP="00B06612">
      <w:pPr>
        <w:spacing w:after="0" w:line="360" w:lineRule="auto"/>
        <w:contextualSpacing/>
        <w:jc w:val="both"/>
        <w:rPr>
          <w:rFonts w:ascii="Palatino Linotype" w:eastAsia="MS Mincho" w:hAnsi="Palatino Linotype" w:cs="Arial"/>
          <w:sz w:val="12"/>
          <w:szCs w:val="24"/>
          <w:lang w:val="es-ES_tradnl" w:eastAsia="es-MX"/>
        </w:rPr>
      </w:pPr>
    </w:p>
    <w:p w:rsidR="00AD1FE1" w:rsidRPr="00B06612" w:rsidRDefault="00AD1FE1" w:rsidP="00B0661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06612">
        <w:rPr>
          <w:rFonts w:ascii="Palatino Linotype" w:eastAsia="MS Mincho" w:hAnsi="Palatino Linotype" w:cs="Arial"/>
          <w:sz w:val="24"/>
          <w:szCs w:val="24"/>
          <w:lang w:val="es-ES_tradnl" w:eastAsia="es-MX"/>
        </w:rPr>
        <w:t xml:space="preserve">Por cuanto hace a la </w:t>
      </w:r>
      <w:r w:rsidRPr="00B06612">
        <w:rPr>
          <w:rFonts w:ascii="Palatino Linotype" w:eastAsia="MS Mincho" w:hAnsi="Palatino Linotype" w:cs="Arial"/>
          <w:b/>
          <w:sz w:val="24"/>
          <w:szCs w:val="24"/>
          <w:lang w:val="es-ES_tradnl" w:eastAsia="es-ES"/>
        </w:rPr>
        <w:t>Clave de cualquier tipo de seguridad social</w:t>
      </w:r>
      <w:r w:rsidRPr="00B06612">
        <w:rPr>
          <w:rFonts w:ascii="Palatino Linotype" w:eastAsia="MS Mincho" w:hAnsi="Palatino Linotype" w:cs="Arial"/>
          <w:sz w:val="24"/>
          <w:szCs w:val="24"/>
          <w:lang w:val="es-ES_tradnl" w:eastAsia="es-ES"/>
        </w:rPr>
        <w:t xml:space="preserve"> (ISSEMYM, u otros), está integrado por una </w:t>
      </w:r>
      <w:r w:rsidRPr="00B06612">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06612">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B06612">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B06612">
        <w:rPr>
          <w:rFonts w:ascii="Palatino Linotype" w:eastAsia="MS Mincho" w:hAnsi="Palatino Linotype" w:cs="Arial"/>
          <w:sz w:val="24"/>
          <w:szCs w:val="24"/>
          <w:lang w:val="es-ES_tradnl" w:eastAsia="es-MX"/>
        </w:rPr>
        <w:t>.</w:t>
      </w:r>
    </w:p>
    <w:p w:rsidR="00AD1FE1" w:rsidRPr="00B06612" w:rsidRDefault="00AD1FE1" w:rsidP="00B06612">
      <w:pPr>
        <w:spacing w:after="0" w:line="360" w:lineRule="auto"/>
        <w:contextualSpacing/>
        <w:rPr>
          <w:rFonts w:ascii="Palatino Linotype" w:eastAsia="MS Mincho" w:hAnsi="Palatino Linotype" w:cs="Arial"/>
          <w:sz w:val="12"/>
          <w:szCs w:val="24"/>
          <w:lang w:val="es-ES_tradnl" w:eastAsia="es-ES"/>
        </w:rPr>
      </w:pPr>
    </w:p>
    <w:p w:rsidR="00AD1FE1" w:rsidRPr="00B06612" w:rsidRDefault="00AD1FE1" w:rsidP="00B0661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06612">
        <w:rPr>
          <w:rFonts w:ascii="Palatino Linotype" w:eastAsia="MS Mincho" w:hAnsi="Palatino Linotype" w:cs="Arial"/>
          <w:sz w:val="24"/>
          <w:szCs w:val="24"/>
          <w:lang w:val="es-ES_tradnl" w:eastAsia="es-ES"/>
        </w:rPr>
        <w:t xml:space="preserve">Respecto de los </w:t>
      </w:r>
      <w:r w:rsidRPr="00B06612">
        <w:rPr>
          <w:rFonts w:ascii="Palatino Linotype" w:eastAsia="MS Mincho" w:hAnsi="Palatino Linotype" w:cs="Arial"/>
          <w:b/>
          <w:sz w:val="24"/>
          <w:szCs w:val="24"/>
          <w:lang w:val="es-ES_tradnl" w:eastAsia="es-ES"/>
        </w:rPr>
        <w:t>préstamos o descuentos</w:t>
      </w:r>
      <w:r w:rsidRPr="00B06612">
        <w:rPr>
          <w:rFonts w:ascii="Palatino Linotype" w:eastAsia="MS Mincho" w:hAnsi="Palatino Linotype" w:cs="Arial"/>
          <w:sz w:val="24"/>
          <w:szCs w:val="24"/>
          <w:lang w:val="es-ES_tradnl" w:eastAsia="es-ES"/>
        </w:rPr>
        <w:t xml:space="preserve"> </w:t>
      </w:r>
      <w:r w:rsidRPr="00B06612">
        <w:rPr>
          <w:rFonts w:ascii="Palatino Linotype" w:eastAsia="MS Mincho" w:hAnsi="Palatino Linotype" w:cs="Arial"/>
          <w:b/>
          <w:sz w:val="24"/>
          <w:szCs w:val="24"/>
          <w:lang w:val="es-ES_tradnl" w:eastAsia="es-ES"/>
        </w:rPr>
        <w:t>de carácter personal</w:t>
      </w:r>
      <w:r w:rsidRPr="00B06612">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proofErr w:type="gramStart"/>
      <w:r w:rsidRPr="00B06612">
        <w:rPr>
          <w:rFonts w:ascii="Palatino Linotype" w:eastAsia="MS Mincho" w:hAnsi="Palatino Linotype" w:cs="Arial"/>
          <w:sz w:val="24"/>
          <w:szCs w:val="24"/>
          <w:lang w:val="es-ES_tradnl" w:eastAsia="es-MX"/>
        </w:rPr>
        <w:t>favorecer  en</w:t>
      </w:r>
      <w:proofErr w:type="gramEnd"/>
      <w:r w:rsidRPr="00B06612">
        <w:rPr>
          <w:rFonts w:ascii="Palatino Linotype" w:eastAsia="MS Mincho" w:hAnsi="Palatino Linotype" w:cs="Arial"/>
          <w:sz w:val="24"/>
          <w:szCs w:val="24"/>
          <w:lang w:val="es-ES_tradnl" w:eastAsia="es-MX"/>
        </w:rPr>
        <w:t xml:space="preserve"> la transparencia y rendición de cuentas, sino, por el contrario con ello se violentaría la</w:t>
      </w:r>
      <w:r w:rsidRPr="00B06612">
        <w:rPr>
          <w:rFonts w:ascii="Palatino Linotype" w:eastAsia="MS Mincho" w:hAnsi="Palatino Linotype" w:cs="Times New Roman"/>
          <w:sz w:val="24"/>
          <w:szCs w:val="24"/>
          <w:lang w:val="es-ES_tradnl" w:eastAsia="es-ES"/>
        </w:rPr>
        <w:t xml:space="preserve"> </w:t>
      </w:r>
      <w:r w:rsidRPr="00B06612">
        <w:rPr>
          <w:rFonts w:ascii="Palatino Linotype" w:eastAsia="MS Mincho" w:hAnsi="Palatino Linotype" w:cs="Arial"/>
          <w:sz w:val="24"/>
          <w:szCs w:val="24"/>
          <w:lang w:val="es-ES_tradnl" w:eastAsia="es-MX"/>
        </w:rPr>
        <w:t>protección de información confidencial, porque incide en la intimidad de un individuo</w:t>
      </w:r>
      <w:r w:rsidRPr="00B06612">
        <w:rPr>
          <w:rFonts w:ascii="Palatino Linotype" w:eastAsia="MS Mincho" w:hAnsi="Palatino Linotype" w:cs="Times New Roman"/>
          <w:sz w:val="24"/>
          <w:szCs w:val="24"/>
          <w:lang w:val="es-ES_tradnl" w:eastAsia="es-ES"/>
        </w:rPr>
        <w:t xml:space="preserve"> </w:t>
      </w:r>
      <w:r w:rsidRPr="00B06612">
        <w:rPr>
          <w:rFonts w:ascii="Palatino Linotype" w:eastAsia="MS Mincho" w:hAnsi="Palatino Linotype" w:cs="Arial"/>
          <w:sz w:val="24"/>
          <w:szCs w:val="24"/>
          <w:lang w:val="es-ES_tradnl" w:eastAsia="es-MX"/>
        </w:rPr>
        <w:t>identificado.</w:t>
      </w:r>
    </w:p>
    <w:p w:rsidR="00AD1FE1" w:rsidRPr="00B06612" w:rsidRDefault="00AD1FE1" w:rsidP="00B06612">
      <w:pPr>
        <w:spacing w:after="0" w:line="360" w:lineRule="auto"/>
        <w:contextualSpacing/>
        <w:rPr>
          <w:rFonts w:ascii="Palatino Linotype" w:eastAsia="MS Mincho" w:hAnsi="Palatino Linotype" w:cs="Arial"/>
          <w:sz w:val="12"/>
          <w:szCs w:val="24"/>
          <w:lang w:val="es-ES_tradnl" w:eastAsia="es-MX"/>
        </w:rPr>
      </w:pPr>
    </w:p>
    <w:p w:rsidR="00AD1FE1" w:rsidRPr="00B06612" w:rsidRDefault="00AD1FE1" w:rsidP="00B0661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06612">
        <w:rPr>
          <w:rFonts w:ascii="Palatino Linotype" w:eastAsia="MS Mincho" w:hAnsi="Palatino Linotype" w:cs="Arial"/>
          <w:sz w:val="24"/>
          <w:szCs w:val="24"/>
          <w:lang w:val="es-ES_tradnl" w:eastAsia="es-MX"/>
        </w:rPr>
        <w:t xml:space="preserve">Por su parte, el </w:t>
      </w:r>
      <w:r w:rsidRPr="00B06612">
        <w:rPr>
          <w:rFonts w:ascii="Palatino Linotype" w:eastAsia="MS Mincho" w:hAnsi="Palatino Linotype" w:cs="Arial"/>
          <w:sz w:val="24"/>
          <w:szCs w:val="24"/>
          <w:lang w:val="es-ES_tradnl" w:eastAsia="es-ES"/>
        </w:rPr>
        <w:t>artículo 84 de la Ley del Trabajo de los Servidores Públicos del Estado y Municipios, señala:</w:t>
      </w:r>
    </w:p>
    <w:p w:rsidR="00AD1FE1" w:rsidRPr="00B06612" w:rsidRDefault="00AD1FE1" w:rsidP="00B06612">
      <w:pPr>
        <w:spacing w:after="0" w:line="360" w:lineRule="auto"/>
        <w:jc w:val="both"/>
        <w:rPr>
          <w:rFonts w:ascii="Palatino Linotype" w:eastAsia="MS Mincho" w:hAnsi="Palatino Linotype" w:cs="Arial"/>
          <w:sz w:val="12"/>
          <w:szCs w:val="24"/>
          <w:lang w:val="es-ES_tradnl" w:eastAsia="es-ES"/>
        </w:rPr>
      </w:pPr>
    </w:p>
    <w:p w:rsidR="00AD1FE1" w:rsidRPr="00B06612" w:rsidRDefault="00AD1FE1" w:rsidP="00B06612">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B06612">
        <w:rPr>
          <w:rFonts w:ascii="Palatino Linotype" w:eastAsia="MS Mincho" w:hAnsi="Palatino Linotype" w:cs="Arial"/>
          <w:b/>
          <w:bCs/>
          <w:i/>
          <w:sz w:val="24"/>
          <w:szCs w:val="24"/>
          <w:lang w:val="es-ES_tradnl" w:eastAsia="es-ES"/>
        </w:rPr>
        <w:t>“ARTICULO 84. Sólo podrán hacerse retenciones, descuentos o deducciones al sueldo de los servidores públicos por concepto de:</w:t>
      </w:r>
    </w:p>
    <w:p w:rsidR="00AD1FE1" w:rsidRPr="00B06612" w:rsidRDefault="00AD1FE1" w:rsidP="00B06612">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B06612">
        <w:rPr>
          <w:rFonts w:ascii="Palatino Linotype" w:eastAsia="MS Mincho" w:hAnsi="Palatino Linotype" w:cs="Arial"/>
          <w:bCs/>
          <w:i/>
          <w:sz w:val="24"/>
          <w:szCs w:val="24"/>
          <w:lang w:val="es-ES_tradnl" w:eastAsia="es-ES"/>
        </w:rPr>
        <w:t>I. Gravámenes fiscales relacionados con el sueldo;</w:t>
      </w:r>
    </w:p>
    <w:p w:rsidR="00AD1FE1" w:rsidRPr="00B06612" w:rsidRDefault="00AD1FE1" w:rsidP="00B06612">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B06612">
        <w:rPr>
          <w:rFonts w:ascii="Palatino Linotype" w:eastAsia="MS Mincho" w:hAnsi="Palatino Linotype" w:cs="Arial"/>
          <w:bCs/>
          <w:i/>
          <w:sz w:val="24"/>
          <w:szCs w:val="24"/>
          <w:lang w:val="es-ES_tradnl" w:eastAsia="es-ES"/>
        </w:rPr>
        <w:t>II. Deudas contraídas con las instituciones públicas o dependencias por concepto de anticipos de sueldo, pagos hechos con exceso, errores o pérdidas debidamente comprobados;</w:t>
      </w:r>
    </w:p>
    <w:p w:rsidR="00AD1FE1" w:rsidRPr="00B06612" w:rsidRDefault="00AD1FE1" w:rsidP="00B06612">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B06612">
        <w:rPr>
          <w:rFonts w:ascii="Palatino Linotype" w:eastAsia="MS Mincho" w:hAnsi="Palatino Linotype" w:cs="Arial"/>
          <w:bCs/>
          <w:i/>
          <w:sz w:val="24"/>
          <w:szCs w:val="24"/>
          <w:lang w:val="es-ES_tradnl" w:eastAsia="es-ES"/>
        </w:rPr>
        <w:t>III. Cuotas sindicales;</w:t>
      </w:r>
    </w:p>
    <w:p w:rsidR="00AD1FE1" w:rsidRPr="00B06612" w:rsidRDefault="00AD1FE1" w:rsidP="00B06612">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B06612">
        <w:rPr>
          <w:rFonts w:ascii="Palatino Linotype" w:eastAsia="MS Mincho" w:hAnsi="Palatino Linotype" w:cs="Arial"/>
          <w:bCs/>
          <w:i/>
          <w:sz w:val="24"/>
          <w:szCs w:val="24"/>
          <w:lang w:val="es-ES_tradnl" w:eastAsia="es-ES"/>
        </w:rPr>
        <w:t>IV. Cuotas de aportación a fondos para la constitución de cooperativas y de cajas de ahorro, siempre que el servidor público hubiese manifestado previamente, de manera expresa, su conformidad;</w:t>
      </w:r>
    </w:p>
    <w:p w:rsidR="00AD1FE1" w:rsidRPr="00B06612" w:rsidRDefault="00AD1FE1" w:rsidP="00B06612">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B06612">
        <w:rPr>
          <w:rFonts w:ascii="Palatino Linotype" w:eastAsia="MS Mincho" w:hAnsi="Palatino Linotype" w:cs="Arial"/>
          <w:bCs/>
          <w:i/>
          <w:sz w:val="24"/>
          <w:szCs w:val="24"/>
          <w:lang w:val="es-ES_tradnl" w:eastAsia="es-ES"/>
        </w:rPr>
        <w:t>V. Descuentos ordenados por el Instituto de Seguridad Social del Estado de México y Municipios, con motivo de cuotas y obligaciones contraídas con éste por los servidores públicos;</w:t>
      </w:r>
    </w:p>
    <w:p w:rsidR="00AD1FE1" w:rsidRPr="00B06612" w:rsidRDefault="00AD1FE1" w:rsidP="00B06612">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B06612">
        <w:rPr>
          <w:rFonts w:ascii="Palatino Linotype" w:eastAsia="MS Mincho" w:hAnsi="Palatino Linotype" w:cs="Arial"/>
          <w:b/>
          <w:bCs/>
          <w:i/>
          <w:sz w:val="24"/>
          <w:szCs w:val="24"/>
          <w:lang w:val="es-ES_tradnl" w:eastAsia="es-ES"/>
        </w:rPr>
        <w:t>VI. Obligaciones a cargo del servidor público con las que haya consentido, derivadas de la adquisición o del uso de habitaciones consideradas como de interés social;</w:t>
      </w:r>
    </w:p>
    <w:p w:rsidR="00AD1FE1" w:rsidRPr="00B06612" w:rsidRDefault="00AD1FE1" w:rsidP="00B06612">
      <w:pPr>
        <w:spacing w:after="0" w:line="360" w:lineRule="auto"/>
        <w:ind w:left="567" w:right="616"/>
        <w:jc w:val="both"/>
        <w:rPr>
          <w:rFonts w:ascii="Palatino Linotype" w:eastAsia="MS Mincho" w:hAnsi="Palatino Linotype" w:cs="Arial"/>
          <w:bCs/>
          <w:i/>
          <w:sz w:val="24"/>
          <w:szCs w:val="24"/>
          <w:lang w:val="es-ES_tradnl" w:eastAsia="es-ES"/>
        </w:rPr>
      </w:pPr>
      <w:r w:rsidRPr="00B06612">
        <w:rPr>
          <w:rFonts w:ascii="Palatino Linotype" w:eastAsia="MS Mincho" w:hAnsi="Palatino Linotype" w:cs="Arial"/>
          <w:bCs/>
          <w:i/>
          <w:sz w:val="24"/>
          <w:szCs w:val="24"/>
          <w:lang w:val="es-ES_tradnl" w:eastAsia="es-ES"/>
        </w:rPr>
        <w:t>VII. Faltas de puntualidad o de asistencia injustificadas;</w:t>
      </w:r>
    </w:p>
    <w:p w:rsidR="00AD1FE1" w:rsidRPr="00B06612" w:rsidRDefault="00AD1FE1" w:rsidP="00B06612">
      <w:pPr>
        <w:spacing w:after="0" w:line="360" w:lineRule="auto"/>
        <w:ind w:left="567" w:right="616"/>
        <w:jc w:val="both"/>
        <w:rPr>
          <w:rFonts w:ascii="Palatino Linotype" w:eastAsia="MS Mincho" w:hAnsi="Palatino Linotype" w:cs="Arial"/>
          <w:bCs/>
          <w:i/>
          <w:sz w:val="24"/>
          <w:szCs w:val="24"/>
          <w:lang w:val="es-ES_tradnl" w:eastAsia="es-ES"/>
        </w:rPr>
      </w:pPr>
      <w:r w:rsidRPr="00B06612">
        <w:rPr>
          <w:rFonts w:ascii="Palatino Linotype" w:eastAsia="MS Mincho" w:hAnsi="Palatino Linotype" w:cs="Arial"/>
          <w:b/>
          <w:bCs/>
          <w:i/>
          <w:sz w:val="24"/>
          <w:szCs w:val="24"/>
          <w:lang w:val="es-ES_tradnl" w:eastAsia="es-ES"/>
        </w:rPr>
        <w:t>VIII. Pensiones alimenticias ordenadas por la autoridad judicial;</w:t>
      </w:r>
      <w:r w:rsidRPr="00B06612">
        <w:rPr>
          <w:rFonts w:ascii="Palatino Linotype" w:eastAsia="MS Mincho" w:hAnsi="Palatino Linotype" w:cs="Arial"/>
          <w:bCs/>
          <w:i/>
          <w:sz w:val="24"/>
          <w:szCs w:val="24"/>
          <w:lang w:val="es-ES_tradnl" w:eastAsia="es-ES"/>
        </w:rPr>
        <w:t xml:space="preserve"> o</w:t>
      </w:r>
    </w:p>
    <w:p w:rsidR="00AD1FE1" w:rsidRPr="00B06612" w:rsidRDefault="00AD1FE1" w:rsidP="00B06612">
      <w:pPr>
        <w:spacing w:after="0" w:line="360" w:lineRule="auto"/>
        <w:ind w:left="567" w:right="616"/>
        <w:jc w:val="both"/>
        <w:rPr>
          <w:rFonts w:ascii="Palatino Linotype" w:eastAsia="MS Mincho" w:hAnsi="Palatino Linotype" w:cs="Arial"/>
          <w:b/>
          <w:bCs/>
          <w:i/>
          <w:sz w:val="24"/>
          <w:szCs w:val="24"/>
          <w:lang w:val="es-ES_tradnl" w:eastAsia="es-ES"/>
        </w:rPr>
      </w:pPr>
      <w:r w:rsidRPr="00B06612">
        <w:rPr>
          <w:rFonts w:ascii="Palatino Linotype" w:eastAsia="MS Mincho" w:hAnsi="Palatino Linotype" w:cs="Arial"/>
          <w:b/>
          <w:bCs/>
          <w:i/>
          <w:sz w:val="24"/>
          <w:szCs w:val="24"/>
          <w:lang w:val="es-ES_tradnl" w:eastAsia="es-ES"/>
        </w:rPr>
        <w:t>IX. Cualquier otro convenido con instituciones de servicios y aceptado por el servidor público.</w:t>
      </w:r>
    </w:p>
    <w:p w:rsidR="00AD1FE1" w:rsidRPr="00B06612" w:rsidRDefault="00AD1FE1" w:rsidP="00B06612">
      <w:pPr>
        <w:spacing w:after="0" w:line="360" w:lineRule="auto"/>
        <w:ind w:left="567" w:right="616"/>
        <w:jc w:val="both"/>
        <w:rPr>
          <w:rFonts w:ascii="Palatino Linotype" w:eastAsia="MS Mincho" w:hAnsi="Palatino Linotype" w:cs="Arial"/>
          <w:bCs/>
          <w:i/>
          <w:sz w:val="24"/>
          <w:szCs w:val="24"/>
          <w:lang w:val="es-ES_tradnl" w:eastAsia="es-ES"/>
        </w:rPr>
      </w:pPr>
      <w:r w:rsidRPr="00B06612">
        <w:rPr>
          <w:rFonts w:ascii="Palatino Linotype" w:eastAsia="MS Mincho" w:hAnsi="Palatino Linotype" w:cs="Arial"/>
          <w:bCs/>
          <w:i/>
          <w:sz w:val="24"/>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AD71A8" w:rsidRPr="00B06612" w:rsidRDefault="00AD71A8" w:rsidP="00B06612">
      <w:pPr>
        <w:spacing w:after="0" w:line="360" w:lineRule="auto"/>
        <w:ind w:right="616"/>
        <w:jc w:val="both"/>
        <w:rPr>
          <w:rFonts w:ascii="Palatino Linotype" w:eastAsia="MS Mincho" w:hAnsi="Palatino Linotype" w:cs="Arial"/>
          <w:b/>
          <w:bCs/>
          <w:i/>
          <w:sz w:val="12"/>
          <w:szCs w:val="24"/>
          <w:lang w:val="es-ES_tradnl" w:eastAsia="es-ES"/>
        </w:rPr>
      </w:pPr>
    </w:p>
    <w:p w:rsidR="00AD1FE1" w:rsidRPr="00B06612" w:rsidRDefault="00AD1FE1" w:rsidP="00B0661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B06612">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w:t>
      </w:r>
      <w:r w:rsidRPr="00B06612">
        <w:rPr>
          <w:rFonts w:ascii="Palatino Linotype" w:eastAsia="MS Mincho" w:hAnsi="Palatino Linotype" w:cs="Arial"/>
          <w:b/>
          <w:sz w:val="24"/>
          <w:szCs w:val="24"/>
          <w:lang w:val="es-ES_tradnl" w:eastAsia="es-ES"/>
        </w:rPr>
        <w:t>descuentos por pensiones alimenticias o créditos adquiridos</w:t>
      </w:r>
      <w:r w:rsidRPr="00B06612">
        <w:rPr>
          <w:rFonts w:ascii="Palatino Linotype" w:eastAsia="MS Mincho" w:hAnsi="Palatino Linotype" w:cs="Arial"/>
          <w:sz w:val="24"/>
          <w:szCs w:val="24"/>
          <w:lang w:val="es-ES_tradnl" w:eastAsia="es-ES"/>
        </w:rPr>
        <w:t xml:space="preserve"> con instituciones privadas o públicas pero que fueron contraídas en forma individual, son información que debe clasificarse como confidencial.</w:t>
      </w:r>
    </w:p>
    <w:p w:rsidR="00AD1FE1" w:rsidRPr="00B06612" w:rsidRDefault="00AD1FE1" w:rsidP="00B06612">
      <w:pPr>
        <w:spacing w:after="0" w:line="360" w:lineRule="auto"/>
        <w:contextualSpacing/>
        <w:jc w:val="both"/>
        <w:rPr>
          <w:rFonts w:ascii="Palatino Linotype" w:eastAsia="MS Mincho" w:hAnsi="Palatino Linotype" w:cs="Arial"/>
          <w:sz w:val="12"/>
          <w:szCs w:val="24"/>
          <w:lang w:val="es-ES_tradnl" w:eastAsia="es-ES"/>
        </w:rPr>
      </w:pPr>
    </w:p>
    <w:p w:rsidR="00AD1FE1" w:rsidRPr="00B06612" w:rsidRDefault="00AD1FE1" w:rsidP="00B06612">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B06612">
        <w:rPr>
          <w:rFonts w:ascii="Palatino Linotype" w:eastAsia="MS Mincho" w:hAnsi="Palatino Linotype" w:cs="Arial"/>
          <w:sz w:val="24"/>
          <w:szCs w:val="24"/>
          <w:lang w:val="es-ES_tradnl" w:eastAsia="es-ES"/>
        </w:rPr>
        <w:t xml:space="preserve">Por ende, en el presente caso, </w:t>
      </w:r>
      <w:r w:rsidRPr="00B06612">
        <w:rPr>
          <w:rFonts w:ascii="Palatino Linotype" w:eastAsia="MS Mincho" w:hAnsi="Palatino Linotype" w:cs="Arial"/>
          <w:b/>
          <w:sz w:val="24"/>
          <w:szCs w:val="24"/>
          <w:lang w:val="es-ES_tradnl" w:eastAsia="es-ES"/>
        </w:rPr>
        <w:t>EL SUJETO OBLIGADO</w:t>
      </w:r>
      <w:r w:rsidRPr="00B06612">
        <w:rPr>
          <w:rFonts w:ascii="Palatino Linotype" w:eastAsia="MS Mincho" w:hAnsi="Palatino Linotype" w:cs="Arial"/>
          <w:sz w:val="24"/>
          <w:szCs w:val="24"/>
          <w:lang w:val="es-ES_tradnl" w:eastAsia="es-ES"/>
        </w:rPr>
        <w:t xml:space="preserve"> debe </w:t>
      </w:r>
      <w:r w:rsidRPr="00B06612">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06612">
        <w:rPr>
          <w:rFonts w:ascii="Palatino Linotype" w:eastAsia="MS Mincho" w:hAnsi="Palatino Linotype" w:cs="Arial"/>
          <w:b/>
          <w:sz w:val="24"/>
          <w:szCs w:val="24"/>
          <w:lang w:val="es-ES_tradnl" w:eastAsia="es-MX"/>
        </w:rPr>
        <w:t>EL SUJETO OBLIGADO</w:t>
      </w:r>
      <w:r w:rsidRPr="00B06612">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B06612">
        <w:rPr>
          <w:rFonts w:ascii="Palatino Linotype" w:eastAsia="MS Mincho" w:hAnsi="Palatino Linotype" w:cs="Arial"/>
          <w:b/>
          <w:sz w:val="24"/>
          <w:szCs w:val="24"/>
          <w:lang w:val="es-ES_tradnl" w:eastAsia="es-MX"/>
        </w:rPr>
        <w:t>SUJETO OBLIGADO</w:t>
      </w:r>
      <w:r w:rsidRPr="00B06612">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B06612">
        <w:rPr>
          <w:rFonts w:ascii="Palatino Linotype" w:eastAsia="MS Mincho" w:hAnsi="Palatino Linotype" w:cs="Arial"/>
          <w:color w:val="FF0000"/>
          <w:sz w:val="24"/>
          <w:szCs w:val="24"/>
          <w:lang w:val="es-ES_tradnl" w:eastAsia="es-MX"/>
        </w:rPr>
        <w:t>.</w:t>
      </w:r>
    </w:p>
    <w:p w:rsidR="00AD1FE1" w:rsidRPr="00B06612" w:rsidRDefault="00AD1FE1" w:rsidP="00B06612">
      <w:pPr>
        <w:spacing w:line="360" w:lineRule="auto"/>
        <w:contextualSpacing/>
        <w:rPr>
          <w:rFonts w:ascii="Palatino Linotype" w:eastAsia="MS Mincho" w:hAnsi="Palatino Linotype" w:cs="Arial"/>
          <w:color w:val="FF0000"/>
          <w:sz w:val="12"/>
          <w:szCs w:val="24"/>
          <w:lang w:val="es-ES_tradnl" w:eastAsia="es-ES"/>
        </w:rPr>
      </w:pPr>
    </w:p>
    <w:p w:rsidR="00AD1FE1" w:rsidRPr="00B06612" w:rsidRDefault="00AD1FE1" w:rsidP="00B06612">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B06612">
        <w:rPr>
          <w:rFonts w:ascii="Palatino Linotype" w:eastAsia="Calibri" w:hAnsi="Palatino Linotype" w:cs="Arial"/>
          <w:bCs/>
          <w:sz w:val="24"/>
          <w:szCs w:val="24"/>
          <w:lang w:val="es-ES_tradnl" w:eastAsia="es-ES"/>
        </w:rPr>
        <w:t xml:space="preserve">Por lo tanto, </w:t>
      </w:r>
      <w:r w:rsidRPr="00B06612">
        <w:rPr>
          <w:rFonts w:ascii="Palatino Linotype" w:eastAsia="Calibri" w:hAnsi="Palatino Linotype" w:cs="Arial"/>
          <w:b/>
          <w:bCs/>
          <w:sz w:val="24"/>
          <w:szCs w:val="24"/>
          <w:lang w:val="es-ES_tradnl" w:eastAsia="es-ES"/>
        </w:rPr>
        <w:t xml:space="preserve">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w:t>
      </w:r>
      <w:r w:rsidRPr="00B06612">
        <w:rPr>
          <w:rFonts w:ascii="Palatino Linotype" w:eastAsia="Calibri" w:hAnsi="Palatino Linotype" w:cs="Arial"/>
          <w:bCs/>
          <w:sz w:val="24"/>
          <w:szCs w:val="24"/>
          <w:lang w:val="es-ES_tradnl" w:eastAsia="es-ES"/>
        </w:rPr>
        <w:t>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D1FE1" w:rsidRPr="00B06612" w:rsidRDefault="00AD1FE1" w:rsidP="00B06612">
      <w:pPr>
        <w:spacing w:after="0" w:line="360" w:lineRule="auto"/>
        <w:contextualSpacing/>
        <w:jc w:val="both"/>
        <w:rPr>
          <w:rFonts w:ascii="Palatino Linotype" w:eastAsia="Calibri" w:hAnsi="Palatino Linotype" w:cs="Arial"/>
          <w:bCs/>
          <w:sz w:val="12"/>
          <w:szCs w:val="24"/>
          <w:lang w:val="es-ES_tradnl" w:eastAsia="es-ES"/>
        </w:rPr>
      </w:pPr>
    </w:p>
    <w:p w:rsidR="00AD1FE1" w:rsidRPr="00B06612" w:rsidRDefault="00AD1FE1" w:rsidP="00B06612">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B06612">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D1FE1" w:rsidRPr="00B06612" w:rsidRDefault="00AD1FE1" w:rsidP="00B06612">
      <w:pPr>
        <w:spacing w:after="0" w:line="360" w:lineRule="auto"/>
        <w:contextualSpacing/>
        <w:jc w:val="both"/>
        <w:rPr>
          <w:rFonts w:ascii="Palatino Linotype" w:eastAsia="Calibri" w:hAnsi="Palatino Linotype" w:cs="Arial"/>
          <w:bCs/>
          <w:sz w:val="12"/>
          <w:szCs w:val="24"/>
          <w:lang w:val="es-ES_tradnl" w:eastAsia="es-ES"/>
        </w:rPr>
      </w:pPr>
    </w:p>
    <w:p w:rsidR="00AD1FE1" w:rsidRPr="00B06612" w:rsidRDefault="00AD1FE1" w:rsidP="00B0661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06612">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AD1FE1" w:rsidRPr="00B06612" w:rsidRDefault="00AD1FE1" w:rsidP="00B06612">
      <w:pPr>
        <w:spacing w:after="0" w:line="360" w:lineRule="auto"/>
        <w:contextualSpacing/>
        <w:rPr>
          <w:rFonts w:ascii="Palatino Linotype" w:eastAsia="MS Mincho" w:hAnsi="Palatino Linotype" w:cs="Times New Roman"/>
          <w:sz w:val="12"/>
          <w:szCs w:val="24"/>
          <w:lang w:val="es-ES_tradnl" w:eastAsia="es-ES"/>
        </w:rPr>
      </w:pPr>
    </w:p>
    <w:p w:rsidR="00AD1FE1" w:rsidRPr="00B06612" w:rsidRDefault="00AD1FE1" w:rsidP="00B0661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109" w:name="_Toc454968928"/>
      <w:bookmarkStart w:id="110" w:name="_Toc455743517"/>
      <w:bookmarkStart w:id="111" w:name="_Toc458016386"/>
      <w:bookmarkStart w:id="112" w:name="_Toc461555893"/>
      <w:bookmarkStart w:id="113" w:name="_Toc462307690"/>
      <w:bookmarkStart w:id="114" w:name="_Toc475005143"/>
      <w:bookmarkStart w:id="115" w:name="_Toc499659080"/>
      <w:bookmarkEnd w:id="60"/>
      <w:bookmarkEnd w:id="61"/>
      <w:bookmarkEnd w:id="62"/>
      <w:bookmarkEnd w:id="63"/>
      <w:bookmarkEnd w:id="64"/>
      <w:bookmarkEnd w:id="65"/>
      <w:bookmarkEnd w:id="66"/>
      <w:bookmarkEnd w:id="67"/>
      <w:r w:rsidRPr="00B06612">
        <w:rPr>
          <w:rFonts w:ascii="Palatino Linotype" w:eastAsia="Times New Roman" w:hAnsi="Palatino Linotype"/>
          <w:sz w:val="24"/>
          <w:szCs w:val="24"/>
          <w:lang w:val="es-ES_tradnl" w:eastAsia="es-ES"/>
        </w:rPr>
        <w:t xml:space="preserve">Consecuentemente, en términos del artículo </w:t>
      </w:r>
      <w:r w:rsidR="00AD71A8" w:rsidRPr="00B06612">
        <w:rPr>
          <w:rFonts w:ascii="Palatino Linotype" w:eastAsia="Times New Roman" w:hAnsi="Palatino Linotype"/>
          <w:b/>
          <w:sz w:val="24"/>
          <w:szCs w:val="24"/>
          <w:lang w:val="es-ES_tradnl" w:eastAsia="es-ES"/>
        </w:rPr>
        <w:t>186 fracción III</w:t>
      </w:r>
      <w:r w:rsidRPr="00B06612">
        <w:rPr>
          <w:rFonts w:ascii="Palatino Linotype" w:eastAsia="Times New Roman" w:hAnsi="Palatino Linotype"/>
          <w:b/>
          <w:sz w:val="24"/>
          <w:szCs w:val="24"/>
          <w:lang w:val="es-ES_tradnl" w:eastAsia="es-ES"/>
        </w:rPr>
        <w:t xml:space="preserve"> </w:t>
      </w:r>
      <w:r w:rsidRPr="00B06612">
        <w:rPr>
          <w:rFonts w:ascii="Palatino Linotype" w:eastAsia="Times New Roman" w:hAnsi="Palatino Linotype"/>
          <w:sz w:val="24"/>
          <w:szCs w:val="24"/>
          <w:lang w:val="es-ES_tradnl" w:eastAsia="es-ES"/>
        </w:rPr>
        <w:t xml:space="preserve">este Pleno determina </w:t>
      </w:r>
      <w:r w:rsidR="00AD71A8" w:rsidRPr="00B06612">
        <w:rPr>
          <w:rFonts w:ascii="Palatino Linotype" w:eastAsia="Times New Roman" w:hAnsi="Palatino Linotype"/>
          <w:b/>
          <w:sz w:val="24"/>
          <w:szCs w:val="24"/>
          <w:lang w:val="es-ES_tradnl" w:eastAsia="es-ES"/>
        </w:rPr>
        <w:t>MODIFICAR</w:t>
      </w:r>
      <w:r w:rsidRPr="00B06612">
        <w:rPr>
          <w:rFonts w:ascii="Palatino Linotype" w:eastAsia="Times New Roman" w:hAnsi="Palatino Linotype"/>
          <w:b/>
          <w:sz w:val="24"/>
          <w:szCs w:val="24"/>
          <w:lang w:val="es-ES_tradnl" w:eastAsia="es-ES"/>
        </w:rPr>
        <w:t xml:space="preserve"> </w:t>
      </w:r>
      <w:r w:rsidRPr="00B06612">
        <w:rPr>
          <w:rFonts w:ascii="Palatino Linotype" w:eastAsia="Times New Roman" w:hAnsi="Palatino Linotype"/>
          <w:sz w:val="24"/>
          <w:szCs w:val="24"/>
          <w:lang w:val="es-ES_tradnl" w:eastAsia="es-ES"/>
        </w:rPr>
        <w:t>la entrega de la información correspo</w:t>
      </w:r>
      <w:r w:rsidR="00AD71A8" w:rsidRPr="00B06612">
        <w:rPr>
          <w:rFonts w:ascii="Palatino Linotype" w:eastAsia="Times New Roman" w:hAnsi="Palatino Linotype"/>
          <w:sz w:val="24"/>
          <w:szCs w:val="24"/>
          <w:lang w:val="es-ES_tradnl" w:eastAsia="es-ES"/>
        </w:rPr>
        <w:t>ndiente a la Nómina General de los Regidores</w:t>
      </w:r>
      <w:r w:rsidRPr="00B06612">
        <w:rPr>
          <w:rFonts w:ascii="Palatino Linotype" w:eastAsia="Times New Roman" w:hAnsi="Palatino Linotype"/>
          <w:sz w:val="24"/>
          <w:szCs w:val="24"/>
          <w:lang w:val="es-ES_tradnl" w:eastAsia="es-ES"/>
        </w:rPr>
        <w:t xml:space="preserve"> que labo</w:t>
      </w:r>
      <w:r w:rsidR="00AD71A8" w:rsidRPr="00B06612">
        <w:rPr>
          <w:rFonts w:ascii="Palatino Linotype" w:eastAsia="Times New Roman" w:hAnsi="Palatino Linotype"/>
          <w:sz w:val="24"/>
          <w:szCs w:val="24"/>
          <w:lang w:val="es-ES_tradnl" w:eastAsia="es-ES"/>
        </w:rPr>
        <w:t>ra en el Ayuntamiento de Metepec</w:t>
      </w:r>
      <w:r w:rsidRPr="00B06612">
        <w:rPr>
          <w:rFonts w:ascii="Palatino Linotype" w:eastAsia="Times New Roman" w:hAnsi="Palatino Linotype"/>
          <w:sz w:val="24"/>
          <w:szCs w:val="24"/>
          <w:lang w:val="es-ES_tradnl" w:eastAsia="es-ES"/>
        </w:rPr>
        <w:t xml:space="preserve"> de la segunda quincena del mes de febrero de la presente anualidad, </w:t>
      </w:r>
      <w:r w:rsidRPr="00B06612">
        <w:rPr>
          <w:rFonts w:ascii="Palatino Linotype" w:eastAsia="MS Mincho" w:hAnsi="Palatino Linotype" w:cs="Times New Roman"/>
          <w:sz w:val="24"/>
          <w:szCs w:val="24"/>
          <w:lang w:val="es-ES_tradnl" w:eastAsia="es-ES"/>
        </w:rPr>
        <w:t xml:space="preserve">toda vez </w:t>
      </w:r>
      <w:r w:rsidRPr="00B06612">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rsidR="00AD1FE1" w:rsidRPr="00B06612" w:rsidRDefault="00AD1FE1" w:rsidP="00B06612">
      <w:pPr>
        <w:spacing w:after="0" w:line="360" w:lineRule="auto"/>
        <w:ind w:right="49"/>
        <w:contextualSpacing/>
        <w:jc w:val="both"/>
        <w:rPr>
          <w:rFonts w:ascii="Palatino Linotype" w:eastAsia="Times New Roman" w:hAnsi="Palatino Linotype"/>
          <w:sz w:val="24"/>
          <w:szCs w:val="24"/>
          <w:lang w:val="es-ES_tradnl" w:eastAsia="es-ES"/>
        </w:rPr>
      </w:pPr>
    </w:p>
    <w:p w:rsidR="00744AF4" w:rsidRDefault="00AD1FE1" w:rsidP="00B06612">
      <w:pPr>
        <w:numPr>
          <w:ilvl w:val="0"/>
          <w:numId w:val="2"/>
        </w:numPr>
        <w:spacing w:after="0" w:line="360" w:lineRule="auto"/>
        <w:ind w:left="0" w:right="49" w:firstLine="0"/>
        <w:contextualSpacing/>
        <w:jc w:val="both"/>
        <w:rPr>
          <w:rFonts w:ascii="Palatino Linotype" w:eastAsia="Times New Roman" w:hAnsi="Palatino Linotype"/>
          <w:sz w:val="24"/>
          <w:szCs w:val="24"/>
          <w:lang w:val="es-ES_tradnl" w:eastAsia="es-ES"/>
        </w:rPr>
      </w:pPr>
      <w:r w:rsidRPr="00B06612">
        <w:rPr>
          <w:rFonts w:ascii="Palatino Linotype" w:eastAsia="Times New Roman" w:hAnsi="Palatino Linotype"/>
          <w:sz w:val="24"/>
          <w:szCs w:val="24"/>
          <w:lang w:val="es-ES_tradnl" w:eastAsia="es-ES"/>
        </w:rPr>
        <w:t xml:space="preserve">Por lo anteriormente expuesto y fundado este </w:t>
      </w:r>
      <w:r w:rsidRPr="00B06612">
        <w:rPr>
          <w:rFonts w:ascii="Palatino Linotype" w:eastAsia="Times New Roman" w:hAnsi="Palatino Linotype"/>
          <w:b/>
          <w:sz w:val="24"/>
          <w:szCs w:val="24"/>
          <w:lang w:val="es-ES_tradnl" w:eastAsia="es-ES"/>
        </w:rPr>
        <w:t>ÓRGANO GARANTE</w:t>
      </w:r>
      <w:r w:rsidRPr="00B06612">
        <w:rPr>
          <w:rFonts w:ascii="Palatino Linotype" w:eastAsia="Times New Roman" w:hAnsi="Palatino Linotype"/>
          <w:sz w:val="24"/>
          <w:szCs w:val="24"/>
          <w:lang w:val="es-ES_tradnl" w:eastAsia="es-ES"/>
        </w:rPr>
        <w:t xml:space="preserve"> emite los siguientes.</w:t>
      </w:r>
      <w:bookmarkStart w:id="116" w:name="_Toc447183492"/>
      <w:bookmarkStart w:id="117" w:name="_Toc450120667"/>
      <w:bookmarkStart w:id="118" w:name="_Toc461555895"/>
      <w:bookmarkStart w:id="119" w:name="_Toc12380000"/>
      <w:bookmarkEnd w:id="109"/>
      <w:bookmarkEnd w:id="110"/>
      <w:bookmarkEnd w:id="111"/>
      <w:bookmarkEnd w:id="112"/>
      <w:bookmarkEnd w:id="113"/>
      <w:bookmarkEnd w:id="114"/>
      <w:bookmarkEnd w:id="115"/>
    </w:p>
    <w:p w:rsidR="00B06612" w:rsidRDefault="00B06612" w:rsidP="00B06612">
      <w:pPr>
        <w:pStyle w:val="Prrafodelista"/>
        <w:rPr>
          <w:rFonts w:ascii="Palatino Linotype" w:eastAsia="Times New Roman" w:hAnsi="Palatino Linotype"/>
          <w:sz w:val="24"/>
          <w:szCs w:val="24"/>
          <w:lang w:val="es-ES_tradnl" w:eastAsia="es-ES"/>
        </w:rPr>
      </w:pPr>
    </w:p>
    <w:p w:rsidR="00B06612" w:rsidRDefault="00B06612" w:rsidP="00B06612">
      <w:pPr>
        <w:spacing w:after="0" w:line="360" w:lineRule="auto"/>
        <w:ind w:right="49"/>
        <w:contextualSpacing/>
        <w:jc w:val="both"/>
        <w:rPr>
          <w:rFonts w:ascii="Palatino Linotype" w:eastAsia="Times New Roman" w:hAnsi="Palatino Linotype"/>
          <w:sz w:val="24"/>
          <w:szCs w:val="24"/>
          <w:lang w:val="es-ES_tradnl" w:eastAsia="es-ES"/>
        </w:rPr>
      </w:pPr>
    </w:p>
    <w:p w:rsidR="004D6C56" w:rsidRPr="00B06612" w:rsidRDefault="004D6C56" w:rsidP="00B06612">
      <w:pPr>
        <w:spacing w:after="0" w:line="360" w:lineRule="auto"/>
        <w:ind w:right="49"/>
        <w:contextualSpacing/>
        <w:jc w:val="both"/>
        <w:rPr>
          <w:rFonts w:ascii="Palatino Linotype" w:eastAsia="Times New Roman" w:hAnsi="Palatino Linotype"/>
          <w:sz w:val="24"/>
          <w:szCs w:val="24"/>
          <w:lang w:val="es-ES_tradnl" w:eastAsia="es-ES"/>
        </w:rPr>
      </w:pPr>
    </w:p>
    <w:p w:rsidR="00AD1FE1" w:rsidRPr="00B06612" w:rsidRDefault="00AD1FE1" w:rsidP="00B06612">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r w:rsidRPr="00B06612">
        <w:rPr>
          <w:rFonts w:ascii="Palatino Linotype" w:eastAsia="Calibri" w:hAnsi="Palatino Linotype" w:cstheme="majorBidi"/>
          <w:b/>
          <w:sz w:val="24"/>
          <w:szCs w:val="24"/>
          <w:lang w:val="es-ES" w:eastAsia="es-ES"/>
        </w:rPr>
        <w:t>R E S O L U T I V O S</w:t>
      </w:r>
      <w:bookmarkEnd w:id="116"/>
      <w:bookmarkEnd w:id="117"/>
      <w:bookmarkEnd w:id="118"/>
      <w:bookmarkEnd w:id="119"/>
    </w:p>
    <w:p w:rsidR="00AD1FE1" w:rsidRPr="00B06612" w:rsidRDefault="00AD1FE1" w:rsidP="00B06612">
      <w:pPr>
        <w:spacing w:after="0" w:line="360" w:lineRule="auto"/>
        <w:ind w:right="-142"/>
        <w:rPr>
          <w:rFonts w:ascii="Palatino Linotype" w:eastAsiaTheme="minorEastAsia" w:hAnsi="Palatino Linotype"/>
          <w:sz w:val="24"/>
          <w:szCs w:val="24"/>
          <w:lang w:val="es-ES" w:eastAsia="es-ES"/>
        </w:rPr>
      </w:pPr>
    </w:p>
    <w:p w:rsidR="00AD1FE1" w:rsidRPr="00B06612" w:rsidRDefault="00AD1FE1" w:rsidP="00B06612">
      <w:pPr>
        <w:spacing w:before="240" w:after="360" w:line="360" w:lineRule="auto"/>
        <w:ind w:right="-142"/>
        <w:jc w:val="both"/>
        <w:rPr>
          <w:rFonts w:ascii="Palatino Linotype" w:eastAsia="Times New Roman" w:hAnsi="Palatino Linotype" w:cs="Arial"/>
          <w:sz w:val="24"/>
          <w:szCs w:val="24"/>
          <w:lang w:val="es-ES" w:eastAsia="es-ES"/>
        </w:rPr>
      </w:pPr>
      <w:r w:rsidRPr="00B06612">
        <w:rPr>
          <w:rFonts w:ascii="Palatino Linotype" w:eastAsia="Times New Roman" w:hAnsi="Palatino Linotype" w:cs="Arial"/>
          <w:b/>
          <w:sz w:val="24"/>
          <w:szCs w:val="24"/>
          <w:lang w:val="es-ES_tradnl" w:eastAsia="es-ES"/>
        </w:rPr>
        <w:t>PRIMERO</w:t>
      </w:r>
      <w:r w:rsidRPr="00B06612">
        <w:rPr>
          <w:rFonts w:ascii="Palatino Linotype" w:eastAsia="Times New Roman" w:hAnsi="Palatino Linotype" w:cs="Arial"/>
          <w:sz w:val="24"/>
          <w:szCs w:val="24"/>
          <w:lang w:val="es-ES" w:eastAsia="es-ES"/>
        </w:rPr>
        <w:t xml:space="preserve">. </w:t>
      </w:r>
      <w:r w:rsidRPr="00B06612">
        <w:rPr>
          <w:rFonts w:ascii="Palatino Linotype" w:eastAsia="Times New Roman" w:hAnsi="Palatino Linotype" w:cs="Arial"/>
          <w:sz w:val="24"/>
          <w:szCs w:val="24"/>
        </w:rPr>
        <w:t xml:space="preserve">Resultan </w:t>
      </w:r>
      <w:r w:rsidR="00AD71A8" w:rsidRPr="00B06612">
        <w:rPr>
          <w:rFonts w:ascii="Palatino Linotype" w:eastAsia="Times New Roman" w:hAnsi="Palatino Linotype" w:cs="Arial"/>
          <w:sz w:val="24"/>
          <w:szCs w:val="24"/>
        </w:rPr>
        <w:t xml:space="preserve">parcialmente </w:t>
      </w:r>
      <w:r w:rsidRPr="00B06612">
        <w:rPr>
          <w:rFonts w:ascii="Palatino Linotype" w:eastAsia="Times New Roman" w:hAnsi="Palatino Linotype" w:cs="Arial"/>
          <w:sz w:val="24"/>
          <w:szCs w:val="24"/>
        </w:rPr>
        <w:t>fundadas las</w:t>
      </w:r>
      <w:r w:rsidRPr="00B06612">
        <w:rPr>
          <w:rFonts w:ascii="Palatino Linotype" w:eastAsia="Times New Roman" w:hAnsi="Palatino Linotype" w:cs="Arial"/>
          <w:b/>
          <w:sz w:val="24"/>
          <w:szCs w:val="24"/>
        </w:rPr>
        <w:t xml:space="preserve"> </w:t>
      </w:r>
      <w:r w:rsidRPr="00B06612">
        <w:rPr>
          <w:rFonts w:ascii="Palatino Linotype" w:eastAsia="Times New Roman" w:hAnsi="Palatino Linotype" w:cs="Arial"/>
          <w:sz w:val="24"/>
          <w:szCs w:val="24"/>
          <w:lang w:val="es-ES"/>
        </w:rPr>
        <w:t xml:space="preserve">razones o motivos de inconformidad hechos valer </w:t>
      </w:r>
      <w:r w:rsidRPr="00B06612">
        <w:rPr>
          <w:rFonts w:ascii="Palatino Linotype" w:eastAsia="Calibri" w:hAnsi="Palatino Linotype" w:cs="Arial"/>
          <w:sz w:val="24"/>
          <w:szCs w:val="24"/>
          <w:lang w:val="es-ES"/>
        </w:rPr>
        <w:t xml:space="preserve">en el recurso de revisión </w:t>
      </w:r>
      <w:r w:rsidR="00AD71A8" w:rsidRPr="00B06612">
        <w:rPr>
          <w:rFonts w:ascii="Palatino Linotype" w:eastAsia="Calibri" w:hAnsi="Palatino Linotype" w:cs="Arial"/>
          <w:b/>
          <w:sz w:val="24"/>
          <w:szCs w:val="24"/>
          <w:lang w:val="es-ES"/>
        </w:rPr>
        <w:t>03213</w:t>
      </w:r>
      <w:r w:rsidRPr="00B06612">
        <w:rPr>
          <w:rFonts w:ascii="Palatino Linotype" w:eastAsia="Calibri" w:hAnsi="Palatino Linotype" w:cs="Arial"/>
          <w:b/>
          <w:sz w:val="24"/>
          <w:szCs w:val="24"/>
          <w:lang w:val="es-ES"/>
        </w:rPr>
        <w:t xml:space="preserve">/INFOEM/IP/RR/2019 </w:t>
      </w:r>
      <w:r w:rsidRPr="00B06612">
        <w:rPr>
          <w:rFonts w:ascii="Palatino Linotype" w:hAnsi="Palatino Linotype" w:cs="Arial"/>
          <w:bCs/>
          <w:sz w:val="24"/>
          <w:szCs w:val="24"/>
          <w:lang w:eastAsia="es-MX"/>
        </w:rPr>
        <w:t xml:space="preserve">en términos de los </w:t>
      </w:r>
      <w:r w:rsidRPr="00B06612">
        <w:rPr>
          <w:rFonts w:ascii="Palatino Linotype" w:hAnsi="Palatino Linotype" w:cs="Arial"/>
          <w:b/>
          <w:bCs/>
          <w:sz w:val="24"/>
          <w:szCs w:val="24"/>
          <w:lang w:eastAsia="es-MX"/>
        </w:rPr>
        <w:t xml:space="preserve">Considerandos CUARTO y QUINTO </w:t>
      </w:r>
      <w:r w:rsidRPr="00B06612">
        <w:rPr>
          <w:rFonts w:ascii="Palatino Linotype" w:hAnsi="Palatino Linotype" w:cs="Arial"/>
          <w:bCs/>
          <w:sz w:val="24"/>
          <w:szCs w:val="24"/>
          <w:lang w:eastAsia="es-MX"/>
        </w:rPr>
        <w:t>de la presente resolución.</w:t>
      </w:r>
    </w:p>
    <w:p w:rsidR="00AD1FE1" w:rsidRPr="00B06612" w:rsidRDefault="00AD1FE1" w:rsidP="00B06612">
      <w:pPr>
        <w:spacing w:before="240" w:after="360" w:line="360" w:lineRule="auto"/>
        <w:ind w:right="-142"/>
        <w:jc w:val="both"/>
        <w:rPr>
          <w:rFonts w:ascii="Palatino Linotype" w:eastAsia="Calibri" w:hAnsi="Palatino Linotype" w:cs="Arial"/>
          <w:sz w:val="24"/>
          <w:szCs w:val="24"/>
          <w:lang w:val="es-ES" w:eastAsia="es-ES"/>
        </w:rPr>
      </w:pPr>
      <w:r w:rsidRPr="00B06612">
        <w:rPr>
          <w:rFonts w:ascii="Palatino Linotype" w:eastAsiaTheme="minorEastAsia" w:hAnsi="Palatino Linotype"/>
          <w:b/>
          <w:sz w:val="24"/>
          <w:szCs w:val="24"/>
          <w:lang w:val="es-ES_tradnl" w:eastAsia="es-ES"/>
        </w:rPr>
        <w:t>SEGUNDO.</w:t>
      </w:r>
      <w:r w:rsidRPr="00B06612">
        <w:rPr>
          <w:rFonts w:ascii="Palatino Linotype" w:eastAsiaTheme="majorEastAsia" w:hAnsi="Palatino Linotype" w:cstheme="majorBidi"/>
          <w:b/>
          <w:color w:val="2E74B5" w:themeColor="accent1" w:themeShade="BF"/>
          <w:sz w:val="24"/>
          <w:szCs w:val="24"/>
          <w:lang w:val="es-ES_tradnl" w:eastAsia="es-ES"/>
        </w:rPr>
        <w:t xml:space="preserve"> </w:t>
      </w:r>
      <w:r w:rsidRPr="00B06612">
        <w:rPr>
          <w:rFonts w:ascii="Palatino Linotype" w:eastAsia="Calibri" w:hAnsi="Palatino Linotype" w:cs="Arial"/>
          <w:sz w:val="24"/>
          <w:szCs w:val="24"/>
          <w:lang w:val="es-ES" w:eastAsia="es-ES"/>
        </w:rPr>
        <w:t>Se</w:t>
      </w:r>
      <w:r w:rsidRPr="00B06612">
        <w:rPr>
          <w:rFonts w:ascii="Palatino Linotype" w:eastAsia="Calibri" w:hAnsi="Palatino Linotype" w:cs="Arial"/>
          <w:b/>
          <w:sz w:val="24"/>
          <w:szCs w:val="24"/>
          <w:lang w:val="es-ES" w:eastAsia="es-ES"/>
        </w:rPr>
        <w:t xml:space="preserve"> </w:t>
      </w:r>
      <w:r w:rsidR="00AD71A8" w:rsidRPr="00B06612">
        <w:rPr>
          <w:rFonts w:ascii="Palatino Linotype" w:eastAsia="Calibri" w:hAnsi="Palatino Linotype" w:cs="Arial"/>
          <w:b/>
          <w:sz w:val="24"/>
          <w:szCs w:val="24"/>
          <w:lang w:val="es-ES" w:eastAsia="es-ES"/>
        </w:rPr>
        <w:t xml:space="preserve">MODIFICA </w:t>
      </w:r>
      <w:r w:rsidR="00AD71A8" w:rsidRPr="00B06612">
        <w:rPr>
          <w:rFonts w:ascii="Palatino Linotype" w:eastAsia="Calibri" w:hAnsi="Palatino Linotype" w:cs="Arial"/>
          <w:sz w:val="24"/>
          <w:szCs w:val="24"/>
          <w:lang w:val="es-ES" w:eastAsia="es-ES"/>
        </w:rPr>
        <w:t>la repuesta</w:t>
      </w:r>
      <w:r w:rsidR="00AD71A8" w:rsidRPr="00B06612">
        <w:rPr>
          <w:rFonts w:ascii="Palatino Linotype" w:eastAsia="Calibri" w:hAnsi="Palatino Linotype" w:cs="Arial"/>
          <w:b/>
          <w:sz w:val="24"/>
          <w:szCs w:val="24"/>
          <w:lang w:val="es-ES" w:eastAsia="es-ES"/>
        </w:rPr>
        <w:t xml:space="preserve"> </w:t>
      </w:r>
      <w:r w:rsidR="00A86642" w:rsidRPr="00B06612">
        <w:rPr>
          <w:rFonts w:ascii="Palatino Linotype" w:eastAsia="Calibri" w:hAnsi="Palatino Linotype" w:cs="Arial"/>
          <w:sz w:val="24"/>
          <w:szCs w:val="24"/>
          <w:lang w:val="es-ES" w:eastAsia="es-ES"/>
        </w:rPr>
        <w:t>emitida por el</w:t>
      </w:r>
      <w:r w:rsidR="00A86642" w:rsidRPr="00B06612">
        <w:rPr>
          <w:rFonts w:ascii="Palatino Linotype" w:eastAsia="Calibri" w:hAnsi="Palatino Linotype" w:cs="Arial"/>
          <w:b/>
          <w:sz w:val="24"/>
          <w:szCs w:val="24"/>
          <w:lang w:val="es-ES" w:eastAsia="es-ES"/>
        </w:rPr>
        <w:t xml:space="preserve"> </w:t>
      </w:r>
      <w:r w:rsidR="00AD71A8" w:rsidRPr="00B06612">
        <w:rPr>
          <w:rFonts w:ascii="Palatino Linotype" w:hAnsi="Palatino Linotype"/>
          <w:b/>
          <w:sz w:val="24"/>
          <w:szCs w:val="24"/>
        </w:rPr>
        <w:t>Ayuntamiento de Metepec</w:t>
      </w:r>
      <w:r w:rsidRPr="00B06612">
        <w:rPr>
          <w:rFonts w:ascii="Palatino Linotype" w:hAnsi="Palatino Linotype"/>
          <w:b/>
          <w:sz w:val="24"/>
          <w:szCs w:val="24"/>
        </w:rPr>
        <w:t xml:space="preserve">, </w:t>
      </w:r>
      <w:r w:rsidR="00A86642" w:rsidRPr="00B06612">
        <w:rPr>
          <w:rFonts w:ascii="Palatino Linotype" w:hAnsi="Palatino Linotype"/>
          <w:sz w:val="24"/>
          <w:szCs w:val="24"/>
          <w:lang w:val="es-ES"/>
        </w:rPr>
        <w:t xml:space="preserve">y se </w:t>
      </w:r>
      <w:r w:rsidR="00B170B6" w:rsidRPr="00B06612">
        <w:rPr>
          <w:rFonts w:ascii="Palatino Linotype" w:hAnsi="Palatino Linotype"/>
          <w:sz w:val="24"/>
          <w:szCs w:val="24"/>
          <w:lang w:val="es-ES"/>
        </w:rPr>
        <w:t xml:space="preserve">ORDENA </w:t>
      </w:r>
      <w:r w:rsidRPr="00B06612">
        <w:rPr>
          <w:rFonts w:ascii="Palatino Linotype" w:eastAsia="Calibri" w:hAnsi="Palatino Linotype" w:cs="Arial"/>
          <w:sz w:val="24"/>
          <w:szCs w:val="24"/>
          <w:lang w:val="es-ES" w:eastAsia="es-ES"/>
        </w:rPr>
        <w:t xml:space="preserve">entregar vía Sistema de Acceso a la Información Mexiquense </w:t>
      </w:r>
      <w:r w:rsidRPr="00B06612">
        <w:rPr>
          <w:rFonts w:ascii="Palatino Linotype" w:eastAsia="Calibri" w:hAnsi="Palatino Linotype" w:cs="Arial"/>
          <w:b/>
          <w:sz w:val="24"/>
          <w:szCs w:val="24"/>
          <w:lang w:val="es-ES" w:eastAsia="es-ES"/>
        </w:rPr>
        <w:t xml:space="preserve">(SAIMEX) </w:t>
      </w:r>
      <w:r w:rsidRPr="00B06612">
        <w:rPr>
          <w:rFonts w:ascii="Palatino Linotype" w:eastAsia="Calibri" w:hAnsi="Palatino Linotype" w:cs="Arial"/>
          <w:sz w:val="24"/>
          <w:szCs w:val="24"/>
          <w:lang w:val="es-ES" w:eastAsia="es-ES"/>
        </w:rPr>
        <w:t xml:space="preserve">en versión pública, la siguiente información: </w:t>
      </w:r>
    </w:p>
    <w:p w:rsidR="00AD1FE1" w:rsidRPr="00B06612" w:rsidRDefault="00E4240D" w:rsidP="00B06612">
      <w:pPr>
        <w:numPr>
          <w:ilvl w:val="0"/>
          <w:numId w:val="4"/>
        </w:numPr>
        <w:spacing w:before="240" w:after="360" w:line="360" w:lineRule="auto"/>
        <w:ind w:left="0" w:right="-142" w:firstLine="0"/>
        <w:contextualSpacing/>
        <w:jc w:val="both"/>
        <w:rPr>
          <w:rFonts w:ascii="Palatino Linotype" w:eastAsia="Calibri" w:hAnsi="Palatino Linotype" w:cs="Arial"/>
          <w:b/>
          <w:sz w:val="24"/>
          <w:szCs w:val="24"/>
          <w:lang w:val="es-ES" w:eastAsia="es-ES"/>
        </w:rPr>
      </w:pPr>
      <w:r w:rsidRPr="00B06612">
        <w:rPr>
          <w:rFonts w:ascii="Palatino Linotype" w:eastAsia="Calibri" w:hAnsi="Palatino Linotype" w:cs="Arial"/>
          <w:b/>
          <w:sz w:val="24"/>
          <w:szCs w:val="24"/>
          <w:lang w:val="es-ES_tradnl" w:eastAsia="es-ES"/>
        </w:rPr>
        <w:t>Nó</w:t>
      </w:r>
      <w:r w:rsidR="00AD1FE1" w:rsidRPr="00B06612">
        <w:rPr>
          <w:rFonts w:ascii="Palatino Linotype" w:eastAsia="Calibri" w:hAnsi="Palatino Linotype" w:cs="Arial"/>
          <w:b/>
          <w:sz w:val="24"/>
          <w:szCs w:val="24"/>
          <w:lang w:val="es-ES_tradnl" w:eastAsia="es-ES"/>
        </w:rPr>
        <w:t xml:space="preserve">mina </w:t>
      </w:r>
      <w:r w:rsidR="00AD71A8" w:rsidRPr="00B06612">
        <w:rPr>
          <w:rFonts w:ascii="Palatino Linotype" w:eastAsia="Times New Roman" w:hAnsi="Palatino Linotype"/>
          <w:b/>
          <w:sz w:val="24"/>
          <w:szCs w:val="24"/>
          <w:lang w:val="es-ES_tradnl" w:eastAsia="es-ES"/>
        </w:rPr>
        <w:t>de la primera quincena del mes de abril</w:t>
      </w:r>
      <w:r w:rsidR="00AD1FE1" w:rsidRPr="00B06612">
        <w:rPr>
          <w:rFonts w:ascii="Palatino Linotype" w:eastAsia="Times New Roman" w:hAnsi="Palatino Linotype"/>
          <w:b/>
          <w:sz w:val="24"/>
          <w:szCs w:val="24"/>
          <w:lang w:val="es-ES_tradnl" w:eastAsia="es-ES"/>
        </w:rPr>
        <w:t xml:space="preserve"> de la presente anualidad</w:t>
      </w:r>
      <w:r w:rsidR="00AD1FE1" w:rsidRPr="00B06612">
        <w:rPr>
          <w:rFonts w:ascii="Palatino Linotype" w:eastAsia="Calibri" w:hAnsi="Palatino Linotype" w:cs="Arial"/>
          <w:b/>
          <w:sz w:val="24"/>
          <w:szCs w:val="24"/>
          <w:lang w:val="es-ES_tradnl" w:eastAsia="es-ES"/>
        </w:rPr>
        <w:t xml:space="preserve">, </w:t>
      </w:r>
      <w:r w:rsidR="00AD71A8" w:rsidRPr="00B06612">
        <w:rPr>
          <w:rFonts w:ascii="Palatino Linotype" w:eastAsia="Calibri" w:hAnsi="Palatino Linotype" w:cs="Arial"/>
          <w:b/>
          <w:sz w:val="24"/>
          <w:szCs w:val="24"/>
          <w:lang w:val="es-ES_tradnl" w:eastAsia="es-ES"/>
        </w:rPr>
        <w:t>de los Regidores q</w:t>
      </w:r>
      <w:r w:rsidR="00AD1FE1" w:rsidRPr="00B06612">
        <w:rPr>
          <w:rFonts w:ascii="Palatino Linotype" w:eastAsia="Calibri" w:hAnsi="Palatino Linotype" w:cs="Arial"/>
          <w:b/>
          <w:sz w:val="24"/>
          <w:szCs w:val="24"/>
          <w:lang w:val="es-ES_tradnl" w:eastAsia="es-ES"/>
        </w:rPr>
        <w:t>ue labora</w:t>
      </w:r>
      <w:r w:rsidR="00744AF4" w:rsidRPr="00B06612">
        <w:rPr>
          <w:rFonts w:ascii="Palatino Linotype" w:eastAsia="Calibri" w:hAnsi="Palatino Linotype" w:cs="Arial"/>
          <w:b/>
          <w:sz w:val="24"/>
          <w:szCs w:val="24"/>
          <w:lang w:val="es-ES_tradnl" w:eastAsia="es-ES"/>
        </w:rPr>
        <w:t>n</w:t>
      </w:r>
      <w:r w:rsidR="00AD1FE1" w:rsidRPr="00B06612">
        <w:rPr>
          <w:rFonts w:ascii="Palatino Linotype" w:eastAsia="Calibri" w:hAnsi="Palatino Linotype" w:cs="Arial"/>
          <w:b/>
          <w:sz w:val="24"/>
          <w:szCs w:val="24"/>
          <w:lang w:val="es-ES_tradnl" w:eastAsia="es-ES"/>
        </w:rPr>
        <w:t xml:space="preserve"> en</w:t>
      </w:r>
      <w:r w:rsidR="00744AF4" w:rsidRPr="00B06612">
        <w:rPr>
          <w:rFonts w:ascii="Palatino Linotype" w:eastAsia="Calibri" w:hAnsi="Palatino Linotype" w:cs="Arial"/>
          <w:b/>
          <w:sz w:val="24"/>
          <w:szCs w:val="24"/>
          <w:lang w:val="es-ES_tradnl" w:eastAsia="es-ES"/>
        </w:rPr>
        <w:t xml:space="preserve"> el</w:t>
      </w:r>
      <w:r w:rsidR="00AD1FE1" w:rsidRPr="00B06612">
        <w:rPr>
          <w:rFonts w:ascii="Palatino Linotype" w:eastAsia="Calibri" w:hAnsi="Palatino Linotype" w:cs="Arial"/>
          <w:b/>
          <w:sz w:val="24"/>
          <w:szCs w:val="24"/>
          <w:lang w:val="es-ES_tradnl" w:eastAsia="es-ES"/>
        </w:rPr>
        <w:t xml:space="preserve"> Municipio de</w:t>
      </w:r>
      <w:r w:rsidR="00AD71A8" w:rsidRPr="00B06612">
        <w:rPr>
          <w:rFonts w:ascii="Palatino Linotype" w:eastAsia="Calibri" w:hAnsi="Palatino Linotype" w:cs="Arial"/>
          <w:b/>
          <w:sz w:val="24"/>
          <w:szCs w:val="24"/>
          <w:lang w:val="es-ES_tradnl" w:eastAsia="es-ES"/>
        </w:rPr>
        <w:t xml:space="preserve"> Metepec</w:t>
      </w:r>
      <w:r w:rsidR="00AD1FE1" w:rsidRPr="00B06612">
        <w:rPr>
          <w:rFonts w:ascii="Palatino Linotype" w:eastAsia="Calibri" w:hAnsi="Palatino Linotype" w:cs="Arial"/>
          <w:b/>
          <w:sz w:val="24"/>
          <w:szCs w:val="24"/>
          <w:lang w:val="es-ES_tradnl" w:eastAsia="es-ES"/>
        </w:rPr>
        <w:t>.</w:t>
      </w:r>
    </w:p>
    <w:p w:rsidR="00AD1FE1" w:rsidRPr="00B06612" w:rsidRDefault="00AD1FE1" w:rsidP="00B06612">
      <w:pPr>
        <w:spacing w:before="240" w:after="360" w:line="360" w:lineRule="auto"/>
        <w:ind w:right="-142"/>
        <w:contextualSpacing/>
        <w:jc w:val="both"/>
        <w:rPr>
          <w:rFonts w:ascii="Palatino Linotype" w:eastAsia="Calibri" w:hAnsi="Palatino Linotype" w:cs="Arial"/>
          <w:b/>
          <w:sz w:val="24"/>
          <w:szCs w:val="24"/>
          <w:lang w:val="es-ES" w:eastAsia="es-ES"/>
        </w:rPr>
      </w:pPr>
    </w:p>
    <w:p w:rsidR="00AD1FE1" w:rsidRPr="00B06612" w:rsidRDefault="00AD1FE1" w:rsidP="00B06612">
      <w:pPr>
        <w:spacing w:before="240" w:after="360" w:line="360" w:lineRule="auto"/>
        <w:ind w:right="-142"/>
        <w:jc w:val="both"/>
        <w:rPr>
          <w:rFonts w:ascii="Palatino Linotype" w:eastAsia="Calibri" w:hAnsi="Palatino Linotype" w:cs="Arial"/>
          <w:sz w:val="24"/>
          <w:szCs w:val="24"/>
        </w:rPr>
      </w:pPr>
      <w:r w:rsidRPr="00B06612">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w:t>
      </w:r>
      <w:r w:rsidR="00A86642" w:rsidRPr="00B06612">
        <w:rPr>
          <w:rFonts w:ascii="Palatino Linotype" w:eastAsia="Calibri" w:hAnsi="Palatino Linotype" w:cs="Arial"/>
          <w:sz w:val="24"/>
          <w:szCs w:val="24"/>
        </w:rPr>
        <w:t xml:space="preserve">rmulen y se ponga a disposición del </w:t>
      </w:r>
      <w:r w:rsidR="00A86642" w:rsidRPr="00B06612">
        <w:rPr>
          <w:rFonts w:ascii="Palatino Linotype" w:eastAsia="Calibri" w:hAnsi="Palatino Linotype" w:cs="Arial"/>
          <w:b/>
          <w:sz w:val="24"/>
          <w:szCs w:val="24"/>
        </w:rPr>
        <w:t>RECURRENTE.</w:t>
      </w:r>
    </w:p>
    <w:p w:rsidR="00AD1FE1" w:rsidRPr="00B06612" w:rsidRDefault="00AD1FE1" w:rsidP="00B06612">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0" w:name="_Toc503891610"/>
      <w:bookmarkStart w:id="121" w:name="_Toc453696503"/>
      <w:bookmarkStart w:id="122" w:name="_Toc454301156"/>
      <w:bookmarkStart w:id="123" w:name="_Toc462653938"/>
      <w:bookmarkStart w:id="124" w:name="_Toc477891769"/>
      <w:bookmarkStart w:id="125" w:name="_Toc477891859"/>
      <w:bookmarkStart w:id="126" w:name="_Toc481576260"/>
      <w:bookmarkStart w:id="127" w:name="_Toc492590392"/>
      <w:r w:rsidRPr="00B06612">
        <w:rPr>
          <w:rFonts w:ascii="Palatino Linotype" w:eastAsia="Palatino Linotype" w:hAnsi="Palatino Linotype" w:cs="Palatino Linotype"/>
          <w:b/>
          <w:sz w:val="24"/>
          <w:szCs w:val="24"/>
          <w:lang w:val="es-ES_tradnl" w:eastAsia="es-ES"/>
        </w:rPr>
        <w:t xml:space="preserve">TERCERO. Notifíquese </w:t>
      </w:r>
      <w:r w:rsidRPr="00B06612">
        <w:rPr>
          <w:rFonts w:ascii="Palatino Linotype" w:eastAsia="Palatino Linotype" w:hAnsi="Palatino Linotype" w:cs="Palatino Linotype"/>
          <w:sz w:val="24"/>
          <w:szCs w:val="24"/>
          <w:lang w:val="es-ES_tradnl" w:eastAsia="es-ES"/>
        </w:rPr>
        <w:t xml:space="preserve">al Titular de la Unidad de Transparencia del </w:t>
      </w:r>
      <w:r w:rsidRPr="00B06612">
        <w:rPr>
          <w:rFonts w:ascii="Palatino Linotype" w:eastAsia="Palatino Linotype" w:hAnsi="Palatino Linotype" w:cs="Palatino Linotype"/>
          <w:b/>
          <w:sz w:val="24"/>
          <w:szCs w:val="24"/>
          <w:lang w:val="es-ES_tradnl" w:eastAsia="es-ES"/>
        </w:rPr>
        <w:t>SUJETO OBLIGADO</w:t>
      </w:r>
      <w:r w:rsidRPr="00B0661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06612">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AD1FE1" w:rsidRPr="00B06612" w:rsidRDefault="00AD1FE1" w:rsidP="00B06612">
      <w:pPr>
        <w:shd w:val="clear" w:color="auto" w:fill="FFFFFF"/>
        <w:spacing w:after="0" w:line="360" w:lineRule="auto"/>
        <w:jc w:val="both"/>
        <w:rPr>
          <w:rFonts w:ascii="Palatino Linotype" w:eastAsia="Times New Roman" w:hAnsi="Palatino Linotype" w:cs="Arial"/>
          <w:b/>
          <w:sz w:val="12"/>
          <w:szCs w:val="24"/>
          <w:lang w:val="es-ES_tradnl" w:eastAsia="es-ES"/>
        </w:rPr>
      </w:pPr>
    </w:p>
    <w:p w:rsidR="00AD1FE1" w:rsidRPr="00B06612" w:rsidRDefault="00AD1FE1" w:rsidP="00B06612">
      <w:pPr>
        <w:shd w:val="clear" w:color="auto" w:fill="FFFFFF"/>
        <w:spacing w:after="0" w:line="360" w:lineRule="auto"/>
        <w:jc w:val="both"/>
        <w:rPr>
          <w:rFonts w:ascii="Palatino Linotype" w:eastAsiaTheme="minorEastAsia" w:hAnsi="Palatino Linotype"/>
          <w:sz w:val="24"/>
          <w:szCs w:val="24"/>
          <w:lang w:val="es-ES_tradnl" w:eastAsia="es-ES"/>
        </w:rPr>
      </w:pPr>
      <w:r w:rsidRPr="00B06612">
        <w:rPr>
          <w:rFonts w:ascii="Palatino Linotype" w:eastAsia="Times New Roman" w:hAnsi="Palatino Linotype" w:cs="Arial"/>
          <w:b/>
          <w:sz w:val="24"/>
          <w:szCs w:val="24"/>
          <w:lang w:val="es-ES_tradnl" w:eastAsia="es-ES"/>
        </w:rPr>
        <w:t xml:space="preserve">CUARTO. </w:t>
      </w:r>
      <w:r w:rsidRPr="00B06612">
        <w:rPr>
          <w:rFonts w:ascii="Palatino Linotype" w:eastAsia="Times New Roman" w:hAnsi="Palatino Linotype" w:cs="Times New Roman"/>
          <w:b/>
          <w:bCs/>
          <w:color w:val="222222"/>
          <w:sz w:val="24"/>
          <w:szCs w:val="24"/>
          <w:lang w:val="es-ES" w:eastAsia="es-ES"/>
        </w:rPr>
        <w:t>Notifíquese a</w:t>
      </w:r>
      <w:r w:rsidR="00AD71A8" w:rsidRPr="00B06612">
        <w:rPr>
          <w:rFonts w:ascii="Palatino Linotype" w:eastAsia="Times New Roman" w:hAnsi="Palatino Linotype" w:cs="Times New Roman"/>
          <w:b/>
          <w:bCs/>
          <w:color w:val="222222"/>
          <w:sz w:val="24"/>
          <w:szCs w:val="24"/>
          <w:lang w:val="es-ES_tradnl" w:eastAsia="es-ES"/>
        </w:rPr>
        <w:t xml:space="preserve"> </w:t>
      </w:r>
      <w:r w:rsidR="00DB6572" w:rsidRPr="00DB6572">
        <w:rPr>
          <w:rFonts w:ascii="Palatino Linotype" w:eastAsia="Times New Roman" w:hAnsi="Palatino Linotype" w:cs="Times New Roman"/>
          <w:b/>
          <w:bCs/>
          <w:color w:val="222222"/>
          <w:sz w:val="24"/>
          <w:szCs w:val="24"/>
          <w:highlight w:val="black"/>
          <w:lang w:val="es-ES_tradnl" w:eastAsia="es-ES"/>
        </w:rPr>
        <w:t>----------</w:t>
      </w:r>
      <w:r w:rsidR="00DB6572">
        <w:rPr>
          <w:rFonts w:ascii="Palatino Linotype" w:eastAsia="Times New Roman" w:hAnsi="Palatino Linotype" w:cs="Times New Roman"/>
          <w:b/>
          <w:bCs/>
          <w:color w:val="222222"/>
          <w:sz w:val="24"/>
          <w:szCs w:val="24"/>
          <w:highlight w:val="black"/>
          <w:lang w:val="es-ES_tradnl" w:eastAsia="es-ES"/>
        </w:rPr>
        <w:t>--</w:t>
      </w:r>
      <w:bookmarkStart w:id="128" w:name="_GoBack"/>
      <w:bookmarkEnd w:id="128"/>
      <w:r w:rsidR="00DB6572" w:rsidRPr="00DB6572">
        <w:rPr>
          <w:rFonts w:ascii="Palatino Linotype" w:eastAsia="Times New Roman" w:hAnsi="Palatino Linotype" w:cs="Times New Roman"/>
          <w:b/>
          <w:bCs/>
          <w:color w:val="222222"/>
          <w:sz w:val="24"/>
          <w:szCs w:val="24"/>
          <w:highlight w:val="black"/>
          <w:lang w:val="es-ES_tradnl" w:eastAsia="es-ES"/>
        </w:rPr>
        <w:t>------------------------</w:t>
      </w:r>
      <w:r w:rsidRPr="00B06612">
        <w:rPr>
          <w:rFonts w:ascii="Palatino Linotype" w:eastAsiaTheme="minorEastAsia" w:hAnsi="Palatino Linotype"/>
          <w:b/>
          <w:sz w:val="24"/>
          <w:szCs w:val="24"/>
          <w:lang w:val="es-ES_tradnl" w:eastAsia="es-ES"/>
        </w:rPr>
        <w:t xml:space="preserve">, </w:t>
      </w:r>
      <w:r w:rsidRPr="00B06612">
        <w:rPr>
          <w:rFonts w:ascii="Palatino Linotype" w:eastAsiaTheme="minorEastAsia" w:hAnsi="Palatino Linotype"/>
          <w:sz w:val="24"/>
          <w:szCs w:val="24"/>
          <w:lang w:val="es-ES_tradnl" w:eastAsia="es-ES"/>
        </w:rPr>
        <w:t xml:space="preserve">la presente resolución. </w:t>
      </w:r>
    </w:p>
    <w:p w:rsidR="00AD1FE1" w:rsidRPr="00B06612" w:rsidRDefault="00AD1FE1" w:rsidP="00B06612">
      <w:pPr>
        <w:shd w:val="clear" w:color="auto" w:fill="FFFFFF"/>
        <w:spacing w:after="0" w:line="360" w:lineRule="auto"/>
        <w:jc w:val="both"/>
        <w:rPr>
          <w:rFonts w:ascii="Palatino Linotype" w:eastAsiaTheme="minorEastAsia" w:hAnsi="Palatino Linotype"/>
          <w:sz w:val="12"/>
          <w:szCs w:val="24"/>
          <w:lang w:val="es-ES_tradnl" w:eastAsia="es-ES"/>
        </w:rPr>
      </w:pPr>
    </w:p>
    <w:p w:rsidR="00AD1FE1" w:rsidRPr="00B06612" w:rsidRDefault="00AD1FE1" w:rsidP="00B06612">
      <w:pPr>
        <w:shd w:val="clear" w:color="auto" w:fill="FFFFFF"/>
        <w:spacing w:after="0" w:line="360" w:lineRule="auto"/>
        <w:jc w:val="both"/>
        <w:rPr>
          <w:rFonts w:ascii="Palatino Linotype" w:eastAsia="MS Mincho" w:hAnsi="Palatino Linotype" w:cs="Times New Roman"/>
          <w:sz w:val="24"/>
          <w:szCs w:val="24"/>
          <w:lang w:val="es-ES" w:eastAsia="es-ES"/>
        </w:rPr>
      </w:pPr>
      <w:r w:rsidRPr="00B06612">
        <w:rPr>
          <w:rFonts w:ascii="Palatino Linotype" w:eastAsia="MS Mincho" w:hAnsi="Palatino Linotype" w:cs="Times New Roman"/>
          <w:b/>
          <w:sz w:val="24"/>
          <w:szCs w:val="24"/>
          <w:lang w:eastAsia="es-ES"/>
        </w:rPr>
        <w:t>QUINTO.</w:t>
      </w:r>
      <w:r w:rsidRPr="00B06612">
        <w:rPr>
          <w:rFonts w:ascii="Palatino Linotype" w:eastAsia="MS Mincho" w:hAnsi="Palatino Linotype" w:cs="Times New Roman"/>
          <w:sz w:val="24"/>
          <w:szCs w:val="24"/>
          <w:lang w:eastAsia="es-ES"/>
        </w:rPr>
        <w:t xml:space="preserve"> </w:t>
      </w:r>
      <w:r w:rsidRPr="00B06612">
        <w:rPr>
          <w:rFonts w:ascii="Palatino Linotype" w:eastAsia="MS Mincho" w:hAnsi="Palatino Linotype" w:cs="Times New Roman"/>
          <w:sz w:val="24"/>
          <w:szCs w:val="24"/>
          <w:lang w:val="es-ES" w:eastAsia="es-ES"/>
        </w:rPr>
        <w:t xml:space="preserve">Se hace del conocimiento de </w:t>
      </w:r>
      <w:r w:rsidR="00DB6572" w:rsidRPr="00DB6572">
        <w:rPr>
          <w:rFonts w:ascii="Palatino Linotype" w:eastAsiaTheme="minorEastAsia" w:hAnsi="Palatino Linotype"/>
          <w:b/>
          <w:sz w:val="24"/>
          <w:szCs w:val="24"/>
          <w:highlight w:val="black"/>
          <w:lang w:val="es-ES_tradnl" w:eastAsia="es-ES"/>
        </w:rPr>
        <w:t>-</w:t>
      </w:r>
      <w:r w:rsidR="00DB6572">
        <w:rPr>
          <w:rFonts w:ascii="Palatino Linotype" w:eastAsiaTheme="minorEastAsia" w:hAnsi="Palatino Linotype"/>
          <w:b/>
          <w:sz w:val="24"/>
          <w:szCs w:val="24"/>
          <w:highlight w:val="black"/>
          <w:lang w:val="es-ES_tradnl" w:eastAsia="es-ES"/>
        </w:rPr>
        <w:t>--------</w:t>
      </w:r>
      <w:r w:rsidR="00DB6572" w:rsidRPr="00DB6572">
        <w:rPr>
          <w:rFonts w:ascii="Palatino Linotype" w:eastAsiaTheme="minorEastAsia" w:hAnsi="Palatino Linotype"/>
          <w:b/>
          <w:sz w:val="24"/>
          <w:szCs w:val="24"/>
          <w:highlight w:val="black"/>
          <w:lang w:val="es-ES_tradnl" w:eastAsia="es-ES"/>
        </w:rPr>
        <w:t>---------------------------</w:t>
      </w:r>
      <w:r w:rsidR="00AD71A8" w:rsidRPr="00B06612">
        <w:rPr>
          <w:rFonts w:ascii="Palatino Linotype" w:eastAsiaTheme="minorEastAsia" w:hAnsi="Palatino Linotype"/>
          <w:b/>
          <w:sz w:val="24"/>
          <w:szCs w:val="24"/>
          <w:lang w:val="es-ES_tradnl" w:eastAsia="es-ES"/>
        </w:rPr>
        <w:t xml:space="preserve"> </w:t>
      </w:r>
      <w:r w:rsidRPr="00B06612">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B06612">
        <w:rPr>
          <w:rFonts w:ascii="Palatino Linotype" w:eastAsia="MS Mincho" w:hAnsi="Palatino Linotype" w:cs="Times New Roman"/>
          <w:bCs/>
          <w:sz w:val="24"/>
          <w:szCs w:val="24"/>
          <w:lang w:val="es-ES" w:eastAsia="es-ES"/>
        </w:rPr>
        <w:t>vía juicio de amparo</w:t>
      </w:r>
      <w:r w:rsidRPr="00B06612">
        <w:rPr>
          <w:rFonts w:ascii="Palatino Linotype" w:eastAsia="MS Mincho" w:hAnsi="Palatino Linotype" w:cs="Times New Roman"/>
          <w:sz w:val="24"/>
          <w:szCs w:val="24"/>
          <w:lang w:val="es-ES" w:eastAsia="es-ES"/>
        </w:rPr>
        <w:t> en los términos de las leyes aplicables.</w:t>
      </w:r>
    </w:p>
    <w:bookmarkEnd w:id="120"/>
    <w:bookmarkEnd w:id="121"/>
    <w:bookmarkEnd w:id="122"/>
    <w:bookmarkEnd w:id="123"/>
    <w:bookmarkEnd w:id="124"/>
    <w:bookmarkEnd w:id="125"/>
    <w:bookmarkEnd w:id="126"/>
    <w:bookmarkEnd w:id="127"/>
    <w:p w:rsidR="00AD1FE1" w:rsidRPr="00B06612" w:rsidRDefault="007659CE" w:rsidP="00B06612">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r>
        <w:rPr>
          <w:rFonts w:ascii="Palatino Linotype" w:eastAsiaTheme="minorEastAsia" w:hAnsi="Palatino Linotype"/>
          <w:sz w:val="24"/>
          <w:szCs w:val="24"/>
          <w:lang w:val="es-ES_tradnl" w:eastAsia="es-ES"/>
        </w:rPr>
        <w:t>A</w:t>
      </w:r>
      <w:r w:rsidR="00AD1FE1" w:rsidRPr="00B06612">
        <w:rPr>
          <w:rFonts w:ascii="Palatino Linotype" w:eastAsiaTheme="minorEastAsia" w:hAnsi="Palatino Linotype"/>
          <w:sz w:val="24"/>
          <w:szCs w:val="24"/>
          <w:lang w:val="es-ES_tradnl" w:eastAsia="es-ES"/>
        </w:rPr>
        <w:t xml:space="preserve">SÍ LO RESUELVE, POR UNANIMIDAD DE VOTOS, EL PLENO DEL INSTITUTO DE TRANSPARENCIA, ACCESO A LA INFORMACIÓN PÚBLICA Y PROTECCIÓN DE DATOS PERSONALES DEL ESTADO DE MÉXICO Y MUNICIPIOS, CONFORMADO POR LOS COMISIONADOS ZULEMA </w:t>
      </w:r>
      <w:r w:rsidR="00B06612" w:rsidRPr="00B06612">
        <w:rPr>
          <w:rFonts w:ascii="Palatino Linotype" w:eastAsiaTheme="minorEastAsia" w:hAnsi="Palatino Linotype"/>
          <w:sz w:val="24"/>
          <w:szCs w:val="24"/>
          <w:lang w:val="es-ES_tradnl" w:eastAsia="es-ES"/>
        </w:rPr>
        <w:t>MARTÍNEZ</w:t>
      </w:r>
      <w:r w:rsidR="00AD1FE1" w:rsidRPr="00B06612">
        <w:rPr>
          <w:rFonts w:ascii="Palatino Linotype" w:eastAsiaTheme="minorEastAsia" w:hAnsi="Palatino Linotype"/>
          <w:sz w:val="24"/>
          <w:szCs w:val="24"/>
          <w:lang w:val="es-ES_tradnl" w:eastAsia="es-ES"/>
        </w:rPr>
        <w:t xml:space="preserve"> </w:t>
      </w:r>
      <w:r w:rsidR="00B06612" w:rsidRPr="00B06612">
        <w:rPr>
          <w:rFonts w:ascii="Palatino Linotype" w:eastAsiaTheme="minorEastAsia" w:hAnsi="Palatino Linotype"/>
          <w:sz w:val="24"/>
          <w:szCs w:val="24"/>
          <w:lang w:val="es-ES_tradnl" w:eastAsia="es-ES"/>
        </w:rPr>
        <w:t>SÁNCHEZ</w:t>
      </w:r>
      <w:r w:rsidR="00AD1FE1" w:rsidRPr="00B06612">
        <w:rPr>
          <w:rFonts w:ascii="Palatino Linotype" w:eastAsiaTheme="minorEastAsia" w:hAnsi="Palatino Linotype"/>
          <w:sz w:val="24"/>
          <w:szCs w:val="24"/>
          <w:lang w:val="es-ES_tradnl" w:eastAsia="es-ES"/>
        </w:rPr>
        <w:t>; EVA ABAID YAPUR; JOSÉ GUADALUPE LUNA HERNÁNDEZ; JAVIER MARTÍNEZ CRUZ Y LUIS GUST</w:t>
      </w:r>
      <w:r w:rsidR="00B06612">
        <w:rPr>
          <w:rFonts w:ascii="Palatino Linotype" w:eastAsiaTheme="minorEastAsia" w:hAnsi="Palatino Linotype"/>
          <w:sz w:val="24"/>
          <w:szCs w:val="24"/>
          <w:lang w:val="es-ES_tradnl" w:eastAsia="es-ES"/>
        </w:rPr>
        <w:t>AVO PARRA NORIEGA; EN LA VIGÉSIMA QUINTA</w:t>
      </w:r>
      <w:r w:rsidR="00AD1FE1" w:rsidRPr="00B06612">
        <w:rPr>
          <w:rFonts w:ascii="Palatino Linotype" w:eastAsiaTheme="minorEastAsia" w:hAnsi="Palatino Linotype"/>
          <w:sz w:val="24"/>
          <w:szCs w:val="24"/>
          <w:lang w:val="es-ES_tradnl" w:eastAsia="es-ES"/>
        </w:rPr>
        <w:t xml:space="preserve"> SESI</w:t>
      </w:r>
      <w:r w:rsidR="00B06612">
        <w:rPr>
          <w:rFonts w:ascii="Palatino Linotype" w:eastAsiaTheme="minorEastAsia" w:hAnsi="Palatino Linotype"/>
          <w:sz w:val="24"/>
          <w:szCs w:val="24"/>
          <w:lang w:val="es-ES_tradnl" w:eastAsia="es-ES"/>
        </w:rPr>
        <w:t>ÓN ORDINARIA CELEBRADA EL TRES (03) DE JULIO</w:t>
      </w:r>
      <w:r w:rsidR="00AD1FE1" w:rsidRPr="00B06612">
        <w:rPr>
          <w:rFonts w:ascii="Palatino Linotype" w:eastAsiaTheme="minorEastAsia" w:hAnsi="Palatino Linotype"/>
          <w:sz w:val="24"/>
          <w:szCs w:val="24"/>
          <w:lang w:val="es-ES_tradnl" w:eastAsia="es-ES"/>
        </w:rPr>
        <w:t xml:space="preserve"> DE DOS MIL DIECINUEVE, ANTE EL SECRETARIO TÉCNICO DEL PLENO</w:t>
      </w:r>
      <w:r w:rsidR="00B06612">
        <w:rPr>
          <w:rFonts w:ascii="Palatino Linotype" w:eastAsiaTheme="minorEastAsia" w:hAnsi="Palatino Linotype"/>
          <w:sz w:val="24"/>
          <w:szCs w:val="24"/>
          <w:lang w:val="es-ES_tradnl" w:eastAsia="es-ES"/>
        </w:rPr>
        <w:t xml:space="preserve">, </w:t>
      </w:r>
      <w:r w:rsidR="00AD1FE1" w:rsidRPr="00B06612">
        <w:rPr>
          <w:rFonts w:ascii="Palatino Linotype" w:eastAsiaTheme="minorEastAsia" w:hAnsi="Palatino Linotype"/>
          <w:sz w:val="24"/>
          <w:szCs w:val="24"/>
          <w:lang w:val="es-ES_tradnl" w:eastAsia="es-ES"/>
        </w:rPr>
        <w:t>ALEXIS TAPIA RAMÍREZ.</w:t>
      </w:r>
      <w:r w:rsidR="00AD1FE1" w:rsidRPr="00B06612">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D1FE1" w:rsidRPr="00B06612" w:rsidTr="00AD1FE1">
        <w:trPr>
          <w:trHeight w:val="1168"/>
        </w:trPr>
        <w:tc>
          <w:tcPr>
            <w:tcW w:w="8697" w:type="dxa"/>
            <w:gridSpan w:val="2"/>
            <w:vAlign w:val="center"/>
          </w:tcPr>
          <w:p w:rsidR="00B06612" w:rsidRDefault="00B06612" w:rsidP="00B06612">
            <w:pPr>
              <w:spacing w:line="360" w:lineRule="auto"/>
              <w:ind w:right="-142"/>
              <w:jc w:val="center"/>
              <w:rPr>
                <w:rFonts w:ascii="Palatino Linotype" w:eastAsiaTheme="minorEastAsia" w:hAnsi="Palatino Linotype" w:cs="Times New Roman"/>
                <w:b/>
              </w:rPr>
            </w:pPr>
          </w:p>
          <w:p w:rsidR="00B06612" w:rsidRDefault="00B06612" w:rsidP="00B06612">
            <w:pPr>
              <w:spacing w:line="360" w:lineRule="auto"/>
              <w:ind w:right="-142"/>
              <w:jc w:val="center"/>
              <w:rPr>
                <w:rFonts w:ascii="Palatino Linotype" w:eastAsiaTheme="minorEastAsia" w:hAnsi="Palatino Linotype" w:cs="Times New Roman"/>
                <w:b/>
              </w:rPr>
            </w:pPr>
          </w:p>
          <w:p w:rsidR="00AD1FE1" w:rsidRPr="00B06612" w:rsidRDefault="00AD1FE1" w:rsidP="00B06612">
            <w:pPr>
              <w:spacing w:line="360" w:lineRule="auto"/>
              <w:ind w:right="-142"/>
              <w:jc w:val="center"/>
              <w:rPr>
                <w:rFonts w:ascii="Palatino Linotype" w:eastAsiaTheme="minorEastAsia" w:hAnsi="Palatino Linotype" w:cs="Times New Roman"/>
                <w:b/>
              </w:rPr>
            </w:pPr>
            <w:r w:rsidRPr="00B06612">
              <w:rPr>
                <w:rFonts w:ascii="Palatino Linotype" w:eastAsiaTheme="minorEastAsia" w:hAnsi="Palatino Linotype" w:cs="Times New Roman"/>
                <w:b/>
              </w:rPr>
              <w:t>Zulema Martínez Sánchez</w:t>
            </w:r>
          </w:p>
          <w:p w:rsidR="00AD1FE1" w:rsidRPr="00B06612" w:rsidRDefault="00AD1FE1" w:rsidP="00B06612">
            <w:pPr>
              <w:spacing w:line="360" w:lineRule="auto"/>
              <w:ind w:right="-142"/>
              <w:jc w:val="center"/>
              <w:rPr>
                <w:rFonts w:ascii="Palatino Linotype" w:eastAsiaTheme="minorEastAsia" w:hAnsi="Palatino Linotype" w:cs="Times New Roman"/>
              </w:rPr>
            </w:pPr>
            <w:r w:rsidRPr="00B06612">
              <w:rPr>
                <w:rFonts w:ascii="Palatino Linotype" w:eastAsiaTheme="minorEastAsia" w:hAnsi="Palatino Linotype" w:cs="Times New Roman"/>
              </w:rPr>
              <w:t>Comisionada Presidenta</w:t>
            </w:r>
          </w:p>
          <w:p w:rsidR="00AD1FE1" w:rsidRPr="00B06612" w:rsidRDefault="00AD1FE1" w:rsidP="00B06612">
            <w:pPr>
              <w:spacing w:line="360" w:lineRule="auto"/>
              <w:ind w:right="-142"/>
              <w:jc w:val="center"/>
              <w:rPr>
                <w:rFonts w:ascii="Palatino Linotype" w:eastAsiaTheme="minorEastAsia" w:hAnsi="Palatino Linotype" w:cs="Times New Roman"/>
              </w:rPr>
            </w:pPr>
            <w:r w:rsidRPr="00B06612">
              <w:rPr>
                <w:rFonts w:ascii="Palatino Linotype" w:eastAsiaTheme="minorEastAsia" w:hAnsi="Palatino Linotype" w:cs="Times New Roman"/>
              </w:rPr>
              <w:t>(Rúbrica)</w:t>
            </w:r>
          </w:p>
        </w:tc>
      </w:tr>
      <w:tr w:rsidR="00AD1FE1" w:rsidRPr="00B06612" w:rsidTr="00AD1FE1">
        <w:trPr>
          <w:trHeight w:val="1395"/>
        </w:trPr>
        <w:tc>
          <w:tcPr>
            <w:tcW w:w="4348" w:type="dxa"/>
            <w:vAlign w:val="center"/>
          </w:tcPr>
          <w:p w:rsidR="00AD1FE1" w:rsidRDefault="00AD1FE1" w:rsidP="00B06612">
            <w:pPr>
              <w:spacing w:line="360" w:lineRule="auto"/>
              <w:ind w:right="-142"/>
              <w:jc w:val="center"/>
              <w:rPr>
                <w:rFonts w:ascii="Palatino Linotype" w:eastAsiaTheme="minorEastAsia" w:hAnsi="Palatino Linotype" w:cs="Times New Roman"/>
                <w:b/>
              </w:rPr>
            </w:pPr>
          </w:p>
          <w:p w:rsidR="00C27F72" w:rsidRPr="00B06612" w:rsidRDefault="00C27F72" w:rsidP="00B06612">
            <w:pPr>
              <w:spacing w:line="360" w:lineRule="auto"/>
              <w:ind w:right="-142"/>
              <w:jc w:val="center"/>
              <w:rPr>
                <w:rFonts w:ascii="Palatino Linotype" w:eastAsiaTheme="minorEastAsia" w:hAnsi="Palatino Linotype" w:cs="Times New Roman"/>
                <w:b/>
              </w:rPr>
            </w:pPr>
          </w:p>
          <w:p w:rsidR="00AD1FE1" w:rsidRPr="00B06612" w:rsidRDefault="00AD1FE1" w:rsidP="00B06612">
            <w:pPr>
              <w:spacing w:line="360" w:lineRule="auto"/>
              <w:ind w:right="-142"/>
              <w:jc w:val="center"/>
              <w:rPr>
                <w:rFonts w:ascii="Palatino Linotype" w:eastAsiaTheme="minorEastAsia" w:hAnsi="Palatino Linotype" w:cs="Times New Roman"/>
                <w:b/>
              </w:rPr>
            </w:pPr>
            <w:r w:rsidRPr="00B06612">
              <w:rPr>
                <w:rFonts w:ascii="Palatino Linotype" w:eastAsiaTheme="minorEastAsia" w:hAnsi="Palatino Linotype" w:cs="Times New Roman"/>
                <w:b/>
              </w:rPr>
              <w:t xml:space="preserve">Eva </w:t>
            </w:r>
            <w:proofErr w:type="spellStart"/>
            <w:r w:rsidRPr="00B06612">
              <w:rPr>
                <w:rFonts w:ascii="Palatino Linotype" w:eastAsiaTheme="minorEastAsia" w:hAnsi="Palatino Linotype" w:cs="Times New Roman"/>
                <w:b/>
              </w:rPr>
              <w:t>Abaid</w:t>
            </w:r>
            <w:proofErr w:type="spellEnd"/>
            <w:r w:rsidRPr="00B06612">
              <w:rPr>
                <w:rFonts w:ascii="Palatino Linotype" w:eastAsiaTheme="minorEastAsia" w:hAnsi="Palatino Linotype" w:cs="Times New Roman"/>
                <w:b/>
              </w:rPr>
              <w:t xml:space="preserve"> </w:t>
            </w:r>
            <w:proofErr w:type="spellStart"/>
            <w:r w:rsidRPr="00B06612">
              <w:rPr>
                <w:rFonts w:ascii="Palatino Linotype" w:eastAsiaTheme="minorEastAsia" w:hAnsi="Palatino Linotype" w:cs="Times New Roman"/>
                <w:b/>
              </w:rPr>
              <w:t>Yapur</w:t>
            </w:r>
            <w:proofErr w:type="spellEnd"/>
          </w:p>
          <w:p w:rsidR="00AD1FE1" w:rsidRPr="00B06612" w:rsidRDefault="00AD1FE1" w:rsidP="00B06612">
            <w:pPr>
              <w:spacing w:line="360" w:lineRule="auto"/>
              <w:ind w:right="-142"/>
              <w:jc w:val="center"/>
              <w:rPr>
                <w:rFonts w:ascii="Palatino Linotype" w:eastAsiaTheme="minorEastAsia" w:hAnsi="Palatino Linotype" w:cs="Times New Roman"/>
              </w:rPr>
            </w:pPr>
            <w:r w:rsidRPr="00B06612">
              <w:rPr>
                <w:rFonts w:ascii="Palatino Linotype" w:eastAsiaTheme="minorEastAsia" w:hAnsi="Palatino Linotype" w:cs="Times New Roman"/>
              </w:rPr>
              <w:t>Comisionada</w:t>
            </w:r>
          </w:p>
          <w:p w:rsidR="00AD1FE1" w:rsidRPr="00B06612" w:rsidRDefault="00AD1FE1" w:rsidP="00B06612">
            <w:pPr>
              <w:spacing w:line="360" w:lineRule="auto"/>
              <w:ind w:right="-142"/>
              <w:jc w:val="center"/>
              <w:rPr>
                <w:rFonts w:ascii="Palatino Linotype" w:eastAsiaTheme="minorEastAsia" w:hAnsi="Palatino Linotype" w:cs="Times New Roman"/>
              </w:rPr>
            </w:pPr>
            <w:r w:rsidRPr="00B06612">
              <w:rPr>
                <w:rFonts w:ascii="Palatino Linotype" w:eastAsiaTheme="minorEastAsia" w:hAnsi="Palatino Linotype" w:cs="Times New Roman"/>
              </w:rPr>
              <w:t>(Rúbrica)</w:t>
            </w:r>
          </w:p>
        </w:tc>
        <w:tc>
          <w:tcPr>
            <w:tcW w:w="4349" w:type="dxa"/>
            <w:vAlign w:val="center"/>
          </w:tcPr>
          <w:p w:rsidR="00AD1FE1" w:rsidRDefault="00AD1FE1" w:rsidP="00B06612">
            <w:pPr>
              <w:spacing w:line="360" w:lineRule="auto"/>
              <w:ind w:right="-142"/>
              <w:jc w:val="center"/>
              <w:rPr>
                <w:rFonts w:ascii="Palatino Linotype" w:eastAsiaTheme="minorEastAsia" w:hAnsi="Palatino Linotype" w:cs="Times New Roman"/>
                <w:b/>
              </w:rPr>
            </w:pPr>
          </w:p>
          <w:p w:rsidR="00C27F72" w:rsidRPr="00B06612" w:rsidRDefault="00C27F72" w:rsidP="00B06612">
            <w:pPr>
              <w:spacing w:line="360" w:lineRule="auto"/>
              <w:ind w:right="-142"/>
              <w:jc w:val="center"/>
              <w:rPr>
                <w:rFonts w:ascii="Palatino Linotype" w:eastAsiaTheme="minorEastAsia" w:hAnsi="Palatino Linotype" w:cs="Times New Roman"/>
                <w:b/>
              </w:rPr>
            </w:pPr>
          </w:p>
          <w:p w:rsidR="00AD1FE1" w:rsidRPr="00B06612" w:rsidRDefault="00AD1FE1" w:rsidP="00B06612">
            <w:pPr>
              <w:spacing w:line="360" w:lineRule="auto"/>
              <w:ind w:right="-142"/>
              <w:jc w:val="center"/>
              <w:rPr>
                <w:rFonts w:ascii="Palatino Linotype" w:eastAsiaTheme="minorEastAsia" w:hAnsi="Palatino Linotype" w:cs="Times New Roman"/>
                <w:b/>
              </w:rPr>
            </w:pPr>
            <w:r w:rsidRPr="00B06612">
              <w:rPr>
                <w:rFonts w:ascii="Palatino Linotype" w:eastAsiaTheme="minorEastAsia" w:hAnsi="Palatino Linotype" w:cs="Times New Roman"/>
                <w:b/>
              </w:rPr>
              <w:t>José Guadalupe Luna Hernández</w:t>
            </w:r>
          </w:p>
          <w:p w:rsidR="00AD1FE1" w:rsidRPr="00B06612" w:rsidRDefault="00AD1FE1" w:rsidP="00B06612">
            <w:pPr>
              <w:spacing w:line="360" w:lineRule="auto"/>
              <w:ind w:right="-142"/>
              <w:jc w:val="center"/>
              <w:rPr>
                <w:rFonts w:ascii="Palatino Linotype" w:eastAsiaTheme="minorEastAsia" w:hAnsi="Palatino Linotype" w:cs="Times New Roman"/>
              </w:rPr>
            </w:pPr>
            <w:r w:rsidRPr="00B06612">
              <w:rPr>
                <w:rFonts w:ascii="Palatino Linotype" w:eastAsiaTheme="minorEastAsia" w:hAnsi="Palatino Linotype" w:cs="Times New Roman"/>
              </w:rPr>
              <w:t>Comisionado</w:t>
            </w:r>
          </w:p>
          <w:p w:rsidR="00AD1FE1" w:rsidRPr="00B06612" w:rsidRDefault="00AD1FE1" w:rsidP="00B06612">
            <w:pPr>
              <w:spacing w:line="360" w:lineRule="auto"/>
              <w:ind w:right="-142"/>
              <w:jc w:val="center"/>
              <w:rPr>
                <w:rFonts w:ascii="Palatino Linotype" w:eastAsiaTheme="minorEastAsia" w:hAnsi="Palatino Linotype" w:cs="Times New Roman"/>
              </w:rPr>
            </w:pPr>
            <w:r w:rsidRPr="00B06612">
              <w:rPr>
                <w:rFonts w:ascii="Palatino Linotype" w:eastAsiaTheme="minorEastAsia" w:hAnsi="Palatino Linotype" w:cs="Times New Roman"/>
              </w:rPr>
              <w:t>(Rúbrica)</w:t>
            </w:r>
          </w:p>
        </w:tc>
      </w:tr>
      <w:tr w:rsidR="00AD1FE1" w:rsidRPr="00B06612" w:rsidTr="00AD1FE1">
        <w:trPr>
          <w:trHeight w:val="1451"/>
        </w:trPr>
        <w:tc>
          <w:tcPr>
            <w:tcW w:w="4348" w:type="dxa"/>
            <w:vAlign w:val="center"/>
          </w:tcPr>
          <w:p w:rsidR="00AD1FE1" w:rsidRDefault="00AD1FE1" w:rsidP="00B06612">
            <w:pPr>
              <w:spacing w:line="360" w:lineRule="auto"/>
              <w:ind w:right="-142"/>
              <w:jc w:val="center"/>
              <w:rPr>
                <w:rFonts w:ascii="Palatino Linotype" w:eastAsiaTheme="minorEastAsia" w:hAnsi="Palatino Linotype" w:cs="Times New Roman"/>
                <w:b/>
              </w:rPr>
            </w:pPr>
          </w:p>
          <w:p w:rsidR="00C27F72" w:rsidRPr="00B06612" w:rsidRDefault="00C27F72" w:rsidP="00B06612">
            <w:pPr>
              <w:spacing w:line="360" w:lineRule="auto"/>
              <w:ind w:right="-142"/>
              <w:jc w:val="center"/>
              <w:rPr>
                <w:rFonts w:ascii="Palatino Linotype" w:eastAsiaTheme="minorEastAsia" w:hAnsi="Palatino Linotype" w:cs="Times New Roman"/>
                <w:b/>
              </w:rPr>
            </w:pPr>
          </w:p>
          <w:p w:rsidR="00AD1FE1" w:rsidRPr="00B06612" w:rsidRDefault="00AD1FE1" w:rsidP="00B06612">
            <w:pPr>
              <w:spacing w:line="360" w:lineRule="auto"/>
              <w:ind w:right="-142"/>
              <w:jc w:val="center"/>
              <w:rPr>
                <w:rFonts w:ascii="Palatino Linotype" w:eastAsiaTheme="minorEastAsia" w:hAnsi="Palatino Linotype" w:cs="Times New Roman"/>
                <w:b/>
              </w:rPr>
            </w:pPr>
            <w:r w:rsidRPr="00B06612">
              <w:rPr>
                <w:rFonts w:ascii="Palatino Linotype" w:eastAsiaTheme="minorEastAsia" w:hAnsi="Palatino Linotype" w:cs="Times New Roman"/>
                <w:b/>
              </w:rPr>
              <w:t>Javier Martínez Cruz</w:t>
            </w:r>
          </w:p>
          <w:p w:rsidR="00AD1FE1" w:rsidRPr="00B06612" w:rsidRDefault="00AD1FE1" w:rsidP="00B06612">
            <w:pPr>
              <w:spacing w:line="360" w:lineRule="auto"/>
              <w:ind w:right="-142"/>
              <w:jc w:val="center"/>
              <w:rPr>
                <w:rFonts w:ascii="Palatino Linotype" w:eastAsiaTheme="minorEastAsia" w:hAnsi="Palatino Linotype" w:cs="Times New Roman"/>
              </w:rPr>
            </w:pPr>
            <w:r w:rsidRPr="00B06612">
              <w:rPr>
                <w:rFonts w:ascii="Palatino Linotype" w:eastAsiaTheme="minorEastAsia" w:hAnsi="Palatino Linotype" w:cs="Times New Roman"/>
              </w:rPr>
              <w:t>Comisionado</w:t>
            </w:r>
          </w:p>
          <w:p w:rsidR="00AD1FE1" w:rsidRPr="00B06612" w:rsidRDefault="00AD1FE1" w:rsidP="00B06612">
            <w:pPr>
              <w:spacing w:line="360" w:lineRule="auto"/>
              <w:ind w:right="-142"/>
              <w:jc w:val="center"/>
              <w:rPr>
                <w:rFonts w:ascii="Palatino Linotype" w:eastAsiaTheme="minorEastAsia" w:hAnsi="Palatino Linotype" w:cs="Times New Roman"/>
              </w:rPr>
            </w:pPr>
            <w:r w:rsidRPr="00B06612">
              <w:rPr>
                <w:rFonts w:ascii="Palatino Linotype" w:eastAsiaTheme="minorEastAsia" w:hAnsi="Palatino Linotype" w:cs="Times New Roman"/>
              </w:rPr>
              <w:t>(Rúbrica)</w:t>
            </w:r>
          </w:p>
        </w:tc>
        <w:tc>
          <w:tcPr>
            <w:tcW w:w="4349" w:type="dxa"/>
            <w:vAlign w:val="center"/>
          </w:tcPr>
          <w:p w:rsidR="00AD1FE1" w:rsidRDefault="00AD1FE1" w:rsidP="00B06612">
            <w:pPr>
              <w:spacing w:line="360" w:lineRule="auto"/>
              <w:ind w:right="-142"/>
              <w:jc w:val="center"/>
              <w:rPr>
                <w:rFonts w:ascii="Palatino Linotype" w:eastAsiaTheme="minorEastAsia" w:hAnsi="Palatino Linotype" w:cs="Times New Roman"/>
                <w:b/>
              </w:rPr>
            </w:pPr>
          </w:p>
          <w:p w:rsidR="00C27F72" w:rsidRPr="00B06612" w:rsidRDefault="00C27F72" w:rsidP="00B06612">
            <w:pPr>
              <w:spacing w:line="360" w:lineRule="auto"/>
              <w:ind w:right="-142"/>
              <w:jc w:val="center"/>
              <w:rPr>
                <w:rFonts w:ascii="Palatino Linotype" w:eastAsiaTheme="minorEastAsia" w:hAnsi="Palatino Linotype" w:cs="Times New Roman"/>
                <w:b/>
              </w:rPr>
            </w:pPr>
          </w:p>
          <w:p w:rsidR="00AD1FE1" w:rsidRPr="00B06612" w:rsidRDefault="00AD1FE1" w:rsidP="00B06612">
            <w:pPr>
              <w:spacing w:line="360" w:lineRule="auto"/>
              <w:ind w:right="-142"/>
              <w:jc w:val="center"/>
              <w:rPr>
                <w:rFonts w:ascii="Palatino Linotype" w:eastAsiaTheme="minorEastAsia" w:hAnsi="Palatino Linotype" w:cs="Times New Roman"/>
                <w:b/>
              </w:rPr>
            </w:pPr>
            <w:r w:rsidRPr="00B06612">
              <w:rPr>
                <w:rFonts w:ascii="Palatino Linotype" w:eastAsiaTheme="minorEastAsia" w:hAnsi="Palatino Linotype" w:cs="Times New Roman"/>
                <w:b/>
              </w:rPr>
              <w:t>Luis Gustavo Parra Noriega</w:t>
            </w:r>
          </w:p>
          <w:p w:rsidR="00AD1FE1" w:rsidRPr="00B06612" w:rsidRDefault="00AD1FE1" w:rsidP="00B06612">
            <w:pPr>
              <w:spacing w:line="360" w:lineRule="auto"/>
              <w:ind w:right="-142"/>
              <w:jc w:val="center"/>
              <w:rPr>
                <w:rFonts w:ascii="Palatino Linotype" w:eastAsiaTheme="minorEastAsia" w:hAnsi="Palatino Linotype" w:cs="Times New Roman"/>
              </w:rPr>
            </w:pPr>
            <w:r w:rsidRPr="00B06612">
              <w:rPr>
                <w:rFonts w:ascii="Palatino Linotype" w:eastAsiaTheme="minorEastAsia" w:hAnsi="Palatino Linotype" w:cs="Times New Roman"/>
              </w:rPr>
              <w:t>Comisionado</w:t>
            </w:r>
          </w:p>
          <w:p w:rsidR="00AD1FE1" w:rsidRPr="00B06612" w:rsidRDefault="00AD1FE1" w:rsidP="00B06612">
            <w:pPr>
              <w:spacing w:line="360" w:lineRule="auto"/>
              <w:ind w:right="-142"/>
              <w:jc w:val="center"/>
              <w:rPr>
                <w:rFonts w:ascii="Palatino Linotype" w:eastAsiaTheme="minorEastAsia" w:hAnsi="Palatino Linotype" w:cs="Times New Roman"/>
              </w:rPr>
            </w:pPr>
            <w:r w:rsidRPr="00B06612">
              <w:rPr>
                <w:rFonts w:ascii="Palatino Linotype" w:eastAsiaTheme="minorEastAsia" w:hAnsi="Palatino Linotype" w:cs="Times New Roman"/>
              </w:rPr>
              <w:t>(Rúbrica)</w:t>
            </w:r>
          </w:p>
        </w:tc>
      </w:tr>
      <w:tr w:rsidR="00AD1FE1" w:rsidRPr="00B06612" w:rsidTr="00AD1FE1">
        <w:trPr>
          <w:trHeight w:val="1263"/>
        </w:trPr>
        <w:tc>
          <w:tcPr>
            <w:tcW w:w="8697" w:type="dxa"/>
            <w:gridSpan w:val="2"/>
            <w:vAlign w:val="center"/>
          </w:tcPr>
          <w:p w:rsidR="00C27F72" w:rsidRPr="00B06612" w:rsidRDefault="00C27F72" w:rsidP="00C27F72">
            <w:pPr>
              <w:spacing w:line="360" w:lineRule="auto"/>
              <w:ind w:right="-142"/>
              <w:rPr>
                <w:rFonts w:ascii="Palatino Linotype" w:eastAsiaTheme="minorEastAsia" w:hAnsi="Palatino Linotype" w:cs="Times New Roman"/>
                <w:b/>
              </w:rPr>
            </w:pPr>
          </w:p>
          <w:p w:rsidR="00AD1FE1" w:rsidRPr="00B06612" w:rsidRDefault="00AD1FE1" w:rsidP="00B06612">
            <w:pPr>
              <w:spacing w:line="360" w:lineRule="auto"/>
              <w:ind w:right="-142"/>
              <w:jc w:val="center"/>
              <w:rPr>
                <w:rFonts w:ascii="Palatino Linotype" w:eastAsiaTheme="minorEastAsia" w:hAnsi="Palatino Linotype" w:cs="Times New Roman"/>
                <w:b/>
              </w:rPr>
            </w:pPr>
            <w:r w:rsidRPr="00B06612">
              <w:rPr>
                <w:rFonts w:ascii="Palatino Linotype" w:eastAsiaTheme="minorEastAsia" w:hAnsi="Palatino Linotype" w:cs="Times New Roman"/>
                <w:b/>
              </w:rPr>
              <w:t>Alexis Tapia Ramírez</w:t>
            </w:r>
          </w:p>
          <w:p w:rsidR="00AD1FE1" w:rsidRPr="00B06612" w:rsidRDefault="00AD1FE1" w:rsidP="00B06612">
            <w:pPr>
              <w:spacing w:line="360" w:lineRule="auto"/>
              <w:ind w:right="-142"/>
              <w:jc w:val="center"/>
              <w:rPr>
                <w:rFonts w:ascii="Palatino Linotype" w:eastAsiaTheme="minorEastAsia" w:hAnsi="Palatino Linotype" w:cs="Times New Roman"/>
              </w:rPr>
            </w:pPr>
            <w:r w:rsidRPr="00B06612">
              <w:rPr>
                <w:rFonts w:ascii="Palatino Linotype" w:eastAsiaTheme="minorEastAsia" w:hAnsi="Palatino Linotype" w:cs="Times New Roman"/>
              </w:rPr>
              <w:t>Secretario Técnico del Pleno</w:t>
            </w:r>
          </w:p>
          <w:p w:rsidR="00AD1FE1" w:rsidRPr="00B06612" w:rsidRDefault="00AD1FE1" w:rsidP="00C27F72">
            <w:pPr>
              <w:spacing w:line="360" w:lineRule="auto"/>
              <w:ind w:right="-142"/>
              <w:jc w:val="center"/>
              <w:rPr>
                <w:rFonts w:ascii="Palatino Linotype" w:eastAsiaTheme="minorEastAsia" w:hAnsi="Palatino Linotype" w:cs="Times New Roman"/>
              </w:rPr>
            </w:pPr>
            <w:r w:rsidRPr="00B06612">
              <w:rPr>
                <w:rFonts w:ascii="Palatino Linotype" w:eastAsiaTheme="minorEastAsia" w:hAnsi="Palatino Linotype" w:cs="Times New Roman"/>
              </w:rPr>
              <w:t>(Rúbrica)</w:t>
            </w:r>
          </w:p>
        </w:tc>
      </w:tr>
    </w:tbl>
    <w:p w:rsidR="000945B6" w:rsidRPr="00C27F72" w:rsidRDefault="00AD1FE1" w:rsidP="00C27F72">
      <w:pPr>
        <w:spacing w:before="240" w:after="240" w:line="360" w:lineRule="auto"/>
        <w:ind w:right="-142"/>
        <w:jc w:val="both"/>
        <w:rPr>
          <w:rFonts w:ascii="Palatino Linotype" w:eastAsia="Times New Roman" w:hAnsi="Palatino Linotype" w:cs="Arial"/>
          <w:sz w:val="24"/>
          <w:szCs w:val="24"/>
          <w:lang w:val="es-ES_tradnl" w:eastAsia="es-ES"/>
        </w:rPr>
      </w:pPr>
      <w:r w:rsidRPr="00B06612">
        <w:rPr>
          <w:rFonts w:ascii="Palatino Linotype" w:eastAsia="Times New Roman" w:hAnsi="Palatino Linotype" w:cs="Arial"/>
          <w:sz w:val="24"/>
          <w:szCs w:val="24"/>
          <w:lang w:val="es-ES_tradnl" w:eastAsia="es-ES"/>
        </w:rPr>
        <w:t>Esta hoja corresponde</w:t>
      </w:r>
      <w:r w:rsidR="00B06612">
        <w:rPr>
          <w:rFonts w:ascii="Palatino Linotype" w:eastAsia="Times New Roman" w:hAnsi="Palatino Linotype" w:cs="Arial"/>
          <w:sz w:val="24"/>
          <w:szCs w:val="24"/>
          <w:lang w:val="es-ES_tradnl" w:eastAsia="es-ES"/>
        </w:rPr>
        <w:t xml:space="preserve"> a la resolución de fecha tres (03) de julio</w:t>
      </w:r>
      <w:r w:rsidRPr="00B06612">
        <w:rPr>
          <w:rFonts w:ascii="Palatino Linotype" w:eastAsia="Times New Roman" w:hAnsi="Palatino Linotype" w:cs="Arial"/>
          <w:sz w:val="24"/>
          <w:szCs w:val="24"/>
          <w:lang w:val="es-ES_tradnl" w:eastAsia="es-ES"/>
        </w:rPr>
        <w:t xml:space="preserve"> de dos mil diecinueve, emitida en el recurso de revisión </w:t>
      </w:r>
      <w:r w:rsidR="00B06612">
        <w:rPr>
          <w:rFonts w:ascii="Palatino Linotype" w:eastAsia="Times New Roman" w:hAnsi="Palatino Linotype" w:cs="Arial"/>
          <w:b/>
          <w:sz w:val="24"/>
          <w:szCs w:val="24"/>
          <w:lang w:val="es-ES_tradnl" w:eastAsia="es-ES"/>
        </w:rPr>
        <w:t>03213</w:t>
      </w:r>
      <w:r w:rsidRPr="00B06612">
        <w:rPr>
          <w:rFonts w:ascii="Palatino Linotype" w:eastAsia="Times New Roman" w:hAnsi="Palatino Linotype" w:cs="Arial"/>
          <w:b/>
          <w:sz w:val="24"/>
          <w:szCs w:val="24"/>
          <w:lang w:val="es-ES_tradnl" w:eastAsia="es-ES"/>
        </w:rPr>
        <w:t>/INFOEM/IP/RR/2019</w:t>
      </w:r>
      <w:r w:rsidR="00C27F72">
        <w:rPr>
          <w:rFonts w:ascii="Palatino Linotype" w:eastAsia="Times New Roman" w:hAnsi="Palatino Linotype" w:cs="Arial"/>
          <w:sz w:val="24"/>
          <w:szCs w:val="24"/>
          <w:lang w:val="es-ES_tradnl" w:eastAsia="es-ES"/>
        </w:rPr>
        <w:t>.</w:t>
      </w:r>
    </w:p>
    <w:sectPr w:rsidR="000945B6" w:rsidRPr="00C27F72" w:rsidSect="00B06612">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E71" w:rsidRDefault="000F0E71" w:rsidP="00AD1FE1">
      <w:pPr>
        <w:spacing w:after="0" w:line="240" w:lineRule="auto"/>
      </w:pPr>
      <w:r>
        <w:separator/>
      </w:r>
    </w:p>
  </w:endnote>
  <w:endnote w:type="continuationSeparator" w:id="0">
    <w:p w:rsidR="000F0E71" w:rsidRDefault="000F0E71" w:rsidP="00AD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39254359"/>
      <w:docPartObj>
        <w:docPartGallery w:val="Page Numbers (Bottom of Page)"/>
        <w:docPartUnique/>
      </w:docPartObj>
    </w:sdtPr>
    <w:sdtEndPr/>
    <w:sdtContent>
      <w:sdt>
        <w:sdtPr>
          <w:rPr>
            <w:rFonts w:ascii="Palatino Linotype" w:hAnsi="Palatino Linotype"/>
            <w:sz w:val="28"/>
          </w:rPr>
          <w:id w:val="2139911600"/>
          <w:docPartObj>
            <w:docPartGallery w:val="Page Numbers (Top of Page)"/>
            <w:docPartUnique/>
          </w:docPartObj>
        </w:sdtPr>
        <w:sdtEndPr/>
        <w:sdtContent>
          <w:p w:rsidR="00AD1FE1" w:rsidRPr="00883450" w:rsidRDefault="00AD1FE1">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B6572">
              <w:rPr>
                <w:rFonts w:ascii="Palatino Linotype" w:hAnsi="Palatino Linotype"/>
                <w:b/>
                <w:bCs/>
                <w:noProof/>
                <w:szCs w:val="20"/>
              </w:rPr>
              <w:t>44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B6572">
              <w:rPr>
                <w:rFonts w:ascii="Palatino Linotype" w:hAnsi="Palatino Linotype"/>
                <w:b/>
                <w:bCs/>
                <w:noProof/>
                <w:szCs w:val="20"/>
              </w:rPr>
              <w:t>44</w:t>
            </w:r>
            <w:r w:rsidRPr="00883450">
              <w:rPr>
                <w:rFonts w:ascii="Palatino Linotype" w:hAnsi="Palatino Linotype"/>
                <w:b/>
                <w:bCs/>
                <w:szCs w:val="20"/>
              </w:rPr>
              <w:fldChar w:fldCharType="end"/>
            </w:r>
          </w:p>
        </w:sdtContent>
      </w:sdt>
    </w:sdtContent>
  </w:sdt>
  <w:p w:rsidR="00AD1FE1" w:rsidRDefault="00AD1F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E1" w:rsidRPr="00883450" w:rsidRDefault="00AD1FE1" w:rsidP="00AD1FE1">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B6572" w:rsidRPr="00DB657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B6572" w:rsidRPr="00DB6572">
      <w:rPr>
        <w:rFonts w:ascii="Palatino Linotype" w:hAnsi="Palatino Linotype"/>
        <w:noProof/>
        <w:lang w:val="es-ES"/>
      </w:rPr>
      <w:t>44</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E71" w:rsidRDefault="000F0E71" w:rsidP="00AD1FE1">
      <w:pPr>
        <w:spacing w:after="0" w:line="240" w:lineRule="auto"/>
      </w:pPr>
      <w:r>
        <w:separator/>
      </w:r>
    </w:p>
  </w:footnote>
  <w:footnote w:type="continuationSeparator" w:id="0">
    <w:p w:rsidR="000F0E71" w:rsidRDefault="000F0E71" w:rsidP="00AD1FE1">
      <w:pPr>
        <w:spacing w:after="0" w:line="240" w:lineRule="auto"/>
      </w:pPr>
      <w:r>
        <w:continuationSeparator/>
      </w:r>
    </w:p>
  </w:footnote>
  <w:footnote w:id="1">
    <w:p w:rsidR="00764ABF" w:rsidRDefault="00764ABF" w:rsidP="00764ABF">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 w:id="2">
    <w:p w:rsidR="00AD1FE1" w:rsidRDefault="00AD1FE1" w:rsidP="00AD1FE1">
      <w:pPr>
        <w:pStyle w:val="ADB1"/>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AD1FE1" w:rsidRDefault="00AD1FE1" w:rsidP="00AD1FE1">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D1FE1" w:rsidRPr="001E1F95" w:rsidRDefault="00AD1FE1" w:rsidP="00AD1FE1">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AD1FE1" w:rsidRPr="00034B44" w:rsidRDefault="00AD1FE1" w:rsidP="00AD1FE1">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AD1FE1" w:rsidRPr="00034B44" w:rsidRDefault="00AD1FE1" w:rsidP="00AD1FE1">
      <w:pPr>
        <w:pStyle w:val="ADB1"/>
        <w:jc w:val="both"/>
        <w:rPr>
          <w:rFonts w:ascii="Palatino Linotype" w:hAnsi="Palatino Linotype"/>
          <w:sz w:val="18"/>
        </w:rPr>
      </w:pPr>
      <w:r w:rsidRPr="00034B44">
        <w:rPr>
          <w:rFonts w:ascii="Palatino Linotype" w:hAnsi="Palatino Linotype"/>
          <w:sz w:val="18"/>
        </w:rPr>
        <w:t xml:space="preserve"> (…)</w:t>
      </w:r>
    </w:p>
    <w:p w:rsidR="00AD1FE1" w:rsidRPr="00034B44" w:rsidRDefault="00AD1FE1" w:rsidP="00AD1FE1">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E1" w:rsidRDefault="00AD1FE1">
    <w:pPr>
      <w:pStyle w:val="Encabezado"/>
    </w:pPr>
  </w:p>
  <w:p w:rsidR="00AD1FE1" w:rsidRDefault="00AD1FE1">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AD1FE1" w:rsidRPr="00EF13C1" w:rsidTr="00AD1FE1">
      <w:trPr>
        <w:trHeight w:val="138"/>
      </w:trPr>
      <w:tc>
        <w:tcPr>
          <w:tcW w:w="2977" w:type="dxa"/>
          <w:vAlign w:val="center"/>
        </w:tcPr>
        <w:p w:rsidR="00AD1FE1" w:rsidRPr="00EF13C1" w:rsidRDefault="00AD1FE1" w:rsidP="00AD1FE1">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AD1FE1" w:rsidRPr="00EF13C1" w:rsidRDefault="00AD1FE1" w:rsidP="00AD1FE1">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03213/INFOEM/IP/RR/2019  </w:t>
          </w:r>
        </w:p>
      </w:tc>
    </w:tr>
    <w:tr w:rsidR="00AD1FE1" w:rsidRPr="00EF13C1" w:rsidTr="00AD1FE1">
      <w:trPr>
        <w:gridAfter w:val="1"/>
        <w:wAfter w:w="142" w:type="dxa"/>
        <w:trHeight w:val="321"/>
      </w:trPr>
      <w:tc>
        <w:tcPr>
          <w:tcW w:w="2977" w:type="dxa"/>
          <w:vAlign w:val="center"/>
        </w:tcPr>
        <w:p w:rsidR="00AD1FE1" w:rsidRPr="00EF13C1" w:rsidRDefault="00AD1FE1" w:rsidP="00AD1FE1">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AD1FE1" w:rsidRPr="00EF13C1" w:rsidRDefault="00AD1FE1" w:rsidP="00AD1FE1">
          <w:pPr>
            <w:pStyle w:val="Encabezado"/>
            <w:ind w:right="-108"/>
            <w:jc w:val="right"/>
            <w:rPr>
              <w:rFonts w:ascii="Palatino Linotype" w:hAnsi="Palatino Linotype"/>
              <w:b/>
              <w:sz w:val="22"/>
              <w:szCs w:val="22"/>
            </w:rPr>
          </w:pPr>
          <w:r>
            <w:rPr>
              <w:rFonts w:ascii="Palatino Linotype" w:hAnsi="Palatino Linotype"/>
              <w:b/>
              <w:sz w:val="22"/>
              <w:szCs w:val="22"/>
            </w:rPr>
            <w:t>Ayuntamiento de Metepec</w:t>
          </w:r>
        </w:p>
      </w:tc>
    </w:tr>
    <w:tr w:rsidR="00AD1FE1" w:rsidRPr="00EF13C1" w:rsidTr="00AD1FE1">
      <w:trPr>
        <w:trHeight w:val="321"/>
      </w:trPr>
      <w:tc>
        <w:tcPr>
          <w:tcW w:w="2977" w:type="dxa"/>
          <w:vAlign w:val="center"/>
        </w:tcPr>
        <w:p w:rsidR="00AD1FE1" w:rsidRPr="00EF13C1" w:rsidRDefault="00AD1FE1" w:rsidP="00AD1FE1">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AD1FE1" w:rsidRPr="00EF13C1" w:rsidRDefault="00AD1FE1" w:rsidP="00AD1FE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D1FE1" w:rsidRDefault="00AD1FE1" w:rsidP="00AD1F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E1" w:rsidRDefault="00AD1FE1" w:rsidP="00AD1FE1">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AD1FE1" w:rsidRPr="00182113" w:rsidTr="00AD1FE1">
      <w:trPr>
        <w:trHeight w:val="138"/>
      </w:trPr>
      <w:tc>
        <w:tcPr>
          <w:tcW w:w="2532" w:type="dxa"/>
          <w:vAlign w:val="center"/>
        </w:tcPr>
        <w:p w:rsidR="00AD1FE1" w:rsidRPr="00182113" w:rsidRDefault="00AD1FE1" w:rsidP="00AD1FE1">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AD1FE1" w:rsidRPr="00182113" w:rsidRDefault="00AD1FE1" w:rsidP="00AD1FE1">
          <w:pPr>
            <w:pStyle w:val="Encabezado"/>
            <w:jc w:val="center"/>
            <w:rPr>
              <w:rFonts w:ascii="Palatino Linotype" w:hAnsi="Palatino Linotype"/>
              <w:b/>
              <w:sz w:val="22"/>
              <w:szCs w:val="22"/>
            </w:rPr>
          </w:pPr>
        </w:p>
      </w:tc>
      <w:tc>
        <w:tcPr>
          <w:tcW w:w="4536" w:type="dxa"/>
          <w:vAlign w:val="center"/>
        </w:tcPr>
        <w:p w:rsidR="00AD1FE1" w:rsidRPr="005143E6" w:rsidRDefault="00AD1FE1" w:rsidP="00AD1FE1">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03213/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AD1FE1" w:rsidRPr="00182113" w:rsidTr="00AD1FE1">
      <w:trPr>
        <w:trHeight w:val="227"/>
      </w:trPr>
      <w:tc>
        <w:tcPr>
          <w:tcW w:w="2532" w:type="dxa"/>
          <w:vAlign w:val="center"/>
        </w:tcPr>
        <w:p w:rsidR="00AD1FE1" w:rsidRPr="00182113" w:rsidRDefault="00AD1FE1" w:rsidP="00AD1FE1">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AD1FE1" w:rsidRPr="00182113" w:rsidRDefault="00AD1FE1" w:rsidP="00AD1FE1">
          <w:pPr>
            <w:pStyle w:val="Encabezado"/>
            <w:jc w:val="center"/>
            <w:rPr>
              <w:rFonts w:ascii="Palatino Linotype" w:hAnsi="Palatino Linotype"/>
              <w:b/>
              <w:sz w:val="22"/>
              <w:szCs w:val="22"/>
            </w:rPr>
          </w:pPr>
        </w:p>
      </w:tc>
      <w:tc>
        <w:tcPr>
          <w:tcW w:w="4536" w:type="dxa"/>
          <w:vAlign w:val="center"/>
        </w:tcPr>
        <w:p w:rsidR="00AD1FE1" w:rsidRPr="00846952" w:rsidRDefault="00AD1FE1" w:rsidP="00DB6572">
          <w:pPr>
            <w:pStyle w:val="Encabezado"/>
            <w:ind w:right="34"/>
            <w:rPr>
              <w:rFonts w:ascii="Palatino Linotype" w:hAnsi="Palatino Linotype"/>
              <w:b/>
            </w:rPr>
          </w:pPr>
          <w:r>
            <w:rPr>
              <w:rFonts w:ascii="Palatino Linotype" w:hAnsi="Palatino Linotype"/>
              <w:b/>
              <w:sz w:val="22"/>
              <w:szCs w:val="22"/>
            </w:rPr>
            <w:t xml:space="preserve">                                 </w:t>
          </w:r>
          <w:r w:rsidR="00DB6572" w:rsidRPr="00DB6572">
            <w:rPr>
              <w:rFonts w:ascii="Palatino Linotype" w:hAnsi="Palatino Linotype"/>
              <w:b/>
              <w:sz w:val="22"/>
              <w:szCs w:val="22"/>
              <w:highlight w:val="black"/>
            </w:rPr>
            <w:t>---------------------------------</w:t>
          </w:r>
        </w:p>
      </w:tc>
    </w:tr>
    <w:tr w:rsidR="00AD1FE1" w:rsidRPr="00182113" w:rsidTr="00AD1FE1">
      <w:trPr>
        <w:trHeight w:val="232"/>
      </w:trPr>
      <w:tc>
        <w:tcPr>
          <w:tcW w:w="2532" w:type="dxa"/>
          <w:vAlign w:val="center"/>
        </w:tcPr>
        <w:p w:rsidR="00AD1FE1" w:rsidRPr="00182113" w:rsidRDefault="00AD1FE1" w:rsidP="00AD1FE1">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AD1FE1" w:rsidRPr="00182113" w:rsidRDefault="00AD1FE1" w:rsidP="00AD1FE1">
          <w:pPr>
            <w:pStyle w:val="Encabezado"/>
            <w:jc w:val="center"/>
            <w:rPr>
              <w:rFonts w:ascii="Palatino Linotype" w:hAnsi="Palatino Linotype"/>
              <w:b/>
              <w:sz w:val="22"/>
              <w:szCs w:val="22"/>
            </w:rPr>
          </w:pPr>
        </w:p>
      </w:tc>
      <w:tc>
        <w:tcPr>
          <w:tcW w:w="4536" w:type="dxa"/>
          <w:vAlign w:val="center"/>
        </w:tcPr>
        <w:p w:rsidR="00AD1FE1" w:rsidRPr="00182113" w:rsidRDefault="00AD1FE1" w:rsidP="00AD1FE1">
          <w:pPr>
            <w:pStyle w:val="Encabezado"/>
            <w:ind w:right="34"/>
            <w:jc w:val="right"/>
            <w:rPr>
              <w:rFonts w:ascii="Palatino Linotype" w:hAnsi="Palatino Linotype"/>
              <w:b/>
              <w:sz w:val="22"/>
              <w:szCs w:val="22"/>
            </w:rPr>
          </w:pPr>
          <w:r>
            <w:rPr>
              <w:rFonts w:ascii="Palatino Linotype" w:hAnsi="Palatino Linotype"/>
              <w:b/>
              <w:sz w:val="22"/>
              <w:szCs w:val="22"/>
            </w:rPr>
            <w:t>Ayuntamiento de Metepec</w:t>
          </w:r>
        </w:p>
      </w:tc>
    </w:tr>
    <w:tr w:rsidR="00AD1FE1" w:rsidRPr="00182113" w:rsidTr="00AD1FE1">
      <w:trPr>
        <w:trHeight w:val="320"/>
      </w:trPr>
      <w:tc>
        <w:tcPr>
          <w:tcW w:w="2532" w:type="dxa"/>
          <w:vAlign w:val="center"/>
        </w:tcPr>
        <w:p w:rsidR="00AD1FE1" w:rsidRPr="00182113" w:rsidRDefault="00AD1FE1" w:rsidP="00AD1FE1">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AD1FE1" w:rsidRPr="00182113" w:rsidRDefault="00AD1FE1" w:rsidP="00AD1FE1">
          <w:pPr>
            <w:pStyle w:val="Encabezado"/>
            <w:jc w:val="center"/>
            <w:rPr>
              <w:rFonts w:ascii="Palatino Linotype" w:hAnsi="Palatino Linotype"/>
              <w:b/>
              <w:sz w:val="22"/>
              <w:szCs w:val="22"/>
            </w:rPr>
          </w:pPr>
        </w:p>
      </w:tc>
      <w:tc>
        <w:tcPr>
          <w:tcW w:w="4536" w:type="dxa"/>
          <w:vAlign w:val="center"/>
        </w:tcPr>
        <w:p w:rsidR="00AD1FE1" w:rsidRPr="00182113" w:rsidRDefault="00AD1FE1" w:rsidP="00AD1FE1">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AD1FE1" w:rsidRDefault="00AD1F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93638"/>
    <w:multiLevelType w:val="hybridMultilevel"/>
    <w:tmpl w:val="6144C8D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0C7A7B"/>
    <w:multiLevelType w:val="hybridMultilevel"/>
    <w:tmpl w:val="FB80150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7082146"/>
    <w:multiLevelType w:val="hybridMultilevel"/>
    <w:tmpl w:val="681C8E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AA32CFE6"/>
    <w:lvl w:ilvl="0" w:tplc="21AAC458">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2A41452"/>
    <w:multiLevelType w:val="hybridMultilevel"/>
    <w:tmpl w:val="45E00E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9"/>
  </w:num>
  <w:num w:numId="5">
    <w:abstractNumId w:val="1"/>
  </w:num>
  <w:num w:numId="6">
    <w:abstractNumId w:val="7"/>
  </w:num>
  <w:num w:numId="7">
    <w:abstractNumId w:val="4"/>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E1"/>
    <w:rsid w:val="000556A7"/>
    <w:rsid w:val="000945B6"/>
    <w:rsid w:val="000A22AC"/>
    <w:rsid w:val="000F0E71"/>
    <w:rsid w:val="000F5B9B"/>
    <w:rsid w:val="00103DE1"/>
    <w:rsid w:val="00114FF0"/>
    <w:rsid w:val="0016752B"/>
    <w:rsid w:val="002E25CC"/>
    <w:rsid w:val="003714C3"/>
    <w:rsid w:val="00375DDA"/>
    <w:rsid w:val="003F6D3D"/>
    <w:rsid w:val="00404593"/>
    <w:rsid w:val="004875EC"/>
    <w:rsid w:val="004D6C17"/>
    <w:rsid w:val="004D6C56"/>
    <w:rsid w:val="00573E3B"/>
    <w:rsid w:val="00614586"/>
    <w:rsid w:val="00626AFE"/>
    <w:rsid w:val="006536BE"/>
    <w:rsid w:val="00661C72"/>
    <w:rsid w:val="006A0CCA"/>
    <w:rsid w:val="00744AF4"/>
    <w:rsid w:val="00755599"/>
    <w:rsid w:val="00764ABF"/>
    <w:rsid w:val="007659CE"/>
    <w:rsid w:val="00825D75"/>
    <w:rsid w:val="00850AFF"/>
    <w:rsid w:val="00860CB0"/>
    <w:rsid w:val="0094044F"/>
    <w:rsid w:val="009A27D3"/>
    <w:rsid w:val="00A6575D"/>
    <w:rsid w:val="00A86642"/>
    <w:rsid w:val="00AD1FE1"/>
    <w:rsid w:val="00AD71A8"/>
    <w:rsid w:val="00B06612"/>
    <w:rsid w:val="00B13010"/>
    <w:rsid w:val="00B170B6"/>
    <w:rsid w:val="00B21BA2"/>
    <w:rsid w:val="00B96BDA"/>
    <w:rsid w:val="00C27F72"/>
    <w:rsid w:val="00C40A1B"/>
    <w:rsid w:val="00C96CCF"/>
    <w:rsid w:val="00DB6572"/>
    <w:rsid w:val="00DC038F"/>
    <w:rsid w:val="00E23A25"/>
    <w:rsid w:val="00E32FC5"/>
    <w:rsid w:val="00E4240D"/>
    <w:rsid w:val="00E87131"/>
    <w:rsid w:val="00FA7299"/>
    <w:rsid w:val="00FE03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90089-C8C3-40A7-B34F-DC95E797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045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1F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1FE1"/>
  </w:style>
  <w:style w:type="paragraph" w:styleId="Piedepgina">
    <w:name w:val="footer"/>
    <w:basedOn w:val="Normal"/>
    <w:link w:val="PiedepginaCar"/>
    <w:uiPriority w:val="99"/>
    <w:unhideWhenUsed/>
    <w:rsid w:val="00AD1F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1FE1"/>
  </w:style>
  <w:style w:type="table" w:styleId="Tablaconcuadrcula">
    <w:name w:val="Table Grid"/>
    <w:basedOn w:val="Tablanormal"/>
    <w:uiPriority w:val="39"/>
    <w:rsid w:val="00AD1FE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AD1FE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AD1FE1"/>
    <w:rPr>
      <w:vertAlign w:val="superscript"/>
    </w:rPr>
  </w:style>
  <w:style w:type="paragraph" w:customStyle="1" w:styleId="ADB1">
    <w:name w:val="ADB1"/>
    <w:basedOn w:val="Normal"/>
    <w:next w:val="Textonotapie"/>
    <w:uiPriority w:val="99"/>
    <w:unhideWhenUsed/>
    <w:qFormat/>
    <w:rsid w:val="00AD1FE1"/>
    <w:pPr>
      <w:spacing w:after="0" w:line="240" w:lineRule="auto"/>
    </w:pPr>
    <w:rPr>
      <w:rFonts w:eastAsia="Cambria"/>
      <w:sz w:val="20"/>
      <w:szCs w:val="20"/>
    </w:rPr>
  </w:style>
  <w:style w:type="paragraph" w:styleId="Textonotapie">
    <w:name w:val="footnote text"/>
    <w:basedOn w:val="Normal"/>
    <w:link w:val="TextonotapieCar"/>
    <w:uiPriority w:val="99"/>
    <w:semiHidden/>
    <w:unhideWhenUsed/>
    <w:rsid w:val="00AD1F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D1FE1"/>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556A7"/>
    <w:pPr>
      <w:ind w:left="720"/>
      <w:contextualSpacing/>
    </w:pPr>
  </w:style>
  <w:style w:type="character" w:customStyle="1" w:styleId="Ttulo1Car">
    <w:name w:val="Título 1 Car"/>
    <w:basedOn w:val="Fuentedeprrafopredeter"/>
    <w:link w:val="Ttulo1"/>
    <w:uiPriority w:val="9"/>
    <w:rsid w:val="004045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64ABF"/>
  </w:style>
  <w:style w:type="paragraph" w:styleId="TDC1">
    <w:name w:val="toc 1"/>
    <w:basedOn w:val="Normal"/>
    <w:next w:val="Normal"/>
    <w:autoRedefine/>
    <w:uiPriority w:val="39"/>
    <w:unhideWhenUsed/>
    <w:rsid w:val="00AD71A8"/>
    <w:pPr>
      <w:spacing w:after="100"/>
    </w:pPr>
  </w:style>
  <w:style w:type="paragraph" w:styleId="TDC2">
    <w:name w:val="toc 2"/>
    <w:basedOn w:val="Normal"/>
    <w:next w:val="Normal"/>
    <w:autoRedefine/>
    <w:uiPriority w:val="39"/>
    <w:unhideWhenUsed/>
    <w:rsid w:val="00AD71A8"/>
    <w:pPr>
      <w:spacing w:after="100"/>
      <w:ind w:left="220"/>
    </w:pPr>
  </w:style>
  <w:style w:type="character" w:styleId="Hipervnculo">
    <w:name w:val="Hyperlink"/>
    <w:basedOn w:val="Fuentedeprrafopredeter"/>
    <w:uiPriority w:val="99"/>
    <w:unhideWhenUsed/>
    <w:rsid w:val="00AD71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4D173-FBC9-4E5A-A2EF-59A3FBC9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8420</Words>
  <Characters>46316</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dcterms:created xsi:type="dcterms:W3CDTF">2019-07-04T18:14:00Z</dcterms:created>
  <dcterms:modified xsi:type="dcterms:W3CDTF">2019-08-19T23:28:00Z</dcterms:modified>
</cp:coreProperties>
</file>