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0DAA" w:rsidRPr="00AE0EBD" w:rsidRDefault="00120DAA" w:rsidP="00120DAA">
      <w:pPr>
        <w:pStyle w:val="Sinespaciado"/>
        <w:spacing w:line="360" w:lineRule="auto"/>
        <w:jc w:val="both"/>
        <w:rPr>
          <w:rFonts w:ascii="Palatino Linotype" w:hAnsi="Palatino Linotype"/>
        </w:rPr>
      </w:pPr>
      <w:bookmarkStart w:id="0" w:name="_GoBack"/>
      <w:bookmarkEnd w:id="0"/>
      <w:r w:rsidRPr="00AE0EBD">
        <w:rPr>
          <w:rFonts w:ascii="Palatino Linotype" w:hAnsi="Palatino Linotype"/>
        </w:rPr>
        <w:t>Resolución del Pleno del Instituto de Transparencia, Acceso a la Información Pública y Protección de Datos Personales del Estado de México y Municipios, con domicilio en Metepec, México, a cuatro de septiembre de dos mil diecinueve.</w:t>
      </w:r>
    </w:p>
    <w:p w:rsidR="00120DAA" w:rsidRPr="00AE0EBD" w:rsidRDefault="00120DAA" w:rsidP="00120DAA">
      <w:pPr>
        <w:pStyle w:val="Sinespaciado"/>
        <w:spacing w:line="360" w:lineRule="auto"/>
        <w:jc w:val="both"/>
        <w:rPr>
          <w:rFonts w:ascii="Palatino Linotype" w:hAnsi="Palatino Linotype"/>
        </w:rPr>
      </w:pPr>
    </w:p>
    <w:p w:rsidR="00120DAA" w:rsidRPr="00AE0EBD" w:rsidRDefault="00120DAA" w:rsidP="00120DAA">
      <w:pPr>
        <w:pStyle w:val="Sinespaciado"/>
        <w:spacing w:line="360" w:lineRule="auto"/>
        <w:jc w:val="both"/>
        <w:rPr>
          <w:rFonts w:ascii="Palatino Linotype" w:hAnsi="Palatino Linotype"/>
        </w:rPr>
      </w:pPr>
      <w:r w:rsidRPr="00AE0EBD">
        <w:rPr>
          <w:rFonts w:ascii="Palatino Linotype" w:hAnsi="Palatino Linotype"/>
          <w:b/>
        </w:rPr>
        <w:t>VISTO</w:t>
      </w:r>
      <w:r w:rsidRPr="00AE0EBD">
        <w:rPr>
          <w:rFonts w:ascii="Palatino Linotype" w:hAnsi="Palatino Linotype"/>
        </w:rPr>
        <w:t xml:space="preserve"> el expediente electrónico formado con motivo del recurso de revisión número </w:t>
      </w:r>
      <w:r w:rsidRPr="00AE0EBD">
        <w:rPr>
          <w:rFonts w:ascii="Palatino Linotype" w:hAnsi="Palatino Linotype"/>
          <w:b/>
        </w:rPr>
        <w:t>05600/INFOEM/IP/RR/2019</w:t>
      </w:r>
      <w:r w:rsidRPr="00AE0EBD">
        <w:rPr>
          <w:rFonts w:ascii="Palatino Linotype" w:hAnsi="Palatino Linotype"/>
        </w:rPr>
        <w:t xml:space="preserve">, interpuesto por el </w:t>
      </w:r>
      <w:r w:rsidRPr="00AE0EBD">
        <w:rPr>
          <w:rFonts w:ascii="Palatino Linotype" w:hAnsi="Palatino Linotype"/>
          <w:b/>
        </w:rPr>
        <w:t xml:space="preserve">C.                           </w:t>
      </w:r>
      <w:r w:rsidRPr="00AE0EBD">
        <w:rPr>
          <w:rFonts w:ascii="Palatino Linotype" w:hAnsi="Palatino Linotype"/>
        </w:rPr>
        <w:t>,</w:t>
      </w:r>
      <w:r w:rsidRPr="00AE0EBD">
        <w:rPr>
          <w:rFonts w:ascii="Palatino Linotype" w:hAnsi="Palatino Linotype"/>
          <w:b/>
        </w:rPr>
        <w:t xml:space="preserve"> </w:t>
      </w:r>
      <w:r w:rsidRPr="00AE0EBD">
        <w:rPr>
          <w:rFonts w:ascii="Palatino Linotype" w:hAnsi="Palatino Linotype"/>
        </w:rPr>
        <w:t>en lo sucesivo el</w:t>
      </w:r>
      <w:r w:rsidRPr="00AE0EBD">
        <w:rPr>
          <w:rFonts w:ascii="Palatino Linotype" w:hAnsi="Palatino Linotype"/>
          <w:b/>
        </w:rPr>
        <w:t xml:space="preserve"> Recurrente</w:t>
      </w:r>
      <w:r w:rsidRPr="00AE0EBD">
        <w:rPr>
          <w:rFonts w:ascii="Palatino Linotype" w:hAnsi="Palatino Linotype"/>
        </w:rPr>
        <w:t xml:space="preserve">, en contra de la respuesta del </w:t>
      </w:r>
      <w:r w:rsidRPr="00AE0EBD">
        <w:rPr>
          <w:rFonts w:ascii="Palatino Linotype" w:hAnsi="Palatino Linotype"/>
          <w:b/>
        </w:rPr>
        <w:t>Ayuntamiento de Huixquilucan</w:t>
      </w:r>
      <w:r w:rsidRPr="00AE0EBD">
        <w:rPr>
          <w:rFonts w:ascii="Palatino Linotype" w:hAnsi="Palatino Linotype"/>
        </w:rPr>
        <w:t>,</w:t>
      </w:r>
      <w:r w:rsidRPr="00AE0EBD">
        <w:rPr>
          <w:rFonts w:ascii="Palatino Linotype" w:hAnsi="Palatino Linotype"/>
          <w:b/>
        </w:rPr>
        <w:t xml:space="preserve"> </w:t>
      </w:r>
      <w:r w:rsidRPr="00AE0EBD">
        <w:rPr>
          <w:rFonts w:ascii="Palatino Linotype" w:hAnsi="Palatino Linotype"/>
        </w:rPr>
        <w:t>en lo subsecuente</w:t>
      </w:r>
      <w:r w:rsidRPr="00AE0EBD">
        <w:rPr>
          <w:rFonts w:ascii="Palatino Linotype" w:hAnsi="Palatino Linotype"/>
          <w:b/>
        </w:rPr>
        <w:t xml:space="preserve"> </w:t>
      </w:r>
      <w:r w:rsidRPr="00AE0EBD">
        <w:rPr>
          <w:rFonts w:ascii="Palatino Linotype" w:hAnsi="Palatino Linotype"/>
        </w:rPr>
        <w:t>el</w:t>
      </w:r>
      <w:r w:rsidRPr="00AE0EBD">
        <w:rPr>
          <w:rFonts w:ascii="Palatino Linotype" w:hAnsi="Palatino Linotype"/>
          <w:b/>
        </w:rPr>
        <w:t xml:space="preserve"> Sujeto Obligado</w:t>
      </w:r>
      <w:r w:rsidRPr="00AE0EBD">
        <w:rPr>
          <w:rFonts w:ascii="Palatino Linotype" w:hAnsi="Palatino Linotype"/>
        </w:rPr>
        <w:t>,</w:t>
      </w:r>
      <w:r w:rsidRPr="00AE0EBD">
        <w:rPr>
          <w:rFonts w:ascii="Palatino Linotype" w:hAnsi="Palatino Linotype"/>
          <w:b/>
        </w:rPr>
        <w:t xml:space="preserve"> </w:t>
      </w:r>
      <w:r w:rsidRPr="00AE0EBD">
        <w:rPr>
          <w:rFonts w:ascii="Palatino Linotype" w:hAnsi="Palatino Linotype"/>
        </w:rPr>
        <w:t>se procede a dictar la presente resolución.</w:t>
      </w:r>
    </w:p>
    <w:p w:rsidR="00120DAA" w:rsidRPr="00AE0EBD" w:rsidRDefault="00120DAA" w:rsidP="00120DAA">
      <w:pPr>
        <w:pStyle w:val="Sinespaciado"/>
        <w:spacing w:line="360" w:lineRule="auto"/>
        <w:jc w:val="both"/>
        <w:rPr>
          <w:rFonts w:ascii="Palatino Linotype" w:hAnsi="Palatino Linotype"/>
        </w:rPr>
      </w:pPr>
    </w:p>
    <w:p w:rsidR="00120DAA" w:rsidRPr="00AE0EBD" w:rsidRDefault="00120DAA" w:rsidP="00120DAA">
      <w:pPr>
        <w:pStyle w:val="Sinespaciado"/>
        <w:spacing w:line="360" w:lineRule="auto"/>
        <w:jc w:val="center"/>
        <w:rPr>
          <w:rFonts w:ascii="Palatino Linotype" w:hAnsi="Palatino Linotype"/>
          <w:b/>
          <w:sz w:val="28"/>
          <w:szCs w:val="28"/>
        </w:rPr>
      </w:pPr>
      <w:r w:rsidRPr="00AE0EBD">
        <w:rPr>
          <w:rFonts w:ascii="Palatino Linotype" w:hAnsi="Palatino Linotype"/>
          <w:b/>
          <w:sz w:val="28"/>
          <w:szCs w:val="28"/>
        </w:rPr>
        <w:t>A N T E C E D E N T E S   D E L   A S U N T O</w:t>
      </w:r>
    </w:p>
    <w:p w:rsidR="00120DAA" w:rsidRPr="00AE0EBD" w:rsidRDefault="00120DAA" w:rsidP="00120DAA">
      <w:pPr>
        <w:pStyle w:val="Sinespaciado"/>
        <w:spacing w:line="360" w:lineRule="auto"/>
        <w:jc w:val="both"/>
        <w:rPr>
          <w:rFonts w:ascii="Palatino Linotype" w:hAnsi="Palatino Linotype"/>
          <w:b/>
        </w:rPr>
      </w:pPr>
    </w:p>
    <w:p w:rsidR="00120DAA" w:rsidRPr="00AE0EBD" w:rsidRDefault="00120DAA" w:rsidP="00120DAA">
      <w:pPr>
        <w:pStyle w:val="Sinespaciado"/>
        <w:spacing w:line="360" w:lineRule="auto"/>
        <w:jc w:val="both"/>
        <w:rPr>
          <w:rFonts w:ascii="Palatino Linotype" w:hAnsi="Palatino Linotype"/>
          <w:b/>
          <w:sz w:val="28"/>
          <w:szCs w:val="26"/>
        </w:rPr>
      </w:pPr>
      <w:r w:rsidRPr="00AE0EBD">
        <w:rPr>
          <w:rFonts w:ascii="Palatino Linotype" w:hAnsi="Palatino Linotype"/>
          <w:b/>
          <w:sz w:val="28"/>
          <w:szCs w:val="26"/>
        </w:rPr>
        <w:t>PRIMERO.</w:t>
      </w:r>
      <w:r w:rsidRPr="00AE0EBD">
        <w:rPr>
          <w:rFonts w:ascii="Palatino Linotype" w:hAnsi="Palatino Linotype"/>
          <w:sz w:val="28"/>
          <w:szCs w:val="26"/>
        </w:rPr>
        <w:t xml:space="preserve"> </w:t>
      </w:r>
      <w:r w:rsidRPr="00AE0EBD">
        <w:rPr>
          <w:rFonts w:ascii="Palatino Linotype" w:hAnsi="Palatino Linotype"/>
          <w:b/>
          <w:sz w:val="28"/>
          <w:szCs w:val="26"/>
        </w:rPr>
        <w:t>De la Solicitud de Información.</w:t>
      </w:r>
    </w:p>
    <w:p w:rsidR="00120DAA" w:rsidRPr="00AE0EBD" w:rsidRDefault="00120DAA" w:rsidP="00120DAA">
      <w:pPr>
        <w:pStyle w:val="Sinespaciado"/>
        <w:spacing w:line="360" w:lineRule="auto"/>
        <w:jc w:val="both"/>
        <w:rPr>
          <w:rFonts w:ascii="Palatino Linotype" w:hAnsi="Palatino Linotype"/>
        </w:rPr>
      </w:pPr>
      <w:r w:rsidRPr="00AE0EBD">
        <w:rPr>
          <w:rFonts w:ascii="Palatino Linotype" w:hAnsi="Palatino Linotype"/>
        </w:rPr>
        <w:t xml:space="preserve">El día veintitrés de mayo de dos mil diecinueve, el </w:t>
      </w:r>
      <w:r w:rsidRPr="00AE0EBD">
        <w:rPr>
          <w:rFonts w:ascii="Palatino Linotype" w:hAnsi="Palatino Linotype"/>
          <w:b/>
        </w:rPr>
        <w:t>Recurrente</w:t>
      </w:r>
      <w:r w:rsidRPr="00AE0EBD">
        <w:rPr>
          <w:rFonts w:ascii="Palatino Linotype" w:hAnsi="Palatino Linotype"/>
        </w:rPr>
        <w:t xml:space="preserve"> presentó a través del Sistema de Acceso a la Información Mexiquense (</w:t>
      </w:r>
      <w:r w:rsidRPr="00AE0EBD">
        <w:rPr>
          <w:rFonts w:ascii="Palatino Linotype" w:hAnsi="Palatino Linotype"/>
          <w:b/>
        </w:rPr>
        <w:t>SAIMEX)</w:t>
      </w:r>
      <w:r w:rsidRPr="00AE0EBD">
        <w:rPr>
          <w:rFonts w:ascii="Palatino Linotype" w:hAnsi="Palatino Linotype"/>
        </w:rPr>
        <w:t xml:space="preserve"> ante el</w:t>
      </w:r>
      <w:r w:rsidRPr="00AE0EBD">
        <w:rPr>
          <w:rFonts w:ascii="Palatino Linotype" w:hAnsi="Palatino Linotype"/>
          <w:b/>
        </w:rPr>
        <w:t xml:space="preserve"> Sujeto Obligado</w:t>
      </w:r>
      <w:r w:rsidRPr="00AE0EBD">
        <w:rPr>
          <w:rFonts w:ascii="Palatino Linotype" w:hAnsi="Palatino Linotype"/>
        </w:rPr>
        <w:t>, solicitud de acceso a la información pública registrada bajo el número de expediente</w:t>
      </w:r>
      <w:r w:rsidRPr="00AE0EBD">
        <w:rPr>
          <w:rFonts w:ascii="Palatino Linotype" w:hAnsi="Palatino Linotype"/>
          <w:b/>
        </w:rPr>
        <w:t xml:space="preserve"> 01460/HUIXQUIL/IP/2019</w:t>
      </w:r>
      <w:r w:rsidRPr="00AE0EBD">
        <w:rPr>
          <w:rFonts w:ascii="Palatino Linotype" w:hAnsi="Palatino Linotype"/>
        </w:rPr>
        <w:t>,</w:t>
      </w:r>
      <w:r w:rsidRPr="00AE0EBD">
        <w:rPr>
          <w:rFonts w:ascii="Palatino Linotype" w:hAnsi="Palatino Linotype"/>
          <w:b/>
        </w:rPr>
        <w:t xml:space="preserve"> </w:t>
      </w:r>
      <w:r w:rsidRPr="00AE0EBD">
        <w:rPr>
          <w:rFonts w:ascii="Palatino Linotype" w:hAnsi="Palatino Linotype"/>
        </w:rPr>
        <w:t>mediante la cual solicitó información en el tenor siguiente:</w:t>
      </w:r>
    </w:p>
    <w:p w:rsidR="00120DAA" w:rsidRPr="00AE0EBD" w:rsidRDefault="00120DAA" w:rsidP="00120DAA">
      <w:pPr>
        <w:pStyle w:val="Sinespaciado"/>
        <w:ind w:left="567" w:right="567"/>
        <w:jc w:val="both"/>
        <w:rPr>
          <w:rFonts w:ascii="Palatino Linotype" w:hAnsi="Palatino Linotype"/>
          <w:szCs w:val="22"/>
        </w:rPr>
      </w:pPr>
    </w:p>
    <w:p w:rsidR="00120DAA" w:rsidRPr="00AE0EBD" w:rsidRDefault="00120DAA" w:rsidP="00120DAA">
      <w:pPr>
        <w:pStyle w:val="Sinespaciado"/>
        <w:ind w:left="567" w:right="567"/>
        <w:jc w:val="both"/>
        <w:rPr>
          <w:rFonts w:ascii="Palatino Linotype" w:hAnsi="Palatino Linotype"/>
          <w:i/>
          <w:sz w:val="22"/>
          <w:szCs w:val="22"/>
        </w:rPr>
      </w:pPr>
      <w:r w:rsidRPr="00AE0EBD">
        <w:rPr>
          <w:rFonts w:ascii="Palatino Linotype" w:hAnsi="Palatino Linotype"/>
          <w:i/>
          <w:sz w:val="22"/>
          <w:szCs w:val="22"/>
        </w:rPr>
        <w:t xml:space="preserve">“SOLICITO DEL AREA ENCARGADA DEL MUNICIPIO DE HUIXQUILUCAN ESTADO DE MEXICO LO SIGUIENTE: De la calle BENITO JUAREZ, del tramo comprendido única y exclusivamente entre Jesus del Monte y Francisco I Madero (esto es solo una cuadra de la Calle Benito Juarez del tramo entre Jesus del Monte y Francisco I Madero), Colonia Jesus del Monte, Codigo Postal 52764 Municipio de Huixquilucan, Estado de Mexico quiero saber lo siguiente: 1.- SI SIEMPRE? HA TENIDO EL NOMBRE DE BENITO JUAREZ EL TRAMO DE CALLE ANTES REFERIDA (AGREGAR DOCUMENTO CON QUE SE CONTESTE DICHA AFIRMACION O NEGATIVA) 2.- EN CASO DE LA CALLE BENITO JUAREZ DEL TRAMO ANTES REFERIDO HAYA TENIDO UN NOMBRE ANTERIOR O DIFERENTE A BENITO JUAREZ INDICAR CUAL HA SIDO. (AGREGAR DOCUMENTO CON QUE SE CONTESTE </w:t>
      </w:r>
      <w:r w:rsidRPr="00AE0EBD">
        <w:rPr>
          <w:rFonts w:ascii="Palatino Linotype" w:hAnsi="Palatino Linotype"/>
          <w:i/>
          <w:sz w:val="22"/>
          <w:szCs w:val="22"/>
        </w:rPr>
        <w:lastRenderedPageBreak/>
        <w:t>DICHA AFIRMACION O NEGATIVA) 3.- DE LA CALLE BENITO JUAREZ DEL TRAMO ANTES SEÑALADO AGREGAR EL PLANO MANZANERO . 4.- DE LA CALLE BENITO JUAREZ DEL TRAMO ANTES REFERIDO INDICAR NUMERO OFICIAL. (CON DOCUMENTO QUE ACREDITE DICHA NUMERACION DE CADA UNO DE LOS BIENES INMUEBLES) 5.- DE LA CALLE BENITO JUAREZ DEL TRAMO ANTES REFERIDO INDICAR NUMERO ACTUAL (CON DOCUMENTO QUE ACREDITE DICHA NUMERACION DE CADA UNO DE LOS BIENES INMUEBLES) 6.- DE LA CALLE BENITO JUAREZ DEL TRAMO ANTES REFERIDO INDICAR NUMERACION ANTERIOR A LA OFICIAL. (CON DOCUMENTO QUE ACREDITE DICHA NUMERACION DE CADA UNO DE LOS BIENES INMUEBLES) 7.- DE LA CALLE BENITO JUAREZ DEL TRAMO ANTES REFERIDO AGREGAR CERTIFICADOS DE INSCRIPCION DE TODAS Y CADA UNA DE LOS BIENES INMUEBLES 8.- DE LA CALLE BENITO JUAREZ DEL TRAMO ANTES REFERIDO INDICAR QUE BIENES INMUEBLES TIENEN CERTIFICADOS DE INSCRIPCION (NUMERACION DE LOS BIENES INMUEBLES) gracias” (Sic)</w:t>
      </w:r>
    </w:p>
    <w:p w:rsidR="00120DAA" w:rsidRPr="00AE0EBD" w:rsidRDefault="00120DAA" w:rsidP="00120DAA">
      <w:pPr>
        <w:pStyle w:val="Sinespaciado"/>
        <w:rPr>
          <w:sz w:val="18"/>
        </w:rPr>
      </w:pPr>
    </w:p>
    <w:p w:rsidR="00120DAA" w:rsidRPr="00AE0EBD" w:rsidRDefault="00120DAA" w:rsidP="00120DAA">
      <w:pPr>
        <w:pStyle w:val="Sinespaciado"/>
        <w:ind w:left="567" w:right="567"/>
        <w:jc w:val="both"/>
        <w:rPr>
          <w:rFonts w:ascii="Palatino Linotype" w:hAnsi="Palatino Linotype"/>
          <w:sz w:val="22"/>
          <w:szCs w:val="22"/>
        </w:rPr>
      </w:pPr>
    </w:p>
    <w:p w:rsidR="00120DAA" w:rsidRPr="00AE0EBD" w:rsidRDefault="00120DAA" w:rsidP="00120DAA">
      <w:pPr>
        <w:pStyle w:val="Sinespaciado"/>
        <w:spacing w:line="360" w:lineRule="auto"/>
        <w:jc w:val="both"/>
        <w:rPr>
          <w:rFonts w:ascii="Palatino Linotype" w:hAnsi="Palatino Linotype"/>
        </w:rPr>
      </w:pPr>
      <w:r w:rsidRPr="00AE0EBD">
        <w:rPr>
          <w:rFonts w:ascii="Palatino Linotype" w:hAnsi="Palatino Linotype"/>
          <w:b/>
        </w:rPr>
        <w:t>MODALIDAD DE ENTREGA:</w:t>
      </w:r>
      <w:r w:rsidRPr="00AE0EBD">
        <w:rPr>
          <w:rFonts w:ascii="Palatino Linotype" w:hAnsi="Palatino Linotype"/>
        </w:rPr>
        <w:t xml:space="preserve"> A través de </w:t>
      </w:r>
      <w:r w:rsidRPr="00AE0EBD">
        <w:rPr>
          <w:rFonts w:ascii="Palatino Linotype" w:hAnsi="Palatino Linotype"/>
          <w:b/>
        </w:rPr>
        <w:t>Correo Electrónico</w:t>
      </w:r>
      <w:r w:rsidRPr="00AE0EBD">
        <w:rPr>
          <w:rFonts w:ascii="Palatino Linotype" w:hAnsi="Palatino Linotype"/>
        </w:rPr>
        <w:t>.</w:t>
      </w:r>
    </w:p>
    <w:p w:rsidR="00120DAA" w:rsidRPr="00AE0EBD" w:rsidRDefault="00120DAA" w:rsidP="00120DAA">
      <w:pPr>
        <w:pStyle w:val="Sinespaciado"/>
        <w:spacing w:line="360" w:lineRule="auto"/>
        <w:jc w:val="both"/>
        <w:rPr>
          <w:rFonts w:ascii="Palatino Linotype" w:hAnsi="Palatino Linotype"/>
        </w:rPr>
      </w:pPr>
    </w:p>
    <w:p w:rsidR="00120DAA" w:rsidRPr="00AE0EBD" w:rsidRDefault="00120DAA" w:rsidP="00120DAA">
      <w:pPr>
        <w:pStyle w:val="Sinespaciado"/>
        <w:spacing w:line="360" w:lineRule="auto"/>
        <w:jc w:val="both"/>
        <w:rPr>
          <w:rFonts w:ascii="Palatino Linotype" w:hAnsi="Palatino Linotype"/>
          <w:b/>
          <w:sz w:val="28"/>
          <w:szCs w:val="26"/>
        </w:rPr>
      </w:pPr>
      <w:r w:rsidRPr="00AE0EBD">
        <w:rPr>
          <w:rFonts w:ascii="Palatino Linotype" w:hAnsi="Palatino Linotype"/>
          <w:b/>
          <w:sz w:val="28"/>
          <w:szCs w:val="26"/>
        </w:rPr>
        <w:t>SEGUNDO. De la respuesta del Sujeto Obligado.</w:t>
      </w:r>
    </w:p>
    <w:p w:rsidR="00120DAA" w:rsidRPr="00AE0EBD" w:rsidRDefault="00120DAA" w:rsidP="00120DAA">
      <w:pPr>
        <w:pStyle w:val="Sinespaciado"/>
        <w:spacing w:line="360" w:lineRule="auto"/>
        <w:jc w:val="both"/>
        <w:rPr>
          <w:rFonts w:ascii="Palatino Linotype" w:hAnsi="Palatino Linotype"/>
        </w:rPr>
      </w:pPr>
      <w:r w:rsidRPr="00AE0EBD">
        <w:rPr>
          <w:rFonts w:ascii="Palatino Linotype" w:hAnsi="Palatino Linotype"/>
        </w:rPr>
        <w:t xml:space="preserve">En fecha trece de junio del año en curso, el </w:t>
      </w:r>
      <w:r w:rsidRPr="00AE0EBD">
        <w:rPr>
          <w:rFonts w:ascii="Palatino Linotype" w:hAnsi="Palatino Linotype"/>
          <w:b/>
        </w:rPr>
        <w:t xml:space="preserve">Sujeto Obligado </w:t>
      </w:r>
      <w:r w:rsidRPr="00AE0EBD">
        <w:rPr>
          <w:rFonts w:ascii="Palatino Linotype" w:hAnsi="Palatino Linotype"/>
        </w:rPr>
        <w:t>emitió su respuesta a la solicitud de información como se muestra a continuación:</w:t>
      </w:r>
    </w:p>
    <w:p w:rsidR="00120DAA" w:rsidRPr="00AE0EBD" w:rsidRDefault="00120DAA" w:rsidP="00120DAA">
      <w:pPr>
        <w:pStyle w:val="Sinespaciado"/>
        <w:ind w:left="567" w:right="567"/>
        <w:jc w:val="both"/>
        <w:rPr>
          <w:rFonts w:ascii="Palatino Linotype" w:hAnsi="Palatino Linotype"/>
          <w:i/>
          <w:sz w:val="22"/>
          <w:szCs w:val="22"/>
        </w:rPr>
      </w:pPr>
    </w:p>
    <w:p w:rsidR="00120DAA" w:rsidRPr="00AE0EBD" w:rsidRDefault="00120DAA" w:rsidP="00120DAA">
      <w:pPr>
        <w:pStyle w:val="Sinespaciado"/>
        <w:ind w:left="567" w:right="567"/>
        <w:jc w:val="right"/>
        <w:rPr>
          <w:rFonts w:ascii="Palatino Linotype" w:hAnsi="Palatino Linotype"/>
          <w:b/>
          <w:i/>
          <w:sz w:val="22"/>
          <w:szCs w:val="22"/>
        </w:rPr>
      </w:pPr>
      <w:r w:rsidRPr="00AE0EBD">
        <w:rPr>
          <w:rFonts w:ascii="Palatino Linotype" w:hAnsi="Palatino Linotype"/>
          <w:i/>
          <w:sz w:val="22"/>
          <w:szCs w:val="22"/>
        </w:rPr>
        <w:t>“</w:t>
      </w:r>
      <w:r w:rsidRPr="00AE0EBD">
        <w:rPr>
          <w:rFonts w:ascii="Palatino Linotype" w:hAnsi="Palatino Linotype"/>
          <w:b/>
          <w:i/>
          <w:sz w:val="22"/>
          <w:szCs w:val="22"/>
        </w:rPr>
        <w:t>Huixquilucan, México a 13 de Junio de 2019</w:t>
      </w:r>
    </w:p>
    <w:p w:rsidR="00120DAA" w:rsidRPr="00AE0EBD" w:rsidRDefault="00120DAA" w:rsidP="00120DAA">
      <w:pPr>
        <w:pStyle w:val="Sinespaciado"/>
        <w:ind w:left="567" w:right="567"/>
        <w:jc w:val="right"/>
        <w:rPr>
          <w:rFonts w:ascii="Palatino Linotype" w:hAnsi="Palatino Linotype"/>
          <w:b/>
          <w:i/>
          <w:sz w:val="22"/>
          <w:szCs w:val="22"/>
        </w:rPr>
      </w:pPr>
      <w:r w:rsidRPr="00AE0EBD">
        <w:rPr>
          <w:rFonts w:ascii="Palatino Linotype" w:hAnsi="Palatino Linotype"/>
          <w:b/>
          <w:i/>
          <w:sz w:val="22"/>
          <w:szCs w:val="22"/>
        </w:rPr>
        <w:t>Nombre del solicitante:</w:t>
      </w:r>
    </w:p>
    <w:p w:rsidR="00120DAA" w:rsidRPr="00AE0EBD" w:rsidRDefault="00120DAA" w:rsidP="00120DAA">
      <w:pPr>
        <w:pStyle w:val="Sinespaciado"/>
        <w:ind w:left="567" w:right="567"/>
        <w:jc w:val="right"/>
        <w:rPr>
          <w:rFonts w:ascii="Palatino Linotype" w:hAnsi="Palatino Linotype"/>
          <w:b/>
          <w:i/>
          <w:sz w:val="22"/>
          <w:szCs w:val="22"/>
        </w:rPr>
      </w:pPr>
      <w:r w:rsidRPr="00AE0EBD">
        <w:rPr>
          <w:rFonts w:ascii="Palatino Linotype" w:hAnsi="Palatino Linotype"/>
          <w:b/>
          <w:i/>
          <w:sz w:val="22"/>
          <w:szCs w:val="22"/>
        </w:rPr>
        <w:t>Folio de la solicitud: 01460/HUIXQUIL/IP/2019</w:t>
      </w:r>
    </w:p>
    <w:p w:rsidR="00120DAA" w:rsidRPr="00AE0EBD" w:rsidRDefault="00120DAA" w:rsidP="00120DAA">
      <w:pPr>
        <w:pStyle w:val="Sinespaciado"/>
        <w:ind w:left="567" w:right="567"/>
        <w:jc w:val="both"/>
        <w:rPr>
          <w:rFonts w:ascii="Palatino Linotype" w:hAnsi="Palatino Linotype"/>
          <w:i/>
          <w:sz w:val="22"/>
          <w:szCs w:val="22"/>
        </w:rPr>
      </w:pPr>
    </w:p>
    <w:p w:rsidR="00120DAA" w:rsidRPr="00AE0EBD" w:rsidRDefault="00120DAA" w:rsidP="00120DAA">
      <w:pPr>
        <w:pStyle w:val="Sinespaciado"/>
        <w:ind w:left="567" w:right="567"/>
        <w:jc w:val="both"/>
        <w:rPr>
          <w:rFonts w:ascii="Palatino Linotype" w:hAnsi="Palatino Linotype"/>
          <w:i/>
          <w:sz w:val="22"/>
          <w:szCs w:val="22"/>
        </w:rPr>
      </w:pPr>
      <w:r w:rsidRPr="00AE0EBD">
        <w:rPr>
          <w:rFonts w:ascii="Palatino Linotype" w:hAnsi="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120DAA" w:rsidRPr="00AE0EBD" w:rsidRDefault="00120DAA" w:rsidP="00120DAA">
      <w:pPr>
        <w:pStyle w:val="Sinespaciado"/>
        <w:ind w:left="567" w:right="567"/>
        <w:jc w:val="both"/>
        <w:rPr>
          <w:rFonts w:ascii="Palatino Linotype" w:hAnsi="Palatino Linotype"/>
          <w:i/>
          <w:sz w:val="22"/>
          <w:szCs w:val="22"/>
        </w:rPr>
      </w:pPr>
    </w:p>
    <w:p w:rsidR="00120DAA" w:rsidRPr="00AE0EBD" w:rsidRDefault="00120DAA" w:rsidP="00120DAA">
      <w:pPr>
        <w:pStyle w:val="Sinespaciado"/>
        <w:ind w:left="567" w:right="567"/>
        <w:jc w:val="both"/>
        <w:rPr>
          <w:rFonts w:ascii="Palatino Linotype" w:hAnsi="Palatino Linotype"/>
          <w:i/>
          <w:sz w:val="22"/>
          <w:szCs w:val="22"/>
        </w:rPr>
      </w:pPr>
      <w:r w:rsidRPr="00AE0EBD">
        <w:rPr>
          <w:rFonts w:ascii="Palatino Linotype" w:hAnsi="Palatino Linotype"/>
          <w:i/>
          <w:sz w:val="22"/>
          <w:szCs w:val="22"/>
        </w:rPr>
        <w:t xml:space="preserve">Con fundamento en los artículos 6 de la Constitución Política de los Estados Unidos Mexicanos; 5 de la Constitución Política del Estado Libre y Soberano de México; 12, 23 fracción IV, 25, 59 y demás relativos aplicables de la Ley de Transparencia y Acceso a la Información Pública del Estado de México y Municipios; 1.41 del Libro Primero, Titulo Noveno del Código Administrativo del Estado de México; así como el numeral TREINTA </w:t>
      </w:r>
      <w:r w:rsidRPr="00AE0EBD">
        <w:rPr>
          <w:rFonts w:ascii="Palatino Linotype" w:hAnsi="Palatino Linotype"/>
          <w:i/>
          <w:sz w:val="22"/>
          <w:szCs w:val="22"/>
        </w:rPr>
        <w:lastRenderedPageBreak/>
        <w:t xml:space="preserve">Y OCHO inciso d) de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así como el Titulo Cuarto, Capítulo II del Bando Municipal 2019; en atención a su solicitud de información número 01460/HUIXQUIL/IP/2019, que a letra dice: “SOLICITO DEL AREA ENCARGADA DEL MUNICIPIO DE HUIXQUILUCAN ESTADO DE MEXICO LO SIGUIENTE: De la calle BENITO JUAREZ, del tramo comprendido única y exclusivamente entre Jesus del Monte y Francisco I Madero (esto es solo una cuadra de la Calle Benito Juarez del tramo entre Jesus del Monte y Francisco I Madero), Colonia Jesus del Monte, Codigo Postal 52764 Municipio de Huixquilucan, Estado de Mexico quiero saber lo siguiente: 1.- SI SIEMPRE? HA TENIDO EL NOMBRE DE BENITO JUAREZ EL TRAMO DE CALLE ANTES REFERIDA (AGREGAR DOCUMENTO CON QUE SE CONTESTE DICHA AFIRMACION O NEGATIVA) 2.- EN CASO DE LA CALLE BENITO JUAREZ DEL TRAMO ANTES REFERIDO HAYA TENIDO UN NOMBRE ANTERIOR O DIFERENTE A BENITO JUAREZ INDICAR CUAL HA SIDO. (AGREGAR DOCUMENTO CON QUE SE CONTESTE DICHA AFIRMACION O NEGATIVA) 3.- DE LA CALLE BENITO JUAREZ DEL TRAMO ANTES SEÑALADO AGREGAR EL PLANO MANZANERO . 4.- DE LA CALLE BENITO JUAREZ DEL TRAMO ANTES REFERIDO INDICAR NUMERO OFICIAL. (CON DOCUMENTO QUE ACREDITE DICHA NUMERACION DE CADA UNO DE LOS BIENES INMUEBLES) 5.- DE LA CALLE BENITO JUAREZ DEL TRAMO ANTES REFERIDO INDICAR NUMERO ACTUAL (CON DOCUMENTO QUE ACREDITE DICHA NUMERACION DE CADA UNO DE LOS BIENES INMUEBLES) 6.- DE LA CALLE BENITO JUAREZ DEL TRAMO ANTES REFERIDO INDICAR NUMERACION ANTERIOR A LA OFICIAL. (CON DOCUMENTO QUE ACREDITE DICHA NUMERACION DE CADA UNO DE LOS BIENES INMUEBLES) 7.- DE LA CALLE BENITO JUAREZ DEL TRAMO ANTES REFERIDO AGREGAR CERTIFICADOS DE INSCRIPCION DE TODAS Y CADA UNA DE LOS BIENES INMUEBLES 8.- DE LA CALLE BENITO JUAREZ DEL TRAMO ANTES REFERIDO INDICAR QUE BIENES INMUEBLES TIENEN CERTIFICADOS DE INSCRIPCION (NUMERACION DE LOS BIENES INMUEBLES) gracias” (SIC). Sobre el particular, esta Unidad de Transparencia en ejercicio de las atribuciones que la Ley le confiere, turnó su solicitud de información a las siguiente área administrativa: Dirección General de Desarrollo Urbano Sustentable que conforme al Reglamento Orgánico de la Administración Pública Municipal de Huixquilucan, Estado de México 2019, es competente para dar contestación a su requerimiento, por lo que manifestó lo siguiente: Dirección General de Desarrollo Urbano Sustentable “Por medio del presente y atendiendo al contenido de la solicitud, me permito </w:t>
      </w:r>
      <w:r w:rsidRPr="00AE0EBD">
        <w:rPr>
          <w:rFonts w:ascii="Palatino Linotype" w:hAnsi="Palatino Linotype"/>
          <w:i/>
          <w:sz w:val="22"/>
          <w:szCs w:val="22"/>
        </w:rPr>
        <w:lastRenderedPageBreak/>
        <w:t>hacer de su conocimiento que con fundamento en el artículo 137 del Reglamento Orgánico de la Administración Pública Municipal del Municipio de Huixquilucan, estado de México la solicitud que nos ocupa no es faculta de esta dirección.” (SIC), para pronta referencia, por último, no omito mencionar que el derecho de acceso a la información tiene como objetivo, el de incentivar la participación ciudadana, respecto del quehacer gubernamental; por lo que la información que es proveída por este medio sólo tiene como finalidad la de ser de carácter informativo. Asimismo, la información que es puesta a disposición de los particulares, es aquella que encuadra en lo establecido por los numerales 12 párrafo segundo y 59 de la Ley de Transparencia y Acceso a la Información Pública del Estado de México y Municipios, que prevé la entrega de la información que los Sujetos Obligados por esta Ley, generan, contienen y en su caso administran en ejercicio de sus atribuciones, tal y como obran en sus archivos. De lo expuesto y fundado a Usted, en términos del artículo 163 y demás aplicables de la Ley de Transparencia y Acceso a la Información Pública del Estado de México y Municipios, a Usted pido se sirva tener a esta Unidad de Transparencia por notificada en tiempo y forma respecto de la contestación a su solicitud de acceso a la información para los efectos legales correspondientes, mediante la modalidad en que fue requerida.</w:t>
      </w:r>
    </w:p>
    <w:p w:rsidR="00120DAA" w:rsidRPr="00AE0EBD" w:rsidRDefault="00120DAA" w:rsidP="00120DAA">
      <w:pPr>
        <w:pStyle w:val="Sinespaciado"/>
        <w:ind w:left="567" w:right="567"/>
        <w:jc w:val="both"/>
        <w:rPr>
          <w:rFonts w:ascii="Palatino Linotype" w:hAnsi="Palatino Linotype"/>
          <w:i/>
          <w:sz w:val="22"/>
          <w:szCs w:val="22"/>
        </w:rPr>
      </w:pPr>
    </w:p>
    <w:p w:rsidR="00120DAA" w:rsidRPr="00AE0EBD" w:rsidRDefault="00120DAA" w:rsidP="00120DAA">
      <w:pPr>
        <w:pStyle w:val="Sinespaciado"/>
        <w:ind w:left="567" w:right="567"/>
        <w:jc w:val="both"/>
        <w:rPr>
          <w:rFonts w:ascii="Palatino Linotype" w:hAnsi="Palatino Linotype"/>
          <w:i/>
          <w:sz w:val="22"/>
          <w:szCs w:val="22"/>
        </w:rPr>
      </w:pPr>
      <w:r w:rsidRPr="00AE0EBD">
        <w:rPr>
          <w:rFonts w:ascii="Palatino Linotype" w:hAnsi="Palatino Linotype"/>
          <w:i/>
          <w:sz w:val="22"/>
          <w:szCs w:val="22"/>
        </w:rPr>
        <w:t>ATENTAMENTE</w:t>
      </w:r>
    </w:p>
    <w:p w:rsidR="00120DAA" w:rsidRPr="00AE0EBD" w:rsidRDefault="00120DAA" w:rsidP="00120DAA">
      <w:pPr>
        <w:pStyle w:val="Sinespaciado"/>
        <w:ind w:left="567" w:right="567"/>
        <w:jc w:val="both"/>
        <w:rPr>
          <w:rFonts w:ascii="Palatino Linotype" w:hAnsi="Palatino Linotype"/>
          <w:i/>
          <w:sz w:val="22"/>
          <w:szCs w:val="22"/>
        </w:rPr>
      </w:pPr>
      <w:r w:rsidRPr="00AE0EBD">
        <w:rPr>
          <w:rFonts w:ascii="Palatino Linotype" w:hAnsi="Palatino Linotype"/>
          <w:i/>
          <w:sz w:val="22"/>
          <w:szCs w:val="22"/>
        </w:rPr>
        <w:t>C. ULISES MAURICIO SALAZAR FRANCO” (Sic)</w:t>
      </w:r>
    </w:p>
    <w:p w:rsidR="00120DAA" w:rsidRPr="00AE0EBD" w:rsidRDefault="00120DAA" w:rsidP="00120DAA">
      <w:pPr>
        <w:rPr>
          <w:sz w:val="24"/>
        </w:rPr>
      </w:pPr>
    </w:p>
    <w:p w:rsidR="00120DAA" w:rsidRPr="00AE0EBD" w:rsidRDefault="00120DAA" w:rsidP="00120DAA">
      <w:pPr>
        <w:rPr>
          <w:sz w:val="14"/>
        </w:rPr>
      </w:pPr>
    </w:p>
    <w:p w:rsidR="00120DAA" w:rsidRPr="00AE0EBD" w:rsidRDefault="00120DAA" w:rsidP="00120DAA">
      <w:pPr>
        <w:pStyle w:val="Sinespaciado"/>
        <w:spacing w:line="360" w:lineRule="auto"/>
        <w:jc w:val="both"/>
        <w:rPr>
          <w:rFonts w:ascii="Palatino Linotype" w:hAnsi="Palatino Linotype"/>
          <w:b/>
          <w:sz w:val="28"/>
          <w:szCs w:val="26"/>
        </w:rPr>
      </w:pPr>
      <w:r w:rsidRPr="00AE0EBD">
        <w:rPr>
          <w:rFonts w:ascii="Palatino Linotype" w:hAnsi="Palatino Linotype"/>
          <w:b/>
          <w:sz w:val="28"/>
          <w:szCs w:val="26"/>
        </w:rPr>
        <w:t>TERCERO. Del recurso de revisión.</w:t>
      </w:r>
    </w:p>
    <w:p w:rsidR="00120DAA" w:rsidRPr="00AE0EBD" w:rsidRDefault="00120DAA" w:rsidP="00120DAA">
      <w:pPr>
        <w:pStyle w:val="Sinespaciado"/>
        <w:spacing w:line="360" w:lineRule="auto"/>
        <w:jc w:val="both"/>
        <w:rPr>
          <w:rFonts w:ascii="Palatino Linotype" w:hAnsi="Palatino Linotype"/>
        </w:rPr>
      </w:pPr>
      <w:r w:rsidRPr="00AE0EBD">
        <w:rPr>
          <w:rFonts w:ascii="Palatino Linotype" w:hAnsi="Palatino Linotype"/>
        </w:rPr>
        <w:t xml:space="preserve">No conforme con la respuesta, en fecha diecinueve de junio de dos mil diecinueve, el </w:t>
      </w:r>
      <w:r w:rsidRPr="00AE0EBD">
        <w:rPr>
          <w:rFonts w:ascii="Palatino Linotype" w:hAnsi="Palatino Linotype"/>
          <w:b/>
        </w:rPr>
        <w:t>Recurrente</w:t>
      </w:r>
      <w:r w:rsidRPr="00AE0EBD">
        <w:rPr>
          <w:rFonts w:ascii="Palatino Linotype" w:hAnsi="Palatino Linotype"/>
        </w:rPr>
        <w:t xml:space="preserve"> interpuso el recurso de revisión, el cual fue registrado</w:t>
      </w:r>
      <w:r w:rsidRPr="00AE0EBD">
        <w:rPr>
          <w:rFonts w:ascii="Palatino Linotype" w:hAnsi="Palatino Linotype"/>
          <w:b/>
        </w:rPr>
        <w:t xml:space="preserve"> </w:t>
      </w:r>
      <w:r w:rsidRPr="00AE0EBD">
        <w:rPr>
          <w:rFonts w:ascii="Palatino Linotype" w:hAnsi="Palatino Linotype"/>
        </w:rPr>
        <w:t xml:space="preserve">en el </w:t>
      </w:r>
      <w:r w:rsidRPr="00AE0EBD">
        <w:rPr>
          <w:rFonts w:ascii="Palatino Linotype" w:hAnsi="Palatino Linotype"/>
          <w:b/>
        </w:rPr>
        <w:t>SAIMEX</w:t>
      </w:r>
      <w:r w:rsidRPr="00AE0EBD">
        <w:rPr>
          <w:rFonts w:ascii="Palatino Linotype" w:hAnsi="Palatino Linotype"/>
        </w:rPr>
        <w:t xml:space="preserve"> con el expediente número </w:t>
      </w:r>
      <w:r w:rsidRPr="00AE0EBD">
        <w:rPr>
          <w:rFonts w:ascii="Palatino Linotype" w:hAnsi="Palatino Linotype"/>
          <w:b/>
        </w:rPr>
        <w:t>05600/INFOEM/IP/RR/2019</w:t>
      </w:r>
      <w:r w:rsidRPr="00AE0EBD">
        <w:rPr>
          <w:rFonts w:ascii="Palatino Linotype" w:hAnsi="Palatino Linotype"/>
        </w:rPr>
        <w:t>, manifestando lo siguiente:</w:t>
      </w:r>
    </w:p>
    <w:p w:rsidR="00120DAA" w:rsidRPr="00AE0EBD" w:rsidRDefault="00120DAA" w:rsidP="00120DAA">
      <w:pPr>
        <w:pStyle w:val="Sinespaciado"/>
      </w:pPr>
    </w:p>
    <w:p w:rsidR="00120DAA" w:rsidRPr="00AE0EBD" w:rsidRDefault="00120DAA" w:rsidP="00120DAA">
      <w:pPr>
        <w:pStyle w:val="Sinespaciado"/>
        <w:numPr>
          <w:ilvl w:val="0"/>
          <w:numId w:val="3"/>
        </w:numPr>
        <w:jc w:val="both"/>
        <w:rPr>
          <w:rFonts w:ascii="Palatino Linotype" w:hAnsi="Palatino Linotype"/>
          <w:b/>
        </w:rPr>
      </w:pPr>
      <w:r w:rsidRPr="00AE0EBD">
        <w:rPr>
          <w:rFonts w:ascii="Palatino Linotype" w:hAnsi="Palatino Linotype"/>
          <w:b/>
        </w:rPr>
        <w:t>Acto Impugnado:</w:t>
      </w:r>
    </w:p>
    <w:p w:rsidR="00120DAA" w:rsidRPr="00AE0EBD" w:rsidRDefault="00120DAA" w:rsidP="00120DAA">
      <w:pPr>
        <w:pStyle w:val="Sinespaciado"/>
        <w:ind w:left="567" w:right="567"/>
        <w:jc w:val="both"/>
        <w:rPr>
          <w:rFonts w:ascii="Palatino Linotype" w:hAnsi="Palatino Linotype"/>
          <w:i/>
          <w:sz w:val="22"/>
          <w:szCs w:val="22"/>
        </w:rPr>
      </w:pPr>
      <w:r w:rsidRPr="00AE0EBD">
        <w:rPr>
          <w:rFonts w:ascii="Palatino Linotype" w:hAnsi="Palatino Linotype"/>
          <w:i/>
          <w:sz w:val="22"/>
          <w:szCs w:val="22"/>
        </w:rPr>
        <w:t>“por medio de la presente interpongo recurso de impugnación toda vez que me niegan mi derecho a la información, solicito que el área encargada de una contestación clara y concisa de lo que solicite, así mismo solicite que la respuesta sea respaldada con documento como se aprecia en los puntos de la solicitud." (Sic)</w:t>
      </w:r>
    </w:p>
    <w:p w:rsidR="00120DAA" w:rsidRPr="00AE0EBD" w:rsidRDefault="00120DAA" w:rsidP="00120DAA"/>
    <w:p w:rsidR="00120DAA" w:rsidRPr="00AE0EBD" w:rsidRDefault="00120DAA" w:rsidP="00120DAA">
      <w:pPr>
        <w:pStyle w:val="Sinespaciado"/>
        <w:numPr>
          <w:ilvl w:val="0"/>
          <w:numId w:val="3"/>
        </w:numPr>
        <w:jc w:val="both"/>
        <w:rPr>
          <w:rFonts w:ascii="Palatino Linotype" w:hAnsi="Palatino Linotype"/>
          <w:b/>
        </w:rPr>
      </w:pPr>
      <w:r w:rsidRPr="00AE0EBD">
        <w:rPr>
          <w:rFonts w:ascii="Palatino Linotype" w:hAnsi="Palatino Linotype"/>
          <w:b/>
        </w:rPr>
        <w:t xml:space="preserve">Razones o Motivos de Inconformidad: </w:t>
      </w:r>
    </w:p>
    <w:p w:rsidR="00120DAA" w:rsidRPr="00AE0EBD" w:rsidRDefault="00120DAA" w:rsidP="00120DAA">
      <w:pPr>
        <w:pStyle w:val="Sinespaciado"/>
        <w:ind w:left="567" w:right="567"/>
        <w:jc w:val="both"/>
        <w:rPr>
          <w:rFonts w:ascii="Palatino Linotype" w:hAnsi="Palatino Linotype"/>
          <w:i/>
          <w:sz w:val="22"/>
          <w:szCs w:val="22"/>
        </w:rPr>
      </w:pPr>
      <w:r w:rsidRPr="00AE0EBD">
        <w:rPr>
          <w:rFonts w:ascii="Palatino Linotype" w:hAnsi="Palatino Linotype"/>
          <w:i/>
          <w:sz w:val="22"/>
          <w:szCs w:val="22"/>
        </w:rPr>
        <w:t xml:space="preserve">“por medio de la presente interpongo recurso de impugnación toda vez que me niegan mi derecho a la información, solicito que el área encargada de una contestación clara y concisa </w:t>
      </w:r>
      <w:r w:rsidRPr="00AE0EBD">
        <w:rPr>
          <w:rFonts w:ascii="Palatino Linotype" w:hAnsi="Palatino Linotype"/>
          <w:i/>
          <w:sz w:val="22"/>
          <w:szCs w:val="22"/>
        </w:rPr>
        <w:lastRenderedPageBreak/>
        <w:t>de lo que solicite, así mismo solicite que la respuesta sea respaldada con documento como se aprecia en los puntos de la solicitud.” (Sic)</w:t>
      </w:r>
    </w:p>
    <w:p w:rsidR="00120DAA" w:rsidRPr="00AE0EBD" w:rsidRDefault="00120DAA" w:rsidP="00120DAA"/>
    <w:p w:rsidR="00120DAA" w:rsidRPr="00AE0EBD" w:rsidRDefault="00120DAA" w:rsidP="00120DAA">
      <w:pPr>
        <w:rPr>
          <w:sz w:val="24"/>
        </w:rPr>
      </w:pPr>
    </w:p>
    <w:p w:rsidR="00120DAA" w:rsidRPr="00AE0EBD" w:rsidRDefault="00120DAA" w:rsidP="00120DAA">
      <w:pPr>
        <w:pStyle w:val="Sinespaciado"/>
        <w:spacing w:line="360" w:lineRule="auto"/>
        <w:jc w:val="both"/>
        <w:rPr>
          <w:rFonts w:ascii="Palatino Linotype" w:hAnsi="Palatino Linotype"/>
          <w:b/>
          <w:sz w:val="28"/>
          <w:szCs w:val="26"/>
        </w:rPr>
      </w:pPr>
      <w:r w:rsidRPr="00AE0EBD">
        <w:rPr>
          <w:rFonts w:ascii="Palatino Linotype" w:hAnsi="Palatino Linotype"/>
          <w:b/>
          <w:sz w:val="28"/>
          <w:szCs w:val="26"/>
        </w:rPr>
        <w:t>CUARTO. Del turno del recurso de revisión.</w:t>
      </w:r>
    </w:p>
    <w:p w:rsidR="00120DAA" w:rsidRPr="00AE0EBD" w:rsidRDefault="00120DAA" w:rsidP="00120DAA">
      <w:pPr>
        <w:pStyle w:val="Sinespaciado"/>
        <w:spacing w:line="360" w:lineRule="auto"/>
        <w:jc w:val="both"/>
        <w:rPr>
          <w:rFonts w:ascii="Palatino Linotype" w:hAnsi="Palatino Linotype"/>
        </w:rPr>
      </w:pPr>
      <w:r w:rsidRPr="00AE0EBD">
        <w:rPr>
          <w:rFonts w:ascii="Palatino Linotype" w:hAnsi="Palatino Linotype"/>
        </w:rPr>
        <w:t>El medio de impugnación le fue turnado a la Comisionada Zulema Martínez Sánchez, en términos del numeral 185, fracción I, de la Ley de Transparencia y Acceso a la Información Pública del Estado de México y Municipios, el cual, en fecha veinticinco de junio de dos mil diecinueve, se admitió en la vía interpuesta, poniendo el expediente a disposición de las partes para que, en un plazo máximo de siete días, manifestaran lo que a su derecho corresponda a efecto de ofrecer pruebas, informe justificado y presentar alegatos, con fundamento en el artículo 185, fracciones I, II y IV, de la Ley de Transparencia y Acceso a la Información Pública del Estado de México y Municipios.</w:t>
      </w:r>
    </w:p>
    <w:p w:rsidR="00120DAA" w:rsidRPr="00AE0EBD" w:rsidRDefault="00120DAA" w:rsidP="00120DAA">
      <w:pPr>
        <w:pStyle w:val="Sinespaciado"/>
        <w:spacing w:line="360" w:lineRule="auto"/>
        <w:jc w:val="both"/>
        <w:rPr>
          <w:rFonts w:ascii="Palatino Linotype" w:hAnsi="Palatino Linotype"/>
        </w:rPr>
      </w:pPr>
    </w:p>
    <w:p w:rsidR="00120DAA" w:rsidRPr="00AE0EBD" w:rsidRDefault="00120DAA" w:rsidP="00120DAA">
      <w:pPr>
        <w:pStyle w:val="Sinespaciado"/>
        <w:spacing w:line="360" w:lineRule="auto"/>
        <w:jc w:val="both"/>
        <w:rPr>
          <w:rFonts w:ascii="Palatino Linotype" w:hAnsi="Palatino Linotype"/>
          <w:b/>
          <w:sz w:val="28"/>
          <w:szCs w:val="26"/>
        </w:rPr>
      </w:pPr>
      <w:r w:rsidRPr="00AE0EBD">
        <w:rPr>
          <w:rFonts w:ascii="Palatino Linotype" w:hAnsi="Palatino Linotype"/>
          <w:b/>
          <w:sz w:val="28"/>
          <w:szCs w:val="26"/>
        </w:rPr>
        <w:t>QUINTO. De la etapa de instrucción.</w:t>
      </w:r>
    </w:p>
    <w:p w:rsidR="00120DAA" w:rsidRPr="00AE0EBD" w:rsidRDefault="00120DAA" w:rsidP="00120DAA">
      <w:pPr>
        <w:spacing w:after="0" w:line="360" w:lineRule="auto"/>
        <w:jc w:val="both"/>
        <w:rPr>
          <w:rFonts w:ascii="Palatino Linotype" w:hAnsi="Palatino Linotype" w:cs="Arial"/>
          <w:sz w:val="24"/>
          <w:szCs w:val="24"/>
        </w:rPr>
      </w:pPr>
      <w:r w:rsidRPr="00AE0EBD">
        <w:rPr>
          <w:rFonts w:ascii="Palatino Linotype" w:hAnsi="Palatino Linotype" w:cs="Arial"/>
          <w:sz w:val="24"/>
          <w:szCs w:val="24"/>
        </w:rPr>
        <w:t xml:space="preserve">Así, en la etapa de instrucción, se desprende que en fecha cuatro de julio del año en curso, </w:t>
      </w:r>
      <w:r w:rsidRPr="00AE0EBD">
        <w:rPr>
          <w:rFonts w:ascii="Palatino Linotype" w:hAnsi="Palatino Linotype" w:cs="Arial"/>
          <w:b/>
          <w:sz w:val="24"/>
          <w:szCs w:val="24"/>
        </w:rPr>
        <w:t>El Sujeto Obligado</w:t>
      </w:r>
      <w:r w:rsidRPr="00AE0EBD">
        <w:rPr>
          <w:rFonts w:ascii="Palatino Linotype" w:hAnsi="Palatino Linotype" w:cs="Arial"/>
          <w:sz w:val="24"/>
          <w:szCs w:val="24"/>
        </w:rPr>
        <w:t xml:space="preserve"> remitió su informe justificado, mediante los archivos denominados </w:t>
      </w:r>
      <w:r w:rsidRPr="00AE0EBD">
        <w:rPr>
          <w:rFonts w:ascii="Palatino Linotype" w:hAnsi="Palatino Linotype" w:cs="Arial"/>
          <w:i/>
          <w:sz w:val="24"/>
          <w:szCs w:val="24"/>
        </w:rPr>
        <w:t>“ij-rr-5600.pdf”</w:t>
      </w:r>
      <w:r w:rsidRPr="00AE0EBD">
        <w:rPr>
          <w:rFonts w:ascii="Palatino Linotype" w:hAnsi="Palatino Linotype" w:cs="Arial"/>
          <w:sz w:val="24"/>
          <w:szCs w:val="24"/>
        </w:rPr>
        <w:t xml:space="preserve"> y </w:t>
      </w:r>
      <w:r w:rsidRPr="00AE0EBD">
        <w:rPr>
          <w:rFonts w:ascii="Palatino Linotype" w:hAnsi="Palatino Linotype" w:cs="Arial"/>
          <w:i/>
          <w:sz w:val="24"/>
          <w:szCs w:val="24"/>
        </w:rPr>
        <w:t>“RR 05600 INFOEM.pdf”</w:t>
      </w:r>
      <w:r w:rsidRPr="00AE0EBD">
        <w:rPr>
          <w:rFonts w:ascii="Palatino Linotype" w:hAnsi="Palatino Linotype" w:cs="Arial"/>
          <w:sz w:val="24"/>
          <w:szCs w:val="24"/>
        </w:rPr>
        <w:t xml:space="preserve">; asimismo, se advierte que </w:t>
      </w:r>
      <w:r w:rsidRPr="00AE0EBD">
        <w:rPr>
          <w:rFonts w:ascii="Palatino Linotype" w:hAnsi="Palatino Linotype" w:cs="Arial"/>
          <w:b/>
          <w:sz w:val="24"/>
          <w:szCs w:val="24"/>
        </w:rPr>
        <w:t>El Recurrente</w:t>
      </w:r>
      <w:r w:rsidRPr="00AE0EBD">
        <w:rPr>
          <w:rFonts w:ascii="Palatino Linotype" w:hAnsi="Palatino Linotype" w:cs="Arial"/>
          <w:sz w:val="24"/>
          <w:szCs w:val="24"/>
        </w:rPr>
        <w:t xml:space="preserve">, no rindió manifestaciones, de igual modo se aprecia del expediente electrónico en estudio que obra en el sistema </w:t>
      </w:r>
      <w:r w:rsidRPr="00AE0EBD">
        <w:rPr>
          <w:rFonts w:ascii="Palatino Linotype" w:hAnsi="Palatino Linotype" w:cs="Arial"/>
          <w:b/>
          <w:sz w:val="24"/>
          <w:szCs w:val="24"/>
        </w:rPr>
        <w:t>SAIMEX</w:t>
      </w:r>
      <w:r w:rsidRPr="00AE0EBD">
        <w:rPr>
          <w:rFonts w:ascii="Palatino Linotype" w:hAnsi="Palatino Linotype" w:cs="Arial"/>
          <w:sz w:val="24"/>
          <w:szCs w:val="24"/>
        </w:rPr>
        <w:t>, que no se llevaron a acabo audiencias ni diligencia alguna, como se muestra en la siguiente imagen:</w:t>
      </w:r>
    </w:p>
    <w:p w:rsidR="00120DAA" w:rsidRPr="00AE0EBD" w:rsidRDefault="00120DAA" w:rsidP="00120DAA">
      <w:pPr>
        <w:pStyle w:val="Sinespaciado"/>
        <w:rPr>
          <w:sz w:val="2"/>
        </w:rPr>
      </w:pPr>
    </w:p>
    <w:p w:rsidR="00120DAA" w:rsidRPr="00AE0EBD" w:rsidRDefault="00120DAA" w:rsidP="00120DAA">
      <w:pPr>
        <w:rPr>
          <w:noProof/>
          <w:lang w:eastAsia="es-MX"/>
        </w:rPr>
      </w:pPr>
    </w:p>
    <w:p w:rsidR="00120DAA" w:rsidRPr="00AE0EBD" w:rsidRDefault="00120DAA" w:rsidP="00120DAA">
      <w:pPr>
        <w:rPr>
          <w:noProof/>
          <w:lang w:eastAsia="es-MX"/>
        </w:rPr>
      </w:pPr>
    </w:p>
    <w:p w:rsidR="00120DAA" w:rsidRPr="00AE0EBD" w:rsidRDefault="00120DAA" w:rsidP="00120DAA">
      <w:r w:rsidRPr="00AE0EBD">
        <w:rPr>
          <w:noProof/>
          <w:lang w:eastAsia="es-MX"/>
        </w:rPr>
        <w:lastRenderedPageBreak/>
        <w:drawing>
          <wp:inline distT="0" distB="0" distL="0" distR="0" wp14:anchorId="6637D7C4" wp14:editId="075D64D4">
            <wp:extent cx="5756910" cy="3919855"/>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6910" cy="3919855"/>
                    </a:xfrm>
                    <a:prstGeom prst="rect">
                      <a:avLst/>
                    </a:prstGeom>
                    <a:noFill/>
                    <a:ln>
                      <a:noFill/>
                    </a:ln>
                  </pic:spPr>
                </pic:pic>
              </a:graphicData>
            </a:graphic>
          </wp:inline>
        </w:drawing>
      </w:r>
    </w:p>
    <w:p w:rsidR="00120DAA" w:rsidRPr="00AE0EBD" w:rsidRDefault="00120DAA" w:rsidP="00120DAA">
      <w:pPr>
        <w:pStyle w:val="Sinespaciado"/>
      </w:pPr>
    </w:p>
    <w:p w:rsidR="00120DAA" w:rsidRPr="00AE0EBD" w:rsidRDefault="00120DAA" w:rsidP="00120DAA">
      <w:pPr>
        <w:pStyle w:val="Sinespaciado"/>
        <w:spacing w:line="360" w:lineRule="auto"/>
        <w:jc w:val="both"/>
        <w:rPr>
          <w:rFonts w:ascii="Palatino Linotype" w:hAnsi="Palatino Linotype"/>
          <w:b/>
          <w:sz w:val="28"/>
          <w:szCs w:val="26"/>
        </w:rPr>
      </w:pPr>
      <w:r w:rsidRPr="00AE0EBD">
        <w:rPr>
          <w:rFonts w:ascii="Palatino Linotype" w:hAnsi="Palatino Linotype"/>
          <w:b/>
          <w:sz w:val="28"/>
          <w:szCs w:val="26"/>
        </w:rPr>
        <w:t>SEXTO. Del cierre de instrucción.</w:t>
      </w:r>
    </w:p>
    <w:p w:rsidR="00120DAA" w:rsidRPr="00AE0EBD" w:rsidRDefault="00120DAA" w:rsidP="00120DAA">
      <w:pPr>
        <w:pStyle w:val="Sinespaciado"/>
        <w:spacing w:line="360" w:lineRule="auto"/>
        <w:jc w:val="both"/>
        <w:rPr>
          <w:rFonts w:ascii="Palatino Linotype" w:hAnsi="Palatino Linotype"/>
        </w:rPr>
      </w:pPr>
      <w:r w:rsidRPr="00AE0EBD">
        <w:rPr>
          <w:rFonts w:ascii="Palatino Linotype" w:hAnsi="Palatino Linotype"/>
        </w:rPr>
        <w:t>Así, en fecha once de julio de dos mil diecinueve, mediante acuerdo de la Comisionada Zulema Martínez Sánchez, y una vez transcurrido el plazo otorgado a las partes para que manifestaran lo que a su derecho conviniera, ofrecieran pruebas que estimaran convenientes y rindieran alegatos, se decretó el cierre de instrucción, en términos del artículo 185, Fracción VI, de la Ley de Transparencia y Acceso a la Información Pública del Estado de México y Municipios.</w:t>
      </w:r>
    </w:p>
    <w:p w:rsidR="00120DAA" w:rsidRPr="00AE0EBD" w:rsidRDefault="00120DAA" w:rsidP="00120DAA">
      <w:pPr>
        <w:pStyle w:val="Sinespaciado"/>
        <w:spacing w:line="360" w:lineRule="auto"/>
        <w:jc w:val="both"/>
        <w:rPr>
          <w:rFonts w:ascii="Palatino Linotype" w:hAnsi="Palatino Linotype"/>
        </w:rPr>
      </w:pPr>
    </w:p>
    <w:p w:rsidR="00120DAA" w:rsidRPr="00AE0EBD" w:rsidRDefault="00120DAA" w:rsidP="00120DAA">
      <w:pPr>
        <w:pStyle w:val="Sinespaciado"/>
        <w:spacing w:line="360" w:lineRule="auto"/>
        <w:jc w:val="both"/>
        <w:rPr>
          <w:rFonts w:ascii="Palatino Linotype" w:hAnsi="Palatino Linotype" w:cs="Arial"/>
          <w:b/>
          <w:sz w:val="28"/>
          <w:szCs w:val="26"/>
        </w:rPr>
      </w:pPr>
      <w:r w:rsidRPr="00AE0EBD">
        <w:rPr>
          <w:rFonts w:ascii="Palatino Linotype" w:hAnsi="Palatino Linotype" w:cs="Arial"/>
          <w:b/>
          <w:sz w:val="28"/>
          <w:szCs w:val="26"/>
        </w:rPr>
        <w:t>SÉPTIMO. De la ampliación del término para resolver.</w:t>
      </w:r>
    </w:p>
    <w:p w:rsidR="00120DAA" w:rsidRPr="00AE0EBD" w:rsidRDefault="00120DAA" w:rsidP="00120DAA">
      <w:pPr>
        <w:pStyle w:val="Sinespaciado"/>
        <w:spacing w:line="360" w:lineRule="auto"/>
        <w:jc w:val="both"/>
        <w:rPr>
          <w:rFonts w:ascii="Palatino Linotype" w:hAnsi="Palatino Linotype"/>
        </w:rPr>
      </w:pPr>
      <w:r w:rsidRPr="00AE0EBD">
        <w:rPr>
          <w:rFonts w:ascii="Palatino Linotype" w:hAnsi="Palatino Linotype" w:cs="Arial"/>
        </w:rPr>
        <w:t xml:space="preserve">En fecha veintiuno de agosto de dos mil diecinueve, se amplió el término para resolver el recurso de revisión en términos del artículo 181, párrafo tercero, de la Ley de </w:t>
      </w:r>
      <w:r w:rsidRPr="00AE0EBD">
        <w:rPr>
          <w:rFonts w:ascii="Palatino Linotype" w:hAnsi="Palatino Linotype" w:cs="Arial"/>
        </w:rPr>
        <w:lastRenderedPageBreak/>
        <w:t>Transparencia y Acceso a la Información Pública del Estado de México y Municipios, por un plazo de quince días hábiles.</w:t>
      </w:r>
    </w:p>
    <w:p w:rsidR="00120DAA" w:rsidRPr="00AE0EBD" w:rsidRDefault="00120DAA" w:rsidP="00120DAA">
      <w:pPr>
        <w:pStyle w:val="Sinespaciado"/>
        <w:spacing w:line="360" w:lineRule="auto"/>
        <w:jc w:val="both"/>
        <w:rPr>
          <w:rFonts w:ascii="Palatino Linotype" w:hAnsi="Palatino Linotype"/>
        </w:rPr>
      </w:pPr>
    </w:p>
    <w:p w:rsidR="00120DAA" w:rsidRPr="00AE0EBD" w:rsidRDefault="00120DAA" w:rsidP="00120DAA">
      <w:pPr>
        <w:pStyle w:val="Sinespaciado"/>
        <w:spacing w:line="360" w:lineRule="auto"/>
        <w:jc w:val="center"/>
        <w:rPr>
          <w:rFonts w:ascii="Palatino Linotype" w:hAnsi="Palatino Linotype"/>
          <w:b/>
          <w:sz w:val="28"/>
          <w:szCs w:val="28"/>
        </w:rPr>
      </w:pPr>
      <w:r w:rsidRPr="00AE0EBD">
        <w:rPr>
          <w:rFonts w:ascii="Palatino Linotype" w:hAnsi="Palatino Linotype"/>
          <w:b/>
          <w:sz w:val="28"/>
          <w:szCs w:val="28"/>
        </w:rPr>
        <w:t>C O N S I D E R A N D O</w:t>
      </w:r>
    </w:p>
    <w:p w:rsidR="00120DAA" w:rsidRPr="00AE0EBD" w:rsidRDefault="00120DAA" w:rsidP="00120DAA">
      <w:pPr>
        <w:pStyle w:val="Sinespaciado"/>
        <w:spacing w:line="360" w:lineRule="auto"/>
        <w:jc w:val="both"/>
        <w:rPr>
          <w:rFonts w:ascii="Palatino Linotype" w:hAnsi="Palatino Linotype"/>
          <w:sz w:val="20"/>
        </w:rPr>
      </w:pPr>
    </w:p>
    <w:p w:rsidR="00120DAA" w:rsidRPr="00AE0EBD" w:rsidRDefault="00120DAA" w:rsidP="00120DAA">
      <w:pPr>
        <w:pStyle w:val="Sinespaciado"/>
        <w:spacing w:line="360" w:lineRule="auto"/>
        <w:jc w:val="both"/>
        <w:rPr>
          <w:rFonts w:ascii="Palatino Linotype" w:hAnsi="Palatino Linotype"/>
          <w:b/>
          <w:sz w:val="28"/>
          <w:szCs w:val="26"/>
        </w:rPr>
      </w:pPr>
      <w:r w:rsidRPr="00AE0EBD">
        <w:rPr>
          <w:rFonts w:ascii="Palatino Linotype" w:hAnsi="Palatino Linotype"/>
          <w:b/>
          <w:sz w:val="28"/>
          <w:szCs w:val="26"/>
        </w:rPr>
        <w:t>PRIMERO. De la competencia.</w:t>
      </w:r>
    </w:p>
    <w:p w:rsidR="00120DAA" w:rsidRPr="00AE0EBD" w:rsidRDefault="00120DAA" w:rsidP="00120DAA">
      <w:pPr>
        <w:pStyle w:val="Sinespaciado"/>
        <w:spacing w:line="360" w:lineRule="auto"/>
        <w:jc w:val="both"/>
        <w:rPr>
          <w:rFonts w:ascii="Palatino Linotype" w:hAnsi="Palatino Linotype"/>
        </w:rPr>
      </w:pPr>
      <w:r w:rsidRPr="00AE0EBD">
        <w:rPr>
          <w:rFonts w:ascii="Palatino Linotype" w:hAnsi="Palatino Linotype"/>
        </w:rPr>
        <w:t>Este Instituto de Transparencia, Acceso a la Información Pública y Protección de Datos Personales del Estado de México y Municipios es competente para conocer y resolver el presente recurso de revisión, de conformidad con los artículos: 6,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181 párrafo tercero, 185, 188 y 194, de la Ley de Transparencia y Acceso a la Información Pública del Estado de México y Municipios; 9, fracciones I y XXIV, 11 y 14 fracción I del Reglamento Interior del Instituto de Transparencia, Acceso a la Información Pública y Protección de Datos Personales del Estado de México y Municipios.</w:t>
      </w:r>
    </w:p>
    <w:p w:rsidR="00120DAA" w:rsidRPr="00AE0EBD" w:rsidRDefault="00120DAA" w:rsidP="00120DAA">
      <w:pPr>
        <w:autoSpaceDE w:val="0"/>
        <w:autoSpaceDN w:val="0"/>
        <w:adjustRightInd w:val="0"/>
        <w:spacing w:after="0" w:line="360" w:lineRule="auto"/>
        <w:jc w:val="both"/>
        <w:rPr>
          <w:rFonts w:ascii="Palatino Linotype" w:hAnsi="Palatino Linotype" w:cs="Arial"/>
          <w:b/>
          <w:sz w:val="24"/>
          <w:szCs w:val="24"/>
        </w:rPr>
      </w:pPr>
    </w:p>
    <w:p w:rsidR="00120DAA" w:rsidRPr="00AE0EBD" w:rsidRDefault="00120DAA" w:rsidP="00120DAA">
      <w:pPr>
        <w:autoSpaceDE w:val="0"/>
        <w:autoSpaceDN w:val="0"/>
        <w:adjustRightInd w:val="0"/>
        <w:spacing w:after="0" w:line="360" w:lineRule="auto"/>
        <w:jc w:val="both"/>
        <w:rPr>
          <w:rFonts w:ascii="Palatino Linotype" w:hAnsi="Palatino Linotype" w:cs="Arial"/>
          <w:b/>
          <w:sz w:val="28"/>
          <w:szCs w:val="24"/>
        </w:rPr>
      </w:pPr>
      <w:r w:rsidRPr="00AE0EBD">
        <w:rPr>
          <w:rFonts w:ascii="Palatino Linotype" w:hAnsi="Palatino Linotype" w:cs="Arial"/>
          <w:b/>
          <w:sz w:val="28"/>
          <w:szCs w:val="24"/>
        </w:rPr>
        <w:t xml:space="preserve">SEGUNDO. De los alcances del Recurso de Revisión. </w:t>
      </w:r>
    </w:p>
    <w:p w:rsidR="00120DAA" w:rsidRPr="00AE0EBD" w:rsidRDefault="00120DAA" w:rsidP="00120DAA">
      <w:pPr>
        <w:autoSpaceDE w:val="0"/>
        <w:autoSpaceDN w:val="0"/>
        <w:adjustRightInd w:val="0"/>
        <w:spacing w:after="0" w:line="360" w:lineRule="auto"/>
        <w:jc w:val="both"/>
        <w:rPr>
          <w:rFonts w:ascii="Palatino Linotype" w:hAnsi="Palatino Linotype" w:cs="Arial"/>
          <w:sz w:val="24"/>
          <w:szCs w:val="24"/>
        </w:rPr>
      </w:pPr>
      <w:r w:rsidRPr="00AE0EBD">
        <w:rPr>
          <w:rFonts w:ascii="Palatino Linotype" w:hAnsi="Palatino Linotype" w:cs="Arial"/>
          <w:sz w:val="24"/>
          <w:szCs w:val="24"/>
        </w:rPr>
        <w:t xml:space="preserve">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w:t>
      </w:r>
      <w:r w:rsidRPr="00AE0EBD">
        <w:rPr>
          <w:rFonts w:ascii="Palatino Linotype" w:hAnsi="Palatino Linotype" w:cs="Arial"/>
          <w:sz w:val="24"/>
          <w:szCs w:val="24"/>
        </w:rPr>
        <w:lastRenderedPageBreak/>
        <w:t>derecho de acceso a la información pública y garantizando el principio rector de máxima publicidad.</w:t>
      </w:r>
    </w:p>
    <w:p w:rsidR="00120DAA" w:rsidRPr="00AE0EBD" w:rsidRDefault="00120DAA" w:rsidP="00120DAA">
      <w:pPr>
        <w:autoSpaceDE w:val="0"/>
        <w:autoSpaceDN w:val="0"/>
        <w:adjustRightInd w:val="0"/>
        <w:spacing w:after="0" w:line="360" w:lineRule="auto"/>
        <w:jc w:val="both"/>
        <w:rPr>
          <w:rFonts w:ascii="Palatino Linotype" w:hAnsi="Palatino Linotype" w:cs="Arial"/>
          <w:b/>
          <w:sz w:val="24"/>
        </w:rPr>
      </w:pPr>
    </w:p>
    <w:p w:rsidR="00120DAA" w:rsidRPr="00AE0EBD" w:rsidRDefault="00120DAA" w:rsidP="00120DAA">
      <w:pPr>
        <w:autoSpaceDE w:val="0"/>
        <w:autoSpaceDN w:val="0"/>
        <w:adjustRightInd w:val="0"/>
        <w:spacing w:after="0" w:line="360" w:lineRule="auto"/>
        <w:jc w:val="both"/>
        <w:rPr>
          <w:rFonts w:ascii="Palatino Linotype" w:hAnsi="Palatino Linotype" w:cs="Arial"/>
          <w:b/>
        </w:rPr>
      </w:pPr>
      <w:r w:rsidRPr="00AE0EBD">
        <w:rPr>
          <w:rFonts w:ascii="Palatino Linotype" w:hAnsi="Palatino Linotype" w:cs="Arial"/>
          <w:b/>
          <w:sz w:val="28"/>
        </w:rPr>
        <w:t>TERCERO. Cuestiones de previo y especial pronunciamiento</w:t>
      </w:r>
      <w:r w:rsidRPr="00AE0EBD">
        <w:rPr>
          <w:rFonts w:ascii="Palatino Linotype" w:hAnsi="Palatino Linotype" w:cs="Arial"/>
          <w:b/>
        </w:rPr>
        <w:t>.</w:t>
      </w:r>
    </w:p>
    <w:p w:rsidR="00120DAA" w:rsidRPr="00AE0EBD" w:rsidRDefault="00120DAA" w:rsidP="00120DAA">
      <w:pPr>
        <w:autoSpaceDE w:val="0"/>
        <w:autoSpaceDN w:val="0"/>
        <w:adjustRightInd w:val="0"/>
        <w:spacing w:after="0" w:line="360" w:lineRule="auto"/>
        <w:jc w:val="both"/>
        <w:rPr>
          <w:rFonts w:ascii="Palatino Linotype" w:hAnsi="Palatino Linotype" w:cs="Arial"/>
          <w:sz w:val="28"/>
          <w:szCs w:val="24"/>
        </w:rPr>
      </w:pPr>
      <w:r w:rsidRPr="00AE0EBD">
        <w:rPr>
          <w:rFonts w:ascii="Palatino Linotype" w:hAnsi="Palatino Linotype" w:cs="Arial"/>
          <w:sz w:val="24"/>
        </w:rPr>
        <w:t xml:space="preserve">El Recurso de Revisión en estudio contiene los elementos normativos de validez exigidos en </w:t>
      </w:r>
      <w:r w:rsidRPr="00AE0EBD">
        <w:rPr>
          <w:rFonts w:ascii="Palatino Linotype" w:hAnsi="Palatino Linotype"/>
          <w:sz w:val="24"/>
        </w:rPr>
        <w:t xml:space="preserve">la Ley de Transparencia y </w:t>
      </w:r>
      <w:r w:rsidRPr="00AE0EBD">
        <w:rPr>
          <w:rFonts w:ascii="Palatino Linotype" w:hAnsi="Palatino Linotype" w:cs="Arial"/>
          <w:sz w:val="24"/>
          <w:lang w:val="es-ES_tradnl"/>
        </w:rPr>
        <w:t>Acceso a la Información Pública del Estado de México y Municipios</w:t>
      </w:r>
      <w:r w:rsidRPr="00AE0EBD">
        <w:rPr>
          <w:rFonts w:ascii="Palatino Linotype" w:hAnsi="Palatino Linotype"/>
          <w:sz w:val="24"/>
        </w:rPr>
        <w:t>, establecidos en el artículo 180, que enuncia:</w:t>
      </w:r>
    </w:p>
    <w:p w:rsidR="00120DAA" w:rsidRPr="00AE0EBD" w:rsidRDefault="00120DAA" w:rsidP="00120DAA">
      <w:pPr>
        <w:pStyle w:val="Sinespaciado"/>
      </w:pPr>
    </w:p>
    <w:p w:rsidR="00120DAA" w:rsidRPr="00AE0EBD" w:rsidRDefault="00120DAA" w:rsidP="00120DAA">
      <w:pPr>
        <w:pStyle w:val="Prrafodelista"/>
        <w:ind w:left="851" w:right="1275"/>
        <w:jc w:val="both"/>
        <w:rPr>
          <w:rFonts w:ascii="Palatino Linotype" w:hAnsi="Palatino Linotype" w:cs="Arial"/>
          <w:i/>
          <w:sz w:val="22"/>
        </w:rPr>
      </w:pPr>
      <w:r w:rsidRPr="00AE0EBD">
        <w:rPr>
          <w:rFonts w:ascii="Palatino Linotype" w:hAnsi="Palatino Linotype" w:cs="Arial"/>
          <w:b/>
          <w:i/>
          <w:sz w:val="22"/>
        </w:rPr>
        <w:t xml:space="preserve">“Artículo 180. </w:t>
      </w:r>
      <w:r w:rsidRPr="00AE0EBD">
        <w:rPr>
          <w:rFonts w:ascii="Palatino Linotype" w:hAnsi="Palatino Linotype" w:cs="Arial"/>
          <w:i/>
          <w:sz w:val="22"/>
        </w:rPr>
        <w:t>El recurso de revisión contendrá:</w:t>
      </w:r>
    </w:p>
    <w:p w:rsidR="00120DAA" w:rsidRPr="00AE0EBD" w:rsidRDefault="00120DAA" w:rsidP="00120DAA">
      <w:pPr>
        <w:pStyle w:val="Prrafodelista"/>
        <w:ind w:left="851" w:right="1275"/>
        <w:jc w:val="both"/>
        <w:rPr>
          <w:rFonts w:ascii="Palatino Linotype" w:hAnsi="Palatino Linotype" w:cs="Arial"/>
          <w:i/>
          <w:sz w:val="22"/>
        </w:rPr>
      </w:pPr>
      <w:r w:rsidRPr="00AE0EBD">
        <w:rPr>
          <w:rFonts w:ascii="Palatino Linotype" w:hAnsi="Palatino Linotype" w:cs="Arial"/>
          <w:i/>
          <w:sz w:val="22"/>
        </w:rPr>
        <w:t>I. El sujeto obligado ante la cual se presentó la solicitud;</w:t>
      </w:r>
    </w:p>
    <w:p w:rsidR="00120DAA" w:rsidRPr="00AE0EBD" w:rsidRDefault="00120DAA" w:rsidP="00120DAA">
      <w:pPr>
        <w:pStyle w:val="Prrafodelista"/>
        <w:ind w:left="851" w:right="1275"/>
        <w:jc w:val="both"/>
        <w:rPr>
          <w:rFonts w:ascii="Palatino Linotype" w:hAnsi="Palatino Linotype" w:cs="Arial"/>
          <w:i/>
          <w:sz w:val="22"/>
        </w:rPr>
      </w:pPr>
      <w:r w:rsidRPr="00AE0EBD">
        <w:rPr>
          <w:rFonts w:ascii="Palatino Linotype" w:hAnsi="Palatino Linotype" w:cs="Arial"/>
          <w:b/>
          <w:i/>
          <w:sz w:val="22"/>
        </w:rPr>
        <w:t>II. El nombre del solicitante que recurre</w:t>
      </w:r>
      <w:r w:rsidRPr="00AE0EBD">
        <w:rPr>
          <w:rFonts w:ascii="Palatino Linotype" w:hAnsi="Palatino Linotype" w:cs="Arial"/>
          <w:i/>
          <w:sz w:val="22"/>
        </w:rPr>
        <w:t xml:space="preserve"> o de su representante y, en su caso, del tercero interesado, así como la dirección o medio que señale para recibir notificaciones;</w:t>
      </w:r>
    </w:p>
    <w:p w:rsidR="00120DAA" w:rsidRPr="00AE0EBD" w:rsidRDefault="00120DAA" w:rsidP="00120DAA">
      <w:pPr>
        <w:pStyle w:val="Prrafodelista"/>
        <w:ind w:left="851" w:right="1275"/>
        <w:jc w:val="both"/>
        <w:rPr>
          <w:rFonts w:ascii="Palatino Linotype" w:hAnsi="Palatino Linotype" w:cs="Arial"/>
          <w:i/>
          <w:sz w:val="22"/>
        </w:rPr>
      </w:pPr>
      <w:r w:rsidRPr="00AE0EBD">
        <w:rPr>
          <w:rFonts w:ascii="Palatino Linotype" w:hAnsi="Palatino Linotype" w:cs="Arial"/>
          <w:i/>
          <w:sz w:val="22"/>
        </w:rPr>
        <w:t>III. El número de folio de respuesta de la solicitud de acceso;</w:t>
      </w:r>
    </w:p>
    <w:p w:rsidR="00120DAA" w:rsidRPr="00AE0EBD" w:rsidRDefault="00120DAA" w:rsidP="00120DAA">
      <w:pPr>
        <w:pStyle w:val="Prrafodelista"/>
        <w:ind w:left="851" w:right="1275"/>
        <w:jc w:val="both"/>
        <w:rPr>
          <w:rFonts w:ascii="Palatino Linotype" w:hAnsi="Palatino Linotype" w:cs="Arial"/>
          <w:i/>
          <w:sz w:val="22"/>
        </w:rPr>
      </w:pPr>
      <w:r w:rsidRPr="00AE0EBD">
        <w:rPr>
          <w:rFonts w:ascii="Palatino Linotype" w:hAnsi="Palatino Linotype" w:cs="Arial"/>
          <w:i/>
          <w:sz w:val="22"/>
        </w:rPr>
        <w:t>IV. La fecha en que fue notificada la respuesta al solicitante o tuvo conocimiento del acto reclamado, o de presentación de la solicitud, en caso de falta de respuesta;</w:t>
      </w:r>
    </w:p>
    <w:p w:rsidR="00120DAA" w:rsidRPr="00AE0EBD" w:rsidRDefault="00120DAA" w:rsidP="00120DAA">
      <w:pPr>
        <w:pStyle w:val="Prrafodelista"/>
        <w:ind w:left="851" w:right="1275"/>
        <w:jc w:val="both"/>
        <w:rPr>
          <w:rFonts w:ascii="Palatino Linotype" w:hAnsi="Palatino Linotype" w:cs="Arial"/>
          <w:i/>
          <w:sz w:val="22"/>
        </w:rPr>
      </w:pPr>
      <w:r w:rsidRPr="00AE0EBD">
        <w:rPr>
          <w:rFonts w:ascii="Palatino Linotype" w:hAnsi="Palatino Linotype" w:cs="Arial"/>
          <w:i/>
          <w:sz w:val="22"/>
        </w:rPr>
        <w:t>V. El acto que se recurre;</w:t>
      </w:r>
    </w:p>
    <w:p w:rsidR="00120DAA" w:rsidRPr="00AE0EBD" w:rsidRDefault="00120DAA" w:rsidP="00120DAA">
      <w:pPr>
        <w:pStyle w:val="Prrafodelista"/>
        <w:ind w:left="851" w:right="1275"/>
        <w:jc w:val="both"/>
        <w:rPr>
          <w:rFonts w:ascii="Palatino Linotype" w:hAnsi="Palatino Linotype" w:cs="Arial"/>
          <w:i/>
          <w:sz w:val="22"/>
        </w:rPr>
      </w:pPr>
      <w:r w:rsidRPr="00AE0EBD">
        <w:rPr>
          <w:rFonts w:ascii="Palatino Linotype" w:hAnsi="Palatino Linotype" w:cs="Arial"/>
          <w:i/>
          <w:sz w:val="22"/>
        </w:rPr>
        <w:t>VI. Las razones o motivos de inconformidad;</w:t>
      </w:r>
    </w:p>
    <w:p w:rsidR="00120DAA" w:rsidRPr="00AE0EBD" w:rsidRDefault="00120DAA" w:rsidP="00120DAA">
      <w:pPr>
        <w:pStyle w:val="Prrafodelista"/>
        <w:ind w:left="851" w:right="1275"/>
        <w:jc w:val="both"/>
        <w:rPr>
          <w:rFonts w:ascii="Palatino Linotype" w:hAnsi="Palatino Linotype" w:cs="Arial"/>
          <w:i/>
          <w:sz w:val="22"/>
        </w:rPr>
      </w:pPr>
      <w:r w:rsidRPr="00AE0EBD">
        <w:rPr>
          <w:rFonts w:ascii="Palatino Linotype" w:hAnsi="Palatino Linotype" w:cs="Arial"/>
          <w:i/>
          <w:sz w:val="22"/>
        </w:rPr>
        <w:t>VII. La copia de la respuesta que se impugna y, en su caso, de la notificación correspondiente, en el caso de respuesta de la solicitud; y</w:t>
      </w:r>
    </w:p>
    <w:p w:rsidR="00120DAA" w:rsidRPr="00AE0EBD" w:rsidRDefault="00120DAA" w:rsidP="00120DAA">
      <w:pPr>
        <w:pStyle w:val="Prrafodelista"/>
        <w:ind w:left="851" w:right="1275"/>
        <w:jc w:val="both"/>
        <w:rPr>
          <w:rFonts w:ascii="Palatino Linotype" w:hAnsi="Palatino Linotype" w:cs="Arial"/>
          <w:i/>
          <w:sz w:val="22"/>
        </w:rPr>
      </w:pPr>
      <w:r w:rsidRPr="00AE0EBD">
        <w:rPr>
          <w:rFonts w:ascii="Palatino Linotype" w:hAnsi="Palatino Linotype" w:cs="Arial"/>
          <w:i/>
          <w:sz w:val="22"/>
        </w:rPr>
        <w:t>VIII. Firma del recurrente, en su caso, cuando se presente por escrito, requisito sin el cual se dará trámite al recurso.</w:t>
      </w:r>
    </w:p>
    <w:p w:rsidR="00120DAA" w:rsidRPr="00AE0EBD" w:rsidRDefault="00120DAA" w:rsidP="00120DAA">
      <w:pPr>
        <w:pStyle w:val="Prrafodelista"/>
        <w:ind w:left="851" w:right="1275"/>
        <w:jc w:val="both"/>
        <w:rPr>
          <w:rFonts w:ascii="Palatino Linotype" w:hAnsi="Palatino Linotype" w:cs="Arial"/>
          <w:i/>
          <w:sz w:val="22"/>
        </w:rPr>
      </w:pPr>
    </w:p>
    <w:p w:rsidR="00120DAA" w:rsidRPr="00AE0EBD" w:rsidRDefault="00120DAA" w:rsidP="00120DAA">
      <w:pPr>
        <w:pStyle w:val="Prrafodelista"/>
        <w:ind w:left="851" w:right="1275"/>
        <w:jc w:val="both"/>
        <w:rPr>
          <w:rFonts w:ascii="Palatino Linotype" w:hAnsi="Palatino Linotype" w:cs="Arial"/>
          <w:i/>
          <w:sz w:val="22"/>
        </w:rPr>
      </w:pPr>
      <w:r w:rsidRPr="00AE0EBD">
        <w:rPr>
          <w:rFonts w:ascii="Palatino Linotype" w:hAnsi="Palatino Linotype" w:cs="Arial"/>
          <w:i/>
          <w:sz w:val="22"/>
        </w:rPr>
        <w:t>Adicionalmente, se podrán anexar las pruebas y demás elementos que considere procedentes someter a juicio del Instituto.</w:t>
      </w:r>
    </w:p>
    <w:p w:rsidR="00120DAA" w:rsidRPr="00AE0EBD" w:rsidRDefault="00120DAA" w:rsidP="00120DAA">
      <w:pPr>
        <w:pStyle w:val="Prrafodelista"/>
        <w:ind w:left="851" w:right="1275"/>
        <w:jc w:val="both"/>
        <w:rPr>
          <w:rFonts w:ascii="Palatino Linotype" w:hAnsi="Palatino Linotype" w:cs="Arial"/>
          <w:i/>
          <w:sz w:val="22"/>
        </w:rPr>
      </w:pPr>
    </w:p>
    <w:p w:rsidR="00120DAA" w:rsidRPr="00AE0EBD" w:rsidRDefault="00120DAA" w:rsidP="00120DAA">
      <w:pPr>
        <w:pStyle w:val="Prrafodelista"/>
        <w:ind w:left="851" w:right="1275"/>
        <w:jc w:val="both"/>
        <w:rPr>
          <w:rFonts w:ascii="Palatino Linotype" w:hAnsi="Palatino Linotype" w:cs="Arial"/>
          <w:i/>
          <w:sz w:val="22"/>
        </w:rPr>
      </w:pPr>
      <w:r w:rsidRPr="00AE0EBD">
        <w:rPr>
          <w:rFonts w:ascii="Palatino Linotype" w:hAnsi="Palatino Linotype" w:cs="Arial"/>
          <w:i/>
          <w:sz w:val="22"/>
        </w:rPr>
        <w:t>En ningún caso será necesario que el particular ratifique el recurso de revisión interpuesto.</w:t>
      </w:r>
    </w:p>
    <w:p w:rsidR="00120DAA" w:rsidRPr="00AE0EBD" w:rsidRDefault="00120DAA" w:rsidP="00120DAA">
      <w:pPr>
        <w:pStyle w:val="Prrafodelista"/>
        <w:ind w:left="851" w:right="1275"/>
        <w:jc w:val="both"/>
        <w:rPr>
          <w:rFonts w:ascii="Palatino Linotype" w:hAnsi="Palatino Linotype" w:cs="Arial"/>
          <w:i/>
          <w:sz w:val="22"/>
        </w:rPr>
      </w:pPr>
    </w:p>
    <w:p w:rsidR="00120DAA" w:rsidRPr="00AE0EBD" w:rsidRDefault="00120DAA" w:rsidP="00120DAA">
      <w:pPr>
        <w:pStyle w:val="Prrafodelista"/>
        <w:ind w:left="851" w:right="1275"/>
        <w:jc w:val="both"/>
        <w:rPr>
          <w:rFonts w:ascii="Palatino Linotype" w:hAnsi="Palatino Linotype" w:cs="Arial"/>
          <w:i/>
          <w:sz w:val="22"/>
        </w:rPr>
      </w:pPr>
      <w:r w:rsidRPr="00AE0EBD">
        <w:rPr>
          <w:rFonts w:ascii="Palatino Linotype" w:hAnsi="Palatino Linotype" w:cs="Arial"/>
          <w:b/>
          <w:i/>
          <w:sz w:val="22"/>
        </w:rPr>
        <w:t>En caso de que el recurso se interponga de manera electrónica no será indispensable que contengan los requisitos establecidos en las fracciones II</w:t>
      </w:r>
      <w:r w:rsidRPr="00AE0EBD">
        <w:rPr>
          <w:rFonts w:ascii="Palatino Linotype" w:hAnsi="Palatino Linotype" w:cs="Arial"/>
          <w:i/>
          <w:sz w:val="22"/>
        </w:rPr>
        <w:t>, IV, VII y VIII.”</w:t>
      </w:r>
    </w:p>
    <w:p w:rsidR="00120DAA" w:rsidRPr="00AE0EBD" w:rsidRDefault="00120DAA" w:rsidP="00120DAA">
      <w:pPr>
        <w:pStyle w:val="Prrafodelista"/>
        <w:ind w:left="851"/>
        <w:jc w:val="right"/>
        <w:rPr>
          <w:rFonts w:ascii="Palatino Linotype" w:hAnsi="Palatino Linotype" w:cs="Arial"/>
          <w:b/>
          <w:i/>
          <w:sz w:val="20"/>
        </w:rPr>
      </w:pPr>
      <w:r w:rsidRPr="00AE0EBD">
        <w:rPr>
          <w:rFonts w:ascii="Palatino Linotype" w:hAnsi="Palatino Linotype" w:cs="Arial"/>
          <w:b/>
          <w:i/>
          <w:sz w:val="20"/>
        </w:rPr>
        <w:t>[Énfasis añadido]</w:t>
      </w:r>
    </w:p>
    <w:p w:rsidR="00120DAA" w:rsidRPr="00AE0EBD" w:rsidRDefault="00120DAA" w:rsidP="00120DAA">
      <w:pPr>
        <w:spacing w:before="240" w:after="240" w:line="360" w:lineRule="auto"/>
        <w:jc w:val="both"/>
        <w:rPr>
          <w:rFonts w:ascii="Palatino Linotype" w:eastAsia="Calibri" w:hAnsi="Palatino Linotype" w:cs="Arial"/>
          <w:sz w:val="24"/>
          <w:szCs w:val="24"/>
          <w:lang w:val="es-ES" w:eastAsia="es-ES"/>
        </w:rPr>
      </w:pPr>
      <w:r w:rsidRPr="00AE0EBD">
        <w:rPr>
          <w:rFonts w:ascii="Palatino Linotype" w:eastAsia="Calibri" w:hAnsi="Palatino Linotype" w:cs="Segoe UI"/>
          <w:sz w:val="24"/>
          <w:szCs w:val="24"/>
          <w:lang w:val="es-ES" w:eastAsia="es-ES"/>
        </w:rPr>
        <w:lastRenderedPageBreak/>
        <w:t xml:space="preserve">Cabe señalar que </w:t>
      </w:r>
      <w:r w:rsidRPr="00AE0EBD">
        <w:rPr>
          <w:rFonts w:ascii="Palatino Linotype" w:eastAsia="Calibri" w:hAnsi="Palatino Linotype" w:cs="Segoe UI"/>
          <w:b/>
          <w:sz w:val="24"/>
          <w:szCs w:val="24"/>
          <w:lang w:val="es-ES" w:eastAsia="es-ES"/>
        </w:rPr>
        <w:t>El Recurrente NO</w:t>
      </w:r>
      <w:r w:rsidRPr="00AE0EBD">
        <w:rPr>
          <w:rFonts w:ascii="Palatino Linotype" w:eastAsia="Calibri" w:hAnsi="Palatino Linotype" w:cs="Segoe UI"/>
          <w:sz w:val="24"/>
          <w:szCs w:val="24"/>
          <w:lang w:val="es-ES" w:eastAsia="es-ES"/>
        </w:rPr>
        <w:t xml:space="preserve"> se identifica en la solicitud de información ni en el presente recurso de revisión</w:t>
      </w:r>
      <w:r w:rsidRPr="00AE0EBD">
        <w:rPr>
          <w:rFonts w:ascii="Palatino Linotype" w:eastAsiaTheme="minorEastAsia" w:hAnsi="Palatino Linotype" w:cs="Arial"/>
          <w:sz w:val="24"/>
          <w:szCs w:val="24"/>
          <w:lang w:val="es-ES" w:eastAsia="es-ES"/>
        </w:rPr>
        <w:t xml:space="preserve">. </w:t>
      </w:r>
      <w:r w:rsidRPr="00AE0EBD">
        <w:rPr>
          <w:rFonts w:ascii="Palatino Linotype" w:eastAsia="Calibri" w:hAnsi="Palatino Linotype" w:cs="Times New Roman"/>
          <w:sz w:val="24"/>
          <w:szCs w:val="24"/>
          <w:lang w:val="es-ES" w:eastAsia="es-ES"/>
        </w:rPr>
        <w:t xml:space="preserve">No obstante lo anterior, no proporcionar el nombre no es motivo para desechar las </w:t>
      </w:r>
      <w:r w:rsidRPr="00AE0EBD">
        <w:rPr>
          <w:rFonts w:ascii="Palatino Linotype" w:eastAsia="Calibri" w:hAnsi="Palatino Linotype" w:cs="Arial"/>
          <w:sz w:val="24"/>
          <w:szCs w:val="24"/>
          <w:lang w:val="es-ES" w:eastAsia="es-ES"/>
        </w:rPr>
        <w:t>solicitudes de acceso a la información pública conforme a lo previsto en el artículo 155, penúltimo párrafo de la Ley de Transparencia y Acceso a la Información Pública del Estado de México y Municipios que señala lo siguiente:</w:t>
      </w:r>
    </w:p>
    <w:p w:rsidR="00120DAA" w:rsidRPr="00AE0EBD" w:rsidRDefault="00120DAA" w:rsidP="00120DAA">
      <w:pPr>
        <w:pStyle w:val="Sinespaciado"/>
        <w:rPr>
          <w:rFonts w:eastAsia="Calibri"/>
          <w:sz w:val="2"/>
          <w:lang w:val="es-ES"/>
        </w:rPr>
      </w:pPr>
    </w:p>
    <w:p w:rsidR="00120DAA" w:rsidRPr="00AE0EBD" w:rsidRDefault="00120DAA" w:rsidP="00120DAA">
      <w:pPr>
        <w:spacing w:before="240" w:after="240" w:line="240" w:lineRule="auto"/>
        <w:ind w:left="851" w:right="900"/>
        <w:jc w:val="both"/>
        <w:rPr>
          <w:rFonts w:ascii="Palatino Linotype" w:eastAsia="Calibri" w:hAnsi="Palatino Linotype" w:cs="Arial"/>
          <w:i/>
          <w:lang w:val="es-ES" w:eastAsia="es-ES"/>
        </w:rPr>
      </w:pPr>
      <w:r w:rsidRPr="00AE0EBD">
        <w:rPr>
          <w:rFonts w:ascii="Palatino Linotype" w:eastAsia="Calibri" w:hAnsi="Palatino Linotype" w:cs="Arial"/>
          <w:i/>
          <w:lang w:val="es-ES" w:eastAsia="es-ES"/>
        </w:rPr>
        <w:t>“Las solicitudes anónimas, con nombre incompleto o seudónimo serán procedentes para su trámite por parte del sujeto obligado ante quien se presente. No podrá requerirse información adicional con motivo del nombre proporcionado por el solicitante.”</w:t>
      </w:r>
    </w:p>
    <w:p w:rsidR="00120DAA" w:rsidRPr="00AE0EBD" w:rsidRDefault="00120DAA" w:rsidP="00120DAA">
      <w:pPr>
        <w:pStyle w:val="Sinespaciado"/>
        <w:rPr>
          <w:rFonts w:eastAsia="Calibri"/>
          <w:sz w:val="2"/>
          <w:lang w:val="es-ES"/>
        </w:rPr>
      </w:pPr>
    </w:p>
    <w:p w:rsidR="00120DAA" w:rsidRPr="00AE0EBD" w:rsidRDefault="00120DAA" w:rsidP="00120DAA">
      <w:pPr>
        <w:spacing w:before="240" w:after="240" w:line="360" w:lineRule="auto"/>
        <w:jc w:val="both"/>
        <w:rPr>
          <w:rFonts w:ascii="Palatino Linotype" w:eastAsia="Calibri" w:hAnsi="Palatino Linotype" w:cs="Times New Roman"/>
          <w:sz w:val="24"/>
          <w:szCs w:val="24"/>
          <w:lang w:val="es-ES" w:eastAsia="es-ES"/>
        </w:rPr>
      </w:pPr>
      <w:r w:rsidRPr="00AE0EBD">
        <w:rPr>
          <w:rFonts w:ascii="Palatino Linotype" w:eastAsia="Calibri" w:hAnsi="Palatino Linotype" w:cs="Times New Roman"/>
          <w:sz w:val="24"/>
          <w:szCs w:val="24"/>
          <w:lang w:val="es-ES" w:eastAsia="es-ES"/>
        </w:rPr>
        <w:t xml:space="preserve">Robusteciendo lo anterior se encuentra lo dispuesto en los artículos 6, Apartado A, fracciones III y IV, de la Constitución Política de los Estados Unidos Mexicanos y 5 párrafos </w:t>
      </w:r>
      <w:r w:rsidRPr="00AE0EBD">
        <w:rPr>
          <w:rFonts w:ascii="Palatino Linotype" w:eastAsia="Calibri" w:hAnsi="Palatino Linotype" w:cs="Arial"/>
          <w:sz w:val="24"/>
          <w:szCs w:val="24"/>
          <w:lang w:val="es-ES" w:eastAsia="es-ES"/>
        </w:rPr>
        <w:t>vigésimo, vigésimo primero</w:t>
      </w:r>
      <w:r w:rsidRPr="00AE0EBD">
        <w:rPr>
          <w:rFonts w:ascii="Palatino Linotype" w:eastAsia="Times New Roman" w:hAnsi="Palatino Linotype" w:cs="Arial"/>
          <w:sz w:val="24"/>
        </w:rPr>
        <w:t xml:space="preserve"> y vigésimo segundo</w:t>
      </w:r>
      <w:r w:rsidRPr="00AE0EBD">
        <w:rPr>
          <w:rFonts w:ascii="Palatino Linotype" w:eastAsia="Calibri" w:hAnsi="Palatino Linotype" w:cs="Times New Roman"/>
          <w:sz w:val="24"/>
          <w:szCs w:val="24"/>
          <w:lang w:val="es-ES" w:eastAsia="es-ES"/>
        </w:rPr>
        <w:t>, de la Constitución Política del Estado Libre y Soberano de México, se establece lo siguiente:</w:t>
      </w:r>
    </w:p>
    <w:p w:rsidR="00120DAA" w:rsidRPr="00AE0EBD" w:rsidRDefault="00120DAA" w:rsidP="00120DAA">
      <w:pPr>
        <w:spacing w:before="240" w:after="240" w:line="240" w:lineRule="auto"/>
        <w:ind w:left="851" w:right="900"/>
        <w:jc w:val="center"/>
        <w:rPr>
          <w:rFonts w:ascii="Palatino Linotype" w:eastAsia="Calibri" w:hAnsi="Palatino Linotype" w:cs="Times New Roman"/>
          <w:b/>
          <w:i/>
          <w:lang w:val="es-ES" w:eastAsia="es-ES"/>
        </w:rPr>
      </w:pPr>
      <w:r w:rsidRPr="00AE0EBD">
        <w:rPr>
          <w:rFonts w:ascii="Palatino Linotype" w:eastAsia="Calibri" w:hAnsi="Palatino Linotype" w:cs="Times New Roman"/>
          <w:b/>
          <w:i/>
          <w:lang w:val="es-ES" w:eastAsia="es-ES"/>
        </w:rPr>
        <w:t>Constitución Política de los Estados Unidos Mexicanos</w:t>
      </w:r>
    </w:p>
    <w:p w:rsidR="00120DAA" w:rsidRPr="00AE0EBD" w:rsidRDefault="00120DAA" w:rsidP="00120DAA">
      <w:pPr>
        <w:spacing w:before="240" w:after="240" w:line="240" w:lineRule="auto"/>
        <w:ind w:left="851" w:right="900"/>
        <w:jc w:val="both"/>
        <w:rPr>
          <w:rFonts w:ascii="Palatino Linotype" w:eastAsia="Calibri" w:hAnsi="Palatino Linotype" w:cs="Times New Roman"/>
          <w:i/>
          <w:lang w:val="es-ES" w:eastAsia="es-ES"/>
        </w:rPr>
      </w:pPr>
      <w:r w:rsidRPr="00AE0EBD">
        <w:rPr>
          <w:rFonts w:ascii="Palatino Linotype" w:eastAsia="Calibri" w:hAnsi="Palatino Linotype" w:cs="Times New Roman"/>
          <w:i/>
          <w:lang w:val="es-ES" w:eastAsia="es-ES"/>
        </w:rPr>
        <w:t>“</w:t>
      </w:r>
      <w:r w:rsidRPr="00AE0EBD">
        <w:rPr>
          <w:rFonts w:ascii="Palatino Linotype" w:eastAsia="Calibri" w:hAnsi="Palatino Linotype" w:cs="Times New Roman"/>
          <w:b/>
          <w:i/>
          <w:lang w:val="es-ES" w:eastAsia="es-ES"/>
        </w:rPr>
        <w:t>Artículo 6</w:t>
      </w:r>
      <w:r w:rsidRPr="00AE0EBD">
        <w:rPr>
          <w:rFonts w:ascii="Palatino Linotype" w:eastAsia="Calibri" w:hAnsi="Palatino Linotype" w:cs="Times New Roman"/>
          <w:i/>
          <w:lang w:val="es-ES"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120DAA" w:rsidRPr="00AE0EBD" w:rsidRDefault="00120DAA" w:rsidP="00120DAA">
      <w:pPr>
        <w:spacing w:before="240" w:after="240" w:line="240" w:lineRule="auto"/>
        <w:ind w:left="851" w:right="900"/>
        <w:jc w:val="both"/>
        <w:rPr>
          <w:rFonts w:ascii="Palatino Linotype" w:eastAsia="Calibri" w:hAnsi="Palatino Linotype" w:cs="Times New Roman"/>
          <w:i/>
          <w:lang w:val="es-ES" w:eastAsia="es-ES"/>
        </w:rPr>
      </w:pPr>
      <w:r w:rsidRPr="00AE0EBD">
        <w:rPr>
          <w:rFonts w:ascii="Palatino Linotype" w:eastAsia="Calibri" w:hAnsi="Palatino Linotype" w:cs="Times New Roman"/>
          <w:i/>
          <w:lang w:val="es-ES" w:eastAsia="es-ES"/>
        </w:rPr>
        <w:t>(…)</w:t>
      </w:r>
    </w:p>
    <w:p w:rsidR="00120DAA" w:rsidRPr="00AE0EBD" w:rsidRDefault="00120DAA" w:rsidP="00120DAA">
      <w:pPr>
        <w:spacing w:before="240" w:after="240" w:line="240" w:lineRule="auto"/>
        <w:ind w:left="851" w:right="900"/>
        <w:jc w:val="both"/>
        <w:rPr>
          <w:rFonts w:ascii="Palatino Linotype" w:eastAsia="Calibri" w:hAnsi="Palatino Linotype" w:cs="Times New Roman"/>
          <w:i/>
          <w:lang w:val="es-ES" w:eastAsia="es-ES"/>
        </w:rPr>
      </w:pPr>
      <w:r w:rsidRPr="00AE0EBD">
        <w:rPr>
          <w:rFonts w:ascii="Palatino Linotype" w:eastAsia="Calibri" w:hAnsi="Palatino Linotype" w:cs="Times New Roman"/>
          <w:i/>
          <w:lang w:val="es-ES" w:eastAsia="es-ES"/>
        </w:rPr>
        <w:t xml:space="preserve">Para efectos de lo dispuesto en el presente artículo se observará lo siguiente: </w:t>
      </w:r>
    </w:p>
    <w:p w:rsidR="00120DAA" w:rsidRPr="00AE0EBD" w:rsidRDefault="00120DAA" w:rsidP="00120DAA">
      <w:pPr>
        <w:spacing w:before="240" w:after="240" w:line="240" w:lineRule="auto"/>
        <w:ind w:left="851" w:right="900"/>
        <w:jc w:val="both"/>
        <w:rPr>
          <w:rFonts w:ascii="Palatino Linotype" w:eastAsia="Calibri" w:hAnsi="Palatino Linotype" w:cs="Times New Roman"/>
          <w:i/>
          <w:lang w:val="es-ES" w:eastAsia="es-ES"/>
        </w:rPr>
      </w:pPr>
      <w:r w:rsidRPr="00AE0EBD">
        <w:rPr>
          <w:rFonts w:ascii="Palatino Linotype" w:eastAsia="Calibri" w:hAnsi="Palatino Linotype" w:cs="Times New Roman"/>
          <w:i/>
          <w:lang w:val="es-ES" w:eastAsia="es-ES"/>
        </w:rPr>
        <w:t>A. Para el ejercicio del derecho de acceso a la información, la Federación, los Estados y el Distrito Federal, en el ámbito de sus respectivas competencias, se regirán por los siguientes principios y bases:</w:t>
      </w:r>
    </w:p>
    <w:p w:rsidR="00120DAA" w:rsidRPr="00AE0EBD" w:rsidRDefault="00120DAA" w:rsidP="00120DAA">
      <w:pPr>
        <w:spacing w:before="240" w:after="240" w:line="240" w:lineRule="auto"/>
        <w:ind w:left="851" w:right="900"/>
        <w:jc w:val="both"/>
        <w:rPr>
          <w:rFonts w:ascii="Palatino Linotype" w:eastAsia="Calibri" w:hAnsi="Palatino Linotype" w:cs="Times New Roman"/>
          <w:i/>
          <w:lang w:val="es-ES" w:eastAsia="es-ES"/>
        </w:rPr>
      </w:pPr>
      <w:r w:rsidRPr="00AE0EBD">
        <w:rPr>
          <w:rFonts w:ascii="Palatino Linotype" w:eastAsia="Calibri" w:hAnsi="Palatino Linotype" w:cs="Times New Roman"/>
          <w:i/>
          <w:lang w:val="es-ES" w:eastAsia="es-ES"/>
        </w:rPr>
        <w:t>(…)</w:t>
      </w:r>
    </w:p>
    <w:p w:rsidR="00120DAA" w:rsidRPr="00AE0EBD" w:rsidRDefault="00120DAA" w:rsidP="00120DAA">
      <w:pPr>
        <w:spacing w:before="240" w:after="240" w:line="240" w:lineRule="auto"/>
        <w:ind w:left="851" w:right="900"/>
        <w:jc w:val="both"/>
        <w:rPr>
          <w:rFonts w:ascii="Palatino Linotype" w:eastAsia="Calibri" w:hAnsi="Palatino Linotype" w:cs="Times New Roman"/>
          <w:i/>
          <w:lang w:val="es-ES" w:eastAsia="es-ES"/>
        </w:rPr>
      </w:pPr>
      <w:r w:rsidRPr="00AE0EBD">
        <w:rPr>
          <w:rFonts w:ascii="Palatino Linotype" w:eastAsia="Calibri" w:hAnsi="Palatino Linotype" w:cs="Times New Roman"/>
          <w:i/>
          <w:lang w:val="es-ES" w:eastAsia="es-ES"/>
        </w:rPr>
        <w:lastRenderedPageBreak/>
        <w:t xml:space="preserve">III. Toda persona, sin necesidad de acreditar interés alguno o justificar su utilización, tendrá acceso gratuito a la información pública, a sus datos personales o a la rectificación de éstos. </w:t>
      </w:r>
    </w:p>
    <w:p w:rsidR="00120DAA" w:rsidRPr="00AE0EBD" w:rsidRDefault="00120DAA" w:rsidP="00120DAA">
      <w:pPr>
        <w:spacing w:before="240" w:after="240" w:line="240" w:lineRule="auto"/>
        <w:ind w:left="851" w:right="900"/>
        <w:jc w:val="both"/>
        <w:rPr>
          <w:rFonts w:ascii="Palatino Linotype" w:eastAsia="Calibri" w:hAnsi="Palatino Linotype" w:cs="Times New Roman"/>
          <w:i/>
          <w:lang w:val="es-ES" w:eastAsia="es-ES"/>
        </w:rPr>
      </w:pPr>
      <w:r w:rsidRPr="00AE0EBD">
        <w:rPr>
          <w:rFonts w:ascii="Palatino Linotype" w:eastAsia="Calibri" w:hAnsi="Palatino Linotype" w:cs="Times New Roman"/>
          <w:i/>
          <w:lang w:val="es-ES" w:eastAsia="es-ES"/>
        </w:rPr>
        <w:t xml:space="preserve">IV. Se establecerán mecanismos de acceso a la información y procedimientos de revisión expeditos que se sustanciarán ante los organismos autónomos especializados e imparciales que establece esta Constitución.” </w:t>
      </w:r>
    </w:p>
    <w:p w:rsidR="00120DAA" w:rsidRPr="00AE0EBD" w:rsidRDefault="00120DAA" w:rsidP="00120DAA">
      <w:pPr>
        <w:pStyle w:val="Sinespaciado"/>
        <w:rPr>
          <w:rFonts w:eastAsia="Calibri"/>
          <w:sz w:val="8"/>
        </w:rPr>
      </w:pPr>
    </w:p>
    <w:p w:rsidR="00120DAA" w:rsidRPr="00AE0EBD" w:rsidRDefault="00120DAA" w:rsidP="00120DAA">
      <w:pPr>
        <w:spacing w:before="240" w:after="240" w:line="240" w:lineRule="auto"/>
        <w:ind w:left="851" w:right="900"/>
        <w:jc w:val="center"/>
        <w:rPr>
          <w:rFonts w:ascii="Palatino Linotype" w:eastAsia="Calibri" w:hAnsi="Palatino Linotype" w:cs="Times New Roman"/>
          <w:b/>
          <w:i/>
          <w:lang w:val="es-ES" w:eastAsia="es-ES"/>
        </w:rPr>
      </w:pPr>
      <w:r w:rsidRPr="00AE0EBD">
        <w:rPr>
          <w:rFonts w:ascii="Palatino Linotype" w:eastAsia="Calibri" w:hAnsi="Palatino Linotype" w:cs="Times New Roman"/>
          <w:b/>
          <w:i/>
          <w:lang w:val="es-ES" w:eastAsia="es-ES"/>
        </w:rPr>
        <w:t>Constitución Política del Estado Libre y Soberano de México</w:t>
      </w:r>
    </w:p>
    <w:p w:rsidR="00120DAA" w:rsidRPr="00AE0EBD" w:rsidRDefault="00120DAA" w:rsidP="00120DAA">
      <w:pPr>
        <w:spacing w:before="240" w:after="240" w:line="240" w:lineRule="auto"/>
        <w:ind w:left="851" w:right="900"/>
        <w:jc w:val="both"/>
        <w:rPr>
          <w:rFonts w:ascii="Palatino Linotype" w:eastAsia="Calibri" w:hAnsi="Palatino Linotype" w:cs="Times New Roman"/>
          <w:i/>
          <w:lang w:val="es-ES" w:eastAsia="es-ES"/>
        </w:rPr>
      </w:pPr>
      <w:r w:rsidRPr="00AE0EBD">
        <w:rPr>
          <w:rFonts w:ascii="Palatino Linotype" w:eastAsia="Calibri" w:hAnsi="Palatino Linotype" w:cs="Times New Roman"/>
          <w:i/>
          <w:lang w:val="es-ES" w:eastAsia="es-ES"/>
        </w:rPr>
        <w:t>“</w:t>
      </w:r>
      <w:r w:rsidRPr="00AE0EBD">
        <w:rPr>
          <w:rFonts w:ascii="Palatino Linotype" w:eastAsia="Calibri" w:hAnsi="Palatino Linotype" w:cs="Times New Roman"/>
          <w:b/>
          <w:i/>
          <w:lang w:val="es-ES" w:eastAsia="es-ES"/>
        </w:rPr>
        <w:t>Artículo 5</w:t>
      </w:r>
      <w:r w:rsidRPr="00AE0EBD">
        <w:rPr>
          <w:rFonts w:ascii="Palatino Linotype" w:eastAsia="Calibri" w:hAnsi="Palatino Linotype" w:cs="Times New Roman"/>
          <w:i/>
          <w:lang w:val="es-ES"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rsidR="00120DAA" w:rsidRPr="00AE0EBD" w:rsidRDefault="00120DAA" w:rsidP="00120DAA">
      <w:pPr>
        <w:spacing w:before="240" w:after="240" w:line="240" w:lineRule="auto"/>
        <w:ind w:left="851" w:right="900"/>
        <w:jc w:val="both"/>
        <w:rPr>
          <w:rFonts w:ascii="Palatino Linotype" w:eastAsia="Calibri" w:hAnsi="Palatino Linotype" w:cs="Times New Roman"/>
          <w:i/>
          <w:lang w:val="es-ES" w:eastAsia="es-ES"/>
        </w:rPr>
      </w:pPr>
      <w:r w:rsidRPr="00AE0EBD">
        <w:rPr>
          <w:rFonts w:ascii="Palatino Linotype" w:eastAsia="Calibri" w:hAnsi="Palatino Linotype" w:cs="Times New Roman"/>
          <w:i/>
          <w:lang w:val="es-ES" w:eastAsia="es-ES"/>
        </w:rPr>
        <w:t>(…)</w:t>
      </w:r>
    </w:p>
    <w:p w:rsidR="00120DAA" w:rsidRPr="00AE0EBD" w:rsidRDefault="00120DAA" w:rsidP="00120DAA">
      <w:pPr>
        <w:spacing w:before="240" w:after="240" w:line="240" w:lineRule="auto"/>
        <w:ind w:left="851" w:right="900"/>
        <w:jc w:val="both"/>
        <w:rPr>
          <w:rFonts w:ascii="Palatino Linotype" w:eastAsia="Calibri" w:hAnsi="Palatino Linotype" w:cs="Times New Roman"/>
          <w:i/>
          <w:lang w:val="es-ES" w:eastAsia="es-ES"/>
        </w:rPr>
      </w:pPr>
      <w:r w:rsidRPr="00AE0EBD">
        <w:rPr>
          <w:rFonts w:ascii="Palatino Linotype" w:eastAsia="Calibri" w:hAnsi="Palatino Linotype" w:cs="Times New Roman"/>
          <w:i/>
          <w:lang w:val="es-ES" w:eastAsia="es-ES"/>
        </w:rPr>
        <w:t>Toda persona en el Estado de México, tiene derecho al libre acceso a la información plural y oportuna, así como a buscar recibir y difundir información e ideas de toda índole por cualquier medio de expresión.</w:t>
      </w:r>
    </w:p>
    <w:p w:rsidR="00120DAA" w:rsidRPr="00AE0EBD" w:rsidRDefault="00120DAA" w:rsidP="00120DAA">
      <w:pPr>
        <w:spacing w:before="240" w:after="240" w:line="240" w:lineRule="auto"/>
        <w:ind w:left="851" w:right="900"/>
        <w:jc w:val="both"/>
        <w:rPr>
          <w:rFonts w:ascii="Palatino Linotype" w:eastAsia="Calibri" w:hAnsi="Palatino Linotype" w:cs="Times New Roman"/>
          <w:i/>
          <w:lang w:val="es-ES" w:eastAsia="es-ES"/>
        </w:rPr>
      </w:pPr>
      <w:r w:rsidRPr="00AE0EBD">
        <w:rPr>
          <w:rFonts w:ascii="Palatino Linotype" w:eastAsia="Calibri" w:hAnsi="Palatino Linotype" w:cs="Times New Roman"/>
          <w:i/>
          <w:lang w:val="es-ES" w:eastAsia="es-ES"/>
        </w:rPr>
        <w:t xml:space="preserve"> (…)</w:t>
      </w:r>
    </w:p>
    <w:p w:rsidR="00120DAA" w:rsidRPr="00AE0EBD" w:rsidRDefault="00120DAA" w:rsidP="00120DAA">
      <w:pPr>
        <w:spacing w:before="240" w:after="240" w:line="240" w:lineRule="auto"/>
        <w:ind w:left="851" w:right="900"/>
        <w:jc w:val="both"/>
        <w:rPr>
          <w:rFonts w:ascii="Palatino Linotype" w:eastAsia="Calibri" w:hAnsi="Palatino Linotype" w:cs="Times New Roman"/>
          <w:i/>
          <w:lang w:val="es-ES" w:eastAsia="es-ES"/>
        </w:rPr>
      </w:pPr>
      <w:r w:rsidRPr="00AE0EBD">
        <w:rPr>
          <w:rFonts w:ascii="Palatino Linotype" w:eastAsia="Calibri" w:hAnsi="Palatino Linotype" w:cs="Times New Roman"/>
          <w:i/>
          <w:lang w:val="es-ES" w:eastAsia="es-ES"/>
        </w:rPr>
        <w:t xml:space="preserve">El derecho a la información será garantizado por el Estado. La ley establecerá las previsiones que permitan asegurar la protección, el respeto y la difusión de este derecho. </w:t>
      </w:r>
    </w:p>
    <w:p w:rsidR="00120DAA" w:rsidRPr="00AE0EBD" w:rsidRDefault="00120DAA" w:rsidP="00120DAA">
      <w:pPr>
        <w:spacing w:before="240" w:after="240" w:line="240" w:lineRule="auto"/>
        <w:ind w:left="851" w:right="900"/>
        <w:jc w:val="both"/>
        <w:rPr>
          <w:rFonts w:ascii="Palatino Linotype" w:eastAsia="Calibri" w:hAnsi="Palatino Linotype" w:cs="Times New Roman"/>
          <w:i/>
          <w:lang w:val="es-ES" w:eastAsia="es-ES"/>
        </w:rPr>
      </w:pPr>
      <w:r w:rsidRPr="00AE0EBD">
        <w:rPr>
          <w:rFonts w:ascii="Palatino Linotype" w:eastAsia="Calibri" w:hAnsi="Palatino Linotype" w:cs="Times New Roman"/>
          <w:i/>
          <w:lang w:val="es-ES"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120DAA" w:rsidRPr="00AE0EBD" w:rsidRDefault="00120DAA" w:rsidP="00120DAA">
      <w:pPr>
        <w:spacing w:before="240" w:after="240" w:line="240" w:lineRule="auto"/>
        <w:ind w:left="851" w:right="900"/>
        <w:jc w:val="both"/>
        <w:rPr>
          <w:rFonts w:ascii="Palatino Linotype" w:eastAsia="Calibri" w:hAnsi="Palatino Linotype" w:cs="Times New Roman"/>
          <w:i/>
          <w:lang w:val="es-ES" w:eastAsia="es-ES"/>
        </w:rPr>
      </w:pPr>
      <w:r w:rsidRPr="00AE0EBD">
        <w:rPr>
          <w:rFonts w:ascii="Palatino Linotype" w:eastAsia="Calibri" w:hAnsi="Palatino Linotype" w:cs="Times New Roman"/>
          <w:i/>
          <w:lang w:val="es-ES" w:eastAsia="es-ES"/>
        </w:rPr>
        <w:t>III. Toda persona, sin necesidad de acreditar interés alguno o justificar su utilización, tendrá acceso gratuito a la información pública, a sus datos personales o a la rectificación de éstos;</w:t>
      </w:r>
    </w:p>
    <w:p w:rsidR="00120DAA" w:rsidRPr="00AE0EBD" w:rsidRDefault="00120DAA" w:rsidP="00120DAA">
      <w:pPr>
        <w:spacing w:before="240" w:after="240" w:line="240" w:lineRule="auto"/>
        <w:ind w:left="851" w:right="900"/>
        <w:jc w:val="both"/>
        <w:rPr>
          <w:rFonts w:ascii="Palatino Linotype" w:eastAsia="Calibri" w:hAnsi="Palatino Linotype" w:cs="Times New Roman"/>
          <w:i/>
          <w:lang w:val="es-ES" w:eastAsia="es-ES"/>
        </w:rPr>
      </w:pPr>
      <w:r w:rsidRPr="00AE0EBD">
        <w:rPr>
          <w:rFonts w:ascii="Palatino Linotype" w:eastAsia="Calibri" w:hAnsi="Palatino Linotype" w:cs="Times New Roman"/>
          <w:i/>
          <w:lang w:val="es-ES" w:eastAsia="es-ES"/>
        </w:rPr>
        <w:lastRenderedPageBreak/>
        <w:t>IV. Se establecerán mecanismos de acceso a la información y procedimientos de revisión expeditos que se sustanciarán ante el organismo autónomo especializado e imparcial que establece esta Constitución.</w:t>
      </w:r>
    </w:p>
    <w:p w:rsidR="00120DAA" w:rsidRPr="00AE0EBD" w:rsidRDefault="00120DAA" w:rsidP="00120DAA">
      <w:pPr>
        <w:spacing w:before="240" w:after="240" w:line="240" w:lineRule="auto"/>
        <w:ind w:left="851" w:right="900"/>
        <w:jc w:val="both"/>
        <w:rPr>
          <w:rFonts w:ascii="Palatino Linotype" w:eastAsia="Calibri" w:hAnsi="Palatino Linotype" w:cs="Times New Roman"/>
          <w:i/>
          <w:lang w:val="es-ES" w:eastAsia="es-ES"/>
        </w:rPr>
      </w:pPr>
      <w:r w:rsidRPr="00AE0EBD">
        <w:rPr>
          <w:rFonts w:ascii="Palatino Linotype" w:eastAsia="Calibri" w:hAnsi="Palatino Linotype" w:cs="Times New Roman"/>
          <w:i/>
          <w:lang w:val="es-ES" w:eastAsia="es-ES"/>
        </w:rPr>
        <w:t>(…)</w:t>
      </w:r>
    </w:p>
    <w:p w:rsidR="00120DAA" w:rsidRPr="00AE0EBD" w:rsidRDefault="00120DAA" w:rsidP="00120DAA">
      <w:pPr>
        <w:spacing w:before="240" w:after="240" w:line="240" w:lineRule="auto"/>
        <w:ind w:left="851" w:right="900"/>
        <w:jc w:val="both"/>
        <w:rPr>
          <w:rFonts w:ascii="Palatino Linotype" w:eastAsia="Calibri" w:hAnsi="Palatino Linotype" w:cs="Times New Roman"/>
          <w:i/>
          <w:lang w:val="es-ES" w:eastAsia="es-ES"/>
        </w:rPr>
      </w:pPr>
      <w:r w:rsidRPr="00AE0EBD">
        <w:rPr>
          <w:rFonts w:ascii="Palatino Linotype" w:eastAsia="Calibri" w:hAnsi="Palatino Linotype" w:cs="Times New Roman"/>
          <w:i/>
          <w:lang w:val="es-ES" w:eastAsia="es-ES"/>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rsidR="00120DAA" w:rsidRPr="00AE0EBD" w:rsidRDefault="00120DAA" w:rsidP="00120DAA">
      <w:pPr>
        <w:spacing w:before="240" w:after="240" w:line="240" w:lineRule="auto"/>
        <w:ind w:left="851" w:right="900"/>
        <w:jc w:val="both"/>
        <w:rPr>
          <w:rFonts w:ascii="Palatino Linotype" w:eastAsia="Calibri" w:hAnsi="Palatino Linotype" w:cs="Times New Roman"/>
          <w:i/>
          <w:lang w:val="es-ES" w:eastAsia="es-ES"/>
        </w:rPr>
      </w:pPr>
    </w:p>
    <w:p w:rsidR="00120DAA" w:rsidRPr="00AE0EBD" w:rsidRDefault="00120DAA" w:rsidP="00120DAA">
      <w:pPr>
        <w:spacing w:before="240" w:after="240" w:line="360" w:lineRule="auto"/>
        <w:jc w:val="both"/>
        <w:rPr>
          <w:rFonts w:ascii="Palatino Linotype" w:eastAsia="Calibri" w:hAnsi="Palatino Linotype" w:cs="Times New Roman"/>
          <w:sz w:val="24"/>
          <w:szCs w:val="24"/>
          <w:lang w:val="es-ES" w:eastAsia="es-ES"/>
        </w:rPr>
      </w:pPr>
      <w:r w:rsidRPr="00AE0EBD">
        <w:rPr>
          <w:rFonts w:ascii="Palatino Linotype" w:eastAsia="Calibri" w:hAnsi="Palatino Linotype" w:cs="Times New Roman"/>
          <w:sz w:val="24"/>
          <w:szCs w:val="24"/>
          <w:lang w:val="es-ES" w:eastAsia="es-ES"/>
        </w:rPr>
        <w:t>Por otra parte, del contenido del artículo 1, de la Constitución Política de los Estados Unidos Mexicanos, se destaca lo siguiente:</w:t>
      </w:r>
    </w:p>
    <w:p w:rsidR="00120DAA" w:rsidRPr="00AE0EBD" w:rsidRDefault="00120DAA" w:rsidP="00120DAA">
      <w:pPr>
        <w:spacing w:before="240" w:after="240" w:line="240" w:lineRule="auto"/>
        <w:ind w:left="851" w:right="900"/>
        <w:jc w:val="both"/>
        <w:rPr>
          <w:rFonts w:ascii="Palatino Linotype" w:eastAsia="Calibri" w:hAnsi="Palatino Linotype" w:cs="Times New Roman"/>
          <w:i/>
          <w:lang w:val="es-ES" w:eastAsia="es-ES"/>
        </w:rPr>
      </w:pPr>
      <w:r w:rsidRPr="00AE0EBD">
        <w:rPr>
          <w:rFonts w:ascii="Palatino Linotype" w:eastAsia="Calibri" w:hAnsi="Palatino Linotype" w:cs="Times New Roman"/>
          <w:i/>
          <w:lang w:val="es-ES" w:eastAsia="es-ES"/>
        </w:rPr>
        <w:t>“</w:t>
      </w:r>
      <w:r w:rsidRPr="00AE0EBD">
        <w:rPr>
          <w:rFonts w:ascii="Palatino Linotype" w:eastAsia="Calibri" w:hAnsi="Palatino Linotype" w:cs="Times New Roman"/>
          <w:b/>
          <w:i/>
          <w:lang w:val="es-ES" w:eastAsia="es-ES"/>
        </w:rPr>
        <w:t>Artículo 1o</w:t>
      </w:r>
      <w:r w:rsidRPr="00AE0EBD">
        <w:rPr>
          <w:rFonts w:ascii="Palatino Linotype" w:eastAsia="Calibri" w:hAnsi="Palatino Linotype" w:cs="Times New Roman"/>
          <w:i/>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120DAA" w:rsidRPr="00AE0EBD" w:rsidRDefault="00120DAA" w:rsidP="00120DAA">
      <w:pPr>
        <w:spacing w:before="240" w:after="240" w:line="240" w:lineRule="auto"/>
        <w:ind w:left="851" w:right="900"/>
        <w:jc w:val="both"/>
        <w:rPr>
          <w:rFonts w:ascii="Palatino Linotype" w:eastAsia="Calibri" w:hAnsi="Palatino Linotype" w:cs="Times New Roman"/>
          <w:i/>
          <w:lang w:val="es-ES" w:eastAsia="es-ES"/>
        </w:rPr>
      </w:pPr>
      <w:r w:rsidRPr="00AE0EBD">
        <w:rPr>
          <w:rFonts w:ascii="Palatino Linotype" w:eastAsia="Calibri" w:hAnsi="Palatino Linotype" w:cs="Times New Roman"/>
          <w:i/>
          <w:lang w:val="es-ES" w:eastAsia="es-ES"/>
        </w:rPr>
        <w:t>Las normas relativas a los derechos humanos se interpretarán de conformidad con esta Constitución y con los tratados internacionales de la materia favoreciendo en todo tiempo a las personas la protección más amplia.</w:t>
      </w:r>
    </w:p>
    <w:p w:rsidR="00120DAA" w:rsidRPr="00AE0EBD" w:rsidRDefault="00120DAA" w:rsidP="00120DAA">
      <w:pPr>
        <w:spacing w:before="240" w:after="240" w:line="240" w:lineRule="auto"/>
        <w:ind w:left="851" w:right="900"/>
        <w:jc w:val="both"/>
        <w:rPr>
          <w:rFonts w:ascii="Palatino Linotype" w:eastAsia="Calibri" w:hAnsi="Palatino Linotype" w:cs="Times New Roman"/>
          <w:i/>
          <w:lang w:val="es-ES" w:eastAsia="es-ES"/>
        </w:rPr>
      </w:pPr>
      <w:r w:rsidRPr="00AE0EBD">
        <w:rPr>
          <w:rFonts w:ascii="Palatino Linotype" w:eastAsia="Calibri" w:hAnsi="Palatino Linotype" w:cs="Times New Roman"/>
          <w:i/>
          <w:lang w:val="es-ES" w:eastAsia="es-ES"/>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120DAA" w:rsidRPr="00AE0EBD" w:rsidRDefault="00120DAA" w:rsidP="00120DAA">
      <w:pPr>
        <w:spacing w:before="240" w:after="240" w:line="240" w:lineRule="auto"/>
        <w:ind w:left="851" w:right="900"/>
        <w:jc w:val="both"/>
        <w:rPr>
          <w:rFonts w:ascii="Palatino Linotype" w:eastAsia="Calibri" w:hAnsi="Palatino Linotype" w:cs="Times New Roman"/>
          <w:i/>
          <w:lang w:val="es-ES" w:eastAsia="es-ES"/>
        </w:rPr>
      </w:pPr>
    </w:p>
    <w:p w:rsidR="00120DAA" w:rsidRPr="00AE0EBD" w:rsidRDefault="00120DAA" w:rsidP="00120DAA">
      <w:pPr>
        <w:spacing w:before="240" w:after="240" w:line="360" w:lineRule="auto"/>
        <w:jc w:val="both"/>
        <w:rPr>
          <w:rFonts w:ascii="Palatino Linotype" w:eastAsia="Calibri" w:hAnsi="Palatino Linotype" w:cs="Times New Roman"/>
          <w:sz w:val="24"/>
          <w:szCs w:val="24"/>
          <w:lang w:val="es-ES" w:eastAsia="es-ES"/>
        </w:rPr>
      </w:pPr>
      <w:r w:rsidRPr="00AE0EBD">
        <w:rPr>
          <w:rFonts w:ascii="Palatino Linotype" w:eastAsia="Calibri" w:hAnsi="Palatino Linotype" w:cs="Times New Roman"/>
          <w:sz w:val="24"/>
          <w:szCs w:val="24"/>
          <w:lang w:val="es-ES" w:eastAsia="es-ES"/>
        </w:rPr>
        <w:t xml:space="preserve">Por lo cual, de una interpretación sistemática, conforme y progresiva del derecho humano de acceso a la información pública se aprecia que toda persona, sin necesidad </w:t>
      </w:r>
      <w:r w:rsidRPr="00AE0EBD">
        <w:rPr>
          <w:rFonts w:ascii="Palatino Linotype" w:eastAsia="Calibri" w:hAnsi="Palatino Linotype" w:cs="Times New Roman"/>
          <w:sz w:val="24"/>
          <w:szCs w:val="24"/>
          <w:lang w:val="es-ES" w:eastAsia="es-ES"/>
        </w:rPr>
        <w:lastRenderedPageBreak/>
        <w:t>de acreditar interés alguno o justificar su utilización, deberá tener acceso a la información pública, es decir, dicho derecho fundamental exime a quien lo ejerce,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rsidR="00120DAA" w:rsidRPr="00AE0EBD" w:rsidRDefault="00120DAA" w:rsidP="00120DAA">
      <w:pPr>
        <w:pStyle w:val="Sinespaciado"/>
        <w:rPr>
          <w:rFonts w:eastAsia="Calibri"/>
          <w:sz w:val="10"/>
          <w:lang w:val="es-ES"/>
        </w:rPr>
      </w:pPr>
    </w:p>
    <w:p w:rsidR="00120DAA" w:rsidRPr="00AE0EBD" w:rsidRDefault="00120DAA" w:rsidP="00120DAA">
      <w:pPr>
        <w:spacing w:after="0" w:line="360" w:lineRule="auto"/>
        <w:jc w:val="both"/>
        <w:rPr>
          <w:rFonts w:ascii="Palatino Linotype" w:eastAsia="Calibri" w:hAnsi="Palatino Linotype" w:cs="Arial"/>
          <w:sz w:val="24"/>
          <w:szCs w:val="24"/>
          <w:lang w:val="es-ES" w:eastAsia="es-ES"/>
        </w:rPr>
      </w:pPr>
      <w:r w:rsidRPr="00AE0EBD">
        <w:rPr>
          <w:rFonts w:ascii="Palatino Linotype" w:eastAsia="Calibri" w:hAnsi="Palatino Linotype" w:cs="Arial"/>
          <w:sz w:val="24"/>
          <w:szCs w:val="24"/>
          <w:lang w:val="es-ES" w:eastAsia="es-ES"/>
        </w:rPr>
        <w:t>En conclusión, se cubrieron los requisitos de procedencia y procedibilidad y conforme a las constancias que obran en el expediente.</w:t>
      </w:r>
    </w:p>
    <w:p w:rsidR="00120DAA" w:rsidRPr="00AE0EBD" w:rsidRDefault="00120DAA" w:rsidP="00120DAA">
      <w:pPr>
        <w:spacing w:after="0" w:line="360" w:lineRule="auto"/>
        <w:jc w:val="both"/>
        <w:rPr>
          <w:rFonts w:ascii="Palatino Linotype" w:eastAsia="Calibri" w:hAnsi="Palatino Linotype" w:cs="Arial"/>
          <w:sz w:val="24"/>
          <w:szCs w:val="24"/>
          <w:lang w:val="es-ES" w:eastAsia="es-ES"/>
        </w:rPr>
      </w:pPr>
    </w:p>
    <w:p w:rsidR="00120DAA" w:rsidRPr="00AE0EBD" w:rsidRDefault="00120DAA" w:rsidP="00120DAA">
      <w:pPr>
        <w:spacing w:after="0" w:line="360" w:lineRule="auto"/>
        <w:jc w:val="both"/>
        <w:rPr>
          <w:rFonts w:ascii="Palatino Linotype" w:eastAsia="Calibri" w:hAnsi="Palatino Linotype" w:cs="Arial"/>
          <w:sz w:val="24"/>
          <w:szCs w:val="24"/>
          <w:lang w:val="es-ES" w:eastAsia="es-ES"/>
        </w:rPr>
      </w:pPr>
      <w:r w:rsidRPr="00AE0EBD">
        <w:rPr>
          <w:rFonts w:ascii="Palatino Linotype" w:hAnsi="Palatino Linotype" w:cs="Arial"/>
          <w:b/>
          <w:sz w:val="28"/>
          <w:szCs w:val="24"/>
        </w:rPr>
        <w:t xml:space="preserve">CUARTO. Del estudio de las causas de improcedencia. </w:t>
      </w:r>
    </w:p>
    <w:p w:rsidR="00120DAA" w:rsidRPr="00AE0EBD" w:rsidRDefault="00120DAA" w:rsidP="00120DAA">
      <w:pPr>
        <w:autoSpaceDE w:val="0"/>
        <w:autoSpaceDN w:val="0"/>
        <w:adjustRightInd w:val="0"/>
        <w:spacing w:after="0" w:line="360" w:lineRule="auto"/>
        <w:jc w:val="both"/>
        <w:rPr>
          <w:rFonts w:ascii="Palatino Linotype" w:hAnsi="Palatino Linotype" w:cs="Arial"/>
          <w:sz w:val="24"/>
          <w:szCs w:val="24"/>
        </w:rPr>
      </w:pPr>
      <w:r w:rsidRPr="00AE0EBD">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rsidR="00120DAA" w:rsidRPr="00AE0EBD" w:rsidRDefault="00120DAA" w:rsidP="00120DAA">
      <w:pPr>
        <w:autoSpaceDE w:val="0"/>
        <w:autoSpaceDN w:val="0"/>
        <w:adjustRightInd w:val="0"/>
        <w:spacing w:after="0" w:line="360" w:lineRule="auto"/>
        <w:jc w:val="both"/>
        <w:rPr>
          <w:rFonts w:ascii="Palatino Linotype" w:hAnsi="Palatino Linotype" w:cs="Arial"/>
          <w:sz w:val="24"/>
          <w:szCs w:val="24"/>
        </w:rPr>
      </w:pPr>
    </w:p>
    <w:p w:rsidR="00120DAA" w:rsidRPr="00AE0EBD" w:rsidRDefault="00120DAA" w:rsidP="00120DAA">
      <w:pPr>
        <w:spacing w:after="0" w:line="240" w:lineRule="auto"/>
        <w:ind w:left="851" w:right="851"/>
        <w:jc w:val="both"/>
        <w:rPr>
          <w:rFonts w:ascii="Palatino Linotype" w:hAnsi="Palatino Linotype"/>
          <w:b/>
          <w:bCs/>
          <w:i/>
          <w:lang w:eastAsia="es-MX"/>
        </w:rPr>
      </w:pPr>
      <w:r w:rsidRPr="00AE0EBD">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rsidR="00120DAA" w:rsidRPr="00AE0EBD" w:rsidRDefault="00120DAA" w:rsidP="00120DAA">
      <w:pPr>
        <w:pStyle w:val="Prrafodelista"/>
        <w:autoSpaceDE w:val="0"/>
        <w:autoSpaceDN w:val="0"/>
        <w:adjustRightInd w:val="0"/>
        <w:ind w:left="851" w:right="851"/>
        <w:jc w:val="both"/>
        <w:rPr>
          <w:rFonts w:ascii="Palatino Linotype" w:hAnsi="Palatino Linotype" w:cs="Arial"/>
          <w:sz w:val="22"/>
          <w:szCs w:val="22"/>
        </w:rPr>
      </w:pPr>
      <w:r w:rsidRPr="00AE0EBD">
        <w:rPr>
          <w:rFonts w:ascii="Palatino Linotype" w:hAnsi="Palatino Linotype"/>
          <w:i/>
          <w:sz w:val="22"/>
          <w:szCs w:val="22"/>
        </w:rPr>
        <w:lastRenderedPageBreak/>
        <w:t>Del examen de compatibilidad de los artículos</w:t>
      </w:r>
      <w:r w:rsidRPr="00AE0EBD">
        <w:rPr>
          <w:rStyle w:val="apple-converted-space"/>
          <w:rFonts w:ascii="Palatino Linotype" w:hAnsi="Palatino Linotype"/>
          <w:i/>
          <w:sz w:val="22"/>
          <w:szCs w:val="22"/>
        </w:rPr>
        <w:t> </w:t>
      </w:r>
      <w:hyperlink r:id="rId9" w:history="1">
        <w:r w:rsidRPr="00AE0EBD">
          <w:rPr>
            <w:rStyle w:val="Hipervnculo"/>
            <w:rFonts w:ascii="Palatino Linotype" w:eastAsia="Calibri" w:hAnsi="Palatino Linotype"/>
            <w:i/>
            <w:sz w:val="22"/>
            <w:szCs w:val="22"/>
          </w:rPr>
          <w:t>73 y 74 de la Ley de Amparo</w:t>
        </w:r>
      </w:hyperlink>
      <w:r w:rsidRPr="00AE0EBD">
        <w:rPr>
          <w:rStyle w:val="apple-converted-space"/>
          <w:rFonts w:ascii="Palatino Linotype" w:hAnsi="Palatino Linotype"/>
          <w:i/>
          <w:sz w:val="22"/>
          <w:szCs w:val="22"/>
        </w:rPr>
        <w:t> </w:t>
      </w:r>
      <w:r w:rsidRPr="00AE0EBD">
        <w:rPr>
          <w:rFonts w:ascii="Palatino Linotype" w:hAnsi="Palatino Linotype"/>
          <w:i/>
          <w:sz w:val="22"/>
          <w:szCs w:val="22"/>
        </w:rPr>
        <w:t>con el artículo</w:t>
      </w:r>
      <w:r w:rsidRPr="00AE0EBD">
        <w:rPr>
          <w:rStyle w:val="apple-converted-space"/>
          <w:rFonts w:ascii="Palatino Linotype" w:hAnsi="Palatino Linotype"/>
          <w:i/>
          <w:sz w:val="22"/>
          <w:szCs w:val="22"/>
        </w:rPr>
        <w:t> </w:t>
      </w:r>
      <w:hyperlink r:id="rId10" w:history="1">
        <w:r w:rsidRPr="00AE0EBD">
          <w:rPr>
            <w:rStyle w:val="Hipervnculo"/>
            <w:rFonts w:ascii="Palatino Linotype" w:eastAsia="Calibri" w:hAnsi="Palatino Linotype"/>
            <w:i/>
            <w:sz w:val="22"/>
            <w:szCs w:val="22"/>
          </w:rPr>
          <w:t>25.1 de la Convención Americana sobre Derechos Humanos</w:t>
        </w:r>
      </w:hyperlink>
      <w:r w:rsidRPr="00AE0EBD">
        <w:rPr>
          <w:rStyle w:val="apple-converted-space"/>
          <w:rFonts w:ascii="Palatino Linotype" w:hAnsi="Palatino Linotype"/>
          <w:i/>
          <w:sz w:val="22"/>
          <w:szCs w:val="22"/>
        </w:rPr>
        <w:t> </w:t>
      </w:r>
      <w:r w:rsidRPr="00AE0EBD">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AE0EBD">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rsidR="00120DAA" w:rsidRPr="00AE0EBD" w:rsidRDefault="00120DAA" w:rsidP="00120DAA">
      <w:pPr>
        <w:pStyle w:val="Prrafodelista"/>
        <w:autoSpaceDE w:val="0"/>
        <w:autoSpaceDN w:val="0"/>
        <w:adjustRightInd w:val="0"/>
        <w:spacing w:line="360" w:lineRule="auto"/>
        <w:ind w:left="0"/>
        <w:jc w:val="both"/>
        <w:rPr>
          <w:rFonts w:ascii="Palatino Linotype" w:hAnsi="Palatino Linotype" w:cs="Arial"/>
        </w:rPr>
      </w:pPr>
    </w:p>
    <w:p w:rsidR="00120DAA" w:rsidRPr="00AE0EBD" w:rsidRDefault="00120DAA" w:rsidP="00120DAA">
      <w:pPr>
        <w:autoSpaceDE w:val="0"/>
        <w:autoSpaceDN w:val="0"/>
        <w:adjustRightInd w:val="0"/>
        <w:spacing w:after="0" w:line="360" w:lineRule="auto"/>
        <w:jc w:val="both"/>
        <w:rPr>
          <w:rFonts w:ascii="Palatino Linotype" w:hAnsi="Palatino Linotype" w:cs="Arial"/>
          <w:sz w:val="24"/>
          <w:szCs w:val="24"/>
        </w:rPr>
      </w:pPr>
      <w:r w:rsidRPr="00AE0EBD">
        <w:rPr>
          <w:rFonts w:ascii="Palatino Linotype" w:hAnsi="Palatino Linotype" w:cs="Arial"/>
          <w:sz w:val="24"/>
          <w:szCs w:val="24"/>
        </w:rPr>
        <w:t>Por lo que una vez que se analizó el expediente en estudio se cae en la cuenta de que no se actualiza ninguna de las casuales a continuación transcritas:</w:t>
      </w:r>
    </w:p>
    <w:p w:rsidR="00120DAA" w:rsidRPr="00AE0EBD" w:rsidRDefault="00120DAA" w:rsidP="00120DAA">
      <w:pPr>
        <w:pStyle w:val="Sinespaciado"/>
      </w:pPr>
    </w:p>
    <w:p w:rsidR="00120DAA" w:rsidRPr="00AE0EBD" w:rsidRDefault="00120DAA" w:rsidP="00120DAA">
      <w:pPr>
        <w:pStyle w:val="Prrafodelista"/>
        <w:autoSpaceDE w:val="0"/>
        <w:autoSpaceDN w:val="0"/>
        <w:adjustRightInd w:val="0"/>
        <w:ind w:right="850"/>
        <w:jc w:val="both"/>
        <w:rPr>
          <w:rFonts w:ascii="Palatino Linotype" w:hAnsi="Palatino Linotype" w:cs="Arial"/>
          <w:i/>
          <w:sz w:val="22"/>
          <w:szCs w:val="22"/>
        </w:rPr>
      </w:pPr>
      <w:r w:rsidRPr="00AE0EBD">
        <w:rPr>
          <w:rFonts w:ascii="Palatino Linotype" w:hAnsi="Palatino Linotype" w:cs="Arial"/>
          <w:i/>
          <w:sz w:val="22"/>
          <w:szCs w:val="22"/>
        </w:rPr>
        <w:t>“</w:t>
      </w:r>
      <w:r w:rsidRPr="00AE0EBD">
        <w:rPr>
          <w:rFonts w:ascii="Palatino Linotype" w:hAnsi="Palatino Linotype" w:cs="Arial"/>
          <w:b/>
          <w:i/>
          <w:sz w:val="22"/>
          <w:szCs w:val="22"/>
        </w:rPr>
        <w:t>Artículo 191.</w:t>
      </w:r>
      <w:r w:rsidRPr="00AE0EBD">
        <w:rPr>
          <w:rFonts w:ascii="Palatino Linotype" w:hAnsi="Palatino Linotype" w:cs="Arial"/>
          <w:i/>
          <w:sz w:val="22"/>
          <w:szCs w:val="22"/>
        </w:rPr>
        <w:t xml:space="preserve"> El recurso será desechado por improcedente cuando:  </w:t>
      </w:r>
    </w:p>
    <w:p w:rsidR="00120DAA" w:rsidRPr="00AE0EBD" w:rsidRDefault="00120DAA" w:rsidP="00120DAA">
      <w:pPr>
        <w:pStyle w:val="Prrafodelista"/>
        <w:autoSpaceDE w:val="0"/>
        <w:autoSpaceDN w:val="0"/>
        <w:adjustRightInd w:val="0"/>
        <w:ind w:right="850"/>
        <w:jc w:val="both"/>
        <w:rPr>
          <w:rFonts w:ascii="Palatino Linotype" w:hAnsi="Palatino Linotype" w:cs="Arial"/>
          <w:i/>
          <w:sz w:val="22"/>
          <w:szCs w:val="22"/>
        </w:rPr>
      </w:pPr>
      <w:r w:rsidRPr="00AE0EBD">
        <w:rPr>
          <w:rFonts w:ascii="Palatino Linotype" w:hAnsi="Palatino Linotype" w:cs="Arial"/>
          <w:i/>
          <w:sz w:val="22"/>
          <w:szCs w:val="22"/>
        </w:rPr>
        <w:t xml:space="preserve">I. Sea extemporáneo por haber transcurrido el plazo establecido en la presente Ley, a partir de la respuesta;  </w:t>
      </w:r>
    </w:p>
    <w:p w:rsidR="00120DAA" w:rsidRPr="00AE0EBD" w:rsidRDefault="00120DAA" w:rsidP="00120DAA">
      <w:pPr>
        <w:pStyle w:val="Prrafodelista"/>
        <w:autoSpaceDE w:val="0"/>
        <w:autoSpaceDN w:val="0"/>
        <w:adjustRightInd w:val="0"/>
        <w:ind w:right="850"/>
        <w:jc w:val="both"/>
        <w:rPr>
          <w:rFonts w:ascii="Palatino Linotype" w:hAnsi="Palatino Linotype" w:cs="Arial"/>
          <w:i/>
          <w:sz w:val="22"/>
          <w:szCs w:val="22"/>
        </w:rPr>
      </w:pPr>
      <w:r w:rsidRPr="00AE0EBD">
        <w:rPr>
          <w:rFonts w:ascii="Palatino Linotype" w:hAnsi="Palatino Linotype" w:cs="Arial"/>
          <w:i/>
          <w:sz w:val="22"/>
          <w:szCs w:val="22"/>
        </w:rPr>
        <w:t xml:space="preserve">II. Se esté tramitando ante el Poder Judicial de la Federación algún recurso o medio de defensa interpuesto por el recurrente;  </w:t>
      </w:r>
    </w:p>
    <w:p w:rsidR="00120DAA" w:rsidRPr="00AE0EBD" w:rsidRDefault="00120DAA" w:rsidP="00120DAA">
      <w:pPr>
        <w:pStyle w:val="Prrafodelista"/>
        <w:autoSpaceDE w:val="0"/>
        <w:autoSpaceDN w:val="0"/>
        <w:adjustRightInd w:val="0"/>
        <w:ind w:right="850"/>
        <w:jc w:val="both"/>
        <w:rPr>
          <w:rFonts w:ascii="Palatino Linotype" w:hAnsi="Palatino Linotype" w:cs="Arial"/>
          <w:i/>
          <w:sz w:val="22"/>
          <w:szCs w:val="22"/>
        </w:rPr>
      </w:pPr>
      <w:r w:rsidRPr="00AE0EBD">
        <w:rPr>
          <w:rFonts w:ascii="Palatino Linotype" w:hAnsi="Palatino Linotype" w:cs="Arial"/>
          <w:i/>
          <w:sz w:val="22"/>
          <w:szCs w:val="22"/>
        </w:rPr>
        <w:t xml:space="preserve">III. No actualice alguno de los supuestos previstos en la presente Ley;  </w:t>
      </w:r>
    </w:p>
    <w:p w:rsidR="00120DAA" w:rsidRPr="00AE0EBD" w:rsidRDefault="00120DAA" w:rsidP="00120DAA">
      <w:pPr>
        <w:pStyle w:val="Prrafodelista"/>
        <w:autoSpaceDE w:val="0"/>
        <w:autoSpaceDN w:val="0"/>
        <w:adjustRightInd w:val="0"/>
        <w:ind w:right="850"/>
        <w:jc w:val="both"/>
        <w:rPr>
          <w:rFonts w:ascii="Palatino Linotype" w:hAnsi="Palatino Linotype" w:cs="Arial"/>
          <w:i/>
          <w:sz w:val="22"/>
          <w:szCs w:val="22"/>
        </w:rPr>
      </w:pPr>
      <w:r w:rsidRPr="00AE0EBD">
        <w:rPr>
          <w:rFonts w:ascii="Palatino Linotype" w:hAnsi="Palatino Linotype" w:cs="Arial"/>
          <w:i/>
          <w:sz w:val="22"/>
          <w:szCs w:val="22"/>
        </w:rPr>
        <w:t>IV. No se haya desahogado la prevención en los términos establecidos en la presente Ley;</w:t>
      </w:r>
    </w:p>
    <w:p w:rsidR="00120DAA" w:rsidRPr="00AE0EBD" w:rsidRDefault="00120DAA" w:rsidP="00120DAA">
      <w:pPr>
        <w:pStyle w:val="Prrafodelista"/>
        <w:autoSpaceDE w:val="0"/>
        <w:autoSpaceDN w:val="0"/>
        <w:adjustRightInd w:val="0"/>
        <w:ind w:right="850"/>
        <w:jc w:val="both"/>
        <w:rPr>
          <w:rFonts w:ascii="Palatino Linotype" w:hAnsi="Palatino Linotype" w:cs="Arial"/>
          <w:i/>
          <w:sz w:val="22"/>
          <w:szCs w:val="22"/>
        </w:rPr>
      </w:pPr>
      <w:r w:rsidRPr="00AE0EBD">
        <w:rPr>
          <w:rFonts w:ascii="Palatino Linotype" w:hAnsi="Palatino Linotype" w:cs="Arial"/>
          <w:i/>
          <w:sz w:val="22"/>
          <w:szCs w:val="22"/>
        </w:rPr>
        <w:t xml:space="preserve">V. Se impugne la veracidad de la información proporcionada;  </w:t>
      </w:r>
    </w:p>
    <w:p w:rsidR="00120DAA" w:rsidRPr="00AE0EBD" w:rsidRDefault="00120DAA" w:rsidP="00120DAA">
      <w:pPr>
        <w:pStyle w:val="Prrafodelista"/>
        <w:autoSpaceDE w:val="0"/>
        <w:autoSpaceDN w:val="0"/>
        <w:adjustRightInd w:val="0"/>
        <w:ind w:right="850"/>
        <w:jc w:val="both"/>
        <w:rPr>
          <w:rFonts w:ascii="Palatino Linotype" w:hAnsi="Palatino Linotype" w:cs="Arial"/>
          <w:i/>
          <w:sz w:val="22"/>
          <w:szCs w:val="22"/>
        </w:rPr>
      </w:pPr>
      <w:r w:rsidRPr="00AE0EBD">
        <w:rPr>
          <w:rFonts w:ascii="Palatino Linotype" w:hAnsi="Palatino Linotype" w:cs="Arial"/>
          <w:i/>
          <w:sz w:val="22"/>
          <w:szCs w:val="22"/>
        </w:rPr>
        <w:t xml:space="preserve">VI. Se trate de una consulta, o trámite en específico; y  </w:t>
      </w:r>
    </w:p>
    <w:p w:rsidR="00120DAA" w:rsidRPr="00AE0EBD" w:rsidRDefault="00120DAA" w:rsidP="00120DAA">
      <w:pPr>
        <w:pStyle w:val="Prrafodelista"/>
        <w:autoSpaceDE w:val="0"/>
        <w:autoSpaceDN w:val="0"/>
        <w:adjustRightInd w:val="0"/>
        <w:ind w:right="850"/>
        <w:jc w:val="both"/>
        <w:rPr>
          <w:rFonts w:ascii="Palatino Linotype" w:hAnsi="Palatino Linotype" w:cs="Arial"/>
          <w:i/>
          <w:sz w:val="22"/>
          <w:szCs w:val="22"/>
        </w:rPr>
      </w:pPr>
      <w:r w:rsidRPr="00AE0EBD">
        <w:rPr>
          <w:rFonts w:ascii="Palatino Linotype" w:hAnsi="Palatino Linotype" w:cs="Arial"/>
          <w:i/>
          <w:sz w:val="22"/>
          <w:szCs w:val="22"/>
        </w:rPr>
        <w:t>VII. El recurrente amplíe su solicitud en el recurso de revisión, únicamente respecto de los nuevos contenidos.”</w:t>
      </w:r>
    </w:p>
    <w:p w:rsidR="00120DAA" w:rsidRPr="00AE0EBD" w:rsidRDefault="00120DAA" w:rsidP="00120DAA">
      <w:pPr>
        <w:pStyle w:val="Prrafodelista"/>
        <w:autoSpaceDE w:val="0"/>
        <w:autoSpaceDN w:val="0"/>
        <w:adjustRightInd w:val="0"/>
        <w:spacing w:line="360" w:lineRule="auto"/>
        <w:ind w:right="850"/>
        <w:jc w:val="both"/>
        <w:rPr>
          <w:rFonts w:ascii="Palatino Linotype" w:hAnsi="Palatino Linotype" w:cs="Arial"/>
          <w:i/>
        </w:rPr>
      </w:pPr>
    </w:p>
    <w:p w:rsidR="00120DAA" w:rsidRPr="00AE0EBD" w:rsidRDefault="00120DAA" w:rsidP="00120DAA">
      <w:pPr>
        <w:autoSpaceDE w:val="0"/>
        <w:autoSpaceDN w:val="0"/>
        <w:adjustRightInd w:val="0"/>
        <w:spacing w:after="0" w:line="360" w:lineRule="auto"/>
        <w:jc w:val="both"/>
        <w:rPr>
          <w:rFonts w:ascii="Palatino Linotype" w:hAnsi="Palatino Linotype" w:cs="Arial"/>
          <w:sz w:val="24"/>
          <w:szCs w:val="24"/>
        </w:rPr>
      </w:pPr>
      <w:r w:rsidRPr="00AE0EBD">
        <w:rPr>
          <w:rFonts w:ascii="Palatino Linotype" w:hAnsi="Palatino Linotype" w:cs="Arial"/>
          <w:sz w:val="24"/>
          <w:szCs w:val="24"/>
        </w:rPr>
        <w:lastRenderedPageBreak/>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rsidR="00120DAA" w:rsidRPr="00AE0EBD" w:rsidRDefault="00120DAA" w:rsidP="00120DAA">
      <w:pPr>
        <w:autoSpaceDE w:val="0"/>
        <w:autoSpaceDN w:val="0"/>
        <w:adjustRightInd w:val="0"/>
        <w:spacing w:after="0" w:line="360" w:lineRule="auto"/>
        <w:jc w:val="both"/>
        <w:rPr>
          <w:rFonts w:ascii="Palatino Linotype" w:hAnsi="Palatino Linotype" w:cs="Arial"/>
          <w:sz w:val="24"/>
          <w:szCs w:val="24"/>
        </w:rPr>
      </w:pPr>
    </w:p>
    <w:p w:rsidR="00120DAA" w:rsidRPr="00AE0EBD" w:rsidRDefault="00120DAA" w:rsidP="00120DAA">
      <w:pPr>
        <w:pStyle w:val="Prrafodelista"/>
        <w:autoSpaceDE w:val="0"/>
        <w:autoSpaceDN w:val="0"/>
        <w:adjustRightInd w:val="0"/>
        <w:spacing w:line="360" w:lineRule="auto"/>
        <w:ind w:left="0"/>
        <w:jc w:val="both"/>
        <w:rPr>
          <w:rFonts w:ascii="Palatino Linotype" w:hAnsi="Palatino Linotype" w:cs="Arial"/>
        </w:rPr>
      </w:pPr>
      <w:r w:rsidRPr="00AE0EBD">
        <w:rPr>
          <w:rFonts w:ascii="Palatino Linotype" w:hAnsi="Palatino Linotype" w:cs="Arial"/>
        </w:rPr>
        <w:t>Así las cosas, al no existir causas de improcedencia invocadas por las partes ni advertidas de oficio por este Resolutor, se procede al análisis del fondo de los asuntos en los siguientes términos.</w:t>
      </w:r>
    </w:p>
    <w:p w:rsidR="00120DAA" w:rsidRPr="00AE0EBD" w:rsidRDefault="00120DAA" w:rsidP="00120DAA">
      <w:pPr>
        <w:pStyle w:val="Sinespaciado"/>
        <w:spacing w:line="360" w:lineRule="auto"/>
        <w:jc w:val="both"/>
        <w:rPr>
          <w:rFonts w:ascii="Palatino Linotype" w:hAnsi="Palatino Linotype"/>
          <w:sz w:val="26"/>
          <w:szCs w:val="26"/>
        </w:rPr>
      </w:pPr>
    </w:p>
    <w:p w:rsidR="00120DAA" w:rsidRPr="00AE0EBD" w:rsidRDefault="00120DAA" w:rsidP="00120DAA">
      <w:pPr>
        <w:pStyle w:val="Sinespaciado"/>
        <w:spacing w:line="360" w:lineRule="auto"/>
        <w:jc w:val="both"/>
        <w:rPr>
          <w:rFonts w:ascii="Palatino Linotype" w:hAnsi="Palatino Linotype"/>
          <w:sz w:val="28"/>
        </w:rPr>
      </w:pPr>
      <w:r w:rsidRPr="00AE0EBD">
        <w:rPr>
          <w:rFonts w:ascii="Palatino Linotype" w:hAnsi="Palatino Linotype"/>
          <w:b/>
          <w:sz w:val="28"/>
          <w:szCs w:val="26"/>
        </w:rPr>
        <w:t>QUINTO. Estudio y resolución del asunto.</w:t>
      </w:r>
      <w:r w:rsidRPr="00AE0EBD">
        <w:rPr>
          <w:rFonts w:ascii="Palatino Linotype" w:hAnsi="Palatino Linotype"/>
          <w:sz w:val="28"/>
        </w:rPr>
        <w:t xml:space="preserve"> </w:t>
      </w:r>
    </w:p>
    <w:p w:rsidR="00120DAA" w:rsidRPr="00AE0EBD" w:rsidRDefault="00120DAA" w:rsidP="00120DAA">
      <w:pPr>
        <w:pStyle w:val="Sinespaciado"/>
        <w:spacing w:line="360" w:lineRule="auto"/>
        <w:jc w:val="both"/>
        <w:rPr>
          <w:rFonts w:ascii="Palatino Linotype" w:hAnsi="Palatino Linotype"/>
        </w:rPr>
      </w:pPr>
      <w:r w:rsidRPr="00AE0EBD">
        <w:rPr>
          <w:rFonts w:ascii="Palatino Linotype" w:hAnsi="Palatino Linotype"/>
        </w:rPr>
        <w:t>Ahora bien, se procede al análisis del presente recurso de revisión,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120DAA" w:rsidRPr="00AE0EBD" w:rsidRDefault="00120DAA" w:rsidP="00120DAA">
      <w:pPr>
        <w:pStyle w:val="Sinespaciado"/>
        <w:spacing w:line="360" w:lineRule="auto"/>
        <w:jc w:val="both"/>
        <w:rPr>
          <w:rFonts w:ascii="Palatino Linotype" w:hAnsi="Palatino Linotype"/>
        </w:rPr>
      </w:pPr>
    </w:p>
    <w:p w:rsidR="00120DAA" w:rsidRPr="00AE0EBD" w:rsidRDefault="00120DAA" w:rsidP="00120DAA">
      <w:pPr>
        <w:pStyle w:val="Sinespaciado"/>
        <w:spacing w:line="360" w:lineRule="auto"/>
        <w:jc w:val="both"/>
        <w:rPr>
          <w:rFonts w:ascii="Palatino Linotype" w:hAnsi="Palatino Linotype"/>
        </w:rPr>
      </w:pPr>
      <w:r w:rsidRPr="00AE0EBD">
        <w:rPr>
          <w:rFonts w:ascii="Palatino Linotype" w:hAnsi="Palatino Linotype"/>
        </w:rPr>
        <w:t xml:space="preserve">En primera instancia, es necesario hacer referencia a la solicitud del hoy </w:t>
      </w:r>
      <w:r w:rsidRPr="00AE0EBD">
        <w:rPr>
          <w:rFonts w:ascii="Palatino Linotype" w:hAnsi="Palatino Linotype"/>
          <w:b/>
        </w:rPr>
        <w:t>Recurrente</w:t>
      </w:r>
      <w:r w:rsidRPr="00AE0EBD">
        <w:rPr>
          <w:rFonts w:ascii="Palatino Linotype" w:hAnsi="Palatino Linotype"/>
        </w:rPr>
        <w:t xml:space="preserve"> en la que requirió que el </w:t>
      </w:r>
      <w:r w:rsidRPr="00AE0EBD">
        <w:rPr>
          <w:rFonts w:ascii="Palatino Linotype" w:hAnsi="Palatino Linotype"/>
          <w:b/>
        </w:rPr>
        <w:t>Sujeto Obligado</w:t>
      </w:r>
      <w:r w:rsidRPr="00AE0EBD">
        <w:rPr>
          <w:rFonts w:ascii="Palatino Linotype" w:hAnsi="Palatino Linotype"/>
        </w:rPr>
        <w:t xml:space="preserve"> le informara lo siguiente:</w:t>
      </w:r>
    </w:p>
    <w:p w:rsidR="00120DAA" w:rsidRPr="00AE0EBD" w:rsidRDefault="00120DAA" w:rsidP="00120DAA">
      <w:pPr>
        <w:pStyle w:val="Sinespaciado"/>
      </w:pPr>
    </w:p>
    <w:p w:rsidR="00120DAA" w:rsidRPr="00AE0EBD" w:rsidRDefault="00120DAA" w:rsidP="00120DAA">
      <w:pPr>
        <w:pStyle w:val="Sinespaciado"/>
        <w:spacing w:line="276" w:lineRule="auto"/>
        <w:ind w:left="567" w:right="567"/>
        <w:jc w:val="both"/>
        <w:rPr>
          <w:rFonts w:ascii="Palatino Linotype" w:hAnsi="Palatino Linotype"/>
          <w:b/>
          <w:i/>
          <w:color w:val="000000"/>
          <w:u w:val="single"/>
        </w:rPr>
      </w:pPr>
      <w:r w:rsidRPr="00AE0EBD">
        <w:rPr>
          <w:rFonts w:ascii="Palatino Linotype" w:hAnsi="Palatino Linotype"/>
          <w:b/>
          <w:i/>
          <w:color w:val="000000"/>
          <w:u w:val="single"/>
        </w:rPr>
        <w:t xml:space="preserve">De la calle BENITO JUAREZ, del tramo comprendido única y exclusivamente entre Jesus del Monte y Francisco I Madero (esto es solo </w:t>
      </w:r>
      <w:r w:rsidRPr="00AE0EBD">
        <w:rPr>
          <w:rFonts w:ascii="Palatino Linotype" w:hAnsi="Palatino Linotype"/>
          <w:b/>
          <w:i/>
          <w:color w:val="000000"/>
          <w:u w:val="single"/>
        </w:rPr>
        <w:lastRenderedPageBreak/>
        <w:t xml:space="preserve">una cuadra de la Calle Benito Juarez del tramo entre Jesus del Monte y Francisco I Madero), Colonia Jesus del Monte, Codigo Postal 52764 Municipio de Huixquilucan, Estado de Mexico, quiero saber lo siguiente: </w:t>
      </w:r>
    </w:p>
    <w:p w:rsidR="00120DAA" w:rsidRPr="00AE0EBD" w:rsidRDefault="00120DAA" w:rsidP="00120DAA">
      <w:pPr>
        <w:pStyle w:val="Sinespaciado"/>
        <w:spacing w:line="276" w:lineRule="auto"/>
        <w:ind w:left="567" w:right="567"/>
        <w:jc w:val="both"/>
        <w:rPr>
          <w:rFonts w:ascii="Palatino Linotype" w:hAnsi="Palatino Linotype"/>
          <w:i/>
          <w:color w:val="000000"/>
        </w:rPr>
      </w:pPr>
    </w:p>
    <w:p w:rsidR="00120DAA" w:rsidRPr="00AE0EBD" w:rsidRDefault="00120DAA" w:rsidP="00120DAA">
      <w:pPr>
        <w:pStyle w:val="Sinespaciado"/>
        <w:spacing w:line="276" w:lineRule="auto"/>
        <w:ind w:left="567" w:right="567"/>
        <w:jc w:val="both"/>
        <w:rPr>
          <w:rFonts w:ascii="Palatino Linotype" w:hAnsi="Palatino Linotype"/>
          <w:i/>
          <w:color w:val="000000"/>
        </w:rPr>
      </w:pPr>
      <w:r w:rsidRPr="00AE0EBD">
        <w:rPr>
          <w:rFonts w:ascii="Palatino Linotype" w:hAnsi="Palatino Linotype"/>
          <w:b/>
          <w:i/>
          <w:color w:val="000000"/>
        </w:rPr>
        <w:t>1.-</w:t>
      </w:r>
      <w:r w:rsidRPr="00AE0EBD">
        <w:rPr>
          <w:rFonts w:ascii="Palatino Linotype" w:hAnsi="Palatino Linotype"/>
          <w:i/>
          <w:color w:val="000000"/>
        </w:rPr>
        <w:t xml:space="preserve"> SI SIEMPRE? HA TENIDO EL NOMBRE DE BENITO JUAREZ EL TRAMO DE CALLE ANTES REFERIDA (AGREGAR DOCUMENTO CON QUE SE CONTESTE DICHA AFIRMACION O NEGATIVA).</w:t>
      </w:r>
    </w:p>
    <w:p w:rsidR="00120DAA" w:rsidRPr="00AE0EBD" w:rsidRDefault="00120DAA" w:rsidP="00120DAA">
      <w:pPr>
        <w:pStyle w:val="Sinespaciado"/>
        <w:spacing w:line="276" w:lineRule="auto"/>
        <w:ind w:left="567" w:right="567"/>
        <w:jc w:val="both"/>
        <w:rPr>
          <w:rFonts w:ascii="Palatino Linotype" w:hAnsi="Palatino Linotype"/>
          <w:i/>
          <w:color w:val="000000"/>
        </w:rPr>
      </w:pPr>
    </w:p>
    <w:p w:rsidR="00120DAA" w:rsidRPr="00AE0EBD" w:rsidRDefault="00120DAA" w:rsidP="00120DAA">
      <w:pPr>
        <w:pStyle w:val="Sinespaciado"/>
        <w:spacing w:line="276" w:lineRule="auto"/>
        <w:ind w:left="567" w:right="567"/>
        <w:jc w:val="both"/>
        <w:rPr>
          <w:rFonts w:ascii="Palatino Linotype" w:hAnsi="Palatino Linotype"/>
          <w:i/>
          <w:color w:val="000000"/>
        </w:rPr>
      </w:pPr>
      <w:r w:rsidRPr="00AE0EBD">
        <w:rPr>
          <w:rFonts w:ascii="Palatino Linotype" w:hAnsi="Palatino Linotype"/>
          <w:b/>
          <w:i/>
          <w:color w:val="000000"/>
        </w:rPr>
        <w:t>2.-</w:t>
      </w:r>
      <w:r w:rsidRPr="00AE0EBD">
        <w:rPr>
          <w:rFonts w:ascii="Palatino Linotype" w:hAnsi="Palatino Linotype"/>
          <w:i/>
          <w:color w:val="000000"/>
        </w:rPr>
        <w:t xml:space="preserve"> EN CASO DE LA CALLE BENITO JUAREZ DEL TRAMO ANTES REFERIDO HAYA TENIDO UN NOMBRE ANTERIOR O DIFERENTE A BENITO JUAREZ INDICAR CUAL HA SIDO. (AGREGAR DOCUMENTO CON QUE SE CONTESTE DICHA AFIRMACION O NEGATIVA) </w:t>
      </w:r>
    </w:p>
    <w:p w:rsidR="00120DAA" w:rsidRPr="00AE0EBD" w:rsidRDefault="00120DAA" w:rsidP="00120DAA">
      <w:pPr>
        <w:pStyle w:val="Sinespaciado"/>
        <w:spacing w:line="276" w:lineRule="auto"/>
        <w:ind w:left="567" w:right="567"/>
        <w:jc w:val="both"/>
        <w:rPr>
          <w:rFonts w:ascii="Palatino Linotype" w:hAnsi="Palatino Linotype"/>
          <w:i/>
          <w:color w:val="000000"/>
        </w:rPr>
      </w:pPr>
    </w:p>
    <w:p w:rsidR="00120DAA" w:rsidRPr="00AE0EBD" w:rsidRDefault="00120DAA" w:rsidP="00120DAA">
      <w:pPr>
        <w:pStyle w:val="Sinespaciado"/>
        <w:spacing w:line="276" w:lineRule="auto"/>
        <w:ind w:left="567" w:right="567"/>
        <w:jc w:val="both"/>
        <w:rPr>
          <w:rFonts w:ascii="Palatino Linotype" w:hAnsi="Palatino Linotype"/>
          <w:i/>
          <w:color w:val="000000"/>
        </w:rPr>
      </w:pPr>
      <w:r w:rsidRPr="00AE0EBD">
        <w:rPr>
          <w:rFonts w:ascii="Palatino Linotype" w:hAnsi="Palatino Linotype"/>
          <w:b/>
          <w:i/>
          <w:color w:val="000000"/>
        </w:rPr>
        <w:t>3.-</w:t>
      </w:r>
      <w:r w:rsidRPr="00AE0EBD">
        <w:rPr>
          <w:rFonts w:ascii="Palatino Linotype" w:hAnsi="Palatino Linotype"/>
          <w:i/>
          <w:color w:val="000000"/>
        </w:rPr>
        <w:t xml:space="preserve"> DE LA CALLE BENITO JUAREZ DEL TRAMO ANTES SEÑALADO AGREGAR EL PLANO MANZANERO.</w:t>
      </w:r>
    </w:p>
    <w:p w:rsidR="00120DAA" w:rsidRPr="00AE0EBD" w:rsidRDefault="00120DAA" w:rsidP="00120DAA">
      <w:pPr>
        <w:pStyle w:val="Sinespaciado"/>
        <w:spacing w:line="276" w:lineRule="auto"/>
        <w:ind w:left="567" w:right="567"/>
        <w:jc w:val="both"/>
        <w:rPr>
          <w:rFonts w:ascii="Palatino Linotype" w:hAnsi="Palatino Linotype"/>
          <w:i/>
          <w:color w:val="000000"/>
        </w:rPr>
      </w:pPr>
    </w:p>
    <w:p w:rsidR="00120DAA" w:rsidRPr="00AE0EBD" w:rsidRDefault="00120DAA" w:rsidP="00120DAA">
      <w:pPr>
        <w:pStyle w:val="Sinespaciado"/>
        <w:spacing w:line="276" w:lineRule="auto"/>
        <w:ind w:left="567" w:right="567"/>
        <w:jc w:val="both"/>
        <w:rPr>
          <w:rFonts w:ascii="Palatino Linotype" w:hAnsi="Palatino Linotype"/>
          <w:i/>
          <w:color w:val="000000"/>
        </w:rPr>
      </w:pPr>
      <w:r w:rsidRPr="00AE0EBD">
        <w:rPr>
          <w:rFonts w:ascii="Palatino Linotype" w:hAnsi="Palatino Linotype"/>
          <w:b/>
          <w:i/>
          <w:color w:val="000000"/>
        </w:rPr>
        <w:t>4.-</w:t>
      </w:r>
      <w:r w:rsidRPr="00AE0EBD">
        <w:rPr>
          <w:rFonts w:ascii="Palatino Linotype" w:hAnsi="Palatino Linotype"/>
          <w:i/>
          <w:color w:val="000000"/>
        </w:rPr>
        <w:t xml:space="preserve"> DE LA CALLE BENITO JUAREZ DEL TRAMO ANTES REFERIDO INDICAR NUMERO OFICIAL. (CON DOCUMENTO QUE ACREDITE DICHA NUMERACION DE CADA UNO DE LOS BIENES INMUEBLES). </w:t>
      </w:r>
    </w:p>
    <w:p w:rsidR="00120DAA" w:rsidRPr="00AE0EBD" w:rsidRDefault="00120DAA" w:rsidP="00120DAA">
      <w:pPr>
        <w:pStyle w:val="Sinespaciado"/>
        <w:spacing w:line="276" w:lineRule="auto"/>
        <w:ind w:left="567" w:right="567"/>
        <w:jc w:val="both"/>
        <w:rPr>
          <w:rFonts w:ascii="Palatino Linotype" w:hAnsi="Palatino Linotype"/>
          <w:i/>
          <w:color w:val="000000"/>
        </w:rPr>
      </w:pPr>
    </w:p>
    <w:p w:rsidR="00120DAA" w:rsidRPr="00AE0EBD" w:rsidRDefault="00120DAA" w:rsidP="00120DAA">
      <w:pPr>
        <w:pStyle w:val="Sinespaciado"/>
        <w:spacing w:line="276" w:lineRule="auto"/>
        <w:ind w:left="567" w:right="567"/>
        <w:jc w:val="both"/>
        <w:rPr>
          <w:rFonts w:ascii="Palatino Linotype" w:hAnsi="Palatino Linotype"/>
          <w:i/>
          <w:color w:val="000000"/>
        </w:rPr>
      </w:pPr>
      <w:r w:rsidRPr="00AE0EBD">
        <w:rPr>
          <w:rFonts w:ascii="Palatino Linotype" w:hAnsi="Palatino Linotype"/>
          <w:b/>
          <w:i/>
          <w:color w:val="000000"/>
        </w:rPr>
        <w:t>5.-</w:t>
      </w:r>
      <w:r w:rsidRPr="00AE0EBD">
        <w:rPr>
          <w:rFonts w:ascii="Palatino Linotype" w:hAnsi="Palatino Linotype"/>
          <w:i/>
          <w:color w:val="000000"/>
        </w:rPr>
        <w:t xml:space="preserve"> DE LA CALLE BENITO JUAREZ DEL TRAMO ANTES REFERIDO INDICAR NUMERO ACTUAL (CON DOCUMENTO QUE ACREDITE DICHA NUMERACION DE CADA UNO DE LOS BIENES INMUEBLES). </w:t>
      </w:r>
    </w:p>
    <w:p w:rsidR="00120DAA" w:rsidRPr="00AE0EBD" w:rsidRDefault="00120DAA" w:rsidP="00120DAA">
      <w:pPr>
        <w:pStyle w:val="Sinespaciado"/>
        <w:spacing w:line="276" w:lineRule="auto"/>
        <w:ind w:left="567" w:right="567"/>
        <w:jc w:val="both"/>
        <w:rPr>
          <w:rFonts w:ascii="Palatino Linotype" w:hAnsi="Palatino Linotype"/>
          <w:i/>
          <w:color w:val="000000"/>
        </w:rPr>
      </w:pPr>
    </w:p>
    <w:p w:rsidR="00120DAA" w:rsidRPr="00AE0EBD" w:rsidRDefault="00120DAA" w:rsidP="00120DAA">
      <w:pPr>
        <w:pStyle w:val="Sinespaciado"/>
        <w:spacing w:line="276" w:lineRule="auto"/>
        <w:ind w:left="567" w:right="567"/>
        <w:jc w:val="both"/>
        <w:rPr>
          <w:rFonts w:ascii="Palatino Linotype" w:hAnsi="Palatino Linotype"/>
          <w:i/>
          <w:color w:val="000000"/>
        </w:rPr>
      </w:pPr>
      <w:r w:rsidRPr="00AE0EBD">
        <w:rPr>
          <w:rFonts w:ascii="Palatino Linotype" w:hAnsi="Palatino Linotype"/>
          <w:b/>
          <w:i/>
          <w:color w:val="000000"/>
        </w:rPr>
        <w:t>6.-</w:t>
      </w:r>
      <w:r w:rsidRPr="00AE0EBD">
        <w:rPr>
          <w:rFonts w:ascii="Palatino Linotype" w:hAnsi="Palatino Linotype"/>
          <w:i/>
          <w:color w:val="000000"/>
        </w:rPr>
        <w:t xml:space="preserve"> DE LA CALLE BENITO JUAREZ DEL TRAMO ANTES REFERIDO INDICAR NUMERACION ANTERIOR A LA OFICIAL. (CON DOCUMENTO QUE ACREDITE DICHA NUMERACION DE CADA UNO DE LOS BIENES INMUEBLES). </w:t>
      </w:r>
    </w:p>
    <w:p w:rsidR="00120DAA" w:rsidRPr="00AE0EBD" w:rsidRDefault="00120DAA" w:rsidP="00120DAA">
      <w:pPr>
        <w:pStyle w:val="Sinespaciado"/>
        <w:spacing w:line="276" w:lineRule="auto"/>
        <w:ind w:left="567" w:right="567"/>
        <w:jc w:val="both"/>
        <w:rPr>
          <w:rFonts w:ascii="Palatino Linotype" w:hAnsi="Palatino Linotype"/>
          <w:i/>
          <w:color w:val="000000"/>
        </w:rPr>
      </w:pPr>
    </w:p>
    <w:p w:rsidR="00120DAA" w:rsidRPr="00AE0EBD" w:rsidRDefault="00120DAA" w:rsidP="00120DAA">
      <w:pPr>
        <w:pStyle w:val="Sinespaciado"/>
        <w:spacing w:line="276" w:lineRule="auto"/>
        <w:ind w:left="567" w:right="567"/>
        <w:jc w:val="both"/>
        <w:rPr>
          <w:rFonts w:ascii="Palatino Linotype" w:hAnsi="Palatino Linotype"/>
          <w:i/>
          <w:color w:val="000000"/>
        </w:rPr>
      </w:pPr>
      <w:r w:rsidRPr="00AE0EBD">
        <w:rPr>
          <w:rFonts w:ascii="Palatino Linotype" w:hAnsi="Palatino Linotype"/>
          <w:b/>
          <w:i/>
          <w:color w:val="000000"/>
        </w:rPr>
        <w:t>7.-</w:t>
      </w:r>
      <w:r w:rsidRPr="00AE0EBD">
        <w:rPr>
          <w:rFonts w:ascii="Palatino Linotype" w:hAnsi="Palatino Linotype"/>
          <w:i/>
          <w:color w:val="000000"/>
        </w:rPr>
        <w:t xml:space="preserve"> DE LA CALLE BENITO JUAREZ DEL TRAMO ANTES REFERIDO AGREGAR CERTIFICADOS DE INSCRIPCION DE TODAS Y CADA UNA DE LOS BIENES INMUEBLES. </w:t>
      </w:r>
    </w:p>
    <w:p w:rsidR="00120DAA" w:rsidRPr="00AE0EBD" w:rsidRDefault="00120DAA" w:rsidP="00120DAA">
      <w:pPr>
        <w:pStyle w:val="Sinespaciado"/>
        <w:spacing w:line="276" w:lineRule="auto"/>
        <w:ind w:left="567" w:right="567"/>
        <w:jc w:val="both"/>
        <w:rPr>
          <w:rFonts w:ascii="Palatino Linotype" w:hAnsi="Palatino Linotype" w:cs="Arial"/>
          <w:i/>
          <w:color w:val="000000"/>
        </w:rPr>
      </w:pPr>
      <w:r w:rsidRPr="00AE0EBD">
        <w:rPr>
          <w:rFonts w:ascii="Palatino Linotype" w:hAnsi="Palatino Linotype"/>
          <w:b/>
          <w:i/>
          <w:color w:val="000000"/>
        </w:rPr>
        <w:lastRenderedPageBreak/>
        <w:t>8.-</w:t>
      </w:r>
      <w:r w:rsidRPr="00AE0EBD">
        <w:rPr>
          <w:rFonts w:ascii="Palatino Linotype" w:hAnsi="Palatino Linotype"/>
          <w:i/>
          <w:color w:val="000000"/>
        </w:rPr>
        <w:t xml:space="preserve"> DE LA CALLE BENITO JUAREZ DEL TRAMO ANTES REFERIDO INDICAR QUE BIENES INMUEBLES TIENEN CERTIFICADOS DE INSCRIPCION (NUMERACION DE LOS BIENES INMUEBLES).</w:t>
      </w:r>
    </w:p>
    <w:p w:rsidR="00120DAA" w:rsidRPr="00AE0EBD" w:rsidRDefault="00120DAA" w:rsidP="00120DAA">
      <w:pPr>
        <w:pStyle w:val="Sinespaciado"/>
        <w:spacing w:line="360" w:lineRule="auto"/>
        <w:jc w:val="both"/>
        <w:rPr>
          <w:rFonts w:ascii="Palatino Linotype" w:hAnsi="Palatino Linotype"/>
          <w:color w:val="000000"/>
          <w:szCs w:val="14"/>
        </w:rPr>
      </w:pPr>
    </w:p>
    <w:p w:rsidR="00120DAA" w:rsidRPr="00AE0EBD" w:rsidRDefault="00120DAA" w:rsidP="00120DAA">
      <w:pPr>
        <w:pStyle w:val="Sinespaciado"/>
      </w:pPr>
    </w:p>
    <w:p w:rsidR="00120DAA" w:rsidRPr="00AE0EBD" w:rsidRDefault="00120DAA" w:rsidP="00120DAA">
      <w:pPr>
        <w:pStyle w:val="Sinespaciado"/>
        <w:spacing w:line="360" w:lineRule="auto"/>
        <w:jc w:val="both"/>
        <w:rPr>
          <w:rFonts w:ascii="Palatino Linotype" w:hAnsi="Palatino Linotype"/>
        </w:rPr>
      </w:pPr>
      <w:r w:rsidRPr="00AE0EBD">
        <w:rPr>
          <w:rFonts w:ascii="Palatino Linotype" w:hAnsi="Palatino Linotype"/>
        </w:rPr>
        <w:t xml:space="preserve">A lo que el </w:t>
      </w:r>
      <w:r w:rsidRPr="00AE0EBD">
        <w:rPr>
          <w:rFonts w:ascii="Palatino Linotype" w:hAnsi="Palatino Linotype"/>
          <w:b/>
        </w:rPr>
        <w:t>Sujeto Obligado</w:t>
      </w:r>
      <w:r w:rsidRPr="00AE0EBD">
        <w:rPr>
          <w:rFonts w:ascii="Palatino Linotype" w:hAnsi="Palatino Linotype"/>
        </w:rPr>
        <w:t>, manifestó lo siguiente:</w:t>
      </w:r>
    </w:p>
    <w:p w:rsidR="00120DAA" w:rsidRPr="00AE0EBD" w:rsidRDefault="00120DAA" w:rsidP="00120DAA">
      <w:pPr>
        <w:pStyle w:val="Sinespaciado"/>
      </w:pPr>
    </w:p>
    <w:p w:rsidR="00120DAA" w:rsidRPr="00AE0EBD" w:rsidRDefault="00120DAA" w:rsidP="00120DAA">
      <w:pPr>
        <w:pStyle w:val="Sinespaciado"/>
        <w:ind w:left="567" w:right="567"/>
        <w:jc w:val="both"/>
        <w:rPr>
          <w:rFonts w:ascii="Palatino Linotype" w:hAnsi="Palatino Linotype"/>
          <w:i/>
          <w:sz w:val="22"/>
        </w:rPr>
      </w:pPr>
      <w:r w:rsidRPr="00AE0EBD">
        <w:rPr>
          <w:rFonts w:ascii="Palatino Linotype" w:hAnsi="Palatino Linotype"/>
          <w:i/>
          <w:sz w:val="22"/>
        </w:rPr>
        <w:t xml:space="preserve">Con fundamento en los artículos 6 de la Constitución Política de los Estados Unidos Mexicanos; 5 de la Constitución Política del Estado Libre y Soberano de México; 12, 23 fracción IV, 25, 59 y demás relativos aplicables de la Ley de Transparencia y Acceso a la Información Pública del Estado de México y Municipios; 1.41 del Libro Primero, Titulo Noveno del Código Administrativo del Estado de México; así como el numeral TREINTA Y OCHO inciso d) de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así como el Titulo Cuarto, Capítulo II del Bando Municipal 2019; en atención a su solicitud de información número 01460/HUIXQUIL/IP/2019, que a letra dice: </w:t>
      </w:r>
    </w:p>
    <w:p w:rsidR="00120DAA" w:rsidRPr="00AE0EBD" w:rsidRDefault="00120DAA" w:rsidP="00120DAA">
      <w:pPr>
        <w:pStyle w:val="Sinespaciado"/>
        <w:ind w:left="567" w:right="567"/>
        <w:jc w:val="both"/>
        <w:rPr>
          <w:rFonts w:ascii="Palatino Linotype" w:hAnsi="Palatino Linotype"/>
          <w:i/>
          <w:sz w:val="22"/>
        </w:rPr>
      </w:pPr>
    </w:p>
    <w:p w:rsidR="00120DAA" w:rsidRPr="00AE0EBD" w:rsidRDefault="00120DAA" w:rsidP="00120DAA">
      <w:pPr>
        <w:pStyle w:val="Sinespaciado"/>
        <w:ind w:left="567" w:right="567"/>
        <w:jc w:val="both"/>
        <w:rPr>
          <w:rFonts w:ascii="Palatino Linotype" w:hAnsi="Palatino Linotype"/>
          <w:i/>
          <w:sz w:val="22"/>
        </w:rPr>
      </w:pPr>
      <w:r w:rsidRPr="00AE0EBD">
        <w:rPr>
          <w:rFonts w:ascii="Palatino Linotype" w:hAnsi="Palatino Linotype"/>
          <w:i/>
          <w:sz w:val="22"/>
        </w:rPr>
        <w:t xml:space="preserve">“SOLICITO DEL AREA ENCARGADA DEL MUNICIPIO DE HUIXQUILUCAN ESTADO DE MEXICO LO SIGUIENTE: De la calle BENITO JUAREZ, del tramo comprendido única y exclusivamente entre Jesus del Monte y Francisco I Madero (esto es solo una cuadra de la Calle Benito Juarez del tramo entre Jesus del Monte y Francisco I Madero), Colonia Jesus del Monte, Codigo Postal 52764 Municipio de Huixquilucan, Estado de Mexico quiero saber lo siguiente: 1.- SI SIEMPRE? HA TENIDO EL NOMBRE DE BENITO JUAREZ EL TRAMO DE CALLE ANTES REFERIDA (AGREGAR DOCUMENTO CON QUE SE CONTESTE DICHA AFIRMACION O NEGATIVA) 2.- EN CASO DE LA CALLE BENITO JUAREZ DEL TRAMO ANTES REFERIDO HAYA TENIDO UN NOMBRE ANTERIOR O DIFERENTE A BENITO JUAREZ INDICAR CUAL HA SIDO. (AGREGAR DOCUMENTO CON QUE SE CONTESTE DICHA AFIRMACION O NEGATIVA) 3.- DE LA CALLE BENITO JUAREZ DEL TRAMO ANTES SEÑALADO AGREGAR EL PLANO MANZANERO . 4.- DE LA CALLE BENITO JUAREZ DEL TRAMO ANTES REFERIDO INDICAR NUMERO OFICIAL. (CON DOCUMENTO QUE ACREDITE DICHA NUMERACION DE CADA UNO DE LOS BIENES INMUEBLES) 5.- DE LA CALLE BENITO JUAREZ DEL TRAMO ANTES REFERIDO INDICAR NUMERO ACTUAL (CON DOCUMENTO QUE ACREDITE DICHA NUMERACION DE CADA UNO DE LOS </w:t>
      </w:r>
      <w:r w:rsidRPr="00AE0EBD">
        <w:rPr>
          <w:rFonts w:ascii="Palatino Linotype" w:hAnsi="Palatino Linotype"/>
          <w:i/>
          <w:sz w:val="22"/>
        </w:rPr>
        <w:lastRenderedPageBreak/>
        <w:t xml:space="preserve">BIENES INMUEBLES) 6.- DE LA CALLE BENITO JUAREZ DEL TRAMO ANTES REFERIDO INDICAR NUMERACION ANTERIOR A LA OFICIAL. (CON DOCUMENTO QUE ACREDITE DICHA NUMERACION DE CADA UNO DE LOS BIENES INMUEBLES) 7.- DE LA CALLE BENITO JUAREZ DEL TRAMO ANTES REFERIDO AGREGAR CERTIFICADOS DE INSCRIPCION DE TODAS Y CADA UNA DE LOS BIENES INMUEBLES 8.- DE LA CALLE BENITO JUAREZ DEL TRAMO ANTES REFERIDO INDICAR QUE BIENES INMUEBLES TIENEN CERTIFICADOS DE INSCRIPCION (NUMERACION DE LOS BIENES INMUEBLES) gracias” (SIC). </w:t>
      </w:r>
    </w:p>
    <w:p w:rsidR="00120DAA" w:rsidRPr="00AE0EBD" w:rsidRDefault="00120DAA" w:rsidP="00120DAA">
      <w:pPr>
        <w:pStyle w:val="Sinespaciado"/>
        <w:ind w:left="567" w:right="567"/>
        <w:jc w:val="both"/>
        <w:rPr>
          <w:rFonts w:ascii="Palatino Linotype" w:hAnsi="Palatino Linotype"/>
          <w:i/>
          <w:sz w:val="22"/>
        </w:rPr>
      </w:pPr>
    </w:p>
    <w:p w:rsidR="00120DAA" w:rsidRPr="00AE0EBD" w:rsidRDefault="00120DAA" w:rsidP="00120DAA">
      <w:pPr>
        <w:pStyle w:val="Sinespaciado"/>
        <w:ind w:left="567" w:right="567"/>
        <w:jc w:val="both"/>
        <w:rPr>
          <w:rFonts w:ascii="Palatino Linotype" w:hAnsi="Palatino Linotype"/>
          <w:i/>
          <w:sz w:val="22"/>
        </w:rPr>
      </w:pPr>
      <w:r w:rsidRPr="00AE0EBD">
        <w:rPr>
          <w:rFonts w:ascii="Palatino Linotype" w:hAnsi="Palatino Linotype"/>
          <w:i/>
          <w:sz w:val="22"/>
        </w:rPr>
        <w:t xml:space="preserve">Sobre el particular, esta Unidad de Transparencia en ejercicio de las atribuciones que la Ley le confiere, turnó su solicitud de información a las siguientes áreas administrativas: </w:t>
      </w:r>
    </w:p>
    <w:p w:rsidR="00120DAA" w:rsidRPr="00AE0EBD" w:rsidRDefault="00120DAA" w:rsidP="00120DAA">
      <w:pPr>
        <w:pStyle w:val="Sinespaciado"/>
        <w:ind w:left="567" w:right="567"/>
        <w:jc w:val="both"/>
        <w:rPr>
          <w:rFonts w:ascii="Palatino Linotype" w:hAnsi="Palatino Linotype"/>
          <w:i/>
          <w:sz w:val="22"/>
        </w:rPr>
      </w:pPr>
    </w:p>
    <w:p w:rsidR="00120DAA" w:rsidRPr="00AE0EBD" w:rsidRDefault="00120DAA" w:rsidP="00120DAA">
      <w:pPr>
        <w:pStyle w:val="Sinespaciado"/>
        <w:ind w:left="567" w:right="567"/>
        <w:jc w:val="both"/>
        <w:rPr>
          <w:rFonts w:ascii="Palatino Linotype" w:hAnsi="Palatino Linotype"/>
          <w:i/>
          <w:sz w:val="22"/>
        </w:rPr>
      </w:pPr>
      <w:r w:rsidRPr="00AE0EBD">
        <w:rPr>
          <w:rFonts w:ascii="Palatino Linotype" w:hAnsi="Palatino Linotype"/>
          <w:i/>
          <w:sz w:val="22"/>
        </w:rPr>
        <w:t xml:space="preserve">Dirección General de Desarrollo Urbano Sustentable que conforme al Reglamento Orgánico de la Administración Pública Municipal de Huixquilucan, Estado de México 2019, es competente para dar contestación a su requerimiento, por lo que manifestó lo siguiente: </w:t>
      </w:r>
    </w:p>
    <w:p w:rsidR="00120DAA" w:rsidRPr="00AE0EBD" w:rsidRDefault="00120DAA" w:rsidP="00120DAA">
      <w:pPr>
        <w:pStyle w:val="Sinespaciado"/>
        <w:ind w:left="567" w:right="567"/>
        <w:jc w:val="both"/>
        <w:rPr>
          <w:rFonts w:ascii="Palatino Linotype" w:hAnsi="Palatino Linotype"/>
          <w:i/>
          <w:sz w:val="22"/>
        </w:rPr>
      </w:pPr>
    </w:p>
    <w:p w:rsidR="00120DAA" w:rsidRPr="00AE0EBD" w:rsidRDefault="00120DAA" w:rsidP="00120DAA">
      <w:pPr>
        <w:pStyle w:val="Sinespaciado"/>
        <w:ind w:left="567" w:right="567"/>
        <w:jc w:val="both"/>
        <w:rPr>
          <w:rFonts w:ascii="Palatino Linotype" w:hAnsi="Palatino Linotype"/>
          <w:i/>
          <w:sz w:val="22"/>
        </w:rPr>
      </w:pPr>
      <w:r w:rsidRPr="00AE0EBD">
        <w:rPr>
          <w:rFonts w:ascii="Palatino Linotype" w:hAnsi="Palatino Linotype"/>
          <w:b/>
          <w:i/>
          <w:sz w:val="22"/>
          <w:u w:val="single"/>
        </w:rPr>
        <w:t>Dirección General de Desarrollo Urbano Sustentable “Por medio del presente y atendiendo al contenido de la solicitud, me permito hacer de su conocimiento que con fundamento en el artículo 137 del Reglamento Orgánico de la Administración Pública Municipal del Municipio de Huixquilucan, estado de México la solicitud que nos ocupa no es faculta de esta dirección.”</w:t>
      </w:r>
      <w:r w:rsidRPr="00AE0EBD">
        <w:rPr>
          <w:rFonts w:ascii="Palatino Linotype" w:hAnsi="Palatino Linotype"/>
          <w:i/>
          <w:sz w:val="22"/>
        </w:rPr>
        <w:t xml:space="preserve"> (SIC), para pronta referencia, por último, no omito mencionar que el derecho de acceso a la información tiene como objetivo, el de incentivar la participación ciudadana, respecto del quehacer gubernamental; por lo que la información que es proveída por este medio sólo tiene como finalidad la de ser de carácter informativo. </w:t>
      </w:r>
    </w:p>
    <w:p w:rsidR="00120DAA" w:rsidRPr="00AE0EBD" w:rsidRDefault="00120DAA" w:rsidP="00120DAA">
      <w:pPr>
        <w:pStyle w:val="Sinespaciado"/>
        <w:ind w:left="567" w:right="567"/>
        <w:jc w:val="both"/>
        <w:rPr>
          <w:rFonts w:ascii="Palatino Linotype" w:hAnsi="Palatino Linotype"/>
          <w:i/>
          <w:sz w:val="22"/>
        </w:rPr>
      </w:pPr>
    </w:p>
    <w:p w:rsidR="00120DAA" w:rsidRPr="00AE0EBD" w:rsidRDefault="00120DAA" w:rsidP="00120DAA">
      <w:pPr>
        <w:pStyle w:val="Sinespaciado"/>
        <w:ind w:left="567" w:right="567"/>
        <w:jc w:val="both"/>
        <w:rPr>
          <w:rFonts w:ascii="Palatino Linotype" w:hAnsi="Palatino Linotype"/>
          <w:b/>
          <w:i/>
          <w:sz w:val="22"/>
          <w:u w:val="single"/>
        </w:rPr>
      </w:pPr>
      <w:r w:rsidRPr="00AE0EBD">
        <w:rPr>
          <w:rFonts w:ascii="Palatino Linotype" w:hAnsi="Palatino Linotype"/>
          <w:b/>
          <w:i/>
          <w:sz w:val="22"/>
          <w:u w:val="single"/>
        </w:rPr>
        <w:t xml:space="preserve">Asimismo, la información que es puesta a disposición de los particulares, es aquella que encuadra en lo establecido por los numerales 12 párrafo segundo y 59 de la Ley de Transparencia y Acceso a la Información Pública del Estado de México y Municipios, que prevé la entrega de la información que los Sujetos Obligados por esta Ley, generan, contienen y en su caso administran en ejercicio de sus atribuciones, tal y como obran en sus archivos. </w:t>
      </w:r>
    </w:p>
    <w:p w:rsidR="00120DAA" w:rsidRPr="00AE0EBD" w:rsidRDefault="00120DAA" w:rsidP="00120DAA">
      <w:pPr>
        <w:pStyle w:val="Sinespaciado"/>
        <w:ind w:left="567" w:right="567"/>
        <w:jc w:val="both"/>
        <w:rPr>
          <w:rFonts w:ascii="Palatino Linotype" w:hAnsi="Palatino Linotype"/>
          <w:b/>
          <w:i/>
          <w:sz w:val="22"/>
          <w:u w:val="single"/>
        </w:rPr>
      </w:pPr>
    </w:p>
    <w:p w:rsidR="00120DAA" w:rsidRPr="00AE0EBD" w:rsidRDefault="00120DAA" w:rsidP="00120DAA">
      <w:pPr>
        <w:pStyle w:val="Sinespaciado"/>
        <w:ind w:left="567" w:right="567"/>
        <w:jc w:val="both"/>
        <w:rPr>
          <w:rFonts w:ascii="Palatino Linotype" w:hAnsi="Palatino Linotype"/>
          <w:b/>
          <w:i/>
          <w:sz w:val="22"/>
          <w:u w:val="single"/>
        </w:rPr>
      </w:pPr>
      <w:r w:rsidRPr="00AE0EBD">
        <w:rPr>
          <w:rFonts w:ascii="Palatino Linotype" w:hAnsi="Palatino Linotype"/>
          <w:b/>
          <w:i/>
          <w:sz w:val="22"/>
          <w:u w:val="single"/>
        </w:rPr>
        <w:t xml:space="preserve">De lo expuesto y fundado a Usted, en términos del artículo 163 y demás aplicables de la Ley de Transparencia y Acceso a la Información Pública del Estado de México y Municipios, a Usted pido se sirva tener a esta Unidad de Transparencia por notificada en tiempo y forma respecto de la contestación a su solicitud de </w:t>
      </w:r>
      <w:r w:rsidRPr="00AE0EBD">
        <w:rPr>
          <w:rFonts w:ascii="Palatino Linotype" w:hAnsi="Palatino Linotype"/>
          <w:b/>
          <w:i/>
          <w:sz w:val="22"/>
          <w:u w:val="single"/>
        </w:rPr>
        <w:lastRenderedPageBreak/>
        <w:t>acceso a la información para los efectos legales correspondientes, mediante la modalidad en que fue requerida.</w:t>
      </w:r>
    </w:p>
    <w:p w:rsidR="00120DAA" w:rsidRPr="00AE0EBD" w:rsidRDefault="00120DAA" w:rsidP="00120DAA">
      <w:pPr>
        <w:pStyle w:val="Sinespaciado"/>
        <w:ind w:left="567" w:right="567"/>
        <w:jc w:val="both"/>
        <w:rPr>
          <w:rFonts w:ascii="Palatino Linotype" w:hAnsi="Palatino Linotype"/>
          <w:i/>
          <w:sz w:val="22"/>
        </w:rPr>
      </w:pPr>
    </w:p>
    <w:p w:rsidR="00120DAA" w:rsidRPr="00AE0EBD" w:rsidRDefault="00120DAA" w:rsidP="00120DAA">
      <w:pPr>
        <w:pStyle w:val="Sinespaciado"/>
        <w:ind w:left="567" w:right="567"/>
        <w:jc w:val="both"/>
        <w:rPr>
          <w:rFonts w:ascii="Palatino Linotype" w:hAnsi="Palatino Linotype"/>
          <w:i/>
          <w:sz w:val="22"/>
        </w:rPr>
      </w:pPr>
      <w:r w:rsidRPr="00AE0EBD">
        <w:rPr>
          <w:rFonts w:ascii="Palatino Linotype" w:hAnsi="Palatino Linotype"/>
          <w:i/>
          <w:sz w:val="22"/>
        </w:rPr>
        <w:t>ATENTAMENTE</w:t>
      </w:r>
    </w:p>
    <w:p w:rsidR="00120DAA" w:rsidRPr="00AE0EBD" w:rsidRDefault="00120DAA" w:rsidP="00120DAA">
      <w:pPr>
        <w:pStyle w:val="Sinespaciado"/>
        <w:ind w:left="567" w:right="567"/>
        <w:jc w:val="both"/>
        <w:rPr>
          <w:rFonts w:ascii="Palatino Linotype" w:hAnsi="Palatino Linotype"/>
          <w:i/>
          <w:sz w:val="22"/>
        </w:rPr>
      </w:pPr>
      <w:r w:rsidRPr="00AE0EBD">
        <w:rPr>
          <w:rFonts w:ascii="Palatino Linotype" w:hAnsi="Palatino Linotype"/>
          <w:i/>
          <w:sz w:val="22"/>
        </w:rPr>
        <w:t>C. ULISES MAURICIO SALAZAR FRANCO (Sic)</w:t>
      </w:r>
    </w:p>
    <w:p w:rsidR="00120DAA" w:rsidRPr="00AE0EBD" w:rsidRDefault="00120DAA" w:rsidP="00120DAA">
      <w:pPr>
        <w:pStyle w:val="Sinespaciado"/>
        <w:spacing w:line="360" w:lineRule="auto"/>
        <w:jc w:val="center"/>
        <w:rPr>
          <w:rFonts w:ascii="Palatino Linotype" w:hAnsi="Palatino Linotype"/>
        </w:rPr>
      </w:pPr>
    </w:p>
    <w:p w:rsidR="00120DAA" w:rsidRPr="00AE0EBD" w:rsidRDefault="00120DAA" w:rsidP="00120DAA">
      <w:pPr>
        <w:pStyle w:val="Sinespaciado"/>
      </w:pPr>
    </w:p>
    <w:p w:rsidR="00120DAA" w:rsidRPr="00AE0EBD" w:rsidRDefault="00120DAA" w:rsidP="00120DAA">
      <w:pPr>
        <w:pStyle w:val="Sinespaciado"/>
        <w:spacing w:line="360" w:lineRule="auto"/>
        <w:jc w:val="both"/>
        <w:rPr>
          <w:rFonts w:ascii="Palatino Linotype" w:hAnsi="Palatino Linotype"/>
        </w:rPr>
      </w:pPr>
      <w:r w:rsidRPr="00AE0EBD">
        <w:rPr>
          <w:rFonts w:ascii="Palatino Linotype" w:hAnsi="Palatino Linotype"/>
        </w:rPr>
        <w:t xml:space="preserve">Ante dicha respuesta, el </w:t>
      </w:r>
      <w:r w:rsidRPr="00AE0EBD">
        <w:rPr>
          <w:rFonts w:ascii="Palatino Linotype" w:hAnsi="Palatino Linotype"/>
          <w:b/>
        </w:rPr>
        <w:t>Recurrente</w:t>
      </w:r>
      <w:r w:rsidRPr="00AE0EBD">
        <w:rPr>
          <w:rFonts w:ascii="Palatino Linotype" w:hAnsi="Palatino Linotype"/>
        </w:rPr>
        <w:t xml:space="preserve"> interpuso el presente recurso de revisión impugnando la respuesta del </w:t>
      </w:r>
      <w:r w:rsidRPr="00AE0EBD">
        <w:rPr>
          <w:rFonts w:ascii="Palatino Linotype" w:hAnsi="Palatino Linotype"/>
          <w:b/>
        </w:rPr>
        <w:t>Sujeto Obligado</w:t>
      </w:r>
      <w:r w:rsidRPr="00AE0EBD">
        <w:rPr>
          <w:rFonts w:ascii="Palatino Linotype" w:hAnsi="Palatino Linotype"/>
        </w:rPr>
        <w:t xml:space="preserve"> y dando como motivos de inconformidad lo siguiente: </w:t>
      </w:r>
    </w:p>
    <w:p w:rsidR="00120DAA" w:rsidRPr="00AE0EBD" w:rsidRDefault="00120DAA" w:rsidP="00120DAA">
      <w:pPr>
        <w:pStyle w:val="Sinespaciado"/>
      </w:pPr>
    </w:p>
    <w:p w:rsidR="00120DAA" w:rsidRPr="00AE0EBD" w:rsidRDefault="00120DAA" w:rsidP="00120DAA">
      <w:pPr>
        <w:pStyle w:val="Sinespaciado"/>
        <w:ind w:left="567" w:right="567"/>
        <w:jc w:val="both"/>
        <w:rPr>
          <w:rFonts w:ascii="Palatino Linotype" w:hAnsi="Palatino Linotype"/>
          <w:i/>
          <w:sz w:val="22"/>
          <w:szCs w:val="22"/>
        </w:rPr>
      </w:pPr>
      <w:r w:rsidRPr="00AE0EBD">
        <w:rPr>
          <w:rFonts w:ascii="Palatino Linotype" w:hAnsi="Palatino Linotype"/>
          <w:i/>
          <w:sz w:val="22"/>
          <w:szCs w:val="22"/>
        </w:rPr>
        <w:t>“por medio de la presente interpongo recurso de impugnación toda vez que me niegan mi derecho a la información, solicito que el área encargada de una contestación clara y concisa de lo que solicite, así mismo solicite que la respuesta sea respaldada con documento como se aprecia en los puntos de la solicitud.” (Sic)</w:t>
      </w:r>
    </w:p>
    <w:p w:rsidR="00120DAA" w:rsidRPr="00AE0EBD" w:rsidRDefault="00120DAA" w:rsidP="00120DAA">
      <w:pPr>
        <w:pStyle w:val="Sinespaciado"/>
        <w:ind w:left="567" w:right="567"/>
        <w:jc w:val="both"/>
        <w:rPr>
          <w:rFonts w:ascii="Palatino Linotype" w:hAnsi="Palatino Linotype"/>
        </w:rPr>
      </w:pPr>
    </w:p>
    <w:p w:rsidR="00120DAA" w:rsidRPr="00AE0EBD" w:rsidRDefault="00120DAA" w:rsidP="00120DAA">
      <w:pPr>
        <w:pStyle w:val="Sinespaciado"/>
      </w:pPr>
    </w:p>
    <w:p w:rsidR="00120DAA" w:rsidRPr="00AE0EBD" w:rsidRDefault="00120DAA" w:rsidP="00120DAA">
      <w:pPr>
        <w:pStyle w:val="Prrafodelista"/>
        <w:spacing w:line="360" w:lineRule="auto"/>
        <w:ind w:left="0"/>
        <w:contextualSpacing/>
        <w:jc w:val="both"/>
        <w:rPr>
          <w:lang w:val="es-MX" w:eastAsia="en-US"/>
        </w:rPr>
      </w:pPr>
      <w:r w:rsidRPr="00AE0EBD">
        <w:rPr>
          <w:rFonts w:ascii="Palatino Linotype" w:hAnsi="Palatino Linotype"/>
          <w:color w:val="000000"/>
        </w:rPr>
        <w:t xml:space="preserve">Por lo anterior, se observa que la solicitud de información fue formulada a través de planteamientos en donde </w:t>
      </w:r>
      <w:r w:rsidRPr="00AE0EBD">
        <w:rPr>
          <w:rFonts w:ascii="Palatino Linotype" w:hAnsi="Palatino Linotype" w:cs="Arial"/>
          <w:bCs/>
          <w:iCs/>
          <w:color w:val="222222"/>
        </w:rPr>
        <w:t>no se identifica un documento en específico</w:t>
      </w:r>
      <w:r w:rsidRPr="00AE0EBD">
        <w:rPr>
          <w:rFonts w:ascii="Palatino Linotype" w:hAnsi="Palatino Linotype"/>
          <w:color w:val="000000"/>
        </w:rPr>
        <w:t xml:space="preserve">, en segundo lugar se aprecia que en la misma se vierten </w:t>
      </w:r>
      <w:r w:rsidRPr="00AE0EBD">
        <w:rPr>
          <w:rFonts w:ascii="Palatino Linotype" w:hAnsi="Palatino Linotype"/>
          <w:b/>
          <w:i/>
          <w:color w:val="000000"/>
        </w:rPr>
        <w:t>manifestaciones subjetivas que no pueden ser atendidas mediante el Derecho de Acceso a la Información</w:t>
      </w:r>
      <w:r w:rsidRPr="00AE0EBD">
        <w:rPr>
          <w:rFonts w:ascii="Palatino Linotype" w:hAnsi="Palatino Linotype"/>
          <w:color w:val="000000"/>
        </w:rPr>
        <w:t>.</w:t>
      </w:r>
    </w:p>
    <w:p w:rsidR="00120DAA" w:rsidRPr="00AE0EBD" w:rsidRDefault="00120DAA" w:rsidP="00120DAA">
      <w:pPr>
        <w:pStyle w:val="Prrafodelista"/>
        <w:autoSpaceDE w:val="0"/>
        <w:autoSpaceDN w:val="0"/>
        <w:adjustRightInd w:val="0"/>
        <w:spacing w:line="360" w:lineRule="auto"/>
        <w:ind w:left="0"/>
        <w:jc w:val="both"/>
        <w:rPr>
          <w:rFonts w:ascii="Palatino Linotype" w:hAnsi="Palatino Linotype" w:cs="Arial"/>
        </w:rPr>
      </w:pPr>
    </w:p>
    <w:p w:rsidR="00120DAA" w:rsidRPr="00AE0EBD" w:rsidRDefault="00120DAA" w:rsidP="00120DAA">
      <w:pPr>
        <w:pStyle w:val="Prrafodelista"/>
        <w:autoSpaceDE w:val="0"/>
        <w:autoSpaceDN w:val="0"/>
        <w:adjustRightInd w:val="0"/>
        <w:spacing w:line="360" w:lineRule="auto"/>
        <w:ind w:left="0"/>
        <w:contextualSpacing/>
        <w:jc w:val="both"/>
        <w:rPr>
          <w:rFonts w:ascii="Palatino Linotype" w:hAnsi="Palatino Linotype" w:cs="Arial"/>
          <w:lang w:val="es-MX"/>
        </w:rPr>
      </w:pPr>
      <w:r w:rsidRPr="00AE0EBD">
        <w:rPr>
          <w:rFonts w:ascii="Palatino Linotype" w:hAnsi="Palatino Linotype"/>
        </w:rPr>
        <w:t xml:space="preserve">Bajo éste tenor cabe aclarar que cuando los planteamientos que formulen los particulares se pueda colmar con la entrega de </w:t>
      </w:r>
      <w:r w:rsidRPr="00AE0EBD">
        <w:rPr>
          <w:rFonts w:ascii="Palatino Linotype" w:hAnsi="Palatino Linotype" w:cs="Arial"/>
        </w:rPr>
        <w:t xml:space="preserve">documentos que los Sujetos Obligados generen, posean o administren en ejercicio de sus atribuciones, se está en presencia del derecho fundamental de acceso a la información, previsto en el artículo 6, Apartado </w:t>
      </w:r>
      <w:r w:rsidRPr="00AE0EBD">
        <w:rPr>
          <w:rFonts w:ascii="Palatino Linotype" w:hAnsi="Palatino Linotype"/>
        </w:rPr>
        <w:t>A, fracción IV, de la Constitución Política de los Estados Unidos Mexicanos, el cual deberá garantizarse ordenando la entrega de tales documentales, siempre y cuando éstas sean de acceso público.</w:t>
      </w:r>
    </w:p>
    <w:p w:rsidR="00120DAA" w:rsidRPr="00AE0EBD" w:rsidRDefault="00120DAA" w:rsidP="00120DAA">
      <w:pPr>
        <w:pStyle w:val="Prrafodelista"/>
        <w:autoSpaceDE w:val="0"/>
        <w:autoSpaceDN w:val="0"/>
        <w:adjustRightInd w:val="0"/>
        <w:spacing w:line="360" w:lineRule="auto"/>
        <w:ind w:left="0"/>
        <w:jc w:val="both"/>
        <w:rPr>
          <w:rFonts w:ascii="Palatino Linotype" w:hAnsi="Palatino Linotype" w:cs="Arial"/>
        </w:rPr>
      </w:pPr>
    </w:p>
    <w:p w:rsidR="00120DAA" w:rsidRPr="00AE0EBD" w:rsidRDefault="00120DAA" w:rsidP="00120DAA">
      <w:pPr>
        <w:pStyle w:val="Prrafodelista"/>
        <w:autoSpaceDE w:val="0"/>
        <w:autoSpaceDN w:val="0"/>
        <w:adjustRightInd w:val="0"/>
        <w:spacing w:line="360" w:lineRule="auto"/>
        <w:ind w:left="0"/>
        <w:contextualSpacing/>
        <w:jc w:val="both"/>
        <w:rPr>
          <w:rFonts w:ascii="Palatino Linotype" w:hAnsi="Palatino Linotype" w:cs="Arial"/>
          <w:color w:val="000000" w:themeColor="text1"/>
        </w:rPr>
      </w:pPr>
      <w:r w:rsidRPr="00AE0EBD">
        <w:rPr>
          <w:rFonts w:ascii="Palatino Linotype" w:hAnsi="Palatino Linotype" w:cs="Arial"/>
          <w:color w:val="000000" w:themeColor="text1"/>
        </w:rPr>
        <w:lastRenderedPageBreak/>
        <w:t>Sirve de sustento a lo anterior, el</w:t>
      </w:r>
      <w:r w:rsidRPr="00AE0EBD">
        <w:rPr>
          <w:rStyle w:val="apple-converted-space"/>
          <w:rFonts w:ascii="Palatino Linotype" w:hAnsi="Palatino Linotype" w:cs="Arial"/>
          <w:color w:val="000000" w:themeColor="text1"/>
        </w:rPr>
        <w:t xml:space="preserve"> </w:t>
      </w:r>
      <w:r w:rsidRPr="00AE0EBD">
        <w:rPr>
          <w:rStyle w:val="il"/>
          <w:rFonts w:ascii="Palatino Linotype" w:hAnsi="Palatino Linotype" w:cs="Arial"/>
          <w:color w:val="000000" w:themeColor="text1"/>
        </w:rPr>
        <w:t>Criterio</w:t>
      </w:r>
      <w:r w:rsidRPr="00AE0EBD">
        <w:rPr>
          <w:rStyle w:val="apple-converted-space"/>
          <w:rFonts w:ascii="Palatino Linotype" w:hAnsi="Palatino Linotype" w:cs="Arial"/>
          <w:color w:val="000000" w:themeColor="text1"/>
        </w:rPr>
        <w:t xml:space="preserve"> </w:t>
      </w:r>
      <w:r w:rsidRPr="00AE0EBD">
        <w:rPr>
          <w:rStyle w:val="il"/>
          <w:rFonts w:ascii="Palatino Linotype" w:hAnsi="Palatino Linotype" w:cs="Arial"/>
          <w:color w:val="000000" w:themeColor="text1"/>
        </w:rPr>
        <w:t>028</w:t>
      </w:r>
      <w:r w:rsidRPr="00AE0EBD">
        <w:rPr>
          <w:rFonts w:ascii="Palatino Linotype" w:hAnsi="Palatino Linotype" w:cs="Arial"/>
          <w:color w:val="000000" w:themeColor="text1"/>
        </w:rPr>
        <w:t>-</w:t>
      </w:r>
      <w:r w:rsidRPr="00AE0EBD">
        <w:rPr>
          <w:rStyle w:val="il"/>
          <w:rFonts w:ascii="Palatino Linotype" w:hAnsi="Palatino Linotype" w:cs="Arial"/>
          <w:color w:val="000000" w:themeColor="text1"/>
        </w:rPr>
        <w:t>10</w:t>
      </w:r>
      <w:r w:rsidRPr="00AE0EBD">
        <w:rPr>
          <w:rStyle w:val="apple-converted-space"/>
          <w:rFonts w:ascii="Palatino Linotype" w:hAnsi="Palatino Linotype" w:cs="Arial"/>
          <w:color w:val="000000" w:themeColor="text1"/>
        </w:rPr>
        <w:t xml:space="preserve"> </w:t>
      </w:r>
      <w:r w:rsidRPr="00AE0EBD">
        <w:rPr>
          <w:rFonts w:ascii="Palatino Linotype" w:hAnsi="Palatino Linotype" w:cs="Arial"/>
          <w:color w:val="000000" w:themeColor="text1"/>
        </w:rPr>
        <w:t>emitido por el Pleno del entonces llamado</w:t>
      </w:r>
      <w:r w:rsidRPr="00AE0EBD">
        <w:rPr>
          <w:rStyle w:val="apple-converted-space"/>
          <w:rFonts w:ascii="Palatino Linotype" w:hAnsi="Palatino Linotype" w:cs="Arial"/>
          <w:color w:val="000000" w:themeColor="text1"/>
        </w:rPr>
        <w:t xml:space="preserve"> </w:t>
      </w:r>
      <w:r w:rsidRPr="00AE0EBD">
        <w:rPr>
          <w:rFonts w:ascii="Palatino Linotype" w:hAnsi="Palatino Linotype" w:cs="Arial"/>
          <w:color w:val="000000" w:themeColor="text1"/>
        </w:rPr>
        <w:t>Instituto Federal de Acceso a la Información y Protección de Datos, ahora Instituto Nacional de Transparencia, Acceso a la Información y Protección de Datos Personales que establece que se deberá garantizar</w:t>
      </w:r>
      <w:r w:rsidRPr="00AE0EBD">
        <w:rPr>
          <w:rStyle w:val="apple-converted-space"/>
          <w:rFonts w:ascii="Palatino Linotype" w:hAnsi="Palatino Linotype" w:cs="Arial"/>
          <w:color w:val="000000" w:themeColor="text1"/>
        </w:rPr>
        <w:t xml:space="preserve"> </w:t>
      </w:r>
      <w:r w:rsidRPr="00AE0EBD">
        <w:rPr>
          <w:rFonts w:ascii="Palatino Linotype" w:hAnsi="Palatino Linotype" w:cs="Arial"/>
          <w:color w:val="000000" w:themeColor="text1"/>
        </w:rPr>
        <w:t>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w:t>
      </w:r>
      <w:r w:rsidRPr="00AE0EBD">
        <w:rPr>
          <w:rStyle w:val="apple-converted-space"/>
          <w:rFonts w:ascii="Palatino Linotype" w:hAnsi="Palatino Linotype" w:cs="Arial"/>
          <w:i/>
          <w:iCs/>
          <w:color w:val="000000" w:themeColor="text1"/>
        </w:rPr>
        <w:t xml:space="preserve"> </w:t>
      </w:r>
      <w:r w:rsidRPr="00AE0EBD">
        <w:rPr>
          <w:rFonts w:ascii="Palatino Linotype" w:hAnsi="Palatino Linotype" w:cs="Arial"/>
          <w:color w:val="000000" w:themeColor="text1"/>
        </w:rPr>
        <w:t xml:space="preserve">aunque el particular lleve a cabo una solicitud de información sin identificar de forma precisa la documentación, </w:t>
      </w:r>
      <w:r w:rsidRPr="00AE0EBD">
        <w:rPr>
          <w:rFonts w:ascii="Palatino Linotype" w:hAnsi="Palatino Linotype" w:cs="Arial"/>
          <w:b/>
          <w:color w:val="000000" w:themeColor="text1"/>
        </w:rPr>
        <w:t>El Sujeto Obligado</w:t>
      </w:r>
      <w:r w:rsidRPr="00AE0EBD">
        <w:rPr>
          <w:rStyle w:val="apple-converted-space"/>
          <w:rFonts w:ascii="Palatino Linotype" w:hAnsi="Palatino Linotype" w:cs="Arial"/>
          <w:b/>
          <w:color w:val="000000" w:themeColor="text1"/>
        </w:rPr>
        <w:t xml:space="preserve"> </w:t>
      </w:r>
      <w:r w:rsidRPr="00AE0EBD">
        <w:rPr>
          <w:rFonts w:ascii="Palatino Linotype" w:hAnsi="Palatino Linotype" w:cs="Arial"/>
          <w:color w:val="000000" w:themeColor="text1"/>
        </w:rPr>
        <w:t>deberá hacer entrega del mismo al solicitante</w:t>
      </w:r>
      <w:r w:rsidRPr="00AE0EBD">
        <w:rPr>
          <w:rStyle w:val="apple-converted-space"/>
          <w:rFonts w:ascii="Palatino Linotype" w:hAnsi="Palatino Linotype" w:cs="Arial"/>
          <w:color w:val="000000" w:themeColor="text1"/>
        </w:rPr>
        <w:t xml:space="preserve"> </w:t>
      </w:r>
      <w:r w:rsidRPr="00AE0EBD">
        <w:rPr>
          <w:rFonts w:ascii="Palatino Linotype" w:hAnsi="Palatino Linotype" w:cs="Arial"/>
          <w:color w:val="000000" w:themeColor="text1"/>
        </w:rPr>
        <w:t>mismo que a continuación se cita:</w:t>
      </w:r>
    </w:p>
    <w:p w:rsidR="00120DAA" w:rsidRPr="00AE0EBD" w:rsidRDefault="00120DAA" w:rsidP="00120DAA">
      <w:pPr>
        <w:pStyle w:val="Sinespaciado"/>
      </w:pPr>
    </w:p>
    <w:p w:rsidR="00120DAA" w:rsidRPr="00AE0EBD" w:rsidRDefault="00120DAA" w:rsidP="00120DAA">
      <w:pPr>
        <w:pStyle w:val="Prrafodelista"/>
        <w:autoSpaceDE w:val="0"/>
        <w:autoSpaceDN w:val="0"/>
        <w:adjustRightInd w:val="0"/>
        <w:ind w:left="851" w:right="708"/>
        <w:jc w:val="both"/>
        <w:rPr>
          <w:rFonts w:ascii="Palatino Linotype" w:hAnsi="Palatino Linotype" w:cs="Arial"/>
        </w:rPr>
      </w:pPr>
      <w:r w:rsidRPr="00AE0EBD">
        <w:rPr>
          <w:rFonts w:ascii="Palatino Linotype" w:hAnsi="Palatino Linotype" w:cs="Arial"/>
          <w:b/>
          <w:bCs/>
          <w:i/>
          <w:iCs/>
          <w:color w:val="000000" w:themeColor="text1"/>
          <w:sz w:val="22"/>
          <w:szCs w:val="22"/>
          <w:lang w:val="es-ES_tradnl"/>
        </w:rPr>
        <w:t>“Cuando en una solicitud de información no se identifique un documento en específico, si ésta tiene una expresión documental, el sujeto obligado deberá entregar al particular el documento en específico.</w:t>
      </w:r>
      <w:r w:rsidRPr="00AE0EBD">
        <w:rPr>
          <w:rStyle w:val="apple-converted-space"/>
          <w:rFonts w:ascii="Palatino Linotype" w:hAnsi="Palatino Linotype" w:cs="Arial"/>
          <w:i/>
          <w:iCs/>
          <w:color w:val="000000" w:themeColor="text1"/>
          <w:sz w:val="22"/>
          <w:szCs w:val="22"/>
          <w:lang w:val="es-ES_tradnl"/>
        </w:rPr>
        <w:t xml:space="preserve"> </w:t>
      </w:r>
      <w:r w:rsidRPr="00AE0EBD">
        <w:rPr>
          <w:rFonts w:ascii="Palatino Linotype" w:hAnsi="Palatino Linotype" w:cs="Arial"/>
          <w:i/>
          <w:iCs/>
          <w:color w:val="000000" w:themeColor="text1"/>
          <w:sz w:val="22"/>
          <w:szCs w:val="22"/>
          <w:lang w:val="es-ES_tradnl"/>
        </w:rPr>
        <w:t>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rsidR="00120DAA" w:rsidRPr="00AE0EBD" w:rsidRDefault="00120DAA" w:rsidP="00120DAA">
      <w:pPr>
        <w:spacing w:after="0" w:line="360" w:lineRule="auto"/>
        <w:ind w:right="141"/>
        <w:jc w:val="both"/>
        <w:rPr>
          <w:rFonts w:ascii="Palatino Linotype" w:hAnsi="Palatino Linotype" w:cs="Arial"/>
          <w:color w:val="000000" w:themeColor="text1"/>
          <w:sz w:val="24"/>
          <w:szCs w:val="24"/>
        </w:rPr>
      </w:pPr>
    </w:p>
    <w:p w:rsidR="00120DAA" w:rsidRPr="00AE0EBD" w:rsidRDefault="00120DAA" w:rsidP="00120DAA">
      <w:pPr>
        <w:spacing w:after="0" w:line="360" w:lineRule="auto"/>
        <w:ind w:right="141"/>
        <w:jc w:val="both"/>
        <w:rPr>
          <w:rFonts w:ascii="Palatino Linotype" w:hAnsi="Palatino Linotype" w:cs="Arial"/>
          <w:bCs/>
          <w:sz w:val="24"/>
          <w:szCs w:val="24"/>
        </w:rPr>
      </w:pPr>
      <w:r w:rsidRPr="00AE0EBD">
        <w:rPr>
          <w:rFonts w:ascii="Palatino Linotype" w:hAnsi="Palatino Linotype" w:cs="Arial"/>
          <w:color w:val="000000" w:themeColor="text1"/>
          <w:sz w:val="24"/>
          <w:szCs w:val="24"/>
        </w:rPr>
        <w:t xml:space="preserve">Por lo que hay que hacer un énfasis en que </w:t>
      </w:r>
      <w:r w:rsidRPr="00AE0EBD">
        <w:rPr>
          <w:rFonts w:ascii="Palatino Linotype" w:eastAsia="MS Mincho" w:hAnsi="Palatino Linotype" w:cs="Times New Roman"/>
          <w:color w:val="000000"/>
          <w:sz w:val="24"/>
          <w:szCs w:val="24"/>
        </w:rPr>
        <w:t>son solicitudes que deben señalarse</w:t>
      </w:r>
      <w:r w:rsidRPr="00AE0EBD">
        <w:rPr>
          <w:rFonts w:ascii="Palatino Linotype" w:hAnsi="Palatino Linotype"/>
          <w:i/>
          <w:color w:val="000000"/>
          <w:sz w:val="24"/>
          <w:szCs w:val="24"/>
        </w:rPr>
        <w:t xml:space="preserve">, </w:t>
      </w:r>
      <w:r w:rsidRPr="00AE0EBD">
        <w:rPr>
          <w:rFonts w:ascii="Palatino Linotype" w:hAnsi="Palatino Linotype" w:cs="Arial"/>
          <w:sz w:val="24"/>
          <w:szCs w:val="24"/>
        </w:rPr>
        <w:t xml:space="preserve">no constituyen un derecho de acceso a la información pública y por lo tanto </w:t>
      </w:r>
      <w:r w:rsidRPr="00AE0EBD">
        <w:rPr>
          <w:rFonts w:ascii="Palatino Linotype" w:hAnsi="Palatino Linotype" w:cs="Arial"/>
          <w:b/>
          <w:sz w:val="24"/>
          <w:szCs w:val="24"/>
          <w:u w:val="single"/>
        </w:rPr>
        <w:t xml:space="preserve">no es </w:t>
      </w:r>
      <w:r w:rsidRPr="00AE0EBD">
        <w:rPr>
          <w:rFonts w:ascii="Palatino Linotype" w:hAnsi="Palatino Linotype" w:cs="Arial"/>
          <w:b/>
          <w:sz w:val="24"/>
          <w:szCs w:val="24"/>
          <w:u w:val="single"/>
        </w:rPr>
        <w:lastRenderedPageBreak/>
        <w:t>atendible mediante una solicitud de Acceso a la Información</w:t>
      </w:r>
      <w:r w:rsidRPr="00AE0EBD">
        <w:rPr>
          <w:rFonts w:ascii="Palatino Linotype" w:hAnsi="Palatino Linotype" w:cs="Arial"/>
          <w:sz w:val="24"/>
          <w:szCs w:val="24"/>
        </w:rPr>
        <w:t xml:space="preserve">, porque se tratan de manifestaciones subjetivas vertidas por el particular, </w:t>
      </w:r>
      <w:r w:rsidRPr="00AE0EBD">
        <w:rPr>
          <w:rFonts w:ascii="Palatino Linotype" w:hAnsi="Palatino Linotype" w:cs="Arial"/>
          <w:b/>
          <w:sz w:val="24"/>
          <w:szCs w:val="24"/>
        </w:rPr>
        <w:t>interrogantes</w:t>
      </w:r>
      <w:r w:rsidRPr="00AE0EBD">
        <w:rPr>
          <w:rFonts w:ascii="Palatino Linotype" w:hAnsi="Palatino Linotype" w:cs="Arial"/>
          <w:sz w:val="24"/>
          <w:szCs w:val="24"/>
        </w:rPr>
        <w:t xml:space="preserve"> y declaraciones que no se colman con la entrega de documentos, situación que conlleva a afirmar que se está en presencia del ejercicio del </w:t>
      </w:r>
      <w:r w:rsidRPr="00AE0EBD">
        <w:rPr>
          <w:rFonts w:ascii="Palatino Linotype" w:hAnsi="Palatino Linotype" w:cs="Arial"/>
          <w:b/>
          <w:sz w:val="24"/>
          <w:szCs w:val="24"/>
          <w:u w:val="single"/>
        </w:rPr>
        <w:t>DERECHO DE PETICIÓN</w:t>
      </w:r>
      <w:r w:rsidRPr="00AE0EBD">
        <w:rPr>
          <w:rFonts w:ascii="Palatino Linotype" w:hAnsi="Palatino Linotype" w:cs="Arial"/>
          <w:sz w:val="24"/>
          <w:szCs w:val="24"/>
        </w:rPr>
        <w:t>.</w:t>
      </w:r>
    </w:p>
    <w:p w:rsidR="00120DAA" w:rsidRPr="00AE0EBD" w:rsidRDefault="00120DAA" w:rsidP="00120DAA">
      <w:pPr>
        <w:pStyle w:val="Prrafodelista"/>
        <w:spacing w:line="360" w:lineRule="auto"/>
        <w:ind w:left="0"/>
        <w:jc w:val="both"/>
        <w:rPr>
          <w:rFonts w:ascii="Palatino Linotype" w:hAnsi="Palatino Linotype"/>
          <w:color w:val="000000"/>
          <w:sz w:val="22"/>
          <w:szCs w:val="22"/>
        </w:rPr>
      </w:pPr>
    </w:p>
    <w:p w:rsidR="00120DAA" w:rsidRPr="00AE0EBD" w:rsidRDefault="00120DAA" w:rsidP="00120DAA">
      <w:pPr>
        <w:spacing w:after="0" w:line="360" w:lineRule="auto"/>
        <w:ind w:right="141"/>
        <w:jc w:val="both"/>
        <w:rPr>
          <w:rFonts w:ascii="Palatino Linotype" w:hAnsi="Palatino Linotype" w:cs="Arial"/>
          <w:bCs/>
          <w:sz w:val="28"/>
          <w:szCs w:val="24"/>
        </w:rPr>
      </w:pPr>
      <w:r w:rsidRPr="00AE0EBD">
        <w:rPr>
          <w:rFonts w:ascii="Palatino Linotype" w:hAnsi="Palatino Linotype" w:cs="Arial"/>
          <w:sz w:val="24"/>
        </w:rPr>
        <w:t xml:space="preserve">Por lo que la entrega de una razón o un razonamiento por parte del </w:t>
      </w:r>
      <w:r w:rsidRPr="00AE0EBD">
        <w:rPr>
          <w:rFonts w:ascii="Palatino Linotype" w:hAnsi="Palatino Linotype" w:cs="Arial"/>
          <w:b/>
          <w:sz w:val="24"/>
        </w:rPr>
        <w:t>Sujeto Obligado</w:t>
      </w:r>
      <w:r w:rsidRPr="00AE0EBD">
        <w:rPr>
          <w:rFonts w:ascii="Palatino Linotype" w:hAnsi="Palatino Linotype" w:cs="Arial"/>
          <w:sz w:val="24"/>
        </w:rPr>
        <w:t xml:space="preserve"> no es algo que la ley establezca como atribución, derecho, o facultad; pues ello implicaría un juicio de valor referente a </w:t>
      </w:r>
      <w:r w:rsidRPr="00AE0EBD">
        <w:rPr>
          <w:rFonts w:ascii="Palatino Linotype" w:hAnsi="Palatino Linotype" w:cs="Arial"/>
          <w:b/>
          <w:sz w:val="24"/>
          <w:u w:val="single"/>
        </w:rPr>
        <w:t>un cuestionamiento</w:t>
      </w:r>
      <w:r w:rsidRPr="00AE0EBD">
        <w:rPr>
          <w:rFonts w:ascii="Palatino Linotype" w:hAnsi="Palatino Linotype" w:cs="Arial"/>
          <w:sz w:val="24"/>
        </w:rPr>
        <w:t xml:space="preserve"> realizado, los cuales, </w:t>
      </w:r>
      <w:r w:rsidRPr="00AE0EBD">
        <w:rPr>
          <w:rFonts w:ascii="Palatino Linotype" w:hAnsi="Palatino Linotype" w:cs="Arial"/>
          <w:b/>
          <w:sz w:val="24"/>
          <w:u w:val="single"/>
        </w:rPr>
        <w:t>al constituir interrogantes</w:t>
      </w:r>
      <w:r w:rsidRPr="00AE0EBD">
        <w:rPr>
          <w:rFonts w:ascii="Palatino Linotype" w:hAnsi="Palatino Linotype" w:cs="Arial"/>
          <w:sz w:val="24"/>
        </w:rPr>
        <w:t xml:space="preserve">, </w:t>
      </w:r>
      <w:r w:rsidRPr="00AE0EBD">
        <w:rPr>
          <w:rFonts w:ascii="Palatino Linotype" w:hAnsi="Palatino Linotype" w:cs="Arial"/>
          <w:b/>
          <w:sz w:val="24"/>
          <w:u w:val="single"/>
        </w:rPr>
        <w:t>inquietudes</w:t>
      </w:r>
      <w:r w:rsidRPr="00AE0EBD">
        <w:rPr>
          <w:rFonts w:ascii="Palatino Linotype" w:hAnsi="Palatino Linotype" w:cs="Arial"/>
          <w:sz w:val="24"/>
        </w:rPr>
        <w:t xml:space="preserve"> y manifestaciones se satisfacen vía derecho de petición.</w:t>
      </w:r>
    </w:p>
    <w:p w:rsidR="00120DAA" w:rsidRPr="00AE0EBD" w:rsidRDefault="00120DAA" w:rsidP="00120DAA">
      <w:pPr>
        <w:spacing w:after="0" w:line="360" w:lineRule="auto"/>
        <w:ind w:right="141"/>
        <w:jc w:val="both"/>
        <w:rPr>
          <w:rFonts w:ascii="Palatino Linotype" w:hAnsi="Palatino Linotype" w:cs="Arial"/>
          <w:bCs/>
          <w:sz w:val="28"/>
          <w:szCs w:val="24"/>
        </w:rPr>
      </w:pPr>
    </w:p>
    <w:p w:rsidR="00120DAA" w:rsidRPr="00AE0EBD" w:rsidRDefault="00120DAA" w:rsidP="00120DAA">
      <w:pPr>
        <w:spacing w:after="0" w:line="360" w:lineRule="auto"/>
        <w:ind w:right="141"/>
        <w:jc w:val="both"/>
        <w:rPr>
          <w:rFonts w:ascii="Palatino Linotype" w:hAnsi="Palatino Linotype" w:cs="Arial"/>
          <w:bCs/>
          <w:sz w:val="28"/>
          <w:szCs w:val="24"/>
        </w:rPr>
      </w:pPr>
      <w:r w:rsidRPr="00AE0EBD">
        <w:rPr>
          <w:rFonts w:ascii="Palatino Linotype" w:hAnsi="Palatino Linotype" w:cs="Arial"/>
          <w:sz w:val="24"/>
          <w:szCs w:val="24"/>
        </w:rPr>
        <w:t xml:space="preserve">Por otra parte, como fue mencionado en el </w:t>
      </w:r>
      <w:r w:rsidRPr="00AE0EBD">
        <w:rPr>
          <w:rFonts w:ascii="Palatino Linotype" w:hAnsi="Palatino Linotype" w:cs="Arial"/>
          <w:b/>
          <w:sz w:val="24"/>
          <w:szCs w:val="24"/>
        </w:rPr>
        <w:t>ANTECEDENTE QUINTO</w:t>
      </w:r>
      <w:r w:rsidRPr="00AE0EBD">
        <w:rPr>
          <w:rFonts w:ascii="Palatino Linotype" w:hAnsi="Palatino Linotype" w:cs="Arial"/>
          <w:sz w:val="24"/>
          <w:szCs w:val="24"/>
        </w:rPr>
        <w:t xml:space="preserve">, una vez abierta la etapa de instrucción se puntualiza que esta Ponencia Resolutora se allegó de lo siguiente: </w:t>
      </w:r>
    </w:p>
    <w:p w:rsidR="00120DAA" w:rsidRPr="00AE0EBD" w:rsidRDefault="00120DAA" w:rsidP="00120DAA">
      <w:pPr>
        <w:pStyle w:val="Prrafodelista"/>
        <w:numPr>
          <w:ilvl w:val="0"/>
          <w:numId w:val="8"/>
        </w:numPr>
        <w:spacing w:before="240" w:after="240" w:line="360" w:lineRule="auto"/>
        <w:jc w:val="both"/>
        <w:rPr>
          <w:rFonts w:ascii="Palatino Linotype" w:hAnsi="Palatino Linotype" w:cs="Arial"/>
        </w:rPr>
      </w:pPr>
      <w:r w:rsidRPr="00AE0EBD">
        <w:rPr>
          <w:rFonts w:ascii="Palatino Linotype" w:hAnsi="Palatino Linotype" w:cs="Arial"/>
          <w:b/>
        </w:rPr>
        <w:t>“ij-rr-5600.pdf”</w:t>
      </w:r>
      <w:r w:rsidRPr="00AE0EBD">
        <w:rPr>
          <w:rFonts w:ascii="Palatino Linotype" w:hAnsi="Palatino Linotype" w:cs="Arial"/>
        </w:rPr>
        <w:t>: Oficio firmado por el titular de la Unidad de Transparencia del Sujeto Obligado, mediante el cual, remite las manifestaciones que la Tesorería Municipal</w:t>
      </w:r>
      <w:r w:rsidRPr="00AE0EBD">
        <w:rPr>
          <w:rFonts w:ascii="Palatino Linotype" w:hAnsi="Palatino Linotype" w:cs="Arial"/>
          <w:b/>
        </w:rPr>
        <w:t xml:space="preserve"> </w:t>
      </w:r>
      <w:r w:rsidRPr="00AE0EBD">
        <w:rPr>
          <w:rFonts w:ascii="Palatino Linotype" w:hAnsi="Palatino Linotype" w:cs="Arial"/>
        </w:rPr>
        <w:t>realizó respecto de la solicitud de información.</w:t>
      </w:r>
    </w:p>
    <w:p w:rsidR="00120DAA" w:rsidRPr="00AE0EBD" w:rsidRDefault="00120DAA" w:rsidP="00120DAA">
      <w:pPr>
        <w:pStyle w:val="Prrafodelista"/>
        <w:numPr>
          <w:ilvl w:val="0"/>
          <w:numId w:val="8"/>
        </w:numPr>
        <w:spacing w:before="240" w:after="240" w:line="360" w:lineRule="auto"/>
        <w:jc w:val="both"/>
        <w:rPr>
          <w:rFonts w:ascii="Palatino Linotype" w:hAnsi="Palatino Linotype" w:cs="Arial"/>
        </w:rPr>
      </w:pPr>
      <w:r w:rsidRPr="00AE0EBD">
        <w:rPr>
          <w:rFonts w:ascii="Palatino Linotype" w:hAnsi="Palatino Linotype" w:cs="Arial"/>
          <w:b/>
        </w:rPr>
        <w:t>“RR 05600 INFOEM.pdf”</w:t>
      </w:r>
      <w:r w:rsidRPr="00AE0EBD">
        <w:rPr>
          <w:rFonts w:ascii="Palatino Linotype" w:hAnsi="Palatino Linotype" w:cs="Arial"/>
        </w:rPr>
        <w:t xml:space="preserve">: Oficio No. TM/802/07/2019, firmado por el Tesorero Municipal, mediante el cual remite sus respectivos alegatos respecto de la solicitud de información requerida, sirve de sustento la siguiente imagen ilustrativa: </w:t>
      </w:r>
    </w:p>
    <w:p w:rsidR="00120DAA" w:rsidRPr="00AE0EBD" w:rsidRDefault="00120DAA" w:rsidP="00120DAA">
      <w:pPr>
        <w:spacing w:before="240" w:after="240" w:line="360" w:lineRule="auto"/>
        <w:jc w:val="both"/>
        <w:rPr>
          <w:rFonts w:ascii="Palatino Linotype" w:hAnsi="Palatino Linotype" w:cs="Arial"/>
        </w:rPr>
      </w:pPr>
    </w:p>
    <w:p w:rsidR="00120DAA" w:rsidRPr="00AE0EBD" w:rsidRDefault="00120DAA" w:rsidP="00120DAA">
      <w:pPr>
        <w:spacing w:before="240" w:after="240" w:line="360" w:lineRule="auto"/>
        <w:jc w:val="center"/>
        <w:rPr>
          <w:rFonts w:ascii="Palatino Linotype" w:hAnsi="Palatino Linotype" w:cs="Arial"/>
        </w:rPr>
      </w:pPr>
      <w:r w:rsidRPr="00AE0EBD">
        <w:rPr>
          <w:rFonts w:ascii="Palatino Linotype" w:hAnsi="Palatino Linotype" w:cs="Arial"/>
          <w:noProof/>
          <w:lang w:eastAsia="es-MX"/>
        </w:rPr>
        <w:lastRenderedPageBreak/>
        <mc:AlternateContent>
          <mc:Choice Requires="wps">
            <w:drawing>
              <wp:anchor distT="0" distB="0" distL="114300" distR="114300" simplePos="0" relativeHeight="251659264" behindDoc="0" locked="0" layoutInCell="1" allowOverlap="1" wp14:anchorId="24F1DEB3" wp14:editId="6DF95004">
                <wp:simplePos x="0" y="0"/>
                <wp:positionH relativeFrom="column">
                  <wp:posOffset>669152</wp:posOffset>
                </wp:positionH>
                <wp:positionV relativeFrom="paragraph">
                  <wp:posOffset>1071825</wp:posOffset>
                </wp:positionV>
                <wp:extent cx="4428876" cy="3784821"/>
                <wp:effectExtent l="19050" t="19050" r="10160" b="25400"/>
                <wp:wrapNone/>
                <wp:docPr id="3" name="Rectángulo 3"/>
                <wp:cNvGraphicFramePr/>
                <a:graphic xmlns:a="http://schemas.openxmlformats.org/drawingml/2006/main">
                  <a:graphicData uri="http://schemas.microsoft.com/office/word/2010/wordprocessingShape">
                    <wps:wsp>
                      <wps:cNvSpPr/>
                      <wps:spPr>
                        <a:xfrm>
                          <a:off x="0" y="0"/>
                          <a:ext cx="4428876" cy="378482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3BB23C" id="Rectángulo 3" o:spid="_x0000_s1026" style="position:absolute;margin-left:52.7pt;margin-top:84.4pt;width:348.75pt;height:29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" filled="f" strokecolor="red" strokeweight="2.25pt"/>
            </w:pict>
          </mc:Fallback>
        </mc:AlternateContent>
      </w:r>
      <w:r w:rsidRPr="00AE0EBD">
        <w:rPr>
          <w:rFonts w:ascii="Palatino Linotype" w:hAnsi="Palatino Linotype" w:cs="Arial"/>
          <w:noProof/>
          <w:lang w:eastAsia="es-MX"/>
        </w:rPr>
        <w:drawing>
          <wp:inline distT="0" distB="0" distL="0" distR="0" wp14:anchorId="107FA53D" wp14:editId="0BF2CB56">
            <wp:extent cx="4944745" cy="6869927"/>
            <wp:effectExtent l="0" t="0" r="8255"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6902" t="3109" r="7237" b="4277"/>
                    <a:stretch/>
                  </pic:blipFill>
                  <pic:spPr bwMode="auto">
                    <a:xfrm>
                      <a:off x="0" y="0"/>
                      <a:ext cx="4946241" cy="6872005"/>
                    </a:xfrm>
                    <a:prstGeom prst="rect">
                      <a:avLst/>
                    </a:prstGeom>
                    <a:noFill/>
                    <a:ln>
                      <a:noFill/>
                    </a:ln>
                    <a:extLst>
                      <a:ext uri="{53640926-AAD7-44D8-BBD7-CCE9431645EC}">
                        <a14:shadowObscured xmlns:a14="http://schemas.microsoft.com/office/drawing/2010/main"/>
                      </a:ext>
                    </a:extLst>
                  </pic:spPr>
                </pic:pic>
              </a:graphicData>
            </a:graphic>
          </wp:inline>
        </w:drawing>
      </w:r>
    </w:p>
    <w:p w:rsidR="00120DAA" w:rsidRPr="00AE0EBD" w:rsidRDefault="00120DAA" w:rsidP="00120DAA">
      <w:pPr>
        <w:spacing w:line="360" w:lineRule="auto"/>
        <w:jc w:val="both"/>
        <w:rPr>
          <w:rFonts w:ascii="Palatino Linotype" w:eastAsia="Calibri" w:hAnsi="Palatino Linotype" w:cs="Times New Roman"/>
          <w:sz w:val="24"/>
        </w:rPr>
      </w:pPr>
    </w:p>
    <w:p w:rsidR="00120DAA" w:rsidRPr="00AE0EBD" w:rsidRDefault="00120DAA" w:rsidP="00120DAA">
      <w:pPr>
        <w:spacing w:line="360" w:lineRule="auto"/>
        <w:jc w:val="both"/>
        <w:rPr>
          <w:rFonts w:ascii="Palatino Linotype" w:hAnsi="Palatino Linotype" w:cs="Arial"/>
          <w:sz w:val="24"/>
          <w:szCs w:val="24"/>
        </w:rPr>
      </w:pPr>
      <w:r w:rsidRPr="00AE0EBD">
        <w:rPr>
          <w:rFonts w:ascii="Palatino Linotype" w:eastAsia="Calibri" w:hAnsi="Palatino Linotype" w:cs="Times New Roman"/>
          <w:sz w:val="24"/>
        </w:rPr>
        <w:lastRenderedPageBreak/>
        <w:t xml:space="preserve">Ahora bien, el </w:t>
      </w:r>
      <w:r w:rsidRPr="00AE0EBD">
        <w:rPr>
          <w:rFonts w:ascii="Palatino Linotype" w:eastAsia="Calibri" w:hAnsi="Palatino Linotype" w:cs="Times New Roman"/>
          <w:b/>
          <w:sz w:val="24"/>
        </w:rPr>
        <w:t>Sujeto Obligado</w:t>
      </w:r>
      <w:r w:rsidRPr="00AE0EBD">
        <w:rPr>
          <w:rFonts w:ascii="Palatino Linotype" w:eastAsia="Calibri" w:hAnsi="Palatino Linotype" w:cs="Times New Roman"/>
          <w:sz w:val="24"/>
        </w:rPr>
        <w:t xml:space="preserve"> en aras de garantizar el derecho de acceso a la información del </w:t>
      </w:r>
      <w:r w:rsidRPr="00AE0EBD">
        <w:rPr>
          <w:rFonts w:ascii="Palatino Linotype" w:eastAsia="Calibri" w:hAnsi="Palatino Linotype" w:cs="Times New Roman"/>
          <w:b/>
          <w:sz w:val="24"/>
        </w:rPr>
        <w:t>Recurrente</w:t>
      </w:r>
      <w:r w:rsidRPr="00AE0EBD">
        <w:rPr>
          <w:rFonts w:ascii="Palatino Linotype" w:eastAsia="Calibri" w:hAnsi="Palatino Linotype" w:cs="Times New Roman"/>
          <w:sz w:val="24"/>
        </w:rPr>
        <w:t>, emitió manifestaciones a los requerimientos formulados, mediante su Informe Justifcado</w:t>
      </w:r>
      <w:r w:rsidRPr="00AE0EBD">
        <w:rPr>
          <w:rFonts w:ascii="Palatino Linotype" w:hAnsi="Palatino Linotype" w:cs="Arial"/>
          <w:sz w:val="24"/>
          <w:szCs w:val="24"/>
        </w:rPr>
        <w:t xml:space="preserve"> que resulta de interés al ciudadano, en los siguientes términos:</w:t>
      </w:r>
    </w:p>
    <w:tbl>
      <w:tblPr>
        <w:tblStyle w:val="Tablaconcuadrcula"/>
        <w:tblW w:w="0" w:type="auto"/>
        <w:tblLook w:val="04A0" w:firstRow="1" w:lastRow="0" w:firstColumn="1" w:lastColumn="0" w:noHBand="0" w:noVBand="1"/>
      </w:tblPr>
      <w:tblGrid>
        <w:gridCol w:w="1645"/>
        <w:gridCol w:w="5988"/>
        <w:gridCol w:w="1429"/>
      </w:tblGrid>
      <w:tr w:rsidR="00120DAA" w:rsidRPr="00AE0EBD" w:rsidTr="007010A8">
        <w:tc>
          <w:tcPr>
            <w:tcW w:w="1645" w:type="dxa"/>
            <w:shd w:val="clear" w:color="auto" w:fill="D9D9D9" w:themeFill="background1" w:themeFillShade="D9"/>
          </w:tcPr>
          <w:p w:rsidR="00120DAA" w:rsidRPr="00AE0EBD" w:rsidRDefault="00120DAA" w:rsidP="007010A8">
            <w:pPr>
              <w:spacing w:line="276" w:lineRule="auto"/>
              <w:jc w:val="center"/>
              <w:rPr>
                <w:rFonts w:ascii="Palatino Linotype" w:eastAsia="Calibri" w:hAnsi="Palatino Linotype" w:cs="Times New Roman"/>
                <w:b/>
                <w:sz w:val="21"/>
                <w:szCs w:val="21"/>
              </w:rPr>
            </w:pPr>
            <w:r w:rsidRPr="00AE0EBD">
              <w:rPr>
                <w:rFonts w:ascii="Palatino Linotype" w:eastAsia="Calibri" w:hAnsi="Palatino Linotype" w:cs="Times New Roman"/>
                <w:b/>
                <w:sz w:val="21"/>
                <w:szCs w:val="21"/>
              </w:rPr>
              <w:t>SOLICITADO</w:t>
            </w:r>
          </w:p>
        </w:tc>
        <w:tc>
          <w:tcPr>
            <w:tcW w:w="5988" w:type="dxa"/>
            <w:shd w:val="clear" w:color="auto" w:fill="D9D9D9" w:themeFill="background1" w:themeFillShade="D9"/>
          </w:tcPr>
          <w:p w:rsidR="00120DAA" w:rsidRPr="00AE0EBD" w:rsidRDefault="00120DAA" w:rsidP="007010A8">
            <w:pPr>
              <w:spacing w:line="276" w:lineRule="auto"/>
              <w:jc w:val="center"/>
              <w:rPr>
                <w:rFonts w:ascii="Palatino Linotype" w:eastAsia="Calibri" w:hAnsi="Palatino Linotype" w:cs="Times New Roman"/>
                <w:b/>
                <w:sz w:val="21"/>
                <w:szCs w:val="21"/>
              </w:rPr>
            </w:pPr>
            <w:r w:rsidRPr="00AE0EBD">
              <w:rPr>
                <w:rFonts w:ascii="Palatino Linotype" w:eastAsia="Calibri" w:hAnsi="Palatino Linotype" w:cs="Times New Roman"/>
                <w:b/>
                <w:sz w:val="21"/>
                <w:szCs w:val="21"/>
              </w:rPr>
              <w:t>INFORMACIÓN ENTREGADA EN INFORME JUSTIFICADO</w:t>
            </w:r>
          </w:p>
        </w:tc>
        <w:tc>
          <w:tcPr>
            <w:tcW w:w="1429" w:type="dxa"/>
            <w:shd w:val="clear" w:color="auto" w:fill="D9D9D9" w:themeFill="background1" w:themeFillShade="D9"/>
          </w:tcPr>
          <w:p w:rsidR="00120DAA" w:rsidRPr="00AE0EBD" w:rsidRDefault="00120DAA" w:rsidP="007010A8">
            <w:pPr>
              <w:spacing w:line="276" w:lineRule="auto"/>
              <w:jc w:val="center"/>
              <w:rPr>
                <w:rFonts w:ascii="Palatino Linotype" w:eastAsia="Calibri" w:hAnsi="Palatino Linotype" w:cs="Times New Roman"/>
                <w:b/>
                <w:sz w:val="21"/>
                <w:szCs w:val="21"/>
              </w:rPr>
            </w:pPr>
            <w:r w:rsidRPr="00AE0EBD">
              <w:rPr>
                <w:rFonts w:ascii="Palatino Linotype" w:eastAsia="Calibri" w:hAnsi="Palatino Linotype" w:cs="Times New Roman"/>
                <w:b/>
                <w:sz w:val="21"/>
                <w:szCs w:val="21"/>
              </w:rPr>
              <w:t>Colmado</w:t>
            </w:r>
          </w:p>
        </w:tc>
      </w:tr>
      <w:tr w:rsidR="00120DAA" w:rsidRPr="00AE0EBD" w:rsidTr="007010A8">
        <w:tc>
          <w:tcPr>
            <w:tcW w:w="9062" w:type="dxa"/>
            <w:gridSpan w:val="3"/>
          </w:tcPr>
          <w:p w:rsidR="00120DAA" w:rsidRPr="00AE0EBD" w:rsidRDefault="00120DAA" w:rsidP="007010A8">
            <w:pPr>
              <w:jc w:val="both"/>
              <w:rPr>
                <w:rFonts w:ascii="Palatino Linotype" w:eastAsia="Calibri" w:hAnsi="Palatino Linotype" w:cs="Times New Roman"/>
                <w:b/>
                <w:sz w:val="20"/>
                <w:szCs w:val="20"/>
              </w:rPr>
            </w:pPr>
            <w:r w:rsidRPr="00AE0EBD">
              <w:rPr>
                <w:rFonts w:ascii="Palatino Linotype" w:hAnsi="Palatino Linotype"/>
                <w:color w:val="000000"/>
                <w:sz w:val="20"/>
                <w:szCs w:val="20"/>
              </w:rPr>
              <w:t>De la calle BENITO JUAREZ, del tramo comprendido única y exclusivamente entre Jesus del Monte y Francisco I Madero (esto es solo una cuadra de la Calle Benito Juarez del tramo entre Jesus del Monte y Francisco I Madero), Colonia Jesus del Monte, Codigo Postal 52764 Municipio de Huixquilucan, Estado de Mexico quiero saber lo siguiente:</w:t>
            </w:r>
          </w:p>
        </w:tc>
      </w:tr>
      <w:tr w:rsidR="00120DAA" w:rsidRPr="00AE0EBD" w:rsidTr="007010A8">
        <w:tc>
          <w:tcPr>
            <w:tcW w:w="1645" w:type="dxa"/>
          </w:tcPr>
          <w:p w:rsidR="00120DAA" w:rsidRPr="00AE0EBD" w:rsidRDefault="00120DAA" w:rsidP="007010A8">
            <w:pPr>
              <w:contextualSpacing/>
              <w:jc w:val="both"/>
              <w:rPr>
                <w:rFonts w:ascii="Palatino Linotype" w:eastAsia="Calibri" w:hAnsi="Palatino Linotype"/>
                <w:sz w:val="18"/>
                <w:szCs w:val="18"/>
              </w:rPr>
            </w:pPr>
            <w:r w:rsidRPr="00AE0EBD">
              <w:rPr>
                <w:rFonts w:ascii="Palatino Linotype" w:hAnsi="Palatino Linotype"/>
                <w:color w:val="000000"/>
                <w:sz w:val="18"/>
                <w:szCs w:val="18"/>
              </w:rPr>
              <w:t>SI SIEMPRE? HA TENIDO EL NOMBRE DE BENITO JUAREZ EL TRAMO DE CALLE ANTES REFERIDA (AGREGAR DOCUMENTO CON QUE SE CONTESTE DICHA AFIRMACION O NEGATIVA)</w:t>
            </w:r>
          </w:p>
        </w:tc>
        <w:tc>
          <w:tcPr>
            <w:tcW w:w="5988" w:type="dxa"/>
            <w:vMerge w:val="restart"/>
            <w:vAlign w:val="center"/>
          </w:tcPr>
          <w:p w:rsidR="00120DAA" w:rsidRPr="00AE0EBD" w:rsidRDefault="00120DAA" w:rsidP="007010A8">
            <w:pPr>
              <w:spacing w:line="276" w:lineRule="auto"/>
              <w:jc w:val="center"/>
              <w:rPr>
                <w:rFonts w:ascii="Palatino Linotype" w:eastAsia="Calibri" w:hAnsi="Palatino Linotype" w:cs="Times New Roman"/>
                <w:sz w:val="21"/>
                <w:szCs w:val="21"/>
              </w:rPr>
            </w:pPr>
            <w:r w:rsidRPr="00AE0EBD">
              <w:rPr>
                <w:rFonts w:ascii="Palatino Linotype" w:eastAsia="Calibri" w:hAnsi="Palatino Linotype" w:cs="Times New Roman"/>
                <w:noProof/>
                <w:sz w:val="21"/>
                <w:szCs w:val="21"/>
                <w:lang w:eastAsia="es-MX"/>
              </w:rPr>
              <w:drawing>
                <wp:inline distT="0" distB="0" distL="0" distR="0" wp14:anchorId="7C6F623A" wp14:editId="58184FEB">
                  <wp:extent cx="3617595" cy="1049248"/>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45166" cy="1057245"/>
                          </a:xfrm>
                          <a:prstGeom prst="rect">
                            <a:avLst/>
                          </a:prstGeom>
                          <a:noFill/>
                          <a:ln>
                            <a:noFill/>
                          </a:ln>
                        </pic:spPr>
                      </pic:pic>
                    </a:graphicData>
                  </a:graphic>
                </wp:inline>
              </w:drawing>
            </w:r>
          </w:p>
        </w:tc>
        <w:tc>
          <w:tcPr>
            <w:tcW w:w="1429" w:type="dxa"/>
            <w:vAlign w:val="center"/>
          </w:tcPr>
          <w:p w:rsidR="00120DAA" w:rsidRPr="00AE0EBD" w:rsidRDefault="00120DAA" w:rsidP="007010A8">
            <w:pPr>
              <w:spacing w:line="276" w:lineRule="auto"/>
              <w:jc w:val="center"/>
              <w:rPr>
                <w:rFonts w:ascii="Palatino Linotype" w:eastAsia="Calibri" w:hAnsi="Palatino Linotype" w:cs="Times New Roman"/>
                <w:b/>
                <w:sz w:val="21"/>
                <w:szCs w:val="21"/>
              </w:rPr>
            </w:pPr>
          </w:p>
          <w:p w:rsidR="00120DAA" w:rsidRPr="00AE0EBD" w:rsidRDefault="00120DAA" w:rsidP="007010A8">
            <w:pPr>
              <w:spacing w:line="276" w:lineRule="auto"/>
              <w:jc w:val="center"/>
              <w:rPr>
                <w:rFonts w:ascii="Palatino Linotype" w:eastAsia="Calibri" w:hAnsi="Palatino Linotype" w:cs="Times New Roman"/>
                <w:b/>
                <w:sz w:val="21"/>
                <w:szCs w:val="21"/>
              </w:rPr>
            </w:pPr>
            <w:r w:rsidRPr="00AE0EBD">
              <w:rPr>
                <w:rFonts w:ascii="Palatino Linotype" w:eastAsia="Calibri" w:hAnsi="Palatino Linotype" w:cs="Times New Roman"/>
                <w:b/>
                <w:sz w:val="21"/>
                <w:szCs w:val="21"/>
              </w:rPr>
              <w:t>SÍ</w:t>
            </w:r>
          </w:p>
        </w:tc>
      </w:tr>
      <w:tr w:rsidR="00120DAA" w:rsidRPr="00AE0EBD" w:rsidTr="007010A8">
        <w:tc>
          <w:tcPr>
            <w:tcW w:w="1645" w:type="dxa"/>
          </w:tcPr>
          <w:p w:rsidR="00120DAA" w:rsidRPr="00AE0EBD" w:rsidRDefault="00120DAA" w:rsidP="007010A8">
            <w:pPr>
              <w:contextualSpacing/>
              <w:jc w:val="both"/>
              <w:rPr>
                <w:rFonts w:ascii="Palatino Linotype" w:eastAsia="Calibri" w:hAnsi="Palatino Linotype"/>
                <w:sz w:val="18"/>
                <w:szCs w:val="18"/>
              </w:rPr>
            </w:pPr>
            <w:r w:rsidRPr="00AE0EBD">
              <w:rPr>
                <w:rFonts w:ascii="Palatino Linotype" w:hAnsi="Palatino Linotype"/>
                <w:color w:val="000000"/>
                <w:sz w:val="18"/>
                <w:szCs w:val="18"/>
              </w:rPr>
              <w:t>EN CASO DE LA CALLE BENITO JUAREZ DEL TRAMO ANTES REFERIDO HAYA TENIDO UN NOMBRE ANTERIOR O DIFERENTE A BENITO JUAREZ INDICAR CUAL HA SIDO. (AGREGAR DOCUMENTO CON QUE SE CONTESTE DICHA AFIRMACION O NEGATIVA)</w:t>
            </w:r>
          </w:p>
        </w:tc>
        <w:tc>
          <w:tcPr>
            <w:tcW w:w="5988" w:type="dxa"/>
            <w:vMerge/>
          </w:tcPr>
          <w:p w:rsidR="00120DAA" w:rsidRPr="00AE0EBD" w:rsidRDefault="00120DAA" w:rsidP="007010A8">
            <w:pPr>
              <w:spacing w:line="276" w:lineRule="auto"/>
              <w:jc w:val="both"/>
              <w:rPr>
                <w:rFonts w:ascii="Palatino Linotype" w:eastAsia="Calibri" w:hAnsi="Palatino Linotype" w:cs="Times New Roman"/>
                <w:sz w:val="21"/>
                <w:szCs w:val="21"/>
              </w:rPr>
            </w:pPr>
          </w:p>
        </w:tc>
        <w:tc>
          <w:tcPr>
            <w:tcW w:w="1429" w:type="dxa"/>
            <w:vAlign w:val="center"/>
          </w:tcPr>
          <w:p w:rsidR="00120DAA" w:rsidRPr="00AE0EBD" w:rsidRDefault="00120DAA" w:rsidP="007010A8">
            <w:pPr>
              <w:spacing w:line="276" w:lineRule="auto"/>
              <w:jc w:val="center"/>
              <w:rPr>
                <w:rFonts w:ascii="Palatino Linotype" w:eastAsia="Calibri" w:hAnsi="Palatino Linotype" w:cs="Times New Roman"/>
                <w:sz w:val="21"/>
                <w:szCs w:val="21"/>
              </w:rPr>
            </w:pPr>
          </w:p>
          <w:p w:rsidR="00120DAA" w:rsidRPr="00AE0EBD" w:rsidRDefault="00120DAA" w:rsidP="007010A8">
            <w:pPr>
              <w:spacing w:line="276" w:lineRule="auto"/>
              <w:jc w:val="center"/>
              <w:rPr>
                <w:rFonts w:ascii="Palatino Linotype" w:eastAsia="Calibri" w:hAnsi="Palatino Linotype" w:cs="Times New Roman"/>
                <w:b/>
                <w:sz w:val="21"/>
                <w:szCs w:val="21"/>
              </w:rPr>
            </w:pPr>
            <w:r w:rsidRPr="00AE0EBD">
              <w:rPr>
                <w:rFonts w:ascii="Palatino Linotype" w:eastAsia="Calibri" w:hAnsi="Palatino Linotype" w:cs="Times New Roman"/>
                <w:b/>
                <w:sz w:val="21"/>
                <w:szCs w:val="21"/>
              </w:rPr>
              <w:t>SÍ</w:t>
            </w:r>
          </w:p>
        </w:tc>
      </w:tr>
      <w:tr w:rsidR="00120DAA" w:rsidRPr="00AE0EBD" w:rsidTr="007010A8">
        <w:tc>
          <w:tcPr>
            <w:tcW w:w="1645" w:type="dxa"/>
          </w:tcPr>
          <w:p w:rsidR="00120DAA" w:rsidRPr="00AE0EBD" w:rsidRDefault="00120DAA" w:rsidP="007010A8">
            <w:pPr>
              <w:contextualSpacing/>
              <w:jc w:val="both"/>
              <w:rPr>
                <w:rFonts w:ascii="Palatino Linotype" w:eastAsia="Calibri" w:hAnsi="Palatino Linotype"/>
                <w:sz w:val="18"/>
                <w:szCs w:val="20"/>
              </w:rPr>
            </w:pPr>
            <w:r w:rsidRPr="00AE0EBD">
              <w:rPr>
                <w:rFonts w:ascii="Palatino Linotype" w:hAnsi="Palatino Linotype"/>
                <w:color w:val="000000"/>
                <w:sz w:val="18"/>
                <w:szCs w:val="20"/>
              </w:rPr>
              <w:lastRenderedPageBreak/>
              <w:t>DE LA CALLE BENITO JUAREZ DEL TRAMO ANTES SEÑALADO AGREGAR EL PLANO MANZANERO</w:t>
            </w:r>
          </w:p>
        </w:tc>
        <w:tc>
          <w:tcPr>
            <w:tcW w:w="5988" w:type="dxa"/>
            <w:vAlign w:val="center"/>
          </w:tcPr>
          <w:p w:rsidR="00120DAA" w:rsidRPr="00AE0EBD" w:rsidRDefault="00120DAA" w:rsidP="007010A8">
            <w:pPr>
              <w:spacing w:line="276" w:lineRule="auto"/>
              <w:jc w:val="both"/>
              <w:rPr>
                <w:rFonts w:ascii="Palatino Linotype" w:eastAsia="Calibri" w:hAnsi="Palatino Linotype" w:cs="Times New Roman"/>
                <w:sz w:val="21"/>
                <w:szCs w:val="21"/>
              </w:rPr>
            </w:pPr>
            <w:r w:rsidRPr="00AE0EBD">
              <w:rPr>
                <w:rFonts w:ascii="Palatino Linotype" w:eastAsia="Calibri" w:hAnsi="Palatino Linotype" w:cs="Times New Roman"/>
                <w:noProof/>
                <w:sz w:val="21"/>
                <w:szCs w:val="21"/>
                <w:lang w:eastAsia="es-MX"/>
              </w:rPr>
              <mc:AlternateContent>
                <mc:Choice Requires="wps">
                  <w:drawing>
                    <wp:anchor distT="0" distB="0" distL="114300" distR="114300" simplePos="0" relativeHeight="251660288" behindDoc="0" locked="0" layoutInCell="1" allowOverlap="1" wp14:anchorId="37BEC629" wp14:editId="2CC4D9EE">
                      <wp:simplePos x="0" y="0"/>
                      <wp:positionH relativeFrom="column">
                        <wp:posOffset>-1905</wp:posOffset>
                      </wp:positionH>
                      <wp:positionV relativeFrom="paragraph">
                        <wp:posOffset>1224501</wp:posOffset>
                      </wp:positionV>
                      <wp:extent cx="1526650" cy="174404"/>
                      <wp:effectExtent l="0" t="0" r="16510" b="16510"/>
                      <wp:wrapNone/>
                      <wp:docPr id="9" name="Rectángulo 9"/>
                      <wp:cNvGraphicFramePr/>
                      <a:graphic xmlns:a="http://schemas.openxmlformats.org/drawingml/2006/main">
                        <a:graphicData uri="http://schemas.microsoft.com/office/word/2010/wordprocessingShape">
                          <wps:wsp>
                            <wps:cNvSpPr/>
                            <wps:spPr>
                              <a:xfrm>
                                <a:off x="0" y="0"/>
                                <a:ext cx="1526650" cy="17440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1AFE3F" id="Rectángulo 9" o:spid="_x0000_s1026" style="position:absolute;margin-left:-.15pt;margin-top:96.4pt;width:120.2pt;height:13.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" filled="f" strokecolor="red" strokeweight="1.5pt"/>
                  </w:pict>
                </mc:Fallback>
              </mc:AlternateContent>
            </w:r>
            <w:r w:rsidRPr="00AE0EBD">
              <w:rPr>
                <w:rFonts w:ascii="Palatino Linotype" w:eastAsia="Calibri" w:hAnsi="Palatino Linotype" w:cs="Times New Roman"/>
                <w:noProof/>
                <w:sz w:val="21"/>
                <w:szCs w:val="21"/>
                <w:lang w:eastAsia="es-MX"/>
              </w:rPr>
              <w:drawing>
                <wp:inline distT="0" distB="0" distL="0" distR="0" wp14:anchorId="16E93A6F" wp14:editId="0C7365EE">
                  <wp:extent cx="3665220" cy="1399534"/>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t="36460"/>
                          <a:stretch/>
                        </pic:blipFill>
                        <pic:spPr bwMode="auto">
                          <a:xfrm>
                            <a:off x="0" y="0"/>
                            <a:ext cx="3673585" cy="14027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29" w:type="dxa"/>
            <w:vAlign w:val="center"/>
          </w:tcPr>
          <w:p w:rsidR="00120DAA" w:rsidRPr="00AE0EBD" w:rsidRDefault="00120DAA" w:rsidP="007010A8">
            <w:pPr>
              <w:spacing w:line="276" w:lineRule="auto"/>
              <w:jc w:val="center"/>
              <w:rPr>
                <w:rFonts w:ascii="Palatino Linotype" w:eastAsia="Calibri" w:hAnsi="Palatino Linotype" w:cs="Times New Roman"/>
                <w:b/>
                <w:sz w:val="21"/>
                <w:szCs w:val="21"/>
              </w:rPr>
            </w:pPr>
            <w:r w:rsidRPr="00AE0EBD">
              <w:rPr>
                <w:rFonts w:ascii="Palatino Linotype" w:eastAsia="Calibri" w:hAnsi="Palatino Linotype" w:cs="Times New Roman"/>
                <w:b/>
                <w:sz w:val="21"/>
                <w:szCs w:val="21"/>
              </w:rPr>
              <w:t>SÍ</w:t>
            </w:r>
          </w:p>
          <w:p w:rsidR="00120DAA" w:rsidRPr="00AE0EBD" w:rsidRDefault="00120DAA" w:rsidP="007010A8">
            <w:pPr>
              <w:spacing w:line="276" w:lineRule="auto"/>
              <w:jc w:val="center"/>
              <w:rPr>
                <w:rFonts w:ascii="Palatino Linotype" w:eastAsia="Calibri" w:hAnsi="Palatino Linotype" w:cs="Times New Roman"/>
                <w:sz w:val="21"/>
                <w:szCs w:val="21"/>
              </w:rPr>
            </w:pPr>
          </w:p>
        </w:tc>
      </w:tr>
      <w:tr w:rsidR="00120DAA" w:rsidRPr="00AE0EBD" w:rsidTr="007010A8">
        <w:tc>
          <w:tcPr>
            <w:tcW w:w="1645" w:type="dxa"/>
          </w:tcPr>
          <w:p w:rsidR="00120DAA" w:rsidRPr="00AE0EBD" w:rsidRDefault="00120DAA" w:rsidP="007010A8">
            <w:pPr>
              <w:contextualSpacing/>
              <w:jc w:val="both"/>
              <w:rPr>
                <w:rFonts w:ascii="Palatino Linotype" w:eastAsia="Calibri" w:hAnsi="Palatino Linotype"/>
                <w:sz w:val="18"/>
                <w:szCs w:val="20"/>
              </w:rPr>
            </w:pPr>
            <w:r w:rsidRPr="00AE0EBD">
              <w:rPr>
                <w:rFonts w:ascii="Palatino Linotype" w:hAnsi="Palatino Linotype"/>
                <w:color w:val="000000"/>
                <w:sz w:val="18"/>
                <w:szCs w:val="20"/>
              </w:rPr>
              <w:t>DE LA CALLE BENITO JUAREZ DEL TRAMO ANTES REFERIDO INDICAR NUMERO OFICIAL. (CON DOCUMENTO QUE ACREDITE DICHA NUMERACION DE CADA UNO DE LOS BIENES INMUEBLES)</w:t>
            </w:r>
          </w:p>
        </w:tc>
        <w:tc>
          <w:tcPr>
            <w:tcW w:w="5988" w:type="dxa"/>
            <w:vMerge w:val="restart"/>
            <w:vAlign w:val="center"/>
          </w:tcPr>
          <w:p w:rsidR="00120DAA" w:rsidRPr="00AE0EBD" w:rsidRDefault="00120DAA" w:rsidP="007010A8">
            <w:pPr>
              <w:spacing w:line="276" w:lineRule="auto"/>
              <w:jc w:val="center"/>
              <w:rPr>
                <w:rFonts w:ascii="Palatino Linotype" w:eastAsia="Calibri" w:hAnsi="Palatino Linotype" w:cs="Times New Roman"/>
                <w:i/>
                <w:sz w:val="21"/>
                <w:szCs w:val="21"/>
              </w:rPr>
            </w:pPr>
            <w:r w:rsidRPr="00AE0EBD">
              <w:rPr>
                <w:rFonts w:ascii="Palatino Linotype" w:eastAsia="Calibri" w:hAnsi="Palatino Linotype" w:cs="Times New Roman"/>
                <w:i/>
                <w:noProof/>
                <w:sz w:val="21"/>
                <w:szCs w:val="21"/>
                <w:lang w:eastAsia="es-MX"/>
              </w:rPr>
              <w:drawing>
                <wp:inline distT="0" distB="0" distL="0" distR="0" wp14:anchorId="421A1861" wp14:editId="7E260E90">
                  <wp:extent cx="3630532" cy="866140"/>
                  <wp:effectExtent l="0" t="0" r="825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84461" cy="879006"/>
                          </a:xfrm>
                          <a:prstGeom prst="rect">
                            <a:avLst/>
                          </a:prstGeom>
                          <a:noFill/>
                          <a:ln>
                            <a:noFill/>
                          </a:ln>
                        </pic:spPr>
                      </pic:pic>
                    </a:graphicData>
                  </a:graphic>
                </wp:inline>
              </w:drawing>
            </w:r>
          </w:p>
        </w:tc>
        <w:tc>
          <w:tcPr>
            <w:tcW w:w="1429" w:type="dxa"/>
            <w:vAlign w:val="center"/>
          </w:tcPr>
          <w:p w:rsidR="00120DAA" w:rsidRPr="00AE0EBD" w:rsidRDefault="00120DAA" w:rsidP="007010A8">
            <w:pPr>
              <w:spacing w:line="276" w:lineRule="auto"/>
              <w:jc w:val="center"/>
              <w:rPr>
                <w:rFonts w:ascii="Palatino Linotype" w:eastAsia="Calibri" w:hAnsi="Palatino Linotype" w:cs="Times New Roman"/>
                <w:sz w:val="21"/>
                <w:szCs w:val="21"/>
              </w:rPr>
            </w:pPr>
          </w:p>
          <w:p w:rsidR="00120DAA" w:rsidRPr="00AE0EBD" w:rsidRDefault="001A7923" w:rsidP="007010A8">
            <w:pPr>
              <w:spacing w:line="276" w:lineRule="auto"/>
              <w:jc w:val="center"/>
              <w:rPr>
                <w:rFonts w:ascii="Palatino Linotype" w:eastAsia="Calibri" w:hAnsi="Palatino Linotype" w:cs="Times New Roman"/>
                <w:b/>
                <w:sz w:val="21"/>
                <w:szCs w:val="21"/>
              </w:rPr>
            </w:pPr>
            <w:r w:rsidRPr="00AE0EBD">
              <w:rPr>
                <w:rFonts w:ascii="Palatino Linotype" w:eastAsia="Calibri" w:hAnsi="Palatino Linotype" w:cs="Times New Roman"/>
                <w:sz w:val="21"/>
                <w:szCs w:val="21"/>
              </w:rPr>
              <w:t>No</w:t>
            </w:r>
          </w:p>
        </w:tc>
      </w:tr>
      <w:tr w:rsidR="00120DAA" w:rsidRPr="00AE0EBD" w:rsidTr="007010A8">
        <w:tc>
          <w:tcPr>
            <w:tcW w:w="1645" w:type="dxa"/>
          </w:tcPr>
          <w:p w:rsidR="00120DAA" w:rsidRPr="00AE0EBD" w:rsidRDefault="00120DAA" w:rsidP="007010A8">
            <w:pPr>
              <w:contextualSpacing/>
              <w:jc w:val="both"/>
              <w:rPr>
                <w:rFonts w:ascii="Palatino Linotype" w:eastAsia="Calibri" w:hAnsi="Palatino Linotype"/>
                <w:sz w:val="18"/>
                <w:szCs w:val="20"/>
              </w:rPr>
            </w:pPr>
            <w:r w:rsidRPr="00AE0EBD">
              <w:rPr>
                <w:rFonts w:ascii="Palatino Linotype" w:hAnsi="Palatino Linotype"/>
                <w:color w:val="000000"/>
                <w:sz w:val="18"/>
                <w:szCs w:val="20"/>
              </w:rPr>
              <w:t>DE LA CALLE BENITO JUAREZ DEL TRAMO ANTES REFERIDO INDICAR NUMERO ACTUAL (CON DOCUMENTO QUE ACREDITE DICHA NUMERACION DE CADA UNO DE LOS BIENES INMUEBLES)</w:t>
            </w:r>
          </w:p>
        </w:tc>
        <w:tc>
          <w:tcPr>
            <w:tcW w:w="5988" w:type="dxa"/>
            <w:vMerge/>
          </w:tcPr>
          <w:p w:rsidR="00120DAA" w:rsidRPr="00AE0EBD" w:rsidRDefault="00120DAA" w:rsidP="007010A8">
            <w:pPr>
              <w:spacing w:line="276" w:lineRule="auto"/>
              <w:jc w:val="both"/>
              <w:rPr>
                <w:rFonts w:ascii="Palatino Linotype" w:eastAsia="Calibri" w:hAnsi="Palatino Linotype" w:cs="Times New Roman"/>
                <w:sz w:val="21"/>
                <w:szCs w:val="21"/>
              </w:rPr>
            </w:pPr>
          </w:p>
        </w:tc>
        <w:tc>
          <w:tcPr>
            <w:tcW w:w="1429" w:type="dxa"/>
            <w:vAlign w:val="center"/>
          </w:tcPr>
          <w:p w:rsidR="00120DAA" w:rsidRPr="00AE0EBD" w:rsidRDefault="001A7923" w:rsidP="007010A8">
            <w:pPr>
              <w:spacing w:line="276" w:lineRule="auto"/>
              <w:jc w:val="center"/>
              <w:rPr>
                <w:rFonts w:ascii="Palatino Linotype" w:eastAsia="Calibri" w:hAnsi="Palatino Linotype" w:cs="Times New Roman"/>
                <w:b/>
                <w:sz w:val="21"/>
                <w:szCs w:val="21"/>
              </w:rPr>
            </w:pPr>
            <w:r w:rsidRPr="00AE0EBD">
              <w:rPr>
                <w:rFonts w:ascii="Palatino Linotype" w:eastAsia="Calibri" w:hAnsi="Palatino Linotype" w:cs="Times New Roman"/>
                <w:sz w:val="21"/>
                <w:szCs w:val="21"/>
              </w:rPr>
              <w:t>No</w:t>
            </w:r>
          </w:p>
        </w:tc>
      </w:tr>
      <w:tr w:rsidR="00120DAA" w:rsidRPr="00AE0EBD" w:rsidTr="007010A8">
        <w:tc>
          <w:tcPr>
            <w:tcW w:w="1645" w:type="dxa"/>
          </w:tcPr>
          <w:p w:rsidR="00120DAA" w:rsidRPr="00AE0EBD" w:rsidRDefault="00120DAA" w:rsidP="007010A8">
            <w:pPr>
              <w:contextualSpacing/>
              <w:jc w:val="both"/>
              <w:rPr>
                <w:rFonts w:ascii="Palatino Linotype" w:eastAsia="Calibri" w:hAnsi="Palatino Linotype"/>
                <w:sz w:val="18"/>
                <w:szCs w:val="20"/>
              </w:rPr>
            </w:pPr>
            <w:r w:rsidRPr="00AE0EBD">
              <w:rPr>
                <w:rFonts w:ascii="Palatino Linotype" w:hAnsi="Palatino Linotype"/>
                <w:color w:val="000000"/>
                <w:sz w:val="18"/>
                <w:szCs w:val="20"/>
              </w:rPr>
              <w:t xml:space="preserve">DE LA CALLE BENITO JUAREZ DEL TRAMO ANTES REFERIDO INDICAR NUMERACION ANTERIOR A LA OFICIAL. (CON DOCUMENTO </w:t>
            </w:r>
            <w:r w:rsidRPr="00AE0EBD">
              <w:rPr>
                <w:rFonts w:ascii="Palatino Linotype" w:hAnsi="Palatino Linotype"/>
                <w:color w:val="000000"/>
                <w:sz w:val="18"/>
                <w:szCs w:val="20"/>
              </w:rPr>
              <w:lastRenderedPageBreak/>
              <w:t>QUE ACREDITE DICHA NUMERACION DE CADA UNO DE LOS BIENES INMUEBLES)</w:t>
            </w:r>
          </w:p>
        </w:tc>
        <w:tc>
          <w:tcPr>
            <w:tcW w:w="5988" w:type="dxa"/>
            <w:vMerge/>
          </w:tcPr>
          <w:p w:rsidR="00120DAA" w:rsidRPr="00AE0EBD" w:rsidRDefault="00120DAA" w:rsidP="007010A8">
            <w:pPr>
              <w:spacing w:line="276" w:lineRule="auto"/>
              <w:jc w:val="both"/>
              <w:rPr>
                <w:rFonts w:ascii="Palatino Linotype" w:eastAsia="Calibri" w:hAnsi="Palatino Linotype" w:cs="Times New Roman"/>
                <w:sz w:val="21"/>
                <w:szCs w:val="21"/>
              </w:rPr>
            </w:pPr>
          </w:p>
        </w:tc>
        <w:tc>
          <w:tcPr>
            <w:tcW w:w="1429" w:type="dxa"/>
          </w:tcPr>
          <w:p w:rsidR="00120DAA" w:rsidRPr="00AE0EBD" w:rsidRDefault="00120DAA" w:rsidP="007010A8">
            <w:pPr>
              <w:spacing w:line="276" w:lineRule="auto"/>
              <w:jc w:val="center"/>
              <w:rPr>
                <w:rFonts w:ascii="Palatino Linotype" w:eastAsia="Calibri" w:hAnsi="Palatino Linotype" w:cs="Times New Roman"/>
                <w:b/>
                <w:sz w:val="21"/>
                <w:szCs w:val="21"/>
              </w:rPr>
            </w:pPr>
          </w:p>
          <w:p w:rsidR="00120DAA" w:rsidRPr="00AE0EBD" w:rsidRDefault="001A7923" w:rsidP="007010A8">
            <w:pPr>
              <w:spacing w:line="276" w:lineRule="auto"/>
              <w:jc w:val="center"/>
              <w:rPr>
                <w:rFonts w:ascii="Palatino Linotype" w:eastAsia="Calibri" w:hAnsi="Palatino Linotype" w:cs="Times New Roman"/>
                <w:sz w:val="21"/>
                <w:szCs w:val="21"/>
              </w:rPr>
            </w:pPr>
            <w:r w:rsidRPr="00AE0EBD">
              <w:rPr>
                <w:rFonts w:ascii="Palatino Linotype" w:eastAsia="Calibri" w:hAnsi="Palatino Linotype" w:cs="Times New Roman"/>
                <w:sz w:val="21"/>
                <w:szCs w:val="21"/>
              </w:rPr>
              <w:t>No</w:t>
            </w:r>
          </w:p>
        </w:tc>
      </w:tr>
      <w:tr w:rsidR="00120DAA" w:rsidRPr="00AE0EBD" w:rsidTr="007010A8">
        <w:tc>
          <w:tcPr>
            <w:tcW w:w="1645" w:type="dxa"/>
          </w:tcPr>
          <w:p w:rsidR="00120DAA" w:rsidRPr="00AE0EBD" w:rsidRDefault="00120DAA" w:rsidP="007010A8">
            <w:pPr>
              <w:contextualSpacing/>
              <w:jc w:val="both"/>
              <w:rPr>
                <w:rFonts w:ascii="Palatino Linotype" w:eastAsia="Calibri" w:hAnsi="Palatino Linotype"/>
                <w:sz w:val="18"/>
                <w:szCs w:val="20"/>
              </w:rPr>
            </w:pPr>
            <w:r w:rsidRPr="00AE0EBD">
              <w:rPr>
                <w:rFonts w:ascii="Palatino Linotype" w:hAnsi="Palatino Linotype"/>
                <w:color w:val="000000"/>
                <w:sz w:val="18"/>
                <w:szCs w:val="20"/>
              </w:rPr>
              <w:t>DE LA CALLE BENITO JUAREZ DEL TRAMO ANTES REFERIDO AGREGAR CERTIFICADOS DE INSCRIPCION DE TODAS Y CADA UNA DE LOS BIENES INMUEBLES</w:t>
            </w:r>
          </w:p>
        </w:tc>
        <w:tc>
          <w:tcPr>
            <w:tcW w:w="5988" w:type="dxa"/>
            <w:vMerge w:val="restart"/>
          </w:tcPr>
          <w:p w:rsidR="00120DAA" w:rsidRPr="00AE0EBD" w:rsidRDefault="00120DAA" w:rsidP="007010A8">
            <w:pPr>
              <w:spacing w:line="276" w:lineRule="auto"/>
              <w:jc w:val="both"/>
              <w:rPr>
                <w:rFonts w:ascii="Palatino Linotype" w:eastAsia="Calibri" w:hAnsi="Palatino Linotype" w:cs="Times New Roman"/>
                <w:sz w:val="21"/>
                <w:szCs w:val="21"/>
              </w:rPr>
            </w:pPr>
            <w:r w:rsidRPr="00AE0EBD">
              <w:rPr>
                <w:rFonts w:ascii="Palatino Linotype" w:eastAsia="Calibri" w:hAnsi="Palatino Linotype" w:cs="Times New Roman"/>
                <w:noProof/>
                <w:sz w:val="21"/>
                <w:szCs w:val="21"/>
                <w:lang w:eastAsia="es-MX"/>
              </w:rPr>
              <w:drawing>
                <wp:inline distT="0" distB="0" distL="0" distR="0" wp14:anchorId="1509958A" wp14:editId="2BBA7FEA">
                  <wp:extent cx="3665551" cy="2202815"/>
                  <wp:effectExtent l="0" t="0" r="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73585" cy="2207643"/>
                          </a:xfrm>
                          <a:prstGeom prst="rect">
                            <a:avLst/>
                          </a:prstGeom>
                          <a:noFill/>
                          <a:ln>
                            <a:noFill/>
                          </a:ln>
                        </pic:spPr>
                      </pic:pic>
                    </a:graphicData>
                  </a:graphic>
                </wp:inline>
              </w:drawing>
            </w:r>
          </w:p>
          <w:p w:rsidR="00120DAA" w:rsidRPr="00AE0EBD" w:rsidRDefault="00120DAA" w:rsidP="007010A8">
            <w:pPr>
              <w:spacing w:line="276" w:lineRule="auto"/>
              <w:jc w:val="both"/>
              <w:rPr>
                <w:rFonts w:ascii="Palatino Linotype" w:eastAsia="Calibri" w:hAnsi="Palatino Linotype" w:cs="Times New Roman"/>
                <w:sz w:val="21"/>
                <w:szCs w:val="21"/>
              </w:rPr>
            </w:pPr>
          </w:p>
          <w:p w:rsidR="00120DAA" w:rsidRPr="00AE0EBD" w:rsidRDefault="00120DAA" w:rsidP="007010A8">
            <w:pPr>
              <w:spacing w:line="276" w:lineRule="auto"/>
              <w:jc w:val="both"/>
              <w:rPr>
                <w:rFonts w:ascii="Palatino Linotype" w:eastAsia="Calibri" w:hAnsi="Palatino Linotype" w:cs="Times New Roman"/>
                <w:sz w:val="21"/>
                <w:szCs w:val="21"/>
              </w:rPr>
            </w:pPr>
            <w:r w:rsidRPr="00AE0EBD">
              <w:rPr>
                <w:rFonts w:ascii="Palatino Linotype" w:eastAsia="Calibri" w:hAnsi="Palatino Linotype" w:cs="Times New Roman"/>
                <w:noProof/>
                <w:sz w:val="21"/>
                <w:szCs w:val="21"/>
                <w:lang w:eastAsia="es-MX"/>
              </w:rPr>
              <w:drawing>
                <wp:inline distT="0" distB="0" distL="0" distR="0" wp14:anchorId="2CC9F100" wp14:editId="5A2F614B">
                  <wp:extent cx="3665220" cy="1041400"/>
                  <wp:effectExtent l="0" t="0" r="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75618" cy="1044354"/>
                          </a:xfrm>
                          <a:prstGeom prst="rect">
                            <a:avLst/>
                          </a:prstGeom>
                          <a:noFill/>
                          <a:ln>
                            <a:noFill/>
                          </a:ln>
                        </pic:spPr>
                      </pic:pic>
                    </a:graphicData>
                  </a:graphic>
                </wp:inline>
              </w:drawing>
            </w:r>
          </w:p>
        </w:tc>
        <w:tc>
          <w:tcPr>
            <w:tcW w:w="1429" w:type="dxa"/>
            <w:vAlign w:val="center"/>
          </w:tcPr>
          <w:p w:rsidR="00120DAA" w:rsidRPr="00AE0EBD" w:rsidRDefault="00120DAA" w:rsidP="007010A8">
            <w:pPr>
              <w:spacing w:line="276" w:lineRule="auto"/>
              <w:jc w:val="center"/>
              <w:rPr>
                <w:rFonts w:ascii="Palatino Linotype" w:eastAsia="Calibri" w:hAnsi="Palatino Linotype" w:cs="Times New Roman"/>
                <w:sz w:val="21"/>
                <w:szCs w:val="21"/>
              </w:rPr>
            </w:pPr>
            <w:r w:rsidRPr="00AE0EBD">
              <w:rPr>
                <w:rFonts w:ascii="Palatino Linotype" w:eastAsia="Calibri" w:hAnsi="Palatino Linotype" w:cs="Times New Roman"/>
                <w:sz w:val="21"/>
                <w:szCs w:val="21"/>
              </w:rPr>
              <w:t>Parcialmente</w:t>
            </w:r>
          </w:p>
        </w:tc>
      </w:tr>
      <w:tr w:rsidR="00120DAA" w:rsidRPr="00AE0EBD" w:rsidTr="007010A8">
        <w:tc>
          <w:tcPr>
            <w:tcW w:w="1645" w:type="dxa"/>
          </w:tcPr>
          <w:p w:rsidR="00120DAA" w:rsidRPr="00AE0EBD" w:rsidRDefault="00120DAA" w:rsidP="007010A8">
            <w:pPr>
              <w:contextualSpacing/>
              <w:jc w:val="both"/>
              <w:rPr>
                <w:rFonts w:ascii="Palatino Linotype" w:hAnsi="Palatino Linotype"/>
                <w:color w:val="000000"/>
                <w:sz w:val="18"/>
                <w:szCs w:val="20"/>
              </w:rPr>
            </w:pPr>
            <w:r w:rsidRPr="00AE0EBD">
              <w:rPr>
                <w:rFonts w:ascii="Palatino Linotype" w:hAnsi="Palatino Linotype"/>
                <w:color w:val="000000"/>
                <w:sz w:val="18"/>
                <w:szCs w:val="20"/>
              </w:rPr>
              <w:t>DE LA CALLE BENITO JUAREZ DEL TRAMO ANTES REFERIDO INDICAR QUE BIENES INMUEBLES TIENEN CERTIFICADOS DE INSCRIPCION (NUMERACION DE LOS BIENES INMUEBLES) </w:t>
            </w:r>
          </w:p>
        </w:tc>
        <w:tc>
          <w:tcPr>
            <w:tcW w:w="5988" w:type="dxa"/>
            <w:vMerge/>
          </w:tcPr>
          <w:p w:rsidR="00120DAA" w:rsidRPr="00AE0EBD" w:rsidRDefault="00120DAA" w:rsidP="007010A8">
            <w:pPr>
              <w:spacing w:line="276" w:lineRule="auto"/>
              <w:jc w:val="both"/>
              <w:rPr>
                <w:rFonts w:ascii="Palatino Linotype" w:eastAsia="Calibri" w:hAnsi="Palatino Linotype" w:cs="Times New Roman"/>
                <w:sz w:val="21"/>
                <w:szCs w:val="21"/>
              </w:rPr>
            </w:pPr>
          </w:p>
        </w:tc>
        <w:tc>
          <w:tcPr>
            <w:tcW w:w="1429" w:type="dxa"/>
            <w:vAlign w:val="center"/>
          </w:tcPr>
          <w:p w:rsidR="00120DAA" w:rsidRPr="00AE0EBD" w:rsidRDefault="00120DAA" w:rsidP="007010A8">
            <w:pPr>
              <w:spacing w:line="276" w:lineRule="auto"/>
              <w:jc w:val="center"/>
              <w:rPr>
                <w:rFonts w:ascii="Palatino Linotype" w:eastAsia="Calibri" w:hAnsi="Palatino Linotype" w:cs="Times New Roman"/>
                <w:sz w:val="21"/>
                <w:szCs w:val="21"/>
              </w:rPr>
            </w:pPr>
            <w:r w:rsidRPr="00AE0EBD">
              <w:rPr>
                <w:rFonts w:ascii="Palatino Linotype" w:eastAsia="Calibri" w:hAnsi="Palatino Linotype" w:cs="Times New Roman"/>
                <w:sz w:val="21"/>
                <w:szCs w:val="21"/>
              </w:rPr>
              <w:t>Parcialmente</w:t>
            </w:r>
          </w:p>
        </w:tc>
      </w:tr>
    </w:tbl>
    <w:p w:rsidR="00120DAA" w:rsidRPr="00AE0EBD" w:rsidRDefault="00120DAA" w:rsidP="00120DAA">
      <w:pPr>
        <w:pStyle w:val="Sinespaciado"/>
      </w:pPr>
    </w:p>
    <w:p w:rsidR="00120DAA" w:rsidRPr="00AE0EBD" w:rsidRDefault="00120DAA" w:rsidP="00120DAA">
      <w:pPr>
        <w:pStyle w:val="Sinespaciado"/>
      </w:pPr>
    </w:p>
    <w:p w:rsidR="00120DAA" w:rsidRPr="00AE0EBD" w:rsidRDefault="00120DAA" w:rsidP="00120DAA">
      <w:pPr>
        <w:pStyle w:val="Sinespaciado"/>
        <w:spacing w:line="360" w:lineRule="auto"/>
        <w:jc w:val="both"/>
        <w:rPr>
          <w:rFonts w:ascii="Palatino Linotype" w:hAnsi="Palatino Linotype"/>
        </w:rPr>
      </w:pPr>
      <w:r w:rsidRPr="00AE0EBD">
        <w:rPr>
          <w:rFonts w:ascii="Palatino Linotype" w:hAnsi="Palatino Linotype" w:cs="Arial"/>
        </w:rPr>
        <w:t xml:space="preserve">En ese sentido, es de señalar que </w:t>
      </w:r>
      <w:r w:rsidRPr="00AE0EBD">
        <w:rPr>
          <w:rFonts w:ascii="Palatino Linotype" w:hAnsi="Palatino Linotype"/>
        </w:rPr>
        <w:t xml:space="preserve">derivado que de la contestación esgrimida y el Informe Justificado remitido por los servidores públicos habilitados de la </w:t>
      </w:r>
      <w:r w:rsidRPr="00AE0EBD">
        <w:rPr>
          <w:rFonts w:ascii="Palatino Linotype" w:hAnsi="Palatino Linotype"/>
          <w:b/>
        </w:rPr>
        <w:t>Dirección General de Desarrollo Urbano Sustentable</w:t>
      </w:r>
      <w:r w:rsidRPr="00AE0EBD">
        <w:rPr>
          <w:rFonts w:ascii="Palatino Linotype" w:hAnsi="Palatino Linotype"/>
        </w:rPr>
        <w:t xml:space="preserve"> y de la </w:t>
      </w:r>
      <w:r w:rsidRPr="00AE0EBD">
        <w:rPr>
          <w:rFonts w:ascii="Palatino Linotype" w:hAnsi="Palatino Linotype"/>
          <w:b/>
        </w:rPr>
        <w:t>Tesorería Municipal</w:t>
      </w:r>
      <w:r w:rsidRPr="00AE0EBD">
        <w:rPr>
          <w:rFonts w:ascii="Palatino Linotype" w:hAnsi="Palatino Linotype" w:cs="Arial"/>
        </w:rPr>
        <w:t>, van encaminadas a que</w:t>
      </w:r>
      <w:r w:rsidRPr="00AE0EBD">
        <w:rPr>
          <w:rFonts w:ascii="Palatino Linotype" w:hAnsi="Palatino Linotype"/>
          <w:color w:val="000000"/>
        </w:rPr>
        <w:t xml:space="preserve"> la fuente obligacional por parte del </w:t>
      </w:r>
      <w:r w:rsidRPr="00AE0EBD">
        <w:rPr>
          <w:rFonts w:ascii="Palatino Linotype" w:hAnsi="Palatino Linotype"/>
          <w:b/>
          <w:color w:val="000000"/>
        </w:rPr>
        <w:t>Sujeto Obligado</w:t>
      </w:r>
      <w:r w:rsidRPr="00AE0EBD">
        <w:rPr>
          <w:rFonts w:ascii="Palatino Linotype" w:hAnsi="Palatino Linotype"/>
          <w:color w:val="000000"/>
        </w:rPr>
        <w:t>,</w:t>
      </w:r>
      <w:r w:rsidRPr="00AE0EBD">
        <w:rPr>
          <w:rFonts w:ascii="Palatino Linotype" w:hAnsi="Palatino Linotype"/>
        </w:rPr>
        <w:t xml:space="preserve"> no es competente de conocer la información solicitada por el particular, pues es los propios servidores públicos habilitados manifiestan que, no generan, ni poseen y administran dicha información; sin embargo, </w:t>
      </w:r>
      <w:r w:rsidRPr="00AE0EBD">
        <w:rPr>
          <w:rFonts w:ascii="Palatino Linotype" w:hAnsi="Palatino Linotype" w:cs="Arial"/>
          <w:color w:val="000000"/>
        </w:rPr>
        <w:t xml:space="preserve">es de subrayar que la materia elemental del acceso a </w:t>
      </w:r>
      <w:r w:rsidRPr="00AE0EBD">
        <w:rPr>
          <w:rFonts w:ascii="Palatino Linotype" w:hAnsi="Palatino Linotype" w:cs="Arial"/>
          <w:color w:val="000000"/>
        </w:rPr>
        <w:lastRenderedPageBreak/>
        <w:t>la información pública, consiste en que la información solicitada conste en un soporte documental en cualquiera de sus formas, a saber: e</w:t>
      </w:r>
      <w:r w:rsidRPr="00AE0EBD">
        <w:rPr>
          <w:rFonts w:ascii="Palatino Linotype" w:hAnsi="Palatino Linotype" w:cs="Arial"/>
        </w:rPr>
        <w:t xml:space="preserve">xpedientes, estudios, actas, resoluciones, oficios, acuerdos, circulares, contratos, convenios, estadísticas o bien </w:t>
      </w:r>
      <w:r w:rsidRPr="00AE0EBD">
        <w:rPr>
          <w:rFonts w:ascii="Palatino Linotype" w:hAnsi="Palatino Linotype" w:cs="Arial"/>
          <w:u w:val="single"/>
        </w:rPr>
        <w:t>cualquier registro</w:t>
      </w:r>
      <w:r w:rsidRPr="00AE0EBD">
        <w:rPr>
          <w:rFonts w:ascii="Palatino Linotype" w:hAnsi="Palatino Linotype" w:cs="Arial"/>
        </w:rPr>
        <w:t xml:space="preserve"> </w:t>
      </w:r>
      <w:r w:rsidRPr="00AE0EBD">
        <w:rPr>
          <w:rFonts w:ascii="Palatino Linotype" w:hAnsi="Palatino Linotype" w:cs="Arial"/>
          <w:u w:val="single"/>
        </w:rPr>
        <w:t>en posesión de los Sujetos Obligados,</w:t>
      </w:r>
      <w:r w:rsidRPr="00AE0EBD">
        <w:rPr>
          <w:rFonts w:ascii="Palatino Linotype" w:hAnsi="Palatino Linotype" w:cs="Arial"/>
        </w:rPr>
        <w:t xml:space="preserve"> en términos de lo previsto por el artículo 3, de la Ley de Transparencia y Acceso a la Información Pública del Estado de México y Municipios, que establece: </w:t>
      </w:r>
    </w:p>
    <w:p w:rsidR="00120DAA" w:rsidRPr="00AE0EBD" w:rsidRDefault="00120DAA" w:rsidP="00120DAA">
      <w:pPr>
        <w:pStyle w:val="Sinespaciado"/>
      </w:pPr>
    </w:p>
    <w:p w:rsidR="00120DAA" w:rsidRPr="00AE0EBD" w:rsidRDefault="00120DAA" w:rsidP="00120DAA">
      <w:pPr>
        <w:pStyle w:val="Sinespaciado"/>
        <w:ind w:left="851" w:right="851"/>
        <w:jc w:val="both"/>
        <w:rPr>
          <w:rFonts w:ascii="Palatino Linotype" w:hAnsi="Palatino Linotype"/>
          <w:i/>
          <w:sz w:val="22"/>
          <w:szCs w:val="22"/>
        </w:rPr>
      </w:pPr>
      <w:r w:rsidRPr="00AE0EBD">
        <w:rPr>
          <w:rFonts w:ascii="Palatino Linotype" w:hAnsi="Palatino Linotype"/>
          <w:b/>
          <w:bCs/>
          <w:i/>
          <w:sz w:val="22"/>
          <w:szCs w:val="22"/>
        </w:rPr>
        <w:t xml:space="preserve">Artículo 3.- </w:t>
      </w:r>
      <w:r w:rsidRPr="00AE0EBD">
        <w:rPr>
          <w:rFonts w:ascii="Palatino Linotype" w:hAnsi="Palatino Linotype"/>
          <w:i/>
          <w:sz w:val="22"/>
          <w:szCs w:val="22"/>
        </w:rPr>
        <w:t>Para los efectos de la presente Ley se entenderá por:</w:t>
      </w:r>
    </w:p>
    <w:p w:rsidR="00120DAA" w:rsidRPr="00AE0EBD" w:rsidRDefault="00120DAA" w:rsidP="00120DAA">
      <w:pPr>
        <w:pStyle w:val="Sinespaciado"/>
        <w:ind w:left="851" w:right="851"/>
        <w:jc w:val="both"/>
        <w:rPr>
          <w:rFonts w:ascii="Palatino Linotype" w:hAnsi="Palatino Linotype"/>
          <w:i/>
          <w:sz w:val="22"/>
          <w:szCs w:val="22"/>
        </w:rPr>
      </w:pPr>
      <w:r w:rsidRPr="00AE0EBD">
        <w:rPr>
          <w:rFonts w:ascii="Palatino Linotype" w:hAnsi="Palatino Linotype"/>
          <w:i/>
          <w:sz w:val="22"/>
          <w:szCs w:val="22"/>
        </w:rPr>
        <w:t>(…)</w:t>
      </w:r>
    </w:p>
    <w:p w:rsidR="00120DAA" w:rsidRPr="00AE0EBD" w:rsidRDefault="00120DAA" w:rsidP="00120DAA">
      <w:pPr>
        <w:pStyle w:val="Sinespaciado"/>
        <w:ind w:left="851" w:right="851"/>
        <w:jc w:val="both"/>
        <w:rPr>
          <w:rFonts w:ascii="Palatino Linotype" w:hAnsi="Palatino Linotype"/>
          <w:i/>
          <w:sz w:val="22"/>
          <w:szCs w:val="22"/>
        </w:rPr>
      </w:pPr>
      <w:r w:rsidRPr="00AE0EBD">
        <w:rPr>
          <w:rFonts w:ascii="Palatino Linotype" w:hAnsi="Palatino Linotype"/>
          <w:b/>
          <w:i/>
          <w:sz w:val="22"/>
          <w:szCs w:val="22"/>
        </w:rPr>
        <w:t>XI.</w:t>
      </w:r>
      <w:r w:rsidRPr="00AE0EBD">
        <w:rPr>
          <w:rFonts w:ascii="Palatino Linotype" w:hAnsi="Palatino Linotype"/>
          <w:i/>
          <w:sz w:val="22"/>
          <w:szCs w:val="22"/>
        </w:rPr>
        <w:t xml:space="preserve"> </w:t>
      </w:r>
      <w:r w:rsidRPr="00AE0EBD">
        <w:rPr>
          <w:rFonts w:ascii="Palatino Linotype" w:hAnsi="Palatino Linotype"/>
          <w:b/>
          <w:i/>
          <w:sz w:val="22"/>
          <w:szCs w:val="22"/>
        </w:rPr>
        <w:t>Documento:</w:t>
      </w:r>
      <w:r w:rsidRPr="00AE0EBD">
        <w:rPr>
          <w:rFonts w:ascii="Palatino Linotype" w:hAnsi="Palatino Linotype"/>
          <w:i/>
          <w:sz w:val="22"/>
          <w:szCs w:val="22"/>
        </w:rPr>
        <w:t xml:space="preserve"> Los expedientes, reportes, estudios, actas, resoluciones, oficios, correspondencia, acuerdos, directivas, directrices, circulares, contratos, convenios, instructivos, notas, memorandos, estadísticas o bien, </w:t>
      </w:r>
      <w:r w:rsidRPr="00AE0EBD">
        <w:rPr>
          <w:rFonts w:ascii="Palatino Linotype" w:hAnsi="Palatino Linotype"/>
          <w:b/>
          <w:i/>
          <w:sz w:val="22"/>
          <w:szCs w:val="22"/>
          <w:u w:val="single"/>
        </w:rPr>
        <w:t>cualquier otro registro que documente el ejercicio de las facultades, funciones y competencias de los sujetos obligados, sus servidores públicos e integrantes, sin importar su fuente o fecha de elaboración.</w:t>
      </w:r>
      <w:r w:rsidRPr="00AE0EBD">
        <w:rPr>
          <w:rFonts w:ascii="Palatino Linotype" w:hAnsi="Palatino Linotype"/>
          <w:i/>
          <w:sz w:val="22"/>
          <w:szCs w:val="22"/>
        </w:rPr>
        <w:t xml:space="preserve"> Los documentos podrán estar en cualquier medio, sea escrito, impreso, sonoro, visual, electrónico, informático u holográfico;</w:t>
      </w:r>
    </w:p>
    <w:p w:rsidR="00120DAA" w:rsidRPr="00AE0EBD" w:rsidRDefault="00120DAA" w:rsidP="00120DAA">
      <w:pPr>
        <w:pStyle w:val="Sinespaciado"/>
        <w:spacing w:line="360" w:lineRule="auto"/>
        <w:jc w:val="both"/>
        <w:rPr>
          <w:rFonts w:ascii="Palatino Linotype" w:hAnsi="Palatino Linotype"/>
        </w:rPr>
      </w:pPr>
    </w:p>
    <w:p w:rsidR="00120DAA" w:rsidRPr="00AE0EBD" w:rsidRDefault="00120DAA" w:rsidP="00120DAA">
      <w:pPr>
        <w:pStyle w:val="Sinespaciado"/>
        <w:spacing w:line="360" w:lineRule="auto"/>
        <w:jc w:val="both"/>
        <w:rPr>
          <w:rFonts w:ascii="Palatino Linotype" w:hAnsi="Palatino Linotype"/>
          <w:color w:val="000000"/>
        </w:rPr>
      </w:pPr>
      <w:r w:rsidRPr="00AE0EBD">
        <w:rPr>
          <w:rFonts w:ascii="Palatino Linotype" w:hAnsi="Palatino Linotype"/>
        </w:rPr>
        <w:t xml:space="preserve">En primer lugar </w:t>
      </w:r>
      <w:r w:rsidRPr="00AE0EBD">
        <w:rPr>
          <w:rFonts w:ascii="Palatino Linotype" w:hAnsi="Palatino Linotype"/>
          <w:color w:val="000000"/>
        </w:rPr>
        <w:t>es de advertirse lo siguiente: nuestra Carta Magna dispone que para el ejercicio del derecho de acceso a la información los Estados deben observar diversos principios y bases, entre los cuales se establece que toda la información en posesión de cualquier autoridad, órgano, organismo, órganos autónomos, partidos políticos,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p>
    <w:p w:rsidR="00120DAA" w:rsidRPr="00AE0EBD" w:rsidRDefault="00120DAA" w:rsidP="00120DAA">
      <w:pPr>
        <w:pStyle w:val="Sinespaciado"/>
      </w:pPr>
    </w:p>
    <w:p w:rsidR="00120DAA" w:rsidRPr="00AE0EBD" w:rsidRDefault="00120DAA" w:rsidP="00120DAA">
      <w:pPr>
        <w:pStyle w:val="Sinespaciado"/>
        <w:ind w:left="851" w:right="851"/>
        <w:jc w:val="both"/>
        <w:rPr>
          <w:rFonts w:ascii="Palatino Linotype" w:hAnsi="Palatino Linotype"/>
          <w:b/>
          <w:i/>
          <w:sz w:val="22"/>
          <w:szCs w:val="22"/>
        </w:rPr>
      </w:pPr>
      <w:r w:rsidRPr="00AE0EBD">
        <w:rPr>
          <w:rFonts w:ascii="Palatino Linotype" w:hAnsi="Palatino Linotype"/>
          <w:b/>
          <w:i/>
          <w:sz w:val="22"/>
          <w:szCs w:val="22"/>
        </w:rPr>
        <w:t>Artículo 6</w:t>
      </w:r>
    </w:p>
    <w:p w:rsidR="00120DAA" w:rsidRPr="00AE0EBD" w:rsidRDefault="00120DAA" w:rsidP="00120DAA">
      <w:pPr>
        <w:pStyle w:val="Sinespaciado"/>
        <w:ind w:left="851" w:right="851"/>
        <w:jc w:val="both"/>
        <w:rPr>
          <w:rFonts w:ascii="Palatino Linotype" w:hAnsi="Palatino Linotype"/>
          <w:i/>
          <w:sz w:val="22"/>
          <w:szCs w:val="22"/>
        </w:rPr>
      </w:pPr>
      <w:r w:rsidRPr="00AE0EBD">
        <w:rPr>
          <w:rFonts w:ascii="Palatino Linotype" w:hAnsi="Palatino Linotype"/>
          <w:i/>
          <w:sz w:val="22"/>
          <w:szCs w:val="22"/>
        </w:rPr>
        <w:t>(…)</w:t>
      </w:r>
    </w:p>
    <w:p w:rsidR="00120DAA" w:rsidRPr="00AE0EBD" w:rsidRDefault="00120DAA" w:rsidP="00120DAA">
      <w:pPr>
        <w:pStyle w:val="Sinespaciado"/>
        <w:ind w:left="851" w:right="851"/>
        <w:jc w:val="both"/>
        <w:rPr>
          <w:rFonts w:ascii="Palatino Linotype" w:hAnsi="Palatino Linotype"/>
          <w:i/>
          <w:sz w:val="22"/>
          <w:szCs w:val="22"/>
        </w:rPr>
      </w:pPr>
      <w:r w:rsidRPr="00AE0EBD">
        <w:rPr>
          <w:rFonts w:ascii="Palatino Linotype" w:hAnsi="Palatino Linotype"/>
          <w:i/>
          <w:sz w:val="22"/>
          <w:szCs w:val="22"/>
        </w:rPr>
        <w:lastRenderedPageBreak/>
        <w:t>Para el ejercicio del derecho de acceso a la información, la Federación, los Estados y el Distrito Federal, en el ámbito de sus respectivas competencias, se regirán por los siguientes principios y bases:</w:t>
      </w:r>
    </w:p>
    <w:p w:rsidR="00120DAA" w:rsidRPr="00AE0EBD" w:rsidRDefault="00120DAA" w:rsidP="00120DAA">
      <w:pPr>
        <w:pStyle w:val="Sinespaciado"/>
        <w:ind w:left="851" w:right="851"/>
        <w:jc w:val="both"/>
        <w:rPr>
          <w:rFonts w:ascii="Palatino Linotype" w:hAnsi="Palatino Linotype"/>
          <w:i/>
          <w:sz w:val="22"/>
          <w:szCs w:val="22"/>
        </w:rPr>
      </w:pPr>
    </w:p>
    <w:p w:rsidR="00120DAA" w:rsidRPr="00AE0EBD" w:rsidRDefault="00120DAA" w:rsidP="00120DAA">
      <w:pPr>
        <w:pStyle w:val="Sinespaciado"/>
        <w:numPr>
          <w:ilvl w:val="0"/>
          <w:numId w:val="7"/>
        </w:numPr>
        <w:ind w:left="851" w:right="851"/>
        <w:jc w:val="both"/>
        <w:rPr>
          <w:rFonts w:ascii="Palatino Linotype" w:hAnsi="Palatino Linotype"/>
          <w:i/>
          <w:sz w:val="22"/>
          <w:szCs w:val="22"/>
        </w:rPr>
      </w:pPr>
      <w:r w:rsidRPr="00AE0EBD">
        <w:rPr>
          <w:rFonts w:ascii="Palatino Linotype" w:hAnsi="Palatino Linotype"/>
          <w:b/>
          <w:i/>
          <w:sz w:val="22"/>
          <w:szCs w:val="22"/>
          <w:u w:val="single"/>
        </w:rPr>
        <w:t>Toda la información en posesión de</w:t>
      </w:r>
      <w:r w:rsidRPr="00AE0EBD">
        <w:rPr>
          <w:rFonts w:ascii="Palatino Linotype" w:hAnsi="Palatino Linotype"/>
          <w:i/>
          <w:sz w:val="22"/>
          <w:szCs w:val="22"/>
        </w:rPr>
        <w:t xml:space="preserv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AE0EBD">
        <w:rPr>
          <w:rFonts w:ascii="Palatino Linotype" w:hAnsi="Palatino Linotype"/>
          <w:b/>
          <w:i/>
          <w:sz w:val="22"/>
          <w:szCs w:val="22"/>
          <w:u w:val="single"/>
        </w:rPr>
        <w:t>es pública y sólo podrá ser reservada temporalmente por razones de interés público y seguridad nacional, en los términos que fijen las leyes</w:t>
      </w:r>
      <w:r w:rsidRPr="00AE0EBD">
        <w:rPr>
          <w:rFonts w:ascii="Palatino Linotype" w:hAnsi="Palatino Linotype"/>
          <w:i/>
          <w:sz w:val="22"/>
          <w:szCs w:val="22"/>
        </w:rPr>
        <w:t>.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120DAA" w:rsidRPr="00AE0EBD" w:rsidRDefault="00120DAA" w:rsidP="00120DAA">
      <w:pPr>
        <w:pStyle w:val="Sinespaciado"/>
        <w:spacing w:line="360" w:lineRule="auto"/>
        <w:jc w:val="both"/>
        <w:rPr>
          <w:rFonts w:ascii="Palatino Linotype" w:hAnsi="Palatino Linotype"/>
        </w:rPr>
      </w:pPr>
    </w:p>
    <w:p w:rsidR="00120DAA" w:rsidRPr="00AE0EBD" w:rsidRDefault="00120DAA" w:rsidP="00120DAA">
      <w:pPr>
        <w:pStyle w:val="Sinespaciado"/>
        <w:spacing w:line="360" w:lineRule="auto"/>
        <w:jc w:val="both"/>
        <w:rPr>
          <w:rFonts w:ascii="Palatino Linotype" w:hAnsi="Palatino Linotype" w:cs="Arial"/>
        </w:rPr>
      </w:pPr>
      <w:r w:rsidRPr="00AE0EBD">
        <w:rPr>
          <w:rFonts w:ascii="Palatino Linotype" w:hAnsi="Palatino Linotype" w:cs="Arial"/>
        </w:rPr>
        <w:t xml:space="preserve">Ahora bien, en atención a lo dispuesto por los artículos 4 y 12, </w:t>
      </w:r>
      <w:r w:rsidRPr="00AE0EBD">
        <w:rPr>
          <w:rFonts w:ascii="Palatino Linotype" w:hAnsi="Palatino Linotype" w:cs="Arial"/>
          <w:bCs/>
        </w:rPr>
        <w:t>de la Ley de Transparencia y Acceso a la Información Pública del Estado de México y Municipios</w:t>
      </w:r>
      <w:r w:rsidRPr="00AE0EBD">
        <w:rPr>
          <w:rFonts w:ascii="Palatino Linotype" w:hAnsi="Palatino Linotype" w:cs="Arial"/>
        </w:rPr>
        <w:t>, los cuales son del tenor literal siguiente:</w:t>
      </w:r>
    </w:p>
    <w:p w:rsidR="00120DAA" w:rsidRPr="00AE0EBD" w:rsidRDefault="00120DAA" w:rsidP="00120DAA">
      <w:pPr>
        <w:pStyle w:val="Sinespaciado"/>
        <w:ind w:left="851" w:right="851"/>
        <w:jc w:val="both"/>
        <w:rPr>
          <w:rFonts w:ascii="Palatino Linotype" w:hAnsi="Palatino Linotype"/>
          <w:i/>
          <w:sz w:val="22"/>
          <w:szCs w:val="22"/>
        </w:rPr>
      </w:pPr>
    </w:p>
    <w:p w:rsidR="00120DAA" w:rsidRPr="00AE0EBD" w:rsidRDefault="00120DAA" w:rsidP="00120DAA">
      <w:pPr>
        <w:pStyle w:val="Sinespaciado"/>
        <w:ind w:left="851" w:right="851"/>
        <w:jc w:val="both"/>
        <w:rPr>
          <w:rFonts w:ascii="Palatino Linotype" w:hAnsi="Palatino Linotype"/>
          <w:bCs/>
          <w:i/>
          <w:sz w:val="22"/>
          <w:szCs w:val="22"/>
        </w:rPr>
      </w:pPr>
      <w:r w:rsidRPr="00AE0EBD">
        <w:rPr>
          <w:rFonts w:ascii="Palatino Linotype" w:hAnsi="Palatino Linotype"/>
          <w:b/>
          <w:bCs/>
          <w:i/>
          <w:sz w:val="22"/>
          <w:szCs w:val="22"/>
        </w:rPr>
        <w:t>Artículo 4.</w:t>
      </w:r>
      <w:r w:rsidRPr="00AE0EBD">
        <w:rPr>
          <w:rFonts w:ascii="Palatino Linotype" w:hAnsi="Palatino Linotype"/>
          <w:bCs/>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rsidR="00120DAA" w:rsidRPr="00AE0EBD" w:rsidRDefault="00120DAA" w:rsidP="00120DAA">
      <w:pPr>
        <w:pStyle w:val="Sinespaciado"/>
        <w:ind w:left="851" w:right="851"/>
        <w:jc w:val="both"/>
        <w:rPr>
          <w:rFonts w:ascii="Palatino Linotype" w:hAnsi="Palatino Linotype"/>
          <w:bCs/>
          <w:i/>
          <w:sz w:val="22"/>
          <w:szCs w:val="22"/>
        </w:rPr>
      </w:pPr>
    </w:p>
    <w:p w:rsidR="00120DAA" w:rsidRPr="00AE0EBD" w:rsidRDefault="00120DAA" w:rsidP="00120DAA">
      <w:pPr>
        <w:pStyle w:val="Sinespaciado"/>
        <w:ind w:left="851" w:right="851"/>
        <w:jc w:val="both"/>
        <w:rPr>
          <w:rFonts w:ascii="Palatino Linotype" w:hAnsi="Palatino Linotype"/>
          <w:bCs/>
          <w:i/>
          <w:sz w:val="22"/>
          <w:szCs w:val="22"/>
        </w:rPr>
      </w:pPr>
      <w:r w:rsidRPr="00AE0EBD">
        <w:rPr>
          <w:rFonts w:ascii="Palatino Linotype" w:hAnsi="Palatino Linotype"/>
          <w:b/>
          <w:bCs/>
          <w:i/>
          <w:sz w:val="22"/>
          <w:szCs w:val="22"/>
          <w:u w:val="single"/>
        </w:rPr>
        <w:t>Toda la información generada, obtenida, adquirida, transformada, administrada o en posesión de los sujetos obligados es pública y accesible de manera permanente a cualquier persona,</w:t>
      </w:r>
      <w:r w:rsidRPr="00AE0EBD">
        <w:rPr>
          <w:rFonts w:ascii="Palatino Linotype" w:hAnsi="Palatino Linotype"/>
          <w:bCs/>
          <w:i/>
          <w:sz w:val="22"/>
          <w:szCs w:val="22"/>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120DAA" w:rsidRPr="00AE0EBD" w:rsidRDefault="00120DAA" w:rsidP="00120DAA">
      <w:pPr>
        <w:pStyle w:val="Sinespaciado"/>
        <w:ind w:left="851" w:right="851"/>
        <w:jc w:val="both"/>
        <w:rPr>
          <w:rFonts w:ascii="Palatino Linotype" w:hAnsi="Palatino Linotype"/>
          <w:bCs/>
          <w:i/>
          <w:sz w:val="22"/>
          <w:szCs w:val="22"/>
        </w:rPr>
      </w:pPr>
    </w:p>
    <w:p w:rsidR="00120DAA" w:rsidRPr="00AE0EBD" w:rsidRDefault="00120DAA" w:rsidP="00120DAA">
      <w:pPr>
        <w:pStyle w:val="Sinespaciado"/>
        <w:ind w:left="851" w:right="851"/>
        <w:jc w:val="both"/>
        <w:rPr>
          <w:rFonts w:ascii="Palatino Linotype" w:hAnsi="Palatino Linotype"/>
          <w:bCs/>
          <w:i/>
          <w:sz w:val="22"/>
          <w:szCs w:val="22"/>
        </w:rPr>
      </w:pPr>
      <w:r w:rsidRPr="00AE0EBD">
        <w:rPr>
          <w:rFonts w:ascii="Palatino Linotype" w:hAnsi="Palatino Linotype"/>
          <w:bCs/>
          <w:i/>
          <w:sz w:val="22"/>
          <w:szCs w:val="22"/>
        </w:rPr>
        <w:t>Los sujetos obligados deben poner en práctica, políticas y programas de acceso a la información que se apeguen a criterios de publicidad, veracidad, oportunidad, precisión y suficiencia en beneficio de los solicitantes.</w:t>
      </w:r>
    </w:p>
    <w:p w:rsidR="00120DAA" w:rsidRPr="00AE0EBD" w:rsidRDefault="00120DAA" w:rsidP="00120DAA">
      <w:pPr>
        <w:pStyle w:val="Sinespaciado"/>
        <w:ind w:left="851" w:right="851"/>
        <w:jc w:val="both"/>
        <w:rPr>
          <w:rFonts w:ascii="Palatino Linotype" w:hAnsi="Palatino Linotype"/>
          <w:i/>
          <w:sz w:val="22"/>
          <w:szCs w:val="22"/>
        </w:rPr>
      </w:pPr>
    </w:p>
    <w:p w:rsidR="00120DAA" w:rsidRPr="00AE0EBD" w:rsidRDefault="00120DAA" w:rsidP="00120DAA">
      <w:pPr>
        <w:pStyle w:val="Sinespaciado"/>
        <w:ind w:left="851" w:right="851"/>
        <w:jc w:val="both"/>
        <w:rPr>
          <w:rFonts w:ascii="Palatino Linotype" w:hAnsi="Palatino Linotype"/>
          <w:i/>
          <w:sz w:val="22"/>
          <w:szCs w:val="22"/>
        </w:rPr>
      </w:pPr>
      <w:r w:rsidRPr="00AE0EBD">
        <w:rPr>
          <w:rFonts w:ascii="Palatino Linotype" w:hAnsi="Palatino Linotype"/>
          <w:b/>
          <w:i/>
          <w:sz w:val="22"/>
          <w:szCs w:val="22"/>
        </w:rPr>
        <w:lastRenderedPageBreak/>
        <w:t>Artículo 12.</w:t>
      </w:r>
      <w:r w:rsidRPr="00AE0EBD">
        <w:rPr>
          <w:rFonts w:ascii="Palatino Linotype" w:hAnsi="Palatino Linotype"/>
          <w:i/>
          <w:sz w:val="22"/>
          <w:szCs w:val="22"/>
        </w:rPr>
        <w:t xml:space="preserve"> Quienes generen, recopilen, administren, manejen, procesen, archiven o conserven información pública serán responsables de la misma en los términos de las disposiciones jurídicas aplicables.</w:t>
      </w:r>
    </w:p>
    <w:p w:rsidR="00120DAA" w:rsidRPr="00AE0EBD" w:rsidRDefault="00120DAA" w:rsidP="00120DAA">
      <w:pPr>
        <w:pStyle w:val="Sinespaciado"/>
        <w:ind w:left="851" w:right="851"/>
        <w:jc w:val="both"/>
        <w:rPr>
          <w:rFonts w:ascii="Palatino Linotype" w:hAnsi="Palatino Linotype"/>
          <w:i/>
          <w:sz w:val="22"/>
          <w:szCs w:val="22"/>
        </w:rPr>
      </w:pPr>
    </w:p>
    <w:p w:rsidR="00120DAA" w:rsidRPr="00AE0EBD" w:rsidRDefault="00120DAA" w:rsidP="00120DAA">
      <w:pPr>
        <w:pStyle w:val="Sinespaciado"/>
        <w:ind w:left="851" w:right="851"/>
        <w:jc w:val="both"/>
        <w:rPr>
          <w:rFonts w:ascii="Palatino Linotype" w:hAnsi="Palatino Linotype"/>
          <w:i/>
          <w:u w:val="single"/>
        </w:rPr>
      </w:pPr>
      <w:r w:rsidRPr="00AE0EBD">
        <w:rPr>
          <w:rFonts w:ascii="Palatino Linotype" w:hAnsi="Palatino Linotype"/>
          <w:b/>
          <w:i/>
          <w:sz w:val="22"/>
          <w:szCs w:val="22"/>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AE0EBD">
        <w:rPr>
          <w:rFonts w:ascii="Palatino Linotype" w:hAnsi="Palatino Linotype"/>
          <w:i/>
          <w:sz w:val="22"/>
          <w:szCs w:val="22"/>
        </w:rPr>
        <w:t>.</w:t>
      </w:r>
    </w:p>
    <w:p w:rsidR="00120DAA" w:rsidRPr="00AE0EBD" w:rsidRDefault="00120DAA" w:rsidP="00120DAA">
      <w:pPr>
        <w:pStyle w:val="Sinespaciado"/>
        <w:spacing w:line="360" w:lineRule="auto"/>
        <w:jc w:val="both"/>
        <w:rPr>
          <w:rFonts w:ascii="Palatino Linotype" w:hAnsi="Palatino Linotype"/>
        </w:rPr>
      </w:pPr>
    </w:p>
    <w:p w:rsidR="00120DAA" w:rsidRPr="00AE0EBD" w:rsidRDefault="00120DAA" w:rsidP="00120DAA">
      <w:pPr>
        <w:pStyle w:val="Sinespaciado"/>
        <w:spacing w:line="360" w:lineRule="auto"/>
        <w:jc w:val="both"/>
        <w:rPr>
          <w:rFonts w:ascii="Palatino Linotype" w:hAnsi="Palatino Linotype" w:cs="Arial"/>
        </w:rPr>
      </w:pPr>
      <w:r w:rsidRPr="00AE0EBD">
        <w:rPr>
          <w:rFonts w:ascii="Palatino Linotype" w:hAnsi="Palatino Linotype" w:cs="Arial"/>
        </w:rPr>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rsidR="00120DAA" w:rsidRPr="00AE0EBD" w:rsidRDefault="00120DAA" w:rsidP="00120DAA">
      <w:pPr>
        <w:pStyle w:val="Sinespaciado"/>
        <w:spacing w:line="360" w:lineRule="auto"/>
        <w:jc w:val="both"/>
        <w:rPr>
          <w:rFonts w:ascii="Palatino Linotype" w:hAnsi="Palatino Linotype" w:cs="Arial"/>
        </w:rPr>
      </w:pPr>
    </w:p>
    <w:p w:rsidR="00120DAA" w:rsidRPr="00AE0EBD" w:rsidRDefault="00120DAA" w:rsidP="00120DAA">
      <w:pPr>
        <w:pStyle w:val="Sinespaciado"/>
        <w:spacing w:line="360" w:lineRule="auto"/>
        <w:jc w:val="both"/>
        <w:rPr>
          <w:rFonts w:ascii="Palatino Linotype" w:hAnsi="Palatino Linotype"/>
        </w:rPr>
      </w:pPr>
      <w:r w:rsidRPr="00AE0EBD">
        <w:rPr>
          <w:rFonts w:ascii="Palatino Linotype" w:hAnsi="Palatino Linotype"/>
        </w:rPr>
        <w:t>En ese orden de ideas, la Ley de Transparencia y Acceso a la Información Pública del Estado de México y Municipios, prevé en su artículo 23, lo siguiente:</w:t>
      </w:r>
    </w:p>
    <w:p w:rsidR="00120DAA" w:rsidRPr="00AE0EBD" w:rsidRDefault="00120DAA" w:rsidP="00120DAA">
      <w:pPr>
        <w:pStyle w:val="Sinespaciado"/>
      </w:pPr>
      <w:r w:rsidRPr="00AE0EBD">
        <w:tab/>
      </w:r>
    </w:p>
    <w:p w:rsidR="00120DAA" w:rsidRPr="00AE0EBD" w:rsidRDefault="00120DAA" w:rsidP="00120DAA">
      <w:pPr>
        <w:pStyle w:val="Sinespaciado"/>
        <w:ind w:left="851" w:right="851"/>
        <w:jc w:val="both"/>
        <w:rPr>
          <w:rFonts w:ascii="Palatino Linotype" w:hAnsi="Palatino Linotype"/>
          <w:i/>
          <w:sz w:val="22"/>
          <w:szCs w:val="22"/>
        </w:rPr>
      </w:pPr>
      <w:r w:rsidRPr="00AE0EBD">
        <w:rPr>
          <w:rFonts w:ascii="Palatino Linotype" w:hAnsi="Palatino Linotype"/>
          <w:b/>
          <w:i/>
          <w:sz w:val="22"/>
          <w:szCs w:val="22"/>
        </w:rPr>
        <w:t>Artículo 23.</w:t>
      </w:r>
      <w:r w:rsidRPr="00AE0EBD">
        <w:rPr>
          <w:rFonts w:ascii="Palatino Linotype" w:hAnsi="Palatino Linotype"/>
          <w:i/>
          <w:sz w:val="22"/>
          <w:szCs w:val="22"/>
        </w:rPr>
        <w:t xml:space="preserve"> Son sujetos obligados a transparentar y permitir el acceso a su información y proteger los datos personales que obren en su poder:</w:t>
      </w:r>
    </w:p>
    <w:p w:rsidR="00120DAA" w:rsidRPr="00AE0EBD" w:rsidRDefault="00120DAA" w:rsidP="00120DAA">
      <w:pPr>
        <w:pStyle w:val="Sinespaciado"/>
        <w:ind w:left="851" w:right="851"/>
        <w:jc w:val="both"/>
        <w:rPr>
          <w:rFonts w:ascii="Palatino Linotype" w:hAnsi="Palatino Linotype"/>
          <w:i/>
          <w:sz w:val="22"/>
          <w:szCs w:val="22"/>
        </w:rPr>
      </w:pPr>
    </w:p>
    <w:p w:rsidR="00120DAA" w:rsidRPr="00AE0EBD" w:rsidRDefault="00120DAA" w:rsidP="00120DAA">
      <w:pPr>
        <w:pStyle w:val="Sinespaciado"/>
        <w:ind w:left="851" w:right="851"/>
        <w:jc w:val="both"/>
        <w:rPr>
          <w:rFonts w:ascii="Palatino Linotype" w:hAnsi="Palatino Linotype"/>
          <w:i/>
          <w:sz w:val="22"/>
          <w:szCs w:val="22"/>
        </w:rPr>
      </w:pPr>
      <w:r w:rsidRPr="00AE0EBD">
        <w:rPr>
          <w:rFonts w:ascii="Palatino Linotype" w:hAnsi="Palatino Linotype"/>
          <w:i/>
          <w:sz w:val="22"/>
          <w:szCs w:val="22"/>
        </w:rPr>
        <w:t>I. El Poder Ejecutivo del Estado de México, las dependencias, organismos auxiliares, órganos, entidades, fideicomisos y fondos públicos, así como la Procuraduría General de Justicia;</w:t>
      </w:r>
    </w:p>
    <w:p w:rsidR="00120DAA" w:rsidRPr="00AE0EBD" w:rsidRDefault="00120DAA" w:rsidP="00120DAA">
      <w:pPr>
        <w:pStyle w:val="Sinespaciado"/>
        <w:ind w:left="851" w:right="851"/>
        <w:jc w:val="both"/>
        <w:rPr>
          <w:rFonts w:ascii="Palatino Linotype" w:hAnsi="Palatino Linotype"/>
          <w:i/>
          <w:sz w:val="22"/>
          <w:szCs w:val="22"/>
        </w:rPr>
      </w:pPr>
      <w:r w:rsidRPr="00AE0EBD">
        <w:rPr>
          <w:rFonts w:ascii="Palatino Linotype" w:hAnsi="Palatino Linotype"/>
          <w:i/>
          <w:sz w:val="22"/>
          <w:szCs w:val="22"/>
        </w:rPr>
        <w:t>II. El Poder Legislativo del Estado, los organismos, órganos y entidades de la Legislatura y sus dependencias;</w:t>
      </w:r>
    </w:p>
    <w:p w:rsidR="00120DAA" w:rsidRPr="00AE0EBD" w:rsidRDefault="00120DAA" w:rsidP="00120DAA">
      <w:pPr>
        <w:pStyle w:val="Sinespaciado"/>
        <w:ind w:left="851" w:right="851"/>
        <w:jc w:val="both"/>
        <w:rPr>
          <w:rFonts w:ascii="Palatino Linotype" w:hAnsi="Palatino Linotype"/>
          <w:i/>
          <w:sz w:val="22"/>
          <w:szCs w:val="22"/>
        </w:rPr>
      </w:pPr>
      <w:r w:rsidRPr="00AE0EBD">
        <w:rPr>
          <w:rFonts w:ascii="Palatino Linotype" w:hAnsi="Palatino Linotype"/>
          <w:i/>
          <w:sz w:val="22"/>
          <w:szCs w:val="22"/>
        </w:rPr>
        <w:t>III. El Poder Judicial, sus organismos, órganos y entidades, así como el Consejo de la Judicatura del Estado;</w:t>
      </w:r>
    </w:p>
    <w:p w:rsidR="00120DAA" w:rsidRPr="00AE0EBD" w:rsidRDefault="00120DAA" w:rsidP="00120DAA">
      <w:pPr>
        <w:pStyle w:val="Sinespaciado"/>
        <w:ind w:left="851" w:right="851"/>
        <w:jc w:val="both"/>
        <w:rPr>
          <w:rFonts w:ascii="Palatino Linotype" w:hAnsi="Palatino Linotype"/>
          <w:i/>
          <w:sz w:val="22"/>
          <w:szCs w:val="22"/>
        </w:rPr>
      </w:pPr>
      <w:r w:rsidRPr="00AE0EBD">
        <w:rPr>
          <w:rFonts w:ascii="Palatino Linotype" w:hAnsi="Palatino Linotype"/>
          <w:i/>
          <w:sz w:val="22"/>
          <w:szCs w:val="22"/>
        </w:rPr>
        <w:t xml:space="preserve">IV. </w:t>
      </w:r>
      <w:r w:rsidRPr="00AE0EBD">
        <w:rPr>
          <w:rFonts w:ascii="Palatino Linotype" w:hAnsi="Palatino Linotype"/>
          <w:b/>
          <w:i/>
          <w:sz w:val="22"/>
          <w:szCs w:val="22"/>
          <w:u w:val="single"/>
        </w:rPr>
        <w:t>Los ayuntamientos y las dependencias, organismos, órganos y entidades de la administración municipal</w:t>
      </w:r>
      <w:r w:rsidRPr="00AE0EBD">
        <w:rPr>
          <w:rFonts w:ascii="Palatino Linotype" w:hAnsi="Palatino Linotype"/>
          <w:i/>
          <w:sz w:val="22"/>
          <w:szCs w:val="22"/>
        </w:rPr>
        <w:t>;</w:t>
      </w:r>
    </w:p>
    <w:p w:rsidR="00120DAA" w:rsidRPr="00AE0EBD" w:rsidRDefault="00120DAA" w:rsidP="00120DAA">
      <w:pPr>
        <w:pStyle w:val="Sinespaciado"/>
        <w:ind w:left="851" w:right="851"/>
        <w:jc w:val="both"/>
        <w:rPr>
          <w:rFonts w:ascii="Palatino Linotype" w:hAnsi="Palatino Linotype"/>
          <w:i/>
          <w:sz w:val="22"/>
          <w:szCs w:val="22"/>
        </w:rPr>
      </w:pPr>
      <w:r w:rsidRPr="00AE0EBD">
        <w:rPr>
          <w:rFonts w:ascii="Palatino Linotype" w:hAnsi="Palatino Linotype"/>
          <w:i/>
          <w:sz w:val="22"/>
          <w:szCs w:val="22"/>
        </w:rPr>
        <w:t>V. Los órganos autónomos;</w:t>
      </w:r>
    </w:p>
    <w:p w:rsidR="00120DAA" w:rsidRPr="00AE0EBD" w:rsidRDefault="00120DAA" w:rsidP="00120DAA">
      <w:pPr>
        <w:pStyle w:val="Sinespaciado"/>
        <w:ind w:left="851" w:right="851"/>
        <w:jc w:val="both"/>
        <w:rPr>
          <w:rFonts w:ascii="Palatino Linotype" w:hAnsi="Palatino Linotype"/>
          <w:i/>
          <w:sz w:val="22"/>
          <w:szCs w:val="22"/>
        </w:rPr>
      </w:pPr>
      <w:r w:rsidRPr="00AE0EBD">
        <w:rPr>
          <w:rFonts w:ascii="Palatino Linotype" w:hAnsi="Palatino Linotype"/>
          <w:i/>
          <w:sz w:val="22"/>
          <w:szCs w:val="22"/>
        </w:rPr>
        <w:t>VI. Los tribunales administrativos y autoridades jurisdiccionales en materia laboral;</w:t>
      </w:r>
    </w:p>
    <w:p w:rsidR="00120DAA" w:rsidRPr="00AE0EBD" w:rsidRDefault="00120DAA" w:rsidP="00120DAA">
      <w:pPr>
        <w:pStyle w:val="Sinespaciado"/>
        <w:ind w:left="851" w:right="851"/>
        <w:jc w:val="both"/>
        <w:rPr>
          <w:rFonts w:ascii="Palatino Linotype" w:hAnsi="Palatino Linotype"/>
          <w:i/>
          <w:sz w:val="22"/>
          <w:szCs w:val="22"/>
        </w:rPr>
      </w:pPr>
      <w:r w:rsidRPr="00AE0EBD">
        <w:rPr>
          <w:rFonts w:ascii="Palatino Linotype" w:hAnsi="Palatino Linotype"/>
          <w:i/>
          <w:sz w:val="22"/>
          <w:szCs w:val="22"/>
        </w:rPr>
        <w:lastRenderedPageBreak/>
        <w:t>VII. Los partidos políticos y agrupaciones políticas, en los términos de las disposiciones aplicables;</w:t>
      </w:r>
    </w:p>
    <w:p w:rsidR="00120DAA" w:rsidRPr="00AE0EBD" w:rsidRDefault="00120DAA" w:rsidP="00120DAA">
      <w:pPr>
        <w:pStyle w:val="Sinespaciado"/>
        <w:ind w:left="851" w:right="851"/>
        <w:jc w:val="both"/>
        <w:rPr>
          <w:rFonts w:ascii="Palatino Linotype" w:hAnsi="Palatino Linotype"/>
          <w:i/>
          <w:sz w:val="22"/>
          <w:szCs w:val="22"/>
        </w:rPr>
      </w:pPr>
      <w:r w:rsidRPr="00AE0EBD">
        <w:rPr>
          <w:rFonts w:ascii="Palatino Linotype" w:hAnsi="Palatino Linotype"/>
          <w:i/>
          <w:sz w:val="22"/>
          <w:szCs w:val="22"/>
        </w:rPr>
        <w:t>VIII. Los fideicomisos y fondos públicos que cuenten con financiamiento público, parcial o total, o con participación de entidades de gobierno;</w:t>
      </w:r>
    </w:p>
    <w:p w:rsidR="00120DAA" w:rsidRPr="00AE0EBD" w:rsidRDefault="00120DAA" w:rsidP="00120DAA">
      <w:pPr>
        <w:pStyle w:val="Sinespaciado"/>
        <w:ind w:left="851" w:right="851"/>
        <w:jc w:val="both"/>
        <w:rPr>
          <w:rFonts w:ascii="Palatino Linotype" w:hAnsi="Palatino Linotype"/>
          <w:i/>
          <w:sz w:val="22"/>
          <w:szCs w:val="22"/>
        </w:rPr>
      </w:pPr>
      <w:r w:rsidRPr="00AE0EBD">
        <w:rPr>
          <w:rFonts w:ascii="Palatino Linotype" w:hAnsi="Palatino Linotype"/>
          <w:i/>
          <w:sz w:val="22"/>
          <w:szCs w:val="22"/>
        </w:rPr>
        <w:t>IX. Los sindicatos que reciban y/o ejerzan recursos públicos en el ámbito estatal y municipal;</w:t>
      </w:r>
    </w:p>
    <w:p w:rsidR="00120DAA" w:rsidRPr="00AE0EBD" w:rsidRDefault="00120DAA" w:rsidP="00120DAA">
      <w:pPr>
        <w:pStyle w:val="Sinespaciado"/>
        <w:ind w:left="851" w:right="851"/>
        <w:jc w:val="both"/>
        <w:rPr>
          <w:rFonts w:ascii="Palatino Linotype" w:hAnsi="Palatino Linotype"/>
          <w:i/>
          <w:sz w:val="22"/>
          <w:szCs w:val="22"/>
        </w:rPr>
      </w:pPr>
      <w:r w:rsidRPr="00AE0EBD">
        <w:rPr>
          <w:rFonts w:ascii="Palatino Linotype" w:hAnsi="Palatino Linotype"/>
          <w:i/>
          <w:sz w:val="22"/>
          <w:szCs w:val="22"/>
        </w:rPr>
        <w:t>X. Cualquier persona física o jurídico colectiva que reciba y ejerza recursos públicos en el ámbito estatal o municipal; y</w:t>
      </w:r>
    </w:p>
    <w:p w:rsidR="00120DAA" w:rsidRPr="00AE0EBD" w:rsidRDefault="00120DAA" w:rsidP="00120DAA">
      <w:pPr>
        <w:pStyle w:val="Sinespaciado"/>
        <w:ind w:left="851" w:right="851"/>
        <w:jc w:val="both"/>
        <w:rPr>
          <w:rFonts w:ascii="Palatino Linotype" w:hAnsi="Palatino Linotype"/>
          <w:i/>
          <w:sz w:val="22"/>
          <w:szCs w:val="22"/>
        </w:rPr>
      </w:pPr>
      <w:r w:rsidRPr="00AE0EBD">
        <w:rPr>
          <w:rFonts w:ascii="Palatino Linotype" w:hAnsi="Palatino Linotype"/>
          <w:i/>
          <w:sz w:val="22"/>
          <w:szCs w:val="22"/>
        </w:rPr>
        <w:t>XI. Cualquier otra autoridad, entidad, órgano u organismo de los poderes estatal o municipal, que reciba recursos públicos.</w:t>
      </w:r>
    </w:p>
    <w:p w:rsidR="00120DAA" w:rsidRPr="00AE0EBD" w:rsidRDefault="00120DAA" w:rsidP="00120DAA">
      <w:pPr>
        <w:pStyle w:val="Sinespaciado"/>
        <w:ind w:left="851" w:right="851"/>
        <w:jc w:val="both"/>
        <w:rPr>
          <w:rFonts w:ascii="Palatino Linotype" w:hAnsi="Palatino Linotype"/>
          <w:i/>
          <w:sz w:val="22"/>
          <w:szCs w:val="22"/>
        </w:rPr>
      </w:pPr>
      <w:r w:rsidRPr="00AE0EBD">
        <w:rPr>
          <w:rFonts w:ascii="Palatino Linotype" w:hAnsi="Palatino Linotype"/>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120DAA" w:rsidRPr="00AE0EBD" w:rsidRDefault="00120DAA" w:rsidP="00120DAA">
      <w:pPr>
        <w:pStyle w:val="Sinespaciado"/>
        <w:ind w:left="851" w:right="851"/>
        <w:jc w:val="both"/>
        <w:rPr>
          <w:rFonts w:ascii="Palatino Linotype" w:hAnsi="Palatino Linotype"/>
          <w:i/>
        </w:rPr>
      </w:pPr>
      <w:r w:rsidRPr="00AE0EBD">
        <w:rPr>
          <w:rFonts w:ascii="Palatino Linotype" w:hAnsi="Palatino Linotype"/>
          <w:i/>
          <w:sz w:val="22"/>
          <w:szCs w:val="22"/>
        </w:rPr>
        <w:t>Los servidores públicos deberán transparentar sus acciones así como garantizar y respetar el derecho de acceso a la información pública.</w:t>
      </w:r>
    </w:p>
    <w:p w:rsidR="00120DAA" w:rsidRPr="00AE0EBD" w:rsidRDefault="00120DAA" w:rsidP="00120DAA">
      <w:pPr>
        <w:pStyle w:val="Sinespaciado"/>
        <w:spacing w:line="360" w:lineRule="auto"/>
        <w:jc w:val="both"/>
        <w:rPr>
          <w:rFonts w:ascii="Palatino Linotype" w:hAnsi="Palatino Linotype"/>
        </w:rPr>
      </w:pPr>
    </w:p>
    <w:p w:rsidR="00120DAA" w:rsidRPr="00AE0EBD" w:rsidRDefault="00120DAA" w:rsidP="00120DAA">
      <w:pPr>
        <w:pStyle w:val="Sinespaciado"/>
        <w:spacing w:line="360" w:lineRule="auto"/>
        <w:jc w:val="both"/>
        <w:rPr>
          <w:rFonts w:ascii="Palatino Linotype" w:hAnsi="Palatino Linotype"/>
        </w:rPr>
      </w:pPr>
      <w:r w:rsidRPr="00AE0EBD">
        <w:rPr>
          <w:rFonts w:ascii="Palatino Linotype" w:hAnsi="Palatino Linotype"/>
        </w:rPr>
        <w:t>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rsidR="00120DAA" w:rsidRPr="00AE0EBD" w:rsidRDefault="00120DAA" w:rsidP="00120DAA">
      <w:pPr>
        <w:pStyle w:val="Sinespaciado"/>
        <w:spacing w:line="360" w:lineRule="auto"/>
        <w:jc w:val="both"/>
        <w:rPr>
          <w:rFonts w:ascii="Palatino Linotype" w:hAnsi="Palatino Linotype"/>
        </w:rPr>
      </w:pPr>
    </w:p>
    <w:p w:rsidR="00796A23" w:rsidRPr="00AE0EBD" w:rsidRDefault="00796A23" w:rsidP="007010A8">
      <w:pPr>
        <w:pStyle w:val="Sinespaciado"/>
        <w:spacing w:line="360" w:lineRule="auto"/>
        <w:jc w:val="both"/>
        <w:rPr>
          <w:rFonts w:ascii="Palatino Linotype" w:hAnsi="Palatino Linotype" w:cs="Arial"/>
        </w:rPr>
      </w:pPr>
      <w:r w:rsidRPr="00AE0EBD">
        <w:rPr>
          <w:rFonts w:ascii="Palatino Linotype" w:hAnsi="Palatino Linotype" w:cs="Arial"/>
        </w:rPr>
        <w:t xml:space="preserve">Primeramente, es de destacar que, respecto a los puntos referidos en los puntos 1) y 2), referentes al nombre actual y sí, ha tenido un nombre anterior, la calle referida en la solicitud de información, el </w:t>
      </w:r>
      <w:r w:rsidRPr="00AE0EBD">
        <w:rPr>
          <w:rFonts w:ascii="Palatino Linotype" w:hAnsi="Palatino Linotype" w:cs="Arial"/>
          <w:b/>
        </w:rPr>
        <w:t>Sujeto Obligado</w:t>
      </w:r>
      <w:r w:rsidRPr="00AE0EBD">
        <w:rPr>
          <w:rFonts w:ascii="Palatino Linotype" w:hAnsi="Palatino Linotype" w:cs="Arial"/>
        </w:rPr>
        <w:t xml:space="preserve">, argumentó que sólo tiene la nomenclatura de “Benito Juárez”, y se desconoce sí anteriormente se haya llamado de otra forma o incluso, si estuvo innominada.  </w:t>
      </w:r>
    </w:p>
    <w:p w:rsidR="00796A23" w:rsidRPr="00AE0EBD" w:rsidRDefault="00796A23" w:rsidP="007010A8">
      <w:pPr>
        <w:pStyle w:val="Sinespaciado"/>
        <w:spacing w:line="360" w:lineRule="auto"/>
        <w:jc w:val="both"/>
        <w:rPr>
          <w:rFonts w:ascii="Palatino Linotype" w:hAnsi="Palatino Linotype" w:cs="Arial"/>
        </w:rPr>
      </w:pPr>
    </w:p>
    <w:p w:rsidR="00796A23" w:rsidRPr="00AE0EBD" w:rsidRDefault="00796A23" w:rsidP="00796A23">
      <w:pPr>
        <w:autoSpaceDE w:val="0"/>
        <w:autoSpaceDN w:val="0"/>
        <w:adjustRightInd w:val="0"/>
        <w:spacing w:after="0" w:line="360" w:lineRule="auto"/>
        <w:jc w:val="both"/>
        <w:rPr>
          <w:rFonts w:ascii="Palatino Linotype" w:hAnsi="Palatino Linotype" w:cs="Arial"/>
          <w:sz w:val="24"/>
          <w:szCs w:val="24"/>
        </w:rPr>
      </w:pPr>
      <w:r w:rsidRPr="00AE0EBD">
        <w:rPr>
          <w:rFonts w:ascii="Palatino Linotype" w:hAnsi="Palatino Linotype" w:cs="Arial"/>
          <w:sz w:val="24"/>
          <w:szCs w:val="24"/>
        </w:rPr>
        <w:lastRenderedPageBreak/>
        <w:t xml:space="preserve">En ese tenor, la respuesta emitida por </w:t>
      </w:r>
      <w:r w:rsidRPr="00AE0EBD">
        <w:rPr>
          <w:rFonts w:ascii="Palatino Linotype" w:hAnsi="Palatino Linotype" w:cs="Arial"/>
          <w:b/>
          <w:sz w:val="24"/>
          <w:szCs w:val="24"/>
        </w:rPr>
        <w:t>El Sujeto Obligado</w:t>
      </w:r>
      <w:r w:rsidRPr="00AE0EBD">
        <w:rPr>
          <w:rFonts w:ascii="Palatino Linotype" w:hAnsi="Palatino Linotype" w:cs="Arial"/>
          <w:sz w:val="24"/>
          <w:szCs w:val="24"/>
        </w:rPr>
        <w:t xml:space="preserve"> tiene la presunción legal de ser verídica, considerado que fue emitida por un servidor público en ejercicio de sus funciones, lo que conlleva la presunción de veracidad de todo acto administrativo.</w:t>
      </w:r>
    </w:p>
    <w:p w:rsidR="00796A23" w:rsidRPr="00AE0EBD" w:rsidRDefault="00796A23" w:rsidP="00796A23">
      <w:pPr>
        <w:pStyle w:val="Sinespaciado"/>
        <w:spacing w:line="360" w:lineRule="auto"/>
      </w:pPr>
    </w:p>
    <w:p w:rsidR="00796A23" w:rsidRPr="00AE0EBD" w:rsidRDefault="00796A23" w:rsidP="00796A23">
      <w:pPr>
        <w:autoSpaceDE w:val="0"/>
        <w:autoSpaceDN w:val="0"/>
        <w:adjustRightInd w:val="0"/>
        <w:spacing w:after="0" w:line="360" w:lineRule="auto"/>
        <w:jc w:val="both"/>
        <w:rPr>
          <w:rFonts w:ascii="Palatino Linotype" w:hAnsi="Palatino Linotype" w:cs="Arial"/>
          <w:sz w:val="24"/>
          <w:szCs w:val="24"/>
        </w:rPr>
      </w:pPr>
      <w:r w:rsidRPr="00AE0EBD">
        <w:rPr>
          <w:rFonts w:ascii="Palatino Linotype" w:hAnsi="Palatino Linotype" w:cs="Arial"/>
          <w:sz w:val="24"/>
          <w:szCs w:val="24"/>
        </w:rPr>
        <w:t>Por lo anterior, se actualiza el supuesto de un hecho de naturaleza negativa, el cual no puede acreditarse documentalmente, ya que no puede probarse un hecho negativo por ser lógica y materialmente imposible.</w:t>
      </w:r>
    </w:p>
    <w:p w:rsidR="00796A23" w:rsidRPr="00AE0EBD" w:rsidRDefault="00796A23" w:rsidP="00796A23">
      <w:pPr>
        <w:spacing w:after="0" w:line="360" w:lineRule="auto"/>
        <w:jc w:val="both"/>
        <w:rPr>
          <w:rFonts w:ascii="Palatino Linotype" w:hAnsi="Palatino Linotype"/>
          <w:sz w:val="24"/>
          <w:szCs w:val="24"/>
        </w:rPr>
      </w:pPr>
    </w:p>
    <w:p w:rsidR="00796A23" w:rsidRPr="00AE0EBD" w:rsidRDefault="00796A23" w:rsidP="00796A23">
      <w:pPr>
        <w:spacing w:after="0" w:line="360" w:lineRule="auto"/>
        <w:jc w:val="both"/>
        <w:rPr>
          <w:rFonts w:ascii="Palatino Linotype" w:hAnsi="Palatino Linotype"/>
          <w:sz w:val="24"/>
          <w:szCs w:val="24"/>
        </w:rPr>
      </w:pPr>
      <w:r w:rsidRPr="00AE0EBD">
        <w:rPr>
          <w:rFonts w:ascii="Palatino Linotype" w:hAnsi="Palatino Linotype"/>
          <w:sz w:val="24"/>
          <w:szCs w:val="24"/>
        </w:rPr>
        <w:t>Encontrándonos ante un hecho negativo, destacando entonces que el Pleno de este Organismo Garante, ha sostenido que ante la presencia de un hecho negativo, resultaría innecesaria una declaratoria de inexistencia en términos de los artículos 19, 169 y 170, de la Ley de Transparencia y Acceso a la Información Pública del Estado de México y Municipios, y ante una hecho negativo resulta aplicable la siguiente tesis:</w:t>
      </w:r>
    </w:p>
    <w:p w:rsidR="00796A23" w:rsidRPr="00AE0EBD" w:rsidRDefault="00796A23" w:rsidP="00796A23">
      <w:pPr>
        <w:pStyle w:val="Sinespaciado"/>
        <w:spacing w:line="360" w:lineRule="auto"/>
      </w:pPr>
    </w:p>
    <w:p w:rsidR="00796A23" w:rsidRPr="00AE0EBD" w:rsidRDefault="00796A23" w:rsidP="00796A23">
      <w:pPr>
        <w:spacing w:after="0" w:line="240" w:lineRule="auto"/>
        <w:ind w:left="709" w:right="760"/>
        <w:jc w:val="both"/>
        <w:rPr>
          <w:rFonts w:ascii="Palatino Linotype" w:hAnsi="Palatino Linotype"/>
          <w:b/>
          <w:i/>
          <w:szCs w:val="24"/>
        </w:rPr>
      </w:pPr>
      <w:r w:rsidRPr="00AE0EBD">
        <w:rPr>
          <w:rFonts w:ascii="Palatino Linotype" w:hAnsi="Palatino Linotype"/>
          <w:b/>
          <w:i/>
          <w:szCs w:val="24"/>
        </w:rPr>
        <w:t xml:space="preserve">HECHOS NEGATIVOS, NO SON SUSCEPTIBLES DE DEMOSTRACIÓN. </w:t>
      </w:r>
    </w:p>
    <w:p w:rsidR="00796A23" w:rsidRPr="00AE0EBD" w:rsidRDefault="00796A23" w:rsidP="00796A23">
      <w:pPr>
        <w:spacing w:after="0" w:line="240" w:lineRule="auto"/>
        <w:ind w:left="709" w:right="760"/>
        <w:jc w:val="both"/>
        <w:rPr>
          <w:rFonts w:ascii="Palatino Linotype" w:hAnsi="Palatino Linotype"/>
          <w:i/>
          <w:szCs w:val="24"/>
        </w:rPr>
      </w:pPr>
      <w:r w:rsidRPr="00AE0EBD">
        <w:rPr>
          <w:rFonts w:ascii="Palatino Linotype" w:hAnsi="Palatino Linotype"/>
          <w:i/>
          <w:szCs w:val="24"/>
        </w:rPr>
        <w:t>Tratándose de un hecho negativo, el Juez no tiene por que invocar prueba alguna de la que se desprenda, ya que es bien sabido que esta clase de hechos no son susceptibles de demostración.</w:t>
      </w:r>
    </w:p>
    <w:p w:rsidR="00796A23" w:rsidRPr="00AE0EBD" w:rsidRDefault="00796A23" w:rsidP="00796A23">
      <w:pPr>
        <w:spacing w:after="0" w:line="240" w:lineRule="auto"/>
        <w:ind w:left="709" w:right="760"/>
        <w:jc w:val="both"/>
        <w:rPr>
          <w:rFonts w:ascii="Palatino Linotype" w:hAnsi="Palatino Linotype"/>
          <w:i/>
          <w:szCs w:val="24"/>
        </w:rPr>
      </w:pPr>
    </w:p>
    <w:p w:rsidR="00796A23" w:rsidRPr="00AE0EBD" w:rsidRDefault="00796A23" w:rsidP="00796A23">
      <w:pPr>
        <w:spacing w:after="0" w:line="240" w:lineRule="auto"/>
        <w:ind w:left="709" w:right="760"/>
        <w:jc w:val="both"/>
        <w:rPr>
          <w:rFonts w:ascii="Palatino Linotype" w:hAnsi="Palatino Linotype"/>
          <w:i/>
          <w:szCs w:val="24"/>
        </w:rPr>
      </w:pPr>
      <w:r w:rsidRPr="00AE0EBD">
        <w:rPr>
          <w:rFonts w:ascii="Palatino Linotype" w:hAnsi="Palatino Linotype"/>
          <w:i/>
          <w:szCs w:val="24"/>
        </w:rPr>
        <w:t>Amparo en revisión 2022/61. José García Florín (Menor). 9 de octubre de 1961. Cinco votos. Ponente: José Rivera Pérez Campos.”</w:t>
      </w:r>
    </w:p>
    <w:p w:rsidR="00796A23" w:rsidRPr="00AE0EBD" w:rsidRDefault="00796A23" w:rsidP="00796A23"/>
    <w:p w:rsidR="00796A23" w:rsidRPr="00AE0EBD" w:rsidRDefault="00796A23" w:rsidP="00796A23">
      <w:pPr>
        <w:tabs>
          <w:tab w:val="left" w:pos="709"/>
        </w:tabs>
        <w:spacing w:after="0" w:line="360" w:lineRule="auto"/>
        <w:jc w:val="both"/>
        <w:rPr>
          <w:rFonts w:ascii="Palatino Linotype" w:hAnsi="Palatino Linotype"/>
          <w:sz w:val="24"/>
          <w:szCs w:val="24"/>
        </w:rPr>
      </w:pPr>
      <w:r w:rsidRPr="00AE0EBD">
        <w:rPr>
          <w:rFonts w:ascii="Palatino Linotype" w:hAnsi="Palatino Linotype"/>
          <w:sz w:val="24"/>
          <w:szCs w:val="24"/>
        </w:rPr>
        <w:t xml:space="preserve">Concretando, al no existir el acto generador de la información se encontraría imposibilitado a la entrega de información que no se tiene en los archivos del </w:t>
      </w:r>
      <w:r w:rsidRPr="00AE0EBD">
        <w:rPr>
          <w:rFonts w:ascii="Palatino Linotype" w:hAnsi="Palatino Linotype"/>
          <w:b/>
          <w:sz w:val="24"/>
          <w:szCs w:val="24"/>
        </w:rPr>
        <w:t>Sujeto Obligado</w:t>
      </w:r>
      <w:r w:rsidRPr="00AE0EBD">
        <w:rPr>
          <w:rFonts w:ascii="Palatino Linotype" w:hAnsi="Palatino Linotype"/>
          <w:sz w:val="24"/>
          <w:szCs w:val="24"/>
        </w:rPr>
        <w:t>, y en conclusión, la información no podría obrar en los archivos del Sujeto Obligado si esta no fue generada, por lo que se da por colmado dichos puntos.</w:t>
      </w:r>
    </w:p>
    <w:p w:rsidR="00796A23" w:rsidRPr="00AE0EBD" w:rsidRDefault="00796A23" w:rsidP="007010A8">
      <w:pPr>
        <w:pStyle w:val="Sinespaciado"/>
        <w:spacing w:line="360" w:lineRule="auto"/>
        <w:jc w:val="both"/>
        <w:rPr>
          <w:rFonts w:ascii="Palatino Linotype" w:hAnsi="Palatino Linotype" w:cs="Arial"/>
        </w:rPr>
      </w:pPr>
    </w:p>
    <w:p w:rsidR="007010A8" w:rsidRPr="00AE0EBD" w:rsidRDefault="007010A8" w:rsidP="00120DAA">
      <w:pPr>
        <w:pStyle w:val="Sinespaciado"/>
        <w:spacing w:line="360" w:lineRule="auto"/>
        <w:jc w:val="both"/>
        <w:rPr>
          <w:rFonts w:ascii="Palatino Linotype" w:hAnsi="Palatino Linotype" w:cs="Arial"/>
        </w:rPr>
      </w:pPr>
    </w:p>
    <w:p w:rsidR="000C68D0" w:rsidRPr="00AE0EBD" w:rsidRDefault="007D2590" w:rsidP="00120DAA">
      <w:pPr>
        <w:pStyle w:val="Sinespaciado"/>
        <w:spacing w:line="360" w:lineRule="auto"/>
        <w:jc w:val="both"/>
        <w:rPr>
          <w:rFonts w:ascii="Palatino Linotype" w:hAnsi="Palatino Linotype" w:cs="TimesNewRomanPS-ItalicMT"/>
          <w:iCs/>
        </w:rPr>
      </w:pPr>
      <w:r w:rsidRPr="00AE0EBD">
        <w:rPr>
          <w:rFonts w:ascii="Palatino Linotype" w:hAnsi="Palatino Linotype" w:cs="TimesNewRomanPS-ItalicMT"/>
          <w:iCs/>
        </w:rPr>
        <w:lastRenderedPageBreak/>
        <w:t>Continuando con los puntos solicitados por el particular</w:t>
      </w:r>
      <w:r w:rsidR="007010A8" w:rsidRPr="00AE0EBD">
        <w:rPr>
          <w:rFonts w:ascii="Palatino Linotype" w:hAnsi="Palatino Linotype" w:cs="TimesNewRomanPS-ItalicMT"/>
          <w:iCs/>
        </w:rPr>
        <w:t xml:space="preserve">, </w:t>
      </w:r>
      <w:r w:rsidRPr="00AE0EBD">
        <w:rPr>
          <w:rFonts w:ascii="Palatino Linotype" w:hAnsi="Palatino Linotype" w:cs="TimesNewRomanPS-ItalicMT"/>
          <w:iCs/>
        </w:rPr>
        <w:t xml:space="preserve">analizaremos si </w:t>
      </w:r>
      <w:r w:rsidR="007010A8" w:rsidRPr="00AE0EBD">
        <w:rPr>
          <w:rFonts w:ascii="Palatino Linotype" w:hAnsi="Palatino Linotype" w:cs="TimesNewRomanPS-ItalicMT"/>
          <w:iCs/>
        </w:rPr>
        <w:t xml:space="preserve">el </w:t>
      </w:r>
      <w:r w:rsidR="007010A8" w:rsidRPr="00AE0EBD">
        <w:rPr>
          <w:rFonts w:ascii="Palatino Linotype" w:hAnsi="Palatino Linotype" w:cs="TimesNewRomanPS-ItalicMT"/>
          <w:b/>
          <w:iCs/>
        </w:rPr>
        <w:t>Sujeto Obligado</w:t>
      </w:r>
      <w:r w:rsidRPr="00AE0EBD">
        <w:rPr>
          <w:rFonts w:ascii="Palatino Linotype" w:hAnsi="Palatino Linotype" w:cs="TimesNewRomanPS-ItalicMT"/>
          <w:iCs/>
        </w:rPr>
        <w:t>,</w:t>
      </w:r>
      <w:r w:rsidR="007010A8" w:rsidRPr="00AE0EBD">
        <w:rPr>
          <w:rFonts w:ascii="Palatino Linotype" w:hAnsi="Palatino Linotype" w:cs="TimesNewRomanPS-ItalicMT"/>
          <w:iCs/>
        </w:rPr>
        <w:t xml:space="preserve"> </w:t>
      </w:r>
      <w:r w:rsidR="000C68D0" w:rsidRPr="00AE0EBD">
        <w:rPr>
          <w:rFonts w:ascii="Palatino Linotype" w:hAnsi="Palatino Linotype" w:cs="TimesNewRomanPS-ItalicMT"/>
          <w:iCs/>
        </w:rPr>
        <w:t xml:space="preserve">tiene la facultad de generar y administrar la información solicitada respecto a los puntos </w:t>
      </w:r>
      <w:r w:rsidR="000C68D0" w:rsidRPr="00AE0EBD">
        <w:rPr>
          <w:rFonts w:ascii="Palatino Linotype" w:hAnsi="Palatino Linotype" w:cs="TimesNewRomanPS-ItalicMT"/>
          <w:i/>
          <w:iCs/>
        </w:rPr>
        <w:t>4)</w:t>
      </w:r>
      <w:r w:rsidR="000C68D0" w:rsidRPr="00AE0EBD">
        <w:rPr>
          <w:rFonts w:ascii="Palatino Linotype" w:hAnsi="Palatino Linotype" w:cs="TimesNewRomanPS-ItalicMT"/>
          <w:iCs/>
        </w:rPr>
        <w:t xml:space="preserve">, </w:t>
      </w:r>
      <w:r w:rsidR="000C68D0" w:rsidRPr="00AE0EBD">
        <w:rPr>
          <w:rFonts w:ascii="Palatino Linotype" w:hAnsi="Palatino Linotype" w:cs="TimesNewRomanPS-ItalicMT"/>
          <w:i/>
          <w:iCs/>
        </w:rPr>
        <w:t>5)</w:t>
      </w:r>
      <w:r w:rsidR="000C68D0" w:rsidRPr="00AE0EBD">
        <w:rPr>
          <w:rFonts w:ascii="Palatino Linotype" w:hAnsi="Palatino Linotype" w:cs="TimesNewRomanPS-ItalicMT"/>
          <w:iCs/>
        </w:rPr>
        <w:t xml:space="preserve"> y </w:t>
      </w:r>
      <w:r w:rsidR="000C68D0" w:rsidRPr="00AE0EBD">
        <w:rPr>
          <w:rFonts w:ascii="Palatino Linotype" w:hAnsi="Palatino Linotype" w:cs="TimesNewRomanPS-ItalicMT"/>
          <w:i/>
          <w:iCs/>
        </w:rPr>
        <w:t>6)</w:t>
      </w:r>
      <w:r w:rsidR="000C68D0" w:rsidRPr="00AE0EBD">
        <w:rPr>
          <w:rFonts w:ascii="Palatino Linotype" w:hAnsi="Palatino Linotype" w:cs="TimesNewRomanPS-ItalicMT"/>
          <w:iCs/>
        </w:rPr>
        <w:t xml:space="preserve">, relacionada al </w:t>
      </w:r>
      <w:r w:rsidR="000C68D0" w:rsidRPr="00AE0EBD">
        <w:rPr>
          <w:rFonts w:ascii="Palatino Linotype" w:hAnsi="Palatino Linotype" w:cs="TimesNewRomanPS-ItalicMT"/>
          <w:b/>
          <w:iCs/>
        </w:rPr>
        <w:t>número oficial</w:t>
      </w:r>
      <w:r w:rsidR="000C68D0" w:rsidRPr="00AE0EBD">
        <w:rPr>
          <w:rFonts w:ascii="Palatino Linotype" w:hAnsi="Palatino Linotype" w:cs="TimesNewRomanPS-ItalicMT"/>
          <w:iCs/>
        </w:rPr>
        <w:t xml:space="preserve">, </w:t>
      </w:r>
      <w:r w:rsidR="000C68D0" w:rsidRPr="00AE0EBD">
        <w:rPr>
          <w:rFonts w:ascii="Palatino Linotype" w:hAnsi="Palatino Linotype" w:cs="TimesNewRomanPS-ItalicMT"/>
          <w:b/>
          <w:iCs/>
        </w:rPr>
        <w:t>número actual</w:t>
      </w:r>
      <w:r w:rsidR="000C68D0" w:rsidRPr="00AE0EBD">
        <w:rPr>
          <w:rFonts w:ascii="Palatino Linotype" w:hAnsi="Palatino Linotype" w:cs="TimesNewRomanPS-ItalicMT"/>
          <w:iCs/>
        </w:rPr>
        <w:t xml:space="preserve"> y los </w:t>
      </w:r>
      <w:r w:rsidR="000C68D0" w:rsidRPr="00AE0EBD">
        <w:rPr>
          <w:rFonts w:ascii="Palatino Linotype" w:hAnsi="Palatino Linotype" w:cs="TimesNewRomanPS-ItalicMT"/>
          <w:b/>
          <w:iCs/>
        </w:rPr>
        <w:t>números anteriores</w:t>
      </w:r>
      <w:r w:rsidR="000C68D0" w:rsidRPr="00AE0EBD">
        <w:rPr>
          <w:rFonts w:ascii="Palatino Linotype" w:hAnsi="Palatino Linotype" w:cs="TimesNewRomanPS-ItalicMT"/>
          <w:iCs/>
        </w:rPr>
        <w:t>, de todos y cada uno de los inmuebles</w:t>
      </w:r>
      <w:r w:rsidRPr="00AE0EBD">
        <w:rPr>
          <w:rFonts w:ascii="Palatino Linotype" w:hAnsi="Palatino Linotype" w:cs="TimesNewRomanPS-ItalicMT"/>
          <w:iCs/>
        </w:rPr>
        <w:t xml:space="preserve">, ubicados en </w:t>
      </w:r>
      <w:r w:rsidRPr="00AE0EBD">
        <w:rPr>
          <w:rFonts w:ascii="Palatino Linotype" w:hAnsi="Palatino Linotype" w:cs="TimesNewRomanPS-ItalicMT"/>
          <w:i/>
          <w:iCs/>
          <w:u w:val="single"/>
        </w:rPr>
        <w:t>Calle Benito Juárez, del (tramo comprendido única y exclusivamente entre Jesús del Monte y Francisco I Madero), Colonia Jesús del Monte, Código Postal 52764, Municipio de Huixquilucan, Estado de México</w:t>
      </w:r>
      <w:r w:rsidRPr="00AE0EBD">
        <w:rPr>
          <w:rFonts w:ascii="Palatino Linotype" w:hAnsi="Palatino Linotype" w:cs="TimesNewRomanPS-ItalicMT"/>
          <w:iCs/>
        </w:rPr>
        <w:t>.</w:t>
      </w:r>
    </w:p>
    <w:p w:rsidR="007D2590" w:rsidRPr="00AE0EBD" w:rsidRDefault="007D2590" w:rsidP="00120DAA">
      <w:pPr>
        <w:pStyle w:val="Sinespaciado"/>
        <w:spacing w:line="360" w:lineRule="auto"/>
        <w:jc w:val="both"/>
        <w:rPr>
          <w:rFonts w:ascii="Palatino Linotype" w:hAnsi="Palatino Linotype" w:cs="TimesNewRomanPS-ItalicMT"/>
          <w:iCs/>
        </w:rPr>
      </w:pPr>
    </w:p>
    <w:p w:rsidR="007D2590" w:rsidRPr="00AE0EBD" w:rsidRDefault="007D2590" w:rsidP="007D2590">
      <w:pPr>
        <w:pStyle w:val="Sinespaciado"/>
        <w:spacing w:line="360" w:lineRule="auto"/>
        <w:jc w:val="both"/>
        <w:rPr>
          <w:rFonts w:ascii="Palatino Linotype" w:hAnsi="Palatino Linotype" w:cs="Arial"/>
        </w:rPr>
      </w:pPr>
      <w:r w:rsidRPr="00AE0EBD">
        <w:rPr>
          <w:rFonts w:ascii="Palatino Linotype" w:hAnsi="Palatino Linotype" w:cs="Arial"/>
        </w:rPr>
        <w:t xml:space="preserve">Por lo que, es necesario precisar que la normatividad invocada por el </w:t>
      </w:r>
      <w:r w:rsidRPr="00AE0EBD">
        <w:rPr>
          <w:rFonts w:ascii="Palatino Linotype" w:hAnsi="Palatino Linotype" w:cs="Arial"/>
          <w:b/>
        </w:rPr>
        <w:t>Sujeto Obligado</w:t>
      </w:r>
      <w:r w:rsidRPr="00AE0EBD">
        <w:rPr>
          <w:rFonts w:ascii="Palatino Linotype" w:hAnsi="Palatino Linotype" w:cs="Arial"/>
        </w:rPr>
        <w:t xml:space="preserve">, tanto en su respuesta como en su respectivo Informe Justificado, señala en su fuente obligacional que sería el artículo 133, fracción XIV, del </w:t>
      </w:r>
      <w:r w:rsidRPr="00AE0EBD">
        <w:rPr>
          <w:rFonts w:ascii="Palatino Linotype" w:hAnsi="Palatino Linotype" w:cs="Arial"/>
          <w:i/>
        </w:rPr>
        <w:t>Bando Municipal de Huixquilucan 2019</w:t>
      </w:r>
      <w:r w:rsidRPr="00AE0EBD">
        <w:rPr>
          <w:rFonts w:ascii="Palatino Linotype" w:hAnsi="Palatino Linotype" w:cs="Arial"/>
        </w:rPr>
        <w:t xml:space="preserve">, que dentro de sus atribuciones el de generar la información solicitada por el particular, el correspondiente a </w:t>
      </w:r>
      <w:r w:rsidRPr="00AE0EBD">
        <w:rPr>
          <w:rFonts w:ascii="Palatino Linotype" w:hAnsi="Palatino Linotype" w:cs="Arial"/>
          <w:b/>
          <w:u w:val="single"/>
        </w:rPr>
        <w:t>normar el uso de la nomenclatura y números oficiales</w:t>
      </w:r>
      <w:r w:rsidRPr="00AE0EBD">
        <w:rPr>
          <w:rFonts w:ascii="Palatino Linotype" w:hAnsi="Palatino Linotype" w:cs="Arial"/>
        </w:rPr>
        <w:t xml:space="preserve">, así como autorizar y vigilar la colocación y mantenimiento de placas que identifiquen los domicilios particulares y comerciales de conformidad, que establece lo siguiente: </w:t>
      </w:r>
    </w:p>
    <w:p w:rsidR="007D2590" w:rsidRPr="00AE0EBD" w:rsidRDefault="007D2590" w:rsidP="007D2590">
      <w:pPr>
        <w:pStyle w:val="Sinespaciado"/>
        <w:spacing w:line="360" w:lineRule="auto"/>
        <w:jc w:val="both"/>
        <w:rPr>
          <w:rFonts w:ascii="Palatino Linotype" w:hAnsi="Palatino Linotype" w:cs="Arial"/>
        </w:rPr>
      </w:pPr>
    </w:p>
    <w:p w:rsidR="007D2590" w:rsidRPr="00AE0EBD" w:rsidRDefault="007D2590" w:rsidP="007D2590">
      <w:pPr>
        <w:pStyle w:val="Sinespaciado"/>
        <w:ind w:right="567"/>
        <w:jc w:val="center"/>
        <w:rPr>
          <w:rFonts w:ascii="Palatino Linotype" w:hAnsi="Palatino Linotype"/>
          <w:b/>
          <w:i/>
          <w:sz w:val="22"/>
        </w:rPr>
      </w:pPr>
      <w:r w:rsidRPr="00AE0EBD">
        <w:rPr>
          <w:rFonts w:ascii="Palatino Linotype" w:hAnsi="Palatino Linotype"/>
          <w:b/>
          <w:i/>
          <w:sz w:val="22"/>
        </w:rPr>
        <w:t>DEL DESARROLLO URBANO SUSTENTABLE</w:t>
      </w:r>
    </w:p>
    <w:p w:rsidR="007D2590" w:rsidRPr="00AE0EBD" w:rsidRDefault="007D2590" w:rsidP="007D2590">
      <w:pPr>
        <w:pStyle w:val="Sinespaciado"/>
        <w:ind w:left="567" w:right="567"/>
        <w:jc w:val="center"/>
        <w:rPr>
          <w:rFonts w:ascii="Palatino Linotype" w:hAnsi="Palatino Linotype"/>
          <w:b/>
          <w:i/>
          <w:sz w:val="22"/>
        </w:rPr>
      </w:pPr>
    </w:p>
    <w:p w:rsidR="007D2590" w:rsidRPr="00AE0EBD" w:rsidRDefault="007D2590" w:rsidP="007D2590">
      <w:pPr>
        <w:pStyle w:val="Sinespaciado"/>
        <w:ind w:left="567" w:right="567"/>
        <w:jc w:val="both"/>
        <w:rPr>
          <w:rFonts w:ascii="Palatino Linotype" w:hAnsi="Palatino Linotype"/>
          <w:i/>
          <w:sz w:val="22"/>
        </w:rPr>
      </w:pPr>
      <w:r w:rsidRPr="00AE0EBD">
        <w:rPr>
          <w:rFonts w:ascii="Palatino Linotype" w:hAnsi="Palatino Linotype"/>
          <w:b/>
          <w:i/>
          <w:sz w:val="22"/>
        </w:rPr>
        <w:t>ARTÍCULO 133.-</w:t>
      </w:r>
      <w:r w:rsidRPr="00AE0EBD">
        <w:rPr>
          <w:rFonts w:ascii="Palatino Linotype" w:hAnsi="Palatino Linotype"/>
          <w:i/>
          <w:sz w:val="22"/>
        </w:rPr>
        <w:t xml:space="preserve"> </w:t>
      </w:r>
      <w:r w:rsidRPr="00AE0EBD">
        <w:rPr>
          <w:rFonts w:ascii="Palatino Linotype" w:hAnsi="Palatino Linotype"/>
          <w:b/>
          <w:i/>
          <w:sz w:val="22"/>
          <w:u w:val="single"/>
        </w:rPr>
        <w:t>El Ayuntamiento, en cumplimiento a las leyes federales y estatales relativas y a los planes de desarrollo urbano vigentes, tiene las atribuciones respecto a los asentamientos y el desarrollo urbano sustentable siguientes</w:t>
      </w:r>
      <w:r w:rsidRPr="00AE0EBD">
        <w:rPr>
          <w:rFonts w:ascii="Palatino Linotype" w:hAnsi="Palatino Linotype"/>
          <w:i/>
          <w:sz w:val="22"/>
        </w:rPr>
        <w:t xml:space="preserve">: </w:t>
      </w:r>
    </w:p>
    <w:p w:rsidR="007D2590" w:rsidRPr="00AE0EBD" w:rsidRDefault="007D2590" w:rsidP="007D2590">
      <w:pPr>
        <w:pStyle w:val="Sinespaciado"/>
        <w:ind w:left="567" w:right="567"/>
        <w:jc w:val="both"/>
        <w:rPr>
          <w:rFonts w:ascii="Palatino Linotype" w:hAnsi="Palatino Linotype"/>
          <w:i/>
          <w:sz w:val="22"/>
        </w:rPr>
      </w:pPr>
    </w:p>
    <w:p w:rsidR="007D2590" w:rsidRPr="00AE0EBD" w:rsidRDefault="007D2590" w:rsidP="007D2590">
      <w:pPr>
        <w:pStyle w:val="Sinespaciado"/>
        <w:ind w:left="567" w:right="567"/>
        <w:jc w:val="both"/>
        <w:rPr>
          <w:rFonts w:ascii="Palatino Linotype" w:hAnsi="Palatino Linotype"/>
          <w:i/>
          <w:sz w:val="22"/>
        </w:rPr>
      </w:pPr>
      <w:r w:rsidRPr="00AE0EBD">
        <w:rPr>
          <w:rFonts w:ascii="Palatino Linotype" w:hAnsi="Palatino Linotype"/>
          <w:i/>
          <w:sz w:val="22"/>
        </w:rPr>
        <w:t>I. Evaluar, elaborar, aprobar, ejecutar, y modificar el Plan Municipal de Desarrollo Urbano, los planes de centros de población, zonificación y planes de administración de reservas territoriales;</w:t>
      </w:r>
    </w:p>
    <w:p w:rsidR="007D2590" w:rsidRPr="00AE0EBD" w:rsidRDefault="007D2590" w:rsidP="007D2590">
      <w:pPr>
        <w:pStyle w:val="Sinespaciado"/>
        <w:ind w:left="567" w:right="567"/>
        <w:jc w:val="both"/>
        <w:rPr>
          <w:rFonts w:ascii="Palatino Linotype" w:hAnsi="Palatino Linotype"/>
          <w:i/>
          <w:sz w:val="22"/>
        </w:rPr>
      </w:pPr>
      <w:r w:rsidRPr="00AE0EBD">
        <w:rPr>
          <w:rFonts w:ascii="Palatino Linotype" w:hAnsi="Palatino Linotype"/>
          <w:i/>
          <w:sz w:val="22"/>
        </w:rPr>
        <w:t xml:space="preserve">II. Convenir y participar en coordinación regional y metropolitana para el ordenamiento territorial de los asentamientos humanos, desarrollo urbano y vivienda, así como la prestación de servicios públicos; </w:t>
      </w:r>
    </w:p>
    <w:p w:rsidR="007D2590" w:rsidRPr="00AE0EBD" w:rsidRDefault="007D2590" w:rsidP="007D2590">
      <w:pPr>
        <w:pStyle w:val="Sinespaciado"/>
        <w:ind w:left="567" w:right="567"/>
        <w:jc w:val="both"/>
        <w:rPr>
          <w:rFonts w:ascii="Palatino Linotype" w:hAnsi="Palatino Linotype"/>
          <w:i/>
          <w:sz w:val="22"/>
        </w:rPr>
      </w:pPr>
      <w:r w:rsidRPr="00AE0EBD">
        <w:rPr>
          <w:rFonts w:ascii="Palatino Linotype" w:hAnsi="Palatino Linotype"/>
          <w:i/>
          <w:sz w:val="22"/>
        </w:rPr>
        <w:lastRenderedPageBreak/>
        <w:t xml:space="preserve">III. Fomentar la participación de la comunidad en la elaboración, ejecución, evaluación y modificación del Plan Municipal de Desarrollo Urbano; </w:t>
      </w:r>
    </w:p>
    <w:p w:rsidR="007D2590" w:rsidRPr="00AE0EBD" w:rsidRDefault="007D2590" w:rsidP="007D2590">
      <w:pPr>
        <w:pStyle w:val="Sinespaciado"/>
        <w:ind w:left="567" w:right="567"/>
        <w:jc w:val="both"/>
        <w:rPr>
          <w:rFonts w:ascii="Palatino Linotype" w:hAnsi="Palatino Linotype"/>
          <w:i/>
          <w:sz w:val="22"/>
        </w:rPr>
      </w:pPr>
      <w:r w:rsidRPr="00AE0EBD">
        <w:rPr>
          <w:rFonts w:ascii="Palatino Linotype" w:hAnsi="Palatino Linotype"/>
          <w:i/>
          <w:sz w:val="22"/>
        </w:rPr>
        <w:t xml:space="preserve">IV. Coordinar la administración y funcionamiento de los servicios públicos municipales con los planes y programas de desarrollo urbano; </w:t>
      </w:r>
    </w:p>
    <w:p w:rsidR="007D2590" w:rsidRPr="00AE0EBD" w:rsidRDefault="007D2590" w:rsidP="007D2590">
      <w:pPr>
        <w:pStyle w:val="Sinespaciado"/>
        <w:ind w:left="567" w:right="567"/>
        <w:jc w:val="both"/>
        <w:rPr>
          <w:rFonts w:ascii="Palatino Linotype" w:hAnsi="Palatino Linotype"/>
          <w:i/>
          <w:sz w:val="22"/>
        </w:rPr>
      </w:pPr>
      <w:r w:rsidRPr="00AE0EBD">
        <w:rPr>
          <w:rFonts w:ascii="Palatino Linotype" w:hAnsi="Palatino Linotype"/>
          <w:i/>
          <w:sz w:val="22"/>
        </w:rPr>
        <w:t xml:space="preserve">V. Definir las políticas para crear y administrar reservas territoriales y ecológicas; </w:t>
      </w:r>
    </w:p>
    <w:p w:rsidR="007D2590" w:rsidRPr="00AE0EBD" w:rsidRDefault="007D2590" w:rsidP="007D2590">
      <w:pPr>
        <w:pStyle w:val="Sinespaciado"/>
        <w:ind w:left="567" w:right="567"/>
        <w:jc w:val="both"/>
        <w:rPr>
          <w:rFonts w:ascii="Palatino Linotype" w:hAnsi="Palatino Linotype"/>
          <w:i/>
          <w:sz w:val="22"/>
        </w:rPr>
      </w:pPr>
      <w:r w:rsidRPr="00AE0EBD">
        <w:rPr>
          <w:rFonts w:ascii="Palatino Linotype" w:hAnsi="Palatino Linotype"/>
          <w:i/>
          <w:sz w:val="22"/>
        </w:rPr>
        <w:t xml:space="preserve">VI. Ejercer, indistintamente con el Estado, el derecho preferente para adquirir inmuebles y destinarlos a servicios públicos; </w:t>
      </w:r>
    </w:p>
    <w:p w:rsidR="007D2590" w:rsidRPr="00AE0EBD" w:rsidRDefault="007D2590" w:rsidP="007D2590">
      <w:pPr>
        <w:pStyle w:val="Sinespaciado"/>
        <w:ind w:left="567" w:right="567"/>
        <w:jc w:val="both"/>
        <w:rPr>
          <w:rFonts w:ascii="Palatino Linotype" w:hAnsi="Palatino Linotype"/>
          <w:i/>
          <w:sz w:val="22"/>
        </w:rPr>
      </w:pPr>
      <w:r w:rsidRPr="00AE0EBD">
        <w:rPr>
          <w:rFonts w:ascii="Palatino Linotype" w:hAnsi="Palatino Linotype"/>
          <w:i/>
          <w:sz w:val="22"/>
        </w:rPr>
        <w:t xml:space="preserve">VII. Autorizar, controlar y vigilar el uso adecuado del suelo; </w:t>
      </w:r>
    </w:p>
    <w:p w:rsidR="007D2590" w:rsidRPr="00AE0EBD" w:rsidRDefault="007D2590" w:rsidP="007D2590">
      <w:pPr>
        <w:pStyle w:val="Sinespaciado"/>
        <w:ind w:left="567" w:right="567"/>
        <w:jc w:val="both"/>
        <w:rPr>
          <w:rFonts w:ascii="Palatino Linotype" w:hAnsi="Palatino Linotype"/>
          <w:i/>
          <w:sz w:val="22"/>
        </w:rPr>
      </w:pPr>
      <w:r w:rsidRPr="00AE0EBD">
        <w:rPr>
          <w:rFonts w:ascii="Palatino Linotype" w:hAnsi="Palatino Linotype"/>
          <w:i/>
          <w:sz w:val="22"/>
        </w:rPr>
        <w:t xml:space="preserve">VIII. Otorgar licencias, autorizaciones y permisos de construcción de acuerdo a la normatividad vigente, debiendo acreditar entre otros que se encuentren al corriente del pago del impuesto predial, equipamiento físico para el acceso libre, desplazamiento y uso para personas con capacidades diferentes y población en general; tratándose de obras de impacto regional, la autoridad podrá solicitar a su juicio, estudios, dictámenes, factibilidades de dependencias normativas e información complementaria al particular; </w:t>
      </w:r>
    </w:p>
    <w:p w:rsidR="007D2590" w:rsidRPr="00AE0EBD" w:rsidRDefault="007D2590" w:rsidP="007D2590">
      <w:pPr>
        <w:pStyle w:val="Sinespaciado"/>
        <w:ind w:left="567" w:right="567"/>
        <w:jc w:val="both"/>
        <w:rPr>
          <w:rFonts w:ascii="Palatino Linotype" w:hAnsi="Palatino Linotype"/>
          <w:i/>
          <w:sz w:val="22"/>
        </w:rPr>
      </w:pPr>
      <w:r w:rsidRPr="00AE0EBD">
        <w:rPr>
          <w:rFonts w:ascii="Palatino Linotype" w:hAnsi="Palatino Linotype"/>
          <w:b/>
          <w:i/>
          <w:sz w:val="22"/>
          <w:u w:val="single"/>
        </w:rPr>
        <w:t>IX. Autorizar cambios de uso de suelo, de densidad e intensidad y altura de edificaciones, conforme al libro quinto del Código Administrativo del Estado de México</w:t>
      </w:r>
      <w:r w:rsidRPr="00AE0EBD">
        <w:rPr>
          <w:rFonts w:ascii="Palatino Linotype" w:hAnsi="Palatino Linotype"/>
          <w:i/>
          <w:sz w:val="22"/>
        </w:rPr>
        <w:t xml:space="preserve">; </w:t>
      </w:r>
    </w:p>
    <w:p w:rsidR="007D2590" w:rsidRPr="00AE0EBD" w:rsidRDefault="007D2590" w:rsidP="007D2590">
      <w:pPr>
        <w:pStyle w:val="Sinespaciado"/>
        <w:ind w:left="567" w:right="567"/>
        <w:jc w:val="both"/>
        <w:rPr>
          <w:rFonts w:ascii="Palatino Linotype" w:hAnsi="Palatino Linotype"/>
          <w:i/>
          <w:sz w:val="22"/>
        </w:rPr>
      </w:pPr>
      <w:r w:rsidRPr="00AE0EBD">
        <w:rPr>
          <w:rFonts w:ascii="Palatino Linotype" w:hAnsi="Palatino Linotype"/>
          <w:i/>
          <w:sz w:val="22"/>
        </w:rPr>
        <w:t xml:space="preserve">X. Participar en la supervisión de obras de urbanización, infraestructura y equipamiento de conjuntos urbanos, subdivisiones y lotificaciones para condominios, así como recibirlas mediante actas de entrega-recepción; </w:t>
      </w:r>
    </w:p>
    <w:p w:rsidR="007D2590" w:rsidRPr="00AE0EBD" w:rsidRDefault="007D2590" w:rsidP="007D2590">
      <w:pPr>
        <w:pStyle w:val="Sinespaciado"/>
        <w:ind w:left="567" w:right="567"/>
        <w:jc w:val="both"/>
        <w:rPr>
          <w:rFonts w:ascii="Palatino Linotype" w:hAnsi="Palatino Linotype"/>
          <w:i/>
          <w:sz w:val="22"/>
        </w:rPr>
      </w:pPr>
      <w:r w:rsidRPr="00AE0EBD">
        <w:rPr>
          <w:rFonts w:ascii="Palatino Linotype" w:hAnsi="Palatino Linotype"/>
          <w:i/>
          <w:sz w:val="22"/>
        </w:rPr>
        <w:t xml:space="preserve">XI. Promover e intervenir en la regularización de la tenencia de la tierra en ámbito de su competencia a petición de parte ante las instancias correspondientes; </w:t>
      </w:r>
    </w:p>
    <w:p w:rsidR="007D2590" w:rsidRPr="00AE0EBD" w:rsidRDefault="007D2590" w:rsidP="007D2590">
      <w:pPr>
        <w:pStyle w:val="Sinespaciado"/>
        <w:ind w:left="567" w:right="567"/>
        <w:jc w:val="both"/>
        <w:rPr>
          <w:rFonts w:ascii="Palatino Linotype" w:hAnsi="Palatino Linotype"/>
          <w:i/>
          <w:sz w:val="22"/>
        </w:rPr>
      </w:pPr>
      <w:r w:rsidRPr="00AE0EBD">
        <w:rPr>
          <w:rFonts w:ascii="Palatino Linotype" w:hAnsi="Palatino Linotype"/>
          <w:b/>
          <w:i/>
          <w:sz w:val="22"/>
          <w:u w:val="single"/>
        </w:rPr>
        <w:t>XII. Participar, en coordinación con las instancias federales y estatales, en la planeación y regularización de los centros urbanos involucrados en los procesos de conurbación, así como los de regularización de la tenencia de la tierra</w:t>
      </w:r>
      <w:r w:rsidRPr="00AE0EBD">
        <w:rPr>
          <w:rFonts w:ascii="Palatino Linotype" w:hAnsi="Palatino Linotype"/>
          <w:i/>
          <w:sz w:val="22"/>
        </w:rPr>
        <w:t xml:space="preserve">; </w:t>
      </w:r>
    </w:p>
    <w:p w:rsidR="007D2590" w:rsidRPr="00AE0EBD" w:rsidRDefault="007D2590" w:rsidP="007D2590">
      <w:pPr>
        <w:pStyle w:val="Sinespaciado"/>
        <w:ind w:left="567" w:right="567"/>
        <w:jc w:val="both"/>
        <w:rPr>
          <w:rFonts w:ascii="Palatino Linotype" w:hAnsi="Palatino Linotype"/>
          <w:i/>
          <w:sz w:val="22"/>
        </w:rPr>
      </w:pPr>
      <w:r w:rsidRPr="00AE0EBD">
        <w:rPr>
          <w:rFonts w:ascii="Palatino Linotype" w:hAnsi="Palatino Linotype"/>
          <w:i/>
          <w:sz w:val="22"/>
        </w:rPr>
        <w:t xml:space="preserve">XIII. Expedir los Reglamentos y disposiciones necesarias para regular el desarrollo e imagen urbana; </w:t>
      </w:r>
    </w:p>
    <w:p w:rsidR="007D2590" w:rsidRPr="00AE0EBD" w:rsidRDefault="007D2590" w:rsidP="007D2590">
      <w:pPr>
        <w:pStyle w:val="Sinespaciado"/>
        <w:ind w:left="567" w:right="567"/>
        <w:jc w:val="both"/>
        <w:rPr>
          <w:rFonts w:ascii="Palatino Linotype" w:hAnsi="Palatino Linotype"/>
          <w:i/>
          <w:sz w:val="22"/>
        </w:rPr>
      </w:pPr>
      <w:r w:rsidRPr="00AE0EBD">
        <w:rPr>
          <w:rFonts w:ascii="Palatino Linotype" w:hAnsi="Palatino Linotype"/>
          <w:b/>
          <w:i/>
          <w:sz w:val="22"/>
          <w:u w:val="single"/>
        </w:rPr>
        <w:t>XIV. Normar el uso de la nomenclatura y números oficiales, así como autorizar y vigilar la colocación y mantenimiento de placas que identifiquen los domicilios particulares y comerciales</w:t>
      </w:r>
      <w:r w:rsidRPr="00AE0EBD">
        <w:rPr>
          <w:rFonts w:ascii="Palatino Linotype" w:hAnsi="Palatino Linotype"/>
          <w:i/>
          <w:sz w:val="22"/>
        </w:rPr>
        <w:t xml:space="preserve">; </w:t>
      </w:r>
    </w:p>
    <w:p w:rsidR="007D2590" w:rsidRPr="00AE0EBD" w:rsidRDefault="007D2590" w:rsidP="007D2590">
      <w:pPr>
        <w:pStyle w:val="Sinespaciado"/>
        <w:ind w:left="567" w:right="567"/>
        <w:jc w:val="both"/>
        <w:rPr>
          <w:rFonts w:ascii="Palatino Linotype" w:hAnsi="Palatino Linotype"/>
          <w:i/>
          <w:sz w:val="22"/>
        </w:rPr>
      </w:pPr>
      <w:r w:rsidRPr="00AE0EBD">
        <w:rPr>
          <w:rFonts w:ascii="Palatino Linotype" w:hAnsi="Palatino Linotype"/>
          <w:i/>
          <w:sz w:val="22"/>
        </w:rPr>
        <w:t xml:space="preserve">XV. Promover el mejoramiento de las viviendas y de la imagen urbana del Municipio; XVI. Promover el rescate y la conservación de edificios con valor arqueológico, histórico, artístico y cultural, en coordinación con las entidades y dependencias competentes; y </w:t>
      </w:r>
    </w:p>
    <w:p w:rsidR="007D2590" w:rsidRPr="00AE0EBD" w:rsidRDefault="007D2590" w:rsidP="007D2590">
      <w:pPr>
        <w:pStyle w:val="Sinespaciado"/>
        <w:ind w:left="567" w:right="567"/>
        <w:jc w:val="both"/>
        <w:rPr>
          <w:rFonts w:ascii="Palatino Linotype" w:hAnsi="Palatino Linotype" w:cs="Arial"/>
          <w:i/>
          <w:sz w:val="22"/>
        </w:rPr>
      </w:pPr>
      <w:r w:rsidRPr="00AE0EBD">
        <w:rPr>
          <w:rFonts w:ascii="Palatino Linotype" w:hAnsi="Palatino Linotype"/>
          <w:i/>
          <w:sz w:val="22"/>
        </w:rPr>
        <w:t>XVII. Las demás que señalen las disposiciones legales aplicables en la materia.</w:t>
      </w:r>
    </w:p>
    <w:p w:rsidR="007D2590" w:rsidRPr="00AE0EBD" w:rsidRDefault="007D2590" w:rsidP="007D2590">
      <w:pPr>
        <w:pStyle w:val="Sinespaciado"/>
        <w:ind w:left="567" w:right="567"/>
        <w:jc w:val="both"/>
        <w:rPr>
          <w:rFonts w:ascii="Palatino Linotype" w:hAnsi="Palatino Linotype" w:cs="Arial"/>
          <w:i/>
          <w:sz w:val="22"/>
        </w:rPr>
      </w:pPr>
    </w:p>
    <w:p w:rsidR="007D2590" w:rsidRPr="00AE0EBD" w:rsidRDefault="007D2590" w:rsidP="007D2590">
      <w:pPr>
        <w:pStyle w:val="Sinespaciado"/>
        <w:ind w:left="567" w:right="567"/>
        <w:jc w:val="both"/>
        <w:rPr>
          <w:rFonts w:ascii="Palatino Linotype" w:hAnsi="Palatino Linotype" w:cs="Arial"/>
          <w:i/>
          <w:sz w:val="22"/>
        </w:rPr>
      </w:pPr>
    </w:p>
    <w:p w:rsidR="007D2590" w:rsidRPr="00AE0EBD" w:rsidRDefault="007D2590" w:rsidP="007D2590">
      <w:pPr>
        <w:pStyle w:val="Sinespaciado"/>
        <w:spacing w:line="360" w:lineRule="auto"/>
        <w:jc w:val="both"/>
        <w:rPr>
          <w:rFonts w:ascii="Palatino Linotype" w:hAnsi="Palatino Linotype" w:cs="Arial"/>
        </w:rPr>
      </w:pPr>
      <w:r w:rsidRPr="00AE0EBD">
        <w:rPr>
          <w:rFonts w:ascii="Palatino Linotype" w:hAnsi="Palatino Linotype" w:cs="Arial"/>
        </w:rPr>
        <w:t xml:space="preserve">Asimismo, el artículo 137, del </w:t>
      </w:r>
      <w:r w:rsidRPr="00AE0EBD">
        <w:rPr>
          <w:rFonts w:ascii="Palatino Linotype" w:hAnsi="Palatino Linotype" w:cs="Arial"/>
          <w:i/>
        </w:rPr>
        <w:t>Reglamento Orgánico de la Administración Pública Municipal de Huixquilucan, Estado de México 2019</w:t>
      </w:r>
      <w:r w:rsidRPr="00AE0EBD">
        <w:rPr>
          <w:rFonts w:ascii="Palatino Linotype" w:hAnsi="Palatino Linotype" w:cs="Arial"/>
        </w:rPr>
        <w:t>, estipula lo siguiente:</w:t>
      </w:r>
    </w:p>
    <w:p w:rsidR="007D2590" w:rsidRPr="00AE0EBD" w:rsidRDefault="007D2590" w:rsidP="007D2590">
      <w:pPr>
        <w:pStyle w:val="Sinespaciado"/>
      </w:pPr>
    </w:p>
    <w:p w:rsidR="007D2590" w:rsidRPr="00AE0EBD" w:rsidRDefault="007D2590" w:rsidP="007D2590">
      <w:pPr>
        <w:pStyle w:val="Sinespaciado"/>
        <w:ind w:left="567" w:right="567"/>
        <w:jc w:val="both"/>
        <w:rPr>
          <w:rFonts w:ascii="Palatino Linotype" w:hAnsi="Palatino Linotype"/>
          <w:i/>
          <w:sz w:val="22"/>
        </w:rPr>
      </w:pPr>
      <w:r w:rsidRPr="00AE0EBD">
        <w:rPr>
          <w:rFonts w:ascii="Palatino Linotype" w:hAnsi="Palatino Linotype"/>
          <w:b/>
          <w:i/>
          <w:sz w:val="22"/>
        </w:rPr>
        <w:lastRenderedPageBreak/>
        <w:t>Artículo 137.</w:t>
      </w:r>
      <w:r w:rsidRPr="00AE0EBD">
        <w:rPr>
          <w:rFonts w:ascii="Palatino Linotype" w:hAnsi="Palatino Linotype"/>
          <w:i/>
          <w:sz w:val="22"/>
        </w:rPr>
        <w:t xml:space="preserve"> </w:t>
      </w:r>
      <w:r w:rsidRPr="00AE0EBD">
        <w:rPr>
          <w:rFonts w:ascii="Palatino Linotype" w:hAnsi="Palatino Linotype"/>
          <w:b/>
          <w:i/>
          <w:sz w:val="22"/>
          <w:u w:val="single"/>
        </w:rPr>
        <w:t>La Dirección General de Desarrollo Urbano Sustentable, será la encargada de planear, regular, controlar, vigilar y fomentar el ordenamiento territorial de los asentamientos humanos y la infraestructura vial.</w:t>
      </w:r>
      <w:r w:rsidRPr="00AE0EBD">
        <w:rPr>
          <w:rFonts w:ascii="Palatino Linotype" w:hAnsi="Palatino Linotype"/>
          <w:i/>
          <w:sz w:val="22"/>
        </w:rPr>
        <w:t xml:space="preserve"> </w:t>
      </w:r>
    </w:p>
    <w:p w:rsidR="007D2590" w:rsidRPr="00AE0EBD" w:rsidRDefault="007D2590" w:rsidP="007D2590">
      <w:pPr>
        <w:pStyle w:val="Sinespaciado"/>
        <w:ind w:left="567" w:right="567"/>
        <w:jc w:val="both"/>
        <w:rPr>
          <w:rFonts w:ascii="Palatino Linotype" w:hAnsi="Palatino Linotype"/>
          <w:i/>
          <w:sz w:val="22"/>
        </w:rPr>
      </w:pPr>
    </w:p>
    <w:p w:rsidR="007D2590" w:rsidRPr="00AE0EBD" w:rsidRDefault="007D2590" w:rsidP="007D2590">
      <w:pPr>
        <w:pStyle w:val="Sinespaciado"/>
        <w:ind w:left="567" w:right="567"/>
        <w:jc w:val="both"/>
        <w:rPr>
          <w:rFonts w:ascii="Palatino Linotype" w:hAnsi="Palatino Linotype"/>
          <w:i/>
          <w:sz w:val="22"/>
        </w:rPr>
      </w:pPr>
      <w:r w:rsidRPr="00AE0EBD">
        <w:rPr>
          <w:rFonts w:ascii="Palatino Linotype" w:hAnsi="Palatino Linotype"/>
          <w:b/>
          <w:i/>
          <w:sz w:val="22"/>
          <w:u w:val="single"/>
        </w:rPr>
        <w:t>Así como la imagen urbana y la tenencia de la tierra del Municipio.</w:t>
      </w:r>
      <w:r w:rsidRPr="00AE0EBD">
        <w:rPr>
          <w:rFonts w:ascii="Palatino Linotype" w:hAnsi="Palatino Linotype"/>
          <w:i/>
          <w:sz w:val="22"/>
        </w:rPr>
        <w:t xml:space="preserve"> Su Titular tendrá como atribuciones, responsabilidades y funciones las que le otorguen las leyes, reglamentos y demás disposiciones legales aplicables en la materia, así como las que a continuación se establecen: </w:t>
      </w:r>
    </w:p>
    <w:p w:rsidR="007D2590" w:rsidRPr="00AE0EBD" w:rsidRDefault="007D2590" w:rsidP="007D2590">
      <w:pPr>
        <w:pStyle w:val="Sinespaciado"/>
        <w:ind w:left="567" w:right="567"/>
        <w:jc w:val="both"/>
        <w:rPr>
          <w:rFonts w:ascii="Palatino Linotype" w:hAnsi="Palatino Linotype"/>
          <w:i/>
          <w:sz w:val="22"/>
        </w:rPr>
      </w:pPr>
    </w:p>
    <w:p w:rsidR="007D2590" w:rsidRPr="00AE0EBD" w:rsidRDefault="007D2590" w:rsidP="007D2590">
      <w:pPr>
        <w:pStyle w:val="Sinespaciado"/>
        <w:ind w:left="567" w:right="567"/>
        <w:jc w:val="both"/>
        <w:rPr>
          <w:rFonts w:ascii="Palatino Linotype" w:hAnsi="Palatino Linotype"/>
          <w:i/>
          <w:sz w:val="22"/>
        </w:rPr>
      </w:pPr>
      <w:r w:rsidRPr="00AE0EBD">
        <w:rPr>
          <w:rFonts w:ascii="Palatino Linotype" w:hAnsi="Palatino Linotype"/>
          <w:i/>
          <w:sz w:val="22"/>
        </w:rPr>
        <w:t xml:space="preserve">I. Formular, proponer y conducir las políticas municipales en materia de asentamientos humanos y desarrollo urbano; </w:t>
      </w:r>
    </w:p>
    <w:p w:rsidR="007D2590" w:rsidRPr="00AE0EBD" w:rsidRDefault="007D2590" w:rsidP="007D2590">
      <w:pPr>
        <w:pStyle w:val="Sinespaciado"/>
        <w:ind w:left="567" w:right="567"/>
        <w:jc w:val="both"/>
        <w:rPr>
          <w:rFonts w:ascii="Palatino Linotype" w:hAnsi="Palatino Linotype"/>
          <w:i/>
          <w:sz w:val="22"/>
        </w:rPr>
      </w:pPr>
      <w:r w:rsidRPr="00AE0EBD">
        <w:rPr>
          <w:rFonts w:ascii="Palatino Linotype" w:hAnsi="Palatino Linotype"/>
          <w:i/>
          <w:sz w:val="22"/>
        </w:rPr>
        <w:t xml:space="preserve">II. Aplicar y vigilar el cumplimiento de las disposiciones legales que en materia de asentamientos humanos y desarrollo urbano se confiere al Municipio; </w:t>
      </w:r>
    </w:p>
    <w:p w:rsidR="007D2590" w:rsidRPr="00AE0EBD" w:rsidRDefault="007D2590" w:rsidP="007D2590">
      <w:pPr>
        <w:pStyle w:val="Sinespaciado"/>
        <w:ind w:left="567" w:right="567"/>
        <w:jc w:val="both"/>
        <w:rPr>
          <w:rFonts w:ascii="Palatino Linotype" w:hAnsi="Palatino Linotype"/>
          <w:i/>
          <w:sz w:val="22"/>
        </w:rPr>
      </w:pPr>
      <w:r w:rsidRPr="00AE0EBD">
        <w:rPr>
          <w:rFonts w:ascii="Palatino Linotype" w:hAnsi="Palatino Linotype"/>
          <w:i/>
          <w:sz w:val="22"/>
        </w:rPr>
        <w:t xml:space="preserve">III. Vigilar que en los asuntos de su competencia se dé cumplimiento a los ordenamientos legales y a las disposiciones que resulten aplicables; </w:t>
      </w:r>
    </w:p>
    <w:p w:rsidR="007D2590" w:rsidRPr="00AE0EBD" w:rsidRDefault="007D2590" w:rsidP="007D2590">
      <w:pPr>
        <w:pStyle w:val="Sinespaciado"/>
        <w:ind w:left="567" w:right="567"/>
        <w:jc w:val="both"/>
        <w:rPr>
          <w:rFonts w:ascii="Palatino Linotype" w:hAnsi="Palatino Linotype"/>
          <w:i/>
          <w:sz w:val="22"/>
        </w:rPr>
      </w:pPr>
      <w:r w:rsidRPr="00AE0EBD">
        <w:rPr>
          <w:rFonts w:ascii="Palatino Linotype" w:hAnsi="Palatino Linotype"/>
          <w:i/>
          <w:sz w:val="22"/>
        </w:rPr>
        <w:t xml:space="preserve">IV. Supervisar y vigilar el desarrollo sustentable del Municipio, mediante la adecuada aplicación de la norma en materia de desarrollo urbano; </w:t>
      </w:r>
    </w:p>
    <w:p w:rsidR="007D2590" w:rsidRPr="00AE0EBD" w:rsidRDefault="007D2590" w:rsidP="007D2590">
      <w:pPr>
        <w:pStyle w:val="Sinespaciado"/>
        <w:ind w:left="567" w:right="567"/>
        <w:jc w:val="both"/>
        <w:rPr>
          <w:rFonts w:ascii="Palatino Linotype" w:hAnsi="Palatino Linotype"/>
          <w:i/>
          <w:sz w:val="22"/>
        </w:rPr>
      </w:pPr>
      <w:r w:rsidRPr="00AE0EBD">
        <w:rPr>
          <w:rFonts w:ascii="Palatino Linotype" w:hAnsi="Palatino Linotype"/>
          <w:i/>
          <w:sz w:val="22"/>
        </w:rPr>
        <w:t xml:space="preserve">V. Proponer a la Presidencia Municipal y participar en la ejecución de convenios en materia de desarrollo urbano con entidades federales y estatales, así como instituciones y organizaciones públicas, autónomas y privadas; </w:t>
      </w:r>
    </w:p>
    <w:p w:rsidR="007D2590" w:rsidRPr="00AE0EBD" w:rsidRDefault="007D2590" w:rsidP="007D2590">
      <w:pPr>
        <w:pStyle w:val="Sinespaciado"/>
        <w:ind w:left="567" w:right="567"/>
        <w:jc w:val="both"/>
        <w:rPr>
          <w:rFonts w:ascii="Palatino Linotype" w:hAnsi="Palatino Linotype"/>
          <w:i/>
          <w:sz w:val="22"/>
        </w:rPr>
      </w:pPr>
      <w:r w:rsidRPr="00AE0EBD">
        <w:rPr>
          <w:rFonts w:ascii="Palatino Linotype" w:hAnsi="Palatino Linotype"/>
          <w:i/>
          <w:sz w:val="22"/>
        </w:rPr>
        <w:t xml:space="preserve">VI. Promover y autorizar la construcción de obras de urbanización, infraestructura y equipamiento urbano; </w:t>
      </w:r>
    </w:p>
    <w:p w:rsidR="007D2590" w:rsidRPr="00AE0EBD" w:rsidRDefault="007D2590" w:rsidP="007D2590">
      <w:pPr>
        <w:pStyle w:val="Sinespaciado"/>
        <w:ind w:left="567" w:right="567"/>
        <w:jc w:val="both"/>
        <w:rPr>
          <w:rFonts w:ascii="Palatino Linotype" w:hAnsi="Palatino Linotype"/>
          <w:i/>
          <w:sz w:val="22"/>
        </w:rPr>
      </w:pPr>
      <w:r w:rsidRPr="00AE0EBD">
        <w:rPr>
          <w:rFonts w:ascii="Palatino Linotype" w:hAnsi="Palatino Linotype"/>
          <w:i/>
          <w:sz w:val="22"/>
        </w:rPr>
        <w:t xml:space="preserve">VII. Autorizar cambios de uso del suelo, de coeficiente de ocupación, de coeficiente de utilización, densidad y altura de edificaciones; </w:t>
      </w:r>
    </w:p>
    <w:p w:rsidR="007D2590" w:rsidRPr="00AE0EBD" w:rsidRDefault="007D2590" w:rsidP="007D2590">
      <w:pPr>
        <w:pStyle w:val="Sinespaciado"/>
        <w:ind w:left="567" w:right="567"/>
        <w:jc w:val="both"/>
        <w:rPr>
          <w:rFonts w:ascii="Palatino Linotype" w:hAnsi="Palatino Linotype"/>
          <w:i/>
          <w:sz w:val="22"/>
        </w:rPr>
      </w:pPr>
      <w:r w:rsidRPr="00AE0EBD">
        <w:rPr>
          <w:rFonts w:ascii="Palatino Linotype" w:hAnsi="Palatino Linotype"/>
          <w:i/>
          <w:sz w:val="22"/>
        </w:rPr>
        <w:t xml:space="preserve">VIII. Promover, apoyar y ejecutar programas de regularización de la tenencia de la tierra; </w:t>
      </w:r>
    </w:p>
    <w:p w:rsidR="007D2590" w:rsidRPr="00AE0EBD" w:rsidRDefault="007D2590" w:rsidP="007D2590">
      <w:pPr>
        <w:pStyle w:val="Sinespaciado"/>
        <w:ind w:left="567" w:right="567"/>
        <w:jc w:val="both"/>
        <w:rPr>
          <w:rFonts w:ascii="Palatino Linotype" w:hAnsi="Palatino Linotype"/>
          <w:i/>
          <w:sz w:val="22"/>
        </w:rPr>
      </w:pPr>
      <w:r w:rsidRPr="00AE0EBD">
        <w:rPr>
          <w:rFonts w:ascii="Palatino Linotype" w:hAnsi="Palatino Linotype"/>
          <w:i/>
          <w:sz w:val="22"/>
        </w:rPr>
        <w:t xml:space="preserve">IX. Promover estudios para el mejoramiento del ordenamiento territorial de los asentamientos humanos y del desarrollo urbano, y la vivienda en el Municipio; </w:t>
      </w:r>
    </w:p>
    <w:p w:rsidR="007D2590" w:rsidRPr="00AE0EBD" w:rsidRDefault="007D2590" w:rsidP="007D2590">
      <w:pPr>
        <w:pStyle w:val="Sinespaciado"/>
        <w:ind w:left="567" w:right="567"/>
        <w:jc w:val="both"/>
        <w:rPr>
          <w:rFonts w:ascii="Palatino Linotype" w:hAnsi="Palatino Linotype"/>
          <w:i/>
          <w:sz w:val="22"/>
        </w:rPr>
      </w:pPr>
      <w:r w:rsidRPr="00AE0EBD">
        <w:rPr>
          <w:rFonts w:ascii="Palatino Linotype" w:hAnsi="Palatino Linotype"/>
          <w:i/>
          <w:sz w:val="22"/>
        </w:rPr>
        <w:t>X. Promover acciones que fomenten la sustentabilidad del Desarrollo Urbano, así como el uso de sistemas ecotécnicos en el Municipio;</w:t>
      </w:r>
    </w:p>
    <w:p w:rsidR="007D2590" w:rsidRPr="00AE0EBD" w:rsidRDefault="007D2590" w:rsidP="007D2590">
      <w:pPr>
        <w:pStyle w:val="Sinespaciado"/>
        <w:ind w:left="567" w:right="567"/>
        <w:jc w:val="both"/>
        <w:rPr>
          <w:rFonts w:ascii="Palatino Linotype" w:hAnsi="Palatino Linotype"/>
          <w:i/>
          <w:sz w:val="22"/>
        </w:rPr>
      </w:pPr>
      <w:r w:rsidRPr="00AE0EBD">
        <w:rPr>
          <w:rFonts w:ascii="Palatino Linotype" w:hAnsi="Palatino Linotype"/>
          <w:i/>
          <w:sz w:val="22"/>
        </w:rPr>
        <w:t xml:space="preserve">XI. Participar con las áreas o unidades respectivas del gobierno estatal en la elaboración o modificación del Plan de Desarrollo Urbano del Estado o de los parciales que de éste deriven, cuando incluya parte o la totalidad del territorio Municipal; </w:t>
      </w:r>
    </w:p>
    <w:p w:rsidR="007D2590" w:rsidRPr="00AE0EBD" w:rsidRDefault="007D2590" w:rsidP="007D2590">
      <w:pPr>
        <w:pStyle w:val="Sinespaciado"/>
        <w:ind w:left="567" w:right="567"/>
        <w:jc w:val="both"/>
        <w:rPr>
          <w:rFonts w:ascii="Palatino Linotype" w:hAnsi="Palatino Linotype"/>
          <w:i/>
          <w:sz w:val="22"/>
        </w:rPr>
      </w:pPr>
      <w:r w:rsidRPr="00AE0EBD">
        <w:rPr>
          <w:rFonts w:ascii="Palatino Linotype" w:hAnsi="Palatino Linotype"/>
          <w:i/>
          <w:sz w:val="22"/>
        </w:rPr>
        <w:t xml:space="preserve">XII. Establecer y aplicar la normatividad para la utilización de la vía pública, en los casos en que se trate de actos o acciones para la realización o ejecución de trabajos relacionados directamente con obras privadas, salvaguardando las facultades que en materia de tránsito municipal; </w:t>
      </w:r>
    </w:p>
    <w:p w:rsidR="007D2590" w:rsidRPr="00AE0EBD" w:rsidRDefault="007D2590" w:rsidP="007D2590">
      <w:pPr>
        <w:pStyle w:val="Sinespaciado"/>
        <w:ind w:left="567" w:right="567"/>
        <w:jc w:val="both"/>
        <w:rPr>
          <w:rFonts w:ascii="Palatino Linotype" w:hAnsi="Palatino Linotype"/>
          <w:i/>
          <w:sz w:val="22"/>
        </w:rPr>
      </w:pPr>
      <w:r w:rsidRPr="00AE0EBD">
        <w:rPr>
          <w:rFonts w:ascii="Palatino Linotype" w:hAnsi="Palatino Linotype"/>
          <w:i/>
          <w:sz w:val="22"/>
        </w:rPr>
        <w:t xml:space="preserve">XIII. Promover y participar en la formulación, revisión, actualización, ejecución y evaluación del Plan Municipal de Desarrollo Urbano, así como en los Planes de Desarrollo Urbano Estratégicos regionales, de centros de población y los planes de desarrollo por núcleo de población; </w:t>
      </w:r>
    </w:p>
    <w:p w:rsidR="007D2590" w:rsidRPr="00AE0EBD" w:rsidRDefault="007D2590" w:rsidP="007D2590">
      <w:pPr>
        <w:pStyle w:val="Sinespaciado"/>
        <w:ind w:left="567" w:right="567"/>
        <w:jc w:val="both"/>
        <w:rPr>
          <w:rFonts w:ascii="Palatino Linotype" w:hAnsi="Palatino Linotype"/>
          <w:i/>
          <w:sz w:val="22"/>
        </w:rPr>
      </w:pPr>
      <w:r w:rsidRPr="00AE0EBD">
        <w:rPr>
          <w:rFonts w:ascii="Palatino Linotype" w:hAnsi="Palatino Linotype"/>
          <w:i/>
          <w:sz w:val="22"/>
        </w:rPr>
        <w:lastRenderedPageBreak/>
        <w:t xml:space="preserve">XIV. Participar únicamente en la elaboración y evaluación de los proyectos viales y de transporte; </w:t>
      </w:r>
    </w:p>
    <w:p w:rsidR="007D2590" w:rsidRPr="00AE0EBD" w:rsidRDefault="007D2590" w:rsidP="007D2590">
      <w:pPr>
        <w:pStyle w:val="Sinespaciado"/>
        <w:ind w:left="567" w:right="567"/>
        <w:jc w:val="both"/>
        <w:rPr>
          <w:rFonts w:ascii="Palatino Linotype" w:hAnsi="Palatino Linotype"/>
          <w:i/>
          <w:sz w:val="22"/>
        </w:rPr>
      </w:pPr>
      <w:r w:rsidRPr="00AE0EBD">
        <w:rPr>
          <w:rFonts w:ascii="Palatino Linotype" w:hAnsi="Palatino Linotype"/>
          <w:i/>
          <w:sz w:val="22"/>
        </w:rPr>
        <w:t xml:space="preserve">XV. Coadyuvar con la Secretaría del Ayuntamiento, para la regulación e instalación de la nomenclatura municipal; </w:t>
      </w:r>
    </w:p>
    <w:p w:rsidR="007D2590" w:rsidRPr="00AE0EBD" w:rsidRDefault="007D2590" w:rsidP="007D2590">
      <w:pPr>
        <w:pStyle w:val="Sinespaciado"/>
        <w:ind w:left="567" w:right="567"/>
        <w:jc w:val="both"/>
        <w:rPr>
          <w:rFonts w:ascii="Palatino Linotype" w:hAnsi="Palatino Linotype"/>
          <w:i/>
          <w:sz w:val="22"/>
        </w:rPr>
      </w:pPr>
      <w:r w:rsidRPr="00AE0EBD">
        <w:rPr>
          <w:rFonts w:ascii="Palatino Linotype" w:hAnsi="Palatino Linotype"/>
          <w:i/>
          <w:sz w:val="22"/>
        </w:rPr>
        <w:t xml:space="preserve">XVI. Coadyuvar con las autoridades federales y estatales en el cuidado y vigilancia del patrimonio cultural inmobiliario; </w:t>
      </w:r>
    </w:p>
    <w:p w:rsidR="007D2590" w:rsidRPr="00AE0EBD" w:rsidRDefault="007D2590" w:rsidP="007D2590">
      <w:pPr>
        <w:pStyle w:val="Sinespaciado"/>
        <w:ind w:left="567" w:right="567"/>
        <w:jc w:val="both"/>
        <w:rPr>
          <w:rFonts w:ascii="Palatino Linotype" w:hAnsi="Palatino Linotype"/>
          <w:i/>
          <w:sz w:val="22"/>
        </w:rPr>
      </w:pPr>
      <w:r w:rsidRPr="00AE0EBD">
        <w:rPr>
          <w:rFonts w:ascii="Palatino Linotype" w:hAnsi="Palatino Linotype"/>
          <w:i/>
          <w:sz w:val="22"/>
        </w:rPr>
        <w:t xml:space="preserve">XVII. Opinar sobre autorización de la explotación de bancos de material para construcción, de conformidad con las Leyes y Reglamentos Federales y del Estado de México; </w:t>
      </w:r>
    </w:p>
    <w:p w:rsidR="007D2590" w:rsidRPr="00AE0EBD" w:rsidRDefault="007D2590" w:rsidP="007D2590">
      <w:pPr>
        <w:pStyle w:val="Sinespaciado"/>
        <w:ind w:left="567" w:right="567"/>
        <w:jc w:val="both"/>
        <w:rPr>
          <w:rFonts w:ascii="Palatino Linotype" w:hAnsi="Palatino Linotype"/>
          <w:i/>
          <w:sz w:val="22"/>
        </w:rPr>
      </w:pPr>
      <w:r w:rsidRPr="00AE0EBD">
        <w:rPr>
          <w:rFonts w:ascii="Palatino Linotype" w:hAnsi="Palatino Linotype"/>
          <w:i/>
          <w:sz w:val="22"/>
        </w:rPr>
        <w:t xml:space="preserve">XVIII. Participar en el estudio, propuesta y ejecución de convenios urbanísticos del Municipio con otras entidades y personas; </w:t>
      </w:r>
    </w:p>
    <w:p w:rsidR="007D2590" w:rsidRPr="00AE0EBD" w:rsidRDefault="007D2590" w:rsidP="007D2590">
      <w:pPr>
        <w:pStyle w:val="Sinespaciado"/>
        <w:ind w:left="567" w:right="567"/>
        <w:jc w:val="both"/>
        <w:rPr>
          <w:rFonts w:ascii="Palatino Linotype" w:hAnsi="Palatino Linotype"/>
          <w:i/>
          <w:sz w:val="22"/>
        </w:rPr>
      </w:pPr>
      <w:r w:rsidRPr="00AE0EBD">
        <w:rPr>
          <w:rFonts w:ascii="Palatino Linotype" w:hAnsi="Palatino Linotype"/>
          <w:i/>
          <w:sz w:val="22"/>
        </w:rPr>
        <w:t xml:space="preserve">XIX. Supervisar y participar en la recepción de las obras de urbanización, infraestructura y equipamiento de conjuntos urbanos; </w:t>
      </w:r>
    </w:p>
    <w:p w:rsidR="007D2590" w:rsidRPr="00AE0EBD" w:rsidRDefault="007D2590" w:rsidP="007D2590">
      <w:pPr>
        <w:pStyle w:val="Sinespaciado"/>
        <w:ind w:left="567" w:right="567"/>
        <w:jc w:val="both"/>
        <w:rPr>
          <w:rFonts w:ascii="Palatino Linotype" w:hAnsi="Palatino Linotype"/>
          <w:i/>
          <w:sz w:val="22"/>
        </w:rPr>
      </w:pPr>
      <w:r w:rsidRPr="00AE0EBD">
        <w:rPr>
          <w:rFonts w:ascii="Palatino Linotype" w:hAnsi="Palatino Linotype"/>
          <w:i/>
          <w:sz w:val="22"/>
        </w:rPr>
        <w:t xml:space="preserve">XX. Proponer al Ayuntamiento a través del Presidente Municipal la aprobación del Plan Municipal de Desarrollo Urbano; </w:t>
      </w:r>
    </w:p>
    <w:p w:rsidR="007D2590" w:rsidRPr="00AE0EBD" w:rsidRDefault="007D2590" w:rsidP="007D2590">
      <w:pPr>
        <w:pStyle w:val="Sinespaciado"/>
        <w:ind w:left="567" w:right="567"/>
        <w:jc w:val="both"/>
        <w:rPr>
          <w:rFonts w:ascii="Palatino Linotype" w:hAnsi="Palatino Linotype"/>
          <w:i/>
          <w:sz w:val="22"/>
        </w:rPr>
      </w:pPr>
      <w:r w:rsidRPr="00AE0EBD">
        <w:rPr>
          <w:rFonts w:ascii="Palatino Linotype" w:hAnsi="Palatino Linotype"/>
          <w:i/>
          <w:sz w:val="22"/>
        </w:rPr>
        <w:t xml:space="preserve">XXI. Participar en la Comisión de Planeación para el Desarrollo Municipal; </w:t>
      </w:r>
    </w:p>
    <w:p w:rsidR="007D2590" w:rsidRPr="00AE0EBD" w:rsidRDefault="007D2590" w:rsidP="007D2590">
      <w:pPr>
        <w:pStyle w:val="Sinespaciado"/>
        <w:ind w:left="567" w:right="567"/>
        <w:jc w:val="both"/>
        <w:rPr>
          <w:rFonts w:ascii="Palatino Linotype" w:hAnsi="Palatino Linotype"/>
          <w:i/>
          <w:sz w:val="22"/>
        </w:rPr>
      </w:pPr>
      <w:r w:rsidRPr="00AE0EBD">
        <w:rPr>
          <w:rFonts w:ascii="Palatino Linotype" w:hAnsi="Palatino Linotype"/>
          <w:i/>
          <w:sz w:val="22"/>
        </w:rPr>
        <w:t xml:space="preserve">XXII. Solicitar el auxilio de otras autoridades administrativas para la obtención de apoyo, informes declaraciones o documentos cuando así se requiera; y </w:t>
      </w:r>
    </w:p>
    <w:p w:rsidR="007D2590" w:rsidRPr="00AE0EBD" w:rsidRDefault="007D2590" w:rsidP="007D2590">
      <w:pPr>
        <w:pStyle w:val="Sinespaciado"/>
        <w:ind w:left="567" w:right="567"/>
        <w:jc w:val="both"/>
        <w:rPr>
          <w:rFonts w:ascii="Palatino Linotype" w:hAnsi="Palatino Linotype" w:cs="Arial"/>
          <w:i/>
          <w:sz w:val="22"/>
        </w:rPr>
      </w:pPr>
      <w:r w:rsidRPr="00AE0EBD">
        <w:rPr>
          <w:rFonts w:ascii="Palatino Linotype" w:hAnsi="Palatino Linotype"/>
          <w:i/>
          <w:sz w:val="22"/>
        </w:rPr>
        <w:t>XXIII. Las demás que le otorgue por acuerdo el Ayuntamiento o le asigne el Presidente Municipal.</w:t>
      </w:r>
    </w:p>
    <w:p w:rsidR="007D2590" w:rsidRPr="00AE0EBD" w:rsidRDefault="007D2590" w:rsidP="00120DAA">
      <w:pPr>
        <w:pStyle w:val="Sinespaciado"/>
        <w:spacing w:line="360" w:lineRule="auto"/>
        <w:jc w:val="both"/>
        <w:rPr>
          <w:rFonts w:ascii="Palatino Linotype" w:hAnsi="Palatino Linotype" w:cs="TimesNewRomanPS-ItalicMT"/>
          <w:iCs/>
        </w:rPr>
      </w:pPr>
    </w:p>
    <w:p w:rsidR="000C68D0" w:rsidRPr="00AE0EBD" w:rsidRDefault="000C68D0" w:rsidP="007D2590">
      <w:pPr>
        <w:pStyle w:val="Sinespaciado"/>
        <w:rPr>
          <w:sz w:val="2"/>
        </w:rPr>
      </w:pPr>
    </w:p>
    <w:p w:rsidR="007010A8" w:rsidRPr="00AE0EBD" w:rsidRDefault="007D2590" w:rsidP="00120DAA">
      <w:pPr>
        <w:pStyle w:val="Sinespaciado"/>
        <w:spacing w:line="360" w:lineRule="auto"/>
        <w:jc w:val="both"/>
        <w:rPr>
          <w:rFonts w:ascii="Palatino Linotype" w:hAnsi="Palatino Linotype" w:cs="Arial"/>
        </w:rPr>
      </w:pPr>
      <w:r w:rsidRPr="00AE0EBD">
        <w:rPr>
          <w:rFonts w:ascii="Palatino Linotype" w:hAnsi="Palatino Linotype" w:cs="TimesNewRomanPS-ItalicMT"/>
          <w:iCs/>
        </w:rPr>
        <w:t>Asimismo, la Subdirección de Planeación contará con las atribuciones siguientes, de conformidad con la fracción XI, del artículo 144, del Bando Municipal, el cual indica lo siguiente:</w:t>
      </w:r>
    </w:p>
    <w:p w:rsidR="007010A8" w:rsidRPr="00AE0EBD" w:rsidRDefault="007010A8" w:rsidP="007D2590">
      <w:pPr>
        <w:pStyle w:val="Sinespaciado"/>
        <w:rPr>
          <w:sz w:val="20"/>
        </w:rPr>
      </w:pPr>
    </w:p>
    <w:p w:rsidR="007D2590" w:rsidRPr="00AE0EBD" w:rsidRDefault="007D2590" w:rsidP="007D2590">
      <w:pPr>
        <w:pStyle w:val="Sinespaciado"/>
        <w:ind w:left="567" w:right="567"/>
        <w:jc w:val="both"/>
        <w:rPr>
          <w:rFonts w:ascii="Palatino Linotype" w:hAnsi="Palatino Linotype"/>
          <w:i/>
          <w:sz w:val="22"/>
        </w:rPr>
      </w:pPr>
      <w:r w:rsidRPr="00AE0EBD">
        <w:rPr>
          <w:rFonts w:ascii="Palatino Linotype" w:hAnsi="Palatino Linotype"/>
          <w:b/>
          <w:i/>
          <w:sz w:val="22"/>
        </w:rPr>
        <w:t>Artículo 144.</w:t>
      </w:r>
      <w:r w:rsidRPr="00AE0EBD">
        <w:rPr>
          <w:rFonts w:ascii="Palatino Linotype" w:hAnsi="Palatino Linotype"/>
          <w:i/>
          <w:sz w:val="22"/>
        </w:rPr>
        <w:t xml:space="preserve"> La Subdirección de Planeación contará con las atribuciones siguientes:</w:t>
      </w:r>
    </w:p>
    <w:p w:rsidR="007D2590" w:rsidRPr="00AE0EBD" w:rsidRDefault="007D2590" w:rsidP="007D2590">
      <w:pPr>
        <w:pStyle w:val="Sinespaciado"/>
        <w:ind w:left="567" w:right="567"/>
        <w:jc w:val="both"/>
        <w:rPr>
          <w:rFonts w:ascii="Palatino Linotype" w:hAnsi="Palatino Linotype"/>
          <w:i/>
          <w:sz w:val="22"/>
        </w:rPr>
      </w:pPr>
      <w:r w:rsidRPr="00AE0EBD">
        <w:rPr>
          <w:rFonts w:ascii="Palatino Linotype" w:hAnsi="Palatino Linotype"/>
          <w:i/>
          <w:sz w:val="22"/>
        </w:rPr>
        <w:t>(…)</w:t>
      </w:r>
    </w:p>
    <w:p w:rsidR="007D2590" w:rsidRPr="00AE0EBD" w:rsidRDefault="007D2590" w:rsidP="007D2590">
      <w:pPr>
        <w:pStyle w:val="Sinespaciado"/>
        <w:ind w:left="567" w:right="567"/>
        <w:jc w:val="both"/>
        <w:rPr>
          <w:rFonts w:ascii="Palatino Linotype" w:hAnsi="Palatino Linotype" w:cs="Arial"/>
          <w:i/>
          <w:sz w:val="22"/>
        </w:rPr>
      </w:pPr>
      <w:r w:rsidRPr="00AE0EBD">
        <w:rPr>
          <w:rFonts w:ascii="Palatino Linotype" w:hAnsi="Palatino Linotype" w:cs="Arial"/>
          <w:b/>
          <w:i/>
          <w:sz w:val="22"/>
        </w:rPr>
        <w:t>XI.</w:t>
      </w:r>
      <w:r w:rsidRPr="00AE0EBD">
        <w:rPr>
          <w:rFonts w:ascii="Palatino Linotype" w:hAnsi="Palatino Linotype" w:cs="Arial"/>
          <w:i/>
          <w:sz w:val="22"/>
        </w:rPr>
        <w:t xml:space="preserve"> </w:t>
      </w:r>
      <w:r w:rsidRPr="00AE0EBD">
        <w:rPr>
          <w:rFonts w:ascii="Palatino Linotype" w:hAnsi="Palatino Linotype" w:cs="Arial"/>
          <w:b/>
          <w:i/>
          <w:sz w:val="22"/>
          <w:u w:val="single"/>
        </w:rPr>
        <w:t>Emitir constancia de alineamiento y número oficial para delimitar la colindancia de un inmueble determinado con respecto a la vía pública adyacente, así como precisar sus restricciones de construcción y el número oficial que le corresponde</w:t>
      </w:r>
      <w:r w:rsidRPr="00AE0EBD">
        <w:rPr>
          <w:rFonts w:ascii="Palatino Linotype" w:hAnsi="Palatino Linotype" w:cs="Arial"/>
          <w:i/>
          <w:sz w:val="22"/>
        </w:rPr>
        <w:t>;</w:t>
      </w:r>
    </w:p>
    <w:p w:rsidR="007D2590" w:rsidRPr="00AE0EBD" w:rsidRDefault="007D2590" w:rsidP="007D2590">
      <w:pPr>
        <w:pStyle w:val="Sinespaciado"/>
        <w:ind w:left="567" w:right="567"/>
        <w:jc w:val="both"/>
        <w:rPr>
          <w:rFonts w:ascii="Palatino Linotype" w:hAnsi="Palatino Linotype" w:cs="Arial"/>
          <w:i/>
          <w:sz w:val="22"/>
        </w:rPr>
      </w:pPr>
      <w:r w:rsidRPr="00AE0EBD">
        <w:rPr>
          <w:rFonts w:ascii="Palatino Linotype" w:hAnsi="Palatino Linotype" w:cs="Arial"/>
          <w:i/>
          <w:sz w:val="22"/>
        </w:rPr>
        <w:t>(…)</w:t>
      </w:r>
    </w:p>
    <w:p w:rsidR="007D2590" w:rsidRPr="00AE0EBD" w:rsidRDefault="007D2590" w:rsidP="00120DAA">
      <w:pPr>
        <w:pStyle w:val="Sinespaciado"/>
        <w:spacing w:line="360" w:lineRule="auto"/>
        <w:jc w:val="both"/>
        <w:rPr>
          <w:rFonts w:ascii="Palatino Linotype" w:hAnsi="Palatino Linotype" w:cs="Arial"/>
        </w:rPr>
      </w:pPr>
    </w:p>
    <w:p w:rsidR="00436813" w:rsidRPr="00AE0EBD" w:rsidRDefault="00436813" w:rsidP="00120DAA">
      <w:pPr>
        <w:pStyle w:val="Sinespaciado"/>
        <w:spacing w:line="360" w:lineRule="auto"/>
        <w:jc w:val="both"/>
        <w:rPr>
          <w:rFonts w:ascii="Palatino Linotype" w:hAnsi="Palatino Linotype" w:cs="Arial"/>
        </w:rPr>
      </w:pPr>
      <w:r w:rsidRPr="00AE0EBD">
        <w:rPr>
          <w:rFonts w:ascii="Palatino Linotype" w:hAnsi="Palatino Linotype" w:cs="Arial"/>
        </w:rPr>
        <w:t>Se debe agregar que el artículo 18.35, del Código Administrativo del Estado de México, establece lo siguiente:</w:t>
      </w:r>
    </w:p>
    <w:p w:rsidR="00436813" w:rsidRPr="00AE0EBD" w:rsidRDefault="00436813" w:rsidP="00120DAA">
      <w:pPr>
        <w:pStyle w:val="Sinespaciado"/>
        <w:spacing w:line="360" w:lineRule="auto"/>
        <w:jc w:val="both"/>
        <w:rPr>
          <w:rFonts w:ascii="Palatino Linotype" w:hAnsi="Palatino Linotype" w:cs="Arial"/>
        </w:rPr>
      </w:pPr>
    </w:p>
    <w:p w:rsidR="00436813" w:rsidRPr="00AE0EBD" w:rsidRDefault="00436813" w:rsidP="00436813">
      <w:pPr>
        <w:autoSpaceDE w:val="0"/>
        <w:autoSpaceDN w:val="0"/>
        <w:adjustRightInd w:val="0"/>
        <w:spacing w:after="0" w:line="240" w:lineRule="auto"/>
        <w:ind w:left="567" w:right="567"/>
        <w:jc w:val="both"/>
        <w:rPr>
          <w:rFonts w:ascii="Palatino Linotype" w:hAnsi="Palatino Linotype" w:cs="Bookman Old Style"/>
          <w:i/>
          <w:color w:val="000000"/>
          <w:szCs w:val="20"/>
        </w:rPr>
      </w:pPr>
      <w:r w:rsidRPr="00AE0EBD">
        <w:rPr>
          <w:rFonts w:ascii="Palatino Linotype" w:hAnsi="Palatino Linotype" w:cs="Bookman Old Style"/>
          <w:b/>
          <w:bCs/>
          <w:i/>
          <w:color w:val="000000"/>
          <w:szCs w:val="20"/>
        </w:rPr>
        <w:lastRenderedPageBreak/>
        <w:t xml:space="preserve">Artículo 18.35.- </w:t>
      </w:r>
      <w:r w:rsidRPr="00AE0EBD">
        <w:rPr>
          <w:rFonts w:ascii="Palatino Linotype" w:hAnsi="Palatino Linotype" w:cs="Bookman Old Style"/>
          <w:i/>
          <w:color w:val="000000"/>
          <w:szCs w:val="20"/>
        </w:rPr>
        <w:t xml:space="preserve">La constancia de alineamiento y número oficial es el documento expedido por los municipios, que tiene por objeto delimitar la colindancia de un inmueble determinado con respecto a la vía pública adyacente, así como precisar sus restricciones de construcción y el número oficial que le corresponde. </w:t>
      </w:r>
    </w:p>
    <w:p w:rsidR="00436813" w:rsidRPr="00AE0EBD" w:rsidRDefault="00436813" w:rsidP="00436813">
      <w:pPr>
        <w:autoSpaceDE w:val="0"/>
        <w:autoSpaceDN w:val="0"/>
        <w:adjustRightInd w:val="0"/>
        <w:spacing w:after="0" w:line="240" w:lineRule="auto"/>
        <w:ind w:left="567" w:right="567"/>
        <w:jc w:val="both"/>
        <w:rPr>
          <w:rFonts w:ascii="Palatino Linotype" w:hAnsi="Palatino Linotype" w:cs="Bookman Old Style"/>
          <w:i/>
          <w:color w:val="000000"/>
          <w:szCs w:val="20"/>
        </w:rPr>
      </w:pPr>
    </w:p>
    <w:p w:rsidR="00436813" w:rsidRPr="00AE0EBD" w:rsidRDefault="00436813" w:rsidP="00436813">
      <w:pPr>
        <w:autoSpaceDE w:val="0"/>
        <w:autoSpaceDN w:val="0"/>
        <w:adjustRightInd w:val="0"/>
        <w:spacing w:after="0" w:line="240" w:lineRule="auto"/>
        <w:ind w:left="567" w:right="567"/>
        <w:jc w:val="both"/>
        <w:rPr>
          <w:rFonts w:ascii="Palatino Linotype" w:hAnsi="Palatino Linotype" w:cs="Bookman Old Style"/>
          <w:i/>
          <w:color w:val="000000"/>
          <w:szCs w:val="20"/>
        </w:rPr>
      </w:pPr>
      <w:r w:rsidRPr="00AE0EBD">
        <w:rPr>
          <w:rFonts w:ascii="Palatino Linotype" w:hAnsi="Palatino Linotype" w:cs="Bookman Old Style"/>
          <w:i/>
          <w:color w:val="000000"/>
          <w:szCs w:val="20"/>
        </w:rPr>
        <w:t xml:space="preserve">La constancia se podrá otorgar para ambos o para uno u otro servicio, de acuerdo a la solicitud del interesado, la cual se acompañará del croquis de localización y del documento que acredite la propiedad o posesión del inmueble respectivo. </w:t>
      </w:r>
    </w:p>
    <w:p w:rsidR="00436813" w:rsidRPr="00AE0EBD" w:rsidRDefault="00436813" w:rsidP="00436813">
      <w:pPr>
        <w:pStyle w:val="Sinespaciado"/>
        <w:ind w:left="567" w:right="567"/>
        <w:jc w:val="both"/>
        <w:rPr>
          <w:rFonts w:ascii="Palatino Linotype" w:eastAsiaTheme="minorHAnsi" w:hAnsi="Palatino Linotype" w:cs="Bookman Old Style"/>
          <w:i/>
          <w:color w:val="000000"/>
          <w:sz w:val="22"/>
          <w:szCs w:val="20"/>
          <w:lang w:eastAsia="en-US"/>
        </w:rPr>
      </w:pPr>
    </w:p>
    <w:p w:rsidR="00436813" w:rsidRPr="00AE0EBD" w:rsidRDefault="00436813" w:rsidP="00436813">
      <w:pPr>
        <w:pStyle w:val="Sinespaciado"/>
        <w:ind w:left="567" w:right="567"/>
        <w:jc w:val="both"/>
        <w:rPr>
          <w:rFonts w:ascii="Palatino Linotype" w:eastAsiaTheme="minorHAnsi" w:hAnsi="Palatino Linotype" w:cs="Bookman Old Style"/>
          <w:i/>
          <w:color w:val="000000"/>
          <w:sz w:val="22"/>
          <w:szCs w:val="20"/>
          <w:lang w:eastAsia="en-US"/>
        </w:rPr>
      </w:pPr>
      <w:r w:rsidRPr="00AE0EBD">
        <w:rPr>
          <w:rFonts w:ascii="Palatino Linotype" w:eastAsiaTheme="minorHAnsi" w:hAnsi="Palatino Linotype" w:cs="Bookman Old Style"/>
          <w:i/>
          <w:color w:val="000000"/>
          <w:sz w:val="22"/>
          <w:szCs w:val="20"/>
          <w:lang w:eastAsia="en-US"/>
        </w:rPr>
        <w:t xml:space="preserve">La solicitud de emisión de la constancia podrá hacerse de manera física o electrónica. </w:t>
      </w:r>
    </w:p>
    <w:p w:rsidR="00436813" w:rsidRPr="00AE0EBD" w:rsidRDefault="00436813" w:rsidP="00436813">
      <w:pPr>
        <w:pStyle w:val="Sinespaciado"/>
        <w:ind w:left="567" w:right="567"/>
        <w:jc w:val="both"/>
        <w:rPr>
          <w:rFonts w:ascii="Palatino Linotype" w:eastAsiaTheme="minorHAnsi" w:hAnsi="Palatino Linotype" w:cs="Bookman Old Style"/>
          <w:i/>
          <w:color w:val="000000"/>
          <w:sz w:val="22"/>
          <w:szCs w:val="20"/>
          <w:lang w:eastAsia="en-US"/>
        </w:rPr>
      </w:pPr>
    </w:p>
    <w:p w:rsidR="00436813" w:rsidRPr="00AE0EBD" w:rsidRDefault="00436813" w:rsidP="00436813">
      <w:pPr>
        <w:pStyle w:val="Sinespaciado"/>
        <w:ind w:left="567" w:right="567"/>
        <w:jc w:val="both"/>
        <w:rPr>
          <w:rFonts w:ascii="Palatino Linotype" w:hAnsi="Palatino Linotype" w:cs="Arial"/>
          <w:i/>
          <w:sz w:val="28"/>
        </w:rPr>
      </w:pPr>
      <w:r w:rsidRPr="00AE0EBD">
        <w:rPr>
          <w:rFonts w:ascii="Palatino Linotype" w:eastAsiaTheme="minorHAnsi" w:hAnsi="Palatino Linotype" w:cs="Bookman Old Style"/>
          <w:i/>
          <w:color w:val="000000"/>
          <w:sz w:val="22"/>
          <w:szCs w:val="20"/>
          <w:lang w:eastAsia="en-US"/>
        </w:rPr>
        <w:t>Para ello, el solicitante podrá presentar los documentos que se describen en el párrafo anterior en formato electrónico.</w:t>
      </w:r>
    </w:p>
    <w:p w:rsidR="00436813" w:rsidRPr="00AE0EBD" w:rsidRDefault="00436813" w:rsidP="00120DAA">
      <w:pPr>
        <w:pStyle w:val="Sinespaciado"/>
        <w:spacing w:line="360" w:lineRule="auto"/>
        <w:jc w:val="both"/>
        <w:rPr>
          <w:rFonts w:ascii="Palatino Linotype" w:hAnsi="Palatino Linotype" w:cs="Arial"/>
        </w:rPr>
      </w:pPr>
    </w:p>
    <w:p w:rsidR="007D2590" w:rsidRPr="00AE0EBD" w:rsidRDefault="00436813" w:rsidP="00120DAA">
      <w:pPr>
        <w:pStyle w:val="Sinespaciado"/>
        <w:spacing w:line="360" w:lineRule="auto"/>
        <w:jc w:val="both"/>
        <w:rPr>
          <w:rFonts w:ascii="Palatino Linotype" w:hAnsi="Palatino Linotype" w:cs="Arial"/>
        </w:rPr>
      </w:pPr>
      <w:r w:rsidRPr="00AE0EBD">
        <w:rPr>
          <w:rFonts w:ascii="Palatino Linotype" w:hAnsi="Palatino Linotype" w:cs="Arial"/>
          <w:noProof/>
          <w:lang w:eastAsia="es-MX"/>
        </w:rPr>
        <mc:AlternateContent>
          <mc:Choice Requires="wps">
            <w:drawing>
              <wp:anchor distT="0" distB="0" distL="114300" distR="114300" simplePos="0" relativeHeight="251662336" behindDoc="0" locked="0" layoutInCell="1" allowOverlap="1">
                <wp:simplePos x="0" y="0"/>
                <wp:positionH relativeFrom="column">
                  <wp:posOffset>33047</wp:posOffset>
                </wp:positionH>
                <wp:positionV relativeFrom="paragraph">
                  <wp:posOffset>1199707</wp:posOffset>
                </wp:positionV>
                <wp:extent cx="5565913" cy="3896139"/>
                <wp:effectExtent l="19050" t="19050" r="34925" b="28575"/>
                <wp:wrapNone/>
                <wp:docPr id="12" name="Conector recto 12"/>
                <wp:cNvGraphicFramePr/>
                <a:graphic xmlns:a="http://schemas.openxmlformats.org/drawingml/2006/main">
                  <a:graphicData uri="http://schemas.microsoft.com/office/word/2010/wordprocessingShape">
                    <wps:wsp>
                      <wps:cNvCnPr/>
                      <wps:spPr>
                        <a:xfrm>
                          <a:off x="0" y="0"/>
                          <a:ext cx="5565913" cy="3896139"/>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FA32DA" id="Conector recto 12"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6pt,94.45pt" to="440.85pt,40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" strokecolor="#5b9bd5 [3204]" strokeweight="2.25pt">
                <v:stroke joinstyle="miter"/>
              </v:line>
            </w:pict>
          </mc:Fallback>
        </mc:AlternateContent>
      </w:r>
      <w:r w:rsidR="007D2590" w:rsidRPr="00AE0EBD">
        <w:rPr>
          <w:rFonts w:ascii="Palatino Linotype" w:hAnsi="Palatino Linotype" w:cs="Arial"/>
        </w:rPr>
        <w:t xml:space="preserve">Más aún, en la página oficial del Sujeto Obligado, se encuentra un apartado de TRÁMITES Y SERVICIOS, en el cual, contiene todos los requisitos para tramitar una </w:t>
      </w:r>
      <w:r w:rsidR="003D351E" w:rsidRPr="00AE0EBD">
        <w:rPr>
          <w:rFonts w:ascii="Palatino Linotype" w:hAnsi="Palatino Linotype" w:cs="Arial"/>
        </w:rPr>
        <w:t>“</w:t>
      </w:r>
      <w:r w:rsidR="003D351E" w:rsidRPr="00AE0EBD">
        <w:rPr>
          <w:rFonts w:ascii="Palatino Linotype" w:hAnsi="Palatino Linotype" w:cs="Arial"/>
          <w:b/>
          <w:i/>
        </w:rPr>
        <w:t>CONSTANCIA DE ASIGNACIÓN DE NÚMERO OFICIAL”</w:t>
      </w:r>
      <w:r w:rsidR="003D351E" w:rsidRPr="00AE0EBD">
        <w:rPr>
          <w:rFonts w:ascii="Palatino Linotype" w:hAnsi="Palatino Linotype" w:cs="Arial"/>
        </w:rPr>
        <w:t>, tal y como se muestra en las siguientes imágenes:</w:t>
      </w:r>
    </w:p>
    <w:p w:rsidR="003D351E" w:rsidRPr="00AE0EBD" w:rsidRDefault="003D351E" w:rsidP="003D351E">
      <w:pPr>
        <w:pStyle w:val="Sinespaciado"/>
        <w:spacing w:line="360" w:lineRule="auto"/>
        <w:jc w:val="center"/>
        <w:rPr>
          <w:rFonts w:ascii="Palatino Linotype" w:hAnsi="Palatino Linotype" w:cs="Arial"/>
        </w:rPr>
      </w:pPr>
      <w:r w:rsidRPr="00AE0EBD">
        <w:rPr>
          <w:rFonts w:ascii="Palatino Linotype" w:hAnsi="Palatino Linotype" w:cs="Arial"/>
          <w:noProof/>
          <w:lang w:eastAsia="es-MX"/>
        </w:rPr>
        <w:lastRenderedPageBreak/>
        <mc:AlternateContent>
          <mc:Choice Requires="wps">
            <w:drawing>
              <wp:anchor distT="0" distB="0" distL="114300" distR="114300" simplePos="0" relativeHeight="251661312" behindDoc="0" locked="0" layoutInCell="1" allowOverlap="1">
                <wp:simplePos x="0" y="0"/>
                <wp:positionH relativeFrom="column">
                  <wp:posOffset>494223</wp:posOffset>
                </wp:positionH>
                <wp:positionV relativeFrom="paragraph">
                  <wp:posOffset>1123149</wp:posOffset>
                </wp:positionV>
                <wp:extent cx="4928898" cy="834887"/>
                <wp:effectExtent l="19050" t="19050" r="24130" b="22860"/>
                <wp:wrapNone/>
                <wp:docPr id="11" name="Rectángulo 11"/>
                <wp:cNvGraphicFramePr/>
                <a:graphic xmlns:a="http://schemas.openxmlformats.org/drawingml/2006/main">
                  <a:graphicData uri="http://schemas.microsoft.com/office/word/2010/wordprocessingShape">
                    <wps:wsp>
                      <wps:cNvSpPr/>
                      <wps:spPr>
                        <a:xfrm>
                          <a:off x="0" y="0"/>
                          <a:ext cx="4928898" cy="834887"/>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F48237" id="Rectángulo 11" o:spid="_x0000_s1026" style="position:absolute;margin-left:38.9pt;margin-top:88.45pt;width:388.1pt;height:65.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" filled="f" strokecolor="red" strokeweight="3pt"/>
            </w:pict>
          </mc:Fallback>
        </mc:AlternateContent>
      </w:r>
      <w:r w:rsidRPr="00AE0EBD">
        <w:rPr>
          <w:rFonts w:ascii="Palatino Linotype" w:hAnsi="Palatino Linotype" w:cs="Arial"/>
          <w:noProof/>
          <w:lang w:eastAsia="es-MX"/>
        </w:rPr>
        <w:drawing>
          <wp:inline distT="0" distB="0" distL="0" distR="0">
            <wp:extent cx="5096427" cy="6980229"/>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l="7180" t="2250" r="4326" b="3651"/>
                    <a:stretch/>
                  </pic:blipFill>
                  <pic:spPr bwMode="auto">
                    <a:xfrm>
                      <a:off x="0" y="0"/>
                      <a:ext cx="5097883" cy="6982223"/>
                    </a:xfrm>
                    <a:prstGeom prst="rect">
                      <a:avLst/>
                    </a:prstGeom>
                    <a:noFill/>
                    <a:ln>
                      <a:noFill/>
                    </a:ln>
                    <a:extLst>
                      <a:ext uri="{53640926-AAD7-44D8-BBD7-CCE9431645EC}">
                        <a14:shadowObscured xmlns:a14="http://schemas.microsoft.com/office/drawing/2010/main"/>
                      </a:ext>
                    </a:extLst>
                  </pic:spPr>
                </pic:pic>
              </a:graphicData>
            </a:graphic>
          </wp:inline>
        </w:drawing>
      </w:r>
    </w:p>
    <w:p w:rsidR="003D351E" w:rsidRPr="00AE0EBD" w:rsidRDefault="003D351E" w:rsidP="00120DAA">
      <w:pPr>
        <w:pStyle w:val="Sinespaciado"/>
        <w:spacing w:line="360" w:lineRule="auto"/>
        <w:jc w:val="both"/>
        <w:rPr>
          <w:rFonts w:ascii="Palatino Linotype" w:hAnsi="Palatino Linotype" w:cs="Arial"/>
        </w:rPr>
      </w:pPr>
    </w:p>
    <w:p w:rsidR="003D351E" w:rsidRPr="00AE0EBD" w:rsidRDefault="003D351E" w:rsidP="00120DAA">
      <w:pPr>
        <w:pStyle w:val="Sinespaciado"/>
        <w:spacing w:line="360" w:lineRule="auto"/>
        <w:jc w:val="both"/>
        <w:rPr>
          <w:rFonts w:ascii="Palatino Linotype" w:hAnsi="Palatino Linotype" w:cs="Arial"/>
        </w:rPr>
      </w:pPr>
    </w:p>
    <w:p w:rsidR="003D351E" w:rsidRPr="00AE0EBD" w:rsidRDefault="003D351E" w:rsidP="00120DAA">
      <w:pPr>
        <w:pStyle w:val="Sinespaciado"/>
        <w:spacing w:line="360" w:lineRule="auto"/>
        <w:jc w:val="both"/>
        <w:rPr>
          <w:rFonts w:ascii="Palatino Linotype" w:hAnsi="Palatino Linotype" w:cs="Arial"/>
        </w:rPr>
      </w:pPr>
    </w:p>
    <w:p w:rsidR="003D351E" w:rsidRPr="00AE0EBD" w:rsidRDefault="00504CF6" w:rsidP="00436813">
      <w:pPr>
        <w:pStyle w:val="Sinespaciado"/>
        <w:spacing w:line="360" w:lineRule="auto"/>
        <w:jc w:val="center"/>
        <w:rPr>
          <w:rFonts w:ascii="Palatino Linotype" w:hAnsi="Palatino Linotype" w:cs="Arial"/>
        </w:rPr>
      </w:pPr>
      <w:r w:rsidRPr="00AE0EBD">
        <w:rPr>
          <w:rFonts w:ascii="Palatino Linotype" w:hAnsi="Palatino Linotype" w:cs="Arial"/>
          <w:noProof/>
          <w:lang w:eastAsia="es-MX"/>
        </w:rPr>
        <mc:AlternateContent>
          <mc:Choice Requires="wps">
            <w:drawing>
              <wp:anchor distT="0" distB="0" distL="114300" distR="114300" simplePos="0" relativeHeight="251664384" behindDoc="0" locked="0" layoutInCell="1" allowOverlap="1" wp14:anchorId="26347687" wp14:editId="45B3D25D">
                <wp:simplePos x="0" y="0"/>
                <wp:positionH relativeFrom="column">
                  <wp:posOffset>533980</wp:posOffset>
                </wp:positionH>
                <wp:positionV relativeFrom="paragraph">
                  <wp:posOffset>1328392</wp:posOffset>
                </wp:positionV>
                <wp:extent cx="4850295" cy="2536466"/>
                <wp:effectExtent l="19050" t="19050" r="26670" b="16510"/>
                <wp:wrapNone/>
                <wp:docPr id="15" name="Rectángulo 15"/>
                <wp:cNvGraphicFramePr/>
                <a:graphic xmlns:a="http://schemas.openxmlformats.org/drawingml/2006/main">
                  <a:graphicData uri="http://schemas.microsoft.com/office/word/2010/wordprocessingShape">
                    <wps:wsp>
                      <wps:cNvSpPr/>
                      <wps:spPr>
                        <a:xfrm>
                          <a:off x="0" y="0"/>
                          <a:ext cx="4850295" cy="2536466"/>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AC999" id="Rectángulo 15" o:spid="_x0000_s1026" style="position:absolute;margin-left:42.05pt;margin-top:104.6pt;width:381.9pt;height:199.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" filled="f" strokecolor="red" strokeweight="3pt"/>
            </w:pict>
          </mc:Fallback>
        </mc:AlternateContent>
      </w:r>
      <w:r w:rsidR="00436813" w:rsidRPr="00AE0EBD">
        <w:rPr>
          <w:rFonts w:ascii="Palatino Linotype" w:hAnsi="Palatino Linotype" w:cs="Arial"/>
          <w:noProof/>
          <w:lang w:eastAsia="es-MX"/>
        </w:rPr>
        <w:drawing>
          <wp:inline distT="0" distB="0" distL="0" distR="0">
            <wp:extent cx="5175608" cy="7155815"/>
            <wp:effectExtent l="0" t="0" r="6350" b="698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l="6350" r="3795" b="2657"/>
                    <a:stretch/>
                  </pic:blipFill>
                  <pic:spPr bwMode="auto">
                    <a:xfrm>
                      <a:off x="0" y="0"/>
                      <a:ext cx="5176352" cy="7156844"/>
                    </a:xfrm>
                    <a:prstGeom prst="rect">
                      <a:avLst/>
                    </a:prstGeom>
                    <a:noFill/>
                    <a:ln>
                      <a:noFill/>
                    </a:ln>
                    <a:extLst>
                      <a:ext uri="{53640926-AAD7-44D8-BBD7-CCE9431645EC}">
                        <a14:shadowObscured xmlns:a14="http://schemas.microsoft.com/office/drawing/2010/main"/>
                      </a:ext>
                    </a:extLst>
                  </pic:spPr>
                </pic:pic>
              </a:graphicData>
            </a:graphic>
          </wp:inline>
        </w:drawing>
      </w:r>
    </w:p>
    <w:p w:rsidR="003D351E" w:rsidRPr="00AE0EBD" w:rsidRDefault="00436813" w:rsidP="00120DAA">
      <w:pPr>
        <w:pStyle w:val="Sinespaciado"/>
        <w:spacing w:line="360" w:lineRule="auto"/>
        <w:jc w:val="both"/>
        <w:rPr>
          <w:rFonts w:ascii="Palatino Linotype" w:hAnsi="Palatino Linotype" w:cs="Arial"/>
        </w:rPr>
      </w:pPr>
      <w:r w:rsidRPr="00AE0EBD">
        <w:rPr>
          <w:rFonts w:ascii="Palatino Linotype" w:hAnsi="Palatino Linotype" w:cs="Arial"/>
        </w:rPr>
        <w:lastRenderedPageBreak/>
        <w:t xml:space="preserve">Visto lo anterior, es notoria la competencia del </w:t>
      </w:r>
      <w:r w:rsidRPr="00AE0EBD">
        <w:rPr>
          <w:rFonts w:ascii="Palatino Linotype" w:hAnsi="Palatino Linotype" w:cs="Arial"/>
          <w:b/>
        </w:rPr>
        <w:t>Sujeto Obligado</w:t>
      </w:r>
      <w:r w:rsidRPr="00AE0EBD">
        <w:rPr>
          <w:rFonts w:ascii="Palatino Linotype" w:hAnsi="Palatino Linotype" w:cs="Arial"/>
        </w:rPr>
        <w:t>, para generar y administrar dicha información, por lo que es dable ordenar la entrega de los documentos</w:t>
      </w:r>
      <w:r w:rsidR="00D275D2" w:rsidRPr="00AE0EBD">
        <w:rPr>
          <w:rFonts w:ascii="Palatino Linotype" w:hAnsi="Palatino Linotype" w:cs="Arial"/>
        </w:rPr>
        <w:t>,</w:t>
      </w:r>
      <w:r w:rsidRPr="00AE0EBD">
        <w:rPr>
          <w:rFonts w:ascii="Palatino Linotype" w:hAnsi="Palatino Linotype" w:cs="Arial"/>
        </w:rPr>
        <w:t xml:space="preserve"> </w:t>
      </w:r>
      <w:r w:rsidR="00D275D2" w:rsidRPr="00AE0EBD">
        <w:rPr>
          <w:rFonts w:ascii="Palatino Linotype" w:hAnsi="Palatino Linotype" w:cs="TimesNewRomanPS-ItalicMT"/>
          <w:iCs/>
        </w:rPr>
        <w:t xml:space="preserve">en versión pública de ser procedente, </w:t>
      </w:r>
      <w:r w:rsidRPr="00AE0EBD">
        <w:rPr>
          <w:rFonts w:ascii="Palatino Linotype" w:hAnsi="Palatino Linotype" w:cs="Arial"/>
        </w:rPr>
        <w:t xml:space="preserve">en donde conste el </w:t>
      </w:r>
      <w:r w:rsidRPr="00AE0EBD">
        <w:rPr>
          <w:rFonts w:ascii="Palatino Linotype" w:hAnsi="Palatino Linotype" w:cs="TimesNewRomanPS-ItalicMT"/>
          <w:b/>
          <w:iCs/>
        </w:rPr>
        <w:t>número oficial</w:t>
      </w:r>
      <w:r w:rsidRPr="00AE0EBD">
        <w:rPr>
          <w:rFonts w:ascii="Palatino Linotype" w:hAnsi="Palatino Linotype" w:cs="TimesNewRomanPS-ItalicMT"/>
          <w:iCs/>
        </w:rPr>
        <w:t xml:space="preserve">, </w:t>
      </w:r>
      <w:r w:rsidRPr="00AE0EBD">
        <w:rPr>
          <w:rFonts w:ascii="Palatino Linotype" w:hAnsi="Palatino Linotype" w:cs="TimesNewRomanPS-ItalicMT"/>
          <w:b/>
          <w:iCs/>
        </w:rPr>
        <w:t>número actual</w:t>
      </w:r>
      <w:r w:rsidRPr="00AE0EBD">
        <w:rPr>
          <w:rFonts w:ascii="Palatino Linotype" w:hAnsi="Palatino Linotype" w:cs="TimesNewRomanPS-ItalicMT"/>
          <w:iCs/>
        </w:rPr>
        <w:t xml:space="preserve"> y los </w:t>
      </w:r>
      <w:r w:rsidRPr="00AE0EBD">
        <w:rPr>
          <w:rFonts w:ascii="Palatino Linotype" w:hAnsi="Palatino Linotype" w:cs="TimesNewRomanPS-ItalicMT"/>
          <w:b/>
          <w:iCs/>
        </w:rPr>
        <w:t>números anteriores</w:t>
      </w:r>
      <w:r w:rsidRPr="00AE0EBD">
        <w:rPr>
          <w:rFonts w:ascii="Palatino Linotype" w:hAnsi="Palatino Linotype" w:cs="TimesNewRomanPS-ItalicMT"/>
          <w:iCs/>
        </w:rPr>
        <w:t>, de todos y cada uno de los inmuebles</w:t>
      </w:r>
      <w:r w:rsidR="00D275D2" w:rsidRPr="00AE0EBD">
        <w:rPr>
          <w:rFonts w:ascii="Palatino Linotype" w:hAnsi="Palatino Linotype" w:cs="TimesNewRomanPS-ItalicMT"/>
          <w:iCs/>
        </w:rPr>
        <w:t xml:space="preserve">, </w:t>
      </w:r>
      <w:r w:rsidRPr="00AE0EBD">
        <w:rPr>
          <w:rFonts w:ascii="Palatino Linotype" w:hAnsi="Palatino Linotype" w:cs="TimesNewRomanPS-ItalicMT"/>
          <w:iCs/>
        </w:rPr>
        <w:t xml:space="preserve">ubicados en la </w:t>
      </w:r>
      <w:r w:rsidRPr="00AE0EBD">
        <w:rPr>
          <w:rFonts w:ascii="Palatino Linotype" w:hAnsi="Palatino Linotype" w:cs="TimesNewRomanPS-ItalicMT"/>
          <w:i/>
          <w:iCs/>
          <w:u w:val="single"/>
        </w:rPr>
        <w:t>Calle Benito Juárez, del (tramo comprendido única y exclusivamente entre Jesús del Monte y Francisco I Madero), Colonia Jesús del Monte, Código Postal 52764, Municipio de Huixquilucan, Estado de México</w:t>
      </w:r>
      <w:r w:rsidRPr="00AE0EBD">
        <w:rPr>
          <w:rFonts w:ascii="Palatino Linotype" w:hAnsi="Palatino Linotype" w:cs="TimesNewRomanPS-ItalicMT"/>
          <w:iCs/>
        </w:rPr>
        <w:t>.</w:t>
      </w:r>
    </w:p>
    <w:p w:rsidR="003D351E" w:rsidRPr="00AE0EBD" w:rsidRDefault="003D351E" w:rsidP="00120DAA">
      <w:pPr>
        <w:pStyle w:val="Sinespaciado"/>
        <w:spacing w:line="360" w:lineRule="auto"/>
        <w:jc w:val="both"/>
        <w:rPr>
          <w:rFonts w:ascii="Palatino Linotype" w:hAnsi="Palatino Linotype" w:cs="Arial"/>
        </w:rPr>
      </w:pPr>
    </w:p>
    <w:p w:rsidR="003B72C4" w:rsidRPr="00AE0EBD" w:rsidRDefault="003B72C4" w:rsidP="003B72C4">
      <w:pPr>
        <w:pStyle w:val="Sinespaciado"/>
        <w:spacing w:line="360" w:lineRule="auto"/>
        <w:jc w:val="both"/>
        <w:rPr>
          <w:rFonts w:ascii="Palatino Linotype" w:eastAsia="Calibri" w:hAnsi="Palatino Linotype" w:cs="Arial"/>
        </w:rPr>
      </w:pPr>
      <w:r w:rsidRPr="00AE0EBD">
        <w:rPr>
          <w:rFonts w:ascii="Palatino Linotype" w:eastAsia="MS Mincho" w:hAnsi="Palatino Linotype" w:cstheme="majorBidi"/>
        </w:rPr>
        <w:t xml:space="preserve">Ahora bien, después de señalar que el </w:t>
      </w:r>
      <w:r w:rsidRPr="00AE0EBD">
        <w:rPr>
          <w:rFonts w:ascii="Palatino Linotype" w:eastAsia="MS Mincho" w:hAnsi="Palatino Linotype" w:cstheme="majorBidi"/>
          <w:b/>
        </w:rPr>
        <w:t>Sujeto Obligado</w:t>
      </w:r>
      <w:r w:rsidRPr="00AE0EBD">
        <w:rPr>
          <w:rFonts w:ascii="Palatino Linotype" w:eastAsia="MS Mincho" w:hAnsi="Palatino Linotype" w:cstheme="majorBidi"/>
        </w:rPr>
        <w:t xml:space="preserve"> es competente para dar respuesta y colmar con lo requerido, también es importante señalar que, </w:t>
      </w:r>
      <w:r w:rsidRPr="00AE0EBD">
        <w:rPr>
          <w:rFonts w:ascii="Palatino Linotype" w:eastAsia="MS Mincho" w:hAnsi="Palatino Linotype" w:cstheme="majorBidi"/>
          <w:b/>
          <w:u w:val="single"/>
        </w:rPr>
        <w:t>NO todas las documentales que obran en el expediente son de acceso público, por contener datos personales con el carácter de confidencial de las personas que hayan tramitado dichos documentos.</w:t>
      </w:r>
    </w:p>
    <w:p w:rsidR="003B72C4" w:rsidRPr="00AE0EBD" w:rsidRDefault="003B72C4" w:rsidP="003B72C4">
      <w:pPr>
        <w:spacing w:after="0" w:line="360" w:lineRule="auto"/>
        <w:jc w:val="both"/>
        <w:rPr>
          <w:rFonts w:ascii="Palatino Linotype" w:hAnsi="Palatino Linotype"/>
          <w:color w:val="222222"/>
          <w:sz w:val="24"/>
          <w:lang w:eastAsia="es-MX"/>
        </w:rPr>
      </w:pPr>
    </w:p>
    <w:p w:rsidR="003B72C4" w:rsidRPr="00AE0EBD" w:rsidRDefault="003B72C4" w:rsidP="003B72C4">
      <w:pPr>
        <w:spacing w:after="0" w:line="360" w:lineRule="auto"/>
        <w:jc w:val="both"/>
        <w:rPr>
          <w:rFonts w:ascii="Palatino Linotype" w:hAnsi="Palatino Linotype"/>
          <w:sz w:val="24"/>
        </w:rPr>
      </w:pPr>
      <w:r w:rsidRPr="00AE0EBD">
        <w:rPr>
          <w:rFonts w:ascii="Palatino Linotype" w:hAnsi="Palatino Linotype"/>
          <w:color w:val="222222"/>
          <w:sz w:val="24"/>
          <w:lang w:eastAsia="es-MX"/>
        </w:rPr>
        <w:t xml:space="preserve">Atento a ello, primeramente es importante destacar que conforme al artículo 179, del </w:t>
      </w:r>
      <w:r w:rsidRPr="00AE0EBD">
        <w:rPr>
          <w:rFonts w:ascii="Palatino Linotype" w:hAnsi="Palatino Linotype"/>
          <w:sz w:val="24"/>
        </w:rPr>
        <w:t xml:space="preserve">del Código Financiero del Estado de México y Municipios, se entiende por </w:t>
      </w:r>
      <w:r w:rsidRPr="00AE0EBD">
        <w:rPr>
          <w:rFonts w:ascii="Palatino Linotype" w:hAnsi="Palatino Linotype"/>
          <w:b/>
          <w:sz w:val="24"/>
        </w:rPr>
        <w:t>CLAVE CATASTRAL</w:t>
      </w:r>
      <w:r w:rsidRPr="00AE0EBD">
        <w:rPr>
          <w:rFonts w:ascii="Palatino Linotype" w:hAnsi="Palatino Linotype"/>
          <w:sz w:val="24"/>
        </w:rPr>
        <w:t xml:space="preserve">, al código alfanumérico único e irrepetible y está compuesto de dieciséis caracteres, que se asigna para efectos de localización geográfica, identificación, inscripción, control y registro de los inmuebles; los diez primeros deben ser caracteres numéricos y los seis últimos pueden ser alfanuméricos; su integración corresponde invariablemente y en estricto orden, a esta estructura: los tres primeros identifican al código del municipio, las dos siguientes a la zona catastral, los tres que siguen a la manzana y los dos siguientes al número de lote o predio; cuando se trate de condominios, las siguientes dos posiciones identifican el edificio y las cuatro últimas </w:t>
      </w:r>
      <w:r w:rsidRPr="00AE0EBD">
        <w:rPr>
          <w:rFonts w:ascii="Palatino Linotype" w:hAnsi="Palatino Linotype"/>
          <w:sz w:val="24"/>
        </w:rPr>
        <w:lastRenderedPageBreak/>
        <w:t>el número de departamento, en los casos de propiedades individuales estos seis últimos caracteres se codifican con ceros.</w:t>
      </w:r>
    </w:p>
    <w:p w:rsidR="003B72C4" w:rsidRPr="00AE0EBD" w:rsidRDefault="003B72C4" w:rsidP="003B72C4">
      <w:pPr>
        <w:spacing w:after="0" w:line="360" w:lineRule="auto"/>
        <w:jc w:val="both"/>
        <w:rPr>
          <w:rFonts w:ascii="Palatino Linotype" w:hAnsi="Palatino Linotype"/>
          <w:color w:val="222222"/>
          <w:sz w:val="24"/>
          <w:lang w:eastAsia="es-MX"/>
        </w:rPr>
      </w:pPr>
    </w:p>
    <w:p w:rsidR="003B72C4" w:rsidRPr="00AE0EBD" w:rsidRDefault="003B72C4" w:rsidP="003B72C4">
      <w:pPr>
        <w:spacing w:after="0" w:line="360" w:lineRule="auto"/>
        <w:jc w:val="both"/>
        <w:rPr>
          <w:rFonts w:ascii="Palatino Linotype" w:hAnsi="Palatino Linotype"/>
          <w:sz w:val="24"/>
        </w:rPr>
      </w:pPr>
      <w:r w:rsidRPr="00AE0EBD">
        <w:rPr>
          <w:rFonts w:ascii="Palatino Linotype" w:hAnsi="Palatino Linotype"/>
          <w:color w:val="222222"/>
          <w:sz w:val="24"/>
          <w:lang w:eastAsia="es-MX"/>
        </w:rPr>
        <w:t xml:space="preserve">En consecuencia, es de señalar que las </w:t>
      </w:r>
      <w:r w:rsidRPr="00AE0EBD">
        <w:rPr>
          <w:rFonts w:ascii="Palatino Linotype" w:hAnsi="Palatino Linotype"/>
          <w:b/>
          <w:color w:val="222222"/>
          <w:sz w:val="24"/>
          <w:lang w:eastAsia="es-MX"/>
        </w:rPr>
        <w:t>claves catastrales</w:t>
      </w:r>
      <w:r w:rsidRPr="00AE0EBD">
        <w:rPr>
          <w:rFonts w:ascii="Palatino Linotype" w:hAnsi="Palatino Linotype"/>
          <w:color w:val="222222"/>
          <w:sz w:val="24"/>
          <w:lang w:eastAsia="es-MX"/>
        </w:rPr>
        <w:t xml:space="preserve">, corresponde a información </w:t>
      </w:r>
      <w:r w:rsidRPr="00AE0EBD">
        <w:rPr>
          <w:rFonts w:ascii="Palatino Linotype" w:hAnsi="Palatino Linotype"/>
          <w:sz w:val="24"/>
        </w:rPr>
        <w:t xml:space="preserve">que por mandato de Ley debe clasificarse como </w:t>
      </w:r>
      <w:r w:rsidRPr="00AE0EBD">
        <w:rPr>
          <w:rFonts w:ascii="Palatino Linotype" w:hAnsi="Palatino Linotype"/>
          <w:b/>
          <w:sz w:val="24"/>
        </w:rPr>
        <w:t>CONFIDENCIAL</w:t>
      </w:r>
      <w:r w:rsidRPr="00AE0EBD">
        <w:rPr>
          <w:rFonts w:ascii="Palatino Linotype" w:hAnsi="Palatino Linotype"/>
          <w:sz w:val="24"/>
        </w:rPr>
        <w:t xml:space="preserve">, por encontrarse relacionada con la ubicación exacta de cada inmueble. </w:t>
      </w:r>
    </w:p>
    <w:p w:rsidR="003B72C4" w:rsidRPr="00AE0EBD" w:rsidRDefault="003B72C4" w:rsidP="00D275D2">
      <w:pPr>
        <w:pStyle w:val="Sinespaciado"/>
        <w:spacing w:line="360" w:lineRule="auto"/>
        <w:jc w:val="both"/>
        <w:rPr>
          <w:rFonts w:ascii="Palatino Linotype" w:hAnsi="Palatino Linotype" w:cs="Arial"/>
        </w:rPr>
      </w:pPr>
    </w:p>
    <w:p w:rsidR="00D275D2" w:rsidRPr="00AE0EBD" w:rsidRDefault="00D275D2" w:rsidP="00D275D2">
      <w:pPr>
        <w:pStyle w:val="Sinespaciado"/>
        <w:spacing w:line="360" w:lineRule="auto"/>
        <w:jc w:val="both"/>
        <w:rPr>
          <w:rFonts w:ascii="Palatino Linotype" w:hAnsi="Palatino Linotype" w:cs="Arial"/>
        </w:rPr>
      </w:pPr>
      <w:r w:rsidRPr="00AE0EBD">
        <w:rPr>
          <w:rFonts w:ascii="Palatino Linotype" w:hAnsi="Palatino Linotype" w:cs="Arial"/>
        </w:rPr>
        <w:t xml:space="preserve">Por otra parte, referente a los puntos 3), 7) y 8), correspondientes al </w:t>
      </w:r>
      <w:r w:rsidRPr="00AE0EBD">
        <w:rPr>
          <w:rFonts w:ascii="Palatino Linotype" w:hAnsi="Palatino Linotype" w:cs="Arial"/>
          <w:i/>
        </w:rPr>
        <w:t>Plano Manzanero</w:t>
      </w:r>
      <w:r w:rsidRPr="00AE0EBD">
        <w:rPr>
          <w:rFonts w:ascii="Palatino Linotype" w:hAnsi="Palatino Linotype" w:cs="Arial"/>
        </w:rPr>
        <w:t xml:space="preserve"> y a los  </w:t>
      </w:r>
      <w:r w:rsidRPr="00AE0EBD">
        <w:rPr>
          <w:rFonts w:ascii="Palatino Linotype" w:hAnsi="Palatino Linotype"/>
          <w:i/>
          <w:color w:val="000000"/>
        </w:rPr>
        <w:t>Certificados de Inscripción</w:t>
      </w:r>
      <w:r w:rsidRPr="00AE0EBD">
        <w:rPr>
          <w:rFonts w:ascii="Palatino Linotype" w:hAnsi="Palatino Linotype"/>
          <w:color w:val="000000"/>
        </w:rPr>
        <w:t xml:space="preserve">, de todos los inmuebles </w:t>
      </w:r>
      <w:r w:rsidRPr="00AE0EBD">
        <w:rPr>
          <w:rFonts w:ascii="Palatino Linotype" w:hAnsi="Palatino Linotype" w:cs="TimesNewRomanPS-ItalicMT"/>
          <w:iCs/>
        </w:rPr>
        <w:t xml:space="preserve">ubicados en la </w:t>
      </w:r>
      <w:r w:rsidRPr="00AE0EBD">
        <w:rPr>
          <w:rFonts w:ascii="Palatino Linotype" w:hAnsi="Palatino Linotype" w:cs="TimesNewRomanPS-ItalicMT"/>
          <w:i/>
          <w:iCs/>
          <w:u w:val="single"/>
        </w:rPr>
        <w:t>Calle Benito Juárez, del (tramo comprendido única y exclusivamente entre Jesús del Monte y Francisco I Madero), Colonia Jesús del Monte, Código Postal 52764, Municipio de Huixquilucan, Estado de México</w:t>
      </w:r>
      <w:r w:rsidRPr="00AE0EBD">
        <w:rPr>
          <w:rFonts w:ascii="Palatino Linotype" w:hAnsi="Palatino Linotype" w:cs="TimesNewRomanPS-ItalicMT"/>
          <w:iCs/>
        </w:rPr>
        <w:t>.</w:t>
      </w:r>
    </w:p>
    <w:p w:rsidR="003D351E" w:rsidRPr="00AE0EBD" w:rsidRDefault="003D351E" w:rsidP="00120DAA">
      <w:pPr>
        <w:pStyle w:val="Sinespaciado"/>
        <w:spacing w:line="360" w:lineRule="auto"/>
        <w:jc w:val="both"/>
        <w:rPr>
          <w:rFonts w:ascii="Palatino Linotype" w:hAnsi="Palatino Linotype" w:cs="Arial"/>
        </w:rPr>
      </w:pPr>
    </w:p>
    <w:p w:rsidR="00120DAA" w:rsidRPr="00AE0EBD" w:rsidRDefault="00D275D2" w:rsidP="00120DAA">
      <w:pPr>
        <w:pStyle w:val="Sinespaciado"/>
        <w:spacing w:line="360" w:lineRule="auto"/>
        <w:jc w:val="both"/>
        <w:rPr>
          <w:rFonts w:ascii="Palatino Linotype" w:hAnsi="Palatino Linotype" w:cs="Arial"/>
        </w:rPr>
      </w:pPr>
      <w:r w:rsidRPr="00AE0EBD">
        <w:rPr>
          <w:rFonts w:ascii="Palatino Linotype" w:hAnsi="Palatino Linotype" w:cs="Arial"/>
        </w:rPr>
        <w:t>Cabe destacar que</w:t>
      </w:r>
      <w:r w:rsidR="00120DAA" w:rsidRPr="00AE0EBD">
        <w:rPr>
          <w:rFonts w:ascii="Palatino Linotype" w:hAnsi="Palatino Linotype" w:cs="Arial"/>
        </w:rPr>
        <w:t xml:space="preserve">, la </w:t>
      </w:r>
      <w:r w:rsidR="00120DAA" w:rsidRPr="00AE0EBD">
        <w:rPr>
          <w:rFonts w:ascii="Palatino Linotype" w:hAnsi="Palatino Linotype" w:cs="Arial"/>
          <w:i/>
        </w:rPr>
        <w:t>GUÍA TÉCNICA 21 DE LA ADMINISTRACIÓN DEL CATASTRO MUNICIPAL</w:t>
      </w:r>
      <w:r w:rsidR="00120DAA" w:rsidRPr="00AE0EBD">
        <w:rPr>
          <w:rFonts w:ascii="Palatino Linotype" w:hAnsi="Palatino Linotype" w:cs="Arial"/>
        </w:rPr>
        <w:t>, elaborada por el Órgano Desconcentrado de la Secretaría de Gobernación, el Instituto Nacional para el Federalismo y el Desarrollo Municipal (INAFED), establece que para el envío y recepción de documentos, la oficina de catastro deberá contar con la información mínima siguiente:</w:t>
      </w:r>
    </w:p>
    <w:p w:rsidR="00120DAA" w:rsidRPr="00AE0EBD" w:rsidRDefault="00120DAA" w:rsidP="00120DAA">
      <w:pPr>
        <w:pStyle w:val="Sinespaciado"/>
      </w:pPr>
    </w:p>
    <w:p w:rsidR="00120DAA" w:rsidRPr="00AE0EBD" w:rsidRDefault="00120DAA" w:rsidP="00120DAA">
      <w:pPr>
        <w:pStyle w:val="Sinespaciado"/>
        <w:ind w:left="567" w:right="567"/>
        <w:jc w:val="both"/>
        <w:rPr>
          <w:rFonts w:ascii="Palatino Linotype" w:hAnsi="Palatino Linotype" w:cs="Arial"/>
          <w:i/>
        </w:rPr>
      </w:pPr>
      <w:r w:rsidRPr="00AE0EBD">
        <w:rPr>
          <w:rFonts w:ascii="Palatino Linotype" w:hAnsi="Palatino Linotype" w:cs="Arial"/>
          <w:i/>
        </w:rPr>
        <w:t>• Un mapa cartográfico con la ubicación, extensión y colindancias de las diversas zonas del territorio del municipio, que puede ser elaborado y facilitado por el gobierno del estado.</w:t>
      </w:r>
    </w:p>
    <w:p w:rsidR="00120DAA" w:rsidRPr="00AE0EBD" w:rsidRDefault="00120DAA" w:rsidP="00120DAA">
      <w:pPr>
        <w:pStyle w:val="Sinespaciado"/>
        <w:ind w:left="567" w:right="567"/>
        <w:jc w:val="both"/>
        <w:rPr>
          <w:rFonts w:ascii="Palatino Linotype" w:hAnsi="Palatino Linotype" w:cs="Arial"/>
          <w:i/>
        </w:rPr>
      </w:pPr>
      <w:r w:rsidRPr="00AE0EBD">
        <w:rPr>
          <w:rFonts w:ascii="Palatino Linotype" w:hAnsi="Palatino Linotype" w:cs="Arial"/>
          <w:i/>
        </w:rPr>
        <w:t>• Un padrón de contribuyentes actualizado, que puede ser elaborado con los datos que el mismo municipio capte y con los que el gobierno del estado le proporcione.</w:t>
      </w:r>
    </w:p>
    <w:p w:rsidR="00120DAA" w:rsidRPr="00AE0EBD" w:rsidRDefault="00120DAA" w:rsidP="00120DAA">
      <w:pPr>
        <w:pStyle w:val="Sinespaciado"/>
        <w:ind w:left="567" w:right="567"/>
        <w:jc w:val="both"/>
        <w:rPr>
          <w:rFonts w:ascii="Palatino Linotype" w:hAnsi="Palatino Linotype" w:cs="Arial"/>
          <w:b/>
          <w:i/>
          <w:u w:val="single"/>
        </w:rPr>
      </w:pPr>
      <w:r w:rsidRPr="00AE0EBD">
        <w:rPr>
          <w:rFonts w:ascii="Palatino Linotype" w:hAnsi="Palatino Linotype" w:cs="Arial"/>
          <w:i/>
        </w:rPr>
        <w:t xml:space="preserve">• </w:t>
      </w:r>
      <w:r w:rsidRPr="00AE0EBD">
        <w:rPr>
          <w:rFonts w:ascii="Palatino Linotype" w:hAnsi="Palatino Linotype" w:cs="Arial"/>
          <w:b/>
          <w:i/>
          <w:u w:val="single"/>
        </w:rPr>
        <w:t>Un conjunto de planos manzaneros específicos de cada zona que pueden ser proporcionados por el gobierno del estado.</w:t>
      </w:r>
      <w:r w:rsidRPr="00AE0EBD">
        <w:rPr>
          <w:rFonts w:ascii="Palatino Linotype" w:hAnsi="Palatino Linotype" w:cs="Arial"/>
          <w:i/>
        </w:rPr>
        <w:t xml:space="preserve"> </w:t>
      </w:r>
      <w:r w:rsidRPr="00AE0EBD">
        <w:rPr>
          <w:rFonts w:ascii="Palatino Linotype" w:hAnsi="Palatino Linotype" w:cs="Arial"/>
          <w:b/>
          <w:i/>
          <w:u w:val="single"/>
        </w:rPr>
        <w:t>En caso de no existir, el municipio y el gobierno estatal pueden coordinarse para su obtención.</w:t>
      </w:r>
    </w:p>
    <w:p w:rsidR="00120DAA" w:rsidRPr="00AE0EBD" w:rsidRDefault="00120DAA" w:rsidP="00120DAA">
      <w:pPr>
        <w:pStyle w:val="Sinespaciado"/>
        <w:ind w:left="567" w:right="567"/>
        <w:jc w:val="both"/>
        <w:rPr>
          <w:rFonts w:ascii="Palatino Linotype" w:hAnsi="Palatino Linotype" w:cs="Arial"/>
          <w:i/>
        </w:rPr>
      </w:pPr>
    </w:p>
    <w:p w:rsidR="00120DAA" w:rsidRPr="00AE0EBD" w:rsidRDefault="00120DAA" w:rsidP="00120DAA">
      <w:pPr>
        <w:pStyle w:val="Sinespaciado"/>
        <w:spacing w:line="360" w:lineRule="auto"/>
        <w:jc w:val="both"/>
        <w:rPr>
          <w:rFonts w:ascii="Palatino Linotype" w:hAnsi="Palatino Linotype" w:cs="Arial"/>
        </w:rPr>
      </w:pPr>
      <w:r w:rsidRPr="00AE0EBD">
        <w:rPr>
          <w:rFonts w:ascii="Palatino Linotype" w:hAnsi="Palatino Linotype" w:cs="Arial"/>
        </w:rPr>
        <w:lastRenderedPageBreak/>
        <w:t xml:space="preserve">Los catastros municipales reciben y emiten documentación, como es el caso, por ejemplo de las notificaciones de avalúo, pago de impuesto o requerimiento y modificaciones al padrón de causantes o contribuyentes. </w:t>
      </w:r>
    </w:p>
    <w:p w:rsidR="00120DAA" w:rsidRPr="00AE0EBD" w:rsidRDefault="00120DAA" w:rsidP="00120DAA">
      <w:pPr>
        <w:pStyle w:val="Sinespaciado"/>
        <w:spacing w:line="360" w:lineRule="auto"/>
        <w:jc w:val="both"/>
        <w:rPr>
          <w:rFonts w:ascii="Palatino Linotype" w:hAnsi="Palatino Linotype" w:cs="Arial"/>
        </w:rPr>
      </w:pPr>
    </w:p>
    <w:p w:rsidR="00120DAA" w:rsidRPr="00AE0EBD" w:rsidRDefault="00120DAA" w:rsidP="00120DAA">
      <w:pPr>
        <w:pStyle w:val="Sinespaciado"/>
        <w:spacing w:line="360" w:lineRule="auto"/>
        <w:jc w:val="both"/>
        <w:rPr>
          <w:rFonts w:ascii="Palatino Linotype" w:hAnsi="Palatino Linotype" w:cs="Arial"/>
        </w:rPr>
      </w:pPr>
      <w:r w:rsidRPr="00AE0EBD">
        <w:rPr>
          <w:rFonts w:ascii="Palatino Linotype" w:hAnsi="Palatino Linotype" w:cs="Arial"/>
        </w:rPr>
        <w:t>Asimismo, los catastros deben tener una sección para el archivo donde se concentran el conjunto de la información generada y recibida. Por lo general el archivo debe contener.</w:t>
      </w:r>
    </w:p>
    <w:p w:rsidR="00120DAA" w:rsidRPr="00AE0EBD" w:rsidRDefault="00120DAA" w:rsidP="00120DAA">
      <w:pPr>
        <w:pStyle w:val="Sinespaciado"/>
      </w:pPr>
    </w:p>
    <w:p w:rsidR="00120DAA" w:rsidRPr="00AE0EBD" w:rsidRDefault="00120DAA" w:rsidP="00120DAA">
      <w:pPr>
        <w:pStyle w:val="Sinespaciado"/>
        <w:ind w:left="567" w:right="567"/>
        <w:jc w:val="both"/>
        <w:rPr>
          <w:rFonts w:ascii="Palatino Linotype" w:hAnsi="Palatino Linotype" w:cs="Arial"/>
          <w:b/>
          <w:i/>
          <w:u w:val="single"/>
        </w:rPr>
      </w:pPr>
      <w:r w:rsidRPr="00AE0EBD">
        <w:rPr>
          <w:rFonts w:ascii="Palatino Linotype" w:hAnsi="Palatino Linotype" w:cs="Arial"/>
          <w:i/>
        </w:rPr>
        <w:t xml:space="preserve">• </w:t>
      </w:r>
      <w:r w:rsidRPr="00AE0EBD">
        <w:rPr>
          <w:rFonts w:ascii="Palatino Linotype" w:hAnsi="Palatino Linotype" w:cs="Arial"/>
          <w:b/>
          <w:i/>
          <w:u w:val="single"/>
        </w:rPr>
        <w:t>Cartografía del territorio actualizada.</w:t>
      </w:r>
    </w:p>
    <w:p w:rsidR="00120DAA" w:rsidRPr="00AE0EBD" w:rsidRDefault="00120DAA" w:rsidP="00120DAA">
      <w:pPr>
        <w:pStyle w:val="Sinespaciado"/>
        <w:ind w:left="567" w:right="567"/>
        <w:jc w:val="both"/>
        <w:rPr>
          <w:rFonts w:ascii="Palatino Linotype" w:hAnsi="Palatino Linotype" w:cs="Arial"/>
          <w:i/>
        </w:rPr>
      </w:pPr>
      <w:r w:rsidRPr="00AE0EBD">
        <w:rPr>
          <w:rFonts w:ascii="Palatino Linotype" w:hAnsi="Palatino Linotype" w:cs="Arial"/>
          <w:i/>
        </w:rPr>
        <w:t>• Planos manzaneros o por zonas productivas.</w:t>
      </w:r>
    </w:p>
    <w:p w:rsidR="00120DAA" w:rsidRPr="00AE0EBD" w:rsidRDefault="00120DAA" w:rsidP="00120DAA">
      <w:pPr>
        <w:pStyle w:val="Sinespaciado"/>
        <w:ind w:left="567" w:right="567"/>
        <w:jc w:val="both"/>
        <w:rPr>
          <w:rFonts w:ascii="Palatino Linotype" w:hAnsi="Palatino Linotype" w:cs="Arial"/>
          <w:i/>
        </w:rPr>
      </w:pPr>
      <w:r w:rsidRPr="00AE0EBD">
        <w:rPr>
          <w:rFonts w:ascii="Palatino Linotype" w:hAnsi="Palatino Linotype" w:cs="Arial"/>
          <w:i/>
        </w:rPr>
        <w:t>• Tabla de valores unitarios expedida por el gobierno del estado actualizada.</w:t>
      </w:r>
    </w:p>
    <w:p w:rsidR="00120DAA" w:rsidRPr="00AE0EBD" w:rsidRDefault="00120DAA" w:rsidP="00120DAA">
      <w:pPr>
        <w:pStyle w:val="Sinespaciado"/>
        <w:ind w:left="567" w:right="567"/>
        <w:jc w:val="both"/>
        <w:rPr>
          <w:rFonts w:ascii="Palatino Linotype" w:hAnsi="Palatino Linotype" w:cs="Arial"/>
          <w:i/>
        </w:rPr>
      </w:pPr>
      <w:r w:rsidRPr="00AE0EBD">
        <w:rPr>
          <w:rFonts w:ascii="Palatino Linotype" w:hAnsi="Palatino Linotype" w:cs="Arial"/>
          <w:i/>
        </w:rPr>
        <w:t>• Fichas y claves catastrales.</w:t>
      </w:r>
    </w:p>
    <w:p w:rsidR="00120DAA" w:rsidRPr="00AE0EBD" w:rsidRDefault="00120DAA" w:rsidP="00120DAA">
      <w:pPr>
        <w:pStyle w:val="Sinespaciado"/>
        <w:ind w:left="567" w:right="567"/>
        <w:jc w:val="both"/>
        <w:rPr>
          <w:rFonts w:ascii="Palatino Linotype" w:hAnsi="Palatino Linotype" w:cs="Arial"/>
          <w:i/>
        </w:rPr>
      </w:pPr>
      <w:r w:rsidRPr="00AE0EBD">
        <w:rPr>
          <w:rFonts w:ascii="Palatino Linotype" w:hAnsi="Palatino Linotype" w:cs="Arial"/>
          <w:i/>
        </w:rPr>
        <w:t>• Avalúos.</w:t>
      </w:r>
    </w:p>
    <w:p w:rsidR="00120DAA" w:rsidRPr="00AE0EBD" w:rsidRDefault="00120DAA" w:rsidP="00120DAA">
      <w:pPr>
        <w:pStyle w:val="Sinespaciado"/>
        <w:ind w:left="567" w:right="567"/>
        <w:jc w:val="both"/>
        <w:rPr>
          <w:rFonts w:ascii="Palatino Linotype" w:hAnsi="Palatino Linotype" w:cs="Arial"/>
          <w:i/>
        </w:rPr>
      </w:pPr>
      <w:r w:rsidRPr="00AE0EBD">
        <w:rPr>
          <w:rFonts w:ascii="Palatino Linotype" w:hAnsi="Palatino Linotype" w:cs="Arial"/>
          <w:i/>
        </w:rPr>
        <w:t>• Manifestaciones de propiedades y propietarios.</w:t>
      </w:r>
    </w:p>
    <w:p w:rsidR="00120DAA" w:rsidRPr="00AE0EBD" w:rsidRDefault="00120DAA" w:rsidP="00120DAA">
      <w:pPr>
        <w:pStyle w:val="Sinespaciado"/>
        <w:ind w:left="567" w:right="567"/>
        <w:jc w:val="both"/>
        <w:rPr>
          <w:rFonts w:ascii="Palatino Linotype" w:hAnsi="Palatino Linotype" w:cs="Arial"/>
          <w:i/>
        </w:rPr>
      </w:pPr>
      <w:r w:rsidRPr="00AE0EBD">
        <w:rPr>
          <w:rFonts w:ascii="Palatino Linotype" w:hAnsi="Palatino Linotype" w:cs="Arial"/>
          <w:i/>
        </w:rPr>
        <w:t>• Padrón de contribuyentes actualizado.</w:t>
      </w:r>
    </w:p>
    <w:p w:rsidR="00120DAA" w:rsidRPr="00AE0EBD" w:rsidRDefault="00120DAA" w:rsidP="00120DAA">
      <w:pPr>
        <w:pStyle w:val="Sinespaciado"/>
        <w:ind w:left="567" w:right="567"/>
        <w:jc w:val="both"/>
        <w:rPr>
          <w:rFonts w:ascii="Palatino Linotype" w:hAnsi="Palatino Linotype" w:cs="Arial"/>
          <w:i/>
        </w:rPr>
      </w:pPr>
      <w:r w:rsidRPr="00AE0EBD">
        <w:rPr>
          <w:rFonts w:ascii="Palatino Linotype" w:hAnsi="Palatino Linotype" w:cs="Arial"/>
          <w:i/>
        </w:rPr>
        <w:t>• Correspondencia.</w:t>
      </w:r>
    </w:p>
    <w:p w:rsidR="00120DAA" w:rsidRPr="00AE0EBD" w:rsidRDefault="00120DAA" w:rsidP="00120DAA">
      <w:pPr>
        <w:pStyle w:val="Sinespaciado"/>
        <w:ind w:left="567" w:right="567"/>
        <w:jc w:val="both"/>
        <w:rPr>
          <w:rFonts w:ascii="Palatino Linotype" w:hAnsi="Palatino Linotype" w:cs="Arial"/>
          <w:i/>
        </w:rPr>
      </w:pPr>
      <w:r w:rsidRPr="00AE0EBD">
        <w:rPr>
          <w:rFonts w:ascii="Palatino Linotype" w:hAnsi="Palatino Linotype" w:cs="Arial"/>
          <w:i/>
        </w:rPr>
        <w:t>• Notificaciones.</w:t>
      </w:r>
    </w:p>
    <w:p w:rsidR="00120DAA" w:rsidRPr="00AE0EBD" w:rsidRDefault="00120DAA" w:rsidP="00120DAA">
      <w:pPr>
        <w:pStyle w:val="Sinespaciado"/>
        <w:ind w:left="567" w:right="567"/>
        <w:jc w:val="both"/>
        <w:rPr>
          <w:rFonts w:ascii="Palatino Linotype" w:hAnsi="Palatino Linotype" w:cs="Arial"/>
          <w:i/>
        </w:rPr>
      </w:pPr>
      <w:r w:rsidRPr="00AE0EBD">
        <w:rPr>
          <w:rFonts w:ascii="Palatino Linotype" w:hAnsi="Palatino Linotype" w:cs="Arial"/>
          <w:i/>
        </w:rPr>
        <w:t>• Boletas prediales.</w:t>
      </w:r>
    </w:p>
    <w:p w:rsidR="00120DAA" w:rsidRPr="00AE0EBD" w:rsidRDefault="00120DAA" w:rsidP="00120DAA">
      <w:pPr>
        <w:pStyle w:val="Sinespaciado"/>
        <w:ind w:left="567" w:right="567"/>
        <w:jc w:val="both"/>
        <w:rPr>
          <w:rFonts w:ascii="Palatino Linotype" w:hAnsi="Palatino Linotype" w:cs="Arial"/>
          <w:i/>
        </w:rPr>
      </w:pPr>
    </w:p>
    <w:p w:rsidR="00120DAA" w:rsidRPr="00AE0EBD" w:rsidRDefault="00120DAA" w:rsidP="00120DAA">
      <w:pPr>
        <w:pStyle w:val="Sinespaciado"/>
      </w:pPr>
    </w:p>
    <w:p w:rsidR="00120DAA" w:rsidRPr="00AE0EBD" w:rsidRDefault="00120DAA" w:rsidP="00120DAA">
      <w:pPr>
        <w:pStyle w:val="Sinespaciado"/>
        <w:spacing w:line="360" w:lineRule="auto"/>
        <w:jc w:val="both"/>
        <w:rPr>
          <w:rFonts w:ascii="Palatino Linotype" w:hAnsi="Palatino Linotype" w:cs="Arial"/>
          <w:szCs w:val="22"/>
        </w:rPr>
      </w:pPr>
      <w:r w:rsidRPr="00AE0EBD">
        <w:rPr>
          <w:rFonts w:ascii="Palatino Linotype" w:hAnsi="Palatino Linotype" w:cs="Arial"/>
          <w:szCs w:val="22"/>
        </w:rPr>
        <w:t xml:space="preserve">Aunado a lo anterior, el </w:t>
      </w:r>
      <w:r w:rsidRPr="00AE0EBD">
        <w:rPr>
          <w:rFonts w:ascii="Palatino Linotype" w:hAnsi="Palatino Linotype" w:cs="Arial"/>
          <w:b/>
          <w:szCs w:val="22"/>
        </w:rPr>
        <w:t>Sujeto Obligado</w:t>
      </w:r>
      <w:r w:rsidRPr="00AE0EBD">
        <w:rPr>
          <w:rFonts w:ascii="Palatino Linotype" w:hAnsi="Palatino Linotype" w:cs="Arial"/>
          <w:szCs w:val="22"/>
        </w:rPr>
        <w:t xml:space="preserve"> invocó en su Informe Justificado, el artículo 22, del Reglamento del Título Quinto, del Código Financiero del Estado de México y Municipios, en donde estipula las competencias que tiene la Autoridad Catastral Municipal, en relación a las certificaciones solicitadas por el particular, y dicho  ordenamiento legal, estipula lo siguiente: </w:t>
      </w:r>
    </w:p>
    <w:p w:rsidR="00120DAA" w:rsidRPr="00AE0EBD" w:rsidRDefault="00120DAA" w:rsidP="00120DAA">
      <w:pPr>
        <w:pStyle w:val="Sinespaciado"/>
      </w:pPr>
    </w:p>
    <w:p w:rsidR="00120DAA" w:rsidRPr="00AE0EBD" w:rsidRDefault="00120DAA" w:rsidP="00120DAA">
      <w:pPr>
        <w:pStyle w:val="Sinespaciado"/>
        <w:ind w:left="567" w:right="850"/>
        <w:jc w:val="both"/>
        <w:rPr>
          <w:rFonts w:ascii="Palatino Linotype" w:hAnsi="Palatino Linotype"/>
          <w:i/>
          <w:sz w:val="22"/>
        </w:rPr>
      </w:pPr>
      <w:r w:rsidRPr="00AE0EBD">
        <w:rPr>
          <w:rFonts w:ascii="Palatino Linotype" w:hAnsi="Palatino Linotype"/>
          <w:b/>
          <w:i/>
          <w:sz w:val="22"/>
        </w:rPr>
        <w:t>Artículo 22.-</w:t>
      </w:r>
      <w:r w:rsidRPr="00AE0EBD">
        <w:rPr>
          <w:rFonts w:ascii="Palatino Linotype" w:hAnsi="Palatino Linotype"/>
          <w:i/>
          <w:sz w:val="22"/>
        </w:rPr>
        <w:t xml:space="preserve"> </w:t>
      </w:r>
      <w:r w:rsidRPr="00AE0EBD">
        <w:rPr>
          <w:rFonts w:ascii="Palatino Linotype" w:hAnsi="Palatino Linotype"/>
          <w:b/>
          <w:i/>
          <w:sz w:val="22"/>
          <w:u w:val="single"/>
        </w:rPr>
        <w:t>La Autoridad Catastral Municipal prestara los siguientes servicios</w:t>
      </w:r>
      <w:r w:rsidRPr="00AE0EBD">
        <w:rPr>
          <w:rFonts w:ascii="Palatino Linotype" w:hAnsi="Palatino Linotype"/>
          <w:i/>
          <w:sz w:val="22"/>
        </w:rPr>
        <w:t xml:space="preserve">: </w:t>
      </w:r>
    </w:p>
    <w:p w:rsidR="00120DAA" w:rsidRPr="00AE0EBD" w:rsidRDefault="00120DAA" w:rsidP="00120DAA">
      <w:pPr>
        <w:pStyle w:val="Sinespaciado"/>
        <w:ind w:left="567" w:right="850"/>
        <w:jc w:val="both"/>
        <w:rPr>
          <w:rFonts w:ascii="Palatino Linotype" w:hAnsi="Palatino Linotype"/>
          <w:i/>
          <w:sz w:val="22"/>
        </w:rPr>
      </w:pPr>
      <w:r w:rsidRPr="00AE0EBD">
        <w:rPr>
          <w:rFonts w:ascii="Palatino Linotype" w:hAnsi="Palatino Linotype"/>
          <w:i/>
          <w:sz w:val="22"/>
        </w:rPr>
        <w:t xml:space="preserve">I. Certificación de clave catastral. </w:t>
      </w:r>
    </w:p>
    <w:p w:rsidR="00120DAA" w:rsidRPr="00AE0EBD" w:rsidRDefault="00120DAA" w:rsidP="00120DAA">
      <w:pPr>
        <w:pStyle w:val="Sinespaciado"/>
        <w:ind w:left="567" w:right="850"/>
        <w:jc w:val="both"/>
        <w:rPr>
          <w:rFonts w:ascii="Palatino Linotype" w:hAnsi="Palatino Linotype"/>
          <w:i/>
          <w:sz w:val="22"/>
        </w:rPr>
      </w:pPr>
      <w:r w:rsidRPr="00AE0EBD">
        <w:rPr>
          <w:rFonts w:ascii="Palatino Linotype" w:hAnsi="Palatino Linotype"/>
          <w:i/>
          <w:sz w:val="22"/>
        </w:rPr>
        <w:t xml:space="preserve">II. Certificación de clave y valor catastral. </w:t>
      </w:r>
    </w:p>
    <w:p w:rsidR="00120DAA" w:rsidRPr="00AE0EBD" w:rsidRDefault="00120DAA" w:rsidP="00120DAA">
      <w:pPr>
        <w:pStyle w:val="Sinespaciado"/>
        <w:ind w:left="567" w:right="850"/>
        <w:jc w:val="both"/>
        <w:rPr>
          <w:rFonts w:ascii="Palatino Linotype" w:hAnsi="Palatino Linotype"/>
          <w:b/>
          <w:i/>
          <w:sz w:val="22"/>
          <w:u w:val="single"/>
        </w:rPr>
      </w:pPr>
      <w:r w:rsidRPr="00AE0EBD">
        <w:rPr>
          <w:rFonts w:ascii="Palatino Linotype" w:hAnsi="Palatino Linotype"/>
          <w:b/>
          <w:i/>
          <w:sz w:val="22"/>
          <w:u w:val="single"/>
        </w:rPr>
        <w:t xml:space="preserve">III. Certificación de plano manzanero. </w:t>
      </w:r>
    </w:p>
    <w:p w:rsidR="00120DAA" w:rsidRPr="00AE0EBD" w:rsidRDefault="00120DAA" w:rsidP="00120DAA">
      <w:pPr>
        <w:pStyle w:val="Sinespaciado"/>
        <w:ind w:left="567" w:right="850"/>
        <w:jc w:val="both"/>
        <w:rPr>
          <w:rFonts w:ascii="Palatino Linotype" w:hAnsi="Palatino Linotype"/>
          <w:i/>
          <w:sz w:val="22"/>
        </w:rPr>
      </w:pPr>
      <w:r w:rsidRPr="00AE0EBD">
        <w:rPr>
          <w:rFonts w:ascii="Palatino Linotype" w:hAnsi="Palatino Linotype"/>
          <w:i/>
          <w:sz w:val="22"/>
        </w:rPr>
        <w:t xml:space="preserve">IV. Constancia de identificación catastral. </w:t>
      </w:r>
    </w:p>
    <w:p w:rsidR="00120DAA" w:rsidRPr="00AE0EBD" w:rsidRDefault="00120DAA" w:rsidP="00120DAA">
      <w:pPr>
        <w:pStyle w:val="Sinespaciado"/>
        <w:ind w:left="567" w:right="850"/>
        <w:jc w:val="both"/>
        <w:rPr>
          <w:rFonts w:ascii="Palatino Linotype" w:hAnsi="Palatino Linotype"/>
          <w:i/>
          <w:sz w:val="22"/>
        </w:rPr>
      </w:pPr>
      <w:r w:rsidRPr="00AE0EBD">
        <w:rPr>
          <w:rFonts w:ascii="Palatino Linotype" w:hAnsi="Palatino Linotype"/>
          <w:i/>
          <w:sz w:val="22"/>
        </w:rPr>
        <w:lastRenderedPageBreak/>
        <w:t xml:space="preserve">V. Levantamiento topográfico catastral. </w:t>
      </w:r>
    </w:p>
    <w:p w:rsidR="00120DAA" w:rsidRPr="00AE0EBD" w:rsidRDefault="00120DAA" w:rsidP="00120DAA">
      <w:pPr>
        <w:pStyle w:val="Sinespaciado"/>
        <w:ind w:left="567" w:right="850"/>
        <w:jc w:val="both"/>
        <w:rPr>
          <w:rFonts w:ascii="Palatino Linotype" w:hAnsi="Palatino Linotype" w:cs="Arial"/>
          <w:i/>
          <w:sz w:val="22"/>
          <w:szCs w:val="22"/>
        </w:rPr>
      </w:pPr>
      <w:r w:rsidRPr="00AE0EBD">
        <w:rPr>
          <w:rFonts w:ascii="Palatino Linotype" w:hAnsi="Palatino Linotype"/>
          <w:i/>
          <w:sz w:val="22"/>
        </w:rPr>
        <w:t>VI. Verificación de linderos.</w:t>
      </w:r>
    </w:p>
    <w:p w:rsidR="00120DAA" w:rsidRPr="00AE0EBD" w:rsidRDefault="00120DAA" w:rsidP="00120DAA">
      <w:pPr>
        <w:pStyle w:val="Sinespaciado"/>
      </w:pPr>
    </w:p>
    <w:p w:rsidR="00120DAA" w:rsidRPr="00AE0EBD" w:rsidRDefault="00120DAA" w:rsidP="00120DAA">
      <w:pPr>
        <w:pStyle w:val="Sinespaciado"/>
        <w:spacing w:line="360" w:lineRule="auto"/>
        <w:ind w:left="567"/>
        <w:jc w:val="both"/>
        <w:rPr>
          <w:rFonts w:ascii="Palatino Linotype" w:hAnsi="Palatino Linotype" w:cs="Arial"/>
          <w:i/>
          <w:szCs w:val="22"/>
        </w:rPr>
      </w:pPr>
      <w:r w:rsidRPr="00AE0EBD">
        <w:rPr>
          <w:rFonts w:ascii="Palatino Linotype" w:hAnsi="Palatino Linotype" w:cs="Arial"/>
          <w:i/>
          <w:szCs w:val="22"/>
        </w:rPr>
        <w:t>(…)</w:t>
      </w:r>
    </w:p>
    <w:p w:rsidR="00120DAA" w:rsidRPr="00AE0EBD" w:rsidRDefault="00120DAA" w:rsidP="00120DAA">
      <w:pPr>
        <w:pStyle w:val="Sinespaciado"/>
        <w:ind w:left="567" w:right="567"/>
        <w:jc w:val="both"/>
        <w:rPr>
          <w:rFonts w:ascii="Palatino Linotype" w:hAnsi="Palatino Linotype" w:cs="Arial"/>
          <w:i/>
          <w:sz w:val="22"/>
          <w:szCs w:val="22"/>
          <w:u w:val="single"/>
        </w:rPr>
      </w:pPr>
      <w:r w:rsidRPr="00AE0EBD">
        <w:rPr>
          <w:rFonts w:ascii="Palatino Linotype" w:hAnsi="Palatino Linotype"/>
          <w:b/>
          <w:i/>
          <w:sz w:val="22"/>
        </w:rPr>
        <w:t>Artículo 24.-</w:t>
      </w:r>
      <w:r w:rsidRPr="00AE0EBD">
        <w:rPr>
          <w:rFonts w:ascii="Palatino Linotype" w:hAnsi="Palatino Linotype"/>
          <w:i/>
          <w:sz w:val="22"/>
        </w:rPr>
        <w:t xml:space="preserve"> </w:t>
      </w:r>
      <w:r w:rsidRPr="00AE0EBD">
        <w:rPr>
          <w:rFonts w:ascii="Palatino Linotype" w:hAnsi="Palatino Linotype"/>
          <w:i/>
          <w:sz w:val="22"/>
          <w:u w:val="single"/>
        </w:rPr>
        <w:t>El Catastro Municipal, está facultado para inscribir a todos los inmuebles ubicados dentro de su respectiva jurisdicción territorial, para tal efecto, los propietarios o poseedores deberán presentar su manifestación catastral en los términos que establece el artículo 175 del Código</w:t>
      </w:r>
      <w:r w:rsidRPr="00AE0EBD">
        <w:rPr>
          <w:rStyle w:val="Refdenotaalpie"/>
          <w:rFonts w:ascii="Palatino Linotype" w:hAnsi="Palatino Linotype"/>
          <w:i/>
          <w:sz w:val="22"/>
          <w:u w:val="single"/>
        </w:rPr>
        <w:footnoteReference w:id="1"/>
      </w:r>
      <w:r w:rsidRPr="00AE0EBD">
        <w:rPr>
          <w:rFonts w:ascii="Palatino Linotype" w:hAnsi="Palatino Linotype"/>
          <w:i/>
          <w:sz w:val="22"/>
          <w:u w:val="single"/>
        </w:rPr>
        <w:t xml:space="preserve"> y el apartado I del Manual Catastral, para su registro e integración en el padrón catastral municipal.</w:t>
      </w:r>
    </w:p>
    <w:p w:rsidR="00120DAA" w:rsidRPr="00AE0EBD" w:rsidRDefault="00120DAA" w:rsidP="00120DAA">
      <w:pPr>
        <w:pStyle w:val="Sinespaciado"/>
        <w:spacing w:line="360" w:lineRule="auto"/>
        <w:jc w:val="both"/>
        <w:rPr>
          <w:rFonts w:ascii="Palatino Linotype" w:hAnsi="Palatino Linotype" w:cs="Arial"/>
          <w:szCs w:val="22"/>
        </w:rPr>
      </w:pPr>
    </w:p>
    <w:p w:rsidR="00120DAA" w:rsidRPr="00AE0EBD" w:rsidRDefault="00120DAA" w:rsidP="00120DAA">
      <w:pPr>
        <w:pStyle w:val="Sinespaciado"/>
        <w:spacing w:line="360" w:lineRule="auto"/>
        <w:jc w:val="both"/>
        <w:rPr>
          <w:rFonts w:ascii="Palatino Linotype" w:hAnsi="Palatino Linotype" w:cs="Arial"/>
        </w:rPr>
      </w:pPr>
      <w:r w:rsidRPr="00AE0EBD">
        <w:rPr>
          <w:rFonts w:ascii="Palatino Linotype" w:hAnsi="Palatino Linotype" w:cs="Arial"/>
        </w:rPr>
        <w:t xml:space="preserve">Ahora bien, como bien lo indica el </w:t>
      </w:r>
      <w:r w:rsidRPr="00AE0EBD">
        <w:rPr>
          <w:rFonts w:ascii="Palatino Linotype" w:hAnsi="Palatino Linotype" w:cs="Arial"/>
          <w:b/>
        </w:rPr>
        <w:t>Sujeto Obligado</w:t>
      </w:r>
      <w:r w:rsidRPr="00AE0EBD">
        <w:rPr>
          <w:rFonts w:ascii="Palatino Linotype" w:hAnsi="Palatino Linotype" w:cs="Arial"/>
        </w:rPr>
        <w:t xml:space="preserve"> y</w:t>
      </w:r>
      <w:r w:rsidR="001A7923" w:rsidRPr="00AE0EBD">
        <w:rPr>
          <w:rFonts w:ascii="Palatino Linotype" w:hAnsi="Palatino Linotype" w:cs="Arial"/>
        </w:rPr>
        <w:t xml:space="preserve"> la normatividad antes referida</w:t>
      </w:r>
      <w:r w:rsidRPr="00AE0EBD">
        <w:rPr>
          <w:rFonts w:ascii="Palatino Linotype" w:hAnsi="Palatino Linotype" w:cs="Arial"/>
        </w:rPr>
        <w:t xml:space="preserve">, la esfera de competencia de dichos documentos a los que pretende tener acceso el hoy </w:t>
      </w:r>
      <w:r w:rsidRPr="00AE0EBD">
        <w:rPr>
          <w:rFonts w:ascii="Palatino Linotype" w:hAnsi="Palatino Linotype" w:cs="Arial"/>
          <w:b/>
        </w:rPr>
        <w:t>Recurrente</w:t>
      </w:r>
      <w:r w:rsidRPr="00AE0EBD">
        <w:rPr>
          <w:rFonts w:ascii="Palatino Linotype" w:hAnsi="Palatino Linotype" w:cs="Arial"/>
        </w:rPr>
        <w:t>, se deprende que la instancia competente para conocer de ello es el Instituto de la Función Registral del Estado de México (IFREM).</w:t>
      </w:r>
    </w:p>
    <w:p w:rsidR="00120DAA" w:rsidRPr="00AE0EBD" w:rsidRDefault="00120DAA" w:rsidP="00120DAA">
      <w:pPr>
        <w:pStyle w:val="Sinespaciado"/>
        <w:spacing w:line="360" w:lineRule="auto"/>
        <w:jc w:val="both"/>
        <w:rPr>
          <w:rFonts w:ascii="Palatino Linotype" w:hAnsi="Palatino Linotype" w:cs="Arial"/>
        </w:rPr>
      </w:pPr>
    </w:p>
    <w:p w:rsidR="00120DAA" w:rsidRPr="00AE0EBD" w:rsidRDefault="00120DAA" w:rsidP="00120DAA">
      <w:pPr>
        <w:spacing w:after="0" w:line="360" w:lineRule="auto"/>
        <w:ind w:right="49"/>
        <w:contextualSpacing/>
        <w:jc w:val="both"/>
        <w:rPr>
          <w:rFonts w:ascii="Palatino Linotype" w:eastAsia="MS Mincho" w:hAnsi="Palatino Linotype" w:cs="Times New Roman"/>
          <w:sz w:val="24"/>
          <w:szCs w:val="24"/>
          <w:lang w:val="es-ES_tradnl" w:eastAsia="es-ES"/>
        </w:rPr>
      </w:pPr>
      <w:r w:rsidRPr="00AE0EBD">
        <w:rPr>
          <w:rFonts w:ascii="Palatino Linotype" w:hAnsi="Palatino Linotype" w:cs="Arial"/>
          <w:sz w:val="24"/>
        </w:rPr>
        <w:t>Adicionalmente,</w:t>
      </w:r>
      <w:r w:rsidRPr="00AE0EBD">
        <w:rPr>
          <w:rFonts w:ascii="Palatino Linotype" w:hAnsi="Palatino Linotype" w:cs="Arial"/>
        </w:rPr>
        <w:t xml:space="preserve"> </w:t>
      </w:r>
      <w:r w:rsidRPr="00AE0EBD">
        <w:rPr>
          <w:rFonts w:ascii="Palatino Linotype" w:hAnsi="Palatino Linotype" w:cs="Arial"/>
          <w:color w:val="000000"/>
          <w:sz w:val="24"/>
          <w:szCs w:val="24"/>
          <w:lang w:val="es-ES_tradnl" w:eastAsia="es-MX"/>
        </w:rPr>
        <w:t xml:space="preserve">además la naturaleza de la información solicitada por el hoy </w:t>
      </w:r>
      <w:r w:rsidRPr="00AE0EBD">
        <w:rPr>
          <w:rFonts w:ascii="Palatino Linotype" w:hAnsi="Palatino Linotype" w:cs="Arial"/>
          <w:b/>
          <w:color w:val="000000"/>
          <w:sz w:val="24"/>
          <w:szCs w:val="24"/>
          <w:lang w:val="es-ES_tradnl" w:eastAsia="es-MX"/>
        </w:rPr>
        <w:t>Recurrente</w:t>
      </w:r>
      <w:r w:rsidRPr="00AE0EBD">
        <w:rPr>
          <w:rFonts w:ascii="Palatino Linotype" w:hAnsi="Palatino Linotype" w:cs="Arial"/>
          <w:color w:val="000000"/>
          <w:sz w:val="24"/>
          <w:szCs w:val="24"/>
          <w:lang w:val="es-ES_tradnl" w:eastAsia="es-MX"/>
        </w:rPr>
        <w:t xml:space="preserve">, recae en </w:t>
      </w:r>
      <w:r w:rsidRPr="00AE0EBD">
        <w:rPr>
          <w:rFonts w:ascii="Palatino Linotype" w:eastAsia="MS Mincho" w:hAnsi="Palatino Linotype" w:cs="Times New Roman"/>
          <w:sz w:val="24"/>
          <w:szCs w:val="24"/>
          <w:lang w:val="es-ES_tradnl" w:eastAsia="es-ES"/>
        </w:rPr>
        <w:t xml:space="preserve">la Ley Registral del Estado de México, misma que establece en su artículo 18 y 20, lo siguiente: </w:t>
      </w:r>
    </w:p>
    <w:p w:rsidR="00120DAA" w:rsidRPr="00AE0EBD" w:rsidRDefault="00120DAA" w:rsidP="00120DAA">
      <w:pPr>
        <w:pStyle w:val="Sinespaciado"/>
        <w:rPr>
          <w:lang w:val="es-ES_tradnl"/>
        </w:rPr>
      </w:pPr>
    </w:p>
    <w:p w:rsidR="00120DAA" w:rsidRPr="00AE0EBD" w:rsidRDefault="00120DAA" w:rsidP="00120DAA">
      <w:pPr>
        <w:spacing w:after="0" w:line="240" w:lineRule="auto"/>
        <w:ind w:left="567" w:right="567"/>
        <w:jc w:val="both"/>
        <w:rPr>
          <w:rFonts w:ascii="Palatino Linotype" w:hAnsi="Palatino Linotype"/>
          <w:i/>
          <w:szCs w:val="24"/>
        </w:rPr>
      </w:pPr>
      <w:r w:rsidRPr="00AE0EBD">
        <w:rPr>
          <w:rFonts w:ascii="Palatino Linotype" w:hAnsi="Palatino Linotype"/>
          <w:i/>
          <w:szCs w:val="24"/>
        </w:rPr>
        <w:t>“</w:t>
      </w:r>
      <w:r w:rsidRPr="00AE0EBD">
        <w:rPr>
          <w:rFonts w:ascii="Palatino Linotype" w:hAnsi="Palatino Linotype"/>
          <w:b/>
          <w:i/>
          <w:szCs w:val="24"/>
        </w:rPr>
        <w:t>Artículo 18.-</w:t>
      </w:r>
      <w:r w:rsidRPr="00AE0EBD">
        <w:rPr>
          <w:rFonts w:ascii="Palatino Linotype" w:hAnsi="Palatino Linotype"/>
          <w:i/>
          <w:szCs w:val="24"/>
        </w:rPr>
        <w:t xml:space="preserve"> En términos del Código, el Registro Público </w:t>
      </w:r>
      <w:r w:rsidRPr="00AE0EBD">
        <w:rPr>
          <w:rFonts w:ascii="Palatino Linotype" w:hAnsi="Palatino Linotype"/>
          <w:b/>
          <w:i/>
          <w:szCs w:val="24"/>
        </w:rPr>
        <w:t>deberá operar con un Sistema Informático Integral</w:t>
      </w:r>
      <w:r w:rsidRPr="00AE0EBD">
        <w:rPr>
          <w:rFonts w:ascii="Palatino Linotype" w:hAnsi="Palatino Linotype"/>
          <w:i/>
          <w:szCs w:val="24"/>
        </w:rPr>
        <w:t xml:space="preserve">, mediante el cual se realice la captura, almacenamiento, custodia, seguridad, </w:t>
      </w:r>
      <w:r w:rsidRPr="00AE0EBD">
        <w:rPr>
          <w:rFonts w:ascii="Palatino Linotype" w:hAnsi="Palatino Linotype"/>
          <w:b/>
          <w:i/>
          <w:szCs w:val="24"/>
        </w:rPr>
        <w:t>consulta,</w:t>
      </w:r>
      <w:r w:rsidRPr="00AE0EBD">
        <w:rPr>
          <w:rFonts w:ascii="Palatino Linotype" w:hAnsi="Palatino Linotype"/>
          <w:i/>
          <w:szCs w:val="24"/>
        </w:rPr>
        <w:t xml:space="preserve"> reproducción, </w:t>
      </w:r>
      <w:r w:rsidRPr="00AE0EBD">
        <w:rPr>
          <w:rFonts w:ascii="Palatino Linotype" w:hAnsi="Palatino Linotype"/>
          <w:b/>
          <w:i/>
          <w:szCs w:val="24"/>
        </w:rPr>
        <w:t>verificación</w:t>
      </w:r>
      <w:r w:rsidRPr="00AE0EBD">
        <w:rPr>
          <w:rFonts w:ascii="Palatino Linotype" w:hAnsi="Palatino Linotype"/>
          <w:i/>
          <w:szCs w:val="24"/>
        </w:rPr>
        <w:t xml:space="preserve"> y transmisión de la información contenida en el Acervo Registral”.</w:t>
      </w:r>
    </w:p>
    <w:p w:rsidR="00120DAA" w:rsidRPr="00AE0EBD" w:rsidRDefault="00120DAA" w:rsidP="00120DAA">
      <w:pPr>
        <w:spacing w:after="0" w:line="240" w:lineRule="auto"/>
        <w:ind w:left="567" w:right="567"/>
        <w:jc w:val="both"/>
        <w:rPr>
          <w:rFonts w:ascii="Palatino Linotype" w:hAnsi="Palatino Linotype"/>
          <w:szCs w:val="24"/>
        </w:rPr>
      </w:pPr>
    </w:p>
    <w:p w:rsidR="00120DAA" w:rsidRPr="00AE0EBD" w:rsidRDefault="00120DAA" w:rsidP="00120DAA">
      <w:pPr>
        <w:spacing w:after="0" w:line="240" w:lineRule="auto"/>
        <w:ind w:left="567" w:right="567"/>
        <w:jc w:val="both"/>
        <w:rPr>
          <w:rFonts w:ascii="Palatino Linotype" w:hAnsi="Palatino Linotype"/>
          <w:i/>
          <w:szCs w:val="24"/>
        </w:rPr>
      </w:pPr>
      <w:r w:rsidRPr="00AE0EBD">
        <w:rPr>
          <w:rFonts w:ascii="Palatino Linotype" w:hAnsi="Palatino Linotype"/>
          <w:i/>
          <w:szCs w:val="24"/>
        </w:rPr>
        <w:t xml:space="preserve"> “</w:t>
      </w:r>
      <w:r w:rsidRPr="00AE0EBD">
        <w:rPr>
          <w:rFonts w:ascii="Palatino Linotype" w:hAnsi="Palatino Linotype"/>
          <w:b/>
          <w:i/>
          <w:szCs w:val="24"/>
        </w:rPr>
        <w:t>Artículo 20.-</w:t>
      </w:r>
      <w:r w:rsidRPr="00AE0EBD">
        <w:rPr>
          <w:rFonts w:ascii="Palatino Linotype" w:hAnsi="Palatino Linotype"/>
          <w:i/>
          <w:szCs w:val="24"/>
        </w:rPr>
        <w:t xml:space="preserve"> El Sistema Informático incluirá: </w:t>
      </w:r>
    </w:p>
    <w:p w:rsidR="00120DAA" w:rsidRPr="00AE0EBD" w:rsidRDefault="00120DAA" w:rsidP="00120DAA">
      <w:pPr>
        <w:spacing w:after="0" w:line="240" w:lineRule="auto"/>
        <w:ind w:left="709" w:right="567"/>
        <w:jc w:val="both"/>
        <w:rPr>
          <w:rFonts w:ascii="Palatino Linotype" w:hAnsi="Palatino Linotype"/>
          <w:b/>
          <w:i/>
          <w:szCs w:val="24"/>
        </w:rPr>
      </w:pPr>
      <w:r w:rsidRPr="00AE0EBD">
        <w:rPr>
          <w:rFonts w:ascii="Palatino Linotype" w:hAnsi="Palatino Linotype"/>
          <w:b/>
          <w:i/>
          <w:szCs w:val="24"/>
        </w:rPr>
        <w:t>I. Un control de gestión;</w:t>
      </w:r>
    </w:p>
    <w:p w:rsidR="00120DAA" w:rsidRPr="00AE0EBD" w:rsidRDefault="00120DAA" w:rsidP="00120DAA">
      <w:pPr>
        <w:spacing w:after="0" w:line="240" w:lineRule="auto"/>
        <w:ind w:left="709"/>
        <w:rPr>
          <w:rFonts w:ascii="Palatino Linotype" w:hAnsi="Palatino Linotype"/>
          <w:b/>
          <w:i/>
          <w:szCs w:val="24"/>
        </w:rPr>
      </w:pPr>
      <w:r w:rsidRPr="00AE0EBD">
        <w:rPr>
          <w:rFonts w:ascii="Palatino Linotype" w:hAnsi="Palatino Linotype"/>
          <w:b/>
          <w:i/>
          <w:szCs w:val="24"/>
        </w:rPr>
        <w:t xml:space="preserve">II. Un sistema de procedimiento registral; </w:t>
      </w:r>
    </w:p>
    <w:p w:rsidR="00120DAA" w:rsidRPr="00AE0EBD" w:rsidRDefault="00120DAA" w:rsidP="00120DAA">
      <w:pPr>
        <w:spacing w:after="0" w:line="240" w:lineRule="auto"/>
        <w:ind w:left="709"/>
        <w:rPr>
          <w:rFonts w:ascii="Palatino Linotype" w:hAnsi="Palatino Linotype"/>
          <w:b/>
          <w:i/>
          <w:szCs w:val="24"/>
        </w:rPr>
      </w:pPr>
      <w:r w:rsidRPr="00AE0EBD">
        <w:rPr>
          <w:rFonts w:ascii="Palatino Linotype" w:hAnsi="Palatino Linotype"/>
          <w:b/>
          <w:i/>
          <w:szCs w:val="24"/>
        </w:rPr>
        <w:lastRenderedPageBreak/>
        <w:t>III. Un sistema de base de datos permanente y actualizado para su consulta pública, incluyendo días y horas inhábiles;</w:t>
      </w:r>
    </w:p>
    <w:p w:rsidR="00120DAA" w:rsidRPr="00AE0EBD" w:rsidRDefault="00120DAA" w:rsidP="00120DAA">
      <w:pPr>
        <w:spacing w:after="0" w:line="240" w:lineRule="auto"/>
        <w:ind w:left="709"/>
        <w:rPr>
          <w:rFonts w:ascii="Palatino Linotype" w:hAnsi="Palatino Linotype"/>
          <w:i/>
          <w:szCs w:val="24"/>
        </w:rPr>
      </w:pPr>
      <w:r w:rsidRPr="00AE0EBD">
        <w:rPr>
          <w:rFonts w:ascii="Palatino Linotype" w:hAnsi="Palatino Linotype"/>
          <w:i/>
          <w:szCs w:val="24"/>
        </w:rPr>
        <w:t xml:space="preserve"> IV. Las bases de datos y archivos complementarios, necesarios para explotar y validar la información; y </w:t>
      </w:r>
    </w:p>
    <w:p w:rsidR="00120DAA" w:rsidRPr="00AE0EBD" w:rsidRDefault="00120DAA" w:rsidP="00120DAA">
      <w:pPr>
        <w:spacing w:after="0" w:line="240" w:lineRule="auto"/>
        <w:ind w:left="709"/>
        <w:rPr>
          <w:rFonts w:ascii="Palatino Linotype" w:hAnsi="Palatino Linotype"/>
          <w:i/>
          <w:szCs w:val="24"/>
        </w:rPr>
      </w:pPr>
      <w:r w:rsidRPr="00AE0EBD">
        <w:rPr>
          <w:rFonts w:ascii="Palatino Linotype" w:hAnsi="Palatino Linotype"/>
          <w:i/>
          <w:szCs w:val="24"/>
        </w:rPr>
        <w:t xml:space="preserve">V. Los respaldos”. </w:t>
      </w:r>
    </w:p>
    <w:p w:rsidR="00120DAA" w:rsidRPr="00AE0EBD" w:rsidRDefault="00120DAA" w:rsidP="00120DAA">
      <w:pPr>
        <w:spacing w:after="0" w:line="360" w:lineRule="auto"/>
        <w:ind w:right="49"/>
        <w:contextualSpacing/>
        <w:jc w:val="both"/>
        <w:rPr>
          <w:rFonts w:ascii="Palatino Linotype" w:eastAsia="Times New Roman" w:hAnsi="Palatino Linotype" w:cs="Arial"/>
          <w:color w:val="000000"/>
          <w:sz w:val="24"/>
          <w:szCs w:val="24"/>
          <w:lang w:val="es-ES_tradnl" w:eastAsia="es-MX"/>
        </w:rPr>
      </w:pPr>
    </w:p>
    <w:p w:rsidR="00120DAA" w:rsidRPr="00AE0EBD" w:rsidRDefault="00120DAA" w:rsidP="00120DAA">
      <w:pPr>
        <w:spacing w:after="0" w:line="360" w:lineRule="auto"/>
        <w:ind w:right="49"/>
        <w:contextualSpacing/>
        <w:jc w:val="both"/>
        <w:rPr>
          <w:rFonts w:ascii="Palatino Linotype" w:eastAsia="MS Mincho" w:hAnsi="Palatino Linotype" w:cs="Times New Roman"/>
          <w:sz w:val="24"/>
          <w:szCs w:val="24"/>
          <w:lang w:val="es-ES_tradnl" w:eastAsia="es-ES"/>
        </w:rPr>
      </w:pPr>
      <w:r w:rsidRPr="00AE0EBD">
        <w:rPr>
          <w:rFonts w:ascii="Palatino Linotype" w:eastAsia="MS Mincho" w:hAnsi="Palatino Linotype" w:cs="Times New Roman"/>
          <w:sz w:val="24"/>
          <w:szCs w:val="24"/>
          <w:lang w:val="es-ES_tradnl" w:eastAsia="es-ES"/>
        </w:rPr>
        <w:t>De lo anteriormente señalado, se advierte que el Instituto de la Función Registral del Estado de México cuenta con un sistema informático, por medio del cual se pueden realizar diversas funciones y entre las cuales se encuentra la consulta o verificación de la información contenida en el acervo registral, del mismo modo se especifica que este sistema informático incluirá un control de gestión, un sistema de procedimiento registral así como un sistema de base de datos permanente y actualizado para su consulta pública.</w:t>
      </w:r>
    </w:p>
    <w:p w:rsidR="00120DAA" w:rsidRPr="00AE0EBD" w:rsidRDefault="00120DAA" w:rsidP="00120DAA">
      <w:pPr>
        <w:spacing w:after="0" w:line="360" w:lineRule="auto"/>
        <w:ind w:right="49"/>
        <w:contextualSpacing/>
        <w:jc w:val="both"/>
        <w:rPr>
          <w:rFonts w:ascii="Palatino Linotype" w:eastAsia="MS Mincho" w:hAnsi="Palatino Linotype" w:cs="Times New Roman"/>
          <w:sz w:val="24"/>
          <w:szCs w:val="24"/>
          <w:lang w:val="es-ES_tradnl" w:eastAsia="es-ES"/>
        </w:rPr>
      </w:pPr>
    </w:p>
    <w:p w:rsidR="00120DAA" w:rsidRPr="00AE0EBD" w:rsidRDefault="00120DAA" w:rsidP="00120DAA">
      <w:pPr>
        <w:spacing w:after="0" w:line="360" w:lineRule="auto"/>
        <w:ind w:right="49"/>
        <w:contextualSpacing/>
        <w:jc w:val="both"/>
        <w:rPr>
          <w:rFonts w:ascii="Palatino Linotype" w:eastAsia="MS Mincho" w:hAnsi="Palatino Linotype" w:cs="Times New Roman"/>
          <w:sz w:val="24"/>
          <w:szCs w:val="24"/>
          <w:lang w:val="es-ES_tradnl" w:eastAsia="es-ES"/>
        </w:rPr>
      </w:pPr>
      <w:r w:rsidRPr="00AE0EBD">
        <w:rPr>
          <w:rFonts w:ascii="Palatino Linotype" w:eastAsia="MS Mincho" w:hAnsi="Palatino Linotype" w:cs="Times New Roman"/>
          <w:sz w:val="24"/>
          <w:szCs w:val="24"/>
          <w:lang w:val="es-ES_tradnl" w:eastAsia="es-ES"/>
        </w:rPr>
        <w:t xml:space="preserve">De la misma forma, concerniente al Capítulo Tercero, </w:t>
      </w:r>
      <w:r w:rsidRPr="00AE0EBD">
        <w:rPr>
          <w:rFonts w:ascii="Palatino Linotype" w:eastAsia="MS Mincho" w:hAnsi="Palatino Linotype" w:cs="Times New Roman"/>
          <w:b/>
          <w:sz w:val="24"/>
          <w:szCs w:val="24"/>
          <w:lang w:val="es-ES_tradnl" w:eastAsia="es-ES"/>
        </w:rPr>
        <w:t>DE LA CONSULTA</w:t>
      </w:r>
      <w:r w:rsidRPr="00AE0EBD">
        <w:rPr>
          <w:rFonts w:ascii="Palatino Linotype" w:eastAsia="MS Mincho" w:hAnsi="Palatino Linotype" w:cs="Times New Roman"/>
          <w:sz w:val="24"/>
          <w:szCs w:val="24"/>
          <w:lang w:val="es-ES_tradnl" w:eastAsia="es-ES"/>
        </w:rPr>
        <w:t>, establece los siguientes mecanismos:</w:t>
      </w:r>
    </w:p>
    <w:p w:rsidR="00120DAA" w:rsidRPr="00AE0EBD" w:rsidRDefault="00120DAA" w:rsidP="00120DAA">
      <w:pPr>
        <w:pStyle w:val="Sinespaciado"/>
        <w:rPr>
          <w:lang w:val="es-ES_tradnl"/>
        </w:rPr>
      </w:pPr>
    </w:p>
    <w:p w:rsidR="00120DAA" w:rsidRPr="00AE0EBD" w:rsidRDefault="00120DAA" w:rsidP="00120DAA">
      <w:pPr>
        <w:spacing w:after="0" w:line="240" w:lineRule="auto"/>
        <w:ind w:left="567" w:right="567"/>
        <w:contextualSpacing/>
        <w:jc w:val="both"/>
        <w:rPr>
          <w:rFonts w:ascii="Palatino Linotype" w:eastAsia="MS Mincho" w:hAnsi="Palatino Linotype" w:cs="Times New Roman"/>
          <w:i/>
          <w:szCs w:val="24"/>
          <w:lang w:val="es-ES_tradnl" w:eastAsia="es-ES"/>
        </w:rPr>
      </w:pPr>
      <w:r w:rsidRPr="00AE0EBD">
        <w:rPr>
          <w:rFonts w:ascii="Palatino Linotype" w:eastAsia="MS Mincho" w:hAnsi="Palatino Linotype" w:cs="Times New Roman"/>
          <w:i/>
          <w:szCs w:val="24"/>
          <w:lang w:val="es-ES_tradnl" w:eastAsia="es-ES"/>
        </w:rPr>
        <w:t>“</w:t>
      </w:r>
      <w:r w:rsidRPr="00AE0EBD">
        <w:rPr>
          <w:rFonts w:ascii="Palatino Linotype" w:eastAsia="MS Mincho" w:hAnsi="Palatino Linotype" w:cs="Times New Roman"/>
          <w:b/>
          <w:i/>
          <w:szCs w:val="24"/>
          <w:lang w:val="es-ES_tradnl" w:eastAsia="es-ES"/>
        </w:rPr>
        <w:t>Artículo 26.-</w:t>
      </w:r>
      <w:r w:rsidRPr="00AE0EBD">
        <w:rPr>
          <w:rFonts w:ascii="Palatino Linotype" w:eastAsia="MS Mincho" w:hAnsi="Palatino Linotype" w:cs="Times New Roman"/>
          <w:i/>
          <w:szCs w:val="24"/>
          <w:lang w:val="es-ES_tradnl" w:eastAsia="es-ES"/>
        </w:rPr>
        <w:t xml:space="preserve"> La consulta de los asientos se realizará proporcionando el número del folio real o de la persona jurídica colectiva. A falta de éstos se podrá solicitar la búsqueda de los asientos proporcionando cualquiera de los siguientes datos:</w:t>
      </w:r>
    </w:p>
    <w:p w:rsidR="00120DAA" w:rsidRPr="00AE0EBD" w:rsidRDefault="00120DAA" w:rsidP="00120DAA">
      <w:pPr>
        <w:spacing w:after="0" w:line="240" w:lineRule="auto"/>
        <w:ind w:left="567" w:right="567"/>
        <w:contextualSpacing/>
        <w:jc w:val="both"/>
        <w:rPr>
          <w:rFonts w:ascii="Palatino Linotype" w:eastAsia="MS Mincho" w:hAnsi="Palatino Linotype" w:cs="Times New Roman"/>
          <w:i/>
          <w:szCs w:val="24"/>
          <w:lang w:val="es-ES_tradnl" w:eastAsia="es-ES"/>
        </w:rPr>
      </w:pPr>
    </w:p>
    <w:p w:rsidR="00120DAA" w:rsidRPr="00AE0EBD" w:rsidRDefault="00120DAA" w:rsidP="00120DAA">
      <w:pPr>
        <w:spacing w:after="0" w:line="240" w:lineRule="auto"/>
        <w:ind w:left="567" w:right="567"/>
        <w:contextualSpacing/>
        <w:jc w:val="both"/>
        <w:rPr>
          <w:rFonts w:ascii="Palatino Linotype" w:eastAsia="MS Mincho" w:hAnsi="Palatino Linotype" w:cs="Times New Roman"/>
          <w:i/>
          <w:szCs w:val="24"/>
          <w:lang w:val="es-ES_tradnl" w:eastAsia="es-ES"/>
        </w:rPr>
      </w:pPr>
      <w:r w:rsidRPr="00AE0EBD">
        <w:rPr>
          <w:rFonts w:ascii="Palatino Linotype" w:eastAsia="MS Mincho" w:hAnsi="Palatino Linotype" w:cs="Times New Roman"/>
          <w:i/>
          <w:szCs w:val="24"/>
          <w:lang w:val="es-ES_tradnl" w:eastAsia="es-ES"/>
        </w:rPr>
        <w:t>I. Tratándose de inmuebles:</w:t>
      </w:r>
    </w:p>
    <w:p w:rsidR="00120DAA" w:rsidRPr="00AE0EBD" w:rsidRDefault="00120DAA" w:rsidP="00120DAA">
      <w:pPr>
        <w:spacing w:after="0" w:line="240" w:lineRule="auto"/>
        <w:ind w:left="567" w:right="567"/>
        <w:contextualSpacing/>
        <w:jc w:val="both"/>
        <w:rPr>
          <w:rFonts w:ascii="Palatino Linotype" w:eastAsia="MS Mincho" w:hAnsi="Palatino Linotype" w:cs="Times New Roman"/>
          <w:i/>
          <w:szCs w:val="24"/>
          <w:lang w:val="es-ES_tradnl" w:eastAsia="es-ES"/>
        </w:rPr>
      </w:pPr>
      <w:r w:rsidRPr="00AE0EBD">
        <w:rPr>
          <w:rFonts w:ascii="Palatino Linotype" w:eastAsia="MS Mincho" w:hAnsi="Palatino Linotype" w:cs="Times New Roman"/>
          <w:i/>
          <w:szCs w:val="24"/>
          <w:lang w:val="es-ES_tradnl" w:eastAsia="es-ES"/>
        </w:rPr>
        <w:t>A) Su denominación;</w:t>
      </w:r>
    </w:p>
    <w:p w:rsidR="00120DAA" w:rsidRPr="00AE0EBD" w:rsidRDefault="00120DAA" w:rsidP="00120DAA">
      <w:pPr>
        <w:spacing w:after="0" w:line="240" w:lineRule="auto"/>
        <w:ind w:left="567" w:right="567"/>
        <w:contextualSpacing/>
        <w:jc w:val="both"/>
        <w:rPr>
          <w:rFonts w:ascii="Palatino Linotype" w:eastAsia="MS Mincho" w:hAnsi="Palatino Linotype" w:cs="Times New Roman"/>
          <w:i/>
          <w:szCs w:val="24"/>
          <w:lang w:val="es-ES_tradnl" w:eastAsia="es-ES"/>
        </w:rPr>
      </w:pPr>
      <w:r w:rsidRPr="00AE0EBD">
        <w:rPr>
          <w:rFonts w:ascii="Palatino Linotype" w:eastAsia="MS Mincho" w:hAnsi="Palatino Linotype" w:cs="Times New Roman"/>
          <w:i/>
          <w:szCs w:val="24"/>
          <w:lang w:val="es-ES_tradnl" w:eastAsia="es-ES"/>
        </w:rPr>
        <w:t>B) Calle o avenida, número y colonia;</w:t>
      </w:r>
    </w:p>
    <w:p w:rsidR="00120DAA" w:rsidRPr="00AE0EBD" w:rsidRDefault="00120DAA" w:rsidP="00120DAA">
      <w:pPr>
        <w:spacing w:after="0" w:line="240" w:lineRule="auto"/>
        <w:ind w:left="567" w:right="567"/>
        <w:contextualSpacing/>
        <w:jc w:val="both"/>
        <w:rPr>
          <w:rFonts w:ascii="Palatino Linotype" w:eastAsia="MS Mincho" w:hAnsi="Palatino Linotype" w:cs="Times New Roman"/>
          <w:i/>
          <w:szCs w:val="24"/>
          <w:lang w:val="es-ES_tradnl" w:eastAsia="es-ES"/>
        </w:rPr>
      </w:pPr>
      <w:r w:rsidRPr="00AE0EBD">
        <w:rPr>
          <w:rFonts w:ascii="Palatino Linotype" w:eastAsia="MS Mincho" w:hAnsi="Palatino Linotype" w:cs="Times New Roman"/>
          <w:i/>
          <w:szCs w:val="24"/>
          <w:lang w:val="es-ES_tradnl" w:eastAsia="es-ES"/>
        </w:rPr>
        <w:t>C) Lote, manzana, fraccionamiento y/o conjunto urbano;</w:t>
      </w:r>
    </w:p>
    <w:p w:rsidR="00120DAA" w:rsidRPr="00AE0EBD" w:rsidRDefault="00120DAA" w:rsidP="00120DAA">
      <w:pPr>
        <w:spacing w:after="0" w:line="240" w:lineRule="auto"/>
        <w:ind w:left="567" w:right="567"/>
        <w:contextualSpacing/>
        <w:jc w:val="both"/>
        <w:rPr>
          <w:rFonts w:ascii="Palatino Linotype" w:eastAsia="MS Mincho" w:hAnsi="Palatino Linotype" w:cs="Times New Roman"/>
          <w:i/>
          <w:szCs w:val="24"/>
          <w:lang w:val="es-ES_tradnl" w:eastAsia="es-ES"/>
        </w:rPr>
      </w:pPr>
      <w:r w:rsidRPr="00AE0EBD">
        <w:rPr>
          <w:rFonts w:ascii="Palatino Linotype" w:eastAsia="MS Mincho" w:hAnsi="Palatino Linotype" w:cs="Times New Roman"/>
          <w:i/>
          <w:szCs w:val="24"/>
          <w:lang w:val="es-ES_tradnl" w:eastAsia="es-ES"/>
        </w:rPr>
        <w:t>D) Nombre de alguno de los propietarios o de los titulares de otros derechos; y</w:t>
      </w:r>
    </w:p>
    <w:p w:rsidR="00120DAA" w:rsidRPr="00AE0EBD" w:rsidRDefault="00120DAA" w:rsidP="00120DAA">
      <w:pPr>
        <w:spacing w:after="0" w:line="240" w:lineRule="auto"/>
        <w:ind w:left="567" w:right="567"/>
        <w:contextualSpacing/>
        <w:jc w:val="both"/>
        <w:rPr>
          <w:rFonts w:ascii="Palatino Linotype" w:eastAsia="MS Mincho" w:hAnsi="Palatino Linotype" w:cs="Times New Roman"/>
          <w:i/>
          <w:szCs w:val="24"/>
          <w:lang w:val="es-ES_tradnl" w:eastAsia="es-ES"/>
        </w:rPr>
      </w:pPr>
      <w:r w:rsidRPr="00AE0EBD">
        <w:rPr>
          <w:rFonts w:ascii="Palatino Linotype" w:eastAsia="MS Mincho" w:hAnsi="Palatino Linotype" w:cs="Times New Roman"/>
          <w:i/>
          <w:szCs w:val="24"/>
          <w:lang w:val="es-ES_tradnl" w:eastAsia="es-ES"/>
        </w:rPr>
        <w:t>E) Clave catastral.</w:t>
      </w:r>
    </w:p>
    <w:p w:rsidR="00120DAA" w:rsidRPr="00AE0EBD" w:rsidRDefault="00120DAA" w:rsidP="00120DAA">
      <w:pPr>
        <w:spacing w:after="0" w:line="240" w:lineRule="auto"/>
        <w:ind w:left="567" w:right="567"/>
        <w:contextualSpacing/>
        <w:jc w:val="both"/>
        <w:rPr>
          <w:rFonts w:ascii="Palatino Linotype" w:eastAsia="MS Mincho" w:hAnsi="Palatino Linotype" w:cs="Times New Roman"/>
          <w:i/>
          <w:szCs w:val="24"/>
          <w:lang w:val="es-ES_tradnl" w:eastAsia="es-ES"/>
        </w:rPr>
      </w:pPr>
    </w:p>
    <w:p w:rsidR="00120DAA" w:rsidRPr="00AE0EBD" w:rsidRDefault="00120DAA" w:rsidP="00120DAA">
      <w:pPr>
        <w:spacing w:after="0" w:line="240" w:lineRule="auto"/>
        <w:ind w:left="567" w:right="567"/>
        <w:contextualSpacing/>
        <w:jc w:val="both"/>
        <w:rPr>
          <w:rFonts w:ascii="Palatino Linotype" w:eastAsia="MS Mincho" w:hAnsi="Palatino Linotype" w:cs="Times New Roman"/>
          <w:i/>
          <w:szCs w:val="24"/>
          <w:lang w:val="es-ES_tradnl" w:eastAsia="es-ES"/>
        </w:rPr>
      </w:pPr>
      <w:r w:rsidRPr="00AE0EBD">
        <w:rPr>
          <w:rFonts w:ascii="Palatino Linotype" w:eastAsia="MS Mincho" w:hAnsi="Palatino Linotype" w:cs="Times New Roman"/>
          <w:i/>
          <w:szCs w:val="24"/>
          <w:lang w:val="es-ES_tradnl" w:eastAsia="es-ES"/>
        </w:rPr>
        <w:t>II. En caso de personas jurídicas colectivas:</w:t>
      </w:r>
    </w:p>
    <w:p w:rsidR="00120DAA" w:rsidRPr="00AE0EBD" w:rsidRDefault="00120DAA" w:rsidP="00120DAA">
      <w:pPr>
        <w:spacing w:after="0" w:line="240" w:lineRule="auto"/>
        <w:ind w:left="567" w:right="567"/>
        <w:contextualSpacing/>
        <w:jc w:val="both"/>
        <w:rPr>
          <w:rFonts w:ascii="Palatino Linotype" w:eastAsia="MS Mincho" w:hAnsi="Palatino Linotype" w:cs="Times New Roman"/>
          <w:i/>
          <w:szCs w:val="24"/>
          <w:lang w:val="es-ES_tradnl" w:eastAsia="es-ES"/>
        </w:rPr>
      </w:pPr>
      <w:r w:rsidRPr="00AE0EBD">
        <w:rPr>
          <w:rFonts w:ascii="Palatino Linotype" w:eastAsia="MS Mincho" w:hAnsi="Palatino Linotype" w:cs="Times New Roman"/>
          <w:i/>
          <w:szCs w:val="24"/>
          <w:lang w:val="es-ES_tradnl" w:eastAsia="es-ES"/>
        </w:rPr>
        <w:t>A) Denominación o razón social;</w:t>
      </w:r>
    </w:p>
    <w:p w:rsidR="00120DAA" w:rsidRPr="00AE0EBD" w:rsidRDefault="00120DAA" w:rsidP="00120DAA">
      <w:pPr>
        <w:spacing w:after="0" w:line="240" w:lineRule="auto"/>
        <w:ind w:left="567" w:right="567"/>
        <w:contextualSpacing/>
        <w:jc w:val="both"/>
        <w:rPr>
          <w:rFonts w:ascii="Palatino Linotype" w:eastAsia="MS Mincho" w:hAnsi="Palatino Linotype" w:cs="Times New Roman"/>
          <w:i/>
          <w:szCs w:val="24"/>
          <w:lang w:val="es-ES_tradnl" w:eastAsia="es-ES"/>
        </w:rPr>
      </w:pPr>
      <w:r w:rsidRPr="00AE0EBD">
        <w:rPr>
          <w:rFonts w:ascii="Palatino Linotype" w:eastAsia="MS Mincho" w:hAnsi="Palatino Linotype" w:cs="Times New Roman"/>
          <w:i/>
          <w:szCs w:val="24"/>
          <w:lang w:val="es-ES_tradnl" w:eastAsia="es-ES"/>
        </w:rPr>
        <w:t>B) Nombre de los socios, asociados o integrantes del órgano de administración; y</w:t>
      </w:r>
    </w:p>
    <w:p w:rsidR="00120DAA" w:rsidRPr="00AE0EBD" w:rsidRDefault="00120DAA" w:rsidP="00120DAA">
      <w:pPr>
        <w:spacing w:after="0" w:line="240" w:lineRule="auto"/>
        <w:ind w:left="567" w:right="567"/>
        <w:contextualSpacing/>
        <w:jc w:val="both"/>
        <w:rPr>
          <w:rFonts w:ascii="Palatino Linotype" w:eastAsia="MS Mincho" w:hAnsi="Palatino Linotype" w:cs="Times New Roman"/>
          <w:i/>
          <w:szCs w:val="24"/>
          <w:lang w:val="es-ES_tradnl" w:eastAsia="es-ES"/>
        </w:rPr>
      </w:pPr>
      <w:r w:rsidRPr="00AE0EBD">
        <w:rPr>
          <w:rFonts w:ascii="Palatino Linotype" w:eastAsia="MS Mincho" w:hAnsi="Palatino Linotype" w:cs="Times New Roman"/>
          <w:i/>
          <w:szCs w:val="24"/>
          <w:lang w:val="es-ES_tradnl" w:eastAsia="es-ES"/>
        </w:rPr>
        <w:t>C) Registro Federal de Contribuyentes.</w:t>
      </w:r>
    </w:p>
    <w:p w:rsidR="00120DAA" w:rsidRPr="00AE0EBD" w:rsidRDefault="00120DAA" w:rsidP="00120DAA">
      <w:pPr>
        <w:spacing w:after="0" w:line="240" w:lineRule="auto"/>
        <w:ind w:left="567" w:right="567"/>
        <w:contextualSpacing/>
        <w:jc w:val="both"/>
        <w:rPr>
          <w:rFonts w:ascii="Palatino Linotype" w:eastAsia="MS Mincho" w:hAnsi="Palatino Linotype" w:cs="Times New Roman"/>
          <w:i/>
          <w:szCs w:val="24"/>
          <w:lang w:val="es-ES_tradnl" w:eastAsia="es-ES"/>
        </w:rPr>
      </w:pPr>
    </w:p>
    <w:p w:rsidR="00120DAA" w:rsidRPr="00AE0EBD" w:rsidRDefault="00120DAA" w:rsidP="00120DAA">
      <w:pPr>
        <w:spacing w:after="0" w:line="240" w:lineRule="auto"/>
        <w:ind w:left="567" w:right="567"/>
        <w:contextualSpacing/>
        <w:jc w:val="both"/>
        <w:rPr>
          <w:rFonts w:ascii="Palatino Linotype" w:eastAsia="MS Mincho" w:hAnsi="Palatino Linotype" w:cs="Times New Roman"/>
          <w:i/>
          <w:szCs w:val="24"/>
          <w:lang w:val="es-ES_tradnl" w:eastAsia="es-ES"/>
        </w:rPr>
      </w:pPr>
      <w:r w:rsidRPr="00AE0EBD">
        <w:rPr>
          <w:rFonts w:ascii="Palatino Linotype" w:eastAsia="MS Mincho" w:hAnsi="Palatino Linotype" w:cs="Times New Roman"/>
          <w:i/>
          <w:szCs w:val="24"/>
          <w:lang w:val="es-ES_tradnl" w:eastAsia="es-ES"/>
        </w:rPr>
        <w:lastRenderedPageBreak/>
        <w:t>III. Por cualquier otro dato que determine el Director General.</w:t>
      </w:r>
    </w:p>
    <w:p w:rsidR="00120DAA" w:rsidRPr="00AE0EBD" w:rsidRDefault="00120DAA" w:rsidP="00120DAA">
      <w:pPr>
        <w:spacing w:after="0" w:line="240" w:lineRule="auto"/>
        <w:ind w:left="567" w:right="567"/>
        <w:contextualSpacing/>
        <w:jc w:val="both"/>
        <w:rPr>
          <w:rFonts w:ascii="Palatino Linotype" w:eastAsia="MS Mincho" w:hAnsi="Palatino Linotype" w:cs="Times New Roman"/>
          <w:b/>
          <w:i/>
          <w:szCs w:val="24"/>
          <w:lang w:val="es-ES_tradnl" w:eastAsia="es-ES"/>
        </w:rPr>
      </w:pPr>
    </w:p>
    <w:p w:rsidR="00120DAA" w:rsidRPr="00AE0EBD" w:rsidRDefault="00120DAA" w:rsidP="00120DAA">
      <w:pPr>
        <w:spacing w:after="0" w:line="240" w:lineRule="auto"/>
        <w:ind w:left="567" w:right="567"/>
        <w:contextualSpacing/>
        <w:jc w:val="both"/>
        <w:rPr>
          <w:rFonts w:ascii="Palatino Linotype" w:eastAsia="MS Mincho" w:hAnsi="Palatino Linotype" w:cs="Times New Roman"/>
          <w:i/>
          <w:szCs w:val="24"/>
          <w:lang w:val="es-ES_tradnl" w:eastAsia="es-ES"/>
        </w:rPr>
      </w:pPr>
      <w:r w:rsidRPr="00AE0EBD">
        <w:rPr>
          <w:rFonts w:ascii="Palatino Linotype" w:eastAsia="MS Mincho" w:hAnsi="Palatino Linotype" w:cs="Times New Roman"/>
          <w:b/>
          <w:i/>
          <w:szCs w:val="24"/>
          <w:lang w:val="es-ES_tradnl" w:eastAsia="es-ES"/>
        </w:rPr>
        <w:t>Artículo 27.-</w:t>
      </w:r>
      <w:r w:rsidRPr="00AE0EBD">
        <w:rPr>
          <w:rFonts w:ascii="Palatino Linotype" w:eastAsia="MS Mincho" w:hAnsi="Palatino Linotype" w:cs="Times New Roman"/>
          <w:i/>
          <w:szCs w:val="24"/>
          <w:lang w:val="es-ES_tradnl" w:eastAsia="es-ES"/>
        </w:rPr>
        <w:t xml:space="preserve"> El Instituto a través de su Director General podrá autorizar únicamente la consulta vía remota de la base de datos del Acervo Registral a personas que así lo soliciten y cumplan con los requisitos para ello, en los términos del Código, de la Ley, del Reglamento y los lineamientos que emita el propio Director General.</w:t>
      </w:r>
    </w:p>
    <w:p w:rsidR="00120DAA" w:rsidRPr="00AE0EBD" w:rsidRDefault="00120DAA" w:rsidP="00120DAA">
      <w:pPr>
        <w:spacing w:after="0" w:line="240" w:lineRule="auto"/>
        <w:ind w:left="567" w:right="567"/>
        <w:contextualSpacing/>
        <w:jc w:val="both"/>
        <w:rPr>
          <w:rFonts w:ascii="Palatino Linotype" w:eastAsia="MS Mincho" w:hAnsi="Palatino Linotype" w:cs="Times New Roman"/>
          <w:i/>
          <w:szCs w:val="24"/>
          <w:lang w:val="es-ES_tradnl" w:eastAsia="es-ES"/>
        </w:rPr>
      </w:pPr>
    </w:p>
    <w:p w:rsidR="00120DAA" w:rsidRPr="00AE0EBD" w:rsidRDefault="00120DAA" w:rsidP="00120DAA">
      <w:pPr>
        <w:spacing w:after="0" w:line="240" w:lineRule="auto"/>
        <w:ind w:left="567" w:right="567"/>
        <w:contextualSpacing/>
        <w:jc w:val="both"/>
        <w:rPr>
          <w:rFonts w:ascii="Palatino Linotype" w:eastAsia="MS Mincho" w:hAnsi="Palatino Linotype" w:cs="Times New Roman"/>
          <w:i/>
          <w:szCs w:val="24"/>
          <w:lang w:val="es-ES_tradnl" w:eastAsia="es-ES"/>
        </w:rPr>
      </w:pPr>
      <w:r w:rsidRPr="00AE0EBD">
        <w:rPr>
          <w:rFonts w:ascii="Palatino Linotype" w:eastAsia="MS Mincho" w:hAnsi="Palatino Linotype" w:cs="Times New Roman"/>
          <w:b/>
          <w:i/>
          <w:szCs w:val="24"/>
          <w:lang w:val="es-ES_tradnl" w:eastAsia="es-ES"/>
        </w:rPr>
        <w:t>Artículo 28.-</w:t>
      </w:r>
      <w:r w:rsidRPr="00AE0EBD">
        <w:rPr>
          <w:rFonts w:ascii="Palatino Linotype" w:eastAsia="MS Mincho" w:hAnsi="Palatino Linotype" w:cs="Times New Roman"/>
          <w:i/>
          <w:szCs w:val="24"/>
          <w:lang w:val="es-ES_tradnl" w:eastAsia="es-ES"/>
        </w:rPr>
        <w:t xml:space="preserve"> </w:t>
      </w:r>
      <w:r w:rsidRPr="00AE0EBD">
        <w:rPr>
          <w:rFonts w:ascii="Palatino Linotype" w:eastAsia="MS Mincho" w:hAnsi="Palatino Linotype" w:cs="Times New Roman"/>
          <w:b/>
          <w:i/>
          <w:szCs w:val="24"/>
          <w:u w:val="single"/>
          <w:lang w:val="es-ES_tradnl" w:eastAsia="es-ES"/>
        </w:rPr>
        <w:t>La consulta electrónica externa solamente podrá hacerse por Notarios Públicos a través de la utilización de la Firma Electrónica Notarial y por usuarios previamente autorizados. Se llevará una bitácora de las consultas efectuadas.</w:t>
      </w:r>
      <w:r w:rsidRPr="00AE0EBD">
        <w:rPr>
          <w:rFonts w:ascii="Palatino Linotype" w:eastAsia="MS Mincho" w:hAnsi="Palatino Linotype" w:cs="Times New Roman"/>
          <w:i/>
          <w:szCs w:val="24"/>
          <w:lang w:val="es-ES_tradnl" w:eastAsia="es-ES"/>
        </w:rPr>
        <w:t>”</w:t>
      </w:r>
    </w:p>
    <w:p w:rsidR="00120DAA" w:rsidRPr="00AE0EBD" w:rsidRDefault="00120DAA" w:rsidP="00120DAA">
      <w:pPr>
        <w:spacing w:after="0" w:line="360" w:lineRule="auto"/>
        <w:ind w:right="49"/>
        <w:contextualSpacing/>
        <w:jc w:val="both"/>
        <w:rPr>
          <w:rFonts w:ascii="Palatino Linotype" w:eastAsia="MS Mincho" w:hAnsi="Palatino Linotype" w:cs="Times New Roman"/>
          <w:sz w:val="24"/>
          <w:szCs w:val="24"/>
          <w:lang w:val="es-ES_tradnl" w:eastAsia="es-ES"/>
        </w:rPr>
      </w:pPr>
    </w:p>
    <w:p w:rsidR="00120DAA" w:rsidRPr="00AE0EBD" w:rsidRDefault="00120DAA" w:rsidP="00120DAA">
      <w:pPr>
        <w:spacing w:after="0" w:line="360" w:lineRule="auto"/>
        <w:ind w:right="49"/>
        <w:contextualSpacing/>
        <w:jc w:val="both"/>
        <w:rPr>
          <w:rFonts w:ascii="Palatino Linotype" w:eastAsia="MS Mincho" w:hAnsi="Palatino Linotype" w:cs="Times New Roman"/>
          <w:sz w:val="24"/>
          <w:szCs w:val="24"/>
          <w:lang w:val="es-ES_tradnl" w:eastAsia="es-ES"/>
        </w:rPr>
      </w:pPr>
      <w:r w:rsidRPr="00AE0EBD">
        <w:rPr>
          <w:rFonts w:ascii="Palatino Linotype" w:eastAsia="MS Mincho" w:hAnsi="Palatino Linotype" w:cs="Times New Roman"/>
          <w:sz w:val="24"/>
          <w:szCs w:val="24"/>
          <w:lang w:val="es-ES_tradnl" w:eastAsia="es-ES"/>
        </w:rPr>
        <w:t>Por otra parte, el Reglamento de la Ley Registral del Estado de México, prevé en su artículo 7, fracción IX, que uno de sus principios rectores consiste en:</w:t>
      </w:r>
    </w:p>
    <w:p w:rsidR="00120DAA" w:rsidRPr="00AE0EBD" w:rsidRDefault="00120DAA" w:rsidP="00120DAA">
      <w:pPr>
        <w:pStyle w:val="Sinespaciado"/>
        <w:rPr>
          <w:rFonts w:eastAsia="MS Mincho"/>
          <w:lang w:val="es-ES_tradnl"/>
        </w:rPr>
      </w:pPr>
    </w:p>
    <w:p w:rsidR="00120DAA" w:rsidRPr="00AE0EBD" w:rsidRDefault="00120DAA" w:rsidP="00120DAA">
      <w:pPr>
        <w:spacing w:after="0" w:line="240" w:lineRule="auto"/>
        <w:ind w:left="567" w:right="567"/>
        <w:jc w:val="both"/>
        <w:rPr>
          <w:rFonts w:ascii="Palatino Linotype" w:hAnsi="Palatino Linotype"/>
          <w:b/>
          <w:i/>
          <w:szCs w:val="24"/>
        </w:rPr>
      </w:pPr>
      <w:r w:rsidRPr="00AE0EBD">
        <w:rPr>
          <w:rFonts w:ascii="Palatino Linotype" w:hAnsi="Palatino Linotype"/>
          <w:i/>
          <w:szCs w:val="24"/>
        </w:rPr>
        <w:t>“</w:t>
      </w:r>
      <w:r w:rsidRPr="00AE0EBD">
        <w:rPr>
          <w:rFonts w:ascii="Palatino Linotype" w:hAnsi="Palatino Linotype"/>
          <w:b/>
          <w:i/>
          <w:szCs w:val="24"/>
        </w:rPr>
        <w:t>Artículo 7</w:t>
      </w:r>
      <w:r w:rsidRPr="00AE0EBD">
        <w:rPr>
          <w:rFonts w:ascii="Palatino Linotype" w:hAnsi="Palatino Linotype"/>
          <w:i/>
          <w:szCs w:val="24"/>
        </w:rPr>
        <w:t xml:space="preserve"> </w:t>
      </w:r>
      <w:r w:rsidRPr="00AE0EBD">
        <w:rPr>
          <w:rFonts w:ascii="Palatino Linotype" w:hAnsi="Palatino Linotype"/>
          <w:b/>
          <w:i/>
          <w:szCs w:val="24"/>
        </w:rPr>
        <w:t xml:space="preserve">(…) </w:t>
      </w:r>
    </w:p>
    <w:p w:rsidR="00120DAA" w:rsidRPr="00AE0EBD" w:rsidRDefault="00120DAA" w:rsidP="00120DAA">
      <w:pPr>
        <w:spacing w:after="0" w:line="240" w:lineRule="auto"/>
        <w:ind w:left="567" w:right="567"/>
        <w:jc w:val="both"/>
        <w:rPr>
          <w:rFonts w:ascii="Palatino Linotype" w:hAnsi="Palatino Linotype"/>
          <w:i/>
          <w:szCs w:val="24"/>
        </w:rPr>
      </w:pPr>
      <w:r w:rsidRPr="00AE0EBD">
        <w:rPr>
          <w:rFonts w:ascii="Palatino Linotype" w:hAnsi="Palatino Linotype"/>
          <w:b/>
          <w:i/>
          <w:szCs w:val="24"/>
        </w:rPr>
        <w:t>IX. Publicidad.</w:t>
      </w:r>
      <w:r w:rsidRPr="00AE0EBD">
        <w:rPr>
          <w:rFonts w:ascii="Palatino Linotype" w:hAnsi="Palatino Linotype"/>
          <w:i/>
          <w:szCs w:val="24"/>
        </w:rPr>
        <w:t xml:space="preserve"> Consiste en que los actos o documentos inscritos en el Registro se hacen del conocimiento público para que surtan efectos contra terceros, por lo que toda persona interesada puede consultar y solicitar se le muestren los asientos del Registro, así como obtener las certificaciones relacionadas con éstos;”.</w:t>
      </w:r>
    </w:p>
    <w:p w:rsidR="00120DAA" w:rsidRPr="00AE0EBD" w:rsidRDefault="00120DAA" w:rsidP="00120DAA">
      <w:pPr>
        <w:spacing w:after="0" w:line="240" w:lineRule="auto"/>
        <w:ind w:right="49"/>
        <w:contextualSpacing/>
        <w:jc w:val="both"/>
        <w:rPr>
          <w:rFonts w:ascii="Palatino Linotype" w:eastAsia="MS Mincho" w:hAnsi="Palatino Linotype" w:cs="Times New Roman"/>
          <w:sz w:val="24"/>
          <w:szCs w:val="24"/>
          <w:lang w:val="es-ES_tradnl" w:eastAsia="es-ES"/>
        </w:rPr>
      </w:pPr>
    </w:p>
    <w:p w:rsidR="00120DAA" w:rsidRPr="00AE0EBD" w:rsidRDefault="00120DAA" w:rsidP="00120DAA">
      <w:pPr>
        <w:pStyle w:val="Sinespaciado"/>
        <w:rPr>
          <w:lang w:val="es-ES_tradnl"/>
        </w:rPr>
      </w:pPr>
    </w:p>
    <w:p w:rsidR="00120DAA" w:rsidRPr="00AE0EBD" w:rsidRDefault="00120DAA" w:rsidP="00120DAA">
      <w:pPr>
        <w:spacing w:after="0" w:line="360" w:lineRule="auto"/>
        <w:ind w:right="49"/>
        <w:contextualSpacing/>
        <w:jc w:val="both"/>
        <w:rPr>
          <w:rFonts w:ascii="Palatino Linotype" w:eastAsia="MS Mincho" w:hAnsi="Palatino Linotype" w:cs="Times New Roman"/>
          <w:sz w:val="24"/>
          <w:szCs w:val="24"/>
          <w:lang w:val="es-ES_tradnl" w:eastAsia="es-ES"/>
        </w:rPr>
      </w:pPr>
      <w:r w:rsidRPr="00AE0EBD">
        <w:rPr>
          <w:rFonts w:ascii="Palatino Linotype" w:eastAsia="MS Mincho" w:hAnsi="Palatino Linotype" w:cs="Times New Roman"/>
          <w:sz w:val="24"/>
          <w:szCs w:val="24"/>
          <w:lang w:val="es-ES_tradnl" w:eastAsia="es-ES"/>
        </w:rPr>
        <w:t xml:space="preserve">En el mismo orden de ideas, los artículos 21 y 24, del Reglamento previsto en el párrafo anterior, señalan lo siguiente: </w:t>
      </w:r>
    </w:p>
    <w:p w:rsidR="00120DAA" w:rsidRPr="00AE0EBD" w:rsidRDefault="00120DAA" w:rsidP="00120DAA">
      <w:pPr>
        <w:pStyle w:val="Sinespaciado"/>
        <w:rPr>
          <w:rFonts w:eastAsia="MS Mincho"/>
          <w:lang w:val="es-ES_tradnl"/>
        </w:rPr>
      </w:pPr>
    </w:p>
    <w:p w:rsidR="00120DAA" w:rsidRPr="00AE0EBD" w:rsidRDefault="00120DAA" w:rsidP="00120DAA">
      <w:pPr>
        <w:spacing w:after="0" w:line="240" w:lineRule="auto"/>
        <w:ind w:left="567" w:right="567"/>
        <w:jc w:val="both"/>
        <w:rPr>
          <w:rFonts w:ascii="Palatino Linotype" w:hAnsi="Palatino Linotype"/>
          <w:i/>
        </w:rPr>
      </w:pPr>
      <w:r w:rsidRPr="00AE0EBD">
        <w:rPr>
          <w:rFonts w:ascii="Palatino Linotype" w:hAnsi="Palatino Linotype"/>
          <w:i/>
        </w:rPr>
        <w:t>“</w:t>
      </w:r>
      <w:r w:rsidRPr="00AE0EBD">
        <w:rPr>
          <w:rFonts w:ascii="Palatino Linotype" w:hAnsi="Palatino Linotype"/>
          <w:b/>
          <w:i/>
        </w:rPr>
        <w:t>Artículo 21.-</w:t>
      </w:r>
      <w:r w:rsidRPr="00AE0EBD">
        <w:rPr>
          <w:rFonts w:ascii="Palatino Linotype" w:hAnsi="Palatino Linotype"/>
          <w:i/>
        </w:rPr>
        <w:t xml:space="preserve"> </w:t>
      </w:r>
      <w:r w:rsidRPr="00AE0EBD">
        <w:rPr>
          <w:rFonts w:ascii="Palatino Linotype" w:hAnsi="Palatino Linotype"/>
          <w:b/>
          <w:i/>
          <w:u w:val="single"/>
        </w:rPr>
        <w:t>La consulta</w:t>
      </w:r>
      <w:r w:rsidRPr="00AE0EBD">
        <w:rPr>
          <w:rFonts w:ascii="Palatino Linotype" w:hAnsi="Palatino Linotype"/>
          <w:i/>
        </w:rPr>
        <w:t xml:space="preserve"> a través del Sistema Informático, </w:t>
      </w:r>
      <w:r w:rsidRPr="00AE0EBD">
        <w:rPr>
          <w:rFonts w:ascii="Palatino Linotype" w:hAnsi="Palatino Linotype"/>
          <w:b/>
          <w:i/>
          <w:u w:val="single"/>
        </w:rPr>
        <w:t>se realizará con las medidas de seguridad que impidan alterar, modificar o suprimir los contenidos registrales</w:t>
      </w:r>
      <w:r w:rsidRPr="00AE0EBD">
        <w:rPr>
          <w:rFonts w:ascii="Palatino Linotype" w:hAnsi="Palatino Linotype"/>
          <w:i/>
          <w:u w:val="single"/>
        </w:rPr>
        <w:t>.</w:t>
      </w:r>
      <w:r w:rsidRPr="00AE0EBD">
        <w:rPr>
          <w:rFonts w:ascii="Palatino Linotype" w:hAnsi="Palatino Linotype"/>
          <w:i/>
        </w:rPr>
        <w:t xml:space="preserve"> La violación de lo señalado en el párrafo anterior será sancionada en términos de los ordenamientos legales correspondientes. </w:t>
      </w:r>
    </w:p>
    <w:p w:rsidR="00120DAA" w:rsidRPr="00AE0EBD" w:rsidRDefault="00120DAA" w:rsidP="00120DAA">
      <w:pPr>
        <w:spacing w:after="0" w:line="240" w:lineRule="auto"/>
        <w:ind w:left="567" w:right="567"/>
        <w:jc w:val="both"/>
        <w:rPr>
          <w:rFonts w:ascii="Palatino Linotype" w:hAnsi="Palatino Linotype"/>
          <w:i/>
        </w:rPr>
      </w:pPr>
    </w:p>
    <w:p w:rsidR="00120DAA" w:rsidRPr="00AE0EBD" w:rsidRDefault="00120DAA" w:rsidP="00120DAA">
      <w:pPr>
        <w:spacing w:after="0" w:line="240" w:lineRule="auto"/>
        <w:ind w:left="567" w:right="567"/>
        <w:jc w:val="both"/>
        <w:rPr>
          <w:rFonts w:ascii="Palatino Linotype" w:hAnsi="Palatino Linotype"/>
          <w:i/>
        </w:rPr>
      </w:pPr>
      <w:r w:rsidRPr="00AE0EBD">
        <w:rPr>
          <w:rFonts w:ascii="Palatino Linotype" w:hAnsi="Palatino Linotype"/>
          <w:b/>
          <w:i/>
        </w:rPr>
        <w:t>Artículo 24.-</w:t>
      </w:r>
      <w:r w:rsidRPr="00AE0EBD">
        <w:rPr>
          <w:rFonts w:ascii="Palatino Linotype" w:hAnsi="Palatino Linotype"/>
          <w:i/>
        </w:rPr>
        <w:t xml:space="preserve"> </w:t>
      </w:r>
      <w:r w:rsidRPr="00AE0EBD">
        <w:rPr>
          <w:rFonts w:ascii="Palatino Linotype" w:hAnsi="Palatino Linotype"/>
          <w:b/>
          <w:i/>
          <w:u w:val="single"/>
        </w:rPr>
        <w:t>La información contenida en los folios electrónicos, apéndices e índices y demás documentos relacionados será pública; los interesados podrán consultar las inscripciones contenidas en ellos en las Oficinas Registrales o en los medios informáticos que se dispongan para tal efecto y se sujetarán a los siguientes lineamientos</w:t>
      </w:r>
      <w:r w:rsidRPr="00AE0EBD">
        <w:rPr>
          <w:rFonts w:ascii="Palatino Linotype" w:hAnsi="Palatino Linotype"/>
          <w:i/>
        </w:rPr>
        <w:t>:</w:t>
      </w:r>
    </w:p>
    <w:p w:rsidR="00120DAA" w:rsidRPr="00AE0EBD" w:rsidRDefault="00120DAA" w:rsidP="00120DAA">
      <w:pPr>
        <w:spacing w:after="0" w:line="240" w:lineRule="auto"/>
        <w:ind w:left="567" w:right="567"/>
        <w:jc w:val="both"/>
        <w:rPr>
          <w:rFonts w:ascii="Palatino Linotype" w:hAnsi="Palatino Linotype"/>
          <w:i/>
        </w:rPr>
      </w:pPr>
    </w:p>
    <w:p w:rsidR="00120DAA" w:rsidRPr="00AE0EBD" w:rsidRDefault="00120DAA" w:rsidP="00120DAA">
      <w:pPr>
        <w:pStyle w:val="Prrafodelista"/>
        <w:numPr>
          <w:ilvl w:val="0"/>
          <w:numId w:val="10"/>
        </w:numPr>
        <w:ind w:left="851" w:right="851" w:firstLine="0"/>
        <w:contextualSpacing/>
        <w:jc w:val="both"/>
        <w:rPr>
          <w:rFonts w:ascii="Palatino Linotype" w:hAnsi="Palatino Linotype"/>
          <w:i/>
          <w:sz w:val="22"/>
          <w:szCs w:val="22"/>
        </w:rPr>
      </w:pPr>
      <w:r w:rsidRPr="00AE0EBD">
        <w:rPr>
          <w:rFonts w:ascii="Palatino Linotype" w:hAnsi="Palatino Linotype"/>
          <w:b/>
          <w:i/>
          <w:sz w:val="22"/>
          <w:szCs w:val="22"/>
        </w:rPr>
        <w:lastRenderedPageBreak/>
        <w:t>Llenar los formatos de solicitud de información dispuestos para tal fin</w:t>
      </w:r>
      <w:r w:rsidRPr="00AE0EBD">
        <w:rPr>
          <w:rFonts w:ascii="Palatino Linotype" w:hAnsi="Palatino Linotype"/>
          <w:i/>
          <w:sz w:val="22"/>
          <w:szCs w:val="22"/>
        </w:rPr>
        <w:t xml:space="preserve">, en los que precisarán: el folio electrónico o antecedente registral, el apéndice o índice a consultar, presentando una identificación oficial, cuando corresponda. Dichos formatos se archivarán en un expediente que se llevará en cada una de las Oficinas Registrales; </w:t>
      </w:r>
    </w:p>
    <w:p w:rsidR="00120DAA" w:rsidRPr="00AE0EBD" w:rsidRDefault="00120DAA" w:rsidP="00120DAA">
      <w:pPr>
        <w:pStyle w:val="Prrafodelista"/>
        <w:numPr>
          <w:ilvl w:val="0"/>
          <w:numId w:val="10"/>
        </w:numPr>
        <w:ind w:left="851" w:right="851" w:firstLine="0"/>
        <w:contextualSpacing/>
        <w:jc w:val="both"/>
        <w:rPr>
          <w:rFonts w:ascii="Palatino Linotype" w:hAnsi="Palatino Linotype"/>
          <w:i/>
          <w:sz w:val="22"/>
          <w:szCs w:val="22"/>
        </w:rPr>
      </w:pPr>
      <w:r w:rsidRPr="00AE0EBD">
        <w:rPr>
          <w:rFonts w:ascii="Palatino Linotype" w:hAnsi="Palatino Linotype"/>
          <w:b/>
          <w:i/>
          <w:sz w:val="22"/>
          <w:szCs w:val="22"/>
        </w:rPr>
        <w:t xml:space="preserve"> Pagar los derechos correspondientes por la consulta</w:t>
      </w:r>
      <w:r w:rsidRPr="00AE0EBD">
        <w:rPr>
          <w:rFonts w:ascii="Palatino Linotype" w:hAnsi="Palatino Linotype"/>
          <w:i/>
          <w:sz w:val="22"/>
          <w:szCs w:val="22"/>
        </w:rPr>
        <w:t xml:space="preserve">; </w:t>
      </w:r>
    </w:p>
    <w:p w:rsidR="00120DAA" w:rsidRPr="00AE0EBD" w:rsidRDefault="00120DAA" w:rsidP="00120DAA">
      <w:pPr>
        <w:pStyle w:val="Prrafodelista"/>
        <w:numPr>
          <w:ilvl w:val="0"/>
          <w:numId w:val="10"/>
        </w:numPr>
        <w:ind w:left="851" w:right="851" w:firstLine="0"/>
        <w:contextualSpacing/>
        <w:jc w:val="both"/>
        <w:rPr>
          <w:rFonts w:ascii="Palatino Linotype" w:hAnsi="Palatino Linotype"/>
          <w:i/>
          <w:sz w:val="22"/>
          <w:szCs w:val="22"/>
        </w:rPr>
      </w:pPr>
      <w:r w:rsidRPr="00AE0EBD">
        <w:rPr>
          <w:rFonts w:ascii="Palatino Linotype" w:hAnsi="Palatino Linotype"/>
          <w:b/>
          <w:i/>
          <w:sz w:val="22"/>
          <w:szCs w:val="22"/>
        </w:rPr>
        <w:t xml:space="preserve"> Los apéndices, se proporcionarán únicamente cuando los datos que el interesado, desee consultar no se encuentren en el asiento respectivo</w:t>
      </w:r>
      <w:r w:rsidRPr="00AE0EBD">
        <w:rPr>
          <w:rFonts w:ascii="Palatino Linotype" w:hAnsi="Palatino Linotype"/>
          <w:i/>
          <w:sz w:val="22"/>
          <w:szCs w:val="22"/>
        </w:rPr>
        <w:t xml:space="preserve">; y </w:t>
      </w:r>
    </w:p>
    <w:p w:rsidR="00120DAA" w:rsidRPr="00AE0EBD" w:rsidRDefault="00120DAA" w:rsidP="00120DAA">
      <w:pPr>
        <w:pStyle w:val="Prrafodelista"/>
        <w:numPr>
          <w:ilvl w:val="0"/>
          <w:numId w:val="10"/>
        </w:numPr>
        <w:ind w:left="851" w:right="851" w:firstLine="0"/>
        <w:contextualSpacing/>
        <w:jc w:val="both"/>
        <w:rPr>
          <w:rFonts w:ascii="Palatino Linotype" w:hAnsi="Palatino Linotype"/>
          <w:i/>
          <w:sz w:val="22"/>
          <w:szCs w:val="22"/>
        </w:rPr>
      </w:pPr>
      <w:r w:rsidRPr="00AE0EBD">
        <w:rPr>
          <w:rFonts w:ascii="Palatino Linotype" w:hAnsi="Palatino Linotype"/>
          <w:i/>
          <w:sz w:val="22"/>
          <w:szCs w:val="22"/>
        </w:rPr>
        <w:t xml:space="preserve">  </w:t>
      </w:r>
      <w:r w:rsidRPr="00AE0EBD">
        <w:rPr>
          <w:rFonts w:ascii="Palatino Linotype" w:hAnsi="Palatino Linotype"/>
          <w:b/>
          <w:i/>
          <w:sz w:val="22"/>
          <w:szCs w:val="22"/>
        </w:rPr>
        <w:t>Las consultas en las Oficinas Registrales, solamente podrán realizarse durante los días hábiles que establezca el calendario oficial</w:t>
      </w:r>
      <w:r w:rsidRPr="00AE0EBD">
        <w:rPr>
          <w:rFonts w:ascii="Palatino Linotype" w:hAnsi="Palatino Linotype"/>
          <w:i/>
          <w:sz w:val="22"/>
          <w:szCs w:val="22"/>
        </w:rPr>
        <w:t xml:space="preserve"> publicado en el Periódico Oficial “Caceta del Gobierno”, en un horario de 9:00 a 15:00 horas.</w:t>
      </w:r>
    </w:p>
    <w:p w:rsidR="00120DAA" w:rsidRPr="00AE0EBD" w:rsidRDefault="00120DAA" w:rsidP="00120DAA">
      <w:pPr>
        <w:pStyle w:val="Prrafodelista"/>
        <w:spacing w:line="360" w:lineRule="auto"/>
        <w:ind w:left="851" w:right="851"/>
        <w:jc w:val="both"/>
        <w:rPr>
          <w:rFonts w:ascii="Palatino Linotype" w:hAnsi="Palatino Linotype"/>
          <w:i/>
          <w:sz w:val="22"/>
          <w:szCs w:val="22"/>
        </w:rPr>
      </w:pPr>
    </w:p>
    <w:p w:rsidR="00120DAA" w:rsidRPr="00AE0EBD" w:rsidRDefault="00120DAA" w:rsidP="00120DAA">
      <w:pPr>
        <w:pStyle w:val="Sinespaciado"/>
        <w:rPr>
          <w:sz w:val="8"/>
        </w:rPr>
      </w:pPr>
    </w:p>
    <w:p w:rsidR="00120DAA" w:rsidRPr="00AE0EBD" w:rsidRDefault="00120DAA" w:rsidP="00120DAA">
      <w:pPr>
        <w:spacing w:after="0" w:line="360" w:lineRule="auto"/>
        <w:ind w:right="49"/>
        <w:contextualSpacing/>
        <w:jc w:val="both"/>
        <w:rPr>
          <w:rFonts w:ascii="Palatino Linotype" w:eastAsia="MS Mincho" w:hAnsi="Palatino Linotype" w:cs="Times New Roman"/>
          <w:sz w:val="24"/>
          <w:szCs w:val="24"/>
          <w:lang w:val="es-ES_tradnl" w:eastAsia="es-ES"/>
        </w:rPr>
      </w:pPr>
      <w:r w:rsidRPr="00AE0EBD">
        <w:rPr>
          <w:rFonts w:ascii="Palatino Linotype" w:eastAsia="MS Mincho" w:hAnsi="Palatino Linotype" w:cs="Times New Roman"/>
          <w:sz w:val="24"/>
          <w:szCs w:val="24"/>
          <w:lang w:val="es-ES_tradnl" w:eastAsia="es-ES"/>
        </w:rPr>
        <w:t xml:space="preserve">De lo anterior, se observa que el Instituto de la Función Registral del Estado de México a través de su Sistema Informático Integral, permite el acceso a consultar el acervo registral siempre y </w:t>
      </w:r>
      <w:r w:rsidRPr="00AE0EBD">
        <w:rPr>
          <w:rFonts w:ascii="Palatino Linotype" w:eastAsia="MS Mincho" w:hAnsi="Palatino Linotype" w:cs="Times New Roman"/>
          <w:b/>
          <w:sz w:val="24"/>
          <w:szCs w:val="24"/>
          <w:u w:val="single"/>
          <w:lang w:val="es-ES_tradnl" w:eastAsia="es-ES"/>
        </w:rPr>
        <w:t>cuando se cumpla con una serie de requisitos entre ellos</w:t>
      </w:r>
      <w:r w:rsidRPr="00AE0EBD">
        <w:rPr>
          <w:rFonts w:ascii="Palatino Linotype" w:eastAsia="MS Mincho" w:hAnsi="Palatino Linotype" w:cs="Times New Roman"/>
          <w:sz w:val="24"/>
          <w:szCs w:val="24"/>
          <w:lang w:val="es-ES_tradnl" w:eastAsia="es-ES"/>
        </w:rPr>
        <w:t xml:space="preserve">; </w:t>
      </w:r>
      <w:r w:rsidRPr="00AE0EBD">
        <w:rPr>
          <w:rFonts w:ascii="Palatino Linotype" w:eastAsia="MS Mincho" w:hAnsi="Palatino Linotype" w:cs="Times New Roman"/>
          <w:b/>
          <w:sz w:val="24"/>
          <w:szCs w:val="24"/>
          <w:u w:val="single"/>
          <w:lang w:val="es-ES_tradnl" w:eastAsia="es-ES"/>
        </w:rPr>
        <w:t>llenar la solicitud de lo que se va a consultar, pagar los derechos correspondientes, realizar la consulta en las Oficinas Registrales, durante los días hábiles y en el horario indicado, así como que los aprendices, serán proporcionados cuando los datos a consultar no se encuentre en los asientos.</w:t>
      </w:r>
    </w:p>
    <w:p w:rsidR="00120DAA" w:rsidRPr="00AE0EBD" w:rsidRDefault="00120DAA" w:rsidP="00120DAA">
      <w:pPr>
        <w:spacing w:after="0" w:line="360" w:lineRule="auto"/>
        <w:jc w:val="both"/>
        <w:rPr>
          <w:rFonts w:ascii="Palatino Linotype" w:eastAsia="Times New Roman" w:hAnsi="Palatino Linotype" w:cs="Arial"/>
          <w:color w:val="000000"/>
          <w:sz w:val="24"/>
          <w:szCs w:val="24"/>
          <w:lang w:val="es-ES_tradnl" w:eastAsia="es-MX"/>
        </w:rPr>
      </w:pPr>
    </w:p>
    <w:p w:rsidR="00120DAA" w:rsidRPr="00AE0EBD" w:rsidRDefault="00120DAA" w:rsidP="00120DAA">
      <w:pPr>
        <w:spacing w:after="0" w:line="360" w:lineRule="auto"/>
        <w:jc w:val="both"/>
        <w:rPr>
          <w:rFonts w:ascii="Palatino Linotype" w:eastAsia="Times New Roman" w:hAnsi="Palatino Linotype" w:cs="Arial"/>
          <w:color w:val="000000"/>
          <w:sz w:val="24"/>
          <w:szCs w:val="24"/>
          <w:lang w:val="es-ES_tradnl" w:eastAsia="es-MX"/>
        </w:rPr>
      </w:pPr>
      <w:r w:rsidRPr="00AE0EBD">
        <w:rPr>
          <w:rFonts w:ascii="Palatino Linotype" w:eastAsia="Times New Roman" w:hAnsi="Palatino Linotype" w:cs="Arial"/>
          <w:color w:val="000000"/>
          <w:sz w:val="24"/>
          <w:szCs w:val="24"/>
          <w:lang w:val="es-ES_tradnl" w:eastAsia="es-MX"/>
        </w:rPr>
        <w:t xml:space="preserve">De lo explicado con anterioridad y conforme a las disposiciones citadas, se le hace de conocimiento al particular que este Órgano Garante advierte que dicha solicitud no constituye un derecho de acceso a la información pública, </w:t>
      </w:r>
      <w:r w:rsidRPr="00AE0EBD">
        <w:rPr>
          <w:rFonts w:ascii="Palatino Linotype" w:eastAsia="Times New Roman" w:hAnsi="Palatino Linotype" w:cs="Arial"/>
          <w:b/>
          <w:color w:val="000000"/>
          <w:sz w:val="24"/>
          <w:szCs w:val="24"/>
          <w:u w:val="single"/>
          <w:lang w:val="es-ES_tradnl" w:eastAsia="es-MX"/>
        </w:rPr>
        <w:t>sino más bien, refiere a un trámite, por lo que el solicitante deberá realizar dicho trámite de manera presencial ante el Sujeto Obligado</w:t>
      </w:r>
      <w:r w:rsidRPr="00AE0EBD">
        <w:rPr>
          <w:rFonts w:ascii="Palatino Linotype" w:eastAsia="Times New Roman" w:hAnsi="Palatino Linotype" w:cs="Arial"/>
          <w:color w:val="000000"/>
          <w:sz w:val="24"/>
          <w:szCs w:val="24"/>
          <w:lang w:val="es-ES_tradnl" w:eastAsia="es-MX"/>
        </w:rPr>
        <w:t xml:space="preserve"> para poder allegarse de la información que refiere en su solicitud de información, conforme a los requisitos y procedimientos establecidos para la obtención de la misma. Es por ello que la vía que intenta ejercer el solicitante </w:t>
      </w:r>
      <w:r w:rsidRPr="00AE0EBD">
        <w:rPr>
          <w:rFonts w:ascii="Palatino Linotype" w:eastAsia="Times New Roman" w:hAnsi="Palatino Linotype" w:cs="Arial"/>
          <w:color w:val="000000"/>
          <w:sz w:val="24"/>
          <w:szCs w:val="24"/>
          <w:lang w:val="es-ES_tradnl" w:eastAsia="es-MX"/>
        </w:rPr>
        <w:lastRenderedPageBreak/>
        <w:t xml:space="preserve">denominada de </w:t>
      </w:r>
      <w:r w:rsidRPr="00AE0EBD">
        <w:rPr>
          <w:rFonts w:ascii="Palatino Linotype" w:eastAsia="Times New Roman" w:hAnsi="Palatino Linotype" w:cs="Arial"/>
          <w:i/>
          <w:color w:val="000000"/>
          <w:sz w:val="24"/>
          <w:szCs w:val="24"/>
          <w:lang w:val="es-ES_tradnl" w:eastAsia="es-MX"/>
        </w:rPr>
        <w:t>“acceso a la información pública”</w:t>
      </w:r>
      <w:r w:rsidRPr="00AE0EBD">
        <w:rPr>
          <w:rFonts w:ascii="Palatino Linotype" w:eastAsia="Times New Roman" w:hAnsi="Palatino Linotype" w:cs="Arial"/>
          <w:color w:val="000000"/>
          <w:sz w:val="24"/>
          <w:szCs w:val="24"/>
          <w:lang w:val="es-ES_tradnl" w:eastAsia="es-MX"/>
        </w:rPr>
        <w:t>, no es la idónea para allegarse de la información materia de la solicitud.</w:t>
      </w:r>
    </w:p>
    <w:p w:rsidR="00120DAA" w:rsidRPr="00AE0EBD" w:rsidRDefault="00120DAA" w:rsidP="00120DAA">
      <w:pPr>
        <w:spacing w:after="0" w:line="360" w:lineRule="auto"/>
        <w:jc w:val="both"/>
        <w:rPr>
          <w:rFonts w:ascii="Palatino Linotype" w:hAnsi="Palatino Linotype" w:cs="Arial"/>
          <w:bCs/>
          <w:sz w:val="24"/>
        </w:rPr>
      </w:pPr>
    </w:p>
    <w:p w:rsidR="00120DAA" w:rsidRPr="00AE0EBD" w:rsidRDefault="00120DAA" w:rsidP="00120DAA">
      <w:pPr>
        <w:spacing w:after="0" w:line="360" w:lineRule="auto"/>
        <w:jc w:val="both"/>
        <w:rPr>
          <w:rFonts w:ascii="Palatino Linotype" w:hAnsi="Palatino Linotype" w:cs="Arial"/>
          <w:bCs/>
          <w:sz w:val="24"/>
        </w:rPr>
      </w:pPr>
      <w:r w:rsidRPr="00AE0EBD">
        <w:rPr>
          <w:rFonts w:ascii="Palatino Linotype" w:hAnsi="Palatino Linotype" w:cs="Arial"/>
          <w:bCs/>
          <w:sz w:val="24"/>
        </w:rPr>
        <w:t xml:space="preserve">De esta guisa se desprende que la institución que conoce de la información solicitada es el </w:t>
      </w:r>
      <w:r w:rsidRPr="00AE0EBD">
        <w:rPr>
          <w:rFonts w:ascii="Palatino Linotype" w:hAnsi="Palatino Linotype" w:cs="Arial"/>
          <w:b/>
          <w:bCs/>
          <w:sz w:val="24"/>
        </w:rPr>
        <w:t>Instituto de la Función Registral del Estado de México (IFREM)</w:t>
      </w:r>
      <w:r w:rsidRPr="00AE0EBD">
        <w:rPr>
          <w:rFonts w:ascii="Palatino Linotype" w:hAnsi="Palatino Linotype" w:cs="Arial"/>
          <w:bCs/>
          <w:sz w:val="24"/>
        </w:rPr>
        <w:t>, toda vez que cuenta con las facultades otorgadas por la ley para ello.</w:t>
      </w:r>
    </w:p>
    <w:p w:rsidR="00120DAA" w:rsidRPr="00AE0EBD" w:rsidRDefault="00120DAA" w:rsidP="00120DAA">
      <w:pPr>
        <w:spacing w:after="0" w:line="360" w:lineRule="auto"/>
        <w:jc w:val="both"/>
        <w:rPr>
          <w:rFonts w:ascii="Palatino Linotype" w:eastAsia="Calibri" w:hAnsi="Palatino Linotype" w:cs="Arial"/>
          <w:sz w:val="24"/>
        </w:rPr>
      </w:pPr>
    </w:p>
    <w:p w:rsidR="00120DAA" w:rsidRPr="00AE0EBD" w:rsidRDefault="00120DAA" w:rsidP="00120DAA">
      <w:pPr>
        <w:spacing w:after="0" w:line="360" w:lineRule="auto"/>
        <w:jc w:val="both"/>
        <w:rPr>
          <w:rFonts w:ascii="Palatino Linotype" w:hAnsi="Palatino Linotype" w:cs="Arial"/>
          <w:sz w:val="24"/>
        </w:rPr>
      </w:pPr>
      <w:r w:rsidRPr="00AE0EBD">
        <w:rPr>
          <w:rFonts w:ascii="Palatino Linotype" w:eastAsia="Calibri" w:hAnsi="Palatino Linotype" w:cs="Arial"/>
          <w:sz w:val="24"/>
        </w:rPr>
        <w:t xml:space="preserve">Finalmente, en virtud que la incompetencia declarada por </w:t>
      </w:r>
      <w:r w:rsidRPr="00AE0EBD">
        <w:rPr>
          <w:rFonts w:ascii="Palatino Linotype" w:eastAsia="Calibri" w:hAnsi="Palatino Linotype" w:cs="Arial"/>
          <w:b/>
          <w:sz w:val="24"/>
        </w:rPr>
        <w:t>El Sujeto Obligado</w:t>
      </w:r>
      <w:r w:rsidRPr="00AE0EBD">
        <w:rPr>
          <w:rFonts w:ascii="Palatino Linotype" w:eastAsia="Calibri" w:hAnsi="Palatino Linotype" w:cs="Arial"/>
          <w:sz w:val="24"/>
        </w:rPr>
        <w:t xml:space="preserve"> no encontró ajustada al contenido del diverso 167, de la Ley de Transparencia y Acceso a la Información Pública del Estado de México y Municipios, el cual establece que cuando las unidades de transparencia determinen la notoria incompetencia por parte de los sujetos obligados, dentro del ámbito de aplicación, para atender la solicitud de acceso a la </w:t>
      </w:r>
      <w:r w:rsidRPr="00AE0EBD">
        <w:rPr>
          <w:rFonts w:ascii="Palatino Linotype" w:hAnsi="Palatino Linotype" w:cs="Arial"/>
          <w:sz w:val="24"/>
        </w:rPr>
        <w:t xml:space="preserve">información, </w:t>
      </w:r>
      <w:r w:rsidRPr="00AE0EBD">
        <w:rPr>
          <w:rFonts w:ascii="Palatino Linotype" w:hAnsi="Palatino Linotype" w:cs="Arial"/>
          <w:b/>
          <w:sz w:val="24"/>
          <w:u w:val="single"/>
        </w:rPr>
        <w:t>deberán comunicarlo al solicitante, dentro de los tres días hábiles posteriores a la recepción de la solicitud y, en su caso orientar al solicitante, el o los sujetos obligados competentes</w:t>
      </w:r>
      <w:r w:rsidRPr="00AE0EBD">
        <w:rPr>
          <w:rFonts w:ascii="Palatino Linotype" w:hAnsi="Palatino Linotype" w:cs="Arial"/>
          <w:sz w:val="24"/>
        </w:rPr>
        <w:t xml:space="preserve">. </w:t>
      </w:r>
    </w:p>
    <w:p w:rsidR="00120DAA" w:rsidRPr="00AE0EBD" w:rsidRDefault="00120DAA" w:rsidP="00120DAA">
      <w:pPr>
        <w:spacing w:after="0" w:line="360" w:lineRule="auto"/>
        <w:jc w:val="both"/>
        <w:rPr>
          <w:rFonts w:ascii="Palatino Linotype" w:hAnsi="Palatino Linotype" w:cs="Arial"/>
          <w:sz w:val="24"/>
        </w:rPr>
      </w:pPr>
    </w:p>
    <w:p w:rsidR="00120DAA" w:rsidRPr="00AE0EBD" w:rsidRDefault="00120DAA" w:rsidP="00120DAA">
      <w:pPr>
        <w:spacing w:after="0" w:line="360" w:lineRule="auto"/>
        <w:jc w:val="both"/>
        <w:rPr>
          <w:rFonts w:ascii="Palatino Linotype" w:hAnsi="Palatino Linotype" w:cs="Arial"/>
          <w:bCs/>
          <w:sz w:val="24"/>
        </w:rPr>
      </w:pPr>
      <w:r w:rsidRPr="00AE0EBD">
        <w:rPr>
          <w:rFonts w:ascii="Palatino Linotype" w:hAnsi="Palatino Linotype" w:cs="Arial"/>
          <w:sz w:val="24"/>
        </w:rPr>
        <w:t xml:space="preserve">Situación que se insiste no fue prevista por </w:t>
      </w:r>
      <w:r w:rsidRPr="00AE0EBD">
        <w:rPr>
          <w:rFonts w:ascii="Palatino Linotype" w:hAnsi="Palatino Linotype" w:cs="Arial"/>
          <w:b/>
          <w:sz w:val="24"/>
        </w:rPr>
        <w:t>El Sujeto Obligado</w:t>
      </w:r>
      <w:r w:rsidRPr="00AE0EBD">
        <w:rPr>
          <w:rFonts w:ascii="Palatino Linotype" w:hAnsi="Palatino Linotype" w:cs="Arial"/>
          <w:sz w:val="24"/>
        </w:rPr>
        <w:t xml:space="preserve"> ya que su respuesta fue proporcionada al </w:t>
      </w:r>
      <w:r w:rsidRPr="00AE0EBD">
        <w:rPr>
          <w:rFonts w:ascii="Palatino Linotype" w:hAnsi="Palatino Linotype" w:cs="Arial"/>
          <w:b/>
          <w:i/>
          <w:sz w:val="24"/>
        </w:rPr>
        <w:t>décimo quinto día hábil</w:t>
      </w:r>
      <w:r w:rsidRPr="00AE0EBD">
        <w:rPr>
          <w:rFonts w:ascii="Palatino Linotype" w:hAnsi="Palatino Linotype" w:cs="Arial"/>
          <w:sz w:val="24"/>
        </w:rPr>
        <w:t xml:space="preserve"> de aquel en el que tuvo conocimiento de la información.</w:t>
      </w:r>
    </w:p>
    <w:p w:rsidR="00120DAA" w:rsidRPr="00AE0EBD" w:rsidRDefault="00120DAA" w:rsidP="00120DAA">
      <w:pPr>
        <w:spacing w:after="0" w:line="360" w:lineRule="auto"/>
        <w:jc w:val="both"/>
        <w:rPr>
          <w:rFonts w:ascii="Palatino Linotype" w:eastAsia="Calibri" w:hAnsi="Palatino Linotype" w:cs="Arial"/>
          <w:sz w:val="24"/>
        </w:rPr>
      </w:pPr>
    </w:p>
    <w:p w:rsidR="00120DAA" w:rsidRPr="00AE0EBD" w:rsidRDefault="00120DAA" w:rsidP="00120DAA">
      <w:pPr>
        <w:spacing w:after="0" w:line="360" w:lineRule="auto"/>
        <w:jc w:val="both"/>
        <w:rPr>
          <w:rFonts w:ascii="Palatino Linotype" w:eastAsia="Calibri" w:hAnsi="Palatino Linotype" w:cs="Arial"/>
          <w:sz w:val="24"/>
        </w:rPr>
      </w:pPr>
      <w:r w:rsidRPr="00AE0EBD">
        <w:rPr>
          <w:rFonts w:ascii="Palatino Linotype" w:eastAsia="Calibri" w:hAnsi="Palatino Linotype" w:cs="Arial"/>
          <w:sz w:val="24"/>
        </w:rPr>
        <w:t xml:space="preserve">En consecuencia, el </w:t>
      </w:r>
      <w:r w:rsidRPr="00AE0EBD">
        <w:rPr>
          <w:rFonts w:ascii="Palatino Linotype" w:eastAsia="Calibri" w:hAnsi="Palatino Linotype" w:cs="Arial"/>
          <w:b/>
          <w:sz w:val="24"/>
        </w:rPr>
        <w:t>Sujeto Obligado</w:t>
      </w:r>
      <w:r w:rsidRPr="00AE0EBD">
        <w:rPr>
          <w:rFonts w:ascii="Palatino Linotype" w:eastAsia="Calibri" w:hAnsi="Palatino Linotype" w:cs="Arial"/>
          <w:sz w:val="24"/>
        </w:rPr>
        <w:t xml:space="preserve"> deberá atender el contenido del artículo 49, de la citada ley, para efectos de que sea declarada por parte del Comité de Transparencia la incompetencia a la que se hace referencia en la respuesta proporcionada. </w:t>
      </w:r>
    </w:p>
    <w:p w:rsidR="00120DAA" w:rsidRPr="00AE0EBD" w:rsidRDefault="00120DAA" w:rsidP="00120DAA">
      <w:pPr>
        <w:pStyle w:val="Sinespaciado"/>
        <w:rPr>
          <w:rFonts w:eastAsia="Calibri"/>
        </w:rPr>
      </w:pPr>
    </w:p>
    <w:p w:rsidR="00120DAA" w:rsidRPr="00AE0EBD" w:rsidRDefault="00120DAA" w:rsidP="00120DAA">
      <w:pPr>
        <w:pStyle w:val="Sinespaciado"/>
        <w:rPr>
          <w:rFonts w:eastAsia="Calibri"/>
        </w:rPr>
      </w:pPr>
    </w:p>
    <w:p w:rsidR="00120DAA" w:rsidRPr="00AE0EBD" w:rsidRDefault="00120DAA" w:rsidP="00120DAA">
      <w:pPr>
        <w:pStyle w:val="Sinespaciado"/>
        <w:rPr>
          <w:rFonts w:eastAsia="Calibri"/>
        </w:rPr>
      </w:pPr>
    </w:p>
    <w:p w:rsidR="00120DAA" w:rsidRPr="00AE0EBD" w:rsidRDefault="00120DAA" w:rsidP="00120DAA">
      <w:pPr>
        <w:autoSpaceDE w:val="0"/>
        <w:autoSpaceDN w:val="0"/>
        <w:adjustRightInd w:val="0"/>
        <w:ind w:left="851" w:right="899"/>
        <w:jc w:val="both"/>
        <w:rPr>
          <w:rFonts w:ascii="Palatino Linotype" w:hAnsi="Palatino Linotype" w:cs="Arial"/>
          <w:i/>
        </w:rPr>
      </w:pPr>
      <w:r w:rsidRPr="00AE0EBD">
        <w:rPr>
          <w:rFonts w:ascii="Palatino Linotype" w:hAnsi="Palatino Linotype" w:cs="Arial"/>
          <w:b/>
          <w:bCs/>
          <w:i/>
        </w:rPr>
        <w:lastRenderedPageBreak/>
        <w:t xml:space="preserve">“Artículo 49. </w:t>
      </w:r>
      <w:r w:rsidRPr="00AE0EBD">
        <w:rPr>
          <w:rFonts w:ascii="Palatino Linotype" w:hAnsi="Palatino Linotype" w:cs="Arial"/>
          <w:i/>
        </w:rPr>
        <w:t>Los Comités de Transparencia tendrán las siguientes atribuciones:</w:t>
      </w:r>
    </w:p>
    <w:p w:rsidR="00120DAA" w:rsidRPr="00AE0EBD" w:rsidRDefault="00120DAA" w:rsidP="00120DAA">
      <w:pPr>
        <w:autoSpaceDE w:val="0"/>
        <w:autoSpaceDN w:val="0"/>
        <w:adjustRightInd w:val="0"/>
        <w:ind w:left="851" w:right="899"/>
        <w:jc w:val="both"/>
        <w:rPr>
          <w:rFonts w:ascii="Palatino Linotype" w:hAnsi="Palatino Linotype" w:cs="Arial"/>
          <w:i/>
        </w:rPr>
      </w:pPr>
      <w:r w:rsidRPr="00AE0EBD">
        <w:rPr>
          <w:rFonts w:ascii="Palatino Linotype" w:hAnsi="Palatino Linotype" w:cs="Arial"/>
          <w:b/>
          <w:bCs/>
          <w:i/>
        </w:rPr>
        <w:t xml:space="preserve">I. </w:t>
      </w:r>
      <w:r w:rsidRPr="00AE0EBD">
        <w:rPr>
          <w:rFonts w:ascii="Palatino Linotype" w:hAnsi="Palatino Linotype" w:cs="Arial"/>
          <w:i/>
        </w:rPr>
        <w:t>Instituir, coordinar y supervisar en términos de las disposiciones aplicables, las acciones, medidas y procedimientos que coadyuven a asegurar una mayor eficacia en la gestión y atención de las solicitudes en materia de acceso a la información;</w:t>
      </w:r>
    </w:p>
    <w:p w:rsidR="00120DAA" w:rsidRPr="00AE0EBD" w:rsidRDefault="00120DAA" w:rsidP="00120DAA">
      <w:pPr>
        <w:autoSpaceDE w:val="0"/>
        <w:autoSpaceDN w:val="0"/>
        <w:adjustRightInd w:val="0"/>
        <w:ind w:left="851" w:right="899"/>
        <w:jc w:val="both"/>
        <w:rPr>
          <w:rFonts w:ascii="Palatino Linotype" w:hAnsi="Palatino Linotype" w:cs="Arial"/>
          <w:i/>
        </w:rPr>
      </w:pPr>
      <w:r w:rsidRPr="00AE0EBD">
        <w:rPr>
          <w:rFonts w:ascii="Palatino Linotype" w:hAnsi="Palatino Linotype" w:cs="Arial"/>
          <w:b/>
          <w:bCs/>
          <w:i/>
        </w:rPr>
        <w:t xml:space="preserve">II. </w:t>
      </w:r>
      <w:r w:rsidRPr="00AE0EBD">
        <w:rPr>
          <w:rFonts w:ascii="Palatino Linotype" w:hAnsi="Palatino Linotype" w:cs="Arial"/>
          <w:i/>
        </w:rPr>
        <w:t xml:space="preserve">Confirmar, modificar o revocar las determinaciones que en materia de ampliación del plazo de respuesta, clasificación de la información y declaración de inexistencia </w:t>
      </w:r>
      <w:r w:rsidRPr="00AE0EBD">
        <w:rPr>
          <w:rFonts w:ascii="Palatino Linotype" w:hAnsi="Palatino Linotype" w:cs="Arial"/>
          <w:b/>
          <w:i/>
        </w:rPr>
        <w:t xml:space="preserve">o </w:t>
      </w:r>
      <w:r w:rsidRPr="00AE0EBD">
        <w:rPr>
          <w:rFonts w:ascii="Palatino Linotype" w:hAnsi="Palatino Linotype" w:cs="Arial"/>
          <w:b/>
          <w:i/>
          <w:u w:val="single"/>
        </w:rPr>
        <w:t>de incompetencia realicen los titulares de las áreas de los sujetos obligados</w:t>
      </w:r>
      <w:r w:rsidRPr="00AE0EBD">
        <w:rPr>
          <w:rFonts w:ascii="Palatino Linotype" w:hAnsi="Palatino Linotype" w:cs="Arial"/>
          <w:i/>
        </w:rPr>
        <w:t>;</w:t>
      </w:r>
    </w:p>
    <w:p w:rsidR="00120DAA" w:rsidRPr="00AE0EBD" w:rsidRDefault="00120DAA" w:rsidP="00120DAA">
      <w:pPr>
        <w:autoSpaceDE w:val="0"/>
        <w:autoSpaceDN w:val="0"/>
        <w:adjustRightInd w:val="0"/>
        <w:ind w:left="851" w:right="899"/>
        <w:jc w:val="both"/>
        <w:rPr>
          <w:rFonts w:ascii="Palatino Linotype" w:hAnsi="Palatino Linotype" w:cs="Arial"/>
          <w:i/>
        </w:rPr>
      </w:pPr>
      <w:r w:rsidRPr="00AE0EBD">
        <w:rPr>
          <w:rFonts w:ascii="Palatino Linotype" w:hAnsi="Palatino Linotype" w:cs="Arial"/>
          <w:bCs/>
          <w:i/>
        </w:rPr>
        <w:t>(…)</w:t>
      </w:r>
      <w:r w:rsidRPr="00AE0EBD">
        <w:rPr>
          <w:rFonts w:ascii="Palatino Linotype" w:hAnsi="Palatino Linotype" w:cs="Arial"/>
          <w:i/>
        </w:rPr>
        <w:t>”</w:t>
      </w:r>
    </w:p>
    <w:p w:rsidR="00120DAA" w:rsidRPr="00AE0EBD" w:rsidRDefault="00120DAA" w:rsidP="00120DAA">
      <w:pPr>
        <w:pStyle w:val="Sinespaciado"/>
        <w:rPr>
          <w:rFonts w:eastAsia="Calibri"/>
        </w:rPr>
      </w:pPr>
    </w:p>
    <w:p w:rsidR="00120DAA" w:rsidRPr="00AE0EBD" w:rsidRDefault="00120DAA" w:rsidP="00120DAA">
      <w:pPr>
        <w:spacing w:after="0" w:line="360" w:lineRule="auto"/>
        <w:jc w:val="both"/>
        <w:rPr>
          <w:rFonts w:ascii="Palatino Linotype" w:eastAsia="Calibri" w:hAnsi="Palatino Linotype" w:cs="Arial"/>
          <w:sz w:val="24"/>
        </w:rPr>
      </w:pPr>
      <w:r w:rsidRPr="00AE0EBD">
        <w:rPr>
          <w:rFonts w:ascii="Palatino Linotype" w:eastAsia="Calibri" w:hAnsi="Palatino Linotype" w:cs="Arial"/>
          <w:sz w:val="24"/>
        </w:rPr>
        <w:t>Es de lo expuesto que el Comité de Transparencia debe confirmar la incompetencia que en el presente asunto encuadra en el supuesto de la Ley.</w:t>
      </w:r>
    </w:p>
    <w:p w:rsidR="00120DAA" w:rsidRPr="00AE0EBD" w:rsidRDefault="00120DAA" w:rsidP="00120DAA">
      <w:pPr>
        <w:pStyle w:val="Sinespaciado"/>
        <w:spacing w:line="360" w:lineRule="auto"/>
        <w:jc w:val="both"/>
        <w:rPr>
          <w:rFonts w:ascii="Palatino Linotype" w:hAnsi="Palatino Linotype"/>
        </w:rPr>
      </w:pPr>
    </w:p>
    <w:p w:rsidR="003B72C4" w:rsidRPr="00AE0EBD" w:rsidRDefault="003B72C4" w:rsidP="003B72C4">
      <w:pPr>
        <w:pStyle w:val="Prrafodelista"/>
        <w:numPr>
          <w:ilvl w:val="0"/>
          <w:numId w:val="2"/>
        </w:numPr>
        <w:spacing w:line="360" w:lineRule="auto"/>
        <w:jc w:val="both"/>
        <w:rPr>
          <w:rFonts w:ascii="Palatino Linotype" w:hAnsi="Palatino Linotype" w:cs="Arial"/>
          <w:b/>
          <w:i/>
          <w:sz w:val="28"/>
        </w:rPr>
      </w:pPr>
      <w:r w:rsidRPr="00AE0EBD">
        <w:rPr>
          <w:rFonts w:ascii="Palatino Linotype" w:hAnsi="Palatino Linotype" w:cs="Arial"/>
          <w:b/>
          <w:i/>
          <w:sz w:val="28"/>
        </w:rPr>
        <w:t>DE LA VERSIÓN PÚBLICA.</w:t>
      </w:r>
    </w:p>
    <w:p w:rsidR="003B72C4" w:rsidRPr="00AE0EBD" w:rsidRDefault="003B72C4" w:rsidP="003B72C4">
      <w:pPr>
        <w:spacing w:after="0" w:line="360" w:lineRule="auto"/>
        <w:jc w:val="both"/>
        <w:rPr>
          <w:rFonts w:ascii="Palatino Linotype" w:hAnsi="Palatino Linotype" w:cs="Arial"/>
          <w:sz w:val="24"/>
          <w:szCs w:val="24"/>
        </w:rPr>
      </w:pPr>
      <w:r w:rsidRPr="00AE0EBD">
        <w:rPr>
          <w:rFonts w:ascii="Palatino Linotype" w:hAnsi="Palatino Linotype" w:cs="Arial"/>
          <w:sz w:val="24"/>
          <w:szCs w:val="24"/>
        </w:rPr>
        <w:t>En la elaboración de la versión pública se deberá considera lo dispuesto en los artículos 3, fracciones IX, XX, XXI y XLV, 91 y 132, fracciones II y III, de la Ley de Transparencia y Acceso a la Información Pública del Estado de México y Municipios que establecen:</w:t>
      </w:r>
    </w:p>
    <w:p w:rsidR="003B72C4" w:rsidRPr="00AE0EBD" w:rsidRDefault="003B72C4" w:rsidP="003B72C4">
      <w:pPr>
        <w:spacing w:after="0" w:line="360" w:lineRule="auto"/>
        <w:jc w:val="both"/>
        <w:rPr>
          <w:rFonts w:ascii="Palatino Linotype" w:hAnsi="Palatino Linotype" w:cs="Arial"/>
          <w:sz w:val="24"/>
          <w:szCs w:val="24"/>
        </w:rPr>
      </w:pPr>
    </w:p>
    <w:p w:rsidR="003B72C4" w:rsidRPr="00AE0EBD" w:rsidRDefault="003B72C4" w:rsidP="003B72C4">
      <w:pPr>
        <w:spacing w:after="0" w:line="240" w:lineRule="auto"/>
        <w:ind w:left="567" w:right="567"/>
        <w:jc w:val="both"/>
        <w:rPr>
          <w:rFonts w:ascii="Palatino Linotype" w:hAnsi="Palatino Linotype" w:cs="Arial"/>
          <w:i/>
        </w:rPr>
      </w:pPr>
      <w:r w:rsidRPr="00AE0EBD">
        <w:rPr>
          <w:rFonts w:ascii="Palatino Linotype" w:hAnsi="Palatino Linotype" w:cs="Arial"/>
          <w:b/>
          <w:i/>
        </w:rPr>
        <w:t>Artículo 3.</w:t>
      </w:r>
      <w:r w:rsidRPr="00AE0EBD">
        <w:rPr>
          <w:rFonts w:ascii="Palatino Linotype" w:hAnsi="Palatino Linotype" w:cs="Arial"/>
          <w:i/>
        </w:rPr>
        <w:t xml:space="preserve"> Para los efectos de la presente Ley se entenderá por:</w:t>
      </w:r>
    </w:p>
    <w:p w:rsidR="003B72C4" w:rsidRPr="00AE0EBD" w:rsidRDefault="003B72C4" w:rsidP="003B72C4">
      <w:pPr>
        <w:spacing w:after="0" w:line="240" w:lineRule="auto"/>
        <w:ind w:left="567" w:right="567"/>
        <w:jc w:val="both"/>
        <w:rPr>
          <w:rFonts w:ascii="Palatino Linotype" w:hAnsi="Palatino Linotype" w:cs="Arial"/>
          <w:i/>
        </w:rPr>
      </w:pPr>
      <w:r w:rsidRPr="00AE0EBD">
        <w:rPr>
          <w:rFonts w:ascii="Palatino Linotype" w:hAnsi="Palatino Linotype" w:cs="Arial"/>
          <w:i/>
        </w:rPr>
        <w:t>[…]</w:t>
      </w:r>
    </w:p>
    <w:p w:rsidR="003B72C4" w:rsidRPr="00AE0EBD" w:rsidRDefault="003B72C4" w:rsidP="003B72C4">
      <w:pPr>
        <w:spacing w:after="0" w:line="240" w:lineRule="auto"/>
        <w:ind w:left="567" w:right="567"/>
        <w:jc w:val="both"/>
        <w:rPr>
          <w:rFonts w:ascii="Palatino Linotype" w:hAnsi="Palatino Linotype" w:cs="Arial"/>
          <w:i/>
        </w:rPr>
      </w:pPr>
      <w:r w:rsidRPr="00AE0EBD">
        <w:rPr>
          <w:rFonts w:ascii="Palatino Linotype" w:hAnsi="Palatino Linotype" w:cs="Arial"/>
          <w:b/>
          <w:i/>
        </w:rPr>
        <w:t>IX. Datos personales:</w:t>
      </w:r>
      <w:r w:rsidRPr="00AE0EBD">
        <w:rPr>
          <w:rFonts w:ascii="Palatino Linotype" w:hAnsi="Palatino Linotype" w:cs="Arial"/>
          <w:i/>
        </w:rPr>
        <w:t xml:space="preserve"> La información concerniente a una persona, identificada o identificable según lo dispuesto por la Ley de Protección de Datos Personales del Estado de México; </w:t>
      </w:r>
    </w:p>
    <w:p w:rsidR="003B72C4" w:rsidRPr="00AE0EBD" w:rsidRDefault="003B72C4" w:rsidP="003B72C4">
      <w:pPr>
        <w:spacing w:after="0" w:line="240" w:lineRule="auto"/>
        <w:ind w:left="567" w:right="567"/>
        <w:jc w:val="both"/>
        <w:rPr>
          <w:rFonts w:ascii="Palatino Linotype" w:hAnsi="Palatino Linotype" w:cs="Arial"/>
          <w:i/>
        </w:rPr>
      </w:pPr>
      <w:r w:rsidRPr="00AE0EBD">
        <w:rPr>
          <w:rFonts w:ascii="Palatino Linotype" w:hAnsi="Palatino Linotype" w:cs="Arial"/>
          <w:b/>
          <w:i/>
        </w:rPr>
        <w:t>XX.</w:t>
      </w:r>
      <w:r w:rsidRPr="00AE0EBD">
        <w:rPr>
          <w:rFonts w:ascii="Palatino Linotype" w:hAnsi="Palatino Linotype" w:cs="Arial"/>
          <w:i/>
        </w:rPr>
        <w:t xml:space="preserve"> </w:t>
      </w:r>
      <w:r w:rsidRPr="00AE0EBD">
        <w:rPr>
          <w:rFonts w:ascii="Palatino Linotype" w:hAnsi="Palatino Linotype" w:cs="Arial"/>
          <w:b/>
          <w:i/>
        </w:rPr>
        <w:t>Información clasificada:</w:t>
      </w:r>
      <w:r w:rsidRPr="00AE0EBD">
        <w:rPr>
          <w:rFonts w:ascii="Palatino Linotype" w:hAnsi="Palatino Linotype" w:cs="Arial"/>
          <w:i/>
        </w:rPr>
        <w:t xml:space="preserve"> Aquella considerada por la presente Ley como reservada o confidencial;</w:t>
      </w:r>
    </w:p>
    <w:p w:rsidR="003B72C4" w:rsidRPr="00AE0EBD" w:rsidRDefault="003B72C4" w:rsidP="003B72C4">
      <w:pPr>
        <w:spacing w:after="0" w:line="240" w:lineRule="auto"/>
        <w:ind w:left="567" w:right="567"/>
        <w:jc w:val="both"/>
        <w:rPr>
          <w:rFonts w:ascii="Palatino Linotype" w:hAnsi="Palatino Linotype" w:cs="Arial"/>
          <w:i/>
        </w:rPr>
      </w:pPr>
      <w:r w:rsidRPr="00AE0EBD">
        <w:rPr>
          <w:rFonts w:ascii="Palatino Linotype" w:hAnsi="Palatino Linotype" w:cs="Arial"/>
          <w:b/>
          <w:i/>
        </w:rPr>
        <w:t>XXI.</w:t>
      </w:r>
      <w:r w:rsidRPr="00AE0EBD">
        <w:rPr>
          <w:rFonts w:ascii="Palatino Linotype" w:hAnsi="Palatino Linotype" w:cs="Arial"/>
          <w:i/>
        </w:rPr>
        <w:t xml:space="preserve"> </w:t>
      </w:r>
      <w:r w:rsidRPr="00AE0EBD">
        <w:rPr>
          <w:rFonts w:ascii="Palatino Linotype" w:hAnsi="Palatino Linotype" w:cs="Arial"/>
          <w:b/>
          <w:i/>
        </w:rPr>
        <w:t>Información confidencial:</w:t>
      </w:r>
      <w:r w:rsidRPr="00AE0EBD">
        <w:rPr>
          <w:rFonts w:ascii="Palatino Linotype" w:hAnsi="Palatino Linotype" w:cs="Arial"/>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3B72C4" w:rsidRPr="00AE0EBD" w:rsidRDefault="003B72C4" w:rsidP="003B72C4">
      <w:pPr>
        <w:spacing w:after="0" w:line="240" w:lineRule="auto"/>
        <w:ind w:left="567" w:right="567"/>
        <w:jc w:val="both"/>
        <w:rPr>
          <w:rFonts w:ascii="Palatino Linotype" w:hAnsi="Palatino Linotype" w:cs="Arial"/>
          <w:i/>
        </w:rPr>
      </w:pPr>
      <w:r w:rsidRPr="00AE0EBD">
        <w:rPr>
          <w:rFonts w:ascii="Palatino Linotype" w:hAnsi="Palatino Linotype" w:cs="Arial"/>
          <w:b/>
          <w:i/>
        </w:rPr>
        <w:t>…</w:t>
      </w:r>
    </w:p>
    <w:p w:rsidR="003B72C4" w:rsidRPr="00AE0EBD" w:rsidRDefault="003B72C4" w:rsidP="003B72C4">
      <w:pPr>
        <w:spacing w:after="0" w:line="240" w:lineRule="auto"/>
        <w:ind w:left="567" w:right="567"/>
        <w:jc w:val="both"/>
        <w:rPr>
          <w:rFonts w:ascii="Palatino Linotype" w:hAnsi="Palatino Linotype" w:cs="Arial"/>
          <w:i/>
        </w:rPr>
      </w:pPr>
      <w:r w:rsidRPr="00AE0EBD">
        <w:rPr>
          <w:rFonts w:ascii="Palatino Linotype" w:hAnsi="Palatino Linotype" w:cs="Arial"/>
          <w:b/>
          <w:i/>
        </w:rPr>
        <w:t>XLV.</w:t>
      </w:r>
      <w:r w:rsidRPr="00AE0EBD">
        <w:rPr>
          <w:rFonts w:ascii="Palatino Linotype" w:hAnsi="Palatino Linotype" w:cs="Arial"/>
          <w:i/>
        </w:rPr>
        <w:t xml:space="preserve"> </w:t>
      </w:r>
      <w:r w:rsidRPr="00AE0EBD">
        <w:rPr>
          <w:rFonts w:ascii="Palatino Linotype" w:hAnsi="Palatino Linotype" w:cs="Arial"/>
          <w:b/>
          <w:i/>
        </w:rPr>
        <w:t>Versión pública:</w:t>
      </w:r>
      <w:r w:rsidRPr="00AE0EBD">
        <w:rPr>
          <w:rFonts w:ascii="Palatino Linotype" w:hAnsi="Palatino Linotype" w:cs="Arial"/>
          <w:i/>
        </w:rPr>
        <w:t xml:space="preserve"> Documento en el que se elimine, suprime o borra la información clasificada como reservada o confidencial para permitir su acceso.</w:t>
      </w:r>
    </w:p>
    <w:p w:rsidR="003B72C4" w:rsidRPr="00AE0EBD" w:rsidRDefault="003B72C4" w:rsidP="003B72C4">
      <w:pPr>
        <w:spacing w:after="0" w:line="240" w:lineRule="auto"/>
        <w:ind w:left="567" w:right="567"/>
        <w:jc w:val="both"/>
        <w:rPr>
          <w:rFonts w:ascii="Palatino Linotype" w:hAnsi="Palatino Linotype" w:cs="Arial"/>
          <w:i/>
        </w:rPr>
      </w:pPr>
      <w:r w:rsidRPr="00AE0EBD">
        <w:rPr>
          <w:rFonts w:ascii="Palatino Linotype" w:hAnsi="Palatino Linotype" w:cs="Arial"/>
          <w:i/>
        </w:rPr>
        <w:lastRenderedPageBreak/>
        <w:t>[…]</w:t>
      </w:r>
    </w:p>
    <w:p w:rsidR="003B72C4" w:rsidRPr="00AE0EBD" w:rsidRDefault="003B72C4" w:rsidP="003B72C4">
      <w:pPr>
        <w:spacing w:after="0" w:line="240" w:lineRule="auto"/>
        <w:ind w:left="567" w:right="567"/>
        <w:jc w:val="both"/>
        <w:rPr>
          <w:rFonts w:ascii="Palatino Linotype" w:hAnsi="Palatino Linotype" w:cs="Arial"/>
          <w:b/>
          <w:i/>
        </w:rPr>
      </w:pPr>
    </w:p>
    <w:p w:rsidR="003B72C4" w:rsidRPr="00AE0EBD" w:rsidRDefault="003B72C4" w:rsidP="003B72C4">
      <w:pPr>
        <w:spacing w:after="0" w:line="240" w:lineRule="auto"/>
        <w:ind w:left="567" w:right="567"/>
        <w:jc w:val="both"/>
        <w:rPr>
          <w:rFonts w:ascii="Palatino Linotype" w:hAnsi="Palatino Linotype" w:cs="Arial"/>
          <w:i/>
        </w:rPr>
      </w:pPr>
      <w:r w:rsidRPr="00AE0EBD">
        <w:rPr>
          <w:rFonts w:ascii="Palatino Linotype" w:hAnsi="Palatino Linotype" w:cs="Arial"/>
          <w:b/>
          <w:i/>
        </w:rPr>
        <w:t xml:space="preserve">Artículo 91. </w:t>
      </w:r>
      <w:r w:rsidRPr="00AE0EBD">
        <w:rPr>
          <w:rFonts w:ascii="Palatino Linotype" w:hAnsi="Palatino Linotype" w:cs="Arial"/>
          <w:i/>
        </w:rPr>
        <w:t>El acceso a la información pública será restringido excepcionalmente, cuando ésta sea clasificada como reservada o confidencial.</w:t>
      </w:r>
    </w:p>
    <w:p w:rsidR="003B72C4" w:rsidRPr="00AE0EBD" w:rsidRDefault="003B72C4" w:rsidP="003B72C4">
      <w:pPr>
        <w:spacing w:after="0" w:line="240" w:lineRule="auto"/>
        <w:ind w:left="567" w:right="567"/>
        <w:jc w:val="both"/>
        <w:rPr>
          <w:rFonts w:ascii="Palatino Linotype" w:hAnsi="Palatino Linotype" w:cs="Arial"/>
          <w:b/>
          <w:i/>
        </w:rPr>
      </w:pPr>
    </w:p>
    <w:p w:rsidR="003B72C4" w:rsidRPr="00AE0EBD" w:rsidRDefault="003B72C4" w:rsidP="003B72C4">
      <w:pPr>
        <w:spacing w:after="0" w:line="240" w:lineRule="auto"/>
        <w:ind w:left="567" w:right="567"/>
        <w:jc w:val="both"/>
        <w:rPr>
          <w:rFonts w:ascii="Palatino Linotype" w:hAnsi="Palatino Linotype" w:cs="Arial"/>
          <w:i/>
        </w:rPr>
      </w:pPr>
      <w:r w:rsidRPr="00AE0EBD">
        <w:rPr>
          <w:rFonts w:ascii="Palatino Linotype" w:hAnsi="Palatino Linotype" w:cs="Arial"/>
          <w:b/>
          <w:i/>
        </w:rPr>
        <w:t>Artículo 132.</w:t>
      </w:r>
      <w:r w:rsidRPr="00AE0EBD">
        <w:rPr>
          <w:rFonts w:ascii="Palatino Linotype" w:hAnsi="Palatino Linotype" w:cs="Arial"/>
          <w:i/>
        </w:rPr>
        <w:t xml:space="preserve"> </w:t>
      </w:r>
      <w:r w:rsidRPr="00AE0EBD">
        <w:rPr>
          <w:rFonts w:ascii="Palatino Linotype" w:hAnsi="Palatino Linotype" w:cs="Arial"/>
          <w:i/>
          <w:u w:val="single"/>
        </w:rPr>
        <w:t>La clasificación de la información se llevará a cabo en el momento en que</w:t>
      </w:r>
      <w:r w:rsidRPr="00AE0EBD">
        <w:rPr>
          <w:rFonts w:ascii="Palatino Linotype" w:hAnsi="Palatino Linotype" w:cs="Arial"/>
          <w:i/>
        </w:rPr>
        <w:t>:</w:t>
      </w:r>
    </w:p>
    <w:p w:rsidR="003B72C4" w:rsidRPr="00AE0EBD" w:rsidRDefault="003B72C4" w:rsidP="003B72C4">
      <w:pPr>
        <w:spacing w:after="0" w:line="240" w:lineRule="auto"/>
        <w:ind w:left="567" w:right="567"/>
        <w:jc w:val="both"/>
        <w:rPr>
          <w:rFonts w:ascii="Palatino Linotype" w:hAnsi="Palatino Linotype" w:cs="Arial"/>
          <w:i/>
        </w:rPr>
      </w:pPr>
      <w:r w:rsidRPr="00AE0EBD">
        <w:rPr>
          <w:rFonts w:ascii="Palatino Linotype" w:hAnsi="Palatino Linotype" w:cs="Arial"/>
          <w:b/>
          <w:i/>
        </w:rPr>
        <w:t>I.</w:t>
      </w:r>
      <w:r w:rsidRPr="00AE0EBD">
        <w:rPr>
          <w:rFonts w:ascii="Palatino Linotype" w:hAnsi="Palatino Linotype" w:cs="Arial"/>
          <w:i/>
        </w:rPr>
        <w:t xml:space="preserve"> Se reciba una solicitud de acceso a la información;</w:t>
      </w:r>
    </w:p>
    <w:p w:rsidR="003B72C4" w:rsidRPr="00AE0EBD" w:rsidRDefault="003B72C4" w:rsidP="003B72C4">
      <w:pPr>
        <w:spacing w:after="0" w:line="240" w:lineRule="auto"/>
        <w:ind w:left="567" w:right="567"/>
        <w:jc w:val="both"/>
        <w:rPr>
          <w:rFonts w:ascii="Palatino Linotype" w:hAnsi="Palatino Linotype" w:cs="Arial"/>
          <w:i/>
        </w:rPr>
      </w:pPr>
      <w:r w:rsidRPr="00AE0EBD">
        <w:rPr>
          <w:rFonts w:ascii="Palatino Linotype" w:hAnsi="Palatino Linotype" w:cs="Arial"/>
          <w:b/>
          <w:i/>
        </w:rPr>
        <w:t>II.</w:t>
      </w:r>
      <w:r w:rsidRPr="00AE0EBD">
        <w:rPr>
          <w:rFonts w:ascii="Palatino Linotype" w:hAnsi="Palatino Linotype" w:cs="Arial"/>
          <w:i/>
        </w:rPr>
        <w:t xml:space="preserve"> </w:t>
      </w:r>
      <w:r w:rsidRPr="00AE0EBD">
        <w:rPr>
          <w:rFonts w:ascii="Palatino Linotype" w:hAnsi="Palatino Linotype" w:cs="Arial"/>
          <w:i/>
          <w:u w:val="single"/>
        </w:rPr>
        <w:t>Se determine mediante resolución de autoridad competente; o</w:t>
      </w:r>
    </w:p>
    <w:p w:rsidR="003B72C4" w:rsidRPr="00AE0EBD" w:rsidRDefault="003B72C4" w:rsidP="003B72C4">
      <w:pPr>
        <w:spacing w:after="0" w:line="240" w:lineRule="auto"/>
        <w:ind w:left="567" w:right="567"/>
        <w:jc w:val="both"/>
        <w:rPr>
          <w:rFonts w:ascii="Palatino Linotype" w:hAnsi="Palatino Linotype" w:cs="Arial"/>
          <w:i/>
          <w:u w:val="single"/>
        </w:rPr>
      </w:pPr>
      <w:r w:rsidRPr="00AE0EBD">
        <w:rPr>
          <w:rFonts w:ascii="Palatino Linotype" w:hAnsi="Palatino Linotype" w:cs="Arial"/>
          <w:b/>
          <w:i/>
        </w:rPr>
        <w:t>III.</w:t>
      </w:r>
      <w:r w:rsidRPr="00AE0EBD">
        <w:rPr>
          <w:rFonts w:ascii="Palatino Linotype" w:hAnsi="Palatino Linotype" w:cs="Arial"/>
          <w:i/>
        </w:rPr>
        <w:t xml:space="preserve"> </w:t>
      </w:r>
      <w:r w:rsidRPr="00AE0EBD">
        <w:rPr>
          <w:rFonts w:ascii="Palatino Linotype" w:hAnsi="Palatino Linotype" w:cs="Arial"/>
          <w:i/>
          <w:u w:val="single"/>
        </w:rPr>
        <w:t>Se generen versiones públicas para dar cumplimiento a las obligaciones de transparencia previstas en esta Ley.</w:t>
      </w:r>
    </w:p>
    <w:p w:rsidR="003B72C4" w:rsidRPr="00AE0EBD" w:rsidRDefault="003B72C4" w:rsidP="003B72C4">
      <w:pPr>
        <w:spacing w:after="0" w:line="240" w:lineRule="auto"/>
        <w:ind w:left="567" w:right="567"/>
        <w:jc w:val="both"/>
        <w:rPr>
          <w:rFonts w:ascii="Palatino Linotype" w:hAnsi="Palatino Linotype" w:cs="Arial"/>
          <w:i/>
        </w:rPr>
      </w:pPr>
      <w:r w:rsidRPr="00AE0EBD">
        <w:rPr>
          <w:rFonts w:ascii="Palatino Linotype" w:hAnsi="Palatino Linotype" w:cs="Arial"/>
          <w:i/>
        </w:rPr>
        <w:t>[…]</w:t>
      </w:r>
    </w:p>
    <w:p w:rsidR="003B72C4" w:rsidRPr="00AE0EBD" w:rsidRDefault="003B72C4" w:rsidP="003B72C4">
      <w:pPr>
        <w:spacing w:after="0" w:line="360" w:lineRule="auto"/>
        <w:jc w:val="both"/>
        <w:rPr>
          <w:rFonts w:ascii="Palatino Linotype" w:hAnsi="Palatino Linotype" w:cs="Arial"/>
          <w:i/>
          <w:sz w:val="24"/>
          <w:szCs w:val="24"/>
        </w:rPr>
      </w:pPr>
    </w:p>
    <w:p w:rsidR="003B72C4" w:rsidRPr="00AE0EBD" w:rsidRDefault="003B72C4" w:rsidP="003B72C4">
      <w:pPr>
        <w:spacing w:after="0" w:line="360" w:lineRule="auto"/>
        <w:jc w:val="both"/>
        <w:rPr>
          <w:rFonts w:ascii="Palatino Linotype" w:hAnsi="Palatino Linotype" w:cs="Arial"/>
          <w:sz w:val="24"/>
          <w:szCs w:val="24"/>
        </w:rPr>
      </w:pPr>
      <w:r w:rsidRPr="00AE0EBD">
        <w:rPr>
          <w:rFonts w:ascii="Palatino Linotype" w:hAnsi="Palatino Linotype" w:cs="Arial"/>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3B72C4" w:rsidRPr="00AE0EBD" w:rsidRDefault="003B72C4" w:rsidP="003B72C4">
      <w:pPr>
        <w:spacing w:after="0" w:line="360" w:lineRule="auto"/>
        <w:jc w:val="both"/>
        <w:rPr>
          <w:rFonts w:ascii="Palatino Linotype" w:hAnsi="Palatino Linotype" w:cs="Arial"/>
          <w:sz w:val="24"/>
          <w:szCs w:val="24"/>
        </w:rPr>
      </w:pPr>
    </w:p>
    <w:p w:rsidR="003B72C4" w:rsidRPr="00AE0EBD" w:rsidRDefault="003B72C4" w:rsidP="003B72C4">
      <w:pPr>
        <w:spacing w:after="0" w:line="360" w:lineRule="auto"/>
        <w:jc w:val="both"/>
        <w:rPr>
          <w:rFonts w:ascii="Palatino Linotype" w:hAnsi="Palatino Linotype" w:cs="Arial"/>
          <w:sz w:val="24"/>
          <w:szCs w:val="24"/>
        </w:rPr>
      </w:pPr>
      <w:r w:rsidRPr="00AE0EBD">
        <w:rPr>
          <w:rFonts w:ascii="Palatino Linotype" w:hAnsi="Palatino Linotype" w:cs="Arial"/>
          <w:sz w:val="24"/>
          <w:szCs w:val="24"/>
        </w:rPr>
        <w:t xml:space="preserve">Por otro lado, los </w:t>
      </w:r>
      <w:r w:rsidRPr="00AE0EBD">
        <w:rPr>
          <w:rFonts w:ascii="Palatino Linotype" w:hAnsi="Palatino Linotype" w:cs="Arial"/>
          <w:i/>
          <w:sz w:val="24"/>
          <w:szCs w:val="24"/>
        </w:rPr>
        <w:t>Lineamientos Generales en Materia de Clasificación y Desclasificación de la Información, así como para la elaboración de Versiones Públicas</w:t>
      </w:r>
      <w:r w:rsidRPr="00AE0EBD">
        <w:rPr>
          <w:rFonts w:ascii="Palatino Linotype" w:hAnsi="Palatino Linotype" w:cs="Arial"/>
          <w:sz w:val="24"/>
          <w:szCs w:val="24"/>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3B72C4" w:rsidRPr="00AE0EBD" w:rsidRDefault="003B72C4" w:rsidP="003B72C4">
      <w:pPr>
        <w:spacing w:after="0" w:line="360" w:lineRule="auto"/>
        <w:jc w:val="both"/>
        <w:rPr>
          <w:rFonts w:ascii="Palatino Linotype" w:hAnsi="Palatino Linotype" w:cs="Arial"/>
          <w:sz w:val="24"/>
          <w:szCs w:val="24"/>
        </w:rPr>
      </w:pPr>
    </w:p>
    <w:p w:rsidR="003B72C4" w:rsidRPr="00AE0EBD" w:rsidRDefault="003B72C4" w:rsidP="003B72C4">
      <w:pPr>
        <w:spacing w:after="0" w:line="360" w:lineRule="auto"/>
        <w:jc w:val="both"/>
        <w:rPr>
          <w:rFonts w:ascii="Palatino Linotype" w:hAnsi="Palatino Linotype" w:cs="Arial"/>
          <w:sz w:val="24"/>
          <w:szCs w:val="24"/>
        </w:rPr>
      </w:pPr>
      <w:r w:rsidRPr="00AE0EBD">
        <w:rPr>
          <w:rFonts w:ascii="Palatino Linotype" w:hAnsi="Palatino Linotype" w:cs="Arial"/>
          <w:sz w:val="24"/>
          <w:szCs w:val="24"/>
        </w:rPr>
        <w:t>Entorno a lo que aquí nos interesa, los Lineamientos Quincuagésimo sexto, Quincuagésimo séptimo y Quincuagésimo octavo, establecen lo siguiente:</w:t>
      </w:r>
    </w:p>
    <w:p w:rsidR="003B72C4" w:rsidRPr="00AE0EBD" w:rsidRDefault="003B72C4" w:rsidP="003B72C4">
      <w:pPr>
        <w:pStyle w:val="Sinespaciado"/>
      </w:pPr>
    </w:p>
    <w:p w:rsidR="003B72C4" w:rsidRPr="00AE0EBD" w:rsidRDefault="003B72C4" w:rsidP="003B72C4">
      <w:pPr>
        <w:spacing w:after="0" w:line="240" w:lineRule="auto"/>
        <w:ind w:left="567" w:right="567"/>
        <w:jc w:val="both"/>
        <w:rPr>
          <w:rFonts w:ascii="Palatino Linotype" w:hAnsi="Palatino Linotype" w:cs="Arial"/>
          <w:i/>
        </w:rPr>
      </w:pPr>
      <w:r w:rsidRPr="00AE0EBD">
        <w:rPr>
          <w:rFonts w:ascii="Palatino Linotype" w:hAnsi="Palatino Linotype" w:cs="Arial"/>
          <w:b/>
          <w:i/>
        </w:rPr>
        <w:lastRenderedPageBreak/>
        <w:t>Quincuagésimo sexto.</w:t>
      </w:r>
      <w:r w:rsidRPr="00AE0EBD">
        <w:rPr>
          <w:rFonts w:ascii="Palatino Linotype" w:hAnsi="Palatino Linotype" w:cs="Arial"/>
          <w:i/>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3B72C4" w:rsidRPr="00AE0EBD" w:rsidRDefault="003B72C4" w:rsidP="003B72C4">
      <w:pPr>
        <w:spacing w:after="0" w:line="240" w:lineRule="auto"/>
        <w:ind w:left="567" w:right="567"/>
        <w:jc w:val="both"/>
        <w:rPr>
          <w:rFonts w:ascii="Palatino Linotype" w:hAnsi="Palatino Linotype" w:cs="Arial"/>
          <w:i/>
        </w:rPr>
      </w:pPr>
    </w:p>
    <w:p w:rsidR="003B72C4" w:rsidRPr="00AE0EBD" w:rsidRDefault="003B72C4" w:rsidP="003B72C4">
      <w:pPr>
        <w:spacing w:after="0" w:line="240" w:lineRule="auto"/>
        <w:ind w:left="567" w:right="567"/>
        <w:jc w:val="both"/>
        <w:rPr>
          <w:rFonts w:ascii="Palatino Linotype" w:hAnsi="Palatino Linotype" w:cs="Arial"/>
          <w:i/>
        </w:rPr>
      </w:pPr>
      <w:r w:rsidRPr="00AE0EBD">
        <w:rPr>
          <w:rFonts w:ascii="Palatino Linotype" w:hAnsi="Palatino Linotype" w:cs="Arial"/>
          <w:b/>
          <w:i/>
        </w:rPr>
        <w:t>Quincuagésimo séptimo.</w:t>
      </w:r>
      <w:r w:rsidRPr="00AE0EBD">
        <w:rPr>
          <w:rFonts w:ascii="Palatino Linotype" w:hAnsi="Palatino Linotype" w:cs="Arial"/>
          <w:i/>
        </w:rPr>
        <w:t xml:space="preserve"> Se considera, en principio, como información pública y no podrá omitirse de las versiones públicas la siguiente: </w:t>
      </w:r>
    </w:p>
    <w:p w:rsidR="003B72C4" w:rsidRPr="00AE0EBD" w:rsidRDefault="003B72C4" w:rsidP="003B72C4">
      <w:pPr>
        <w:spacing w:after="0" w:line="240" w:lineRule="auto"/>
        <w:ind w:left="567" w:right="567"/>
        <w:jc w:val="both"/>
        <w:rPr>
          <w:rFonts w:ascii="Palatino Linotype" w:hAnsi="Palatino Linotype" w:cs="Arial"/>
          <w:i/>
        </w:rPr>
      </w:pPr>
      <w:r w:rsidRPr="00AE0EBD">
        <w:rPr>
          <w:rFonts w:ascii="Palatino Linotype" w:hAnsi="Palatino Linotype" w:cs="Arial"/>
          <w:i/>
        </w:rPr>
        <w:t xml:space="preserve">I. La relativa a las Obligaciones de Transparencia que contempla el Título V de la Ley General y las demás disposiciones legales aplicables; </w:t>
      </w:r>
    </w:p>
    <w:p w:rsidR="003B72C4" w:rsidRPr="00AE0EBD" w:rsidRDefault="003B72C4" w:rsidP="003B72C4">
      <w:pPr>
        <w:spacing w:after="0" w:line="240" w:lineRule="auto"/>
        <w:ind w:left="567" w:right="567"/>
        <w:jc w:val="both"/>
        <w:rPr>
          <w:rFonts w:ascii="Palatino Linotype" w:hAnsi="Palatino Linotype" w:cs="Arial"/>
          <w:i/>
        </w:rPr>
      </w:pPr>
      <w:r w:rsidRPr="00AE0EBD">
        <w:rPr>
          <w:rFonts w:ascii="Palatino Linotype" w:hAnsi="Palatino Linotype" w:cs="Arial"/>
          <w:i/>
        </w:rPr>
        <w:t xml:space="preserve">II. El nombre de los servidores públicos en los documentos, y sus firmas autógrafas, cuando sean utilizados en el ejercicio de las facultades conferidas para el desempeño del servicio público, y </w:t>
      </w:r>
    </w:p>
    <w:p w:rsidR="003B72C4" w:rsidRPr="00AE0EBD" w:rsidRDefault="003B72C4" w:rsidP="003B72C4">
      <w:pPr>
        <w:spacing w:after="0" w:line="240" w:lineRule="auto"/>
        <w:ind w:left="567" w:right="567"/>
        <w:jc w:val="both"/>
        <w:rPr>
          <w:rFonts w:ascii="Palatino Linotype" w:hAnsi="Palatino Linotype" w:cs="Arial"/>
          <w:i/>
        </w:rPr>
      </w:pPr>
      <w:r w:rsidRPr="00AE0EBD">
        <w:rPr>
          <w:rFonts w:ascii="Palatino Linotype" w:hAnsi="Palatino Linotype" w:cs="Arial"/>
          <w:i/>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rsidR="003B72C4" w:rsidRPr="00AE0EBD" w:rsidRDefault="003B72C4" w:rsidP="003B72C4">
      <w:pPr>
        <w:spacing w:after="0" w:line="240" w:lineRule="auto"/>
        <w:ind w:left="567" w:right="567"/>
        <w:jc w:val="both"/>
        <w:rPr>
          <w:rFonts w:ascii="Palatino Linotype" w:hAnsi="Palatino Linotype" w:cs="Arial"/>
          <w:i/>
        </w:rPr>
      </w:pPr>
    </w:p>
    <w:p w:rsidR="003B72C4" w:rsidRPr="00AE0EBD" w:rsidRDefault="003B72C4" w:rsidP="003B72C4">
      <w:pPr>
        <w:spacing w:after="0" w:line="240" w:lineRule="auto"/>
        <w:ind w:left="567" w:right="567"/>
        <w:jc w:val="both"/>
        <w:rPr>
          <w:rFonts w:ascii="Palatino Linotype" w:hAnsi="Palatino Linotype" w:cs="Arial"/>
          <w:i/>
        </w:rPr>
      </w:pPr>
      <w:r w:rsidRPr="00AE0EBD">
        <w:rPr>
          <w:rFonts w:ascii="Palatino Linotype" w:hAnsi="Palatino Linotype" w:cs="Arial"/>
          <w:i/>
        </w:rPr>
        <w:t xml:space="preserve">Lo anterior, siempre y cuando no se acredite alguna causal de clasificación, prevista en las leyes o en los tratados internaciones suscritos por el Estado mexicano. </w:t>
      </w:r>
    </w:p>
    <w:p w:rsidR="003B72C4" w:rsidRPr="00AE0EBD" w:rsidRDefault="003B72C4" w:rsidP="003B72C4">
      <w:pPr>
        <w:spacing w:after="0" w:line="240" w:lineRule="auto"/>
        <w:ind w:left="567" w:right="567"/>
        <w:jc w:val="both"/>
        <w:rPr>
          <w:rFonts w:ascii="Palatino Linotype" w:hAnsi="Palatino Linotype" w:cs="Arial"/>
          <w:i/>
        </w:rPr>
      </w:pPr>
    </w:p>
    <w:p w:rsidR="003B72C4" w:rsidRPr="00AE0EBD" w:rsidRDefault="003B72C4" w:rsidP="003B72C4">
      <w:pPr>
        <w:spacing w:after="0" w:line="240" w:lineRule="auto"/>
        <w:ind w:left="567" w:right="567"/>
        <w:jc w:val="both"/>
        <w:rPr>
          <w:rFonts w:ascii="Palatino Linotype" w:hAnsi="Palatino Linotype" w:cs="Arial"/>
          <w:i/>
        </w:rPr>
      </w:pPr>
      <w:r w:rsidRPr="00AE0EBD">
        <w:rPr>
          <w:rFonts w:ascii="Palatino Linotype" w:hAnsi="Palatino Linotype" w:cs="Arial"/>
          <w:b/>
          <w:i/>
        </w:rPr>
        <w:t>Quincuagésimo octavo.</w:t>
      </w:r>
      <w:r w:rsidRPr="00AE0EBD">
        <w:rPr>
          <w:rFonts w:ascii="Palatino Linotype" w:hAnsi="Palatino Linotype" w:cs="Arial"/>
          <w:i/>
        </w:rPr>
        <w:t xml:space="preserve"> Los sujetos obligados garantizarán que los sistemas o medios empleados para eliminar la información en las versiones públicas no permitan la recuperación o visualización de la misma.</w:t>
      </w:r>
    </w:p>
    <w:p w:rsidR="003B72C4" w:rsidRPr="00AE0EBD" w:rsidRDefault="003B72C4" w:rsidP="003B72C4">
      <w:pPr>
        <w:spacing w:after="0" w:line="360" w:lineRule="auto"/>
        <w:jc w:val="both"/>
        <w:rPr>
          <w:rFonts w:ascii="Palatino Linotype" w:hAnsi="Palatino Linotype" w:cs="Arial"/>
          <w:i/>
          <w:sz w:val="24"/>
          <w:szCs w:val="24"/>
        </w:rPr>
      </w:pPr>
    </w:p>
    <w:p w:rsidR="003B72C4" w:rsidRPr="00AE0EBD" w:rsidRDefault="003B72C4" w:rsidP="003B72C4">
      <w:pPr>
        <w:spacing w:after="0" w:line="360" w:lineRule="auto"/>
        <w:jc w:val="both"/>
        <w:rPr>
          <w:rFonts w:ascii="Palatino Linotype" w:hAnsi="Palatino Linotype" w:cs="Arial"/>
          <w:sz w:val="24"/>
          <w:szCs w:val="24"/>
        </w:rPr>
      </w:pPr>
      <w:r w:rsidRPr="00AE0EBD">
        <w:rPr>
          <w:rFonts w:ascii="Palatino Linotype" w:hAnsi="Palatino Linotype" w:cs="Arial"/>
          <w:sz w:val="24"/>
          <w:szCs w:val="24"/>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3B72C4" w:rsidRPr="00AE0EBD" w:rsidRDefault="003B72C4" w:rsidP="003B72C4">
      <w:pPr>
        <w:spacing w:after="0" w:line="360" w:lineRule="auto"/>
        <w:jc w:val="both"/>
        <w:rPr>
          <w:rFonts w:ascii="Palatino Linotype" w:hAnsi="Palatino Linotype" w:cs="Arial"/>
          <w:sz w:val="24"/>
          <w:szCs w:val="24"/>
        </w:rPr>
      </w:pPr>
    </w:p>
    <w:p w:rsidR="003B72C4" w:rsidRPr="00AE0EBD" w:rsidRDefault="003B72C4" w:rsidP="003B72C4">
      <w:pPr>
        <w:spacing w:after="0" w:line="360" w:lineRule="auto"/>
        <w:jc w:val="both"/>
        <w:rPr>
          <w:rFonts w:ascii="Palatino Linotype" w:hAnsi="Palatino Linotype" w:cs="Arial"/>
          <w:sz w:val="24"/>
          <w:szCs w:val="24"/>
        </w:rPr>
      </w:pPr>
      <w:r w:rsidRPr="00AE0EBD">
        <w:rPr>
          <w:rFonts w:ascii="Palatino Linotype" w:hAnsi="Palatino Linotype" w:cs="Arial"/>
          <w:sz w:val="24"/>
          <w:szCs w:val="24"/>
        </w:rPr>
        <w:t>Por lo que respecta al Acuerdo del Comité de Transparencia que la sustente la versión pública, de la documentación a entregar, deberá ser notificado mediante el SAIMEX.</w:t>
      </w:r>
    </w:p>
    <w:p w:rsidR="003B72C4" w:rsidRPr="00AE0EBD" w:rsidRDefault="003B72C4" w:rsidP="003B72C4">
      <w:pPr>
        <w:spacing w:after="0" w:line="360" w:lineRule="auto"/>
        <w:jc w:val="both"/>
        <w:rPr>
          <w:rFonts w:ascii="Palatino Linotype" w:hAnsi="Palatino Linotype" w:cs="Arial"/>
          <w:sz w:val="24"/>
          <w:szCs w:val="24"/>
        </w:rPr>
      </w:pPr>
    </w:p>
    <w:p w:rsidR="003B72C4" w:rsidRPr="00AE0EBD" w:rsidRDefault="003B72C4" w:rsidP="003B72C4">
      <w:pPr>
        <w:pStyle w:val="Sinespaciado"/>
        <w:spacing w:line="360" w:lineRule="auto"/>
        <w:jc w:val="both"/>
        <w:rPr>
          <w:rFonts w:ascii="Palatino Linotype" w:hAnsi="Palatino Linotype" w:cs="Arial"/>
          <w:bCs/>
        </w:rPr>
      </w:pPr>
      <w:r w:rsidRPr="00AE0EBD">
        <w:rPr>
          <w:rFonts w:ascii="Palatino Linotype" w:hAnsi="Palatino Linotype" w:cs="Arial"/>
          <w:bCs/>
        </w:rPr>
        <w:t xml:space="preserve">En ese tenor y de acuerdo a la interpretación en el orden administrativo que le da la Ley de la materia a este Instituto específicamente, en términos de su artículo 36, fracción I, </w:t>
      </w:r>
      <w:r w:rsidRPr="00AE0EBD">
        <w:rPr>
          <w:rFonts w:ascii="Palatino Linotype" w:hAnsi="Palatino Linotype" w:cs="Arial"/>
        </w:rPr>
        <w:t xml:space="preserve">de la Ley de Transparencia y Acceso a la Información Pública del Estado de México y Municipios, </w:t>
      </w:r>
      <w:r w:rsidRPr="00AE0EBD">
        <w:rPr>
          <w:rFonts w:ascii="Palatino Linotype" w:hAnsi="Palatino Linotype" w:cs="Arial"/>
          <w:bCs/>
        </w:rPr>
        <w:t>a efecto de salvaguardar el derecho de acceso a la información pública consignado a favor del Recurrente.</w:t>
      </w:r>
    </w:p>
    <w:p w:rsidR="003B72C4" w:rsidRPr="00AE0EBD" w:rsidRDefault="003B72C4" w:rsidP="00120DAA">
      <w:pPr>
        <w:pStyle w:val="Sinespaciado"/>
        <w:spacing w:line="360" w:lineRule="auto"/>
        <w:jc w:val="both"/>
        <w:rPr>
          <w:rFonts w:ascii="Palatino Linotype" w:hAnsi="Palatino Linotype"/>
        </w:rPr>
      </w:pPr>
    </w:p>
    <w:p w:rsidR="00120DAA" w:rsidRPr="00AE0EBD" w:rsidRDefault="00120DAA" w:rsidP="00120DAA">
      <w:pPr>
        <w:pStyle w:val="Sinespaciado"/>
        <w:spacing w:line="360" w:lineRule="auto"/>
        <w:jc w:val="both"/>
        <w:rPr>
          <w:rFonts w:ascii="Palatino Linotype" w:hAnsi="Palatino Linotype"/>
        </w:rPr>
      </w:pPr>
      <w:r w:rsidRPr="00AE0EBD">
        <w:rPr>
          <w:rFonts w:ascii="Palatino Linotype" w:hAnsi="Palatino Linotype"/>
        </w:rPr>
        <w:t xml:space="preserve">En mérito de lo expuesto en líneas anteriores, resultan parcialmente fundados los motivos de inconformidad esgrimidos por el </w:t>
      </w:r>
      <w:r w:rsidRPr="00AE0EBD">
        <w:rPr>
          <w:rFonts w:ascii="Palatino Linotype" w:hAnsi="Palatino Linotype"/>
          <w:b/>
        </w:rPr>
        <w:t>Recurrente</w:t>
      </w:r>
      <w:r w:rsidRPr="00AE0EBD">
        <w:rPr>
          <w:rFonts w:ascii="Palatino Linotype" w:hAnsi="Palatino Linotype"/>
        </w:rPr>
        <w:t xml:space="preserve"> en su medio de impugnación que fue materia de estudio, por ello </w:t>
      </w:r>
      <w:r w:rsidRPr="00AE0EBD">
        <w:rPr>
          <w:rFonts w:ascii="Palatino Linotype" w:hAnsi="Palatino Linotype" w:cs="Arial"/>
        </w:rPr>
        <w:t>con fundamento en la</w:t>
      </w:r>
      <w:r w:rsidRPr="00AE0EBD">
        <w:rPr>
          <w:rFonts w:ascii="Palatino Linotype" w:hAnsi="Palatino Linotype" w:cs="Arial"/>
          <w:b/>
        </w:rPr>
        <w:t xml:space="preserve"> </w:t>
      </w:r>
      <w:r w:rsidR="00D275D2" w:rsidRPr="00AE0EBD">
        <w:rPr>
          <w:rFonts w:ascii="Palatino Linotype" w:hAnsi="Palatino Linotype" w:cs="Arial"/>
          <w:i/>
        </w:rPr>
        <w:t>segunda</w:t>
      </w:r>
      <w:r w:rsidRPr="00AE0EBD">
        <w:rPr>
          <w:rFonts w:ascii="Palatino Linotype" w:hAnsi="Palatino Linotype" w:cs="Arial"/>
          <w:i/>
        </w:rPr>
        <w:t xml:space="preserve"> hipótesis</w:t>
      </w:r>
      <w:r w:rsidRPr="00AE0EBD">
        <w:rPr>
          <w:rFonts w:ascii="Palatino Linotype" w:hAnsi="Palatino Linotype" w:cs="Arial"/>
          <w:b/>
        </w:rPr>
        <w:t xml:space="preserve"> </w:t>
      </w:r>
      <w:r w:rsidRPr="00AE0EBD">
        <w:rPr>
          <w:rFonts w:ascii="Palatino Linotype" w:hAnsi="Palatino Linotype" w:cs="Arial"/>
        </w:rPr>
        <w:t>de la fracción III,</w:t>
      </w:r>
      <w:r w:rsidRPr="00AE0EBD">
        <w:rPr>
          <w:rFonts w:ascii="Palatino Linotype" w:hAnsi="Palatino Linotype" w:cs="Arial"/>
          <w:b/>
        </w:rPr>
        <w:t xml:space="preserve"> </w:t>
      </w:r>
      <w:r w:rsidRPr="00AE0EBD">
        <w:rPr>
          <w:rFonts w:ascii="Palatino Linotype" w:hAnsi="Palatino Linotype" w:cs="Arial"/>
        </w:rPr>
        <w:t>del artículo 186,</w:t>
      </w:r>
      <w:r w:rsidRPr="00AE0EBD">
        <w:rPr>
          <w:rFonts w:ascii="Palatino Linotype" w:hAnsi="Palatino Linotype" w:cs="Arial"/>
          <w:b/>
        </w:rPr>
        <w:t xml:space="preserve"> </w:t>
      </w:r>
      <w:r w:rsidRPr="00AE0EBD">
        <w:rPr>
          <w:rFonts w:ascii="Palatino Linotype" w:hAnsi="Palatino Linotype" w:cs="Arial"/>
        </w:rPr>
        <w:t xml:space="preserve">de la Ley de Transparencia y Acceso a la Información Pública del Estado de México y Municipios, se </w:t>
      </w:r>
      <w:r w:rsidR="007010A8" w:rsidRPr="00AE0EBD">
        <w:rPr>
          <w:rFonts w:ascii="Palatino Linotype" w:hAnsi="Palatino Linotype" w:cs="Arial"/>
          <w:b/>
        </w:rPr>
        <w:t>REVO</w:t>
      </w:r>
      <w:r w:rsidRPr="00AE0EBD">
        <w:rPr>
          <w:rFonts w:ascii="Palatino Linotype" w:hAnsi="Palatino Linotype" w:cs="Arial"/>
          <w:b/>
        </w:rPr>
        <w:t xml:space="preserve">CA </w:t>
      </w:r>
      <w:r w:rsidRPr="00AE0EBD">
        <w:rPr>
          <w:rFonts w:ascii="Palatino Linotype" w:hAnsi="Palatino Linotype" w:cs="Arial"/>
        </w:rPr>
        <w:t>la respuesta a la solicitud de información número</w:t>
      </w:r>
      <w:r w:rsidRPr="00AE0EBD">
        <w:rPr>
          <w:rFonts w:ascii="Palatino Linotype" w:hAnsi="Palatino Linotype"/>
          <w:b/>
        </w:rPr>
        <w:t xml:space="preserve"> </w:t>
      </w:r>
      <w:r w:rsidRPr="00AE0EBD">
        <w:rPr>
          <w:rFonts w:ascii="Palatino Linotype" w:hAnsi="Palatino Linotype" w:cs="Arial"/>
          <w:b/>
        </w:rPr>
        <w:t>01460/HUIXQUIL/IP/2019</w:t>
      </w:r>
      <w:r w:rsidRPr="00AE0EBD">
        <w:rPr>
          <w:rFonts w:ascii="Palatino Linotype" w:hAnsi="Palatino Linotype" w:cs="Arial"/>
        </w:rPr>
        <w:t>,</w:t>
      </w:r>
      <w:r w:rsidRPr="00AE0EBD">
        <w:rPr>
          <w:rFonts w:ascii="Palatino Linotype" w:hAnsi="Palatino Linotype" w:cs="Arial"/>
          <w:b/>
        </w:rPr>
        <w:t xml:space="preserve"> </w:t>
      </w:r>
      <w:r w:rsidRPr="00AE0EBD">
        <w:rPr>
          <w:rFonts w:ascii="Palatino Linotype" w:hAnsi="Palatino Linotype"/>
        </w:rPr>
        <w:t>que ha sido materia del presente fallo.</w:t>
      </w:r>
    </w:p>
    <w:p w:rsidR="00120DAA" w:rsidRPr="00AE0EBD" w:rsidRDefault="00120DAA" w:rsidP="00120DAA">
      <w:pPr>
        <w:pStyle w:val="Sinespaciado"/>
        <w:spacing w:line="360" w:lineRule="auto"/>
        <w:jc w:val="both"/>
        <w:rPr>
          <w:rFonts w:ascii="Palatino Linotype" w:hAnsi="Palatino Linotype"/>
          <w:sz w:val="20"/>
        </w:rPr>
      </w:pPr>
    </w:p>
    <w:p w:rsidR="00120DAA" w:rsidRPr="00AE0EBD" w:rsidRDefault="00120DAA" w:rsidP="00120DAA">
      <w:pPr>
        <w:pStyle w:val="Sinespaciado"/>
        <w:spacing w:line="360" w:lineRule="auto"/>
        <w:jc w:val="both"/>
        <w:rPr>
          <w:rFonts w:ascii="Palatino Linotype" w:hAnsi="Palatino Linotype"/>
        </w:rPr>
      </w:pPr>
      <w:r w:rsidRPr="00AE0EBD">
        <w:rPr>
          <w:rFonts w:ascii="Palatino Linotype" w:hAnsi="Palatino Linotype"/>
        </w:rPr>
        <w:t>Por lo antes expuesto y fundado es de resolverse y,</w:t>
      </w:r>
    </w:p>
    <w:p w:rsidR="00120DAA" w:rsidRPr="00AE0EBD" w:rsidRDefault="00120DAA" w:rsidP="00120DAA">
      <w:pPr>
        <w:pStyle w:val="Sinespaciado"/>
        <w:spacing w:line="360" w:lineRule="auto"/>
        <w:jc w:val="center"/>
        <w:rPr>
          <w:rFonts w:ascii="Palatino Linotype" w:hAnsi="Palatino Linotype"/>
          <w:b/>
          <w:bCs/>
          <w:spacing w:val="60"/>
          <w:sz w:val="28"/>
        </w:rPr>
      </w:pPr>
    </w:p>
    <w:p w:rsidR="00120DAA" w:rsidRPr="00AE0EBD" w:rsidRDefault="00120DAA" w:rsidP="00120DAA">
      <w:pPr>
        <w:pStyle w:val="Sinespaciado"/>
        <w:spacing w:line="360" w:lineRule="auto"/>
        <w:jc w:val="center"/>
        <w:rPr>
          <w:rFonts w:ascii="Palatino Linotype" w:hAnsi="Palatino Linotype"/>
          <w:b/>
          <w:bCs/>
          <w:spacing w:val="60"/>
          <w:sz w:val="28"/>
        </w:rPr>
      </w:pPr>
      <w:r w:rsidRPr="00AE0EBD">
        <w:rPr>
          <w:rFonts w:ascii="Palatino Linotype" w:hAnsi="Palatino Linotype"/>
          <w:b/>
          <w:bCs/>
          <w:spacing w:val="60"/>
          <w:sz w:val="28"/>
        </w:rPr>
        <w:t>SE    RESUELVE</w:t>
      </w:r>
    </w:p>
    <w:p w:rsidR="00120DAA" w:rsidRPr="00AE0EBD" w:rsidRDefault="00120DAA" w:rsidP="00120DAA">
      <w:pPr>
        <w:spacing w:after="0" w:line="360" w:lineRule="auto"/>
        <w:jc w:val="center"/>
        <w:rPr>
          <w:rFonts w:ascii="Palatino Linotype" w:eastAsia="Times New Roman" w:hAnsi="Palatino Linotype"/>
          <w:b/>
          <w:bCs/>
          <w:spacing w:val="60"/>
          <w:sz w:val="2"/>
          <w:szCs w:val="24"/>
        </w:rPr>
      </w:pPr>
    </w:p>
    <w:p w:rsidR="00120DAA" w:rsidRPr="00AE0EBD" w:rsidRDefault="00120DAA" w:rsidP="00120DAA">
      <w:pPr>
        <w:pStyle w:val="Sinespaciado"/>
        <w:rPr>
          <w:sz w:val="16"/>
        </w:rPr>
      </w:pPr>
    </w:p>
    <w:p w:rsidR="00120DAA" w:rsidRPr="00AE0EBD" w:rsidRDefault="00120DAA" w:rsidP="00120DAA">
      <w:pPr>
        <w:pStyle w:val="Sinespaciado"/>
        <w:spacing w:line="360" w:lineRule="auto"/>
        <w:jc w:val="both"/>
        <w:rPr>
          <w:rFonts w:ascii="Palatino Linotype" w:hAnsi="Palatino Linotype" w:cs="Arial"/>
        </w:rPr>
      </w:pPr>
      <w:r w:rsidRPr="00AE0EBD">
        <w:rPr>
          <w:rFonts w:ascii="Palatino Linotype" w:hAnsi="Palatino Linotype" w:cs="Arial"/>
          <w:b/>
          <w:sz w:val="28"/>
        </w:rPr>
        <w:t>PRIMERO.</w:t>
      </w:r>
      <w:r w:rsidRPr="00AE0EBD">
        <w:rPr>
          <w:rFonts w:ascii="Palatino Linotype" w:hAnsi="Palatino Linotype" w:cs="Arial"/>
        </w:rPr>
        <w:t xml:space="preserve"> Se </w:t>
      </w:r>
      <w:r w:rsidR="00D275D2" w:rsidRPr="00AE0EBD">
        <w:rPr>
          <w:rFonts w:ascii="Palatino Linotype" w:hAnsi="Palatino Linotype" w:cs="Arial"/>
          <w:b/>
        </w:rPr>
        <w:t>MODIFIC</w:t>
      </w:r>
      <w:r w:rsidRPr="00AE0EBD">
        <w:rPr>
          <w:rFonts w:ascii="Palatino Linotype" w:hAnsi="Palatino Linotype" w:cs="Arial"/>
          <w:b/>
        </w:rPr>
        <w:t>A</w:t>
      </w:r>
      <w:r w:rsidRPr="00AE0EBD">
        <w:rPr>
          <w:rFonts w:ascii="Palatino Linotype" w:hAnsi="Palatino Linotype" w:cs="Arial"/>
        </w:rPr>
        <w:t xml:space="preserve"> </w:t>
      </w:r>
      <w:r w:rsidRPr="00AE0EBD">
        <w:rPr>
          <w:rFonts w:ascii="Palatino Linotype" w:eastAsia="Arial Unicode MS" w:hAnsi="Palatino Linotype" w:cs="Arial"/>
        </w:rPr>
        <w:t xml:space="preserve">la respuesta entregada por el </w:t>
      </w:r>
      <w:r w:rsidRPr="00AE0EBD">
        <w:rPr>
          <w:rFonts w:ascii="Palatino Linotype" w:eastAsia="Arial Unicode MS" w:hAnsi="Palatino Linotype" w:cs="Arial"/>
          <w:b/>
        </w:rPr>
        <w:t xml:space="preserve">Sujeto Obligado </w:t>
      </w:r>
      <w:r w:rsidRPr="00AE0EBD">
        <w:rPr>
          <w:rFonts w:ascii="Palatino Linotype" w:eastAsia="Arial Unicode MS" w:hAnsi="Palatino Linotype" w:cs="Arial"/>
        </w:rPr>
        <w:t xml:space="preserve">a la solicitud de información número </w:t>
      </w:r>
      <w:r w:rsidRPr="00AE0EBD">
        <w:rPr>
          <w:rFonts w:ascii="Palatino Linotype" w:hAnsi="Palatino Linotype" w:cs="Arial"/>
          <w:b/>
        </w:rPr>
        <w:t>01460/HUIXQUIL/IP/2019</w:t>
      </w:r>
      <w:r w:rsidRPr="00AE0EBD">
        <w:rPr>
          <w:rFonts w:ascii="Palatino Linotype" w:eastAsia="Arial Unicode MS" w:hAnsi="Palatino Linotype" w:cs="Arial"/>
        </w:rPr>
        <w:t xml:space="preserve">, por resultar parcialmente </w:t>
      </w:r>
      <w:r w:rsidRPr="00AE0EBD">
        <w:rPr>
          <w:rFonts w:ascii="Palatino Linotype" w:eastAsia="Arial Unicode MS" w:hAnsi="Palatino Linotype" w:cs="Arial"/>
        </w:rPr>
        <w:lastRenderedPageBreak/>
        <w:t xml:space="preserve">fundados los motivos de inconformidad que arguye el </w:t>
      </w:r>
      <w:r w:rsidRPr="00AE0EBD">
        <w:rPr>
          <w:rFonts w:ascii="Palatino Linotype" w:eastAsia="Arial Unicode MS" w:hAnsi="Palatino Linotype" w:cs="Arial"/>
          <w:b/>
        </w:rPr>
        <w:t>Recurrente</w:t>
      </w:r>
      <w:r w:rsidRPr="00AE0EBD">
        <w:rPr>
          <w:rFonts w:ascii="Palatino Linotype" w:eastAsia="Arial Unicode MS" w:hAnsi="Palatino Linotype" w:cs="Arial"/>
        </w:rPr>
        <w:t>, en términos del</w:t>
      </w:r>
      <w:r w:rsidRPr="00AE0EBD">
        <w:rPr>
          <w:rFonts w:ascii="Palatino Linotype" w:eastAsia="Arial Unicode MS" w:hAnsi="Palatino Linotype" w:cs="Arial"/>
          <w:b/>
        </w:rPr>
        <w:t xml:space="preserve"> </w:t>
      </w:r>
      <w:r w:rsidRPr="00AE0EBD">
        <w:rPr>
          <w:rFonts w:ascii="Palatino Linotype" w:hAnsi="Palatino Linotype" w:cs="Arial"/>
          <w:b/>
        </w:rPr>
        <w:t xml:space="preserve">Considerando QUINTO </w:t>
      </w:r>
      <w:r w:rsidRPr="00AE0EBD">
        <w:rPr>
          <w:rFonts w:ascii="Palatino Linotype" w:hAnsi="Palatino Linotype" w:cs="Arial"/>
        </w:rPr>
        <w:t>de la presente resolución.</w:t>
      </w:r>
    </w:p>
    <w:p w:rsidR="00120DAA" w:rsidRPr="00AE0EBD" w:rsidRDefault="00120DAA" w:rsidP="00120DAA">
      <w:pPr>
        <w:pStyle w:val="Sinespaciado"/>
        <w:spacing w:line="360" w:lineRule="auto"/>
        <w:jc w:val="both"/>
        <w:rPr>
          <w:rFonts w:ascii="Palatino Linotype" w:hAnsi="Palatino Linotype" w:cs="Arial"/>
          <w:b/>
          <w:sz w:val="28"/>
        </w:rPr>
      </w:pPr>
    </w:p>
    <w:p w:rsidR="00120DAA" w:rsidRPr="00AE0EBD" w:rsidRDefault="00120DAA" w:rsidP="00120DAA">
      <w:pPr>
        <w:pStyle w:val="Sinespaciado"/>
        <w:spacing w:line="360" w:lineRule="auto"/>
        <w:jc w:val="both"/>
        <w:rPr>
          <w:rFonts w:ascii="Palatino Linotype" w:hAnsi="Palatino Linotype" w:cs="Arial"/>
        </w:rPr>
      </w:pPr>
      <w:r w:rsidRPr="00AE0EBD">
        <w:rPr>
          <w:rFonts w:ascii="Palatino Linotype" w:hAnsi="Palatino Linotype" w:cs="Arial"/>
          <w:b/>
          <w:sz w:val="28"/>
        </w:rPr>
        <w:t>SEGUNDO.</w:t>
      </w:r>
      <w:r w:rsidRPr="00AE0EBD">
        <w:rPr>
          <w:rFonts w:ascii="Palatino Linotype" w:hAnsi="Palatino Linotype" w:cs="Arial"/>
          <w:sz w:val="28"/>
        </w:rPr>
        <w:t xml:space="preserve"> </w:t>
      </w:r>
      <w:r w:rsidRPr="00AE0EBD">
        <w:rPr>
          <w:rFonts w:ascii="Palatino Linotype" w:hAnsi="Palatino Linotype" w:cs="Arial"/>
        </w:rPr>
        <w:t xml:space="preserve">Se </w:t>
      </w:r>
      <w:r w:rsidRPr="00AE0EBD">
        <w:rPr>
          <w:rFonts w:ascii="Palatino Linotype" w:hAnsi="Palatino Linotype" w:cs="Arial"/>
          <w:b/>
        </w:rPr>
        <w:t>ORDENA</w:t>
      </w:r>
      <w:r w:rsidRPr="00AE0EBD">
        <w:rPr>
          <w:rFonts w:ascii="Palatino Linotype" w:hAnsi="Palatino Linotype" w:cs="Arial"/>
        </w:rPr>
        <w:t xml:space="preserve"> al </w:t>
      </w:r>
      <w:r w:rsidRPr="00AE0EBD">
        <w:rPr>
          <w:rFonts w:ascii="Palatino Linotype" w:hAnsi="Palatino Linotype" w:cs="Arial"/>
          <w:b/>
        </w:rPr>
        <w:t>Sujeto Obligado</w:t>
      </w:r>
      <w:r w:rsidRPr="00AE0EBD">
        <w:rPr>
          <w:rFonts w:ascii="Palatino Linotype" w:hAnsi="Palatino Linotype" w:cs="Arial"/>
        </w:rPr>
        <w:t xml:space="preserve"> que haga entrega al </w:t>
      </w:r>
      <w:r w:rsidRPr="00AE0EBD">
        <w:rPr>
          <w:rFonts w:ascii="Palatino Linotype" w:hAnsi="Palatino Linotype" w:cs="Arial"/>
          <w:b/>
        </w:rPr>
        <w:t>Recurrente</w:t>
      </w:r>
      <w:r w:rsidRPr="00AE0EBD">
        <w:rPr>
          <w:rFonts w:ascii="Palatino Linotype" w:hAnsi="Palatino Linotype" w:cs="Arial"/>
        </w:rPr>
        <w:t xml:space="preserve">, </w:t>
      </w:r>
      <w:r w:rsidR="00D275D2" w:rsidRPr="00AE0EBD">
        <w:rPr>
          <w:rFonts w:ascii="Palatino Linotype" w:hAnsi="Palatino Linotype" w:cs="Arial"/>
        </w:rPr>
        <w:t xml:space="preserve">previa búsqueda exhaustiva y razonable, </w:t>
      </w:r>
      <w:r w:rsidRPr="00AE0EBD">
        <w:rPr>
          <w:rFonts w:ascii="Palatino Linotype" w:hAnsi="Palatino Linotype" w:cs="Arial"/>
        </w:rPr>
        <w:t xml:space="preserve">vía </w:t>
      </w:r>
      <w:r w:rsidRPr="00AE0EBD">
        <w:rPr>
          <w:rFonts w:ascii="Palatino Linotype" w:hAnsi="Palatino Linotype" w:cs="Arial"/>
          <w:b/>
        </w:rPr>
        <w:t>SAIMEX</w:t>
      </w:r>
      <w:r w:rsidRPr="00AE0EBD">
        <w:rPr>
          <w:rFonts w:ascii="Palatino Linotype" w:hAnsi="Palatino Linotype" w:cs="Arial"/>
        </w:rPr>
        <w:t xml:space="preserve"> y </w:t>
      </w:r>
      <w:r w:rsidRPr="00AE0EBD">
        <w:rPr>
          <w:rFonts w:ascii="Palatino Linotype" w:hAnsi="Palatino Linotype" w:cs="Arial"/>
          <w:b/>
        </w:rPr>
        <w:t>Correo Electrónico</w:t>
      </w:r>
      <w:r w:rsidRPr="00AE0EBD">
        <w:rPr>
          <w:rFonts w:ascii="Palatino Linotype" w:hAnsi="Palatino Linotype" w:cs="Arial"/>
        </w:rPr>
        <w:t>, lo siguiente:</w:t>
      </w:r>
    </w:p>
    <w:p w:rsidR="00120DAA" w:rsidRPr="00AE0EBD" w:rsidRDefault="00120DAA" w:rsidP="003B72C4">
      <w:pPr>
        <w:pStyle w:val="Sinespaciado"/>
      </w:pPr>
    </w:p>
    <w:p w:rsidR="00120DAA" w:rsidRPr="00AE0EBD" w:rsidRDefault="00120DAA" w:rsidP="00120DAA">
      <w:pPr>
        <w:pStyle w:val="Sinespaciado"/>
      </w:pPr>
    </w:p>
    <w:p w:rsidR="003B72C4" w:rsidRPr="00AE0EBD" w:rsidRDefault="00120DAA" w:rsidP="003B72C4">
      <w:pPr>
        <w:pStyle w:val="Prrafodelista"/>
        <w:numPr>
          <w:ilvl w:val="0"/>
          <w:numId w:val="11"/>
        </w:numPr>
        <w:autoSpaceDE w:val="0"/>
        <w:autoSpaceDN w:val="0"/>
        <w:adjustRightInd w:val="0"/>
        <w:spacing w:line="360" w:lineRule="auto"/>
        <w:ind w:right="49"/>
        <w:jc w:val="both"/>
        <w:rPr>
          <w:rFonts w:ascii="Palatino Linotype" w:eastAsiaTheme="minorHAnsi" w:hAnsi="Palatino Linotype" w:cs="Arial"/>
        </w:rPr>
      </w:pPr>
      <w:r w:rsidRPr="00AE0EBD">
        <w:rPr>
          <w:rFonts w:ascii="Palatino Linotype" w:hAnsi="Palatino Linotype" w:cs="Arial"/>
          <w:b/>
          <w:bCs/>
          <w:color w:val="000000"/>
          <w:szCs w:val="23"/>
        </w:rPr>
        <w:t xml:space="preserve"> </w:t>
      </w:r>
      <w:r w:rsidR="003B72C4" w:rsidRPr="00AE0EBD">
        <w:rPr>
          <w:rFonts w:ascii="Palatino Linotype" w:hAnsi="Palatino Linotype" w:cs="Arial"/>
          <w:bCs/>
          <w:color w:val="000000"/>
          <w:szCs w:val="23"/>
        </w:rPr>
        <w:t xml:space="preserve">De ser procedente en versión pública, el o los documentos en donde conste el </w:t>
      </w:r>
      <w:r w:rsidR="003B72C4" w:rsidRPr="00AE0EBD">
        <w:rPr>
          <w:rFonts w:ascii="Palatino Linotype" w:hAnsi="Palatino Linotype" w:cs="TimesNewRomanPS-ItalicMT"/>
          <w:iCs/>
        </w:rPr>
        <w:t xml:space="preserve">número oficial, el número actual y los números anteriores, de todos y cada uno de los inmuebles </w:t>
      </w:r>
      <w:r w:rsidR="003B72C4" w:rsidRPr="00AE0EBD">
        <w:rPr>
          <w:rFonts w:ascii="Palatino Linotype" w:hAnsi="Palatino Linotype"/>
          <w:color w:val="000000"/>
        </w:rPr>
        <w:t xml:space="preserve">referidos en </w:t>
      </w:r>
      <w:r w:rsidR="003B72C4" w:rsidRPr="00AE0EBD">
        <w:rPr>
          <w:rFonts w:ascii="Palatino Linotype" w:eastAsia="Calibri" w:hAnsi="Palatino Linotype" w:cs="Arial"/>
        </w:rPr>
        <w:t xml:space="preserve">la solicitud de información </w:t>
      </w:r>
      <w:r w:rsidR="003B72C4" w:rsidRPr="00AE0EBD">
        <w:rPr>
          <w:rFonts w:ascii="Palatino Linotype" w:eastAsia="Calibri" w:hAnsi="Palatino Linotype" w:cs="Arial"/>
          <w:b/>
        </w:rPr>
        <w:t>01460/HUIXQUIL/IP/2019</w:t>
      </w:r>
      <w:r w:rsidR="003B72C4" w:rsidRPr="00AE0EBD">
        <w:rPr>
          <w:rFonts w:ascii="Palatino Linotype" w:eastAsia="Calibri" w:hAnsi="Palatino Linotype" w:cs="Arial"/>
        </w:rPr>
        <w:t>.</w:t>
      </w:r>
    </w:p>
    <w:p w:rsidR="003B72C4" w:rsidRPr="00AE0EBD" w:rsidRDefault="003B72C4" w:rsidP="003B72C4">
      <w:pPr>
        <w:pStyle w:val="Sinespaciado"/>
        <w:rPr>
          <w:rFonts w:eastAsiaTheme="minorHAnsi"/>
        </w:rPr>
      </w:pPr>
    </w:p>
    <w:p w:rsidR="003B72C4" w:rsidRPr="00AE0EBD" w:rsidRDefault="00120DAA" w:rsidP="003B72C4">
      <w:pPr>
        <w:pStyle w:val="Prrafodelista"/>
        <w:numPr>
          <w:ilvl w:val="0"/>
          <w:numId w:val="11"/>
        </w:numPr>
        <w:autoSpaceDE w:val="0"/>
        <w:autoSpaceDN w:val="0"/>
        <w:adjustRightInd w:val="0"/>
        <w:spacing w:line="360" w:lineRule="auto"/>
        <w:ind w:right="49"/>
        <w:jc w:val="both"/>
        <w:rPr>
          <w:rFonts w:ascii="Palatino Linotype" w:eastAsiaTheme="minorHAnsi" w:hAnsi="Palatino Linotype" w:cs="Arial"/>
        </w:rPr>
      </w:pPr>
      <w:r w:rsidRPr="00AE0EBD">
        <w:rPr>
          <w:rFonts w:ascii="Palatino Linotype" w:eastAsia="Calibri" w:hAnsi="Palatino Linotype" w:cs="Arial"/>
        </w:rPr>
        <w:t xml:space="preserve">El Acuerdo que emita el Comité de Transparencia mediante el que confirme la declaratoria de incompetencia del </w:t>
      </w:r>
      <w:r w:rsidRPr="00AE0EBD">
        <w:rPr>
          <w:rFonts w:ascii="Palatino Linotype" w:eastAsia="Calibri" w:hAnsi="Palatino Linotype" w:cs="Arial"/>
          <w:b/>
        </w:rPr>
        <w:t>Sujeto Obligado</w:t>
      </w:r>
      <w:r w:rsidRPr="00AE0EBD">
        <w:rPr>
          <w:rFonts w:ascii="Palatino Linotype" w:eastAsia="Calibri" w:hAnsi="Palatino Linotype" w:cs="Arial"/>
        </w:rPr>
        <w:t>, respecto de</w:t>
      </w:r>
      <w:r w:rsidR="003B72C4" w:rsidRPr="00AE0EBD">
        <w:rPr>
          <w:rFonts w:ascii="Palatino Linotype" w:eastAsia="Calibri" w:hAnsi="Palatino Linotype" w:cs="Arial"/>
        </w:rPr>
        <w:t xml:space="preserve">l </w:t>
      </w:r>
      <w:r w:rsidRPr="00AE0EBD">
        <w:rPr>
          <w:rFonts w:ascii="Palatino Linotype" w:eastAsia="Calibri" w:hAnsi="Palatino Linotype" w:cs="Arial"/>
        </w:rPr>
        <w:t xml:space="preserve"> </w:t>
      </w:r>
      <w:r w:rsidR="003B72C4" w:rsidRPr="00AE0EBD">
        <w:rPr>
          <w:rFonts w:ascii="Palatino Linotype" w:hAnsi="Palatino Linotype" w:cs="Arial"/>
        </w:rPr>
        <w:t xml:space="preserve">Plano Manzanero y los  </w:t>
      </w:r>
      <w:r w:rsidR="003B72C4" w:rsidRPr="00AE0EBD">
        <w:rPr>
          <w:rFonts w:ascii="Palatino Linotype" w:hAnsi="Palatino Linotype"/>
          <w:color w:val="000000"/>
        </w:rPr>
        <w:t xml:space="preserve">Certificados de Inscripción, de los inmuebles referidos en </w:t>
      </w:r>
      <w:r w:rsidR="003B72C4" w:rsidRPr="00AE0EBD">
        <w:rPr>
          <w:rFonts w:ascii="Palatino Linotype" w:eastAsia="Calibri" w:hAnsi="Palatino Linotype" w:cs="Arial"/>
        </w:rPr>
        <w:t xml:space="preserve">la solicitud de información </w:t>
      </w:r>
      <w:r w:rsidR="003B72C4" w:rsidRPr="00AE0EBD">
        <w:rPr>
          <w:rFonts w:ascii="Palatino Linotype" w:eastAsia="Calibri" w:hAnsi="Palatino Linotype" w:cs="Arial"/>
          <w:b/>
        </w:rPr>
        <w:t>01460/HUIXQUIL/IP/2019</w:t>
      </w:r>
      <w:r w:rsidR="003B72C4" w:rsidRPr="00AE0EBD">
        <w:rPr>
          <w:rFonts w:ascii="Palatino Linotype" w:eastAsia="Calibri" w:hAnsi="Palatino Linotype" w:cs="Arial"/>
        </w:rPr>
        <w:t>.</w:t>
      </w:r>
    </w:p>
    <w:p w:rsidR="003B72C4" w:rsidRPr="00AE0EBD" w:rsidRDefault="003B72C4" w:rsidP="003B72C4">
      <w:pPr>
        <w:pStyle w:val="Sinespaciado"/>
        <w:ind w:left="720" w:right="283"/>
        <w:jc w:val="both"/>
        <w:rPr>
          <w:rFonts w:ascii="Palatino Linotype" w:hAnsi="Palatino Linotype" w:cs="Arial"/>
          <w:i/>
          <w:sz w:val="22"/>
        </w:rPr>
      </w:pPr>
    </w:p>
    <w:p w:rsidR="003B72C4" w:rsidRPr="00AE0EBD" w:rsidRDefault="003B72C4" w:rsidP="003B72C4">
      <w:pPr>
        <w:pStyle w:val="Sinespaciado"/>
        <w:ind w:left="720" w:right="425"/>
        <w:jc w:val="both"/>
        <w:rPr>
          <w:rFonts w:ascii="Palatino Linotype" w:hAnsi="Palatino Linotype" w:cs="Arial"/>
          <w:i/>
          <w:sz w:val="22"/>
        </w:rPr>
      </w:pPr>
      <w:r w:rsidRPr="00AE0EBD">
        <w:rPr>
          <w:rFonts w:ascii="Palatino Linotype" w:hAnsi="Palatino Linotype" w:cs="Arial"/>
          <w:i/>
          <w:sz w:val="22"/>
        </w:rPr>
        <w:t xml:space="preserve">De ser procedente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y se ponga a disposición del </w:t>
      </w:r>
      <w:r w:rsidRPr="00AE0EBD">
        <w:rPr>
          <w:rFonts w:ascii="Palatino Linotype" w:hAnsi="Palatino Linotype" w:cs="Arial"/>
          <w:b/>
          <w:i/>
          <w:sz w:val="22"/>
        </w:rPr>
        <w:t>Recurrente</w:t>
      </w:r>
      <w:r w:rsidRPr="00AE0EBD">
        <w:rPr>
          <w:rFonts w:ascii="Palatino Linotype" w:hAnsi="Palatino Linotype" w:cs="Arial"/>
          <w:i/>
          <w:sz w:val="22"/>
        </w:rPr>
        <w:t>.</w:t>
      </w:r>
    </w:p>
    <w:p w:rsidR="00120DAA" w:rsidRPr="00AE0EBD" w:rsidRDefault="00120DAA" w:rsidP="00120DAA">
      <w:pPr>
        <w:pStyle w:val="Sinespaciado"/>
      </w:pPr>
    </w:p>
    <w:p w:rsidR="00120DAA" w:rsidRPr="00AE0EBD" w:rsidRDefault="00120DAA" w:rsidP="00120DAA">
      <w:pPr>
        <w:pStyle w:val="Sinespaciado"/>
      </w:pPr>
    </w:p>
    <w:p w:rsidR="00120DAA" w:rsidRPr="00AE0EBD" w:rsidRDefault="00120DAA" w:rsidP="00120DAA">
      <w:pPr>
        <w:pStyle w:val="Sinespaciado"/>
        <w:spacing w:line="360" w:lineRule="auto"/>
        <w:jc w:val="both"/>
        <w:rPr>
          <w:rFonts w:ascii="Palatino Linotype" w:hAnsi="Palatino Linotype" w:cs="Arial"/>
        </w:rPr>
      </w:pPr>
      <w:r w:rsidRPr="00AE0EBD">
        <w:rPr>
          <w:rFonts w:ascii="Palatino Linotype" w:hAnsi="Palatino Linotype" w:cs="Arial"/>
          <w:b/>
          <w:sz w:val="28"/>
        </w:rPr>
        <w:t>TERCERO.</w:t>
      </w:r>
      <w:r w:rsidRPr="00AE0EBD">
        <w:rPr>
          <w:rFonts w:ascii="Palatino Linotype" w:hAnsi="Palatino Linotype" w:cs="Arial"/>
          <w:b/>
        </w:rPr>
        <w:t xml:space="preserve"> NOTIFÍQUESE</w:t>
      </w:r>
      <w:r w:rsidRPr="00AE0EBD">
        <w:rPr>
          <w:rFonts w:ascii="Palatino Linotype" w:hAnsi="Palatino Linotype" w:cs="Arial"/>
          <w:b/>
          <w:i/>
        </w:rPr>
        <w:t xml:space="preserve"> </w:t>
      </w:r>
      <w:r w:rsidRPr="00AE0EBD">
        <w:rPr>
          <w:rFonts w:ascii="Palatino Linotype" w:hAnsi="Palatino Linotype" w:cs="Arial"/>
        </w:rPr>
        <w:t>al Titular de la Unidad de Transparencia del</w:t>
      </w:r>
      <w:r w:rsidRPr="00AE0EBD">
        <w:rPr>
          <w:rFonts w:ascii="Palatino Linotype" w:hAnsi="Palatino Linotype" w:cs="Arial"/>
          <w:b/>
        </w:rPr>
        <w:t xml:space="preserve"> </w:t>
      </w:r>
      <w:r w:rsidRPr="00AE0EBD">
        <w:rPr>
          <w:rFonts w:ascii="Palatino Linotype" w:hAnsi="Palatino Linotype" w:cs="Arial"/>
        </w:rPr>
        <w:t xml:space="preserve">Sujeto Obligado, para que conforme al artículo 186 último párrafo, 189 segundo párrafo y 194, de la Ley de Transparencia y Acceso a la Información Pública del Estado de México y Municipios; dé cumplimiento a lo ordenado dentro del plazo de diez días </w:t>
      </w:r>
      <w:r w:rsidRPr="00AE0EBD">
        <w:rPr>
          <w:rFonts w:ascii="Palatino Linotype" w:hAnsi="Palatino Linotype" w:cs="Arial"/>
        </w:rPr>
        <w:lastRenderedPageBreak/>
        <w:t>hábiles, debiendo informar a este Instituto en un plazo de tres días hábiles siguientes sobre el cumplimiento dado a la presente resolución.</w:t>
      </w:r>
    </w:p>
    <w:p w:rsidR="00120DAA" w:rsidRPr="00AE0EBD" w:rsidRDefault="00120DAA" w:rsidP="00120DAA">
      <w:pPr>
        <w:pStyle w:val="Sinespaciado"/>
        <w:spacing w:line="360" w:lineRule="auto"/>
        <w:jc w:val="both"/>
        <w:rPr>
          <w:rFonts w:ascii="Palatino Linotype" w:hAnsi="Palatino Linotype" w:cs="Arial"/>
        </w:rPr>
      </w:pPr>
    </w:p>
    <w:p w:rsidR="00120DAA" w:rsidRPr="00AE0EBD" w:rsidRDefault="00120DAA" w:rsidP="00120DAA">
      <w:pPr>
        <w:pStyle w:val="Sinespaciado"/>
        <w:spacing w:line="360" w:lineRule="auto"/>
        <w:jc w:val="both"/>
        <w:rPr>
          <w:rFonts w:ascii="Palatino Linotype" w:hAnsi="Palatino Linotype" w:cs="Arial"/>
        </w:rPr>
      </w:pPr>
      <w:r w:rsidRPr="00AE0EBD">
        <w:rPr>
          <w:rFonts w:ascii="Palatino Linotype" w:hAnsi="Palatino Linotype" w:cs="Arial"/>
          <w:b/>
          <w:sz w:val="28"/>
        </w:rPr>
        <w:t xml:space="preserve">CUARTO. </w:t>
      </w:r>
      <w:r w:rsidRPr="00AE0EBD">
        <w:rPr>
          <w:rFonts w:ascii="Palatino Linotype" w:hAnsi="Palatino Linotype" w:cs="Arial"/>
          <w:b/>
        </w:rPr>
        <w:t xml:space="preserve">NOTIFÍQUESE </w:t>
      </w:r>
      <w:r w:rsidRPr="00AE0EBD">
        <w:rPr>
          <w:rFonts w:ascii="Palatino Linotype" w:hAnsi="Palatino Linotype" w:cs="Arial"/>
        </w:rPr>
        <w:t xml:space="preserve">la presente resolución al </w:t>
      </w:r>
      <w:r w:rsidRPr="00AE0EBD">
        <w:rPr>
          <w:rFonts w:ascii="Palatino Linotype" w:hAnsi="Palatino Linotype" w:cs="Arial"/>
          <w:b/>
        </w:rPr>
        <w:t xml:space="preserve">Recurrente </w:t>
      </w:r>
      <w:r w:rsidRPr="00AE0EBD">
        <w:rPr>
          <w:rFonts w:ascii="Palatino Linotype" w:hAnsi="Palatino Linotype" w:cs="Arial"/>
          <w:bCs/>
        </w:rPr>
        <w:t xml:space="preserve">a través del </w:t>
      </w:r>
      <w:r w:rsidRPr="00AE0EBD">
        <w:rPr>
          <w:rFonts w:ascii="Palatino Linotype" w:hAnsi="Palatino Linotype" w:cs="Arial"/>
          <w:b/>
          <w:bCs/>
        </w:rPr>
        <w:t xml:space="preserve">SAIMEX </w:t>
      </w:r>
      <w:r w:rsidRPr="00AE0EBD">
        <w:rPr>
          <w:rFonts w:ascii="Palatino Linotype" w:hAnsi="Palatino Linotype" w:cs="Arial"/>
          <w:bCs/>
        </w:rPr>
        <w:t xml:space="preserve">y </w:t>
      </w:r>
      <w:r w:rsidRPr="00AE0EBD">
        <w:rPr>
          <w:rFonts w:ascii="Palatino Linotype" w:hAnsi="Palatino Linotype" w:cs="Arial"/>
          <w:b/>
          <w:bCs/>
        </w:rPr>
        <w:t>Correo Electrónico</w:t>
      </w:r>
      <w:r w:rsidRPr="00AE0EBD">
        <w:rPr>
          <w:rFonts w:ascii="Palatino Linotype" w:hAnsi="Palatino Linotype" w:cs="Arial"/>
        </w:rPr>
        <w:t>;</w:t>
      </w:r>
      <w:r w:rsidRPr="00AE0EBD">
        <w:t xml:space="preserve"> </w:t>
      </w:r>
      <w:r w:rsidRPr="00AE0EBD">
        <w:rPr>
          <w:rFonts w:ascii="Palatino Linotype" w:hAnsi="Palatino Linotype" w:cs="Arial"/>
        </w:rPr>
        <w:t xml:space="preserve">y hágase de su conocimiento que, </w:t>
      </w:r>
      <w:r w:rsidRPr="00AE0EBD">
        <w:rPr>
          <w:rFonts w:ascii="Palatino Linotype" w:hAnsi="Palatino Linotype"/>
          <w:color w:val="222222"/>
          <w:shd w:val="clear" w:color="auto" w:fill="FFFFFF"/>
        </w:rPr>
        <w:t>de conformidad con lo establecido en el artículo 196, de la Ley de Transparencia y Acceso a la Información Pública del Estado de México y Municipios,</w:t>
      </w:r>
      <w:r w:rsidRPr="00AE0EBD">
        <w:rPr>
          <w:rStyle w:val="apple-converted-space"/>
          <w:rFonts w:ascii="Palatino Linotype" w:hAnsi="Palatino Linotype"/>
          <w:color w:val="222222"/>
          <w:shd w:val="clear" w:color="auto" w:fill="FFFFFF"/>
        </w:rPr>
        <w:t xml:space="preserve"> </w:t>
      </w:r>
      <w:r w:rsidRPr="00AE0EBD">
        <w:rPr>
          <w:rFonts w:ascii="Palatino Linotype" w:hAnsi="Palatino Linotype"/>
          <w:color w:val="222222"/>
          <w:shd w:val="clear" w:color="auto" w:fill="FFFFFF"/>
        </w:rPr>
        <w:t>podrá promover el Juicio de Amparo en los términos de las leyes aplicables.</w:t>
      </w:r>
    </w:p>
    <w:p w:rsidR="00120DAA" w:rsidRPr="00AE0EBD" w:rsidRDefault="00120DAA" w:rsidP="00120DAA">
      <w:pPr>
        <w:pStyle w:val="Sinespaciado"/>
        <w:spacing w:line="360" w:lineRule="auto"/>
        <w:jc w:val="both"/>
        <w:rPr>
          <w:rFonts w:ascii="Palatino Linotype" w:hAnsi="Palatino Linotype" w:cs="Arial"/>
        </w:rPr>
      </w:pPr>
    </w:p>
    <w:p w:rsidR="00120DAA" w:rsidRPr="00AE0EBD" w:rsidRDefault="00120DAA" w:rsidP="00120DAA">
      <w:pPr>
        <w:pStyle w:val="Textoindependiente"/>
        <w:spacing w:line="360" w:lineRule="auto"/>
        <w:jc w:val="both"/>
        <w:rPr>
          <w:rFonts w:ascii="Palatino Linotype" w:hAnsi="Palatino Linotype" w:cs="Arial"/>
          <w:sz w:val="24"/>
          <w:szCs w:val="24"/>
          <w:lang w:val="es-MX"/>
        </w:rPr>
      </w:pPr>
      <w:r w:rsidRPr="00AE0EBD">
        <w:rPr>
          <w:rFonts w:ascii="Palatino Linotype" w:hAnsi="Palatino Linotype" w:cs="Arial"/>
          <w:sz w:val="24"/>
          <w:szCs w:val="24"/>
          <w:lang w:val="es-MX"/>
        </w:rPr>
        <w:t>ASÍ LO RESUELVE, POR UNANIMIDAD DE VOTOS EL PLENO DEL</w:t>
      </w:r>
      <w:r w:rsidRPr="00AE0EBD">
        <w:rPr>
          <w:rFonts w:ascii="Palatino Linotype" w:eastAsia="Arial Unicode MS" w:hAnsi="Palatino Linotype" w:cs="Arial"/>
          <w:sz w:val="24"/>
          <w:szCs w:val="24"/>
          <w:lang w:val="es-MX"/>
        </w:rPr>
        <w:t xml:space="preserve"> INSTITUTO DE TRANSPARENCIA, ACCESO A LA INFORMACIÓN PÚBLICA Y PROTECCIÓN DE DATOS PERSONALES DEL ESTADO DE MÉXICO Y MUNICIPIOS</w:t>
      </w:r>
      <w:r w:rsidRPr="00AE0EBD">
        <w:rPr>
          <w:rFonts w:ascii="Palatino Linotype" w:hAnsi="Palatino Linotype" w:cs="Arial"/>
          <w:sz w:val="24"/>
          <w:szCs w:val="24"/>
          <w:lang w:val="es-MX"/>
        </w:rPr>
        <w:t>, CONFORMADO POR LOS COMISIONADOS ZULEMA MARTÍNEZ SÁNCHEZ, EVA ABAID YAPUR, JOSÉ GUADALUPE LUNA HERNÁNDEZ, JAVIER MARTÍNEZ CRUZ Y LUIS GUSTAVO PARRA NORIEGA, EN LA TRIGÉSIMA SEGUNDA SESIÓN ORDINARIA CELEBRADA EL CUATRO DE SEPTIEMBRE DE DOS MIL DIECINUEVE, ANTE EL SECRETARIO TÉCNICO DEL PLENO, ALEXIS TAPIA RAMÍREZ.---------------------------------------------------------------------------------------- -------------------------------------------------------------------------------------------------------------------------------------------------------------------------------------------------------------------------------------------------------------------------------------------------------------------------------------------------------------------------------------------------------------------------------------------------------------------------------------------------------------------------------------------------------------------------------------------------------------------------------</w:t>
      </w:r>
      <w:r w:rsidR="003B72C4" w:rsidRPr="00AE0EBD">
        <w:rPr>
          <w:rFonts w:ascii="Palatino Linotype" w:hAnsi="Palatino Linotype" w:cs="Arial"/>
          <w:sz w:val="24"/>
          <w:szCs w:val="24"/>
          <w:lang w:val="es-MX"/>
        </w:rPr>
        <w:t>-----------------------------------------------------------------------------------------------------------------</w:t>
      </w:r>
      <w:r w:rsidRPr="00AE0EBD">
        <w:rPr>
          <w:rFonts w:ascii="Palatino Linotype" w:hAnsi="Palatino Linotype" w:cs="Arial"/>
          <w:sz w:val="24"/>
          <w:szCs w:val="24"/>
          <w:lang w:val="es-MX"/>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120DAA" w:rsidRPr="00AE0EBD" w:rsidTr="007010A8">
        <w:tc>
          <w:tcPr>
            <w:tcW w:w="9062" w:type="dxa"/>
            <w:gridSpan w:val="2"/>
          </w:tcPr>
          <w:p w:rsidR="00120DAA" w:rsidRPr="00AE0EBD" w:rsidRDefault="00120DAA" w:rsidP="007010A8">
            <w:pPr>
              <w:pStyle w:val="Sinespaciado"/>
              <w:jc w:val="center"/>
              <w:rPr>
                <w:rFonts w:ascii="Palatino Linotype" w:hAnsi="Palatino Linotype"/>
                <w:b/>
              </w:rPr>
            </w:pPr>
          </w:p>
          <w:p w:rsidR="00120DAA" w:rsidRPr="00AE0EBD" w:rsidRDefault="00120DAA" w:rsidP="007010A8">
            <w:pPr>
              <w:pStyle w:val="Sinespaciado"/>
              <w:jc w:val="center"/>
              <w:rPr>
                <w:rFonts w:ascii="Palatino Linotype" w:hAnsi="Palatino Linotype"/>
                <w:b/>
              </w:rPr>
            </w:pPr>
          </w:p>
          <w:p w:rsidR="00120DAA" w:rsidRPr="00AE0EBD" w:rsidRDefault="00120DAA" w:rsidP="007010A8">
            <w:pPr>
              <w:pStyle w:val="Sinespaciado"/>
              <w:jc w:val="center"/>
              <w:rPr>
                <w:rFonts w:ascii="Palatino Linotype" w:hAnsi="Palatino Linotype"/>
                <w:b/>
              </w:rPr>
            </w:pPr>
          </w:p>
          <w:p w:rsidR="00120DAA" w:rsidRPr="00AE0EBD" w:rsidRDefault="00120DAA" w:rsidP="007010A8">
            <w:pPr>
              <w:pStyle w:val="Sinespaciado"/>
              <w:jc w:val="center"/>
              <w:rPr>
                <w:rFonts w:ascii="Palatino Linotype" w:hAnsi="Palatino Linotype"/>
                <w:b/>
              </w:rPr>
            </w:pPr>
          </w:p>
          <w:p w:rsidR="00120DAA" w:rsidRPr="00AE0EBD" w:rsidRDefault="00120DAA" w:rsidP="007010A8">
            <w:pPr>
              <w:pStyle w:val="Sinespaciado"/>
              <w:jc w:val="center"/>
              <w:rPr>
                <w:rFonts w:ascii="Palatino Linotype" w:hAnsi="Palatino Linotype"/>
                <w:b/>
              </w:rPr>
            </w:pPr>
          </w:p>
          <w:p w:rsidR="00120DAA" w:rsidRPr="00AE0EBD" w:rsidRDefault="00120DAA" w:rsidP="007010A8">
            <w:pPr>
              <w:pStyle w:val="Sinespaciado"/>
              <w:jc w:val="center"/>
              <w:rPr>
                <w:rFonts w:ascii="Palatino Linotype" w:hAnsi="Palatino Linotype"/>
                <w:b/>
              </w:rPr>
            </w:pPr>
            <w:r w:rsidRPr="00AE0EBD">
              <w:rPr>
                <w:rFonts w:ascii="Palatino Linotype" w:hAnsi="Palatino Linotype"/>
                <w:b/>
              </w:rPr>
              <w:t>Zulema Martínez Sánchez</w:t>
            </w:r>
          </w:p>
          <w:p w:rsidR="00120DAA" w:rsidRPr="00AE0EBD" w:rsidRDefault="00120DAA" w:rsidP="007010A8">
            <w:pPr>
              <w:pStyle w:val="Sinespaciado"/>
              <w:jc w:val="center"/>
              <w:rPr>
                <w:rFonts w:ascii="Palatino Linotype" w:hAnsi="Palatino Linotype"/>
                <w:b/>
              </w:rPr>
            </w:pPr>
            <w:r w:rsidRPr="00AE0EBD">
              <w:rPr>
                <w:rFonts w:ascii="Palatino Linotype" w:hAnsi="Palatino Linotype"/>
                <w:b/>
              </w:rPr>
              <w:t>Comisionada Presidenta</w:t>
            </w:r>
          </w:p>
          <w:p w:rsidR="00120DAA" w:rsidRPr="00AE0EBD" w:rsidRDefault="00120DAA" w:rsidP="007010A8">
            <w:pPr>
              <w:pStyle w:val="Sinespaciado"/>
              <w:jc w:val="center"/>
              <w:rPr>
                <w:rFonts w:ascii="Palatino Linotype" w:hAnsi="Palatino Linotype"/>
              </w:rPr>
            </w:pPr>
            <w:r w:rsidRPr="00AE0EBD">
              <w:rPr>
                <w:rFonts w:ascii="Palatino Linotype" w:hAnsi="Palatino Linotype"/>
                <w:b/>
              </w:rPr>
              <w:t>(Rúbrica)</w:t>
            </w:r>
          </w:p>
        </w:tc>
      </w:tr>
      <w:tr w:rsidR="00120DAA" w:rsidRPr="00AE0EBD" w:rsidTr="007010A8">
        <w:tc>
          <w:tcPr>
            <w:tcW w:w="4531" w:type="dxa"/>
          </w:tcPr>
          <w:p w:rsidR="00120DAA" w:rsidRPr="00AE0EBD" w:rsidRDefault="00120DAA" w:rsidP="007010A8">
            <w:pPr>
              <w:pStyle w:val="Sinespaciado"/>
              <w:jc w:val="center"/>
              <w:rPr>
                <w:rFonts w:ascii="Palatino Linotype" w:hAnsi="Palatino Linotype"/>
                <w:b/>
              </w:rPr>
            </w:pPr>
          </w:p>
          <w:p w:rsidR="00120DAA" w:rsidRPr="00AE0EBD" w:rsidRDefault="00120DAA" w:rsidP="007010A8">
            <w:pPr>
              <w:pStyle w:val="Sinespaciado"/>
              <w:jc w:val="center"/>
              <w:rPr>
                <w:rFonts w:ascii="Palatino Linotype" w:hAnsi="Palatino Linotype"/>
                <w:b/>
              </w:rPr>
            </w:pPr>
          </w:p>
          <w:p w:rsidR="00120DAA" w:rsidRPr="00AE0EBD" w:rsidRDefault="00120DAA" w:rsidP="007010A8">
            <w:pPr>
              <w:pStyle w:val="Sinespaciado"/>
              <w:jc w:val="center"/>
              <w:rPr>
                <w:rFonts w:ascii="Palatino Linotype" w:hAnsi="Palatino Linotype"/>
                <w:b/>
              </w:rPr>
            </w:pPr>
          </w:p>
          <w:p w:rsidR="00120DAA" w:rsidRPr="00AE0EBD" w:rsidRDefault="00120DAA" w:rsidP="007010A8">
            <w:pPr>
              <w:pStyle w:val="Sinespaciado"/>
              <w:jc w:val="center"/>
              <w:rPr>
                <w:rFonts w:ascii="Palatino Linotype" w:hAnsi="Palatino Linotype"/>
                <w:b/>
              </w:rPr>
            </w:pPr>
          </w:p>
          <w:p w:rsidR="00120DAA" w:rsidRPr="00AE0EBD" w:rsidRDefault="00120DAA" w:rsidP="007010A8">
            <w:pPr>
              <w:pStyle w:val="Sinespaciado"/>
              <w:jc w:val="center"/>
              <w:rPr>
                <w:rFonts w:ascii="Palatino Linotype" w:hAnsi="Palatino Linotype"/>
                <w:b/>
              </w:rPr>
            </w:pPr>
          </w:p>
          <w:p w:rsidR="00120DAA" w:rsidRPr="00AE0EBD" w:rsidRDefault="00120DAA" w:rsidP="007010A8">
            <w:pPr>
              <w:pStyle w:val="Sinespaciado"/>
              <w:jc w:val="center"/>
              <w:rPr>
                <w:rFonts w:ascii="Palatino Linotype" w:hAnsi="Palatino Linotype"/>
                <w:b/>
              </w:rPr>
            </w:pPr>
          </w:p>
          <w:p w:rsidR="00120DAA" w:rsidRPr="00AE0EBD" w:rsidRDefault="00120DAA" w:rsidP="007010A8">
            <w:pPr>
              <w:pStyle w:val="Sinespaciado"/>
              <w:jc w:val="center"/>
              <w:rPr>
                <w:rFonts w:ascii="Palatino Linotype" w:hAnsi="Palatino Linotype"/>
                <w:b/>
              </w:rPr>
            </w:pPr>
            <w:r w:rsidRPr="00AE0EBD">
              <w:rPr>
                <w:rFonts w:ascii="Palatino Linotype" w:hAnsi="Palatino Linotype"/>
                <w:b/>
              </w:rPr>
              <w:t>Eva Abaid Yapur</w:t>
            </w:r>
          </w:p>
          <w:p w:rsidR="00120DAA" w:rsidRPr="00AE0EBD" w:rsidRDefault="00120DAA" w:rsidP="007010A8">
            <w:pPr>
              <w:pStyle w:val="Sinespaciado"/>
              <w:jc w:val="center"/>
              <w:rPr>
                <w:rFonts w:ascii="Palatino Linotype" w:hAnsi="Palatino Linotype"/>
                <w:b/>
              </w:rPr>
            </w:pPr>
            <w:r w:rsidRPr="00AE0EBD">
              <w:rPr>
                <w:rFonts w:ascii="Palatino Linotype" w:hAnsi="Palatino Linotype"/>
                <w:b/>
              </w:rPr>
              <w:t>Comisionada</w:t>
            </w:r>
          </w:p>
          <w:p w:rsidR="00120DAA" w:rsidRPr="00AE0EBD" w:rsidRDefault="00120DAA" w:rsidP="007010A8">
            <w:pPr>
              <w:pStyle w:val="Sinespaciado"/>
              <w:jc w:val="center"/>
              <w:rPr>
                <w:rFonts w:ascii="Palatino Linotype" w:hAnsi="Palatino Linotype"/>
                <w:b/>
              </w:rPr>
            </w:pPr>
            <w:r w:rsidRPr="00AE0EBD">
              <w:rPr>
                <w:rFonts w:ascii="Palatino Linotype" w:hAnsi="Palatino Linotype"/>
                <w:b/>
              </w:rPr>
              <w:t>(Rúbrica)</w:t>
            </w:r>
          </w:p>
        </w:tc>
        <w:tc>
          <w:tcPr>
            <w:tcW w:w="4531" w:type="dxa"/>
          </w:tcPr>
          <w:p w:rsidR="00120DAA" w:rsidRPr="00AE0EBD" w:rsidRDefault="00120DAA" w:rsidP="007010A8">
            <w:pPr>
              <w:pStyle w:val="Sinespaciado"/>
              <w:jc w:val="center"/>
              <w:rPr>
                <w:rFonts w:ascii="Palatino Linotype" w:hAnsi="Palatino Linotype"/>
                <w:b/>
              </w:rPr>
            </w:pPr>
          </w:p>
          <w:p w:rsidR="00120DAA" w:rsidRPr="00AE0EBD" w:rsidRDefault="00120DAA" w:rsidP="007010A8">
            <w:pPr>
              <w:pStyle w:val="Sinespaciado"/>
              <w:jc w:val="center"/>
              <w:rPr>
                <w:rFonts w:ascii="Palatino Linotype" w:hAnsi="Palatino Linotype"/>
                <w:b/>
              </w:rPr>
            </w:pPr>
          </w:p>
          <w:p w:rsidR="00120DAA" w:rsidRPr="00AE0EBD" w:rsidRDefault="00120DAA" w:rsidP="007010A8">
            <w:pPr>
              <w:pStyle w:val="Sinespaciado"/>
              <w:jc w:val="center"/>
              <w:rPr>
                <w:rFonts w:ascii="Palatino Linotype" w:hAnsi="Palatino Linotype"/>
                <w:b/>
              </w:rPr>
            </w:pPr>
          </w:p>
          <w:p w:rsidR="00120DAA" w:rsidRPr="00AE0EBD" w:rsidRDefault="00120DAA" w:rsidP="007010A8">
            <w:pPr>
              <w:pStyle w:val="Sinespaciado"/>
              <w:jc w:val="center"/>
              <w:rPr>
                <w:rFonts w:ascii="Palatino Linotype" w:hAnsi="Palatino Linotype"/>
                <w:b/>
              </w:rPr>
            </w:pPr>
          </w:p>
          <w:p w:rsidR="00120DAA" w:rsidRPr="00AE0EBD" w:rsidRDefault="00120DAA" w:rsidP="007010A8">
            <w:pPr>
              <w:pStyle w:val="Sinespaciado"/>
              <w:jc w:val="center"/>
              <w:rPr>
                <w:rFonts w:ascii="Palatino Linotype" w:hAnsi="Palatino Linotype"/>
                <w:b/>
              </w:rPr>
            </w:pPr>
          </w:p>
          <w:p w:rsidR="00120DAA" w:rsidRPr="00AE0EBD" w:rsidRDefault="00120DAA" w:rsidP="007010A8">
            <w:pPr>
              <w:pStyle w:val="Sinespaciado"/>
              <w:jc w:val="center"/>
              <w:rPr>
                <w:rFonts w:ascii="Palatino Linotype" w:hAnsi="Palatino Linotype"/>
                <w:b/>
              </w:rPr>
            </w:pPr>
          </w:p>
          <w:p w:rsidR="00120DAA" w:rsidRPr="00AE0EBD" w:rsidRDefault="00120DAA" w:rsidP="007010A8">
            <w:pPr>
              <w:pStyle w:val="Sinespaciado"/>
              <w:jc w:val="center"/>
              <w:rPr>
                <w:rFonts w:ascii="Palatino Linotype" w:hAnsi="Palatino Linotype"/>
                <w:b/>
              </w:rPr>
            </w:pPr>
            <w:r w:rsidRPr="00AE0EBD">
              <w:rPr>
                <w:rFonts w:ascii="Palatino Linotype" w:hAnsi="Palatino Linotype"/>
                <w:b/>
              </w:rPr>
              <w:t>José Guadalupe Luna Hernández</w:t>
            </w:r>
          </w:p>
          <w:p w:rsidR="00120DAA" w:rsidRPr="00AE0EBD" w:rsidRDefault="00120DAA" w:rsidP="007010A8">
            <w:pPr>
              <w:pStyle w:val="Sinespaciado"/>
              <w:jc w:val="center"/>
              <w:rPr>
                <w:rFonts w:ascii="Palatino Linotype" w:hAnsi="Palatino Linotype"/>
                <w:b/>
              </w:rPr>
            </w:pPr>
            <w:r w:rsidRPr="00AE0EBD">
              <w:rPr>
                <w:rFonts w:ascii="Palatino Linotype" w:hAnsi="Palatino Linotype"/>
                <w:b/>
              </w:rPr>
              <w:t>Comisionado</w:t>
            </w:r>
          </w:p>
          <w:p w:rsidR="00120DAA" w:rsidRPr="00AE0EBD" w:rsidRDefault="00120DAA" w:rsidP="007010A8">
            <w:pPr>
              <w:pStyle w:val="Sinespaciado"/>
              <w:jc w:val="center"/>
              <w:rPr>
                <w:rFonts w:ascii="Palatino Linotype" w:hAnsi="Palatino Linotype"/>
                <w:b/>
              </w:rPr>
            </w:pPr>
            <w:r w:rsidRPr="00AE0EBD">
              <w:rPr>
                <w:rFonts w:ascii="Palatino Linotype" w:hAnsi="Palatino Linotype"/>
                <w:b/>
              </w:rPr>
              <w:t>(Rúbrica)</w:t>
            </w:r>
          </w:p>
        </w:tc>
      </w:tr>
      <w:tr w:rsidR="00120DAA" w:rsidRPr="00AE0EBD" w:rsidTr="007010A8">
        <w:tc>
          <w:tcPr>
            <w:tcW w:w="4531" w:type="dxa"/>
          </w:tcPr>
          <w:p w:rsidR="00120DAA" w:rsidRPr="00AE0EBD" w:rsidRDefault="00120DAA" w:rsidP="007010A8">
            <w:pPr>
              <w:pStyle w:val="Sinespaciado"/>
              <w:jc w:val="center"/>
              <w:rPr>
                <w:rFonts w:ascii="Palatino Linotype" w:hAnsi="Palatino Linotype"/>
                <w:b/>
              </w:rPr>
            </w:pPr>
          </w:p>
          <w:p w:rsidR="00120DAA" w:rsidRPr="00AE0EBD" w:rsidRDefault="00120DAA" w:rsidP="007010A8">
            <w:pPr>
              <w:pStyle w:val="Sinespaciado"/>
              <w:jc w:val="center"/>
              <w:rPr>
                <w:rFonts w:ascii="Palatino Linotype" w:hAnsi="Palatino Linotype"/>
                <w:b/>
              </w:rPr>
            </w:pPr>
          </w:p>
          <w:p w:rsidR="00120DAA" w:rsidRPr="00AE0EBD" w:rsidRDefault="00120DAA" w:rsidP="007010A8">
            <w:pPr>
              <w:pStyle w:val="Sinespaciado"/>
              <w:jc w:val="center"/>
              <w:rPr>
                <w:rFonts w:ascii="Palatino Linotype" w:hAnsi="Palatino Linotype"/>
                <w:b/>
              </w:rPr>
            </w:pPr>
          </w:p>
          <w:p w:rsidR="00120DAA" w:rsidRPr="00AE0EBD" w:rsidRDefault="00120DAA" w:rsidP="007010A8">
            <w:pPr>
              <w:pStyle w:val="Sinespaciado"/>
              <w:jc w:val="center"/>
              <w:rPr>
                <w:rFonts w:ascii="Palatino Linotype" w:hAnsi="Palatino Linotype"/>
                <w:b/>
              </w:rPr>
            </w:pPr>
          </w:p>
          <w:p w:rsidR="00120DAA" w:rsidRPr="00AE0EBD" w:rsidRDefault="00120DAA" w:rsidP="007010A8">
            <w:pPr>
              <w:pStyle w:val="Sinespaciado"/>
              <w:jc w:val="center"/>
              <w:rPr>
                <w:rFonts w:ascii="Palatino Linotype" w:hAnsi="Palatino Linotype"/>
                <w:b/>
              </w:rPr>
            </w:pPr>
          </w:p>
          <w:p w:rsidR="00120DAA" w:rsidRPr="00AE0EBD" w:rsidRDefault="00120DAA" w:rsidP="007010A8">
            <w:pPr>
              <w:pStyle w:val="Sinespaciado"/>
              <w:jc w:val="center"/>
              <w:rPr>
                <w:rFonts w:ascii="Palatino Linotype" w:hAnsi="Palatino Linotype"/>
                <w:b/>
              </w:rPr>
            </w:pPr>
          </w:p>
          <w:p w:rsidR="00120DAA" w:rsidRPr="00AE0EBD" w:rsidRDefault="00120DAA" w:rsidP="007010A8">
            <w:pPr>
              <w:pStyle w:val="Sinespaciado"/>
              <w:jc w:val="center"/>
              <w:rPr>
                <w:rFonts w:ascii="Palatino Linotype" w:hAnsi="Palatino Linotype"/>
                <w:b/>
              </w:rPr>
            </w:pPr>
            <w:r w:rsidRPr="00AE0EBD">
              <w:rPr>
                <w:rFonts w:ascii="Palatino Linotype" w:hAnsi="Palatino Linotype"/>
                <w:b/>
              </w:rPr>
              <w:t>Javier Martínez Cruz</w:t>
            </w:r>
          </w:p>
          <w:p w:rsidR="00120DAA" w:rsidRPr="00AE0EBD" w:rsidRDefault="00120DAA" w:rsidP="007010A8">
            <w:pPr>
              <w:pStyle w:val="Sinespaciado"/>
              <w:jc w:val="center"/>
              <w:rPr>
                <w:rFonts w:ascii="Palatino Linotype" w:hAnsi="Palatino Linotype"/>
                <w:b/>
              </w:rPr>
            </w:pPr>
            <w:r w:rsidRPr="00AE0EBD">
              <w:rPr>
                <w:rFonts w:ascii="Palatino Linotype" w:hAnsi="Palatino Linotype"/>
                <w:b/>
              </w:rPr>
              <w:t>Comisionado</w:t>
            </w:r>
          </w:p>
          <w:p w:rsidR="00120DAA" w:rsidRPr="00AE0EBD" w:rsidRDefault="00120DAA" w:rsidP="007010A8">
            <w:pPr>
              <w:pStyle w:val="Sinespaciado"/>
              <w:jc w:val="center"/>
              <w:rPr>
                <w:rFonts w:ascii="Palatino Linotype" w:hAnsi="Palatino Linotype"/>
                <w:b/>
              </w:rPr>
            </w:pPr>
            <w:r w:rsidRPr="00AE0EBD">
              <w:rPr>
                <w:rFonts w:ascii="Palatino Linotype" w:hAnsi="Palatino Linotype"/>
                <w:b/>
              </w:rPr>
              <w:t>(Rúbrica)</w:t>
            </w:r>
          </w:p>
        </w:tc>
        <w:tc>
          <w:tcPr>
            <w:tcW w:w="4531" w:type="dxa"/>
          </w:tcPr>
          <w:p w:rsidR="00120DAA" w:rsidRPr="00AE0EBD" w:rsidRDefault="00120DAA" w:rsidP="007010A8">
            <w:pPr>
              <w:pStyle w:val="Sinespaciado"/>
              <w:jc w:val="center"/>
              <w:rPr>
                <w:rFonts w:ascii="Palatino Linotype" w:hAnsi="Palatino Linotype"/>
                <w:b/>
              </w:rPr>
            </w:pPr>
          </w:p>
          <w:p w:rsidR="00120DAA" w:rsidRPr="00AE0EBD" w:rsidRDefault="00120DAA" w:rsidP="007010A8">
            <w:pPr>
              <w:pStyle w:val="Sinespaciado"/>
              <w:jc w:val="center"/>
              <w:rPr>
                <w:rFonts w:ascii="Palatino Linotype" w:hAnsi="Palatino Linotype"/>
                <w:b/>
              </w:rPr>
            </w:pPr>
          </w:p>
          <w:p w:rsidR="00120DAA" w:rsidRPr="00AE0EBD" w:rsidRDefault="00120DAA" w:rsidP="007010A8">
            <w:pPr>
              <w:pStyle w:val="Sinespaciado"/>
              <w:jc w:val="center"/>
              <w:rPr>
                <w:rFonts w:ascii="Palatino Linotype" w:hAnsi="Palatino Linotype"/>
                <w:b/>
              </w:rPr>
            </w:pPr>
          </w:p>
          <w:p w:rsidR="00120DAA" w:rsidRPr="00AE0EBD" w:rsidRDefault="00120DAA" w:rsidP="007010A8">
            <w:pPr>
              <w:pStyle w:val="Sinespaciado"/>
              <w:jc w:val="center"/>
              <w:rPr>
                <w:rFonts w:ascii="Palatino Linotype" w:hAnsi="Palatino Linotype"/>
                <w:b/>
              </w:rPr>
            </w:pPr>
          </w:p>
          <w:p w:rsidR="00120DAA" w:rsidRPr="00AE0EBD" w:rsidRDefault="00120DAA" w:rsidP="007010A8">
            <w:pPr>
              <w:pStyle w:val="Sinespaciado"/>
              <w:jc w:val="center"/>
              <w:rPr>
                <w:rFonts w:ascii="Palatino Linotype" w:hAnsi="Palatino Linotype"/>
                <w:b/>
              </w:rPr>
            </w:pPr>
          </w:p>
          <w:p w:rsidR="00120DAA" w:rsidRPr="00AE0EBD" w:rsidRDefault="00120DAA" w:rsidP="007010A8">
            <w:pPr>
              <w:pStyle w:val="Sinespaciado"/>
              <w:jc w:val="center"/>
              <w:rPr>
                <w:rFonts w:ascii="Palatino Linotype" w:hAnsi="Palatino Linotype"/>
                <w:b/>
              </w:rPr>
            </w:pPr>
          </w:p>
          <w:p w:rsidR="00120DAA" w:rsidRPr="00AE0EBD" w:rsidRDefault="00120DAA" w:rsidP="007010A8">
            <w:pPr>
              <w:pStyle w:val="Sinespaciado"/>
              <w:jc w:val="center"/>
              <w:rPr>
                <w:rFonts w:ascii="Palatino Linotype" w:hAnsi="Palatino Linotype"/>
                <w:b/>
              </w:rPr>
            </w:pPr>
            <w:r w:rsidRPr="00AE0EBD">
              <w:rPr>
                <w:rFonts w:ascii="Palatino Linotype" w:hAnsi="Palatino Linotype"/>
                <w:b/>
              </w:rPr>
              <w:t>Luis Gustavo Parra Noriega</w:t>
            </w:r>
          </w:p>
          <w:p w:rsidR="00120DAA" w:rsidRPr="00AE0EBD" w:rsidRDefault="00120DAA" w:rsidP="007010A8">
            <w:pPr>
              <w:pStyle w:val="Sinespaciado"/>
              <w:jc w:val="center"/>
              <w:rPr>
                <w:rFonts w:ascii="Palatino Linotype" w:hAnsi="Palatino Linotype"/>
                <w:b/>
              </w:rPr>
            </w:pPr>
            <w:r w:rsidRPr="00AE0EBD">
              <w:rPr>
                <w:rFonts w:ascii="Palatino Linotype" w:hAnsi="Palatino Linotype"/>
                <w:b/>
              </w:rPr>
              <w:t>Comisionado</w:t>
            </w:r>
          </w:p>
          <w:p w:rsidR="00120DAA" w:rsidRPr="00AE0EBD" w:rsidRDefault="00120DAA" w:rsidP="007010A8">
            <w:pPr>
              <w:pStyle w:val="Sinespaciado"/>
              <w:jc w:val="center"/>
              <w:rPr>
                <w:rFonts w:ascii="Palatino Linotype" w:hAnsi="Palatino Linotype"/>
                <w:b/>
              </w:rPr>
            </w:pPr>
            <w:r w:rsidRPr="00AE0EBD">
              <w:rPr>
                <w:rFonts w:ascii="Palatino Linotype" w:hAnsi="Palatino Linotype"/>
                <w:b/>
              </w:rPr>
              <w:t>(Rúbrica)</w:t>
            </w:r>
          </w:p>
        </w:tc>
      </w:tr>
      <w:tr w:rsidR="00120DAA" w:rsidRPr="00AE0EBD" w:rsidTr="007010A8">
        <w:tc>
          <w:tcPr>
            <w:tcW w:w="9062" w:type="dxa"/>
            <w:gridSpan w:val="2"/>
          </w:tcPr>
          <w:p w:rsidR="00120DAA" w:rsidRPr="00AE0EBD" w:rsidRDefault="00120DAA" w:rsidP="007010A8">
            <w:pPr>
              <w:pStyle w:val="Sinespaciado"/>
              <w:jc w:val="center"/>
              <w:rPr>
                <w:rFonts w:ascii="Palatino Linotype" w:hAnsi="Palatino Linotype"/>
                <w:b/>
              </w:rPr>
            </w:pPr>
          </w:p>
          <w:p w:rsidR="00120DAA" w:rsidRPr="00AE0EBD" w:rsidRDefault="00120DAA" w:rsidP="007010A8">
            <w:pPr>
              <w:pStyle w:val="Sinespaciado"/>
              <w:jc w:val="center"/>
              <w:rPr>
                <w:rFonts w:ascii="Palatino Linotype" w:hAnsi="Palatino Linotype"/>
                <w:b/>
              </w:rPr>
            </w:pPr>
          </w:p>
          <w:p w:rsidR="00120DAA" w:rsidRPr="00AE0EBD" w:rsidRDefault="00120DAA" w:rsidP="007010A8">
            <w:pPr>
              <w:pStyle w:val="Sinespaciado"/>
              <w:jc w:val="center"/>
              <w:rPr>
                <w:rFonts w:ascii="Palatino Linotype" w:hAnsi="Palatino Linotype"/>
                <w:b/>
              </w:rPr>
            </w:pPr>
          </w:p>
          <w:p w:rsidR="00120DAA" w:rsidRPr="00AE0EBD" w:rsidRDefault="00120DAA" w:rsidP="007010A8">
            <w:pPr>
              <w:pStyle w:val="Sinespaciado"/>
              <w:jc w:val="center"/>
              <w:rPr>
                <w:rFonts w:ascii="Palatino Linotype" w:hAnsi="Palatino Linotype"/>
                <w:b/>
              </w:rPr>
            </w:pPr>
          </w:p>
          <w:p w:rsidR="00120DAA" w:rsidRPr="00AE0EBD" w:rsidRDefault="00120DAA" w:rsidP="007010A8">
            <w:pPr>
              <w:pStyle w:val="Sinespaciado"/>
              <w:jc w:val="center"/>
              <w:rPr>
                <w:rFonts w:ascii="Palatino Linotype" w:hAnsi="Palatino Linotype"/>
                <w:b/>
              </w:rPr>
            </w:pPr>
          </w:p>
          <w:p w:rsidR="00120DAA" w:rsidRPr="00AE0EBD" w:rsidRDefault="00120DAA" w:rsidP="007010A8">
            <w:pPr>
              <w:pStyle w:val="Sinespaciado"/>
              <w:jc w:val="center"/>
              <w:rPr>
                <w:rFonts w:ascii="Palatino Linotype" w:hAnsi="Palatino Linotype"/>
                <w:b/>
              </w:rPr>
            </w:pPr>
            <w:r w:rsidRPr="00AE0EBD">
              <w:rPr>
                <w:rFonts w:ascii="Palatino Linotype" w:hAnsi="Palatino Linotype"/>
                <w:b/>
              </w:rPr>
              <w:t>Alexis Tapia Ramírez</w:t>
            </w:r>
          </w:p>
          <w:p w:rsidR="00120DAA" w:rsidRPr="00AE0EBD" w:rsidRDefault="00120DAA" w:rsidP="007010A8">
            <w:pPr>
              <w:pStyle w:val="Sinespaciado"/>
              <w:jc w:val="center"/>
              <w:rPr>
                <w:rFonts w:ascii="Palatino Linotype" w:hAnsi="Palatino Linotype"/>
                <w:b/>
              </w:rPr>
            </w:pPr>
            <w:r w:rsidRPr="00AE0EBD">
              <w:rPr>
                <w:rFonts w:ascii="Palatino Linotype" w:hAnsi="Palatino Linotype"/>
                <w:b/>
              </w:rPr>
              <w:t>Secretario Técnico del Pleno</w:t>
            </w:r>
          </w:p>
          <w:p w:rsidR="00120DAA" w:rsidRPr="00AE0EBD" w:rsidRDefault="00120DAA" w:rsidP="007010A8">
            <w:pPr>
              <w:pStyle w:val="Sinespaciado"/>
              <w:jc w:val="center"/>
              <w:rPr>
                <w:rFonts w:ascii="Palatino Linotype" w:hAnsi="Palatino Linotype"/>
                <w:b/>
              </w:rPr>
            </w:pPr>
            <w:r w:rsidRPr="00AE0EBD">
              <w:rPr>
                <w:rFonts w:ascii="Palatino Linotype" w:hAnsi="Palatino Linotype"/>
                <w:b/>
              </w:rPr>
              <w:t>(Rúbrica)</w:t>
            </w:r>
          </w:p>
        </w:tc>
      </w:tr>
    </w:tbl>
    <w:p w:rsidR="00120DAA" w:rsidRPr="00AE0EBD" w:rsidRDefault="00120DAA" w:rsidP="00120DAA">
      <w:pPr>
        <w:pStyle w:val="Textoindependiente"/>
        <w:jc w:val="both"/>
        <w:rPr>
          <w:rFonts w:ascii="Palatino Linotype" w:hAnsi="Palatino Linotype" w:cs="Arial"/>
          <w:sz w:val="24"/>
          <w:szCs w:val="24"/>
          <w:lang w:val="es-MX"/>
        </w:rPr>
      </w:pPr>
    </w:p>
    <w:p w:rsidR="00120DAA" w:rsidRPr="00AE0EBD" w:rsidRDefault="00120DAA" w:rsidP="00120DAA">
      <w:pPr>
        <w:pStyle w:val="Textoindependiente"/>
        <w:jc w:val="both"/>
        <w:rPr>
          <w:rFonts w:ascii="Palatino Linotype" w:hAnsi="Palatino Linotype"/>
          <w:sz w:val="16"/>
          <w:szCs w:val="18"/>
          <w:lang w:val="es-MX"/>
        </w:rPr>
      </w:pPr>
      <w:r w:rsidRPr="00AE0EBD">
        <w:rPr>
          <w:rFonts w:ascii="Palatino Linotype" w:hAnsi="Palatino Linotype"/>
          <w:sz w:val="16"/>
          <w:szCs w:val="18"/>
          <w:lang w:val="es-MX"/>
        </w:rPr>
        <w:t xml:space="preserve">Esta hoja corresponde a la resolución de fecha cuatro de septiembre de dos mil diecinueve, emitida en el recurso de revisión </w:t>
      </w:r>
      <w:r w:rsidRPr="00AE0EBD">
        <w:rPr>
          <w:rFonts w:ascii="Palatino Linotype" w:hAnsi="Palatino Linotype"/>
          <w:b/>
          <w:sz w:val="16"/>
          <w:szCs w:val="18"/>
          <w:lang w:val="es-MX"/>
        </w:rPr>
        <w:t>05600/INFOEM/IP/RR/2019</w:t>
      </w:r>
      <w:r w:rsidRPr="00AE0EBD">
        <w:rPr>
          <w:rFonts w:ascii="Palatino Linotype" w:hAnsi="Palatino Linotype"/>
          <w:sz w:val="16"/>
          <w:szCs w:val="18"/>
          <w:lang w:val="es-MX"/>
        </w:rPr>
        <w:t>.</w:t>
      </w:r>
    </w:p>
    <w:p w:rsidR="00867E4C" w:rsidRPr="00120DAA" w:rsidRDefault="00120DAA" w:rsidP="00120DAA">
      <w:pPr>
        <w:pStyle w:val="Textoindependiente"/>
        <w:jc w:val="both"/>
        <w:rPr>
          <w:rFonts w:ascii="Palatino Linotype" w:hAnsi="Palatino Linotype"/>
          <w:sz w:val="16"/>
          <w:szCs w:val="18"/>
          <w:lang w:val="es-MX"/>
        </w:rPr>
      </w:pPr>
      <w:r w:rsidRPr="00AE0EBD">
        <w:rPr>
          <w:rFonts w:ascii="Palatino Linotype" w:hAnsi="Palatino Linotype"/>
          <w:sz w:val="16"/>
          <w:szCs w:val="18"/>
          <w:lang w:val="es-MX"/>
        </w:rPr>
        <w:t>ZMS/OSAM/jasm</w:t>
      </w:r>
    </w:p>
    <w:sectPr w:rsidR="00867E4C" w:rsidRPr="00120DAA" w:rsidSect="007010A8">
      <w:headerReference w:type="default" r:id="rId18"/>
      <w:footerReference w:type="default" r:id="rId19"/>
      <w:headerReference w:type="first" r:id="rId20"/>
      <w:footerReference w:type="first" r:id="rId21"/>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353F" w:rsidRDefault="007A353F" w:rsidP="00120DAA">
      <w:pPr>
        <w:spacing w:after="0" w:line="240" w:lineRule="auto"/>
      </w:pPr>
      <w:r>
        <w:separator/>
      </w:r>
    </w:p>
  </w:endnote>
  <w:endnote w:type="continuationSeparator" w:id="0">
    <w:p w:rsidR="007A353F" w:rsidRDefault="007A353F" w:rsidP="00120D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NewRomanPS-ItalicMT">
    <w:panose1 w:val="00000000000000000000"/>
    <w:charset w:val="00"/>
    <w:family w:val="auto"/>
    <w:notTrueType/>
    <w:pitch w:val="default"/>
    <w:sig w:usb0="00000003" w:usb1="00000000" w:usb2="00000000" w:usb3="00000000" w:csb0="00000001" w:csb1="00000000"/>
  </w:font>
  <w:font w:name="Bookman Old Style">
    <w:altName w:val="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10A8" w:rsidRPr="000B69FA" w:rsidRDefault="007010A8" w:rsidP="007010A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C1673">
      <w:rPr>
        <w:rFonts w:ascii="Palatino Linotype" w:hAnsi="Palatino Linotype"/>
        <w:bCs/>
        <w:noProof/>
        <w:sz w:val="20"/>
      </w:rPr>
      <w:t>51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0C1673">
      <w:rPr>
        <w:rFonts w:ascii="Palatino Linotype" w:hAnsi="Palatino Linotype"/>
        <w:bCs/>
        <w:noProof/>
        <w:sz w:val="20"/>
      </w:rPr>
      <w:t>51</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10A8" w:rsidRPr="000B69FA" w:rsidRDefault="007010A8" w:rsidP="007010A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C1673">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0C1673">
      <w:rPr>
        <w:rFonts w:ascii="Palatino Linotype" w:hAnsi="Palatino Linotype"/>
        <w:bCs/>
        <w:noProof/>
        <w:sz w:val="20"/>
      </w:rPr>
      <w:t>51</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353F" w:rsidRDefault="007A353F" w:rsidP="00120DAA">
      <w:pPr>
        <w:spacing w:after="0" w:line="240" w:lineRule="auto"/>
      </w:pPr>
      <w:r>
        <w:separator/>
      </w:r>
    </w:p>
  </w:footnote>
  <w:footnote w:type="continuationSeparator" w:id="0">
    <w:p w:rsidR="007A353F" w:rsidRDefault="007A353F" w:rsidP="00120DAA">
      <w:pPr>
        <w:spacing w:after="0" w:line="240" w:lineRule="auto"/>
      </w:pPr>
      <w:r>
        <w:continuationSeparator/>
      </w:r>
    </w:p>
  </w:footnote>
  <w:footnote w:id="1">
    <w:p w:rsidR="007010A8" w:rsidRPr="00A54DEE" w:rsidRDefault="007010A8" w:rsidP="00120DAA">
      <w:pPr>
        <w:pStyle w:val="Textonotapie"/>
        <w:jc w:val="both"/>
        <w:rPr>
          <w:rFonts w:ascii="Palatino Linotype" w:hAnsi="Palatino Linotype"/>
          <w:i/>
          <w:sz w:val="18"/>
        </w:rPr>
      </w:pPr>
      <w:r>
        <w:rPr>
          <w:rStyle w:val="Refdenotaalpie"/>
        </w:rPr>
        <w:footnoteRef/>
      </w:r>
      <w:r>
        <w:t xml:space="preserve"> </w:t>
      </w:r>
      <w:r w:rsidRPr="00A54DEE">
        <w:rPr>
          <w:rFonts w:ascii="Palatino Linotype" w:hAnsi="Palatino Linotype"/>
          <w:b/>
          <w:i/>
          <w:sz w:val="18"/>
        </w:rPr>
        <w:t>Artículo 175.-</w:t>
      </w:r>
      <w:r w:rsidRPr="00A54DEE">
        <w:rPr>
          <w:rFonts w:ascii="Palatino Linotype" w:hAnsi="Palatino Linotype"/>
          <w:i/>
          <w:sz w:val="18"/>
        </w:rPr>
        <w:t xml:space="preserve"> Los propietarios o poseedores de inmuebles, independientemente del régimen jurídico de propiedad, ubicados en territorio del Estado, incluyendo las Dependencias y Entidades Públicas, están obligados a inscribirlos ante el catastro del Ayuntamiento, mediante manifestación catastral que presenten de acuerdo a lo dispuesto en el Reglamento de éste Titulo y al procedimiento establecido en el Manual Catastral, en los formatos autorizados por el IGECEM, precisando las superficies del terreno y de la construcción, su ubicación, y uso de suelo, si es a título de propietario o poseedor y demás datos solicitados, exhibiendo la documentación requerida para estos efectos.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6096"/>
      <w:gridCol w:w="3969"/>
    </w:tblGrid>
    <w:tr w:rsidR="007010A8" w:rsidTr="007010A8">
      <w:trPr>
        <w:trHeight w:val="227"/>
      </w:trPr>
      <w:tc>
        <w:tcPr>
          <w:tcW w:w="6096" w:type="dxa"/>
          <w:hideMark/>
        </w:tcPr>
        <w:p w:rsidR="007010A8" w:rsidRDefault="007010A8" w:rsidP="007010A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969" w:type="dxa"/>
          <w:hideMark/>
        </w:tcPr>
        <w:p w:rsidR="007010A8" w:rsidRDefault="007010A8" w:rsidP="007010A8">
          <w:pPr>
            <w:spacing w:after="120" w:line="256" w:lineRule="auto"/>
            <w:ind w:left="71"/>
            <w:jc w:val="right"/>
            <w:rPr>
              <w:rFonts w:ascii="Palatino Linotype" w:hAnsi="Palatino Linotype" w:cs="Arial"/>
              <w:szCs w:val="20"/>
            </w:rPr>
          </w:pPr>
          <w:r>
            <w:rPr>
              <w:rFonts w:ascii="Palatino Linotype" w:hAnsi="Palatino Linotype" w:cs="Arial"/>
              <w:szCs w:val="20"/>
            </w:rPr>
            <w:t>05600/INFOEM/IP/RR/2019</w:t>
          </w:r>
        </w:p>
      </w:tc>
    </w:tr>
    <w:tr w:rsidR="007010A8" w:rsidTr="007010A8">
      <w:trPr>
        <w:trHeight w:val="242"/>
      </w:trPr>
      <w:tc>
        <w:tcPr>
          <w:tcW w:w="6096" w:type="dxa"/>
          <w:hideMark/>
        </w:tcPr>
        <w:p w:rsidR="007010A8" w:rsidRDefault="007010A8" w:rsidP="007010A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969" w:type="dxa"/>
          <w:hideMark/>
        </w:tcPr>
        <w:p w:rsidR="007010A8" w:rsidRDefault="007010A8" w:rsidP="007010A8">
          <w:pPr>
            <w:spacing w:after="120" w:line="256" w:lineRule="auto"/>
            <w:jc w:val="right"/>
            <w:rPr>
              <w:rFonts w:ascii="Palatino Linotype" w:hAnsi="Palatino Linotype" w:cs="Arial"/>
              <w:szCs w:val="20"/>
            </w:rPr>
          </w:pPr>
          <w:r>
            <w:rPr>
              <w:rFonts w:ascii="Palatino Linotype" w:hAnsi="Palatino Linotype" w:cs="Arial"/>
              <w:szCs w:val="20"/>
            </w:rPr>
            <w:t>Ayuntamiento de Huixquilucan</w:t>
          </w:r>
        </w:p>
      </w:tc>
    </w:tr>
    <w:tr w:rsidR="007010A8" w:rsidTr="007010A8">
      <w:trPr>
        <w:trHeight w:val="342"/>
      </w:trPr>
      <w:tc>
        <w:tcPr>
          <w:tcW w:w="6096" w:type="dxa"/>
          <w:hideMark/>
        </w:tcPr>
        <w:p w:rsidR="007010A8" w:rsidRDefault="007010A8" w:rsidP="007010A8">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969" w:type="dxa"/>
          <w:hideMark/>
        </w:tcPr>
        <w:p w:rsidR="007010A8" w:rsidRDefault="007010A8" w:rsidP="007010A8">
          <w:pPr>
            <w:spacing w:after="120" w:line="256" w:lineRule="auto"/>
            <w:ind w:left="-486" w:firstLine="567"/>
            <w:jc w:val="right"/>
            <w:rPr>
              <w:rFonts w:ascii="Palatino Linotype" w:hAnsi="Palatino Linotype" w:cs="Arial"/>
              <w:szCs w:val="20"/>
            </w:rPr>
          </w:pPr>
          <w:r>
            <w:rPr>
              <w:rFonts w:ascii="Palatino Linotype" w:hAnsi="Palatino Linotype" w:cs="Arial"/>
              <w:szCs w:val="20"/>
            </w:rPr>
            <w:t>Zulema Martínez Sánchez</w:t>
          </w:r>
        </w:p>
      </w:tc>
    </w:tr>
  </w:tbl>
  <w:p w:rsidR="007010A8" w:rsidRDefault="007010A8" w:rsidP="007010A8">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Layout w:type="fixed"/>
      <w:tblCellMar>
        <w:left w:w="70" w:type="dxa"/>
        <w:right w:w="70" w:type="dxa"/>
      </w:tblCellMar>
      <w:tblLook w:val="04A0" w:firstRow="1" w:lastRow="0" w:firstColumn="1" w:lastColumn="0" w:noHBand="0" w:noVBand="1"/>
    </w:tblPr>
    <w:tblGrid>
      <w:gridCol w:w="6096"/>
      <w:gridCol w:w="3827"/>
    </w:tblGrid>
    <w:tr w:rsidR="007010A8" w:rsidRPr="00633CD9" w:rsidTr="007010A8">
      <w:trPr>
        <w:trHeight w:val="227"/>
      </w:trPr>
      <w:tc>
        <w:tcPr>
          <w:tcW w:w="6096" w:type="dxa"/>
          <w:hideMark/>
        </w:tcPr>
        <w:p w:rsidR="007010A8" w:rsidRDefault="007010A8" w:rsidP="007010A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827" w:type="dxa"/>
          <w:hideMark/>
        </w:tcPr>
        <w:p w:rsidR="007010A8" w:rsidRPr="00B4142F" w:rsidRDefault="007010A8" w:rsidP="007010A8">
          <w:pPr>
            <w:spacing w:after="120" w:line="256" w:lineRule="auto"/>
            <w:ind w:left="-486"/>
            <w:jc w:val="right"/>
            <w:rPr>
              <w:rFonts w:ascii="Palatino Linotype" w:hAnsi="Palatino Linotype" w:cs="Arial"/>
              <w:szCs w:val="20"/>
            </w:rPr>
          </w:pPr>
          <w:r>
            <w:rPr>
              <w:rFonts w:ascii="Palatino Linotype" w:hAnsi="Palatino Linotype" w:cs="Arial"/>
              <w:szCs w:val="20"/>
            </w:rPr>
            <w:t>05600/INFOEM/IP/RR/2019</w:t>
          </w:r>
        </w:p>
      </w:tc>
    </w:tr>
    <w:tr w:rsidR="007010A8" w:rsidRPr="00633CD9" w:rsidTr="007010A8">
      <w:trPr>
        <w:trHeight w:val="196"/>
      </w:trPr>
      <w:tc>
        <w:tcPr>
          <w:tcW w:w="6096" w:type="dxa"/>
          <w:hideMark/>
        </w:tcPr>
        <w:p w:rsidR="007010A8" w:rsidRDefault="007010A8" w:rsidP="007010A8">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3827" w:type="dxa"/>
          <w:hideMark/>
        </w:tcPr>
        <w:p w:rsidR="007010A8" w:rsidRPr="00840752" w:rsidRDefault="007010A8" w:rsidP="007010A8">
          <w:pPr>
            <w:spacing w:after="120" w:line="256" w:lineRule="auto"/>
            <w:ind w:left="-486" w:firstLine="567"/>
            <w:jc w:val="right"/>
            <w:rPr>
              <w:rFonts w:ascii="Palatino Linotype" w:hAnsi="Palatino Linotype" w:cs="Arial"/>
              <w:szCs w:val="20"/>
            </w:rPr>
          </w:pPr>
        </w:p>
      </w:tc>
    </w:tr>
    <w:tr w:rsidR="007010A8" w:rsidRPr="00633CD9" w:rsidTr="007010A8">
      <w:trPr>
        <w:trHeight w:val="242"/>
      </w:trPr>
      <w:tc>
        <w:tcPr>
          <w:tcW w:w="6096" w:type="dxa"/>
          <w:hideMark/>
        </w:tcPr>
        <w:p w:rsidR="007010A8" w:rsidRDefault="007010A8" w:rsidP="007010A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827" w:type="dxa"/>
          <w:hideMark/>
        </w:tcPr>
        <w:p w:rsidR="007010A8" w:rsidRDefault="007010A8" w:rsidP="007010A8">
          <w:pPr>
            <w:spacing w:after="120" w:line="256" w:lineRule="auto"/>
            <w:ind w:left="72"/>
            <w:jc w:val="right"/>
            <w:rPr>
              <w:rFonts w:ascii="Palatino Linotype" w:hAnsi="Palatino Linotype" w:cs="Arial"/>
              <w:szCs w:val="20"/>
            </w:rPr>
          </w:pPr>
          <w:r>
            <w:rPr>
              <w:rFonts w:ascii="Palatino Linotype" w:hAnsi="Palatino Linotype" w:cs="Arial"/>
              <w:szCs w:val="20"/>
            </w:rPr>
            <w:t>Ayuntamiento de Huixquilucan</w:t>
          </w:r>
        </w:p>
      </w:tc>
    </w:tr>
    <w:tr w:rsidR="007010A8" w:rsidTr="007010A8">
      <w:trPr>
        <w:trHeight w:val="342"/>
      </w:trPr>
      <w:tc>
        <w:tcPr>
          <w:tcW w:w="6096" w:type="dxa"/>
          <w:hideMark/>
        </w:tcPr>
        <w:p w:rsidR="007010A8" w:rsidRDefault="007010A8" w:rsidP="007010A8">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827" w:type="dxa"/>
          <w:hideMark/>
        </w:tcPr>
        <w:p w:rsidR="007010A8" w:rsidRDefault="007010A8" w:rsidP="007010A8">
          <w:pPr>
            <w:spacing w:after="120" w:line="256" w:lineRule="auto"/>
            <w:ind w:left="-486" w:firstLine="567"/>
            <w:jc w:val="right"/>
            <w:rPr>
              <w:rFonts w:ascii="Palatino Linotype" w:hAnsi="Palatino Linotype" w:cs="Arial"/>
              <w:szCs w:val="20"/>
            </w:rPr>
          </w:pPr>
          <w:r>
            <w:rPr>
              <w:rFonts w:ascii="Palatino Linotype" w:hAnsi="Palatino Linotype" w:cs="Arial"/>
              <w:szCs w:val="20"/>
            </w:rPr>
            <w:t>Zulema Martínez Sánchez</w:t>
          </w:r>
        </w:p>
      </w:tc>
    </w:tr>
  </w:tbl>
  <w:p w:rsidR="007010A8" w:rsidRDefault="007010A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A13EB"/>
    <w:multiLevelType w:val="hybridMultilevel"/>
    <w:tmpl w:val="2E6A1C5C"/>
    <w:lvl w:ilvl="0" w:tplc="4DF87E36">
      <w:start w:val="1"/>
      <w:numFmt w:val="decimal"/>
      <w:lvlText w:val="%1."/>
      <w:lvlJc w:val="left"/>
      <w:pPr>
        <w:ind w:left="927" w:hanging="360"/>
      </w:pPr>
      <w:rPr>
        <w:rFonts w:hint="default"/>
        <w:b/>
        <w:i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 w15:restartNumberingAfterBreak="0">
    <w:nsid w:val="03E16D5A"/>
    <w:multiLevelType w:val="hybridMultilevel"/>
    <w:tmpl w:val="E91EB70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5B74F6A"/>
    <w:multiLevelType w:val="hybridMultilevel"/>
    <w:tmpl w:val="7024A9B0"/>
    <w:lvl w:ilvl="0" w:tplc="62CA5B92">
      <w:start w:val="1"/>
      <w:numFmt w:val="upperRoman"/>
      <w:lvlText w:val="%1)"/>
      <w:lvlJc w:val="left"/>
      <w:pPr>
        <w:ind w:left="1080" w:hanging="72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9C83BAF"/>
    <w:multiLevelType w:val="hybridMultilevel"/>
    <w:tmpl w:val="93745362"/>
    <w:lvl w:ilvl="0" w:tplc="8318A77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C593670"/>
    <w:multiLevelType w:val="hybridMultilevel"/>
    <w:tmpl w:val="EA9E7408"/>
    <w:lvl w:ilvl="0" w:tplc="EED87EEE">
      <w:start w:val="1"/>
      <w:numFmt w:val="lowerLetter"/>
      <w:lvlText w:val="%1)"/>
      <w:lvlJc w:val="left"/>
      <w:pPr>
        <w:ind w:left="2487"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5" w15:restartNumberingAfterBreak="0">
    <w:nsid w:val="241448EC"/>
    <w:multiLevelType w:val="hybridMultilevel"/>
    <w:tmpl w:val="BAA6E6AC"/>
    <w:lvl w:ilvl="0" w:tplc="4752893E">
      <w:start w:val="1"/>
      <w:numFmt w:val="lowerLetter"/>
      <w:lvlText w:val="%1)"/>
      <w:lvlJc w:val="left"/>
      <w:pPr>
        <w:ind w:left="1069" w:hanging="36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6" w15:restartNumberingAfterBreak="0">
    <w:nsid w:val="2434226C"/>
    <w:multiLevelType w:val="hybridMultilevel"/>
    <w:tmpl w:val="EC78356C"/>
    <w:lvl w:ilvl="0" w:tplc="BD62138C">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D63762A"/>
    <w:multiLevelType w:val="hybridMultilevel"/>
    <w:tmpl w:val="50CC050A"/>
    <w:lvl w:ilvl="0" w:tplc="B78CE5C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D916908"/>
    <w:multiLevelType w:val="hybridMultilevel"/>
    <w:tmpl w:val="98F4552E"/>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8704178"/>
    <w:multiLevelType w:val="hybridMultilevel"/>
    <w:tmpl w:val="54C6B07E"/>
    <w:lvl w:ilvl="0" w:tplc="5978E20E">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1"/>
  </w:num>
  <w:num w:numId="4">
    <w:abstractNumId w:val="2"/>
  </w:num>
  <w:num w:numId="5">
    <w:abstractNumId w:val="5"/>
  </w:num>
  <w:num w:numId="6">
    <w:abstractNumId w:val="0"/>
  </w:num>
  <w:num w:numId="7">
    <w:abstractNumId w:val="8"/>
  </w:num>
  <w:num w:numId="8">
    <w:abstractNumId w:val="6"/>
  </w:num>
  <w:num w:numId="9">
    <w:abstractNumId w:val="4"/>
  </w:num>
  <w:num w:numId="10">
    <w:abstractNumId w:val="3"/>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0DAA"/>
    <w:rsid w:val="000C1673"/>
    <w:rsid w:val="000C68D0"/>
    <w:rsid w:val="00120DAA"/>
    <w:rsid w:val="001A7923"/>
    <w:rsid w:val="003B72C4"/>
    <w:rsid w:val="003D351E"/>
    <w:rsid w:val="00436813"/>
    <w:rsid w:val="00504CF6"/>
    <w:rsid w:val="007010A8"/>
    <w:rsid w:val="00796A23"/>
    <w:rsid w:val="007A353F"/>
    <w:rsid w:val="007D2590"/>
    <w:rsid w:val="00867E4C"/>
    <w:rsid w:val="00991966"/>
    <w:rsid w:val="00AE0EBD"/>
    <w:rsid w:val="00D275D2"/>
    <w:rsid w:val="00E3759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7C7A790-9364-4F5D-BAEE-92E4B4DB9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0DAA"/>
  </w:style>
  <w:style w:type="paragraph" w:styleId="Ttulo1">
    <w:name w:val="heading 1"/>
    <w:basedOn w:val="Normal"/>
    <w:next w:val="Normal"/>
    <w:link w:val="Ttulo1Car"/>
    <w:qFormat/>
    <w:rsid w:val="00120DAA"/>
    <w:pPr>
      <w:keepNext/>
      <w:spacing w:after="0" w:line="240" w:lineRule="auto"/>
      <w:jc w:val="both"/>
      <w:outlineLvl w:val="0"/>
    </w:pPr>
    <w:rPr>
      <w:rFonts w:ascii="Arial" w:eastAsia="Arial Unicode MS" w:hAnsi="Arial" w:cs="Arial"/>
      <w:b/>
      <w:bCs/>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20DAA"/>
    <w:rPr>
      <w:rFonts w:ascii="Arial" w:eastAsia="Arial Unicode MS" w:hAnsi="Arial" w:cs="Arial"/>
      <w:b/>
      <w:bCs/>
      <w:sz w:val="24"/>
      <w:szCs w:val="24"/>
      <w:lang w:eastAsia="es-ES"/>
    </w:rPr>
  </w:style>
  <w:style w:type="paragraph" w:styleId="Encabezado">
    <w:name w:val="header"/>
    <w:basedOn w:val="Normal"/>
    <w:link w:val="EncabezadoCar"/>
    <w:uiPriority w:val="99"/>
    <w:unhideWhenUsed/>
    <w:rsid w:val="00120DAA"/>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120DAA"/>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120DAA"/>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120DAA"/>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20DAA"/>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20DAA"/>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120DA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20DAA"/>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20DAA"/>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120DAA"/>
    <w:rPr>
      <w:vertAlign w:val="superscript"/>
    </w:rPr>
  </w:style>
  <w:style w:type="character" w:styleId="Hipervnculo">
    <w:name w:val="Hyperlink"/>
    <w:basedOn w:val="Fuentedeprrafopredeter"/>
    <w:uiPriority w:val="99"/>
    <w:unhideWhenUsed/>
    <w:rsid w:val="00120DAA"/>
    <w:rPr>
      <w:color w:val="0563C1" w:themeColor="hyperlink"/>
      <w:u w:val="single"/>
    </w:rPr>
  </w:style>
  <w:style w:type="paragraph" w:styleId="Textosinformato">
    <w:name w:val="Plain Text"/>
    <w:basedOn w:val="Normal"/>
    <w:link w:val="TextosinformatoCar"/>
    <w:rsid w:val="00120DAA"/>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120DAA"/>
    <w:rPr>
      <w:rFonts w:ascii="Courier New" w:eastAsia="Times New Roman" w:hAnsi="Courier New" w:cs="Times New Roman"/>
      <w:sz w:val="20"/>
      <w:szCs w:val="20"/>
      <w:lang w:val="es-ES" w:eastAsia="es-ES"/>
    </w:rPr>
  </w:style>
  <w:style w:type="paragraph" w:customStyle="1" w:styleId="Default">
    <w:name w:val="Default"/>
    <w:rsid w:val="00120DAA"/>
    <w:pPr>
      <w:autoSpaceDE w:val="0"/>
      <w:autoSpaceDN w:val="0"/>
      <w:adjustRightInd w:val="0"/>
      <w:spacing w:after="0" w:line="240" w:lineRule="auto"/>
    </w:pPr>
    <w:rPr>
      <w:rFonts w:ascii="Arial" w:hAnsi="Arial" w:cs="Arial"/>
      <w:color w:val="000000"/>
      <w:sz w:val="24"/>
      <w:szCs w:val="24"/>
    </w:rPr>
  </w:style>
  <w:style w:type="paragraph" w:styleId="Sinespaciado">
    <w:name w:val="No Spacing"/>
    <w:aliases w:val="Francesa"/>
    <w:link w:val="SinespaciadoCar"/>
    <w:uiPriority w:val="1"/>
    <w:qFormat/>
    <w:rsid w:val="00120DAA"/>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120DAA"/>
    <w:rPr>
      <w:b/>
      <w:bCs/>
    </w:rPr>
  </w:style>
  <w:style w:type="character" w:customStyle="1" w:styleId="SinespaciadoCar">
    <w:name w:val="Sin espaciado Car"/>
    <w:aliases w:val="Francesa Car"/>
    <w:link w:val="Sinespaciado"/>
    <w:uiPriority w:val="1"/>
    <w:locked/>
    <w:rsid w:val="00120DAA"/>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1"/>
    <w:qFormat/>
    <w:rsid w:val="00120DAA"/>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120DAA"/>
    <w:rPr>
      <w:rFonts w:ascii="Times New Roman" w:eastAsia="Times New Roman" w:hAnsi="Times New Roman"/>
      <w:sz w:val="25"/>
      <w:szCs w:val="25"/>
      <w:lang w:val="en-US"/>
    </w:rPr>
  </w:style>
  <w:style w:type="paragraph" w:styleId="Textodeglobo">
    <w:name w:val="Balloon Text"/>
    <w:basedOn w:val="Normal"/>
    <w:link w:val="TextodegloboCar"/>
    <w:uiPriority w:val="99"/>
    <w:semiHidden/>
    <w:unhideWhenUsed/>
    <w:rsid w:val="00120DA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20DAA"/>
    <w:rPr>
      <w:rFonts w:ascii="Segoe UI" w:hAnsi="Segoe UI" w:cs="Segoe UI"/>
      <w:sz w:val="18"/>
      <w:szCs w:val="18"/>
    </w:rPr>
  </w:style>
  <w:style w:type="character" w:customStyle="1" w:styleId="lbl-encabezado-negro">
    <w:name w:val="lbl-encabezado-negro"/>
    <w:basedOn w:val="Fuentedeprrafopredeter"/>
    <w:rsid w:val="00120DAA"/>
  </w:style>
  <w:style w:type="character" w:customStyle="1" w:styleId="red">
    <w:name w:val="red"/>
    <w:basedOn w:val="Fuentedeprrafopredeter"/>
    <w:rsid w:val="00120DAA"/>
  </w:style>
  <w:style w:type="paragraph" w:customStyle="1" w:styleId="francesa">
    <w:name w:val="francesa"/>
    <w:basedOn w:val="Normal"/>
    <w:rsid w:val="00120DAA"/>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59"/>
    <w:rsid w:val="00120D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120DAA"/>
    <w:pPr>
      <w:spacing w:line="221" w:lineRule="atLeast"/>
    </w:pPr>
    <w:rPr>
      <w:color w:val="auto"/>
    </w:rPr>
  </w:style>
  <w:style w:type="paragraph" w:customStyle="1" w:styleId="n2">
    <w:name w:val="n2"/>
    <w:basedOn w:val="Normal"/>
    <w:rsid w:val="00120DA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120DAA"/>
    <w:rPr>
      <w:i/>
      <w:iCs/>
    </w:rPr>
  </w:style>
  <w:style w:type="paragraph" w:customStyle="1" w:styleId="j">
    <w:name w:val="j"/>
    <w:basedOn w:val="Normal"/>
    <w:rsid w:val="00120DA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2">
    <w:name w:val="j2"/>
    <w:basedOn w:val="Normal"/>
    <w:rsid w:val="00120DA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120DA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120DAA"/>
  </w:style>
  <w:style w:type="character" w:customStyle="1" w:styleId="h">
    <w:name w:val="h"/>
    <w:basedOn w:val="Fuentedeprrafopredeter"/>
    <w:rsid w:val="00120DAA"/>
  </w:style>
  <w:style w:type="character" w:customStyle="1" w:styleId="i1">
    <w:name w:val="i1"/>
    <w:basedOn w:val="Fuentedeprrafopredeter"/>
    <w:rsid w:val="00120DAA"/>
  </w:style>
  <w:style w:type="paragraph" w:styleId="Sangradetextonormal">
    <w:name w:val="Body Text Indent"/>
    <w:basedOn w:val="Normal"/>
    <w:link w:val="SangradetextonormalCar"/>
    <w:uiPriority w:val="99"/>
    <w:unhideWhenUsed/>
    <w:rsid w:val="00120DAA"/>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rsid w:val="00120DAA"/>
    <w:rPr>
      <w:rFonts w:ascii="Calibri" w:eastAsia="Calibri" w:hAnsi="Calibri" w:cs="Times New Roman"/>
    </w:rPr>
  </w:style>
  <w:style w:type="paragraph" w:styleId="NormalWeb">
    <w:name w:val="Normal (Web)"/>
    <w:basedOn w:val="Normal"/>
    <w:uiPriority w:val="99"/>
    <w:rsid w:val="00120DA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Hipervnculovisitado">
    <w:name w:val="FollowedHyperlink"/>
    <w:basedOn w:val="Fuentedeprrafopredeter"/>
    <w:uiPriority w:val="99"/>
    <w:semiHidden/>
    <w:unhideWhenUsed/>
    <w:rsid w:val="00120DAA"/>
    <w:rPr>
      <w:color w:val="954F72" w:themeColor="followedHyperlink"/>
      <w:u w:val="single"/>
    </w:rPr>
  </w:style>
  <w:style w:type="paragraph" w:customStyle="1" w:styleId="Pa1">
    <w:name w:val="Pa1"/>
    <w:basedOn w:val="Default"/>
    <w:next w:val="Default"/>
    <w:uiPriority w:val="99"/>
    <w:rsid w:val="00120DAA"/>
    <w:pPr>
      <w:spacing w:line="241" w:lineRule="atLeast"/>
    </w:pPr>
    <w:rPr>
      <w:rFonts w:ascii="Myriad Pro" w:hAnsi="Myriad Pro" w:cstheme="minorBidi"/>
      <w:color w:val="auto"/>
    </w:rPr>
  </w:style>
  <w:style w:type="character" w:customStyle="1" w:styleId="il">
    <w:name w:val="il"/>
    <w:basedOn w:val="Fuentedeprrafopredeter"/>
    <w:rsid w:val="00120DAA"/>
  </w:style>
  <w:style w:type="paragraph" w:styleId="Textoindependiente2">
    <w:name w:val="Body Text 2"/>
    <w:basedOn w:val="Normal"/>
    <w:link w:val="Textoindependiente2Car"/>
    <w:uiPriority w:val="99"/>
    <w:semiHidden/>
    <w:unhideWhenUsed/>
    <w:rsid w:val="00120DAA"/>
    <w:pPr>
      <w:spacing w:after="120" w:line="480" w:lineRule="auto"/>
    </w:pPr>
  </w:style>
  <w:style w:type="character" w:customStyle="1" w:styleId="Textoindependiente2Car">
    <w:name w:val="Texto independiente 2 Car"/>
    <w:basedOn w:val="Fuentedeprrafopredeter"/>
    <w:link w:val="Textoindependiente2"/>
    <w:uiPriority w:val="99"/>
    <w:semiHidden/>
    <w:rsid w:val="00120DAA"/>
  </w:style>
  <w:style w:type="character" w:styleId="Refdecomentario">
    <w:name w:val="annotation reference"/>
    <w:basedOn w:val="Fuentedeprrafopredeter"/>
    <w:uiPriority w:val="99"/>
    <w:semiHidden/>
    <w:unhideWhenUsed/>
    <w:rsid w:val="00120DAA"/>
    <w:rPr>
      <w:sz w:val="16"/>
      <w:szCs w:val="16"/>
    </w:rPr>
  </w:style>
  <w:style w:type="paragraph" w:styleId="Textocomentario">
    <w:name w:val="annotation text"/>
    <w:basedOn w:val="Normal"/>
    <w:link w:val="TextocomentarioCar"/>
    <w:uiPriority w:val="99"/>
    <w:semiHidden/>
    <w:unhideWhenUsed/>
    <w:rsid w:val="00120DA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20DAA"/>
    <w:rPr>
      <w:sz w:val="20"/>
      <w:szCs w:val="20"/>
    </w:rPr>
  </w:style>
  <w:style w:type="paragraph" w:styleId="Asuntodelcomentario">
    <w:name w:val="annotation subject"/>
    <w:basedOn w:val="Textocomentario"/>
    <w:next w:val="Textocomentario"/>
    <w:link w:val="AsuntodelcomentarioCar"/>
    <w:uiPriority w:val="99"/>
    <w:semiHidden/>
    <w:unhideWhenUsed/>
    <w:rsid w:val="00120DAA"/>
    <w:rPr>
      <w:b/>
      <w:bCs/>
    </w:rPr>
  </w:style>
  <w:style w:type="character" w:customStyle="1" w:styleId="AsuntodelcomentarioCar">
    <w:name w:val="Asunto del comentario Car"/>
    <w:basedOn w:val="TextocomentarioCar"/>
    <w:link w:val="Asuntodelcomentario"/>
    <w:uiPriority w:val="99"/>
    <w:semiHidden/>
    <w:rsid w:val="00120DAA"/>
    <w:rPr>
      <w:b/>
      <w:bCs/>
      <w:sz w:val="20"/>
      <w:szCs w:val="20"/>
    </w:rPr>
  </w:style>
  <w:style w:type="paragraph" w:styleId="Textonotaalfinal">
    <w:name w:val="endnote text"/>
    <w:basedOn w:val="Normal"/>
    <w:link w:val="TextonotaalfinalCar"/>
    <w:uiPriority w:val="99"/>
    <w:semiHidden/>
    <w:unhideWhenUsed/>
    <w:rsid w:val="00120DAA"/>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120DAA"/>
    <w:rPr>
      <w:sz w:val="20"/>
      <w:szCs w:val="20"/>
    </w:rPr>
  </w:style>
  <w:style w:type="character" w:styleId="Refdenotaalfinal">
    <w:name w:val="endnote reference"/>
    <w:basedOn w:val="Fuentedeprrafopredeter"/>
    <w:uiPriority w:val="99"/>
    <w:semiHidden/>
    <w:unhideWhenUsed/>
    <w:rsid w:val="00120DA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theme" Target="theme/theme1.xml"/><Relationship Id="rId10" Type="http://schemas.openxmlformats.org/officeDocument/2006/relationships/hyperlink" Target="javascript:AbrirModal(2)"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javascript:AbrirModal(1)" TargetMode="External"/><Relationship Id="rId14" Type="http://schemas.openxmlformats.org/officeDocument/2006/relationships/image" Target="media/image5.emf"/><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CEF84B-43E2-4E28-8B7E-66625DF378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51</Pages>
  <Words>12707</Words>
  <Characters>69892</Characters>
  <Application>Microsoft Office Word</Application>
  <DocSecurity>0</DocSecurity>
  <Lines>582</Lines>
  <Paragraphs>164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82435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USUARIO</cp:lastModifiedBy>
  <cp:revision>2</cp:revision>
  <dcterms:created xsi:type="dcterms:W3CDTF">2019-09-10T19:07:00Z</dcterms:created>
  <dcterms:modified xsi:type="dcterms:W3CDTF">2019-09-10T19:07:00Z</dcterms:modified>
</cp:coreProperties>
</file>