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396" w:rsidRPr="002E1218" w:rsidRDefault="00994396" w:rsidP="002E1218">
      <w:pPr>
        <w:spacing w:line="360" w:lineRule="auto"/>
        <w:jc w:val="both"/>
        <w:rPr>
          <w:rFonts w:ascii="Palatino Linotype" w:hAnsi="Palatino Linotype" w:cs="Tahoma"/>
          <w:sz w:val="22"/>
          <w:szCs w:val="22"/>
        </w:rPr>
      </w:pPr>
      <w:r w:rsidRPr="002E1218">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w:t>
      </w:r>
      <w:r w:rsidR="004B1DA9" w:rsidRPr="002E1218">
        <w:rPr>
          <w:rFonts w:ascii="Palatino Linotype" w:hAnsi="Palatino Linotype" w:cs="Tahoma"/>
          <w:bCs/>
          <w:sz w:val="22"/>
          <w:szCs w:val="22"/>
        </w:rPr>
        <w:t xml:space="preserve">fecha </w:t>
      </w:r>
      <w:r w:rsidR="005723F0">
        <w:rPr>
          <w:rFonts w:ascii="Palatino Linotype" w:hAnsi="Palatino Linotype" w:cs="Tahoma"/>
          <w:bCs/>
          <w:sz w:val="22"/>
          <w:szCs w:val="22"/>
        </w:rPr>
        <w:t>cuatro de septiembre</w:t>
      </w:r>
      <w:r w:rsidRPr="002E1218">
        <w:rPr>
          <w:rFonts w:ascii="Palatino Linotype" w:hAnsi="Palatino Linotype" w:cs="Tahoma"/>
          <w:bCs/>
          <w:sz w:val="22"/>
          <w:szCs w:val="22"/>
        </w:rPr>
        <w:t xml:space="preserve"> de dos mil </w:t>
      </w:r>
      <w:r w:rsidR="00D34402" w:rsidRPr="002E1218">
        <w:rPr>
          <w:rFonts w:ascii="Palatino Linotype" w:hAnsi="Palatino Linotype" w:cs="Tahoma"/>
          <w:bCs/>
          <w:sz w:val="22"/>
          <w:szCs w:val="22"/>
        </w:rPr>
        <w:t>diecinueve</w:t>
      </w:r>
      <w:r w:rsidRPr="002E1218">
        <w:rPr>
          <w:rFonts w:ascii="Palatino Linotype" w:hAnsi="Palatino Linotype" w:cs="Tahoma"/>
          <w:bCs/>
          <w:sz w:val="22"/>
          <w:szCs w:val="22"/>
        </w:rPr>
        <w:t>.</w:t>
      </w:r>
    </w:p>
    <w:p w:rsidR="00B31222" w:rsidRPr="002E1218" w:rsidRDefault="00B31222" w:rsidP="002E1218">
      <w:pPr>
        <w:spacing w:line="360" w:lineRule="auto"/>
        <w:rPr>
          <w:rFonts w:ascii="Palatino Linotype" w:hAnsi="Palatino Linotype" w:cs="Tahoma"/>
          <w:bCs/>
          <w:sz w:val="22"/>
          <w:szCs w:val="22"/>
        </w:rPr>
      </w:pPr>
    </w:p>
    <w:p w:rsidR="00B31222" w:rsidRPr="002E1218" w:rsidRDefault="00994396" w:rsidP="002E1218">
      <w:pPr>
        <w:spacing w:line="360" w:lineRule="auto"/>
        <w:jc w:val="both"/>
        <w:rPr>
          <w:rFonts w:ascii="Palatino Linotype" w:hAnsi="Palatino Linotype" w:cs="Tahoma"/>
          <w:bCs/>
          <w:sz w:val="22"/>
          <w:szCs w:val="22"/>
        </w:rPr>
      </w:pPr>
      <w:r w:rsidRPr="002E1218">
        <w:rPr>
          <w:rFonts w:ascii="Palatino Linotype" w:hAnsi="Palatino Linotype" w:cs="Tahoma"/>
          <w:b/>
          <w:bCs/>
          <w:color w:val="0D0D0D" w:themeColor="text1" w:themeTint="F2"/>
          <w:sz w:val="22"/>
          <w:szCs w:val="22"/>
        </w:rPr>
        <w:t>VISTO</w:t>
      </w:r>
      <w:r w:rsidR="00F41B19" w:rsidRPr="002E1218">
        <w:rPr>
          <w:rFonts w:ascii="Palatino Linotype" w:hAnsi="Palatino Linotype" w:cs="Tahoma"/>
          <w:b/>
          <w:bCs/>
          <w:color w:val="0D0D0D" w:themeColor="text1" w:themeTint="F2"/>
          <w:sz w:val="22"/>
          <w:szCs w:val="22"/>
        </w:rPr>
        <w:t xml:space="preserve"> </w:t>
      </w:r>
      <w:r w:rsidR="001171BD" w:rsidRPr="002E1218">
        <w:rPr>
          <w:rFonts w:ascii="Palatino Linotype" w:hAnsi="Palatino Linotype" w:cs="Tahoma"/>
          <w:bCs/>
          <w:color w:val="0D0D0D" w:themeColor="text1" w:themeTint="F2"/>
          <w:sz w:val="22"/>
          <w:szCs w:val="22"/>
        </w:rPr>
        <w:t>el expediente</w:t>
      </w:r>
      <w:r w:rsidR="0019389B" w:rsidRPr="002E1218">
        <w:rPr>
          <w:rFonts w:ascii="Palatino Linotype" w:hAnsi="Palatino Linotype" w:cs="Tahoma"/>
          <w:bCs/>
          <w:color w:val="0D0D0D" w:themeColor="text1" w:themeTint="F2"/>
          <w:sz w:val="22"/>
          <w:szCs w:val="22"/>
        </w:rPr>
        <w:t xml:space="preserve"> conformado </w:t>
      </w:r>
      <w:r w:rsidR="00422869" w:rsidRPr="002E1218">
        <w:rPr>
          <w:rFonts w:ascii="Palatino Linotype" w:hAnsi="Palatino Linotype" w:cs="Tahoma"/>
          <w:bCs/>
          <w:color w:val="0D0D0D" w:themeColor="text1" w:themeTint="F2"/>
          <w:sz w:val="22"/>
          <w:szCs w:val="22"/>
        </w:rPr>
        <w:t xml:space="preserve">con motivo del Recurso de Revisión </w:t>
      </w:r>
      <w:r w:rsidR="004D18F2" w:rsidRPr="004D18F2">
        <w:rPr>
          <w:rFonts w:ascii="Palatino Linotype" w:hAnsi="Palatino Linotype" w:cs="Tahoma"/>
          <w:b/>
          <w:bCs/>
          <w:color w:val="0D0D0D" w:themeColor="text1" w:themeTint="F2"/>
          <w:sz w:val="22"/>
          <w:szCs w:val="22"/>
        </w:rPr>
        <w:t>05</w:t>
      </w:r>
      <w:r w:rsidR="005723F0">
        <w:rPr>
          <w:rFonts w:ascii="Palatino Linotype" w:hAnsi="Palatino Linotype" w:cs="Tahoma"/>
          <w:b/>
          <w:bCs/>
          <w:color w:val="0D0D0D" w:themeColor="text1" w:themeTint="F2"/>
          <w:sz w:val="22"/>
          <w:szCs w:val="22"/>
        </w:rPr>
        <w:t>526</w:t>
      </w:r>
      <w:r w:rsidR="004D18F2" w:rsidRPr="004D18F2">
        <w:rPr>
          <w:rFonts w:ascii="Palatino Linotype" w:hAnsi="Palatino Linotype" w:cs="Tahoma"/>
          <w:b/>
          <w:bCs/>
          <w:color w:val="0D0D0D" w:themeColor="text1" w:themeTint="F2"/>
          <w:sz w:val="22"/>
          <w:szCs w:val="22"/>
        </w:rPr>
        <w:t>/INFOEM/IP/RR/2019</w:t>
      </w:r>
      <w:r w:rsidR="00422869" w:rsidRPr="002E1218">
        <w:rPr>
          <w:rFonts w:ascii="Palatino Linotype" w:hAnsi="Palatino Linotype" w:cs="Tahoma"/>
          <w:b/>
          <w:bCs/>
          <w:color w:val="0D0D0D" w:themeColor="text1" w:themeTint="F2"/>
          <w:sz w:val="22"/>
          <w:szCs w:val="22"/>
        </w:rPr>
        <w:t>,</w:t>
      </w:r>
      <w:r w:rsidR="00422869" w:rsidRPr="002E1218">
        <w:rPr>
          <w:rFonts w:ascii="Palatino Linotype" w:hAnsi="Palatino Linotype" w:cs="Tahoma"/>
          <w:bCs/>
          <w:color w:val="0D0D0D" w:themeColor="text1" w:themeTint="F2"/>
          <w:sz w:val="22"/>
          <w:szCs w:val="22"/>
        </w:rPr>
        <w:t xml:space="preserve"> </w:t>
      </w:r>
      <w:r w:rsidR="00127757" w:rsidRPr="002E1218">
        <w:rPr>
          <w:rFonts w:ascii="Palatino Linotype" w:hAnsi="Palatino Linotype" w:cs="Tahoma"/>
          <w:bCs/>
          <w:color w:val="0D0D0D" w:themeColor="text1" w:themeTint="F2"/>
          <w:sz w:val="22"/>
          <w:szCs w:val="22"/>
        </w:rPr>
        <w:t xml:space="preserve">interpuesto por </w:t>
      </w:r>
      <w:r w:rsidR="00737295" w:rsidRPr="00737295">
        <w:rPr>
          <w:rFonts w:ascii="Palatino Linotype" w:hAnsi="Palatino Linotype" w:cs="Tahoma"/>
          <w:b/>
          <w:bCs/>
          <w:color w:val="0D0D0D" w:themeColor="text1" w:themeTint="F2"/>
          <w:sz w:val="22"/>
          <w:szCs w:val="22"/>
          <w:highlight w:val="black"/>
        </w:rPr>
        <w:t>XXXXXXXXXXXXXX</w:t>
      </w:r>
      <w:bookmarkStart w:id="0" w:name="_GoBack"/>
      <w:bookmarkEnd w:id="0"/>
      <w:r w:rsidRPr="002E1218">
        <w:rPr>
          <w:rFonts w:ascii="Palatino Linotype" w:hAnsi="Palatino Linotype" w:cs="Tahoma"/>
          <w:bCs/>
          <w:color w:val="0D0D0D" w:themeColor="text1" w:themeTint="F2"/>
          <w:sz w:val="22"/>
          <w:szCs w:val="22"/>
        </w:rPr>
        <w:t xml:space="preserve">, en lo sucesivo </w:t>
      </w:r>
      <w:r w:rsidR="00D34402" w:rsidRPr="002E1218">
        <w:rPr>
          <w:rFonts w:ascii="Palatino Linotype" w:hAnsi="Palatino Linotype" w:cs="Tahoma"/>
          <w:bCs/>
          <w:color w:val="0D0D0D" w:themeColor="text1" w:themeTint="F2"/>
          <w:sz w:val="22"/>
          <w:szCs w:val="22"/>
        </w:rPr>
        <w:t>R</w:t>
      </w:r>
      <w:r w:rsidRPr="002E1218">
        <w:rPr>
          <w:rFonts w:ascii="Palatino Linotype" w:hAnsi="Palatino Linotype" w:cs="Tahoma"/>
          <w:bCs/>
          <w:color w:val="0D0D0D" w:themeColor="text1" w:themeTint="F2"/>
          <w:sz w:val="22"/>
          <w:szCs w:val="22"/>
        </w:rPr>
        <w:t xml:space="preserve">ecurrente o </w:t>
      </w:r>
      <w:r w:rsidR="00D34402" w:rsidRPr="002E1218">
        <w:rPr>
          <w:rFonts w:ascii="Palatino Linotype" w:hAnsi="Palatino Linotype" w:cs="Tahoma"/>
          <w:bCs/>
          <w:color w:val="0D0D0D" w:themeColor="text1" w:themeTint="F2"/>
          <w:sz w:val="22"/>
          <w:szCs w:val="22"/>
        </w:rPr>
        <w:t>P</w:t>
      </w:r>
      <w:r w:rsidRPr="002E1218">
        <w:rPr>
          <w:rFonts w:ascii="Palatino Linotype" w:hAnsi="Palatino Linotype" w:cs="Tahoma"/>
          <w:bCs/>
          <w:color w:val="0D0D0D" w:themeColor="text1" w:themeTint="F2"/>
          <w:sz w:val="22"/>
          <w:szCs w:val="22"/>
        </w:rPr>
        <w:t>articular,</w:t>
      </w:r>
      <w:r w:rsidR="00F41B19" w:rsidRPr="002E1218">
        <w:rPr>
          <w:rFonts w:ascii="Palatino Linotype" w:hAnsi="Palatino Linotype" w:cs="Tahoma"/>
          <w:bCs/>
          <w:color w:val="0D0D0D" w:themeColor="text1" w:themeTint="F2"/>
          <w:sz w:val="22"/>
          <w:szCs w:val="22"/>
        </w:rPr>
        <w:t xml:space="preserve"> </w:t>
      </w:r>
      <w:r w:rsidR="00DC1594" w:rsidRPr="002E1218">
        <w:rPr>
          <w:rFonts w:ascii="Palatino Linotype" w:hAnsi="Palatino Linotype" w:cs="Tahoma"/>
          <w:bCs/>
          <w:color w:val="0D0D0D" w:themeColor="text1" w:themeTint="F2"/>
          <w:sz w:val="22"/>
          <w:szCs w:val="22"/>
        </w:rPr>
        <w:t xml:space="preserve">en contra de la </w:t>
      </w:r>
      <w:r w:rsidR="005723F0">
        <w:rPr>
          <w:rFonts w:ascii="Palatino Linotype" w:hAnsi="Palatino Linotype" w:cs="Tahoma"/>
          <w:bCs/>
          <w:color w:val="0D0D0D" w:themeColor="text1" w:themeTint="F2"/>
          <w:sz w:val="22"/>
          <w:szCs w:val="22"/>
        </w:rPr>
        <w:t xml:space="preserve">falta de </w:t>
      </w:r>
      <w:r w:rsidR="00DC1594" w:rsidRPr="002E1218">
        <w:rPr>
          <w:rFonts w:ascii="Palatino Linotype" w:hAnsi="Palatino Linotype" w:cs="Tahoma"/>
          <w:bCs/>
          <w:color w:val="0D0D0D" w:themeColor="text1" w:themeTint="F2"/>
          <w:sz w:val="22"/>
          <w:szCs w:val="22"/>
        </w:rPr>
        <w:t xml:space="preserve">respuesta del </w:t>
      </w:r>
      <w:r w:rsidR="002A0FB8" w:rsidRPr="002E1218">
        <w:rPr>
          <w:rFonts w:ascii="Palatino Linotype" w:hAnsi="Palatino Linotype" w:cs="Tahoma"/>
          <w:bCs/>
          <w:color w:val="0D0D0D" w:themeColor="text1" w:themeTint="F2"/>
          <w:sz w:val="22"/>
          <w:szCs w:val="22"/>
        </w:rPr>
        <w:t>Sujeto Obligado</w:t>
      </w:r>
      <w:r w:rsidR="002060B4" w:rsidRPr="002E1218">
        <w:rPr>
          <w:rFonts w:ascii="Palatino Linotype" w:hAnsi="Palatino Linotype" w:cs="Tahoma"/>
          <w:bCs/>
          <w:color w:val="0D0D0D" w:themeColor="text1" w:themeTint="F2"/>
          <w:sz w:val="22"/>
          <w:szCs w:val="22"/>
        </w:rPr>
        <w:t>,</w:t>
      </w:r>
      <w:r w:rsidR="00180DE9" w:rsidRPr="002E1218">
        <w:rPr>
          <w:rFonts w:ascii="Palatino Linotype" w:hAnsi="Palatino Linotype" w:cs="Tahoma"/>
          <w:bCs/>
          <w:color w:val="0D0D0D" w:themeColor="text1" w:themeTint="F2"/>
          <w:sz w:val="22"/>
          <w:szCs w:val="22"/>
        </w:rPr>
        <w:t xml:space="preserve"> </w:t>
      </w:r>
      <w:r w:rsidR="00924F21" w:rsidRPr="00924F21">
        <w:rPr>
          <w:rFonts w:ascii="Palatino Linotype" w:hAnsi="Palatino Linotype" w:cs="Tahoma"/>
          <w:b/>
          <w:bCs/>
          <w:color w:val="0D0D0D" w:themeColor="text1" w:themeTint="F2"/>
          <w:sz w:val="22"/>
          <w:szCs w:val="22"/>
        </w:rPr>
        <w:t>Ayuntamiento de Papalotla</w:t>
      </w:r>
      <w:r w:rsidR="00DC1594" w:rsidRPr="002E1218">
        <w:rPr>
          <w:rFonts w:ascii="Palatino Linotype" w:hAnsi="Palatino Linotype" w:cs="Tahoma"/>
          <w:bCs/>
          <w:color w:val="0D0D0D" w:themeColor="text1" w:themeTint="F2"/>
          <w:sz w:val="22"/>
          <w:szCs w:val="22"/>
        </w:rPr>
        <w:t xml:space="preserve">, </w:t>
      </w:r>
      <w:r w:rsidR="00422869" w:rsidRPr="002E1218">
        <w:rPr>
          <w:rFonts w:ascii="Palatino Linotype" w:hAnsi="Palatino Linotype" w:cs="Tahoma"/>
          <w:bCs/>
          <w:color w:val="0D0D0D" w:themeColor="text1" w:themeTint="F2"/>
          <w:sz w:val="22"/>
          <w:szCs w:val="22"/>
        </w:rPr>
        <w:t xml:space="preserve">se emite la presente Resolución, </w:t>
      </w:r>
      <w:r w:rsidR="00DC1594" w:rsidRPr="002E1218">
        <w:rPr>
          <w:rFonts w:ascii="Palatino Linotype" w:hAnsi="Palatino Linotype" w:cs="Tahoma"/>
          <w:bCs/>
          <w:color w:val="0D0D0D" w:themeColor="text1" w:themeTint="F2"/>
          <w:sz w:val="22"/>
          <w:szCs w:val="22"/>
        </w:rPr>
        <w:t>con base en</w:t>
      </w:r>
      <w:r w:rsidR="00F41B19" w:rsidRPr="002E1218">
        <w:rPr>
          <w:rFonts w:ascii="Palatino Linotype" w:hAnsi="Palatino Linotype" w:cs="Tahoma"/>
          <w:bCs/>
          <w:color w:val="0D0D0D" w:themeColor="text1" w:themeTint="F2"/>
          <w:sz w:val="22"/>
          <w:szCs w:val="22"/>
        </w:rPr>
        <w:t xml:space="preserve"> </w:t>
      </w:r>
      <w:r w:rsidR="00DC1594" w:rsidRPr="002E1218">
        <w:rPr>
          <w:rFonts w:ascii="Palatino Linotype" w:hAnsi="Palatino Linotype" w:cs="Tahoma"/>
          <w:bCs/>
          <w:color w:val="0D0D0D" w:themeColor="text1" w:themeTint="F2"/>
          <w:sz w:val="22"/>
          <w:szCs w:val="22"/>
        </w:rPr>
        <w:t xml:space="preserve">los </w:t>
      </w:r>
      <w:r w:rsidR="006C1B1D" w:rsidRPr="002E1218">
        <w:rPr>
          <w:rFonts w:ascii="Palatino Linotype" w:hAnsi="Palatino Linotype" w:cs="Tahoma"/>
          <w:bCs/>
          <w:color w:val="0D0D0D" w:themeColor="text1" w:themeTint="F2"/>
          <w:sz w:val="22"/>
          <w:szCs w:val="22"/>
        </w:rPr>
        <w:t>A</w:t>
      </w:r>
      <w:r w:rsidR="00DC1594" w:rsidRPr="002E1218">
        <w:rPr>
          <w:rFonts w:ascii="Palatino Linotype" w:hAnsi="Palatino Linotype" w:cs="Tahoma"/>
          <w:bCs/>
          <w:color w:val="0D0D0D" w:themeColor="text1" w:themeTint="F2"/>
          <w:sz w:val="22"/>
          <w:szCs w:val="22"/>
        </w:rPr>
        <w:t xml:space="preserve">ntecedentes y </w:t>
      </w:r>
      <w:r w:rsidR="002A0FB8" w:rsidRPr="002E1218">
        <w:rPr>
          <w:rFonts w:ascii="Palatino Linotype" w:hAnsi="Palatino Linotype" w:cs="Tahoma"/>
          <w:bCs/>
          <w:color w:val="0D0D0D" w:themeColor="text1" w:themeTint="F2"/>
          <w:sz w:val="22"/>
          <w:szCs w:val="22"/>
        </w:rPr>
        <w:t>C</w:t>
      </w:r>
      <w:r w:rsidR="002A0FB8" w:rsidRPr="002E1218">
        <w:rPr>
          <w:rFonts w:ascii="Palatino Linotype" w:hAnsi="Palatino Linotype" w:cs="Tahoma"/>
          <w:bCs/>
          <w:sz w:val="22"/>
          <w:szCs w:val="22"/>
        </w:rPr>
        <w:t xml:space="preserve">onsiderandos </w:t>
      </w:r>
      <w:r w:rsidR="00DC1594" w:rsidRPr="002E1218">
        <w:rPr>
          <w:rFonts w:ascii="Palatino Linotype" w:hAnsi="Palatino Linotype" w:cs="Tahoma"/>
          <w:bCs/>
          <w:sz w:val="22"/>
          <w:szCs w:val="22"/>
        </w:rPr>
        <w:t>que a continuación se exponen</w:t>
      </w:r>
      <w:r w:rsidR="00B31222" w:rsidRPr="002E1218">
        <w:rPr>
          <w:rFonts w:ascii="Palatino Linotype" w:hAnsi="Palatino Linotype" w:cs="Tahoma"/>
          <w:bCs/>
          <w:sz w:val="22"/>
          <w:szCs w:val="22"/>
        </w:rPr>
        <w:t>:</w:t>
      </w:r>
    </w:p>
    <w:p w:rsidR="00735915" w:rsidRPr="002E1218" w:rsidRDefault="00735915" w:rsidP="002E1218">
      <w:pPr>
        <w:spacing w:line="360" w:lineRule="auto"/>
        <w:rPr>
          <w:rFonts w:ascii="Palatino Linotype" w:hAnsi="Palatino Linotype" w:cs="Tahoma"/>
          <w:sz w:val="22"/>
          <w:szCs w:val="22"/>
        </w:rPr>
      </w:pPr>
    </w:p>
    <w:p w:rsidR="00B31222" w:rsidRPr="002E1218" w:rsidRDefault="00B31222" w:rsidP="002E1218">
      <w:pPr>
        <w:tabs>
          <w:tab w:val="center" w:pos="4522"/>
          <w:tab w:val="left" w:pos="7245"/>
        </w:tabs>
        <w:spacing w:line="360" w:lineRule="auto"/>
        <w:jc w:val="center"/>
        <w:rPr>
          <w:rFonts w:ascii="Palatino Linotype" w:hAnsi="Palatino Linotype" w:cs="Tahoma"/>
          <w:b/>
          <w:sz w:val="22"/>
          <w:szCs w:val="22"/>
        </w:rPr>
      </w:pPr>
      <w:r w:rsidRPr="002E1218">
        <w:rPr>
          <w:rFonts w:ascii="Palatino Linotype" w:hAnsi="Palatino Linotype" w:cs="Tahoma"/>
          <w:b/>
          <w:sz w:val="22"/>
          <w:szCs w:val="22"/>
        </w:rPr>
        <w:t>A</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N</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T</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E</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C</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E</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D</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E</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N</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T</w:t>
      </w:r>
      <w:r w:rsidR="00177532" w:rsidRPr="002E1218">
        <w:rPr>
          <w:rFonts w:ascii="Palatino Linotype" w:hAnsi="Palatino Linotype" w:cs="Tahoma"/>
          <w:b/>
          <w:sz w:val="22"/>
          <w:szCs w:val="22"/>
        </w:rPr>
        <w:t xml:space="preserve"> </w:t>
      </w:r>
      <w:r w:rsidRPr="002E1218">
        <w:rPr>
          <w:rFonts w:ascii="Palatino Linotype" w:hAnsi="Palatino Linotype" w:cs="Tahoma"/>
          <w:b/>
          <w:sz w:val="22"/>
          <w:szCs w:val="22"/>
        </w:rPr>
        <w:t>E</w:t>
      </w:r>
      <w:r w:rsidR="00177532" w:rsidRPr="002E1218">
        <w:rPr>
          <w:rFonts w:ascii="Palatino Linotype" w:hAnsi="Palatino Linotype" w:cs="Tahoma"/>
          <w:b/>
          <w:sz w:val="22"/>
          <w:szCs w:val="22"/>
        </w:rPr>
        <w:t xml:space="preserve"> </w:t>
      </w:r>
      <w:r w:rsidR="004E00F8">
        <w:rPr>
          <w:rFonts w:ascii="Palatino Linotype" w:hAnsi="Palatino Linotype" w:cs="Tahoma"/>
          <w:b/>
          <w:sz w:val="22"/>
          <w:szCs w:val="22"/>
        </w:rPr>
        <w:t>S</w:t>
      </w:r>
    </w:p>
    <w:p w:rsidR="00B31222" w:rsidRPr="002E1218" w:rsidRDefault="00B31222" w:rsidP="002E1218">
      <w:pPr>
        <w:pStyle w:val="Prrafodelista"/>
        <w:tabs>
          <w:tab w:val="left" w:pos="567"/>
        </w:tabs>
        <w:spacing w:line="360" w:lineRule="auto"/>
        <w:ind w:left="0"/>
        <w:contextualSpacing w:val="0"/>
        <w:jc w:val="both"/>
        <w:rPr>
          <w:rFonts w:ascii="Palatino Linotype" w:hAnsi="Palatino Linotype" w:cs="Tahoma"/>
          <w:szCs w:val="22"/>
        </w:rPr>
      </w:pPr>
    </w:p>
    <w:p w:rsidR="00DC1594" w:rsidRPr="002E1218" w:rsidRDefault="00B31222" w:rsidP="002E1218">
      <w:pPr>
        <w:pStyle w:val="Prrafodelista"/>
        <w:tabs>
          <w:tab w:val="left" w:pos="567"/>
        </w:tabs>
        <w:spacing w:line="360" w:lineRule="auto"/>
        <w:ind w:left="0"/>
        <w:contextualSpacing w:val="0"/>
        <w:jc w:val="both"/>
        <w:rPr>
          <w:rFonts w:ascii="Palatino Linotype" w:hAnsi="Palatino Linotype" w:cs="Tahoma"/>
          <w:b/>
          <w:szCs w:val="22"/>
        </w:rPr>
      </w:pPr>
      <w:r w:rsidRPr="002E1218">
        <w:rPr>
          <w:rFonts w:ascii="Palatino Linotype" w:hAnsi="Palatino Linotype" w:cs="Tahoma"/>
          <w:b/>
          <w:szCs w:val="22"/>
        </w:rPr>
        <w:t xml:space="preserve">I. Presentación de la solicitud de información. </w:t>
      </w:r>
    </w:p>
    <w:p w:rsidR="00DC1594" w:rsidRPr="002E1218" w:rsidRDefault="00DC1594" w:rsidP="002E1218">
      <w:pPr>
        <w:pStyle w:val="Prrafodelista"/>
        <w:tabs>
          <w:tab w:val="left" w:pos="567"/>
        </w:tabs>
        <w:spacing w:line="360" w:lineRule="auto"/>
        <w:ind w:left="0"/>
        <w:contextualSpacing w:val="0"/>
        <w:jc w:val="both"/>
        <w:rPr>
          <w:rFonts w:ascii="Palatino Linotype" w:hAnsi="Palatino Linotype" w:cs="Tahoma"/>
          <w:szCs w:val="22"/>
        </w:rPr>
      </w:pPr>
    </w:p>
    <w:p w:rsidR="00B31222" w:rsidRPr="002E1218" w:rsidRDefault="00AA417B" w:rsidP="002E1218">
      <w:pPr>
        <w:pStyle w:val="Prrafodelista"/>
        <w:tabs>
          <w:tab w:val="left" w:pos="567"/>
        </w:tabs>
        <w:spacing w:line="360" w:lineRule="auto"/>
        <w:ind w:left="0"/>
        <w:contextualSpacing w:val="0"/>
        <w:jc w:val="both"/>
        <w:rPr>
          <w:rFonts w:ascii="Palatino Linotype" w:hAnsi="Palatino Linotype" w:cs="Tahoma"/>
          <w:szCs w:val="22"/>
        </w:rPr>
      </w:pPr>
      <w:r w:rsidRPr="002E1218">
        <w:rPr>
          <w:rFonts w:ascii="Palatino Linotype" w:hAnsi="Palatino Linotype" w:cs="Tahoma"/>
          <w:szCs w:val="22"/>
        </w:rPr>
        <w:t>Con fecha</w:t>
      </w:r>
      <w:r w:rsidR="00F41B19" w:rsidRPr="002E1218">
        <w:rPr>
          <w:rFonts w:ascii="Palatino Linotype" w:hAnsi="Palatino Linotype" w:cs="Tahoma"/>
          <w:szCs w:val="22"/>
        </w:rPr>
        <w:t xml:space="preserve"> </w:t>
      </w:r>
      <w:r w:rsidR="003B5F3B">
        <w:rPr>
          <w:rFonts w:ascii="Palatino Linotype" w:hAnsi="Palatino Linotype" w:cs="Tahoma"/>
          <w:szCs w:val="22"/>
        </w:rPr>
        <w:t>veint</w:t>
      </w:r>
      <w:r w:rsidR="00924F21">
        <w:rPr>
          <w:rFonts w:ascii="Palatino Linotype" w:hAnsi="Palatino Linotype" w:cs="Tahoma"/>
          <w:szCs w:val="22"/>
        </w:rPr>
        <w:t>isiete</w:t>
      </w:r>
      <w:r w:rsidR="00311D8B" w:rsidRPr="002E1218">
        <w:rPr>
          <w:rFonts w:ascii="Palatino Linotype" w:hAnsi="Palatino Linotype" w:cs="Tahoma"/>
          <w:szCs w:val="22"/>
        </w:rPr>
        <w:t xml:space="preserve"> de </w:t>
      </w:r>
      <w:r w:rsidR="00E96AB8">
        <w:rPr>
          <w:rFonts w:ascii="Palatino Linotype" w:hAnsi="Palatino Linotype" w:cs="Tahoma"/>
          <w:szCs w:val="22"/>
        </w:rPr>
        <w:t>mayo</w:t>
      </w:r>
      <w:r w:rsidR="00D34402" w:rsidRPr="002E1218">
        <w:rPr>
          <w:rFonts w:ascii="Palatino Linotype" w:hAnsi="Palatino Linotype" w:cs="Tahoma"/>
          <w:szCs w:val="22"/>
        </w:rPr>
        <w:t xml:space="preserve"> de dos mil diecinueve</w:t>
      </w:r>
      <w:r w:rsidR="00B31222" w:rsidRPr="002E1218">
        <w:rPr>
          <w:rFonts w:ascii="Palatino Linotype" w:hAnsi="Palatino Linotype" w:cs="Tahoma"/>
          <w:szCs w:val="22"/>
        </w:rPr>
        <w:t xml:space="preserve">, </w:t>
      </w:r>
      <w:r w:rsidR="00924F21">
        <w:rPr>
          <w:rFonts w:ascii="Palatino Linotype" w:hAnsi="Palatino Linotype" w:cs="Tahoma"/>
          <w:szCs w:val="22"/>
        </w:rPr>
        <w:t>el</w:t>
      </w:r>
      <w:r w:rsidR="001171BD" w:rsidRPr="002E1218">
        <w:rPr>
          <w:rFonts w:ascii="Palatino Linotype" w:hAnsi="Palatino Linotype" w:cs="Tahoma"/>
          <w:szCs w:val="22"/>
        </w:rPr>
        <w:t xml:space="preserve"> </w:t>
      </w:r>
      <w:r w:rsidR="00D34402" w:rsidRPr="002E1218">
        <w:rPr>
          <w:rFonts w:ascii="Palatino Linotype" w:hAnsi="Palatino Linotype" w:cs="Tahoma"/>
          <w:szCs w:val="22"/>
        </w:rPr>
        <w:t>P</w:t>
      </w:r>
      <w:r w:rsidR="00B31222" w:rsidRPr="002E1218">
        <w:rPr>
          <w:rFonts w:ascii="Palatino Linotype" w:hAnsi="Palatino Linotype" w:cs="Tahoma"/>
          <w:szCs w:val="22"/>
        </w:rPr>
        <w:t xml:space="preserve">articular </w:t>
      </w:r>
      <w:r w:rsidR="001171BD" w:rsidRPr="002E1218">
        <w:rPr>
          <w:rFonts w:ascii="Palatino Linotype" w:hAnsi="Palatino Linotype" w:cs="Tahoma"/>
          <w:szCs w:val="22"/>
        </w:rPr>
        <w:t xml:space="preserve">presentó solicitud de acceso a la información pública a través del Sistema de Acceso a la Información Mexiquense </w:t>
      </w:r>
      <w:r w:rsidR="004100AA" w:rsidRPr="002E1218">
        <w:rPr>
          <w:rFonts w:ascii="Palatino Linotype" w:hAnsi="Palatino Linotype" w:cs="Tahoma"/>
          <w:szCs w:val="22"/>
          <w:lang w:val="es-ES"/>
        </w:rPr>
        <w:t>(SAIMEX)</w:t>
      </w:r>
      <w:r w:rsidR="00B31222" w:rsidRPr="002E1218">
        <w:rPr>
          <w:rFonts w:ascii="Palatino Linotype" w:hAnsi="Palatino Linotype" w:cs="Tahoma"/>
          <w:szCs w:val="22"/>
        </w:rPr>
        <w:t xml:space="preserve">, </w:t>
      </w:r>
      <w:r w:rsidR="00C55151" w:rsidRPr="002E1218">
        <w:rPr>
          <w:rFonts w:ascii="Palatino Linotype" w:hAnsi="Palatino Linotype" w:cs="Tahoma"/>
          <w:szCs w:val="22"/>
        </w:rPr>
        <w:t>ante e</w:t>
      </w:r>
      <w:r w:rsidR="000C27CA" w:rsidRPr="002E1218">
        <w:rPr>
          <w:rFonts w:ascii="Palatino Linotype" w:hAnsi="Palatino Linotype" w:cs="Tahoma"/>
          <w:szCs w:val="22"/>
        </w:rPr>
        <w:t>l</w:t>
      </w:r>
      <w:r w:rsidR="00FC7950" w:rsidRPr="002E1218">
        <w:rPr>
          <w:rFonts w:ascii="Palatino Linotype" w:hAnsi="Palatino Linotype" w:cs="Tahoma"/>
          <w:szCs w:val="22"/>
        </w:rPr>
        <w:t xml:space="preserve"> </w:t>
      </w:r>
      <w:r w:rsidR="00924F21" w:rsidRPr="00924F21">
        <w:rPr>
          <w:rFonts w:ascii="Palatino Linotype" w:hAnsi="Palatino Linotype" w:cs="Tahoma"/>
          <w:b/>
          <w:szCs w:val="22"/>
        </w:rPr>
        <w:t>Ayuntamiento de Papalotla</w:t>
      </w:r>
      <w:r w:rsidR="00B31222" w:rsidRPr="002E1218">
        <w:rPr>
          <w:rFonts w:ascii="Palatino Linotype" w:hAnsi="Palatino Linotype" w:cs="Tahoma"/>
          <w:szCs w:val="22"/>
        </w:rPr>
        <w:t xml:space="preserve">, </w:t>
      </w:r>
      <w:r w:rsidR="00C55151" w:rsidRPr="002E1218">
        <w:rPr>
          <w:rFonts w:ascii="Palatino Linotype" w:hAnsi="Palatino Linotype" w:cs="Tahoma"/>
          <w:szCs w:val="22"/>
        </w:rPr>
        <w:t xml:space="preserve">mediante </w:t>
      </w:r>
      <w:r w:rsidR="001171BD" w:rsidRPr="002E1218">
        <w:rPr>
          <w:rFonts w:ascii="Palatino Linotype" w:hAnsi="Palatino Linotype" w:cs="Tahoma"/>
          <w:szCs w:val="22"/>
        </w:rPr>
        <w:t>el cual requirió</w:t>
      </w:r>
      <w:r w:rsidR="00B31222" w:rsidRPr="002E1218">
        <w:rPr>
          <w:rFonts w:ascii="Palatino Linotype" w:hAnsi="Palatino Linotype" w:cs="Tahoma"/>
          <w:szCs w:val="22"/>
        </w:rPr>
        <w:t>:</w:t>
      </w:r>
    </w:p>
    <w:p w:rsidR="00637179" w:rsidRPr="002E1218" w:rsidRDefault="00637179" w:rsidP="002E1218">
      <w:pPr>
        <w:pStyle w:val="Prrafodelista"/>
        <w:tabs>
          <w:tab w:val="left" w:pos="567"/>
        </w:tabs>
        <w:spacing w:line="360" w:lineRule="auto"/>
        <w:ind w:left="0"/>
        <w:contextualSpacing w:val="0"/>
        <w:jc w:val="both"/>
        <w:rPr>
          <w:rFonts w:ascii="Palatino Linotype" w:hAnsi="Palatino Linotype" w:cs="Tahoma"/>
          <w:szCs w:val="22"/>
        </w:rPr>
      </w:pPr>
    </w:p>
    <w:p w:rsidR="003B5F3B" w:rsidRDefault="002B4C49" w:rsidP="002E1218">
      <w:pPr>
        <w:tabs>
          <w:tab w:val="left" w:pos="4667"/>
        </w:tabs>
        <w:spacing w:line="360" w:lineRule="auto"/>
        <w:ind w:left="567" w:right="567"/>
        <w:jc w:val="both"/>
        <w:rPr>
          <w:rFonts w:ascii="Palatino Linotype" w:hAnsi="Palatino Linotype" w:cs="Tahoma"/>
          <w:b/>
          <w:bCs/>
          <w:sz w:val="22"/>
          <w:szCs w:val="22"/>
        </w:rPr>
      </w:pPr>
      <w:r w:rsidRPr="002E1218">
        <w:rPr>
          <w:rFonts w:ascii="Palatino Linotype" w:hAnsi="Palatino Linotype" w:cs="Tahoma"/>
          <w:b/>
          <w:bCs/>
          <w:sz w:val="22"/>
          <w:szCs w:val="22"/>
        </w:rPr>
        <w:t xml:space="preserve">Solicitud de folio: </w:t>
      </w:r>
      <w:r w:rsidR="00924F21" w:rsidRPr="00924F21">
        <w:rPr>
          <w:rFonts w:ascii="Palatino Linotype" w:hAnsi="Palatino Linotype" w:cs="Tahoma"/>
          <w:b/>
          <w:bCs/>
          <w:sz w:val="22"/>
          <w:szCs w:val="22"/>
        </w:rPr>
        <w:t>00026/PAPALO/IP/2019</w:t>
      </w:r>
    </w:p>
    <w:p w:rsidR="00D01F75" w:rsidRPr="002E1218" w:rsidRDefault="00D01F75" w:rsidP="002E1218">
      <w:pPr>
        <w:tabs>
          <w:tab w:val="left" w:pos="4667"/>
        </w:tabs>
        <w:spacing w:line="360" w:lineRule="auto"/>
        <w:ind w:left="567" w:right="567"/>
        <w:jc w:val="both"/>
        <w:rPr>
          <w:rFonts w:ascii="Palatino Linotype" w:hAnsi="Palatino Linotype" w:cs="Tahoma"/>
          <w:b/>
          <w:bCs/>
          <w:i/>
          <w:sz w:val="22"/>
          <w:szCs w:val="22"/>
        </w:rPr>
      </w:pPr>
      <w:r w:rsidRPr="002E1218">
        <w:rPr>
          <w:rFonts w:ascii="Palatino Linotype" w:hAnsi="Palatino Linotype" w:cs="Tahoma"/>
          <w:b/>
          <w:bCs/>
          <w:i/>
          <w:sz w:val="22"/>
          <w:szCs w:val="22"/>
        </w:rPr>
        <w:t>DESCRIPCIÓN CLARA Y PRECISA DE LA INFORMACIÓN SOLICITADA</w:t>
      </w:r>
    </w:p>
    <w:p w:rsidR="00D01F75" w:rsidRPr="00E96AB8" w:rsidRDefault="002B4C49" w:rsidP="002E1218">
      <w:pPr>
        <w:tabs>
          <w:tab w:val="left" w:pos="4667"/>
        </w:tabs>
        <w:spacing w:line="360" w:lineRule="auto"/>
        <w:ind w:left="567" w:right="567"/>
        <w:jc w:val="both"/>
        <w:rPr>
          <w:rFonts w:ascii="Palatino Linotype" w:hAnsi="Palatino Linotype" w:cs="Tahoma"/>
          <w:bCs/>
          <w:i/>
        </w:rPr>
      </w:pPr>
      <w:r w:rsidRPr="00E96AB8">
        <w:rPr>
          <w:rFonts w:ascii="Palatino Linotype" w:hAnsi="Palatino Linotype" w:cs="Tahoma"/>
          <w:bCs/>
          <w:i/>
        </w:rPr>
        <w:t>“</w:t>
      </w:r>
      <w:r w:rsidR="00924F21" w:rsidRPr="00924F21">
        <w:rPr>
          <w:rFonts w:ascii="Palatino Linotype" w:hAnsi="Palatino Linotype" w:cs="Tahoma"/>
          <w:bCs/>
          <w:i/>
        </w:rPr>
        <w:t xml:space="preserve">Solicito me sea entregada vía Saimex la copia de las versiones públicas de las licencias de funcionamiento y visto bueno de protección civil de las unidades economicas de mediano y alto impacto asentadas en el municipio de Papalotla estado de México que se dedican a la venta de bebidas alcohólicas al copeo (bares, cantinas, restaurantes, pulquerias, centros botaneros, etc) y que de acuerdo a la legislación estatal vigente, cuenten así mismo con el documento unico de factibilidad expedido por la autoridad pertinente. </w:t>
      </w:r>
      <w:r w:rsidR="004D519A" w:rsidRPr="00E96AB8">
        <w:rPr>
          <w:rFonts w:ascii="Palatino Linotype" w:hAnsi="Palatino Linotype" w:cs="Tahoma"/>
          <w:bCs/>
          <w:i/>
        </w:rPr>
        <w:t>“(</w:t>
      </w:r>
      <w:r w:rsidR="00D01F75" w:rsidRPr="00E96AB8">
        <w:rPr>
          <w:rFonts w:ascii="Palatino Linotype" w:hAnsi="Palatino Linotype" w:cs="Tahoma"/>
          <w:bCs/>
          <w:i/>
        </w:rPr>
        <w:t>Sic.)</w:t>
      </w:r>
    </w:p>
    <w:p w:rsidR="00D01F75" w:rsidRPr="002E1218" w:rsidRDefault="00D01F75" w:rsidP="002E1218">
      <w:pPr>
        <w:tabs>
          <w:tab w:val="left" w:pos="4667"/>
        </w:tabs>
        <w:spacing w:line="360" w:lineRule="auto"/>
        <w:ind w:left="567" w:right="567"/>
        <w:jc w:val="both"/>
        <w:rPr>
          <w:rFonts w:ascii="Palatino Linotype" w:hAnsi="Palatino Linotype" w:cs="Tahoma"/>
          <w:bCs/>
          <w:i/>
          <w:sz w:val="22"/>
          <w:szCs w:val="22"/>
        </w:rPr>
      </w:pPr>
    </w:p>
    <w:p w:rsidR="00D01F75" w:rsidRPr="002E1218" w:rsidRDefault="00D01F75" w:rsidP="002E1218">
      <w:pPr>
        <w:tabs>
          <w:tab w:val="left" w:pos="4667"/>
        </w:tabs>
        <w:spacing w:line="360" w:lineRule="auto"/>
        <w:ind w:left="567" w:right="567"/>
        <w:jc w:val="both"/>
        <w:rPr>
          <w:rFonts w:ascii="Palatino Linotype" w:hAnsi="Palatino Linotype" w:cs="Tahoma"/>
          <w:bCs/>
          <w:i/>
          <w:sz w:val="22"/>
          <w:szCs w:val="22"/>
        </w:rPr>
      </w:pPr>
      <w:r w:rsidRPr="002E1218">
        <w:rPr>
          <w:rFonts w:ascii="Palatino Linotype" w:hAnsi="Palatino Linotype" w:cs="Tahoma"/>
          <w:b/>
          <w:bCs/>
          <w:i/>
          <w:sz w:val="22"/>
          <w:szCs w:val="22"/>
        </w:rPr>
        <w:lastRenderedPageBreak/>
        <w:t>MODALIDAD DE ENTREGA</w:t>
      </w:r>
    </w:p>
    <w:p w:rsidR="00D01F75" w:rsidRPr="002E1218" w:rsidRDefault="002B4C49" w:rsidP="002E1218">
      <w:pPr>
        <w:tabs>
          <w:tab w:val="left" w:pos="4667"/>
        </w:tabs>
        <w:spacing w:line="360" w:lineRule="auto"/>
        <w:ind w:left="567" w:right="567"/>
        <w:jc w:val="both"/>
        <w:rPr>
          <w:rFonts w:ascii="Palatino Linotype" w:hAnsi="Palatino Linotype" w:cs="Tahoma"/>
          <w:bCs/>
          <w:i/>
          <w:sz w:val="22"/>
          <w:szCs w:val="22"/>
        </w:rPr>
      </w:pPr>
      <w:r w:rsidRPr="002E1218">
        <w:rPr>
          <w:rFonts w:ascii="Palatino Linotype" w:hAnsi="Palatino Linotype" w:cs="Tahoma"/>
          <w:bCs/>
          <w:i/>
          <w:sz w:val="22"/>
          <w:szCs w:val="22"/>
        </w:rPr>
        <w:t>“</w:t>
      </w:r>
      <w:r w:rsidR="00E64BD9" w:rsidRPr="002E1218">
        <w:rPr>
          <w:rFonts w:ascii="Palatino Linotype" w:hAnsi="Palatino Linotype" w:cs="Tahoma"/>
          <w:bCs/>
          <w:i/>
          <w:sz w:val="22"/>
          <w:szCs w:val="22"/>
        </w:rPr>
        <w:t>A través del SAIMEX</w:t>
      </w:r>
      <w:r w:rsidRPr="002E1218">
        <w:rPr>
          <w:rFonts w:ascii="Palatino Linotype" w:hAnsi="Palatino Linotype" w:cs="Tahoma"/>
          <w:bCs/>
          <w:i/>
          <w:sz w:val="22"/>
          <w:szCs w:val="22"/>
        </w:rPr>
        <w:t>”</w:t>
      </w:r>
    </w:p>
    <w:p w:rsidR="0092073B" w:rsidRPr="002E1218" w:rsidRDefault="0092073B" w:rsidP="002E1218">
      <w:pPr>
        <w:pStyle w:val="Prrafodelista"/>
        <w:tabs>
          <w:tab w:val="left" w:pos="567"/>
        </w:tabs>
        <w:spacing w:line="360" w:lineRule="auto"/>
        <w:ind w:left="0"/>
        <w:contextualSpacing w:val="0"/>
        <w:jc w:val="both"/>
        <w:rPr>
          <w:rFonts w:ascii="Palatino Linotype" w:hAnsi="Palatino Linotype" w:cs="Tahoma"/>
          <w:b/>
          <w:szCs w:val="22"/>
        </w:rPr>
      </w:pPr>
    </w:p>
    <w:p w:rsidR="00AA5A86" w:rsidRDefault="006C1B1D" w:rsidP="00924F21">
      <w:pPr>
        <w:pStyle w:val="Prrafodelista"/>
        <w:tabs>
          <w:tab w:val="left" w:pos="567"/>
        </w:tabs>
        <w:spacing w:line="360" w:lineRule="auto"/>
        <w:ind w:left="0"/>
        <w:contextualSpacing w:val="0"/>
        <w:jc w:val="both"/>
        <w:rPr>
          <w:rFonts w:ascii="Palatino Linotype" w:hAnsi="Palatino Linotype" w:cs="Tahoma"/>
          <w:b/>
          <w:szCs w:val="22"/>
        </w:rPr>
      </w:pPr>
      <w:r w:rsidRPr="002E1218">
        <w:rPr>
          <w:rFonts w:ascii="Palatino Linotype" w:hAnsi="Palatino Linotype" w:cs="Tahoma"/>
          <w:b/>
          <w:szCs w:val="22"/>
        </w:rPr>
        <w:t>II</w:t>
      </w:r>
      <w:r w:rsidR="00C55151" w:rsidRPr="002E1218">
        <w:rPr>
          <w:rFonts w:ascii="Palatino Linotype" w:hAnsi="Palatino Linotype" w:cs="Tahoma"/>
          <w:b/>
          <w:szCs w:val="22"/>
        </w:rPr>
        <w:t>.</w:t>
      </w:r>
      <w:r w:rsidR="00D34402" w:rsidRPr="002E1218">
        <w:rPr>
          <w:rFonts w:ascii="Palatino Linotype" w:hAnsi="Palatino Linotype" w:cs="Tahoma"/>
          <w:b/>
          <w:szCs w:val="22"/>
        </w:rPr>
        <w:t xml:space="preserve"> </w:t>
      </w:r>
      <w:r w:rsidR="00AA5A86" w:rsidRPr="002E1218">
        <w:rPr>
          <w:rFonts w:ascii="Palatino Linotype" w:hAnsi="Palatino Linotype" w:cs="Tahoma"/>
          <w:b/>
          <w:szCs w:val="22"/>
        </w:rPr>
        <w:t>Respuesta del Sujeto Obligado.</w:t>
      </w:r>
    </w:p>
    <w:p w:rsidR="002C33B2" w:rsidRPr="002E1218" w:rsidRDefault="002C33B2" w:rsidP="00924F21">
      <w:pPr>
        <w:pStyle w:val="Prrafodelista"/>
        <w:tabs>
          <w:tab w:val="left" w:pos="567"/>
        </w:tabs>
        <w:spacing w:line="360" w:lineRule="auto"/>
        <w:ind w:left="0"/>
        <w:contextualSpacing w:val="0"/>
        <w:jc w:val="both"/>
        <w:rPr>
          <w:rFonts w:ascii="Palatino Linotype" w:hAnsi="Palatino Linotype" w:cs="Tahoma"/>
          <w:b/>
          <w:szCs w:val="22"/>
        </w:rPr>
      </w:pPr>
    </w:p>
    <w:p w:rsidR="005723F0" w:rsidRDefault="005723F0" w:rsidP="005723F0">
      <w:pPr>
        <w:autoSpaceDE w:val="0"/>
        <w:autoSpaceDN w:val="0"/>
        <w:adjustRightInd w:val="0"/>
        <w:spacing w:line="360" w:lineRule="auto"/>
        <w:jc w:val="both"/>
        <w:rPr>
          <w:rFonts w:ascii="Palatino Linotype" w:hAnsi="Palatino Linotype" w:cs="Tahoma"/>
          <w:sz w:val="22"/>
          <w:szCs w:val="22"/>
        </w:rPr>
      </w:pPr>
      <w:r w:rsidRPr="005723F0">
        <w:rPr>
          <w:rFonts w:ascii="Palatino Linotype" w:hAnsi="Palatino Linotype" w:cs="Tahoma"/>
          <w:sz w:val="22"/>
          <w:szCs w:val="22"/>
        </w:rPr>
        <w:t>De las constancias que obran en el expediente electrónico del Sistema de Acceso a la</w:t>
      </w:r>
      <w:r w:rsidR="00924F21">
        <w:rPr>
          <w:rFonts w:ascii="Palatino Linotype" w:hAnsi="Palatino Linotype" w:cs="Tahoma"/>
          <w:sz w:val="22"/>
          <w:szCs w:val="22"/>
        </w:rPr>
        <w:t xml:space="preserve"> </w:t>
      </w:r>
      <w:r w:rsidRPr="005723F0">
        <w:rPr>
          <w:rFonts w:ascii="Palatino Linotype" w:hAnsi="Palatino Linotype" w:cs="Tahoma"/>
          <w:sz w:val="22"/>
          <w:szCs w:val="22"/>
        </w:rPr>
        <w:t xml:space="preserve">Información Mexiquense (SAIMEX), se advierte que el </w:t>
      </w:r>
      <w:r w:rsidR="00924F21" w:rsidRPr="00924F21">
        <w:rPr>
          <w:rFonts w:ascii="Palatino Linotype" w:hAnsi="Palatino Linotype" w:cs="Tahoma"/>
          <w:b/>
          <w:bCs/>
          <w:sz w:val="22"/>
          <w:szCs w:val="22"/>
        </w:rPr>
        <w:t>Ayuntamiento de Papalotla</w:t>
      </w:r>
      <w:r w:rsidR="00924F21" w:rsidRPr="00924F21">
        <w:rPr>
          <w:rFonts w:ascii="Palatino Linotype" w:hAnsi="Palatino Linotype" w:cs="Tahoma"/>
          <w:sz w:val="22"/>
          <w:szCs w:val="22"/>
        </w:rPr>
        <w:t xml:space="preserve"> </w:t>
      </w:r>
      <w:r w:rsidRPr="005723F0">
        <w:rPr>
          <w:rFonts w:ascii="Palatino Linotype" w:hAnsi="Palatino Linotype" w:cs="Tahoma"/>
          <w:sz w:val="22"/>
          <w:szCs w:val="22"/>
        </w:rPr>
        <w:t>no otorgó respuesta a la solicitud de acceso a la información pública con número de</w:t>
      </w:r>
      <w:r w:rsidR="00924F21">
        <w:rPr>
          <w:rFonts w:ascii="Palatino Linotype" w:hAnsi="Palatino Linotype" w:cs="Tahoma"/>
          <w:sz w:val="22"/>
          <w:szCs w:val="22"/>
        </w:rPr>
        <w:t xml:space="preserve"> </w:t>
      </w:r>
      <w:r w:rsidRPr="005723F0">
        <w:rPr>
          <w:rFonts w:ascii="Palatino Linotype" w:hAnsi="Palatino Linotype" w:cs="Tahoma"/>
          <w:sz w:val="22"/>
          <w:szCs w:val="22"/>
        </w:rPr>
        <w:t xml:space="preserve">folio </w:t>
      </w:r>
      <w:r w:rsidR="00924F21" w:rsidRPr="00924F21">
        <w:rPr>
          <w:rFonts w:ascii="Palatino Linotype" w:hAnsi="Palatino Linotype" w:cs="Tahoma"/>
          <w:b/>
          <w:bCs/>
          <w:sz w:val="22"/>
          <w:szCs w:val="22"/>
        </w:rPr>
        <w:t>00026/PAPALO/IP/2019.</w:t>
      </w:r>
    </w:p>
    <w:p w:rsidR="005723F0" w:rsidRPr="005723F0" w:rsidRDefault="005723F0" w:rsidP="005723F0">
      <w:pPr>
        <w:autoSpaceDE w:val="0"/>
        <w:autoSpaceDN w:val="0"/>
        <w:adjustRightInd w:val="0"/>
        <w:spacing w:line="360" w:lineRule="auto"/>
        <w:jc w:val="both"/>
        <w:rPr>
          <w:rFonts w:ascii="Palatino Linotype" w:hAnsi="Palatino Linotype" w:cs="Tahoma"/>
          <w:bCs/>
          <w:sz w:val="22"/>
          <w:szCs w:val="22"/>
        </w:rPr>
      </w:pPr>
    </w:p>
    <w:p w:rsidR="00587F23" w:rsidRPr="002E1218" w:rsidRDefault="0030032A" w:rsidP="002E1218">
      <w:pPr>
        <w:autoSpaceDE w:val="0"/>
        <w:autoSpaceDN w:val="0"/>
        <w:adjustRightInd w:val="0"/>
        <w:spacing w:line="360" w:lineRule="auto"/>
        <w:jc w:val="both"/>
        <w:rPr>
          <w:rFonts w:ascii="Palatino Linotype" w:hAnsi="Palatino Linotype" w:cs="Tahoma"/>
          <w:b/>
          <w:sz w:val="22"/>
          <w:szCs w:val="22"/>
        </w:rPr>
      </w:pPr>
      <w:r w:rsidRPr="002E1218">
        <w:rPr>
          <w:rFonts w:ascii="Palatino Linotype" w:hAnsi="Palatino Linotype" w:cs="Tahoma"/>
          <w:b/>
          <w:sz w:val="22"/>
          <w:szCs w:val="22"/>
        </w:rPr>
        <w:t>III</w:t>
      </w:r>
      <w:r w:rsidR="00AA5A86" w:rsidRPr="002E1218">
        <w:rPr>
          <w:rFonts w:ascii="Palatino Linotype" w:hAnsi="Palatino Linotype" w:cs="Tahoma"/>
          <w:b/>
          <w:sz w:val="22"/>
          <w:szCs w:val="22"/>
        </w:rPr>
        <w:t xml:space="preserve">. </w:t>
      </w:r>
      <w:r w:rsidR="004100AA" w:rsidRPr="002E1218">
        <w:rPr>
          <w:rFonts w:ascii="Palatino Linotype" w:hAnsi="Palatino Linotype" w:cs="Tahoma"/>
          <w:b/>
          <w:sz w:val="22"/>
          <w:szCs w:val="22"/>
        </w:rPr>
        <w:t>Interposición</w:t>
      </w:r>
      <w:r w:rsidR="00C459A9" w:rsidRPr="002E1218">
        <w:rPr>
          <w:rFonts w:ascii="Palatino Linotype" w:hAnsi="Palatino Linotype" w:cs="Tahoma"/>
          <w:b/>
          <w:sz w:val="22"/>
          <w:szCs w:val="22"/>
        </w:rPr>
        <w:t xml:space="preserve"> del Recurso de R</w:t>
      </w:r>
      <w:r w:rsidR="00C25238" w:rsidRPr="002E1218">
        <w:rPr>
          <w:rFonts w:ascii="Palatino Linotype" w:hAnsi="Palatino Linotype" w:cs="Tahoma"/>
          <w:b/>
          <w:sz w:val="22"/>
          <w:szCs w:val="22"/>
        </w:rPr>
        <w:t xml:space="preserve">evisión. </w:t>
      </w:r>
    </w:p>
    <w:p w:rsidR="00587F23" w:rsidRPr="002E1218" w:rsidRDefault="00587F23" w:rsidP="002E1218">
      <w:pPr>
        <w:autoSpaceDE w:val="0"/>
        <w:autoSpaceDN w:val="0"/>
        <w:adjustRightInd w:val="0"/>
        <w:spacing w:line="360" w:lineRule="auto"/>
        <w:jc w:val="both"/>
        <w:rPr>
          <w:rFonts w:ascii="Palatino Linotype" w:hAnsi="Palatino Linotype" w:cs="Tahoma"/>
          <w:b/>
          <w:sz w:val="22"/>
          <w:szCs w:val="22"/>
        </w:rPr>
      </w:pPr>
    </w:p>
    <w:p w:rsidR="00C25238" w:rsidRPr="002E1218" w:rsidRDefault="004E401B" w:rsidP="002E1218">
      <w:pPr>
        <w:tabs>
          <w:tab w:val="left" w:pos="3122"/>
          <w:tab w:val="right" w:pos="8838"/>
        </w:tabs>
        <w:spacing w:line="360" w:lineRule="auto"/>
        <w:ind w:left="-74" w:right="-105"/>
        <w:jc w:val="both"/>
        <w:rPr>
          <w:rFonts w:ascii="Palatino Linotype" w:eastAsia="Calibri" w:hAnsi="Palatino Linotype" w:cs="Tahoma"/>
          <w:sz w:val="22"/>
          <w:szCs w:val="22"/>
          <w:lang w:eastAsia="en-US"/>
        </w:rPr>
      </w:pPr>
      <w:r w:rsidRPr="002E1218">
        <w:rPr>
          <w:rFonts w:ascii="Palatino Linotype" w:hAnsi="Palatino Linotype" w:cs="Tahoma"/>
          <w:sz w:val="22"/>
          <w:szCs w:val="22"/>
        </w:rPr>
        <w:t xml:space="preserve">Con fecha </w:t>
      </w:r>
      <w:r w:rsidR="00743155">
        <w:rPr>
          <w:rFonts w:ascii="Palatino Linotype" w:hAnsi="Palatino Linotype" w:cs="Tahoma"/>
          <w:sz w:val="22"/>
          <w:szCs w:val="22"/>
        </w:rPr>
        <w:t>d</w:t>
      </w:r>
      <w:r w:rsidR="00377913">
        <w:rPr>
          <w:rFonts w:ascii="Palatino Linotype" w:hAnsi="Palatino Linotype" w:cs="Tahoma"/>
          <w:sz w:val="22"/>
          <w:szCs w:val="22"/>
        </w:rPr>
        <w:t>ie</w:t>
      </w:r>
      <w:r w:rsidR="00924F21">
        <w:rPr>
          <w:rFonts w:ascii="Palatino Linotype" w:hAnsi="Palatino Linotype" w:cs="Tahoma"/>
          <w:sz w:val="22"/>
          <w:szCs w:val="22"/>
        </w:rPr>
        <w:t>ciocho</w:t>
      </w:r>
      <w:r w:rsidR="00E47C0D" w:rsidRPr="002E1218">
        <w:rPr>
          <w:rFonts w:ascii="Palatino Linotype" w:hAnsi="Palatino Linotype" w:cs="Tahoma"/>
          <w:sz w:val="22"/>
          <w:szCs w:val="22"/>
        </w:rPr>
        <w:t xml:space="preserve"> de </w:t>
      </w:r>
      <w:r w:rsidR="002D4C3D">
        <w:rPr>
          <w:rFonts w:ascii="Palatino Linotype" w:hAnsi="Palatino Linotype" w:cs="Tahoma"/>
          <w:sz w:val="22"/>
          <w:szCs w:val="22"/>
        </w:rPr>
        <w:t>juni</w:t>
      </w:r>
      <w:r w:rsidR="00E47C0D" w:rsidRPr="002E1218">
        <w:rPr>
          <w:rFonts w:ascii="Palatino Linotype" w:hAnsi="Palatino Linotype" w:cs="Tahoma"/>
          <w:sz w:val="22"/>
          <w:szCs w:val="22"/>
        </w:rPr>
        <w:t>o</w:t>
      </w:r>
      <w:r w:rsidR="0030032A" w:rsidRPr="002E1218">
        <w:rPr>
          <w:rFonts w:ascii="Palatino Linotype" w:hAnsi="Palatino Linotype" w:cs="Tahoma"/>
          <w:sz w:val="22"/>
          <w:szCs w:val="22"/>
        </w:rPr>
        <w:t xml:space="preserve"> de dos mil diecinueve</w:t>
      </w:r>
      <w:r w:rsidR="00C25238" w:rsidRPr="002E1218">
        <w:rPr>
          <w:rFonts w:ascii="Palatino Linotype" w:hAnsi="Palatino Linotype" w:cs="Tahoma"/>
          <w:sz w:val="22"/>
          <w:szCs w:val="22"/>
        </w:rPr>
        <w:t xml:space="preserve">, </w:t>
      </w:r>
      <w:r w:rsidR="00BE4843" w:rsidRPr="002E1218">
        <w:rPr>
          <w:rFonts w:ascii="Palatino Linotype" w:hAnsi="Palatino Linotype" w:cs="Tahoma"/>
          <w:sz w:val="22"/>
          <w:szCs w:val="22"/>
        </w:rPr>
        <w:t xml:space="preserve">se recibió en este Instituto, a través del </w:t>
      </w:r>
      <w:r w:rsidR="00BE4843" w:rsidRPr="002E1218">
        <w:rPr>
          <w:rFonts w:ascii="Palatino Linotype" w:hAnsi="Palatino Linotype" w:cs="Tahoma"/>
          <w:sz w:val="22"/>
          <w:szCs w:val="22"/>
          <w:lang w:val="es-ES"/>
        </w:rPr>
        <w:t>Sistema de Acceso a la Información Mexiquense (SAIMEX)</w:t>
      </w:r>
      <w:r w:rsidR="00BE4843" w:rsidRPr="002E1218">
        <w:rPr>
          <w:rFonts w:ascii="Palatino Linotype" w:hAnsi="Palatino Linotype" w:cs="Tahoma"/>
          <w:sz w:val="22"/>
          <w:szCs w:val="22"/>
        </w:rPr>
        <w:t>, Recurso de Revisión interpuesto por</w:t>
      </w:r>
      <w:r w:rsidR="002020FA" w:rsidRPr="002E1218">
        <w:rPr>
          <w:rFonts w:ascii="Palatino Linotype" w:hAnsi="Palatino Linotype" w:cs="Tahoma"/>
          <w:sz w:val="22"/>
          <w:szCs w:val="22"/>
        </w:rPr>
        <w:t xml:space="preserve"> el </w:t>
      </w:r>
      <w:r w:rsidR="002020FA" w:rsidRPr="002E1218">
        <w:rPr>
          <w:rFonts w:ascii="Palatino Linotype" w:hAnsi="Palatino Linotype" w:cs="Tahoma"/>
          <w:b/>
          <w:sz w:val="22"/>
          <w:szCs w:val="22"/>
        </w:rPr>
        <w:t>Recurrente</w:t>
      </w:r>
      <w:r w:rsidR="00BE4843" w:rsidRPr="002E1218">
        <w:rPr>
          <w:rFonts w:ascii="Palatino Linotype" w:hAnsi="Palatino Linotype" w:cs="Tahoma"/>
          <w:sz w:val="22"/>
          <w:szCs w:val="22"/>
        </w:rPr>
        <w:t xml:space="preserve">, en contra de la </w:t>
      </w:r>
      <w:r w:rsidR="00924F21">
        <w:rPr>
          <w:rFonts w:ascii="Palatino Linotype" w:hAnsi="Palatino Linotype" w:cs="Tahoma"/>
          <w:sz w:val="22"/>
          <w:szCs w:val="22"/>
        </w:rPr>
        <w:t xml:space="preserve">falta de </w:t>
      </w:r>
      <w:r w:rsidR="00BE4843" w:rsidRPr="002E1218">
        <w:rPr>
          <w:rFonts w:ascii="Palatino Linotype" w:hAnsi="Palatino Linotype" w:cs="Tahoma"/>
          <w:sz w:val="22"/>
          <w:szCs w:val="22"/>
        </w:rPr>
        <w:t xml:space="preserve">respuesta </w:t>
      </w:r>
      <w:r w:rsidR="00924F21">
        <w:rPr>
          <w:rFonts w:ascii="Palatino Linotype" w:hAnsi="Palatino Linotype" w:cs="Tahoma"/>
          <w:sz w:val="22"/>
          <w:szCs w:val="22"/>
        </w:rPr>
        <w:t>d</w:t>
      </w:r>
      <w:r w:rsidR="00BE4843" w:rsidRPr="002E1218">
        <w:rPr>
          <w:rFonts w:ascii="Palatino Linotype" w:hAnsi="Palatino Linotype" w:cs="Tahoma"/>
          <w:sz w:val="22"/>
          <w:szCs w:val="22"/>
        </w:rPr>
        <w:t xml:space="preserve">el </w:t>
      </w:r>
      <w:r w:rsidR="00BE4843" w:rsidRPr="002E1218">
        <w:rPr>
          <w:rFonts w:ascii="Palatino Linotype" w:hAnsi="Palatino Linotype" w:cs="Tahoma"/>
          <w:b/>
          <w:sz w:val="22"/>
          <w:szCs w:val="22"/>
        </w:rPr>
        <w:t>Sujeto Obligado</w:t>
      </w:r>
      <w:r w:rsidR="00BE4843" w:rsidRPr="002E1218">
        <w:rPr>
          <w:rFonts w:ascii="Palatino Linotype" w:hAnsi="Palatino Linotype" w:cs="Tahoma"/>
          <w:sz w:val="22"/>
          <w:szCs w:val="22"/>
        </w:rPr>
        <w:t xml:space="preserve"> a la solicitud de información, en los siguientes términos:</w:t>
      </w:r>
    </w:p>
    <w:p w:rsidR="004F2C69" w:rsidRPr="002E1218" w:rsidRDefault="004F2C69" w:rsidP="002E1218">
      <w:pPr>
        <w:tabs>
          <w:tab w:val="left" w:pos="4667"/>
        </w:tabs>
        <w:spacing w:line="360" w:lineRule="auto"/>
        <w:ind w:left="567" w:right="567"/>
        <w:jc w:val="both"/>
        <w:rPr>
          <w:rFonts w:ascii="Palatino Linotype" w:hAnsi="Palatino Linotype" w:cs="Tahoma"/>
          <w:b/>
          <w:bCs/>
          <w:i/>
          <w:sz w:val="22"/>
          <w:szCs w:val="22"/>
        </w:rPr>
      </w:pPr>
    </w:p>
    <w:p w:rsidR="00C25238" w:rsidRPr="002E1218" w:rsidRDefault="00C25238" w:rsidP="002E1218">
      <w:pPr>
        <w:tabs>
          <w:tab w:val="left" w:pos="4667"/>
        </w:tabs>
        <w:spacing w:line="360" w:lineRule="auto"/>
        <w:ind w:left="567" w:right="567"/>
        <w:jc w:val="both"/>
        <w:rPr>
          <w:rFonts w:ascii="Palatino Linotype" w:hAnsi="Palatino Linotype" w:cs="Tahoma"/>
          <w:bCs/>
          <w:i/>
          <w:sz w:val="22"/>
          <w:szCs w:val="22"/>
        </w:rPr>
      </w:pPr>
      <w:r w:rsidRPr="002E1218">
        <w:rPr>
          <w:rFonts w:ascii="Palatino Linotype" w:hAnsi="Palatino Linotype" w:cs="Tahoma"/>
          <w:b/>
          <w:bCs/>
          <w:i/>
          <w:sz w:val="22"/>
          <w:szCs w:val="22"/>
        </w:rPr>
        <w:t>ACTO IMPUGNADO</w:t>
      </w:r>
    </w:p>
    <w:p w:rsidR="00CD3A5D" w:rsidRPr="002D4C3D" w:rsidRDefault="008F13A5" w:rsidP="002E1218">
      <w:pPr>
        <w:autoSpaceDE w:val="0"/>
        <w:autoSpaceDN w:val="0"/>
        <w:adjustRightInd w:val="0"/>
        <w:spacing w:line="360" w:lineRule="auto"/>
        <w:ind w:left="567" w:right="567"/>
        <w:jc w:val="both"/>
        <w:rPr>
          <w:rFonts w:ascii="Palatino Linotype" w:hAnsi="Palatino Linotype" w:cs="Tahoma"/>
          <w:i/>
        </w:rPr>
      </w:pPr>
      <w:r w:rsidRPr="002D4C3D">
        <w:rPr>
          <w:rFonts w:ascii="Palatino Linotype" w:hAnsi="Palatino Linotype" w:cs="Tahoma"/>
          <w:i/>
        </w:rPr>
        <w:t>“</w:t>
      </w:r>
      <w:r w:rsidR="00924F21" w:rsidRPr="00924F21">
        <w:rPr>
          <w:rFonts w:ascii="Palatino Linotype" w:hAnsi="Palatino Linotype" w:cs="Tahoma"/>
          <w:i/>
        </w:rPr>
        <w:t>Negativa ficta</w:t>
      </w:r>
      <w:r w:rsidRPr="002D4C3D">
        <w:rPr>
          <w:rFonts w:ascii="Palatino Linotype" w:hAnsi="Palatino Linotype" w:cs="Tahoma"/>
          <w:i/>
        </w:rPr>
        <w:t>”</w:t>
      </w:r>
      <w:r w:rsidR="00092475" w:rsidRPr="002D4C3D">
        <w:rPr>
          <w:rFonts w:ascii="Palatino Linotype" w:hAnsi="Palatino Linotype" w:cs="Tahoma"/>
          <w:i/>
        </w:rPr>
        <w:t xml:space="preserve"> </w:t>
      </w:r>
      <w:r w:rsidR="002D4C3D">
        <w:rPr>
          <w:rFonts w:ascii="Palatino Linotype" w:hAnsi="Palatino Linotype" w:cs="Tahoma"/>
          <w:i/>
        </w:rPr>
        <w:t>(Sic.)</w:t>
      </w:r>
    </w:p>
    <w:p w:rsidR="000313A7" w:rsidRPr="002E1218" w:rsidRDefault="000313A7" w:rsidP="002E1218">
      <w:pPr>
        <w:autoSpaceDE w:val="0"/>
        <w:autoSpaceDN w:val="0"/>
        <w:adjustRightInd w:val="0"/>
        <w:spacing w:line="360" w:lineRule="auto"/>
        <w:ind w:left="567" w:right="567"/>
        <w:jc w:val="both"/>
        <w:rPr>
          <w:rFonts w:ascii="Palatino Linotype" w:hAnsi="Palatino Linotype" w:cs="Tahoma"/>
          <w:i/>
          <w:sz w:val="22"/>
          <w:szCs w:val="22"/>
        </w:rPr>
      </w:pPr>
    </w:p>
    <w:p w:rsidR="00C25238" w:rsidRPr="002E1218" w:rsidRDefault="00C25238" w:rsidP="002E1218">
      <w:pPr>
        <w:autoSpaceDE w:val="0"/>
        <w:autoSpaceDN w:val="0"/>
        <w:adjustRightInd w:val="0"/>
        <w:spacing w:line="360" w:lineRule="auto"/>
        <w:ind w:left="567" w:right="567"/>
        <w:jc w:val="both"/>
        <w:rPr>
          <w:rFonts w:ascii="Palatino Linotype" w:hAnsi="Palatino Linotype" w:cs="Tahoma"/>
          <w:b/>
          <w:i/>
          <w:sz w:val="22"/>
          <w:szCs w:val="22"/>
        </w:rPr>
      </w:pPr>
      <w:r w:rsidRPr="002E1218">
        <w:rPr>
          <w:rFonts w:ascii="Palatino Linotype" w:hAnsi="Palatino Linotype" w:cs="Tahoma"/>
          <w:b/>
          <w:i/>
          <w:sz w:val="22"/>
          <w:szCs w:val="22"/>
        </w:rPr>
        <w:t>RAZONES O MOTIVOS DE LA INCONFORMIDAD</w:t>
      </w:r>
    </w:p>
    <w:p w:rsidR="00B31222" w:rsidRPr="002D4C3D" w:rsidRDefault="008F13A5" w:rsidP="002E1218">
      <w:pPr>
        <w:autoSpaceDE w:val="0"/>
        <w:autoSpaceDN w:val="0"/>
        <w:adjustRightInd w:val="0"/>
        <w:spacing w:line="360" w:lineRule="auto"/>
        <w:ind w:left="567" w:right="567"/>
        <w:jc w:val="both"/>
        <w:rPr>
          <w:rFonts w:ascii="Palatino Linotype" w:hAnsi="Palatino Linotype" w:cs="Tahoma"/>
          <w:i/>
        </w:rPr>
      </w:pPr>
      <w:r w:rsidRPr="002D4C3D">
        <w:rPr>
          <w:rFonts w:ascii="Palatino Linotype" w:hAnsi="Palatino Linotype" w:cs="Tahoma"/>
          <w:i/>
        </w:rPr>
        <w:t>“</w:t>
      </w:r>
      <w:r w:rsidR="00924F21" w:rsidRPr="00924F21">
        <w:rPr>
          <w:rFonts w:ascii="Palatino Linotype" w:hAnsi="Palatino Linotype" w:cs="Tahoma"/>
          <w:i/>
        </w:rPr>
        <w:t>Transcurrido el plazo contemplado por la ley, el sujeto obligado no ha hecho entrega de la información solicitada.</w:t>
      </w:r>
      <w:r w:rsidRPr="002D4C3D">
        <w:rPr>
          <w:rFonts w:ascii="Palatino Linotype" w:hAnsi="Palatino Linotype" w:cs="Tahoma"/>
          <w:i/>
        </w:rPr>
        <w:t>”</w:t>
      </w:r>
      <w:r w:rsidR="00AE0890" w:rsidRPr="002D4C3D">
        <w:rPr>
          <w:rFonts w:ascii="Palatino Linotype" w:hAnsi="Palatino Linotype" w:cs="Tahoma"/>
          <w:i/>
        </w:rPr>
        <w:t xml:space="preserve"> </w:t>
      </w:r>
      <w:r w:rsidR="006C1B1D" w:rsidRPr="002D4C3D">
        <w:rPr>
          <w:rFonts w:ascii="Palatino Linotype" w:hAnsi="Palatino Linotype" w:cs="Tahoma"/>
          <w:i/>
        </w:rPr>
        <w:t>(Sic.)</w:t>
      </w:r>
    </w:p>
    <w:p w:rsidR="00787B77" w:rsidRPr="002E1218" w:rsidRDefault="00787B77" w:rsidP="002E1218">
      <w:pPr>
        <w:spacing w:line="360" w:lineRule="auto"/>
        <w:jc w:val="both"/>
        <w:rPr>
          <w:rFonts w:ascii="Palatino Linotype" w:hAnsi="Palatino Linotype" w:cs="Tahoma"/>
          <w:b/>
          <w:sz w:val="22"/>
          <w:szCs w:val="22"/>
        </w:rPr>
      </w:pPr>
    </w:p>
    <w:p w:rsidR="00B31222" w:rsidRPr="002E1218" w:rsidRDefault="00BE4843" w:rsidP="002E1218">
      <w:pPr>
        <w:spacing w:line="360" w:lineRule="auto"/>
        <w:jc w:val="both"/>
        <w:rPr>
          <w:rFonts w:ascii="Palatino Linotype" w:eastAsia="Batang" w:hAnsi="Palatino Linotype" w:cs="Tahoma"/>
          <w:b/>
          <w:bCs/>
          <w:sz w:val="22"/>
          <w:szCs w:val="22"/>
        </w:rPr>
      </w:pPr>
      <w:r w:rsidRPr="002E1218">
        <w:rPr>
          <w:rFonts w:ascii="Palatino Linotype" w:hAnsi="Palatino Linotype" w:cs="Tahoma"/>
          <w:b/>
          <w:sz w:val="22"/>
          <w:szCs w:val="22"/>
        </w:rPr>
        <w:t>I</w:t>
      </w:r>
      <w:r w:rsidR="0030032A" w:rsidRPr="002E1218">
        <w:rPr>
          <w:rFonts w:ascii="Palatino Linotype" w:hAnsi="Palatino Linotype" w:cs="Tahoma"/>
          <w:b/>
          <w:sz w:val="22"/>
          <w:szCs w:val="22"/>
        </w:rPr>
        <w:t>V</w:t>
      </w:r>
      <w:r w:rsidR="00B31222" w:rsidRPr="002E1218">
        <w:rPr>
          <w:rFonts w:ascii="Palatino Linotype" w:hAnsi="Palatino Linotype" w:cs="Tahoma"/>
          <w:b/>
          <w:sz w:val="22"/>
          <w:szCs w:val="22"/>
        </w:rPr>
        <w:t xml:space="preserve">. </w:t>
      </w:r>
      <w:r w:rsidR="00B31222" w:rsidRPr="002E1218">
        <w:rPr>
          <w:rFonts w:ascii="Palatino Linotype" w:eastAsia="Batang" w:hAnsi="Palatino Linotype" w:cs="Tahoma"/>
          <w:b/>
          <w:bCs/>
          <w:sz w:val="22"/>
          <w:szCs w:val="22"/>
        </w:rPr>
        <w:t xml:space="preserve">Trámite del </w:t>
      </w:r>
      <w:r w:rsidR="00C459A9" w:rsidRPr="002E1218">
        <w:rPr>
          <w:rFonts w:ascii="Palatino Linotype" w:hAnsi="Palatino Linotype" w:cs="Tahoma"/>
          <w:b/>
          <w:sz w:val="22"/>
          <w:szCs w:val="22"/>
        </w:rPr>
        <w:t>Recurso de Revisión</w:t>
      </w:r>
      <w:r w:rsidR="00AE489D" w:rsidRPr="002E1218">
        <w:rPr>
          <w:rFonts w:ascii="Palatino Linotype" w:hAnsi="Palatino Linotype" w:cs="Tahoma"/>
          <w:b/>
          <w:sz w:val="22"/>
          <w:szCs w:val="22"/>
        </w:rPr>
        <w:t xml:space="preserve"> </w:t>
      </w:r>
      <w:r w:rsidR="00B31222" w:rsidRPr="002E1218">
        <w:rPr>
          <w:rFonts w:ascii="Palatino Linotype" w:eastAsia="Batang" w:hAnsi="Palatino Linotype" w:cs="Tahoma"/>
          <w:b/>
          <w:bCs/>
          <w:sz w:val="22"/>
          <w:szCs w:val="22"/>
        </w:rPr>
        <w:t>ante el Instituto</w:t>
      </w:r>
      <w:r w:rsidR="00E445DA" w:rsidRPr="002E1218">
        <w:rPr>
          <w:rFonts w:ascii="Palatino Linotype" w:eastAsia="Batang" w:hAnsi="Palatino Linotype" w:cs="Tahoma"/>
          <w:b/>
          <w:bCs/>
          <w:sz w:val="22"/>
          <w:szCs w:val="22"/>
        </w:rPr>
        <w:t>.</w:t>
      </w:r>
    </w:p>
    <w:p w:rsidR="00E445DA" w:rsidRPr="002E1218" w:rsidRDefault="00E445DA" w:rsidP="002E1218">
      <w:pPr>
        <w:spacing w:line="360" w:lineRule="auto"/>
        <w:jc w:val="both"/>
        <w:rPr>
          <w:rFonts w:ascii="Palatino Linotype" w:eastAsia="Batang" w:hAnsi="Palatino Linotype" w:cs="Tahoma"/>
          <w:b/>
          <w:bCs/>
          <w:sz w:val="22"/>
          <w:szCs w:val="22"/>
        </w:rPr>
      </w:pPr>
    </w:p>
    <w:p w:rsidR="008F13A5" w:rsidRPr="002E1218" w:rsidRDefault="00A90F9B" w:rsidP="002E1218">
      <w:pPr>
        <w:spacing w:line="360" w:lineRule="auto"/>
        <w:jc w:val="both"/>
        <w:rPr>
          <w:rFonts w:ascii="Palatino Linotype" w:eastAsia="Batang" w:hAnsi="Palatino Linotype" w:cs="Tahoma"/>
          <w:b/>
          <w:bCs/>
          <w:sz w:val="22"/>
          <w:szCs w:val="22"/>
        </w:rPr>
      </w:pPr>
      <w:r w:rsidRPr="002E1218">
        <w:rPr>
          <w:rFonts w:ascii="Palatino Linotype" w:eastAsia="Batang" w:hAnsi="Palatino Linotype" w:cs="Tahoma"/>
          <w:b/>
          <w:bCs/>
          <w:sz w:val="22"/>
          <w:szCs w:val="22"/>
        </w:rPr>
        <w:t xml:space="preserve">a) </w:t>
      </w:r>
      <w:r w:rsidR="00B31222" w:rsidRPr="002E1218">
        <w:rPr>
          <w:rFonts w:ascii="Palatino Linotype" w:eastAsia="Batang" w:hAnsi="Palatino Linotype" w:cs="Tahoma"/>
          <w:b/>
          <w:bCs/>
          <w:sz w:val="22"/>
          <w:szCs w:val="22"/>
        </w:rPr>
        <w:t xml:space="preserve">Turno del </w:t>
      </w:r>
      <w:r w:rsidR="00C459A9" w:rsidRPr="002E1218">
        <w:rPr>
          <w:rFonts w:ascii="Palatino Linotype" w:hAnsi="Palatino Linotype" w:cs="Tahoma"/>
          <w:b/>
          <w:sz w:val="22"/>
          <w:szCs w:val="22"/>
        </w:rPr>
        <w:t>Recurso de Revisión</w:t>
      </w:r>
      <w:r w:rsidRPr="002E1218">
        <w:rPr>
          <w:rFonts w:ascii="Palatino Linotype" w:eastAsia="Batang" w:hAnsi="Palatino Linotype" w:cs="Tahoma"/>
          <w:b/>
          <w:bCs/>
          <w:sz w:val="22"/>
          <w:szCs w:val="22"/>
        </w:rPr>
        <w:t>.</w:t>
      </w:r>
      <w:r w:rsidR="00AE489D" w:rsidRPr="002E1218">
        <w:rPr>
          <w:rFonts w:ascii="Palatino Linotype" w:eastAsia="Batang" w:hAnsi="Palatino Linotype" w:cs="Tahoma"/>
          <w:b/>
          <w:bCs/>
          <w:sz w:val="22"/>
          <w:szCs w:val="22"/>
        </w:rPr>
        <w:t xml:space="preserve"> </w:t>
      </w:r>
    </w:p>
    <w:p w:rsidR="00BE4843" w:rsidRPr="002E1218" w:rsidRDefault="008216D3" w:rsidP="002E1218">
      <w:pPr>
        <w:spacing w:line="360" w:lineRule="auto"/>
        <w:jc w:val="both"/>
        <w:rPr>
          <w:rFonts w:ascii="Palatino Linotype" w:eastAsia="Batang" w:hAnsi="Palatino Linotype" w:cs="Tahoma"/>
          <w:bCs/>
          <w:sz w:val="22"/>
          <w:szCs w:val="22"/>
        </w:rPr>
      </w:pPr>
      <w:r w:rsidRPr="002E1218">
        <w:rPr>
          <w:rFonts w:ascii="Palatino Linotype" w:eastAsia="Batang" w:hAnsi="Palatino Linotype" w:cs="Tahoma"/>
          <w:bCs/>
          <w:sz w:val="22"/>
          <w:szCs w:val="22"/>
        </w:rPr>
        <w:lastRenderedPageBreak/>
        <w:t xml:space="preserve">El </w:t>
      </w:r>
      <w:r w:rsidR="00743155">
        <w:rPr>
          <w:rFonts w:ascii="Palatino Linotype" w:eastAsia="Batang" w:hAnsi="Palatino Linotype" w:cs="Tahoma"/>
          <w:bCs/>
          <w:sz w:val="22"/>
          <w:szCs w:val="22"/>
        </w:rPr>
        <w:t>d</w:t>
      </w:r>
      <w:r w:rsidR="00377913">
        <w:rPr>
          <w:rFonts w:ascii="Palatino Linotype" w:eastAsia="Batang" w:hAnsi="Palatino Linotype" w:cs="Tahoma"/>
          <w:bCs/>
          <w:sz w:val="22"/>
          <w:szCs w:val="22"/>
        </w:rPr>
        <w:t>ie</w:t>
      </w:r>
      <w:r w:rsidR="00924F21">
        <w:rPr>
          <w:rFonts w:ascii="Palatino Linotype" w:eastAsia="Batang" w:hAnsi="Palatino Linotype" w:cs="Tahoma"/>
          <w:bCs/>
          <w:sz w:val="22"/>
          <w:szCs w:val="22"/>
        </w:rPr>
        <w:t>ciocho</w:t>
      </w:r>
      <w:r w:rsidRPr="002E1218">
        <w:rPr>
          <w:rFonts w:ascii="Palatino Linotype" w:eastAsia="Batang" w:hAnsi="Palatino Linotype" w:cs="Tahoma"/>
          <w:bCs/>
          <w:sz w:val="22"/>
          <w:szCs w:val="22"/>
        </w:rPr>
        <w:t xml:space="preserve"> de </w:t>
      </w:r>
      <w:r w:rsidR="002D4C3D">
        <w:rPr>
          <w:rFonts w:ascii="Palatino Linotype" w:eastAsia="Batang" w:hAnsi="Palatino Linotype" w:cs="Tahoma"/>
          <w:bCs/>
          <w:sz w:val="22"/>
          <w:szCs w:val="22"/>
        </w:rPr>
        <w:t>juni</w:t>
      </w:r>
      <w:r w:rsidR="0030032A" w:rsidRPr="002E1218">
        <w:rPr>
          <w:rFonts w:ascii="Palatino Linotype" w:eastAsia="Batang" w:hAnsi="Palatino Linotype" w:cs="Tahoma"/>
          <w:bCs/>
          <w:sz w:val="22"/>
          <w:szCs w:val="22"/>
        </w:rPr>
        <w:t>o de dos mil diecinueve</w:t>
      </w:r>
      <w:r w:rsidR="00BE4843" w:rsidRPr="002E1218">
        <w:rPr>
          <w:rFonts w:ascii="Palatino Linotype" w:eastAsia="Batang" w:hAnsi="Palatino Linotype" w:cs="Tahoma"/>
          <w:bCs/>
          <w:sz w:val="22"/>
          <w:szCs w:val="22"/>
        </w:rPr>
        <w:t xml:space="preserve">, el </w:t>
      </w:r>
      <w:r w:rsidR="00BE4843" w:rsidRPr="002E1218">
        <w:rPr>
          <w:rFonts w:ascii="Palatino Linotype" w:hAnsi="Palatino Linotype" w:cs="Tahoma"/>
          <w:sz w:val="22"/>
          <w:szCs w:val="22"/>
          <w:lang w:val="es-ES"/>
        </w:rPr>
        <w:t>Sistema de Acceso a la Información Mexiquense (SAIMEX),</w:t>
      </w:r>
      <w:r w:rsidR="00BE4843" w:rsidRPr="002E1218">
        <w:rPr>
          <w:rFonts w:ascii="Palatino Linotype" w:eastAsia="Batang" w:hAnsi="Palatino Linotype" w:cs="Tahoma"/>
          <w:bCs/>
          <w:sz w:val="22"/>
          <w:szCs w:val="22"/>
        </w:rPr>
        <w:t xml:space="preserve"> asignó el número de expediente </w:t>
      </w:r>
      <w:r w:rsidR="00D34402" w:rsidRPr="002E1218">
        <w:rPr>
          <w:rFonts w:ascii="Palatino Linotype" w:eastAsia="Batang" w:hAnsi="Palatino Linotype" w:cs="Tahoma"/>
          <w:b/>
          <w:bCs/>
          <w:sz w:val="22"/>
          <w:szCs w:val="22"/>
        </w:rPr>
        <w:t>0</w:t>
      </w:r>
      <w:r w:rsidR="0059433D">
        <w:rPr>
          <w:rFonts w:ascii="Palatino Linotype" w:eastAsia="Batang" w:hAnsi="Palatino Linotype" w:cs="Tahoma"/>
          <w:b/>
          <w:bCs/>
          <w:sz w:val="22"/>
          <w:szCs w:val="22"/>
        </w:rPr>
        <w:t>5</w:t>
      </w:r>
      <w:r w:rsidR="00924F21">
        <w:rPr>
          <w:rFonts w:ascii="Palatino Linotype" w:eastAsia="Batang" w:hAnsi="Palatino Linotype" w:cs="Tahoma"/>
          <w:b/>
          <w:bCs/>
          <w:sz w:val="22"/>
          <w:szCs w:val="22"/>
        </w:rPr>
        <w:t>526</w:t>
      </w:r>
      <w:r w:rsidR="00D34402" w:rsidRPr="002E1218">
        <w:rPr>
          <w:rFonts w:ascii="Palatino Linotype" w:eastAsia="Batang" w:hAnsi="Palatino Linotype" w:cs="Tahoma"/>
          <w:b/>
          <w:bCs/>
          <w:sz w:val="22"/>
          <w:szCs w:val="22"/>
        </w:rPr>
        <w:t>/INFOEM/IP/RR/2019</w:t>
      </w:r>
      <w:r w:rsidR="00BE4843" w:rsidRPr="002E1218">
        <w:rPr>
          <w:rFonts w:ascii="Palatino Linotype" w:eastAsia="Batang" w:hAnsi="Palatino Linotype" w:cs="Tahoma"/>
          <w:bCs/>
          <w:sz w:val="22"/>
          <w:szCs w:val="22"/>
        </w:rPr>
        <w:t>,</w:t>
      </w:r>
      <w:r w:rsidR="00AE489D" w:rsidRPr="002E1218">
        <w:rPr>
          <w:rFonts w:ascii="Palatino Linotype" w:eastAsia="Batang" w:hAnsi="Palatino Linotype" w:cs="Tahoma"/>
          <w:bCs/>
          <w:sz w:val="22"/>
          <w:szCs w:val="22"/>
        </w:rPr>
        <w:t xml:space="preserve"> </w:t>
      </w:r>
      <w:r w:rsidR="00BE4843" w:rsidRPr="002E1218">
        <w:rPr>
          <w:rFonts w:ascii="Palatino Linotype" w:eastAsia="Batang" w:hAnsi="Palatino Linotype" w:cs="Tahoma"/>
          <w:bCs/>
          <w:sz w:val="22"/>
          <w:szCs w:val="22"/>
        </w:rPr>
        <w:t xml:space="preserve">al medio de impugnación que nos ocupa, con base en el sistema aprobado por el Pleno de este Órgano Garante y lo turnó al </w:t>
      </w:r>
      <w:r w:rsidR="00BE4843" w:rsidRPr="002E1218">
        <w:rPr>
          <w:rFonts w:ascii="Palatino Linotype" w:eastAsia="Batang" w:hAnsi="Palatino Linotype" w:cs="Tahoma"/>
          <w:b/>
          <w:bCs/>
          <w:sz w:val="22"/>
          <w:szCs w:val="22"/>
        </w:rPr>
        <w:t>Comisionado Ponente Luis Gustavo Parra Noriega</w:t>
      </w:r>
      <w:r w:rsidR="00BE4843" w:rsidRPr="002E1218">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rsidR="008216D3" w:rsidRPr="002E1218" w:rsidRDefault="008216D3" w:rsidP="002E1218">
      <w:pPr>
        <w:spacing w:line="360" w:lineRule="auto"/>
        <w:jc w:val="both"/>
        <w:rPr>
          <w:rFonts w:ascii="Palatino Linotype" w:eastAsia="Batang" w:hAnsi="Palatino Linotype" w:cs="Tahoma"/>
          <w:bCs/>
          <w:sz w:val="22"/>
          <w:szCs w:val="22"/>
        </w:rPr>
      </w:pPr>
    </w:p>
    <w:p w:rsidR="008F13A5" w:rsidRPr="002E1218" w:rsidRDefault="00625DFB" w:rsidP="002E1218">
      <w:pPr>
        <w:spacing w:line="360" w:lineRule="auto"/>
        <w:jc w:val="both"/>
        <w:rPr>
          <w:rFonts w:ascii="Palatino Linotype" w:eastAsia="Batang" w:hAnsi="Palatino Linotype" w:cs="Tahoma"/>
          <w:b/>
          <w:bCs/>
          <w:sz w:val="22"/>
          <w:szCs w:val="22"/>
          <w:lang w:val="es-ES_tradnl"/>
        </w:rPr>
      </w:pPr>
      <w:r w:rsidRPr="002E1218">
        <w:rPr>
          <w:rFonts w:ascii="Palatino Linotype" w:eastAsia="Batang" w:hAnsi="Palatino Linotype" w:cs="Tahoma"/>
          <w:b/>
          <w:bCs/>
          <w:sz w:val="22"/>
          <w:szCs w:val="22"/>
        </w:rPr>
        <w:t>b</w:t>
      </w:r>
      <w:r w:rsidR="009F46DC" w:rsidRPr="002E1218">
        <w:rPr>
          <w:rFonts w:ascii="Palatino Linotype" w:eastAsia="Batang" w:hAnsi="Palatino Linotype" w:cs="Tahoma"/>
          <w:b/>
          <w:bCs/>
          <w:sz w:val="22"/>
          <w:szCs w:val="22"/>
        </w:rPr>
        <w:t xml:space="preserve">) </w:t>
      </w:r>
      <w:r w:rsidR="00B31222" w:rsidRPr="002E1218">
        <w:rPr>
          <w:rFonts w:ascii="Palatino Linotype" w:eastAsia="Batang" w:hAnsi="Palatino Linotype" w:cs="Tahoma"/>
          <w:b/>
          <w:bCs/>
          <w:sz w:val="22"/>
          <w:szCs w:val="22"/>
        </w:rPr>
        <w:t>Admisión del</w:t>
      </w:r>
      <w:r w:rsidR="00AE489D" w:rsidRPr="002E1218">
        <w:rPr>
          <w:rFonts w:ascii="Palatino Linotype" w:eastAsia="Batang" w:hAnsi="Palatino Linotype" w:cs="Tahoma"/>
          <w:b/>
          <w:bCs/>
          <w:sz w:val="22"/>
          <w:szCs w:val="22"/>
        </w:rPr>
        <w:t xml:space="preserve"> </w:t>
      </w:r>
      <w:r w:rsidR="00C459A9" w:rsidRPr="002E1218">
        <w:rPr>
          <w:rFonts w:ascii="Palatino Linotype" w:hAnsi="Palatino Linotype" w:cs="Tahoma"/>
          <w:b/>
          <w:sz w:val="22"/>
          <w:szCs w:val="22"/>
        </w:rPr>
        <w:t>Recurso de Revisión</w:t>
      </w:r>
      <w:r w:rsidR="00B31222" w:rsidRPr="002E1218">
        <w:rPr>
          <w:rFonts w:ascii="Palatino Linotype" w:eastAsia="Batang" w:hAnsi="Palatino Linotype" w:cs="Tahoma"/>
          <w:b/>
          <w:bCs/>
          <w:sz w:val="22"/>
          <w:szCs w:val="22"/>
          <w:lang w:val="es-ES_tradnl"/>
        </w:rPr>
        <w:t xml:space="preserve">. </w:t>
      </w:r>
    </w:p>
    <w:p w:rsidR="008F13A5" w:rsidRPr="002E1218" w:rsidRDefault="008F13A5" w:rsidP="002E1218">
      <w:pPr>
        <w:spacing w:line="360" w:lineRule="auto"/>
        <w:jc w:val="both"/>
        <w:rPr>
          <w:rFonts w:ascii="Palatino Linotype" w:eastAsia="Batang" w:hAnsi="Palatino Linotype" w:cs="Tahoma"/>
          <w:b/>
          <w:bCs/>
          <w:sz w:val="22"/>
          <w:szCs w:val="22"/>
          <w:lang w:val="es-ES_tradnl"/>
        </w:rPr>
      </w:pPr>
    </w:p>
    <w:p w:rsidR="00B31222" w:rsidRPr="002E1218" w:rsidRDefault="00BE4843" w:rsidP="002E1218">
      <w:pPr>
        <w:spacing w:line="360" w:lineRule="auto"/>
        <w:jc w:val="both"/>
        <w:rPr>
          <w:rFonts w:ascii="Palatino Linotype" w:hAnsi="Palatino Linotype" w:cs="Tahoma"/>
          <w:bCs/>
          <w:sz w:val="22"/>
          <w:szCs w:val="22"/>
        </w:rPr>
      </w:pPr>
      <w:r w:rsidRPr="002E1218">
        <w:rPr>
          <w:rFonts w:ascii="Palatino Linotype" w:eastAsia="Batang" w:hAnsi="Palatino Linotype" w:cs="Tahoma"/>
          <w:bCs/>
          <w:sz w:val="22"/>
          <w:szCs w:val="22"/>
          <w:lang w:val="es-ES_tradnl"/>
        </w:rPr>
        <w:t xml:space="preserve">El </w:t>
      </w:r>
      <w:r w:rsidR="00173E8F">
        <w:rPr>
          <w:rFonts w:ascii="Palatino Linotype" w:eastAsia="Batang" w:hAnsi="Palatino Linotype" w:cs="Tahoma"/>
          <w:bCs/>
          <w:sz w:val="22"/>
          <w:szCs w:val="22"/>
          <w:lang w:val="es-ES_tradnl"/>
        </w:rPr>
        <w:t>veinticuatro</w:t>
      </w:r>
      <w:r w:rsidR="00E47C0D" w:rsidRPr="002E1218">
        <w:rPr>
          <w:rFonts w:ascii="Palatino Linotype" w:eastAsia="Batang" w:hAnsi="Palatino Linotype" w:cs="Tahoma"/>
          <w:bCs/>
          <w:sz w:val="22"/>
          <w:szCs w:val="22"/>
          <w:lang w:val="es-ES_tradnl"/>
        </w:rPr>
        <w:t xml:space="preserve"> de </w:t>
      </w:r>
      <w:r w:rsidR="0059433D">
        <w:rPr>
          <w:rFonts w:ascii="Palatino Linotype" w:eastAsia="Batang" w:hAnsi="Palatino Linotype" w:cs="Tahoma"/>
          <w:bCs/>
          <w:sz w:val="22"/>
          <w:szCs w:val="22"/>
          <w:lang w:val="es-ES_tradnl"/>
        </w:rPr>
        <w:t>juni</w:t>
      </w:r>
      <w:r w:rsidR="00E47C0D" w:rsidRPr="002E1218">
        <w:rPr>
          <w:rFonts w:ascii="Palatino Linotype" w:eastAsia="Batang" w:hAnsi="Palatino Linotype" w:cs="Tahoma"/>
          <w:bCs/>
          <w:sz w:val="22"/>
          <w:szCs w:val="22"/>
          <w:lang w:val="es-ES_tradnl"/>
        </w:rPr>
        <w:t>o</w:t>
      </w:r>
      <w:r w:rsidR="0030032A" w:rsidRPr="002E1218">
        <w:rPr>
          <w:rFonts w:ascii="Palatino Linotype" w:eastAsia="Batang" w:hAnsi="Palatino Linotype" w:cs="Tahoma"/>
          <w:bCs/>
          <w:sz w:val="22"/>
          <w:szCs w:val="22"/>
          <w:lang w:val="es-ES_tradnl"/>
        </w:rPr>
        <w:t xml:space="preserve"> de dos mil diecinueve</w:t>
      </w:r>
      <w:r w:rsidRPr="002E1218">
        <w:rPr>
          <w:rFonts w:ascii="Palatino Linotype" w:eastAsia="Batang" w:hAnsi="Palatino Linotype" w:cs="Tahoma"/>
          <w:bCs/>
          <w:sz w:val="22"/>
          <w:szCs w:val="22"/>
          <w:lang w:val="es-ES_tradnl"/>
        </w:rPr>
        <w:t xml:space="preserve">, se acordó la admisión del Recurso de Revisión interpuesto por </w:t>
      </w:r>
      <w:r w:rsidR="00377913">
        <w:rPr>
          <w:rFonts w:ascii="Palatino Linotype" w:eastAsia="Batang" w:hAnsi="Palatino Linotype" w:cs="Tahoma"/>
          <w:bCs/>
          <w:sz w:val="22"/>
          <w:szCs w:val="22"/>
          <w:lang w:val="es-ES_tradnl"/>
        </w:rPr>
        <w:t>el</w:t>
      </w:r>
      <w:r w:rsidRPr="002E1218">
        <w:rPr>
          <w:rFonts w:ascii="Palatino Linotype" w:eastAsia="Batang" w:hAnsi="Palatino Linotype" w:cs="Tahoma"/>
          <w:bCs/>
          <w:sz w:val="22"/>
          <w:szCs w:val="22"/>
          <w:lang w:val="es-ES_tradnl"/>
        </w:rPr>
        <w:t xml:space="preserve"> </w:t>
      </w:r>
      <w:r w:rsidRPr="002E1218">
        <w:rPr>
          <w:rFonts w:ascii="Palatino Linotype" w:eastAsia="Batang" w:hAnsi="Palatino Linotype" w:cs="Tahoma"/>
          <w:b/>
          <w:bCs/>
          <w:sz w:val="22"/>
          <w:szCs w:val="22"/>
          <w:lang w:val="es-ES_tradnl"/>
        </w:rPr>
        <w:t>Recurrente</w:t>
      </w:r>
      <w:r w:rsidRPr="002E1218">
        <w:rPr>
          <w:rFonts w:ascii="Palatino Linotype" w:eastAsia="Batang" w:hAnsi="Palatino Linotype" w:cs="Tahoma"/>
          <w:bCs/>
          <w:sz w:val="22"/>
          <w:szCs w:val="22"/>
          <w:lang w:val="es-ES_tradnl"/>
        </w:rPr>
        <w:t xml:space="preserve"> en contra del </w:t>
      </w:r>
      <w:r w:rsidR="00141895" w:rsidRPr="002E1218">
        <w:rPr>
          <w:rFonts w:ascii="Palatino Linotype" w:eastAsia="Batang" w:hAnsi="Palatino Linotype" w:cs="Tahoma"/>
          <w:b/>
          <w:bCs/>
          <w:sz w:val="22"/>
          <w:szCs w:val="22"/>
          <w:lang w:val="es-ES_tradnl"/>
        </w:rPr>
        <w:t>Sujeto Obligado</w:t>
      </w:r>
      <w:r w:rsidRPr="002E1218">
        <w:rPr>
          <w:rFonts w:ascii="Palatino Linotype" w:eastAsia="Batang" w:hAnsi="Palatino Linotype" w:cs="Tahoma"/>
          <w:bCs/>
          <w:sz w:val="22"/>
          <w:szCs w:val="22"/>
          <w:lang w:val="es-ES_tradnl"/>
        </w:rPr>
        <w:t>, en términos del artículo 185, fracciones I y II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rsidR="0061115C" w:rsidRPr="002E1218" w:rsidRDefault="0061115C" w:rsidP="002E1218">
      <w:pPr>
        <w:spacing w:line="360" w:lineRule="auto"/>
        <w:jc w:val="both"/>
        <w:rPr>
          <w:rFonts w:ascii="Palatino Linotype" w:hAnsi="Palatino Linotype" w:cs="Tahoma"/>
          <w:bCs/>
          <w:sz w:val="22"/>
          <w:szCs w:val="22"/>
        </w:rPr>
      </w:pPr>
    </w:p>
    <w:p w:rsidR="008F13A5" w:rsidRDefault="004406CF" w:rsidP="002E1218">
      <w:pPr>
        <w:spacing w:line="360" w:lineRule="auto"/>
        <w:jc w:val="both"/>
        <w:rPr>
          <w:rFonts w:ascii="Palatino Linotype" w:hAnsi="Palatino Linotype" w:cs="Tahoma"/>
          <w:b/>
          <w:sz w:val="22"/>
          <w:szCs w:val="22"/>
        </w:rPr>
      </w:pPr>
      <w:r w:rsidRPr="002E1218">
        <w:rPr>
          <w:rFonts w:ascii="Palatino Linotype" w:hAnsi="Palatino Linotype" w:cs="Tahoma"/>
          <w:b/>
          <w:sz w:val="22"/>
          <w:szCs w:val="22"/>
        </w:rPr>
        <w:t>c</w:t>
      </w:r>
      <w:r w:rsidR="00B31222" w:rsidRPr="002E1218">
        <w:rPr>
          <w:rFonts w:ascii="Palatino Linotype" w:hAnsi="Palatino Linotype" w:cs="Tahoma"/>
          <w:b/>
          <w:sz w:val="22"/>
          <w:szCs w:val="22"/>
        </w:rPr>
        <w:t xml:space="preserve">) </w:t>
      </w:r>
      <w:r w:rsidR="004E00F8">
        <w:rPr>
          <w:rFonts w:ascii="Palatino Linotype" w:hAnsi="Palatino Linotype" w:cs="Tahoma"/>
          <w:b/>
          <w:sz w:val="22"/>
          <w:szCs w:val="22"/>
        </w:rPr>
        <w:t>Manifestaciones.</w:t>
      </w:r>
    </w:p>
    <w:p w:rsidR="004E00F8" w:rsidRPr="002E1218" w:rsidRDefault="004E00F8" w:rsidP="002E1218">
      <w:pPr>
        <w:spacing w:line="360" w:lineRule="auto"/>
        <w:jc w:val="both"/>
        <w:rPr>
          <w:rFonts w:ascii="Palatino Linotype" w:hAnsi="Palatino Linotype" w:cs="Tahoma"/>
          <w:b/>
          <w:sz w:val="22"/>
          <w:szCs w:val="22"/>
        </w:rPr>
      </w:pPr>
    </w:p>
    <w:p w:rsidR="00DD186A" w:rsidRPr="002C33B2" w:rsidRDefault="005723F0" w:rsidP="002E1218">
      <w:pPr>
        <w:spacing w:line="360" w:lineRule="auto"/>
        <w:ind w:right="567"/>
        <w:jc w:val="both"/>
        <w:rPr>
          <w:rFonts w:ascii="Palatino Linotype" w:hAnsi="Palatino Linotype" w:cs="Tahoma"/>
          <w:b/>
          <w:bCs/>
          <w:sz w:val="22"/>
          <w:szCs w:val="24"/>
        </w:rPr>
      </w:pPr>
      <w:r w:rsidRPr="005723F0">
        <w:rPr>
          <w:rFonts w:ascii="Palatino Linotype" w:hAnsi="Palatino Linotype" w:cs="Tahoma"/>
          <w:sz w:val="22"/>
          <w:szCs w:val="24"/>
        </w:rPr>
        <w:t xml:space="preserve">De las constancias que obran en los expedientes del Sistema de Acceso a la Información Mexiquense (SAIMEX), </w:t>
      </w:r>
      <w:r w:rsidRPr="00173E8F">
        <w:rPr>
          <w:rFonts w:ascii="Palatino Linotype" w:hAnsi="Palatino Linotype" w:cs="Tahoma"/>
          <w:sz w:val="22"/>
          <w:szCs w:val="24"/>
        </w:rPr>
        <w:t xml:space="preserve">se advierte que </w:t>
      </w:r>
      <w:r w:rsidR="002C33B2">
        <w:rPr>
          <w:rFonts w:ascii="Palatino Linotype" w:hAnsi="Palatino Linotype" w:cs="Tahoma"/>
          <w:sz w:val="22"/>
          <w:szCs w:val="24"/>
        </w:rPr>
        <w:t xml:space="preserve">tanto </w:t>
      </w:r>
      <w:r w:rsidRPr="00173E8F">
        <w:rPr>
          <w:rFonts w:ascii="Palatino Linotype" w:hAnsi="Palatino Linotype" w:cs="Tahoma"/>
          <w:sz w:val="22"/>
          <w:szCs w:val="24"/>
        </w:rPr>
        <w:t>el</w:t>
      </w:r>
      <w:r w:rsidRPr="00173E8F">
        <w:rPr>
          <w:rFonts w:ascii="Palatino Linotype" w:hAnsi="Palatino Linotype" w:cs="Tahoma"/>
          <w:b/>
          <w:bCs/>
          <w:sz w:val="22"/>
          <w:szCs w:val="24"/>
        </w:rPr>
        <w:t xml:space="preserve"> Sujeto Obligado</w:t>
      </w:r>
      <w:r w:rsidR="002C33B2">
        <w:rPr>
          <w:rFonts w:ascii="Palatino Linotype" w:hAnsi="Palatino Linotype" w:cs="Tahoma"/>
          <w:b/>
          <w:bCs/>
          <w:sz w:val="22"/>
          <w:szCs w:val="24"/>
        </w:rPr>
        <w:t xml:space="preserve">, como el </w:t>
      </w:r>
      <w:r w:rsidRPr="00173E8F">
        <w:rPr>
          <w:rFonts w:ascii="Palatino Linotype" w:hAnsi="Palatino Linotype" w:cs="Tahoma"/>
          <w:b/>
          <w:bCs/>
          <w:sz w:val="22"/>
          <w:szCs w:val="24"/>
        </w:rPr>
        <w:t xml:space="preserve">Recurrente </w:t>
      </w:r>
      <w:r w:rsidR="002C33B2">
        <w:rPr>
          <w:rFonts w:ascii="Palatino Linotype" w:hAnsi="Palatino Linotype" w:cs="Tahoma"/>
          <w:b/>
          <w:bCs/>
          <w:sz w:val="22"/>
          <w:szCs w:val="24"/>
        </w:rPr>
        <w:t>omitieron realizar manifestaciones.</w:t>
      </w:r>
    </w:p>
    <w:p w:rsidR="00756D3D" w:rsidRPr="002E1218" w:rsidRDefault="00756D3D" w:rsidP="002E1218">
      <w:pPr>
        <w:widowControl w:val="0"/>
        <w:spacing w:line="360" w:lineRule="auto"/>
        <w:jc w:val="both"/>
        <w:rPr>
          <w:rFonts w:ascii="Palatino Linotype" w:hAnsi="Palatino Linotype" w:cs="Tahoma"/>
          <w:b/>
          <w:sz w:val="22"/>
          <w:szCs w:val="22"/>
        </w:rPr>
      </w:pPr>
    </w:p>
    <w:p w:rsidR="003F25D4" w:rsidRPr="002E1218" w:rsidRDefault="002C33B2" w:rsidP="002E1218">
      <w:pPr>
        <w:widowControl w:val="0"/>
        <w:spacing w:line="360" w:lineRule="auto"/>
        <w:jc w:val="both"/>
        <w:rPr>
          <w:rFonts w:ascii="Palatino Linotype" w:hAnsi="Palatino Linotype" w:cs="Tahoma"/>
          <w:b/>
          <w:bCs/>
          <w:sz w:val="22"/>
          <w:szCs w:val="22"/>
          <w:lang w:val="es-ES"/>
        </w:rPr>
      </w:pPr>
      <w:r>
        <w:rPr>
          <w:rFonts w:ascii="Palatino Linotype" w:hAnsi="Palatino Linotype" w:cs="Tahoma"/>
          <w:b/>
          <w:bCs/>
          <w:sz w:val="22"/>
          <w:szCs w:val="22"/>
          <w:lang w:val="es-ES"/>
        </w:rPr>
        <w:t>d</w:t>
      </w:r>
      <w:r w:rsidR="00756D3D" w:rsidRPr="002E1218">
        <w:rPr>
          <w:rFonts w:ascii="Palatino Linotype" w:hAnsi="Palatino Linotype" w:cs="Tahoma"/>
          <w:b/>
          <w:bCs/>
          <w:sz w:val="22"/>
          <w:szCs w:val="22"/>
          <w:lang w:val="es-ES"/>
        </w:rPr>
        <w:t xml:space="preserve">) </w:t>
      </w:r>
      <w:r w:rsidR="003F25D4" w:rsidRPr="002E1218">
        <w:rPr>
          <w:rFonts w:ascii="Palatino Linotype" w:hAnsi="Palatino Linotype" w:cs="Tahoma"/>
          <w:b/>
          <w:bCs/>
          <w:sz w:val="22"/>
          <w:szCs w:val="22"/>
          <w:lang w:val="es-ES"/>
        </w:rPr>
        <w:t>Ampliación del plazo para resolver. </w:t>
      </w:r>
    </w:p>
    <w:p w:rsidR="003F25D4" w:rsidRPr="002E1218" w:rsidRDefault="003F25D4" w:rsidP="002E1218">
      <w:pPr>
        <w:widowControl w:val="0"/>
        <w:spacing w:line="360" w:lineRule="auto"/>
        <w:jc w:val="both"/>
        <w:rPr>
          <w:rFonts w:ascii="Palatino Linotype" w:hAnsi="Palatino Linotype" w:cs="Tahoma"/>
          <w:sz w:val="22"/>
          <w:szCs w:val="22"/>
          <w:lang w:val="es-ES"/>
        </w:rPr>
      </w:pPr>
    </w:p>
    <w:p w:rsidR="003F25D4" w:rsidRPr="002E1218" w:rsidRDefault="003F25D4" w:rsidP="002E1218">
      <w:pPr>
        <w:widowControl w:val="0"/>
        <w:spacing w:line="360" w:lineRule="auto"/>
        <w:jc w:val="both"/>
        <w:rPr>
          <w:rFonts w:ascii="Palatino Linotype" w:hAnsi="Palatino Linotype" w:cs="Tahoma"/>
          <w:b/>
          <w:sz w:val="22"/>
          <w:szCs w:val="22"/>
        </w:rPr>
      </w:pPr>
      <w:r w:rsidRPr="002E1218">
        <w:rPr>
          <w:rFonts w:ascii="Palatino Linotype" w:hAnsi="Palatino Linotype" w:cs="Tahoma"/>
          <w:sz w:val="22"/>
          <w:szCs w:val="22"/>
          <w:lang w:val="es-ES"/>
        </w:rPr>
        <w:t xml:space="preserve">En fecha </w:t>
      </w:r>
      <w:r w:rsidR="00173E8F">
        <w:rPr>
          <w:rFonts w:ascii="Palatino Linotype" w:hAnsi="Palatino Linotype" w:cs="Tahoma"/>
          <w:sz w:val="22"/>
          <w:szCs w:val="22"/>
          <w:lang w:val="es-ES"/>
        </w:rPr>
        <w:t>dieciséis</w:t>
      </w:r>
      <w:r w:rsidRPr="002E1218">
        <w:rPr>
          <w:rFonts w:ascii="Palatino Linotype" w:hAnsi="Palatino Linotype" w:cs="Tahoma"/>
          <w:sz w:val="22"/>
          <w:szCs w:val="22"/>
          <w:lang w:val="es-ES"/>
        </w:rPr>
        <w:t xml:space="preserve"> de </w:t>
      </w:r>
      <w:r w:rsidR="00AF4610">
        <w:rPr>
          <w:rFonts w:ascii="Palatino Linotype" w:hAnsi="Palatino Linotype" w:cs="Tahoma"/>
          <w:sz w:val="22"/>
          <w:szCs w:val="22"/>
          <w:lang w:val="es-ES"/>
        </w:rPr>
        <w:t>agost</w:t>
      </w:r>
      <w:r w:rsidRPr="002E1218">
        <w:rPr>
          <w:rFonts w:ascii="Palatino Linotype" w:hAnsi="Palatino Linotype" w:cs="Tahoma"/>
          <w:sz w:val="22"/>
          <w:szCs w:val="22"/>
          <w:lang w:val="es-ES"/>
        </w:rPr>
        <w:t xml:space="preserve">o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w:t>
      </w:r>
      <w:r w:rsidR="00173E8F">
        <w:rPr>
          <w:rFonts w:ascii="Palatino Linotype" w:hAnsi="Palatino Linotype" w:cs="Tahoma"/>
          <w:sz w:val="22"/>
          <w:szCs w:val="22"/>
          <w:lang w:val="es-ES"/>
        </w:rPr>
        <w:t>el</w:t>
      </w:r>
      <w:r w:rsidRPr="002E1218">
        <w:rPr>
          <w:rFonts w:ascii="Palatino Linotype" w:hAnsi="Palatino Linotype" w:cs="Tahoma"/>
          <w:sz w:val="22"/>
          <w:szCs w:val="22"/>
          <w:lang w:val="es-ES"/>
        </w:rPr>
        <w:t xml:space="preserve"> recurso de revisión que nos ocupa; acto que fue notificado a las partes, mediante el Sistema de Acceso a la Información Mexiquense (SAIMEX), el</w:t>
      </w:r>
      <w:r w:rsidR="00AF4610">
        <w:rPr>
          <w:rFonts w:ascii="Palatino Linotype" w:hAnsi="Palatino Linotype" w:cs="Tahoma"/>
          <w:sz w:val="22"/>
          <w:szCs w:val="22"/>
          <w:lang w:val="es-ES"/>
        </w:rPr>
        <w:t xml:space="preserve"> </w:t>
      </w:r>
      <w:r w:rsidR="00173E8F">
        <w:rPr>
          <w:rFonts w:ascii="Palatino Linotype" w:hAnsi="Palatino Linotype" w:cs="Tahoma"/>
          <w:sz w:val="22"/>
          <w:szCs w:val="22"/>
          <w:lang w:val="es-ES"/>
        </w:rPr>
        <w:t>mismo día</w:t>
      </w:r>
      <w:r w:rsidRPr="002E1218">
        <w:rPr>
          <w:rFonts w:ascii="Palatino Linotype" w:hAnsi="Palatino Linotype" w:cs="Tahoma"/>
          <w:sz w:val="22"/>
          <w:szCs w:val="22"/>
          <w:lang w:val="es-ES"/>
        </w:rPr>
        <w:t>.</w:t>
      </w:r>
    </w:p>
    <w:p w:rsidR="00AF4C29" w:rsidRPr="002E1218" w:rsidRDefault="00AF4C29" w:rsidP="002E1218">
      <w:pPr>
        <w:spacing w:line="360" w:lineRule="auto"/>
        <w:jc w:val="both"/>
        <w:rPr>
          <w:rFonts w:ascii="Palatino Linotype" w:hAnsi="Palatino Linotype" w:cs="Tahoma"/>
          <w:b/>
          <w:sz w:val="22"/>
          <w:szCs w:val="22"/>
        </w:rPr>
      </w:pPr>
    </w:p>
    <w:p w:rsidR="003F25D4" w:rsidRPr="002E1218" w:rsidRDefault="002C33B2" w:rsidP="002E1218">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AF4C29" w:rsidRPr="00173E8F">
        <w:rPr>
          <w:rFonts w:ascii="Palatino Linotype" w:hAnsi="Palatino Linotype" w:cs="Tahoma"/>
          <w:b/>
          <w:sz w:val="22"/>
          <w:szCs w:val="22"/>
        </w:rPr>
        <w:t xml:space="preserve">) </w:t>
      </w:r>
      <w:r w:rsidR="00B31222" w:rsidRPr="00173E8F">
        <w:rPr>
          <w:rFonts w:ascii="Palatino Linotype" w:hAnsi="Palatino Linotype" w:cs="Tahoma"/>
          <w:b/>
          <w:sz w:val="22"/>
          <w:szCs w:val="22"/>
        </w:rPr>
        <w:t>Cierre de instrucción</w:t>
      </w:r>
      <w:r w:rsidR="008E5077" w:rsidRPr="00173E8F">
        <w:rPr>
          <w:rFonts w:ascii="Palatino Linotype" w:hAnsi="Palatino Linotype" w:cs="Tahoma"/>
          <w:b/>
          <w:sz w:val="22"/>
          <w:szCs w:val="22"/>
        </w:rPr>
        <w:t>.</w:t>
      </w:r>
      <w:r w:rsidR="00B31222" w:rsidRPr="002E1218">
        <w:rPr>
          <w:rFonts w:ascii="Palatino Linotype" w:hAnsi="Palatino Linotype" w:cs="Tahoma"/>
          <w:sz w:val="22"/>
          <w:szCs w:val="22"/>
        </w:rPr>
        <w:t xml:space="preserve"> </w:t>
      </w:r>
    </w:p>
    <w:p w:rsidR="0071508D" w:rsidRPr="002E1218" w:rsidRDefault="0071508D" w:rsidP="002E1218">
      <w:pPr>
        <w:spacing w:line="360" w:lineRule="auto"/>
        <w:jc w:val="both"/>
        <w:rPr>
          <w:rFonts w:ascii="Palatino Linotype" w:hAnsi="Palatino Linotype" w:cs="Tahoma"/>
          <w:sz w:val="22"/>
          <w:szCs w:val="22"/>
        </w:rPr>
      </w:pPr>
    </w:p>
    <w:p w:rsidR="00B31222" w:rsidRPr="002E1218" w:rsidRDefault="00B31222" w:rsidP="002E1218">
      <w:pPr>
        <w:spacing w:line="360" w:lineRule="auto"/>
        <w:jc w:val="both"/>
        <w:rPr>
          <w:rFonts w:ascii="Palatino Linotype" w:hAnsi="Palatino Linotype" w:cs="Tahoma"/>
          <w:sz w:val="22"/>
          <w:szCs w:val="22"/>
        </w:rPr>
      </w:pPr>
      <w:r w:rsidRPr="002E1218">
        <w:rPr>
          <w:rFonts w:ascii="Palatino Linotype" w:hAnsi="Palatino Linotype" w:cs="Tahoma"/>
          <w:sz w:val="22"/>
          <w:szCs w:val="22"/>
        </w:rPr>
        <w:t xml:space="preserve">El </w:t>
      </w:r>
      <w:r w:rsidR="003F25D4" w:rsidRPr="002E1218">
        <w:rPr>
          <w:rFonts w:ascii="Palatino Linotype" w:hAnsi="Palatino Linotype" w:cs="Tahoma"/>
          <w:sz w:val="22"/>
          <w:szCs w:val="22"/>
        </w:rPr>
        <w:t>veinti</w:t>
      </w:r>
      <w:r w:rsidR="00173E8F">
        <w:rPr>
          <w:rFonts w:ascii="Palatino Linotype" w:hAnsi="Palatino Linotype" w:cs="Tahoma"/>
          <w:sz w:val="22"/>
          <w:szCs w:val="22"/>
        </w:rPr>
        <w:t>siete</w:t>
      </w:r>
      <w:r w:rsidR="003E601D" w:rsidRPr="002E1218">
        <w:rPr>
          <w:rFonts w:ascii="Palatino Linotype" w:hAnsi="Palatino Linotype" w:cs="Tahoma"/>
          <w:sz w:val="22"/>
          <w:szCs w:val="22"/>
        </w:rPr>
        <w:t xml:space="preserve"> de </w:t>
      </w:r>
      <w:r w:rsidR="00173E8F">
        <w:rPr>
          <w:rFonts w:ascii="Palatino Linotype" w:hAnsi="Palatino Linotype" w:cs="Tahoma"/>
          <w:sz w:val="22"/>
          <w:szCs w:val="22"/>
        </w:rPr>
        <w:t>agost</w:t>
      </w:r>
      <w:r w:rsidR="00ED2AC0" w:rsidRPr="002E1218">
        <w:rPr>
          <w:rFonts w:ascii="Palatino Linotype" w:hAnsi="Palatino Linotype" w:cs="Tahoma"/>
          <w:sz w:val="22"/>
          <w:szCs w:val="22"/>
        </w:rPr>
        <w:t>o</w:t>
      </w:r>
      <w:r w:rsidR="00AF4C29" w:rsidRPr="002E1218">
        <w:rPr>
          <w:rFonts w:ascii="Palatino Linotype" w:hAnsi="Palatino Linotype" w:cs="Tahoma"/>
          <w:sz w:val="22"/>
          <w:szCs w:val="22"/>
        </w:rPr>
        <w:t xml:space="preserve"> de dos mil diecinueve</w:t>
      </w:r>
      <w:r w:rsidRPr="002E1218">
        <w:rPr>
          <w:rFonts w:ascii="Palatino Linotype" w:hAnsi="Palatino Linotype" w:cs="Tahoma"/>
          <w:sz w:val="22"/>
          <w:szCs w:val="22"/>
        </w:rPr>
        <w:t>, al no existir diligencias pendientes por desahogar, se emitió el acuerdo por medio del cual se declaró cerrada la instrucción</w:t>
      </w:r>
      <w:r w:rsidR="008839DA" w:rsidRPr="002E1218">
        <w:rPr>
          <w:rFonts w:ascii="Palatino Linotype" w:hAnsi="Palatino Linotype" w:cs="Tahoma"/>
          <w:sz w:val="22"/>
          <w:szCs w:val="22"/>
        </w:rPr>
        <w:t xml:space="preserve"> y se determinó</w:t>
      </w:r>
      <w:r w:rsidR="00CF43D5" w:rsidRPr="002E1218">
        <w:rPr>
          <w:rFonts w:ascii="Palatino Linotype" w:hAnsi="Palatino Linotype" w:cs="Tahoma"/>
          <w:sz w:val="22"/>
          <w:szCs w:val="22"/>
        </w:rPr>
        <w:t xml:space="preserve"> </w:t>
      </w:r>
      <w:r w:rsidR="008839DA" w:rsidRPr="002E1218">
        <w:rPr>
          <w:rFonts w:ascii="Palatino Linotype" w:hAnsi="Palatino Linotype" w:cs="Tahoma"/>
          <w:sz w:val="22"/>
          <w:szCs w:val="22"/>
        </w:rPr>
        <w:t xml:space="preserve">pasar </w:t>
      </w:r>
      <w:r w:rsidRPr="002E1218">
        <w:rPr>
          <w:rFonts w:ascii="Palatino Linotype" w:hAnsi="Palatino Linotype" w:cs="Tahoma"/>
          <w:sz w:val="22"/>
          <w:szCs w:val="22"/>
        </w:rPr>
        <w:t>el expediente a resolución, en términos de lo dispuesto en los artículos 1</w:t>
      </w:r>
      <w:r w:rsidR="0048519E" w:rsidRPr="002E1218">
        <w:rPr>
          <w:rFonts w:ascii="Palatino Linotype" w:hAnsi="Palatino Linotype" w:cs="Tahoma"/>
          <w:sz w:val="22"/>
          <w:szCs w:val="22"/>
        </w:rPr>
        <w:t>85</w:t>
      </w:r>
      <w:r w:rsidRPr="002E1218">
        <w:rPr>
          <w:rFonts w:ascii="Palatino Linotype" w:hAnsi="Palatino Linotype" w:cs="Tahoma"/>
          <w:sz w:val="22"/>
          <w:szCs w:val="22"/>
        </w:rPr>
        <w:t xml:space="preserve">, fracciones VI y VIII de la Ley </w:t>
      </w:r>
      <w:r w:rsidR="0048519E" w:rsidRPr="002E1218">
        <w:rPr>
          <w:rFonts w:ascii="Palatino Linotype" w:hAnsi="Palatino Linotype" w:cs="Tahoma"/>
          <w:sz w:val="22"/>
          <w:szCs w:val="22"/>
        </w:rPr>
        <w:t>de Transparencia y Acceso a la Información Pública del Estado de México y Municipios</w:t>
      </w:r>
      <w:r w:rsidRPr="002E1218">
        <w:rPr>
          <w:rFonts w:ascii="Palatino Linotype" w:hAnsi="Palatino Linotype" w:cs="Tahoma"/>
          <w:sz w:val="22"/>
          <w:szCs w:val="22"/>
        </w:rPr>
        <w:t xml:space="preserve">, mismo que fue notificado a las partes </w:t>
      </w:r>
      <w:r w:rsidR="0048519E" w:rsidRPr="002E1218">
        <w:rPr>
          <w:rFonts w:ascii="Palatino Linotype" w:hAnsi="Palatino Linotype" w:cs="Tahoma"/>
          <w:sz w:val="22"/>
          <w:szCs w:val="22"/>
        </w:rPr>
        <w:t xml:space="preserve">el mismo día, a través del </w:t>
      </w:r>
      <w:r w:rsidR="000313A7" w:rsidRPr="002E1218">
        <w:rPr>
          <w:rFonts w:ascii="Palatino Linotype" w:hAnsi="Palatino Linotype" w:cs="Tahoma"/>
          <w:sz w:val="22"/>
          <w:szCs w:val="22"/>
          <w:lang w:val="es-ES"/>
        </w:rPr>
        <w:t>Sistema de Acceso a la Información Mexiquense (SAIMEX)</w:t>
      </w:r>
      <w:r w:rsidR="006A026A" w:rsidRPr="002E1218">
        <w:rPr>
          <w:rFonts w:ascii="Palatino Linotype" w:hAnsi="Palatino Linotype" w:cs="Tahoma"/>
          <w:sz w:val="22"/>
          <w:szCs w:val="22"/>
        </w:rPr>
        <w:t>.</w:t>
      </w:r>
    </w:p>
    <w:p w:rsidR="00B31222" w:rsidRPr="002E1218" w:rsidRDefault="00B31222" w:rsidP="002E1218">
      <w:pPr>
        <w:spacing w:line="360" w:lineRule="auto"/>
        <w:jc w:val="both"/>
        <w:rPr>
          <w:rFonts w:ascii="Palatino Linotype" w:hAnsi="Palatino Linotype" w:cs="Tahoma"/>
          <w:b/>
          <w:sz w:val="22"/>
          <w:szCs w:val="22"/>
        </w:rPr>
      </w:pPr>
    </w:p>
    <w:p w:rsidR="004F2D88" w:rsidRPr="002E1218" w:rsidRDefault="004F2D88" w:rsidP="002E1218">
      <w:pPr>
        <w:spacing w:line="360" w:lineRule="auto"/>
        <w:jc w:val="both"/>
        <w:rPr>
          <w:rFonts w:ascii="Palatino Linotype" w:hAnsi="Palatino Linotype" w:cs="Tahoma"/>
          <w:color w:val="000000"/>
          <w:sz w:val="22"/>
          <w:szCs w:val="22"/>
        </w:rPr>
      </w:pPr>
      <w:r w:rsidRPr="002E1218">
        <w:rPr>
          <w:rFonts w:ascii="Palatino Linotype" w:hAnsi="Palatino Linotype" w:cs="Tahoma"/>
          <w:color w:val="000000"/>
          <w:sz w:val="22"/>
          <w:szCs w:val="22"/>
        </w:rPr>
        <w:t xml:space="preserve">En </w:t>
      </w:r>
      <w:r w:rsidR="00367F82" w:rsidRPr="002E1218">
        <w:rPr>
          <w:rFonts w:ascii="Palatino Linotype" w:hAnsi="Palatino Linotype" w:cs="Tahoma"/>
          <w:color w:val="000000"/>
          <w:sz w:val="22"/>
          <w:szCs w:val="22"/>
        </w:rPr>
        <w:t>razón de que fue debidamente su</w:t>
      </w:r>
      <w:r w:rsidRPr="002E1218">
        <w:rPr>
          <w:rFonts w:ascii="Palatino Linotype" w:hAnsi="Palatino Linotype" w:cs="Tahoma"/>
          <w:color w:val="000000"/>
          <w:sz w:val="22"/>
          <w:szCs w:val="22"/>
        </w:rPr>
        <w:t xml:space="preserve">stanciado el expediente </w:t>
      </w:r>
      <w:r w:rsidR="00367F82" w:rsidRPr="002E1218">
        <w:rPr>
          <w:rFonts w:ascii="Palatino Linotype" w:hAnsi="Palatino Linotype" w:cs="Tahoma"/>
          <w:color w:val="000000"/>
          <w:sz w:val="22"/>
          <w:szCs w:val="22"/>
        </w:rPr>
        <w:t xml:space="preserve">electrónico </w:t>
      </w:r>
      <w:r w:rsidRPr="002E1218">
        <w:rPr>
          <w:rFonts w:ascii="Palatino Linotype" w:hAnsi="Palatino Linotype" w:cs="Tahoma"/>
          <w:color w:val="000000"/>
          <w:sz w:val="22"/>
          <w:szCs w:val="22"/>
        </w:rPr>
        <w:t>y no exist</w:t>
      </w:r>
      <w:r w:rsidR="00367F82" w:rsidRPr="002E1218">
        <w:rPr>
          <w:rFonts w:ascii="Palatino Linotype" w:hAnsi="Palatino Linotype" w:cs="Tahoma"/>
          <w:color w:val="000000"/>
          <w:sz w:val="22"/>
          <w:szCs w:val="22"/>
        </w:rPr>
        <w:t>e</w:t>
      </w:r>
      <w:r w:rsidRPr="002E1218">
        <w:rPr>
          <w:rFonts w:ascii="Palatino Linotype" w:hAnsi="Palatino Linotype" w:cs="Tahoma"/>
          <w:color w:val="000000"/>
          <w:sz w:val="22"/>
          <w:szCs w:val="22"/>
        </w:rPr>
        <w:t xml:space="preserve"> dilige</w:t>
      </w:r>
      <w:r w:rsidR="00367F82" w:rsidRPr="002E1218">
        <w:rPr>
          <w:rFonts w:ascii="Palatino Linotype" w:hAnsi="Palatino Linotype" w:cs="Tahoma"/>
          <w:color w:val="000000"/>
          <w:sz w:val="22"/>
          <w:szCs w:val="22"/>
        </w:rPr>
        <w:t xml:space="preserve">ncia pendiente de desahogo, se </w:t>
      </w:r>
      <w:r w:rsidRPr="002E1218">
        <w:rPr>
          <w:rFonts w:ascii="Palatino Linotype" w:hAnsi="Palatino Linotype" w:cs="Tahoma"/>
          <w:color w:val="000000"/>
          <w:sz w:val="22"/>
          <w:szCs w:val="22"/>
        </w:rPr>
        <w:t>emit</w:t>
      </w:r>
      <w:r w:rsidR="00367F82" w:rsidRPr="002E1218">
        <w:rPr>
          <w:rFonts w:ascii="Palatino Linotype" w:hAnsi="Palatino Linotype" w:cs="Tahoma"/>
          <w:color w:val="000000"/>
          <w:sz w:val="22"/>
          <w:szCs w:val="22"/>
        </w:rPr>
        <w:t>e</w:t>
      </w:r>
      <w:r w:rsidRPr="002E1218">
        <w:rPr>
          <w:rFonts w:ascii="Palatino Linotype" w:hAnsi="Palatino Linotype" w:cs="Tahoma"/>
          <w:color w:val="000000"/>
          <w:sz w:val="22"/>
          <w:szCs w:val="22"/>
        </w:rPr>
        <w:t xml:space="preserve"> la resolución que conforme a Derecho proceda, de acuerdo a l</w:t>
      </w:r>
      <w:r w:rsidR="009A620E" w:rsidRPr="002E1218">
        <w:rPr>
          <w:rFonts w:ascii="Palatino Linotype" w:hAnsi="Palatino Linotype" w:cs="Tahoma"/>
          <w:color w:val="000000"/>
          <w:sz w:val="22"/>
          <w:szCs w:val="22"/>
        </w:rPr>
        <w:t>o</w:t>
      </w:r>
      <w:r w:rsidRPr="002E1218">
        <w:rPr>
          <w:rFonts w:ascii="Palatino Linotype" w:hAnsi="Palatino Linotype" w:cs="Tahoma"/>
          <w:color w:val="000000"/>
          <w:sz w:val="22"/>
          <w:szCs w:val="22"/>
        </w:rPr>
        <w:t xml:space="preserve">s siguientes: </w:t>
      </w:r>
    </w:p>
    <w:p w:rsidR="00177532" w:rsidRPr="002E1218" w:rsidRDefault="00177532" w:rsidP="002E1218">
      <w:pPr>
        <w:spacing w:line="360" w:lineRule="auto"/>
        <w:ind w:left="708" w:hanging="708"/>
        <w:jc w:val="center"/>
        <w:rPr>
          <w:rFonts w:ascii="Palatino Linotype" w:eastAsia="Calibri" w:hAnsi="Palatino Linotype" w:cs="Tahoma"/>
          <w:b/>
          <w:bCs/>
          <w:sz w:val="22"/>
          <w:szCs w:val="22"/>
          <w:lang w:val="es-ES" w:eastAsia="en-US"/>
        </w:rPr>
      </w:pPr>
      <w:r w:rsidRPr="002E1218">
        <w:rPr>
          <w:rFonts w:ascii="Palatino Linotype" w:eastAsia="Calibri" w:hAnsi="Palatino Linotype" w:cs="Tahoma"/>
          <w:b/>
          <w:bCs/>
          <w:sz w:val="22"/>
          <w:szCs w:val="22"/>
          <w:lang w:val="es-ES" w:eastAsia="en-US"/>
        </w:rPr>
        <w:t>C O N S I D E R A N D O S</w:t>
      </w:r>
    </w:p>
    <w:p w:rsidR="00177532" w:rsidRPr="002E1218" w:rsidRDefault="00177532" w:rsidP="002E1218">
      <w:pPr>
        <w:spacing w:line="360" w:lineRule="auto"/>
        <w:jc w:val="both"/>
        <w:rPr>
          <w:rFonts w:ascii="Palatino Linotype" w:eastAsia="Calibri" w:hAnsi="Palatino Linotype" w:cs="Tahoma"/>
          <w:b/>
          <w:bCs/>
          <w:sz w:val="22"/>
          <w:szCs w:val="22"/>
          <w:lang w:val="es-ES" w:eastAsia="en-US"/>
        </w:rPr>
      </w:pPr>
    </w:p>
    <w:p w:rsidR="00177532" w:rsidRPr="002E1218" w:rsidRDefault="00177532" w:rsidP="002E1218">
      <w:pPr>
        <w:spacing w:line="360" w:lineRule="auto"/>
        <w:jc w:val="both"/>
        <w:rPr>
          <w:rFonts w:ascii="Palatino Linotype" w:eastAsia="Calibri" w:hAnsi="Palatino Linotype" w:cs="Tahoma"/>
          <w:b/>
          <w:bCs/>
          <w:sz w:val="22"/>
          <w:szCs w:val="22"/>
          <w:lang w:val="es-ES" w:eastAsia="en-US"/>
        </w:rPr>
      </w:pPr>
      <w:r w:rsidRPr="002E1218">
        <w:rPr>
          <w:rFonts w:ascii="Palatino Linotype" w:eastAsia="Calibri" w:hAnsi="Palatino Linotype" w:cs="Tahoma"/>
          <w:b/>
          <w:bCs/>
          <w:sz w:val="22"/>
          <w:szCs w:val="22"/>
          <w:lang w:val="es-ES" w:eastAsia="en-US"/>
        </w:rPr>
        <w:t xml:space="preserve">PRIMERA. Competencia. </w:t>
      </w:r>
    </w:p>
    <w:p w:rsidR="00177532" w:rsidRPr="002E1218" w:rsidRDefault="00177532" w:rsidP="002E1218">
      <w:pPr>
        <w:spacing w:line="360" w:lineRule="auto"/>
        <w:jc w:val="both"/>
        <w:rPr>
          <w:rFonts w:ascii="Palatino Linotype" w:eastAsia="Calibri" w:hAnsi="Palatino Linotype" w:cs="Tahoma"/>
          <w:b/>
          <w:bCs/>
          <w:sz w:val="22"/>
          <w:szCs w:val="22"/>
          <w:lang w:val="es-ES" w:eastAsia="en-US"/>
        </w:rPr>
      </w:pPr>
    </w:p>
    <w:p w:rsidR="00177532" w:rsidRPr="002E1218" w:rsidRDefault="00177532" w:rsidP="002E1218">
      <w:pPr>
        <w:spacing w:line="360" w:lineRule="auto"/>
        <w:jc w:val="both"/>
        <w:rPr>
          <w:rFonts w:ascii="Palatino Linotype" w:eastAsia="Calibri" w:hAnsi="Palatino Linotype" w:cs="Tahoma"/>
          <w:bCs/>
          <w:sz w:val="22"/>
          <w:szCs w:val="22"/>
          <w:lang w:val="es-ES" w:eastAsia="en-US"/>
        </w:rPr>
      </w:pPr>
      <w:r w:rsidRPr="002E1218">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w:t>
      </w:r>
      <w:r w:rsidR="002C33B2" w:rsidRPr="00931AB4">
        <w:rPr>
          <w:rFonts w:ascii="Palatino Linotype" w:hAnsi="Palatino Linotype" w:cs="Tahoma"/>
          <w:sz w:val="22"/>
          <w:szCs w:val="22"/>
          <w:shd w:val="clear" w:color="auto" w:fill="FFFFFF"/>
        </w:rPr>
        <w:t>párrafos vigésimo segundo, vigésimo tercero y vigésimo cuarto, fracciones I, II, III, IV y V, de la Constitución Política del Estado Libre y Soberano de México</w:t>
      </w:r>
      <w:r w:rsidRPr="002E1218">
        <w:rPr>
          <w:rFonts w:ascii="Palatino Linotype" w:eastAsia="Calibri" w:hAnsi="Palatino Linotype" w:cs="Tahoma"/>
          <w:bCs/>
          <w:sz w:val="22"/>
          <w:szCs w:val="22"/>
          <w:lang w:val="es-ES" w:eastAsia="en-US"/>
        </w:rPr>
        <w:t>;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00177532" w:rsidRPr="002E1218" w:rsidRDefault="00177532" w:rsidP="002E1218">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rsidR="002C33B2" w:rsidRPr="00F0768B" w:rsidRDefault="002C33B2" w:rsidP="002C33B2">
      <w:pPr>
        <w:autoSpaceDE w:val="0"/>
        <w:autoSpaceDN w:val="0"/>
        <w:adjustRightInd w:val="0"/>
        <w:spacing w:line="360" w:lineRule="auto"/>
        <w:contextualSpacing/>
        <w:jc w:val="both"/>
        <w:rPr>
          <w:rFonts w:ascii="Palatino Linotype" w:hAnsi="Palatino Linotype" w:cs="Tahoma"/>
          <w:sz w:val="22"/>
          <w:szCs w:val="22"/>
          <w:lang w:val="es-ES"/>
        </w:rPr>
      </w:pPr>
      <w:r w:rsidRPr="00F0768B">
        <w:rPr>
          <w:rFonts w:ascii="Palatino Linotype" w:eastAsia="Calibri" w:hAnsi="Palatino Linotype" w:cs="Tahoma"/>
          <w:b/>
          <w:color w:val="000000"/>
          <w:sz w:val="22"/>
          <w:szCs w:val="22"/>
          <w:lang w:val="es-ES" w:eastAsia="es-MX"/>
        </w:rPr>
        <w:t>SEGUNDO</w:t>
      </w:r>
      <w:r w:rsidRPr="00F0768B">
        <w:rPr>
          <w:rFonts w:ascii="Palatino Linotype" w:eastAsia="Calibri" w:hAnsi="Palatino Linotype" w:cs="Tahoma"/>
          <w:color w:val="000000"/>
          <w:sz w:val="22"/>
          <w:szCs w:val="22"/>
          <w:lang w:val="es-ES" w:eastAsia="es-MX"/>
        </w:rPr>
        <w:t xml:space="preserve">. </w:t>
      </w:r>
      <w:r w:rsidRPr="00F0768B">
        <w:rPr>
          <w:rFonts w:ascii="Palatino Linotype" w:hAnsi="Palatino Linotype" w:cs="Tahoma"/>
          <w:b/>
          <w:sz w:val="22"/>
          <w:szCs w:val="22"/>
          <w:lang w:val="es-ES"/>
        </w:rPr>
        <w:t>Metodología de estudio.</w:t>
      </w:r>
      <w:r w:rsidRPr="00F0768B">
        <w:rPr>
          <w:rFonts w:ascii="Palatino Linotype" w:hAnsi="Palatino Linotype" w:cs="Tahoma"/>
          <w:sz w:val="22"/>
          <w:szCs w:val="22"/>
          <w:lang w:val="es-ES"/>
        </w:rPr>
        <w:t xml:space="preserve"> </w:t>
      </w:r>
    </w:p>
    <w:p w:rsidR="002C33B2" w:rsidRPr="00F0768B" w:rsidRDefault="002C33B2" w:rsidP="002C33B2">
      <w:pPr>
        <w:autoSpaceDE w:val="0"/>
        <w:autoSpaceDN w:val="0"/>
        <w:adjustRightInd w:val="0"/>
        <w:spacing w:line="360" w:lineRule="auto"/>
        <w:contextualSpacing/>
        <w:jc w:val="both"/>
        <w:rPr>
          <w:rFonts w:ascii="Palatino Linotype" w:hAnsi="Palatino Linotype" w:cs="Tahoma"/>
          <w:sz w:val="22"/>
          <w:szCs w:val="22"/>
          <w:lang w:val="es-ES"/>
        </w:rPr>
      </w:pPr>
    </w:p>
    <w:p w:rsidR="002C33B2" w:rsidRPr="00F0768B" w:rsidRDefault="002C33B2" w:rsidP="002C33B2">
      <w:pPr>
        <w:autoSpaceDE w:val="0"/>
        <w:autoSpaceDN w:val="0"/>
        <w:adjustRightInd w:val="0"/>
        <w:spacing w:line="360" w:lineRule="auto"/>
        <w:contextualSpacing/>
        <w:jc w:val="both"/>
        <w:rPr>
          <w:rFonts w:ascii="Palatino Linotype" w:hAnsi="Palatino Linotype" w:cs="Tahoma"/>
          <w:sz w:val="22"/>
          <w:szCs w:val="22"/>
          <w:lang w:val="es-ES"/>
        </w:rPr>
      </w:pPr>
      <w:r w:rsidRPr="00F0768B">
        <w:rPr>
          <w:rFonts w:ascii="Palatino Linotype" w:hAnsi="Palatino Linotype" w:cs="Tahoma"/>
          <w:sz w:val="22"/>
          <w:szCs w:val="22"/>
          <w:lang w:val="es-ES"/>
        </w:rPr>
        <w:t xml:space="preserve">De las constancias que forman parte de los Recursos de Revisión que se analizan, se advierte que previo al estudio del fondo de la </w:t>
      </w:r>
      <w:r w:rsidRPr="00F0768B">
        <w:rPr>
          <w:rFonts w:ascii="Palatino Linotype" w:hAnsi="Palatino Linotype" w:cs="Tahoma"/>
          <w:i/>
          <w:sz w:val="22"/>
          <w:szCs w:val="22"/>
          <w:lang w:val="es-ES"/>
        </w:rPr>
        <w:t>litis</w:t>
      </w:r>
      <w:r w:rsidRPr="00F0768B">
        <w:rPr>
          <w:rFonts w:ascii="Palatino Linotype" w:hAnsi="Palatino Linotype" w:cs="Tahoma"/>
          <w:sz w:val="22"/>
          <w:szCs w:val="22"/>
          <w:lang w:val="es-ES"/>
        </w:rPr>
        <w:t>, es necesario estudiar las causales de improcedencia y sobreseimiento, para determinar lo que en Derecho proceda.</w:t>
      </w:r>
    </w:p>
    <w:p w:rsidR="002C33B2" w:rsidRPr="00F0768B" w:rsidRDefault="002C33B2" w:rsidP="002C33B2">
      <w:pPr>
        <w:autoSpaceDE w:val="0"/>
        <w:autoSpaceDN w:val="0"/>
        <w:adjustRightInd w:val="0"/>
        <w:spacing w:line="360" w:lineRule="auto"/>
        <w:contextualSpacing/>
        <w:jc w:val="both"/>
        <w:rPr>
          <w:rFonts w:ascii="Palatino Linotype" w:hAnsi="Palatino Linotype" w:cs="Tahoma"/>
          <w:sz w:val="22"/>
          <w:szCs w:val="22"/>
          <w:lang w:val="es-ES"/>
        </w:rPr>
      </w:pPr>
    </w:p>
    <w:p w:rsidR="002C33B2" w:rsidRPr="00F0768B" w:rsidRDefault="002C33B2" w:rsidP="00210960">
      <w:pPr>
        <w:pStyle w:val="Prrafodelista"/>
        <w:numPr>
          <w:ilvl w:val="0"/>
          <w:numId w:val="9"/>
        </w:numPr>
        <w:autoSpaceDE w:val="0"/>
        <w:autoSpaceDN w:val="0"/>
        <w:adjustRightInd w:val="0"/>
        <w:spacing w:line="360" w:lineRule="auto"/>
        <w:jc w:val="both"/>
        <w:rPr>
          <w:rFonts w:ascii="Palatino Linotype" w:eastAsia="Calibri" w:hAnsi="Palatino Linotype" w:cs="Tahoma"/>
          <w:color w:val="000000"/>
          <w:szCs w:val="22"/>
          <w:lang w:val="es-ES" w:eastAsia="es-MX"/>
        </w:rPr>
      </w:pPr>
      <w:r w:rsidRPr="00F0768B">
        <w:rPr>
          <w:rFonts w:ascii="Palatino Linotype" w:eastAsia="Calibri" w:hAnsi="Palatino Linotype" w:cs="Tahoma"/>
          <w:b/>
          <w:color w:val="000000"/>
          <w:szCs w:val="22"/>
          <w:lang w:val="es-ES" w:eastAsia="es-MX"/>
        </w:rPr>
        <w:t>Causales de improcedencia.</w:t>
      </w:r>
      <w:r w:rsidRPr="00F0768B">
        <w:rPr>
          <w:rFonts w:ascii="Palatino Linotype" w:eastAsia="Calibri" w:hAnsi="Palatino Linotype" w:cs="Tahoma"/>
          <w:color w:val="000000"/>
          <w:szCs w:val="22"/>
          <w:lang w:val="es-ES" w:eastAsia="es-MX"/>
        </w:rPr>
        <w:t xml:space="preserve"> </w:t>
      </w:r>
    </w:p>
    <w:p w:rsidR="002C33B2" w:rsidRPr="00F0768B" w:rsidRDefault="002C33B2" w:rsidP="002C33B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rsidR="002C33B2" w:rsidRPr="00F0768B" w:rsidRDefault="002C33B2" w:rsidP="002C33B2">
      <w:pPr>
        <w:spacing w:line="360" w:lineRule="auto"/>
        <w:contextualSpacing/>
        <w:jc w:val="both"/>
        <w:rPr>
          <w:rFonts w:ascii="Palatino Linotype" w:hAnsi="Palatino Linotype" w:cs="Tahoma"/>
          <w:sz w:val="22"/>
          <w:szCs w:val="22"/>
        </w:rPr>
      </w:pPr>
      <w:r w:rsidRPr="00F0768B">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2C33B2" w:rsidRPr="00F0768B" w:rsidRDefault="002C33B2" w:rsidP="002C33B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rsidR="002C33B2" w:rsidRPr="00F0768B" w:rsidRDefault="002C33B2" w:rsidP="002C33B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F0768B">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rsidR="002C33B2" w:rsidRPr="00F0768B" w:rsidRDefault="002C33B2" w:rsidP="002C33B2">
      <w:pPr>
        <w:autoSpaceDE w:val="0"/>
        <w:autoSpaceDN w:val="0"/>
        <w:adjustRightInd w:val="0"/>
        <w:spacing w:line="360" w:lineRule="auto"/>
        <w:contextualSpacing/>
        <w:jc w:val="both"/>
        <w:rPr>
          <w:rFonts w:ascii="Palatino Linotype" w:hAnsi="Palatino Linotype" w:cs="Tahoma"/>
          <w:sz w:val="22"/>
          <w:szCs w:val="22"/>
          <w:lang w:val="es-ES"/>
        </w:rPr>
      </w:pPr>
      <w:r w:rsidRPr="00F0768B">
        <w:rPr>
          <w:rFonts w:ascii="Palatino Linotype" w:eastAsia="Calibri" w:hAnsi="Palatino Linotype" w:cs="Tahoma"/>
          <w:color w:val="000000"/>
          <w:sz w:val="22"/>
          <w:szCs w:val="22"/>
          <w:lang w:val="es-ES" w:eastAsia="es-MX"/>
        </w:rPr>
        <w:t xml:space="preserve">En los asuntos que nos ocupan, no se actualiza ninguna de las causales de improcedencia establecidas en el ordenamiento jurídico previamente señalado, toda vez que este Instituto no tiene conocimiento </w:t>
      </w:r>
      <w:r w:rsidRPr="00F0768B">
        <w:rPr>
          <w:rFonts w:ascii="Palatino Linotype" w:hAnsi="Palatino Linotype" w:cs="Tahoma"/>
          <w:sz w:val="22"/>
          <w:szCs w:val="22"/>
          <w:lang w:val="es-ES"/>
        </w:rPr>
        <w:t>de que se encuentre en trámite algún medio de defensa presentado por el Recurrente ante otra instancia; no existió prevención alguna; la veracidad de las respuestas no formó parte de los agravios; ni se realizó una consulta o ampliación a los alcances de los requerimientos informativos.</w:t>
      </w:r>
    </w:p>
    <w:p w:rsidR="002C33B2" w:rsidRPr="00F0768B" w:rsidRDefault="002C33B2" w:rsidP="002C33B2">
      <w:pPr>
        <w:autoSpaceDE w:val="0"/>
        <w:autoSpaceDN w:val="0"/>
        <w:adjustRightInd w:val="0"/>
        <w:spacing w:line="360" w:lineRule="auto"/>
        <w:contextualSpacing/>
        <w:jc w:val="both"/>
        <w:rPr>
          <w:rFonts w:ascii="Palatino Linotype" w:hAnsi="Palatino Linotype" w:cs="Tahoma"/>
          <w:sz w:val="22"/>
          <w:szCs w:val="22"/>
          <w:lang w:val="es-ES"/>
        </w:rPr>
      </w:pPr>
    </w:p>
    <w:p w:rsidR="002C33B2" w:rsidRPr="00F0768B" w:rsidRDefault="002C33B2" w:rsidP="002C33B2">
      <w:pPr>
        <w:autoSpaceDE w:val="0"/>
        <w:autoSpaceDN w:val="0"/>
        <w:adjustRightInd w:val="0"/>
        <w:spacing w:line="360" w:lineRule="auto"/>
        <w:contextualSpacing/>
        <w:jc w:val="both"/>
        <w:rPr>
          <w:rFonts w:ascii="Palatino Linotype" w:hAnsi="Palatino Linotype" w:cs="Tahoma"/>
          <w:sz w:val="22"/>
          <w:szCs w:val="22"/>
          <w:lang w:val="es-ES"/>
        </w:rPr>
      </w:pPr>
      <w:r w:rsidRPr="00F0768B">
        <w:rPr>
          <w:rFonts w:ascii="Palatino Linotype" w:hAnsi="Palatino Linotype" w:cs="Tahoma"/>
          <w:sz w:val="22"/>
          <w:szCs w:val="22"/>
          <w:lang w:val="es-ES"/>
        </w:rPr>
        <w:t xml:space="preserve">Aunado a lo anterior, se observa que los medios de impugnación fueron presentados en tiempo, toda vez que ante la ausencia de la respuesta del Sujeto Obligado, se constituye la </w:t>
      </w:r>
      <w:r w:rsidRPr="00F0768B">
        <w:rPr>
          <w:rFonts w:ascii="Palatino Linotype" w:hAnsi="Palatino Linotype" w:cs="Tahoma"/>
          <w:b/>
          <w:i/>
          <w:sz w:val="22"/>
          <w:szCs w:val="22"/>
          <w:lang w:val="es-ES"/>
        </w:rPr>
        <w:t xml:space="preserve">negativa ficta, </w:t>
      </w:r>
      <w:r w:rsidRPr="00F0768B">
        <w:rPr>
          <w:rFonts w:ascii="Palatino Linotype" w:hAnsi="Palatino Linotype" w:cs="Tahoma"/>
          <w:sz w:val="22"/>
          <w:szCs w:val="22"/>
          <w:lang w:val="es-ES"/>
        </w:rPr>
        <w:t>que genera la posibilidad de los particulares de interponer un medio de impugnación ante tal omisión, en cualquier momento, conforme a lo establecido en los artículos 166 y 178, párrafo segundo de la Ley de Transparencia y Acceso a la Información Pública del Estado de México y Municipios.</w:t>
      </w:r>
    </w:p>
    <w:p w:rsidR="002C33B2" w:rsidRPr="00F0768B" w:rsidRDefault="002C33B2" w:rsidP="002C33B2">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rsidR="002C33B2" w:rsidRPr="00F0768B" w:rsidRDefault="002C33B2" w:rsidP="002C33B2">
      <w:pPr>
        <w:widowControl w:val="0"/>
        <w:spacing w:line="360" w:lineRule="auto"/>
        <w:contextualSpacing/>
        <w:jc w:val="both"/>
        <w:rPr>
          <w:rFonts w:ascii="Palatino Linotype" w:hAnsi="Palatino Linotype" w:cs="Tahoma"/>
          <w:b/>
          <w:sz w:val="22"/>
          <w:szCs w:val="22"/>
          <w:lang w:val="es-ES"/>
        </w:rPr>
      </w:pPr>
      <w:r w:rsidRPr="00F0768B">
        <w:rPr>
          <w:rFonts w:ascii="Palatino Linotype" w:hAnsi="Palatino Linotype" w:cs="Tahoma"/>
          <w:sz w:val="22"/>
          <w:szCs w:val="22"/>
        </w:rPr>
        <w:t>Asimismo, </w:t>
      </w:r>
      <w:r w:rsidRPr="00F0768B">
        <w:rPr>
          <w:rFonts w:ascii="Palatino Linotype" w:hAnsi="Palatino Linotype" w:cs="Tahoma"/>
          <w:sz w:val="22"/>
          <w:szCs w:val="22"/>
          <w:lang w:val="es-ES"/>
        </w:rPr>
        <w:t xml:space="preserve">se actualiza la causal de procedencia señalada en el </w:t>
      </w:r>
      <w:r w:rsidRPr="00F0768B">
        <w:rPr>
          <w:rFonts w:ascii="Palatino Linotype" w:hAnsi="Palatino Linotype" w:cs="Tahoma"/>
          <w:b/>
          <w:sz w:val="22"/>
          <w:szCs w:val="22"/>
          <w:lang w:val="es-ES"/>
        </w:rPr>
        <w:t>artículo 179, fracción VII</w:t>
      </w:r>
      <w:r w:rsidRPr="00F0768B">
        <w:rPr>
          <w:rFonts w:ascii="Palatino Linotype" w:hAnsi="Palatino Linotype" w:cs="Tahoma"/>
          <w:sz w:val="22"/>
          <w:szCs w:val="22"/>
          <w:lang w:val="es-ES"/>
        </w:rPr>
        <w:t xml:space="preserve">, de la Ley en cita, en virtud de que el Recurrente </w:t>
      </w:r>
      <w:r w:rsidRPr="00F0768B">
        <w:rPr>
          <w:rFonts w:ascii="Palatino Linotype" w:hAnsi="Palatino Linotype" w:cs="Tahoma"/>
          <w:b/>
          <w:sz w:val="22"/>
          <w:szCs w:val="22"/>
          <w:lang w:val="es-ES"/>
        </w:rPr>
        <w:t>se inconformó con la falta de respuesta a su solicitud de información.</w:t>
      </w:r>
    </w:p>
    <w:p w:rsidR="002C33B2" w:rsidRPr="00F0768B" w:rsidRDefault="002C33B2" w:rsidP="002C33B2">
      <w:pPr>
        <w:widowControl w:val="0"/>
        <w:spacing w:line="360" w:lineRule="auto"/>
        <w:contextualSpacing/>
        <w:jc w:val="both"/>
        <w:rPr>
          <w:rFonts w:ascii="Palatino Linotype" w:hAnsi="Palatino Linotype" w:cs="Tahoma"/>
          <w:sz w:val="22"/>
          <w:szCs w:val="22"/>
          <w:lang w:val="es-ES"/>
        </w:rPr>
      </w:pPr>
    </w:p>
    <w:p w:rsidR="002C33B2" w:rsidRPr="00F0768B" w:rsidRDefault="002C33B2" w:rsidP="00210960">
      <w:pPr>
        <w:pStyle w:val="Prrafodelista"/>
        <w:numPr>
          <w:ilvl w:val="0"/>
          <w:numId w:val="7"/>
        </w:numPr>
        <w:spacing w:line="360" w:lineRule="auto"/>
        <w:jc w:val="both"/>
        <w:rPr>
          <w:rFonts w:ascii="Palatino Linotype" w:eastAsia="Calibri" w:hAnsi="Palatino Linotype" w:cs="Tahoma"/>
          <w:szCs w:val="22"/>
          <w:lang w:eastAsia="es-ES_tradnl"/>
        </w:rPr>
      </w:pPr>
      <w:r w:rsidRPr="00F0768B">
        <w:rPr>
          <w:rFonts w:ascii="Palatino Linotype" w:eastAsia="Calibri" w:hAnsi="Palatino Linotype" w:cs="Tahoma"/>
          <w:b/>
          <w:szCs w:val="22"/>
          <w:lang w:eastAsia="es-ES_tradnl"/>
        </w:rPr>
        <w:t>Causales de sobreseimiento.</w:t>
      </w:r>
    </w:p>
    <w:p w:rsidR="002C33B2" w:rsidRPr="00F0768B" w:rsidRDefault="002C33B2" w:rsidP="002C33B2">
      <w:pPr>
        <w:spacing w:line="360" w:lineRule="auto"/>
        <w:contextualSpacing/>
        <w:jc w:val="both"/>
        <w:rPr>
          <w:rFonts w:ascii="Palatino Linotype" w:eastAsia="Calibri" w:hAnsi="Palatino Linotype" w:cs="Tahoma"/>
          <w:sz w:val="22"/>
          <w:szCs w:val="22"/>
          <w:lang w:eastAsia="es-ES_tradnl"/>
        </w:rPr>
      </w:pPr>
    </w:p>
    <w:p w:rsidR="002C33B2" w:rsidRPr="00F0768B" w:rsidRDefault="002C33B2" w:rsidP="002C33B2">
      <w:pPr>
        <w:spacing w:line="360" w:lineRule="auto"/>
        <w:contextualSpacing/>
        <w:jc w:val="both"/>
        <w:rPr>
          <w:rFonts w:ascii="Palatino Linotype" w:eastAsia="Calibri" w:hAnsi="Palatino Linotype" w:cs="Tahoma"/>
          <w:sz w:val="22"/>
          <w:szCs w:val="22"/>
          <w:lang w:val="es-ES" w:eastAsia="es-ES_tradnl"/>
        </w:rPr>
      </w:pPr>
      <w:r w:rsidRPr="00F0768B">
        <w:rPr>
          <w:rFonts w:ascii="Palatino Linotype" w:eastAsia="Calibri" w:hAnsi="Palatino Linotype" w:cs="Tahoma"/>
          <w:sz w:val="22"/>
          <w:szCs w:val="22"/>
          <w:lang w:val="es-ES" w:eastAsia="es-ES_tradnl"/>
        </w:rPr>
        <w:t>Por lo que hace a las causales de sobreseimiento, del análisis realizado por este Instituto, se advierte que</w:t>
      </w:r>
      <w:r w:rsidRPr="00F0768B">
        <w:rPr>
          <w:rFonts w:ascii="Palatino Linotype" w:eastAsia="Calibri" w:hAnsi="Palatino Linotype" w:cs="Tahoma"/>
          <w:b/>
          <w:sz w:val="22"/>
          <w:szCs w:val="22"/>
          <w:lang w:val="es-ES" w:eastAsia="es-ES_tradnl"/>
        </w:rPr>
        <w:t xml:space="preserve"> no se actualiza ninguna de las previstas por el artículo 192 de la Ley de Transparencia y Acceso a la Información Pública del Estado de México y Municipios; </w:t>
      </w:r>
      <w:r w:rsidRPr="00F0768B">
        <w:rPr>
          <w:rFonts w:ascii="Palatino Linotype" w:eastAsia="Calibri" w:hAnsi="Palatino Linotype" w:cs="Tahoma"/>
          <w:sz w:val="22"/>
          <w:szCs w:val="22"/>
          <w:lang w:val="es-ES" w:eastAsia="es-ES_tradnl"/>
        </w:rPr>
        <w:t>lo anterior, en virtud de que no existe constancia en el expediente en que se actúa, de que el Recurrente se hubiera desistido de los recursos, hubiera fallecido, que sobreviniera alguna causal de improcedencia, que el Sujeto Obligado hubiese modificado o revocado los actos impugnados, o bien que los recursos de revisión hubieran quedado sin materia.</w:t>
      </w:r>
    </w:p>
    <w:p w:rsidR="002C33B2" w:rsidRPr="00F0768B" w:rsidRDefault="002C33B2" w:rsidP="002C33B2">
      <w:pPr>
        <w:spacing w:line="360" w:lineRule="auto"/>
        <w:contextualSpacing/>
        <w:jc w:val="both"/>
        <w:rPr>
          <w:rFonts w:ascii="Palatino Linotype" w:eastAsia="Calibri" w:hAnsi="Palatino Linotype" w:cs="Tahoma"/>
          <w:sz w:val="22"/>
          <w:szCs w:val="22"/>
          <w:lang w:val="es-ES" w:eastAsia="es-ES_tradnl"/>
        </w:rPr>
      </w:pPr>
      <w:r w:rsidRPr="00F0768B">
        <w:rPr>
          <w:rFonts w:ascii="Palatino Linotype" w:eastAsia="Calibri" w:hAnsi="Palatino Linotype" w:cs="Tahoma"/>
          <w:bCs/>
          <w:sz w:val="22"/>
          <w:szCs w:val="22"/>
          <w:lang w:val="es-ES" w:eastAsia="es-ES_tradnl"/>
        </w:rPr>
        <w:t xml:space="preserve">Una vez expuesto lo anterior, </w:t>
      </w:r>
      <w:r w:rsidRPr="00F0768B">
        <w:rPr>
          <w:rFonts w:ascii="Palatino Linotype" w:eastAsia="Calibri" w:hAnsi="Palatino Linotype" w:cs="Tahoma"/>
          <w:sz w:val="22"/>
          <w:szCs w:val="22"/>
          <w:lang w:val="es-ES" w:eastAsia="es-ES_tradnl"/>
        </w:rPr>
        <w:t xml:space="preserve">se considera procedente entrar al fondo del asunto. </w:t>
      </w:r>
    </w:p>
    <w:p w:rsidR="002C33B2" w:rsidRPr="00F0768B" w:rsidRDefault="002C33B2" w:rsidP="002C33B2">
      <w:pPr>
        <w:tabs>
          <w:tab w:val="left" w:pos="4962"/>
        </w:tabs>
        <w:spacing w:line="360" w:lineRule="auto"/>
        <w:contextualSpacing/>
        <w:jc w:val="both"/>
        <w:rPr>
          <w:rFonts w:ascii="Palatino Linotype" w:eastAsia="Calibri" w:hAnsi="Palatino Linotype" w:cs="Tahoma"/>
          <w:b/>
          <w:iCs/>
          <w:sz w:val="22"/>
          <w:szCs w:val="22"/>
          <w:lang w:val="es-ES" w:eastAsia="es-ES_tradnl"/>
        </w:rPr>
      </w:pPr>
    </w:p>
    <w:p w:rsidR="002C33B2" w:rsidRPr="00F0768B" w:rsidRDefault="002C33B2" w:rsidP="002C33B2">
      <w:pPr>
        <w:tabs>
          <w:tab w:val="left" w:pos="4962"/>
        </w:tabs>
        <w:spacing w:line="360" w:lineRule="auto"/>
        <w:contextualSpacing/>
        <w:jc w:val="both"/>
        <w:rPr>
          <w:rFonts w:ascii="Palatino Linotype" w:eastAsia="Calibri" w:hAnsi="Palatino Linotype" w:cs="Tahoma"/>
          <w:b/>
          <w:iCs/>
          <w:sz w:val="22"/>
          <w:szCs w:val="22"/>
          <w:lang w:val="es-ES" w:eastAsia="es-ES_tradnl"/>
        </w:rPr>
      </w:pPr>
      <w:r w:rsidRPr="00F0768B">
        <w:rPr>
          <w:rFonts w:ascii="Palatino Linotype" w:eastAsia="Calibri" w:hAnsi="Palatino Linotype" w:cs="Tahoma"/>
          <w:b/>
          <w:iCs/>
          <w:sz w:val="22"/>
          <w:szCs w:val="22"/>
          <w:lang w:val="es-ES" w:eastAsia="es-ES_tradnl"/>
        </w:rPr>
        <w:t xml:space="preserve">TERCERO. Determinación de la Controversia. </w:t>
      </w:r>
    </w:p>
    <w:p w:rsidR="002C33B2" w:rsidRPr="00F0768B" w:rsidRDefault="002C33B2" w:rsidP="002C33B2">
      <w:pPr>
        <w:tabs>
          <w:tab w:val="left" w:pos="4962"/>
        </w:tabs>
        <w:spacing w:line="360" w:lineRule="auto"/>
        <w:contextualSpacing/>
        <w:jc w:val="both"/>
        <w:rPr>
          <w:rFonts w:ascii="Palatino Linotype" w:eastAsia="Calibri" w:hAnsi="Palatino Linotype" w:cs="Tahoma"/>
          <w:b/>
          <w:iCs/>
          <w:sz w:val="22"/>
          <w:szCs w:val="22"/>
          <w:lang w:val="es-ES" w:eastAsia="es-ES_tradnl"/>
        </w:rPr>
      </w:pPr>
    </w:p>
    <w:p w:rsidR="002C33B2" w:rsidRPr="00F0768B" w:rsidRDefault="002C33B2" w:rsidP="002C33B2">
      <w:pPr>
        <w:tabs>
          <w:tab w:val="left" w:pos="4962"/>
        </w:tabs>
        <w:spacing w:line="360" w:lineRule="auto"/>
        <w:contextualSpacing/>
        <w:jc w:val="both"/>
        <w:rPr>
          <w:rFonts w:ascii="Palatino Linotype" w:eastAsia="Calibri" w:hAnsi="Palatino Linotype" w:cs="Tahoma"/>
          <w:bCs/>
          <w:sz w:val="22"/>
          <w:szCs w:val="22"/>
          <w:lang w:eastAsia="en-US"/>
        </w:rPr>
      </w:pPr>
      <w:r w:rsidRPr="00F0768B">
        <w:rPr>
          <w:rFonts w:ascii="Palatino Linotype" w:eastAsia="Calibri" w:hAnsi="Palatino Linotype" w:cs="Tahoma"/>
          <w:iCs/>
          <w:sz w:val="22"/>
          <w:szCs w:val="22"/>
          <w:lang w:val="es-ES" w:eastAsia="es-ES_tradnl"/>
        </w:rPr>
        <w:t xml:space="preserve">El particular le requirió al </w:t>
      </w:r>
      <w:r w:rsidRPr="002C33B2">
        <w:rPr>
          <w:rFonts w:ascii="Palatino Linotype" w:eastAsia="Calibri" w:hAnsi="Palatino Linotype" w:cs="Tahoma"/>
          <w:bCs/>
          <w:sz w:val="22"/>
          <w:szCs w:val="22"/>
          <w:lang w:eastAsia="en-US"/>
        </w:rPr>
        <w:t>Ayuntamiento de Papalotla</w:t>
      </w:r>
      <w:r w:rsidRPr="00F0768B">
        <w:rPr>
          <w:rFonts w:ascii="Palatino Linotype" w:eastAsia="Calibri" w:hAnsi="Palatino Linotype" w:cs="Tahoma"/>
          <w:bCs/>
          <w:sz w:val="22"/>
          <w:szCs w:val="22"/>
          <w:lang w:eastAsia="en-US"/>
        </w:rPr>
        <w:t>, a través de diversas solicitudes, la siguiente información:</w:t>
      </w:r>
    </w:p>
    <w:p w:rsidR="002C33B2" w:rsidRDefault="002C33B2" w:rsidP="00210960">
      <w:pPr>
        <w:pStyle w:val="Prrafodelista"/>
        <w:numPr>
          <w:ilvl w:val="0"/>
          <w:numId w:val="8"/>
        </w:numPr>
        <w:spacing w:line="360" w:lineRule="auto"/>
        <w:jc w:val="both"/>
        <w:rPr>
          <w:rFonts w:ascii="Palatino Linotype" w:hAnsi="Palatino Linotype"/>
          <w:szCs w:val="22"/>
        </w:rPr>
      </w:pPr>
      <w:r>
        <w:rPr>
          <w:rFonts w:ascii="Palatino Linotype" w:hAnsi="Palatino Linotype"/>
          <w:szCs w:val="22"/>
        </w:rPr>
        <w:t>De las unidades económicas de mediano y alto impacto del Ayuntamiento de Papalotla, que cuentan con giro de venta de bebidas alcohólicas al copeo, lo siguientes:</w:t>
      </w:r>
    </w:p>
    <w:p w:rsidR="002C33B2" w:rsidRDefault="002C33B2" w:rsidP="00210960">
      <w:pPr>
        <w:pStyle w:val="Prrafodelista"/>
        <w:numPr>
          <w:ilvl w:val="1"/>
          <w:numId w:val="8"/>
        </w:numPr>
        <w:spacing w:line="360" w:lineRule="auto"/>
        <w:jc w:val="both"/>
        <w:rPr>
          <w:rFonts w:ascii="Palatino Linotype" w:hAnsi="Palatino Linotype"/>
          <w:szCs w:val="22"/>
        </w:rPr>
      </w:pPr>
      <w:r>
        <w:rPr>
          <w:rFonts w:ascii="Palatino Linotype" w:hAnsi="Palatino Linotype"/>
          <w:szCs w:val="22"/>
        </w:rPr>
        <w:t>Licencias de funcionamiento.</w:t>
      </w:r>
    </w:p>
    <w:p w:rsidR="002C33B2" w:rsidRDefault="002C33B2" w:rsidP="00210960">
      <w:pPr>
        <w:pStyle w:val="Prrafodelista"/>
        <w:numPr>
          <w:ilvl w:val="1"/>
          <w:numId w:val="8"/>
        </w:numPr>
        <w:spacing w:line="360" w:lineRule="auto"/>
        <w:jc w:val="both"/>
        <w:rPr>
          <w:rFonts w:ascii="Palatino Linotype" w:hAnsi="Palatino Linotype"/>
          <w:szCs w:val="22"/>
        </w:rPr>
      </w:pPr>
      <w:r>
        <w:rPr>
          <w:rFonts w:ascii="Palatino Linotype" w:hAnsi="Palatino Linotype"/>
          <w:szCs w:val="22"/>
        </w:rPr>
        <w:t>Visto bueno de protección civil.</w:t>
      </w:r>
    </w:p>
    <w:p w:rsidR="002C33B2" w:rsidRPr="00F0768B" w:rsidRDefault="002C33B2" w:rsidP="00210960">
      <w:pPr>
        <w:pStyle w:val="Prrafodelista"/>
        <w:numPr>
          <w:ilvl w:val="1"/>
          <w:numId w:val="8"/>
        </w:numPr>
        <w:spacing w:line="360" w:lineRule="auto"/>
        <w:jc w:val="both"/>
        <w:rPr>
          <w:rFonts w:ascii="Palatino Linotype" w:hAnsi="Palatino Linotype"/>
          <w:szCs w:val="22"/>
        </w:rPr>
      </w:pPr>
      <w:r>
        <w:rPr>
          <w:rFonts w:ascii="Palatino Linotype" w:hAnsi="Palatino Linotype"/>
          <w:szCs w:val="22"/>
        </w:rPr>
        <w:t>Documento único de factibilidad.</w:t>
      </w:r>
    </w:p>
    <w:p w:rsidR="002C33B2" w:rsidRPr="00F0768B" w:rsidRDefault="002C33B2" w:rsidP="00A54FFB">
      <w:pPr>
        <w:spacing w:line="360" w:lineRule="auto"/>
        <w:contextualSpacing/>
        <w:jc w:val="both"/>
        <w:rPr>
          <w:rFonts w:ascii="Palatino Linotype" w:hAnsi="Palatino Linotype"/>
          <w:szCs w:val="22"/>
        </w:rPr>
      </w:pPr>
    </w:p>
    <w:p w:rsidR="002C33B2" w:rsidRPr="00F0768B" w:rsidRDefault="002C33B2" w:rsidP="002C33B2">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F0768B">
        <w:rPr>
          <w:rFonts w:ascii="Palatino Linotype" w:eastAsia="Calibri" w:hAnsi="Palatino Linotype" w:cs="Tahoma"/>
          <w:iCs/>
          <w:sz w:val="22"/>
          <w:szCs w:val="22"/>
          <w:lang w:val="es-ES" w:eastAsia="es-ES_tradnl"/>
        </w:rPr>
        <w:t>Ante la</w:t>
      </w:r>
      <w:r w:rsidR="00A54FFB">
        <w:rPr>
          <w:rFonts w:ascii="Palatino Linotype" w:eastAsia="Calibri" w:hAnsi="Palatino Linotype" w:cs="Tahoma"/>
          <w:iCs/>
          <w:sz w:val="22"/>
          <w:szCs w:val="22"/>
          <w:lang w:val="es-ES" w:eastAsia="es-ES_tradnl"/>
        </w:rPr>
        <w:t xml:space="preserve"> solicitud</w:t>
      </w:r>
      <w:r w:rsidRPr="00F0768B">
        <w:rPr>
          <w:rFonts w:ascii="Palatino Linotype" w:eastAsia="Calibri" w:hAnsi="Palatino Linotype" w:cs="Tahoma"/>
          <w:iCs/>
          <w:sz w:val="22"/>
          <w:szCs w:val="22"/>
          <w:lang w:val="es-ES" w:eastAsia="es-ES_tradnl"/>
        </w:rPr>
        <w:t xml:space="preserve"> de información, el Sujeto Obligado omitió dar respuesta o emitir pronunciamiento alguno, por lo que el Recurrente, interpuso</w:t>
      </w:r>
      <w:r w:rsidR="00A54FFB">
        <w:rPr>
          <w:rFonts w:ascii="Palatino Linotype" w:eastAsia="Calibri" w:hAnsi="Palatino Linotype" w:cs="Tahoma"/>
          <w:iCs/>
          <w:sz w:val="22"/>
          <w:szCs w:val="22"/>
          <w:lang w:val="es-ES" w:eastAsia="es-ES_tradnl"/>
        </w:rPr>
        <w:t xml:space="preserve"> el Recurso de Revisión, señalado</w:t>
      </w:r>
      <w:r w:rsidRPr="00F0768B">
        <w:rPr>
          <w:rFonts w:ascii="Palatino Linotype" w:eastAsia="Calibri" w:hAnsi="Palatino Linotype" w:cs="Tahoma"/>
          <w:iCs/>
          <w:sz w:val="22"/>
          <w:szCs w:val="22"/>
          <w:lang w:val="es-ES" w:eastAsia="es-ES_tradnl"/>
        </w:rPr>
        <w:t xml:space="preserve"> en el preámbulo del presente fallo, en el que manifestó como acto impugnado la falta de respuesta del Sujeto Obligado. </w:t>
      </w:r>
    </w:p>
    <w:p w:rsidR="002C33B2" w:rsidRPr="00F0768B" w:rsidRDefault="002C33B2" w:rsidP="002C33B2">
      <w:pPr>
        <w:tabs>
          <w:tab w:val="left" w:pos="4962"/>
        </w:tabs>
        <w:spacing w:line="360" w:lineRule="auto"/>
        <w:contextualSpacing/>
        <w:jc w:val="both"/>
        <w:rPr>
          <w:rFonts w:ascii="Palatino Linotype" w:eastAsia="Calibri" w:hAnsi="Palatino Linotype" w:cs="Tahoma"/>
          <w:iCs/>
          <w:sz w:val="22"/>
          <w:szCs w:val="22"/>
          <w:lang w:val="es-ES" w:eastAsia="es-ES_tradnl"/>
        </w:rPr>
      </w:pPr>
    </w:p>
    <w:p w:rsidR="002C33B2" w:rsidRPr="00F0768B" w:rsidRDefault="002C33B2" w:rsidP="002C33B2">
      <w:pPr>
        <w:tabs>
          <w:tab w:val="left" w:pos="4962"/>
        </w:tabs>
        <w:spacing w:line="360" w:lineRule="auto"/>
        <w:contextualSpacing/>
        <w:jc w:val="both"/>
        <w:rPr>
          <w:rFonts w:ascii="Palatino Linotype" w:eastAsia="Calibri" w:hAnsi="Palatino Linotype" w:cs="Tahoma"/>
          <w:iCs/>
          <w:sz w:val="22"/>
          <w:szCs w:val="22"/>
          <w:lang w:val="es-ES" w:eastAsia="es-ES_tradnl"/>
        </w:rPr>
      </w:pPr>
      <w:r w:rsidRPr="00F0768B">
        <w:rPr>
          <w:rFonts w:ascii="Palatino Linotype" w:eastAsia="Calibri" w:hAnsi="Palatino Linotype" w:cs="Tahoma"/>
          <w:iCs/>
          <w:sz w:val="22"/>
          <w:szCs w:val="22"/>
          <w:lang w:val="es-ES" w:eastAsia="es-ES_tradnl"/>
        </w:rPr>
        <w:t xml:space="preserve">Durante la sustanciación del presente Recurso de Revisión ninguna de las partes emitió manifestaciones, por lo que resulta procedente analizar la información que comprenden los expediente electrónicos. </w:t>
      </w:r>
    </w:p>
    <w:p w:rsidR="002C33B2" w:rsidRPr="00F0768B" w:rsidRDefault="002C33B2" w:rsidP="002C33B2">
      <w:pPr>
        <w:spacing w:line="360" w:lineRule="auto"/>
        <w:ind w:right="-93"/>
        <w:contextualSpacing/>
        <w:jc w:val="both"/>
        <w:rPr>
          <w:rFonts w:ascii="Palatino Linotype" w:hAnsi="Palatino Linotype" w:cs="Tahoma"/>
          <w:b/>
          <w:sz w:val="22"/>
          <w:szCs w:val="22"/>
          <w:lang w:val="es-ES"/>
        </w:rPr>
      </w:pPr>
    </w:p>
    <w:p w:rsidR="002C33B2" w:rsidRPr="00F0768B" w:rsidRDefault="002C33B2" w:rsidP="002C33B2">
      <w:pPr>
        <w:autoSpaceDE w:val="0"/>
        <w:autoSpaceDN w:val="0"/>
        <w:adjustRightInd w:val="0"/>
        <w:spacing w:line="360" w:lineRule="auto"/>
        <w:contextualSpacing/>
        <w:jc w:val="both"/>
        <w:rPr>
          <w:rFonts w:ascii="Palatino Linotype" w:eastAsia="Calibri" w:hAnsi="Palatino Linotype" w:cs="Tahoma"/>
          <w:bCs/>
          <w:color w:val="000000"/>
          <w:sz w:val="22"/>
          <w:szCs w:val="22"/>
        </w:rPr>
      </w:pPr>
      <w:r w:rsidRPr="00F0768B">
        <w:rPr>
          <w:rFonts w:ascii="Palatino Linotype" w:eastAsia="Calibri" w:hAnsi="Palatino Linotype" w:cs="Tahoma"/>
          <w:color w:val="000000"/>
          <w:sz w:val="22"/>
          <w:szCs w:val="22"/>
        </w:rPr>
        <w:t xml:space="preserve">Finalmente, en el asunto que nos ocupa se actualiza la causal de procedencia señalada en el </w:t>
      </w:r>
      <w:r w:rsidRPr="00F0768B">
        <w:rPr>
          <w:rFonts w:ascii="Palatino Linotype" w:eastAsia="Calibri" w:hAnsi="Palatino Linotype" w:cs="Tahoma"/>
          <w:b/>
          <w:sz w:val="22"/>
          <w:szCs w:val="22"/>
        </w:rPr>
        <w:t>artículo 179, fracción VII, de la Ley de la materia</w:t>
      </w:r>
      <w:r w:rsidRPr="00F0768B">
        <w:rPr>
          <w:rFonts w:ascii="Palatino Linotype" w:eastAsia="Calibri" w:hAnsi="Palatino Linotype" w:cs="Tahoma"/>
          <w:b/>
          <w:bCs/>
          <w:sz w:val="22"/>
          <w:szCs w:val="22"/>
        </w:rPr>
        <w:t>, toda vez que la parte solicitante se inconformó por la falta de respuesta a una solicitud de acceso a la información.</w:t>
      </w:r>
    </w:p>
    <w:p w:rsidR="002C33B2" w:rsidRPr="00F0768B" w:rsidRDefault="002C33B2" w:rsidP="002C33B2">
      <w:pPr>
        <w:spacing w:line="360" w:lineRule="auto"/>
        <w:ind w:right="-93"/>
        <w:contextualSpacing/>
        <w:jc w:val="both"/>
        <w:rPr>
          <w:rFonts w:ascii="Palatino Linotype" w:hAnsi="Palatino Linotype" w:cs="Tahoma"/>
          <w:b/>
          <w:sz w:val="22"/>
          <w:szCs w:val="22"/>
          <w:lang w:val="es-ES"/>
        </w:rPr>
      </w:pPr>
    </w:p>
    <w:p w:rsidR="002C33B2" w:rsidRPr="00F0768B" w:rsidRDefault="002C33B2" w:rsidP="002C33B2">
      <w:pPr>
        <w:spacing w:line="360" w:lineRule="auto"/>
        <w:ind w:right="-93"/>
        <w:contextualSpacing/>
        <w:jc w:val="both"/>
        <w:rPr>
          <w:rFonts w:ascii="Palatino Linotype" w:hAnsi="Palatino Linotype" w:cs="Tahoma"/>
          <w:b/>
          <w:sz w:val="22"/>
          <w:szCs w:val="22"/>
        </w:rPr>
      </w:pPr>
      <w:r w:rsidRPr="00F0768B">
        <w:rPr>
          <w:rFonts w:ascii="Palatino Linotype" w:hAnsi="Palatino Linotype" w:cs="Tahoma"/>
          <w:b/>
          <w:sz w:val="22"/>
          <w:szCs w:val="22"/>
          <w:lang w:val="es-ES"/>
        </w:rPr>
        <w:t xml:space="preserve">CUARTO. </w:t>
      </w:r>
      <w:r w:rsidRPr="00F0768B">
        <w:rPr>
          <w:rFonts w:ascii="Palatino Linotype" w:hAnsi="Palatino Linotype" w:cs="Tahoma"/>
          <w:b/>
          <w:sz w:val="22"/>
          <w:szCs w:val="22"/>
        </w:rPr>
        <w:t>Marco normativo aplicable en materia de transparencia y acceso a la información pública.</w:t>
      </w:r>
    </w:p>
    <w:p w:rsidR="002C33B2" w:rsidRPr="00F0768B" w:rsidRDefault="002C33B2" w:rsidP="002C33B2">
      <w:pPr>
        <w:spacing w:line="360" w:lineRule="auto"/>
        <w:contextualSpacing/>
        <w:jc w:val="both"/>
        <w:rPr>
          <w:rFonts w:ascii="Palatino Linotype" w:hAnsi="Palatino Linotype" w:cs="Tahoma"/>
          <w:sz w:val="22"/>
          <w:szCs w:val="22"/>
        </w:rPr>
      </w:pPr>
      <w:r w:rsidRPr="00F0768B">
        <w:rPr>
          <w:rFonts w:ascii="Palatino Linotype" w:hAnsi="Palatino Linotype" w:cs="Tahoma"/>
          <w:sz w:val="22"/>
          <w:szCs w:val="22"/>
        </w:rPr>
        <w:t xml:space="preserve">El artículo 6°, Apartado A), fracción I de la Constitución Política de los Estados Unidos Mexicanos, establece que toda la información en posesión de cualquier autoridad, es pública y sólo podrá ser reservada temporalmente por razones de interés público. </w:t>
      </w:r>
    </w:p>
    <w:p w:rsidR="002C33B2" w:rsidRPr="00F0768B" w:rsidRDefault="002C33B2" w:rsidP="002C33B2">
      <w:pPr>
        <w:spacing w:line="360" w:lineRule="auto"/>
        <w:contextualSpacing/>
        <w:jc w:val="both"/>
        <w:rPr>
          <w:rFonts w:ascii="Palatino Linotype" w:hAnsi="Palatino Linotype" w:cs="Tahoma"/>
          <w:sz w:val="22"/>
          <w:szCs w:val="22"/>
        </w:rPr>
      </w:pPr>
    </w:p>
    <w:p w:rsidR="002C33B2" w:rsidRPr="00F0768B" w:rsidRDefault="002C33B2" w:rsidP="002C33B2">
      <w:pPr>
        <w:spacing w:line="360" w:lineRule="auto"/>
        <w:contextualSpacing/>
        <w:jc w:val="both"/>
        <w:rPr>
          <w:rFonts w:ascii="Palatino Linotype" w:hAnsi="Palatino Linotype" w:cs="Tahoma"/>
          <w:sz w:val="22"/>
          <w:szCs w:val="22"/>
        </w:rPr>
      </w:pPr>
      <w:r w:rsidRPr="00F0768B">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rsidR="002C33B2" w:rsidRPr="00F0768B" w:rsidRDefault="002C33B2" w:rsidP="002C33B2">
      <w:pPr>
        <w:spacing w:line="360" w:lineRule="auto"/>
        <w:contextualSpacing/>
        <w:jc w:val="both"/>
        <w:rPr>
          <w:rFonts w:ascii="Palatino Linotype" w:hAnsi="Palatino Linotype" w:cs="Tahoma"/>
          <w:sz w:val="22"/>
          <w:szCs w:val="22"/>
        </w:rPr>
      </w:pPr>
    </w:p>
    <w:p w:rsidR="002C33B2" w:rsidRPr="00F0768B" w:rsidRDefault="002C33B2" w:rsidP="002C33B2">
      <w:pPr>
        <w:spacing w:line="360" w:lineRule="auto"/>
        <w:contextualSpacing/>
        <w:jc w:val="both"/>
        <w:rPr>
          <w:rFonts w:ascii="Palatino Linotype" w:hAnsi="Palatino Linotype" w:cs="Tahoma"/>
          <w:sz w:val="22"/>
          <w:szCs w:val="22"/>
        </w:rPr>
      </w:pPr>
      <w:r w:rsidRPr="00F0768B">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rsidR="002C33B2" w:rsidRPr="00F0768B" w:rsidRDefault="002C33B2" w:rsidP="002C33B2">
      <w:pPr>
        <w:spacing w:line="360" w:lineRule="auto"/>
        <w:contextualSpacing/>
        <w:jc w:val="both"/>
        <w:rPr>
          <w:rFonts w:ascii="Palatino Linotype" w:hAnsi="Palatino Linotype" w:cs="Tahoma"/>
          <w:sz w:val="22"/>
          <w:szCs w:val="22"/>
        </w:rPr>
      </w:pPr>
    </w:p>
    <w:p w:rsidR="002C33B2" w:rsidRPr="00F0768B" w:rsidRDefault="002C33B2" w:rsidP="002C33B2">
      <w:pPr>
        <w:spacing w:line="360" w:lineRule="auto"/>
        <w:contextualSpacing/>
        <w:jc w:val="both"/>
        <w:rPr>
          <w:rFonts w:ascii="Palatino Linotype" w:hAnsi="Palatino Linotype" w:cs="Tahoma"/>
          <w:sz w:val="22"/>
          <w:szCs w:val="22"/>
        </w:rPr>
      </w:pPr>
      <w:r w:rsidRPr="00F0768B">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002C33B2" w:rsidRPr="00F0768B" w:rsidRDefault="002C33B2" w:rsidP="002C33B2">
      <w:pPr>
        <w:spacing w:line="360" w:lineRule="auto"/>
        <w:contextualSpacing/>
        <w:jc w:val="both"/>
        <w:rPr>
          <w:rFonts w:ascii="Palatino Linotype" w:hAnsi="Palatino Linotype" w:cs="Tahoma"/>
          <w:sz w:val="22"/>
          <w:szCs w:val="22"/>
        </w:rPr>
      </w:pPr>
    </w:p>
    <w:p w:rsidR="002C33B2" w:rsidRPr="00F0768B" w:rsidRDefault="002C33B2" w:rsidP="002C33B2">
      <w:pPr>
        <w:spacing w:line="360" w:lineRule="auto"/>
        <w:contextualSpacing/>
        <w:jc w:val="both"/>
        <w:rPr>
          <w:rFonts w:ascii="Palatino Linotype" w:hAnsi="Palatino Linotype" w:cs="Tahoma"/>
          <w:sz w:val="22"/>
          <w:szCs w:val="22"/>
        </w:rPr>
      </w:pPr>
      <w:r w:rsidRPr="00F0768B">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rsidR="002C33B2" w:rsidRPr="00F0768B" w:rsidRDefault="002C33B2" w:rsidP="002C33B2">
      <w:pPr>
        <w:spacing w:line="360" w:lineRule="auto"/>
        <w:contextualSpacing/>
        <w:jc w:val="both"/>
        <w:rPr>
          <w:rFonts w:ascii="Palatino Linotype" w:hAnsi="Palatino Linotype" w:cs="Tahoma"/>
          <w:sz w:val="22"/>
          <w:szCs w:val="22"/>
        </w:rPr>
      </w:pPr>
    </w:p>
    <w:p w:rsidR="002C33B2" w:rsidRPr="00F0768B" w:rsidRDefault="002C33B2" w:rsidP="002C33B2">
      <w:pPr>
        <w:spacing w:line="360" w:lineRule="auto"/>
        <w:contextualSpacing/>
        <w:jc w:val="both"/>
        <w:rPr>
          <w:rFonts w:ascii="Palatino Linotype" w:hAnsi="Palatino Linotype" w:cs="Tahoma"/>
          <w:sz w:val="22"/>
          <w:szCs w:val="22"/>
        </w:rPr>
      </w:pPr>
      <w:r w:rsidRPr="00F0768B">
        <w:rPr>
          <w:rFonts w:ascii="Palatino Linotype" w:hAnsi="Palatino Linotype" w:cs="Tahoma"/>
          <w:sz w:val="22"/>
          <w:szCs w:val="22"/>
        </w:rPr>
        <w:t>El artículo 12, que, quienes generen, recopilen, administren, manejen, procesen, archiven o conserven información pública serán responsables de la misma.</w:t>
      </w:r>
    </w:p>
    <w:p w:rsidR="002C33B2" w:rsidRPr="00F0768B" w:rsidRDefault="002C33B2" w:rsidP="002C33B2">
      <w:pPr>
        <w:spacing w:line="360" w:lineRule="auto"/>
        <w:contextualSpacing/>
        <w:jc w:val="both"/>
        <w:rPr>
          <w:rFonts w:ascii="Palatino Linotype" w:hAnsi="Palatino Linotype" w:cs="Tahoma"/>
          <w:sz w:val="22"/>
          <w:szCs w:val="22"/>
        </w:rPr>
      </w:pPr>
      <w:r w:rsidRPr="00F0768B">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rsidR="002C33B2" w:rsidRPr="00F0768B" w:rsidRDefault="002C33B2" w:rsidP="002C33B2">
      <w:pPr>
        <w:spacing w:line="360" w:lineRule="auto"/>
        <w:contextualSpacing/>
        <w:jc w:val="both"/>
        <w:rPr>
          <w:rFonts w:ascii="Palatino Linotype" w:hAnsi="Palatino Linotype" w:cs="Tahoma"/>
          <w:sz w:val="22"/>
          <w:szCs w:val="22"/>
        </w:rPr>
      </w:pPr>
    </w:p>
    <w:p w:rsidR="002C33B2" w:rsidRPr="00F0768B" w:rsidRDefault="002C33B2" w:rsidP="002C33B2">
      <w:pPr>
        <w:spacing w:line="360" w:lineRule="auto"/>
        <w:contextualSpacing/>
        <w:jc w:val="both"/>
        <w:rPr>
          <w:rFonts w:ascii="Palatino Linotype" w:hAnsi="Palatino Linotype" w:cs="Tahoma"/>
          <w:sz w:val="22"/>
          <w:szCs w:val="22"/>
        </w:rPr>
      </w:pPr>
      <w:r w:rsidRPr="00F0768B">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C33B2" w:rsidRPr="00F0768B" w:rsidRDefault="002C33B2" w:rsidP="002C33B2">
      <w:pPr>
        <w:spacing w:line="360" w:lineRule="auto"/>
        <w:contextualSpacing/>
        <w:jc w:val="both"/>
        <w:rPr>
          <w:rFonts w:ascii="Palatino Linotype" w:hAnsi="Palatino Linotype" w:cs="Tahoma"/>
          <w:sz w:val="22"/>
          <w:szCs w:val="22"/>
        </w:rPr>
      </w:pPr>
    </w:p>
    <w:p w:rsidR="002C33B2" w:rsidRPr="00F0768B" w:rsidRDefault="002C33B2" w:rsidP="002C33B2">
      <w:pPr>
        <w:spacing w:line="360" w:lineRule="auto"/>
        <w:ind w:right="-93"/>
        <w:contextualSpacing/>
        <w:jc w:val="both"/>
        <w:rPr>
          <w:rFonts w:ascii="Palatino Linotype" w:hAnsi="Palatino Linotype" w:cs="Tahoma"/>
          <w:b/>
          <w:sz w:val="22"/>
          <w:szCs w:val="22"/>
          <w:lang w:val="es-ES"/>
        </w:rPr>
      </w:pPr>
      <w:r w:rsidRPr="00F0768B">
        <w:rPr>
          <w:rFonts w:ascii="Palatino Linotype" w:hAnsi="Palatino Linotype" w:cs="Tahoma"/>
          <w:b/>
          <w:sz w:val="22"/>
          <w:szCs w:val="22"/>
          <w:lang w:val="es-ES"/>
        </w:rPr>
        <w:t>QUINTO. Estudio de Fondo.</w:t>
      </w:r>
    </w:p>
    <w:p w:rsidR="002C33B2" w:rsidRPr="00F0768B" w:rsidRDefault="002C33B2" w:rsidP="002C33B2">
      <w:pPr>
        <w:spacing w:line="360" w:lineRule="auto"/>
        <w:ind w:right="-93"/>
        <w:contextualSpacing/>
        <w:jc w:val="both"/>
        <w:rPr>
          <w:rFonts w:ascii="Palatino Linotype" w:hAnsi="Palatino Linotype" w:cs="Tahoma"/>
          <w:b/>
          <w:sz w:val="22"/>
          <w:szCs w:val="22"/>
          <w:lang w:val="es-ES"/>
        </w:rPr>
      </w:pPr>
    </w:p>
    <w:p w:rsidR="002C33B2" w:rsidRPr="00F0768B" w:rsidRDefault="002C33B2" w:rsidP="002C33B2">
      <w:pPr>
        <w:spacing w:line="360" w:lineRule="auto"/>
        <w:ind w:right="-93"/>
        <w:contextualSpacing/>
        <w:jc w:val="both"/>
        <w:rPr>
          <w:rFonts w:ascii="Palatino Linotype" w:eastAsia="Calibri" w:hAnsi="Palatino Linotype" w:cs="Tahoma"/>
          <w:bCs/>
          <w:sz w:val="22"/>
          <w:szCs w:val="22"/>
          <w:lang w:eastAsia="en-US"/>
        </w:rPr>
      </w:pPr>
      <w:r w:rsidRPr="00F0768B">
        <w:rPr>
          <w:rFonts w:ascii="Palatino Linotype" w:eastAsia="Calibri" w:hAnsi="Palatino Linotype" w:cs="Tahoma"/>
          <w:bCs/>
          <w:sz w:val="22"/>
          <w:szCs w:val="22"/>
          <w:lang w:eastAsia="en-US"/>
        </w:rPr>
        <w:t xml:space="preserve">Una vez expuesta la controversia, se procede al análisis de la información solicitada, así como de los documentos y manifestaciones que integran la sustanciación </w:t>
      </w:r>
      <w:r w:rsidR="004F4D5E">
        <w:rPr>
          <w:rFonts w:ascii="Palatino Linotype" w:eastAsia="Calibri" w:hAnsi="Palatino Linotype" w:cs="Tahoma"/>
          <w:bCs/>
          <w:sz w:val="22"/>
          <w:szCs w:val="22"/>
          <w:lang w:eastAsia="en-US"/>
        </w:rPr>
        <w:t>del</w:t>
      </w:r>
      <w:r w:rsidRPr="00F0768B">
        <w:rPr>
          <w:rFonts w:ascii="Palatino Linotype" w:eastAsia="Calibri" w:hAnsi="Palatino Linotype" w:cs="Tahoma"/>
          <w:bCs/>
          <w:sz w:val="22"/>
          <w:szCs w:val="22"/>
          <w:lang w:eastAsia="en-US"/>
        </w:rPr>
        <w:t xml:space="preserve"> presente Recurso de Revisión.</w:t>
      </w:r>
    </w:p>
    <w:p w:rsidR="002C33B2" w:rsidRPr="00F0768B" w:rsidRDefault="002C33B2" w:rsidP="002C33B2">
      <w:pPr>
        <w:spacing w:line="360" w:lineRule="auto"/>
        <w:ind w:right="-93"/>
        <w:contextualSpacing/>
        <w:jc w:val="both"/>
        <w:rPr>
          <w:rFonts w:ascii="Palatino Linotype" w:eastAsia="Calibri" w:hAnsi="Palatino Linotype" w:cs="Tahoma"/>
          <w:bCs/>
          <w:sz w:val="22"/>
          <w:szCs w:val="22"/>
          <w:lang w:eastAsia="en-US"/>
        </w:rPr>
      </w:pPr>
    </w:p>
    <w:p w:rsidR="002C33B2" w:rsidRPr="00F0768B" w:rsidRDefault="002C33B2" w:rsidP="002C33B2">
      <w:pPr>
        <w:spacing w:line="360" w:lineRule="auto"/>
        <w:contextualSpacing/>
        <w:jc w:val="both"/>
        <w:rPr>
          <w:rFonts w:ascii="Palatino Linotype" w:hAnsi="Palatino Linotype" w:cs="Tahoma"/>
          <w:sz w:val="22"/>
          <w:szCs w:val="22"/>
          <w:lang w:val="es-ES"/>
        </w:rPr>
      </w:pPr>
      <w:r w:rsidRPr="00F0768B">
        <w:rPr>
          <w:rFonts w:ascii="Palatino Linotype" w:hAnsi="Palatino Linotype" w:cs="Tahoma"/>
          <w:sz w:val="22"/>
          <w:szCs w:val="22"/>
          <w:lang w:val="es-ES"/>
        </w:rPr>
        <w:t>Una vez que se han expuestos antecedentes, es procedente entrar al análisis de los agravios que dan motivo a la presente Resolución; por lo que es menester destacar la fuente obligacional del Sujeto Obligado, así como de la competencia con la que cuenta para generar o poseer la información que el hoy Recurrente solicitó y la naturaleza de la información solicitada, en los términos siguientes:</w:t>
      </w:r>
    </w:p>
    <w:p w:rsidR="002C33B2" w:rsidRPr="00F0768B" w:rsidRDefault="002C33B2" w:rsidP="002C33B2">
      <w:pPr>
        <w:spacing w:line="360" w:lineRule="auto"/>
        <w:ind w:right="-93"/>
        <w:contextualSpacing/>
        <w:jc w:val="both"/>
        <w:rPr>
          <w:rFonts w:ascii="Palatino Linotype" w:eastAsia="Calibri" w:hAnsi="Palatino Linotype" w:cs="Tahoma"/>
          <w:bCs/>
          <w:sz w:val="22"/>
          <w:szCs w:val="22"/>
          <w:lang w:eastAsia="en-US"/>
        </w:rPr>
      </w:pPr>
    </w:p>
    <w:p w:rsidR="002C33B2" w:rsidRPr="00F0768B" w:rsidRDefault="002C33B2" w:rsidP="00210960">
      <w:pPr>
        <w:pStyle w:val="Prrafodelista"/>
        <w:numPr>
          <w:ilvl w:val="0"/>
          <w:numId w:val="2"/>
        </w:numPr>
        <w:spacing w:line="360" w:lineRule="auto"/>
        <w:ind w:right="-93"/>
        <w:jc w:val="both"/>
        <w:rPr>
          <w:rFonts w:ascii="Palatino Linotype" w:eastAsia="Calibri" w:hAnsi="Palatino Linotype" w:cs="Tahoma"/>
          <w:bCs/>
          <w:szCs w:val="22"/>
          <w:lang w:eastAsia="en-US"/>
        </w:rPr>
      </w:pPr>
      <w:r w:rsidRPr="00F0768B">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rsidR="002C33B2" w:rsidRPr="00F0768B" w:rsidRDefault="002C33B2" w:rsidP="002C33B2">
      <w:pPr>
        <w:spacing w:line="360" w:lineRule="auto"/>
        <w:ind w:left="360" w:right="-93"/>
        <w:contextualSpacing/>
        <w:jc w:val="both"/>
        <w:rPr>
          <w:rFonts w:ascii="Palatino Linotype" w:eastAsia="Calibri" w:hAnsi="Palatino Linotype" w:cs="Tahoma"/>
          <w:bCs/>
          <w:sz w:val="22"/>
          <w:szCs w:val="22"/>
          <w:lang w:eastAsia="en-US"/>
        </w:rPr>
      </w:pPr>
    </w:p>
    <w:p w:rsidR="002C33B2" w:rsidRPr="00F0768B" w:rsidRDefault="002C33B2" w:rsidP="00210960">
      <w:pPr>
        <w:pStyle w:val="Prrafodelista"/>
        <w:numPr>
          <w:ilvl w:val="0"/>
          <w:numId w:val="2"/>
        </w:numPr>
        <w:spacing w:line="360" w:lineRule="auto"/>
        <w:ind w:right="-93"/>
        <w:jc w:val="both"/>
        <w:rPr>
          <w:rFonts w:ascii="Palatino Linotype" w:eastAsia="Calibri" w:hAnsi="Palatino Linotype" w:cs="Tahoma"/>
          <w:bCs/>
          <w:szCs w:val="22"/>
          <w:lang w:eastAsia="en-US"/>
        </w:rPr>
      </w:pPr>
      <w:r w:rsidRPr="00F0768B">
        <w:rPr>
          <w:rFonts w:ascii="Palatino Linotype" w:eastAsia="Calibri" w:hAnsi="Palatino Linotype" w:cs="Tahoma"/>
          <w:bCs/>
          <w:szCs w:val="22"/>
          <w:lang w:eastAsia="en-US"/>
        </w:rPr>
        <w:t>Transparentar la gestión pública, mediante la difusión de la información generada por los Sujetos Obligados, y</w:t>
      </w:r>
    </w:p>
    <w:p w:rsidR="002C33B2" w:rsidRPr="00F0768B" w:rsidRDefault="002C33B2" w:rsidP="00210960">
      <w:pPr>
        <w:pStyle w:val="Prrafodelista"/>
        <w:numPr>
          <w:ilvl w:val="0"/>
          <w:numId w:val="2"/>
        </w:numPr>
        <w:spacing w:line="360" w:lineRule="auto"/>
        <w:ind w:right="-93"/>
        <w:jc w:val="both"/>
        <w:rPr>
          <w:rFonts w:ascii="Palatino Linotype" w:eastAsia="Calibri" w:hAnsi="Palatino Linotype" w:cs="Tahoma"/>
          <w:bCs/>
          <w:szCs w:val="22"/>
          <w:lang w:eastAsia="en-US"/>
        </w:rPr>
      </w:pPr>
      <w:r w:rsidRPr="00F0768B">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rsidR="002C33B2" w:rsidRPr="00F0768B" w:rsidRDefault="002C33B2" w:rsidP="002C33B2">
      <w:pPr>
        <w:spacing w:line="360" w:lineRule="auto"/>
        <w:ind w:right="-93"/>
        <w:contextualSpacing/>
        <w:jc w:val="both"/>
        <w:rPr>
          <w:rFonts w:ascii="Palatino Linotype" w:eastAsia="Calibri" w:hAnsi="Palatino Linotype" w:cs="Tahoma"/>
          <w:bCs/>
          <w:sz w:val="22"/>
          <w:szCs w:val="22"/>
          <w:lang w:eastAsia="en-US"/>
        </w:rPr>
      </w:pPr>
    </w:p>
    <w:p w:rsidR="002C33B2" w:rsidRPr="00F0768B" w:rsidRDefault="002C33B2" w:rsidP="002C33B2">
      <w:pPr>
        <w:spacing w:line="360" w:lineRule="auto"/>
        <w:ind w:right="-93"/>
        <w:contextualSpacing/>
        <w:jc w:val="both"/>
        <w:rPr>
          <w:rFonts w:ascii="Palatino Linotype" w:eastAsia="Calibri" w:hAnsi="Palatino Linotype" w:cs="Tahoma"/>
          <w:bCs/>
          <w:sz w:val="22"/>
          <w:szCs w:val="22"/>
          <w:lang w:eastAsia="en-US"/>
        </w:rPr>
      </w:pPr>
      <w:r w:rsidRPr="00F0768B">
        <w:rPr>
          <w:rFonts w:ascii="Palatino Linotype" w:eastAsia="Calibri" w:hAnsi="Palatino Linotype" w:cs="Tahoma"/>
          <w:bCs/>
          <w:sz w:val="22"/>
          <w:szCs w:val="22"/>
          <w:lang w:eastAsia="en-US"/>
        </w:rPr>
        <w:t xml:space="preserve">Conforme a lo anterior, se deprende que </w:t>
      </w:r>
      <w:r w:rsidRPr="00F0768B">
        <w:rPr>
          <w:rFonts w:ascii="Palatino Linotype" w:eastAsia="Calibri" w:hAnsi="Palatino Linotype" w:cs="Tahoma"/>
          <w:b/>
          <w:bCs/>
          <w:sz w:val="22"/>
          <w:szCs w:val="22"/>
          <w:lang w:eastAsia="en-US"/>
        </w:rPr>
        <w:t>los objetivos de la Ley de la materia,</w:t>
      </w:r>
      <w:r w:rsidRPr="00F0768B">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002C33B2" w:rsidRPr="00F0768B" w:rsidRDefault="002C33B2" w:rsidP="002C33B2">
      <w:pPr>
        <w:spacing w:line="360" w:lineRule="auto"/>
        <w:ind w:right="-93"/>
        <w:contextualSpacing/>
        <w:jc w:val="both"/>
        <w:rPr>
          <w:rFonts w:ascii="Palatino Linotype" w:eastAsia="Calibri" w:hAnsi="Palatino Linotype" w:cs="Tahoma"/>
          <w:bCs/>
          <w:sz w:val="22"/>
          <w:szCs w:val="22"/>
          <w:lang w:eastAsia="en-US"/>
        </w:rPr>
      </w:pPr>
    </w:p>
    <w:p w:rsidR="002C33B2" w:rsidRPr="00F0768B" w:rsidRDefault="002C33B2" w:rsidP="002C33B2">
      <w:pPr>
        <w:spacing w:line="360" w:lineRule="auto"/>
        <w:ind w:right="-93"/>
        <w:contextualSpacing/>
        <w:jc w:val="both"/>
        <w:rPr>
          <w:rFonts w:ascii="Palatino Linotype" w:eastAsia="Calibri" w:hAnsi="Palatino Linotype" w:cs="Tahoma"/>
          <w:bCs/>
          <w:sz w:val="22"/>
          <w:szCs w:val="22"/>
          <w:lang w:eastAsia="en-US"/>
        </w:rPr>
      </w:pPr>
      <w:r w:rsidRPr="00F0768B">
        <w:rPr>
          <w:rFonts w:ascii="Palatino Linotype" w:eastAsia="Calibri" w:hAnsi="Palatino Linotype" w:cs="Tahoma"/>
          <w:bCs/>
          <w:sz w:val="22"/>
          <w:szCs w:val="22"/>
          <w:lang w:eastAsia="en-US"/>
        </w:rPr>
        <w:t xml:space="preserve">En ese orden de ideas, para la atención de las solicitudes de acceso a la información, debe privilegiarse el </w:t>
      </w:r>
      <w:r w:rsidRPr="00F0768B">
        <w:rPr>
          <w:rFonts w:ascii="Palatino Linotype" w:eastAsia="Calibri" w:hAnsi="Palatino Linotype" w:cs="Tahoma"/>
          <w:b/>
          <w:bCs/>
          <w:sz w:val="22"/>
          <w:szCs w:val="22"/>
          <w:lang w:eastAsia="en-US"/>
        </w:rPr>
        <w:t>principio de máxima publicidad</w:t>
      </w:r>
      <w:r w:rsidRPr="00F0768B">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002C33B2" w:rsidRPr="00F0768B" w:rsidRDefault="002C33B2" w:rsidP="002C33B2">
      <w:pPr>
        <w:spacing w:line="360" w:lineRule="auto"/>
        <w:ind w:right="-93"/>
        <w:contextualSpacing/>
        <w:jc w:val="both"/>
        <w:rPr>
          <w:rFonts w:ascii="Palatino Linotype" w:eastAsia="Calibri" w:hAnsi="Palatino Linotype" w:cs="Tahoma"/>
          <w:bCs/>
          <w:sz w:val="22"/>
          <w:szCs w:val="22"/>
          <w:lang w:eastAsia="en-US"/>
        </w:rPr>
      </w:pPr>
    </w:p>
    <w:p w:rsidR="002C33B2" w:rsidRPr="00F0768B" w:rsidRDefault="002C33B2" w:rsidP="002C33B2">
      <w:pPr>
        <w:spacing w:line="360" w:lineRule="auto"/>
        <w:ind w:right="-93"/>
        <w:contextualSpacing/>
        <w:jc w:val="both"/>
        <w:rPr>
          <w:rFonts w:ascii="Palatino Linotype" w:eastAsia="Calibri" w:hAnsi="Palatino Linotype" w:cs="Tahoma"/>
          <w:bCs/>
          <w:sz w:val="22"/>
          <w:szCs w:val="22"/>
          <w:lang w:eastAsia="en-US"/>
        </w:rPr>
      </w:pPr>
      <w:r w:rsidRPr="00F0768B">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002C33B2" w:rsidRPr="00F0768B" w:rsidRDefault="002C33B2" w:rsidP="002C33B2">
      <w:pPr>
        <w:spacing w:line="360" w:lineRule="auto"/>
        <w:ind w:right="-93"/>
        <w:contextualSpacing/>
        <w:jc w:val="both"/>
        <w:rPr>
          <w:rFonts w:ascii="Palatino Linotype" w:eastAsia="Calibri" w:hAnsi="Palatino Linotype" w:cs="Tahoma"/>
          <w:bCs/>
          <w:sz w:val="22"/>
          <w:szCs w:val="22"/>
          <w:lang w:eastAsia="en-US"/>
        </w:rPr>
      </w:pPr>
    </w:p>
    <w:p w:rsidR="002C33B2" w:rsidRPr="00F0768B" w:rsidRDefault="002C33B2" w:rsidP="00210960">
      <w:pPr>
        <w:pStyle w:val="Prrafodelista"/>
        <w:numPr>
          <w:ilvl w:val="0"/>
          <w:numId w:val="3"/>
        </w:numPr>
        <w:spacing w:line="360" w:lineRule="auto"/>
        <w:ind w:right="-93"/>
        <w:jc w:val="both"/>
        <w:rPr>
          <w:rFonts w:ascii="Palatino Linotype" w:eastAsia="Calibri" w:hAnsi="Palatino Linotype" w:cs="Tahoma"/>
          <w:bCs/>
          <w:szCs w:val="22"/>
          <w:lang w:eastAsia="en-US"/>
        </w:rPr>
      </w:pPr>
      <w:r w:rsidRPr="00F0768B">
        <w:rPr>
          <w:rFonts w:ascii="Palatino Linotype" w:eastAsia="Calibri" w:hAnsi="Palatino Linotype" w:cs="Tahoma"/>
          <w:bCs/>
          <w:szCs w:val="22"/>
          <w:lang w:eastAsia="en-U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002C33B2" w:rsidRPr="00F0768B" w:rsidRDefault="002C33B2" w:rsidP="00210960">
      <w:pPr>
        <w:pStyle w:val="Prrafodelista"/>
        <w:numPr>
          <w:ilvl w:val="0"/>
          <w:numId w:val="3"/>
        </w:numPr>
        <w:spacing w:line="360" w:lineRule="auto"/>
        <w:ind w:right="-93"/>
        <w:jc w:val="both"/>
        <w:rPr>
          <w:rFonts w:ascii="Palatino Linotype" w:eastAsia="Calibri" w:hAnsi="Palatino Linotype" w:cs="Tahoma"/>
          <w:bCs/>
          <w:szCs w:val="22"/>
          <w:lang w:eastAsia="en-US"/>
        </w:rPr>
      </w:pPr>
      <w:r w:rsidRPr="00F0768B">
        <w:rPr>
          <w:rFonts w:ascii="Palatino Linotype" w:eastAsia="Calibri" w:hAnsi="Palatino Linotype" w:cs="Tahoma"/>
          <w:bCs/>
          <w:szCs w:val="22"/>
          <w:lang w:eastAsia="en-US"/>
        </w:rPr>
        <w:t xml:space="preserve">La respuesta a los requerimientos informativos, deberán notificarse al interesado en el menor tiempo posible, que no podrá exceder de </w:t>
      </w:r>
      <w:r w:rsidRPr="00F0768B">
        <w:rPr>
          <w:rFonts w:ascii="Palatino Linotype" w:eastAsia="Calibri" w:hAnsi="Palatino Linotype" w:cs="Tahoma"/>
          <w:b/>
          <w:bCs/>
          <w:szCs w:val="22"/>
          <w:lang w:eastAsia="en-US"/>
        </w:rPr>
        <w:t>quince días hábiles, contados a partir del día siguiente a la presentación de esta.</w:t>
      </w:r>
      <w:r w:rsidRPr="00F0768B">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rsidR="002C33B2" w:rsidRPr="00F0768B" w:rsidRDefault="002C33B2" w:rsidP="002C33B2">
      <w:pPr>
        <w:pStyle w:val="Prrafodelista"/>
        <w:spacing w:line="360" w:lineRule="auto"/>
        <w:rPr>
          <w:rFonts w:ascii="Palatino Linotype" w:eastAsia="Calibri" w:hAnsi="Palatino Linotype" w:cs="Tahoma"/>
          <w:bCs/>
          <w:szCs w:val="22"/>
          <w:lang w:eastAsia="en-US"/>
        </w:rPr>
      </w:pPr>
    </w:p>
    <w:p w:rsidR="002C33B2" w:rsidRPr="00F0768B" w:rsidRDefault="002C33B2" w:rsidP="00210960">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F0768B">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F0768B">
        <w:rPr>
          <w:rFonts w:ascii="Palatino Linotype" w:eastAsia="Calibri" w:hAnsi="Palatino Linotype" w:cs="Tahoma"/>
          <w:b/>
          <w:bCs/>
          <w:szCs w:val="22"/>
          <w:lang w:eastAsia="en-US"/>
        </w:rPr>
        <w:t>que se encuentren en sus archivos o que estén constreñidos a elaborar;</w:t>
      </w:r>
    </w:p>
    <w:p w:rsidR="002C33B2" w:rsidRPr="00F0768B" w:rsidRDefault="002C33B2" w:rsidP="002C33B2">
      <w:pPr>
        <w:pStyle w:val="Prrafodelista"/>
        <w:spacing w:line="360" w:lineRule="auto"/>
        <w:rPr>
          <w:rFonts w:ascii="Palatino Linotype" w:eastAsia="Calibri" w:hAnsi="Palatino Linotype" w:cs="Tahoma"/>
          <w:b/>
          <w:bCs/>
          <w:szCs w:val="22"/>
          <w:lang w:eastAsia="en-US"/>
        </w:rPr>
      </w:pPr>
    </w:p>
    <w:p w:rsidR="002C33B2" w:rsidRPr="00F0768B" w:rsidRDefault="002C33B2" w:rsidP="00210960">
      <w:pPr>
        <w:pStyle w:val="Prrafodelista"/>
        <w:numPr>
          <w:ilvl w:val="0"/>
          <w:numId w:val="3"/>
        </w:numPr>
        <w:spacing w:line="360" w:lineRule="auto"/>
        <w:ind w:right="-93"/>
        <w:jc w:val="both"/>
        <w:rPr>
          <w:rFonts w:ascii="Palatino Linotype" w:eastAsia="Calibri" w:hAnsi="Palatino Linotype" w:cs="Tahoma"/>
          <w:b/>
          <w:bCs/>
          <w:szCs w:val="22"/>
          <w:lang w:eastAsia="en-US"/>
        </w:rPr>
      </w:pPr>
      <w:r w:rsidRPr="00F0768B">
        <w:rPr>
          <w:rFonts w:ascii="Palatino Linotype" w:eastAsia="Calibri" w:hAnsi="Palatino Linotype" w:cs="Tahoma"/>
          <w:bCs/>
          <w:szCs w:val="22"/>
          <w:lang w:eastAsia="en-US"/>
        </w:rPr>
        <w:t>El acceso se dará en la modalidad de entrega y en su caso, de envío elegido por la solicitante, cuando no pueda entregarse en dicha modalidad, el Sujeto Obligado deberá ofrecer otras; por lo cual, deberá fundar y motivar la necesidad de modificar el medio de entrega, y</w:t>
      </w:r>
    </w:p>
    <w:p w:rsidR="002C33B2" w:rsidRPr="00F0768B" w:rsidRDefault="002C33B2" w:rsidP="002C33B2">
      <w:pPr>
        <w:pStyle w:val="Prrafodelista"/>
        <w:spacing w:line="360" w:lineRule="auto"/>
        <w:rPr>
          <w:rFonts w:ascii="Palatino Linotype" w:eastAsia="Calibri" w:hAnsi="Palatino Linotype" w:cs="Tahoma"/>
          <w:b/>
          <w:bCs/>
          <w:szCs w:val="22"/>
          <w:lang w:eastAsia="en-US"/>
        </w:rPr>
      </w:pPr>
    </w:p>
    <w:p w:rsidR="002C33B2" w:rsidRPr="00F0768B" w:rsidRDefault="002C33B2" w:rsidP="00210960">
      <w:pPr>
        <w:pStyle w:val="Prrafodelista"/>
        <w:numPr>
          <w:ilvl w:val="0"/>
          <w:numId w:val="3"/>
        </w:numPr>
        <w:spacing w:line="360" w:lineRule="auto"/>
        <w:ind w:right="-28"/>
        <w:jc w:val="both"/>
        <w:rPr>
          <w:rFonts w:ascii="Palatino Linotype" w:eastAsia="Calibri" w:hAnsi="Palatino Linotype" w:cs="Tahoma"/>
          <w:b/>
          <w:bCs/>
          <w:szCs w:val="22"/>
          <w:lang w:eastAsia="en-US"/>
        </w:rPr>
      </w:pPr>
      <w:r w:rsidRPr="00F0768B">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094ADF" w:rsidRDefault="00094ADF" w:rsidP="00ED179A">
      <w:pPr>
        <w:spacing w:line="360" w:lineRule="auto"/>
        <w:contextualSpacing/>
        <w:jc w:val="both"/>
        <w:rPr>
          <w:rFonts w:ascii="Palatino Linotype" w:eastAsia="Calibri" w:hAnsi="Palatino Linotype" w:cs="Tahoma"/>
          <w:bCs/>
          <w:sz w:val="22"/>
          <w:szCs w:val="22"/>
          <w:lang w:eastAsia="en-US"/>
        </w:rPr>
      </w:pPr>
    </w:p>
    <w:p w:rsidR="00ED179A" w:rsidRPr="0089475E" w:rsidRDefault="00ED179A" w:rsidP="00ED179A">
      <w:pPr>
        <w:spacing w:line="360" w:lineRule="auto"/>
        <w:contextualSpacing/>
        <w:jc w:val="both"/>
        <w:rPr>
          <w:rFonts w:ascii="Palatino Linotype" w:eastAsia="Calibri" w:hAnsi="Palatino Linotype" w:cs="Tahoma"/>
          <w:bCs/>
          <w:sz w:val="22"/>
          <w:szCs w:val="22"/>
          <w:lang w:eastAsia="en-US"/>
        </w:rPr>
      </w:pPr>
      <w:r w:rsidRPr="0089475E">
        <w:rPr>
          <w:rFonts w:ascii="Palatino Linotype" w:eastAsia="Calibri" w:hAnsi="Palatino Linotype" w:cs="Tahoma"/>
          <w:bCs/>
          <w:sz w:val="22"/>
          <w:szCs w:val="22"/>
          <w:lang w:eastAsia="en-US"/>
        </w:rPr>
        <w:t xml:space="preserve">Bajo esta perspectiva, es preciso indicar que el agravio del cual se inconforma el hoy Recurrente </w:t>
      </w:r>
      <w:r w:rsidRPr="0089475E">
        <w:rPr>
          <w:rFonts w:ascii="Palatino Linotype" w:eastAsia="Calibri" w:hAnsi="Palatino Linotype" w:cs="Tahoma"/>
          <w:b/>
          <w:bCs/>
          <w:sz w:val="22"/>
          <w:szCs w:val="22"/>
          <w:lang w:eastAsia="en-US"/>
        </w:rPr>
        <w:t xml:space="preserve">consiste en la falta de respuesta a su solicitud por parte del </w:t>
      </w:r>
      <w:r w:rsidRPr="0089475E">
        <w:rPr>
          <w:rFonts w:ascii="Palatino Linotype" w:eastAsia="Calibri" w:hAnsi="Palatino Linotype" w:cs="Tahoma"/>
          <w:b/>
          <w:bCs/>
          <w:color w:val="0D0D0D" w:themeColor="text1" w:themeTint="F2"/>
          <w:sz w:val="22"/>
          <w:szCs w:val="22"/>
          <w:lang w:eastAsia="en-US"/>
        </w:rPr>
        <w:t xml:space="preserve">Ayuntamiento de </w:t>
      </w:r>
      <w:r>
        <w:rPr>
          <w:rFonts w:ascii="Palatino Linotype" w:eastAsia="Calibri" w:hAnsi="Palatino Linotype" w:cs="Tahoma"/>
          <w:b/>
          <w:bCs/>
          <w:color w:val="0D0D0D" w:themeColor="text1" w:themeTint="F2"/>
          <w:sz w:val="22"/>
          <w:szCs w:val="22"/>
          <w:lang w:eastAsia="en-US"/>
        </w:rPr>
        <w:t>Papalotla</w:t>
      </w:r>
      <w:r w:rsidRPr="0089475E">
        <w:rPr>
          <w:rFonts w:ascii="Palatino Linotype" w:eastAsia="Calibri" w:hAnsi="Palatino Linotype" w:cs="Tahoma"/>
          <w:bCs/>
          <w:sz w:val="22"/>
          <w:szCs w:val="22"/>
          <w:lang w:eastAsia="en-US"/>
        </w:rPr>
        <w:t>, se estudia en los siguientes términos:</w:t>
      </w:r>
    </w:p>
    <w:p w:rsidR="00ED179A" w:rsidRPr="0089475E" w:rsidRDefault="00ED179A" w:rsidP="00ED179A">
      <w:pPr>
        <w:spacing w:line="360" w:lineRule="auto"/>
        <w:contextualSpacing/>
        <w:jc w:val="both"/>
        <w:rPr>
          <w:rFonts w:ascii="Palatino Linotype" w:eastAsia="Calibri" w:hAnsi="Palatino Linotype" w:cs="Tahoma"/>
          <w:bCs/>
          <w:sz w:val="22"/>
          <w:szCs w:val="22"/>
          <w:lang w:eastAsia="en-US"/>
        </w:rPr>
      </w:pPr>
    </w:p>
    <w:p w:rsidR="00ED179A" w:rsidRPr="0089475E" w:rsidRDefault="00ED179A" w:rsidP="00ED179A">
      <w:pPr>
        <w:spacing w:line="360" w:lineRule="auto"/>
        <w:contextualSpacing/>
        <w:jc w:val="both"/>
        <w:rPr>
          <w:rFonts w:ascii="Palatino Linotype" w:eastAsia="Calibri" w:hAnsi="Palatino Linotype" w:cs="Tahoma"/>
          <w:bCs/>
          <w:sz w:val="22"/>
          <w:szCs w:val="22"/>
          <w:lang w:eastAsia="en-US"/>
        </w:rPr>
      </w:pPr>
      <w:r w:rsidRPr="0089475E">
        <w:rPr>
          <w:rFonts w:ascii="Palatino Linotype" w:eastAsia="Calibri" w:hAnsi="Palatino Linotype" w:cs="Tahoma"/>
          <w:bCs/>
          <w:sz w:val="22"/>
          <w:szCs w:val="22"/>
          <w:lang w:eastAsia="en-US"/>
        </w:rPr>
        <w:t xml:space="preserve">El Instituto verificó, dentro de las actuaciones que conforman el expediente electrónico a través del Sistema de Acceso a la Información Mexiquense (SAIMEX), el </w:t>
      </w:r>
      <w:r w:rsidRPr="0089475E">
        <w:rPr>
          <w:rFonts w:ascii="Palatino Linotype" w:eastAsia="Calibri" w:hAnsi="Palatino Linotype" w:cs="Tahoma"/>
          <w:b/>
          <w:bCs/>
          <w:sz w:val="22"/>
          <w:szCs w:val="22"/>
          <w:lang w:eastAsia="en-US"/>
        </w:rPr>
        <w:t>Sujeto Obligado fue omiso en registrar respuesta o prórroga a la solicitud interpuesta por el hoy Recurrente</w:t>
      </w:r>
      <w:r w:rsidRPr="0089475E">
        <w:rPr>
          <w:rFonts w:ascii="Palatino Linotype" w:eastAsia="Calibri" w:hAnsi="Palatino Linotype" w:cs="Tahoma"/>
          <w:bCs/>
          <w:sz w:val="22"/>
          <w:szCs w:val="22"/>
          <w:lang w:eastAsia="en-US"/>
        </w:rPr>
        <w:t xml:space="preserve"> </w:t>
      </w:r>
      <w:r w:rsidRPr="0089475E">
        <w:rPr>
          <w:rFonts w:ascii="Palatino Linotype" w:hAnsi="Palatino Linotype" w:cs="Tahoma"/>
          <w:sz w:val="22"/>
          <w:szCs w:val="22"/>
          <w:lang w:val="es-ES"/>
        </w:rPr>
        <w:t>durante el plazo de ley y hasta la fecha de emisión de la presente Resolución.</w:t>
      </w:r>
    </w:p>
    <w:p w:rsidR="00ED179A" w:rsidRPr="0089475E" w:rsidRDefault="00ED179A" w:rsidP="00ED179A">
      <w:pPr>
        <w:spacing w:line="360" w:lineRule="auto"/>
        <w:contextualSpacing/>
        <w:jc w:val="both"/>
        <w:rPr>
          <w:rFonts w:ascii="Palatino Linotype" w:eastAsia="Calibri" w:hAnsi="Palatino Linotype" w:cs="Tahoma"/>
          <w:bCs/>
          <w:sz w:val="22"/>
          <w:szCs w:val="22"/>
          <w:lang w:eastAsia="en-US"/>
        </w:rPr>
      </w:pPr>
    </w:p>
    <w:p w:rsidR="00ED179A" w:rsidRPr="0089475E" w:rsidRDefault="00ED179A" w:rsidP="00ED179A">
      <w:pPr>
        <w:spacing w:line="360" w:lineRule="auto"/>
        <w:contextualSpacing/>
        <w:jc w:val="both"/>
        <w:rPr>
          <w:rFonts w:ascii="Palatino Linotype" w:eastAsia="Calibri" w:hAnsi="Palatino Linotype" w:cs="Tahoma"/>
          <w:bCs/>
          <w:sz w:val="22"/>
          <w:szCs w:val="22"/>
          <w:lang w:eastAsia="en-US"/>
        </w:rPr>
      </w:pPr>
      <w:r w:rsidRPr="0089475E">
        <w:rPr>
          <w:rFonts w:ascii="Palatino Linotype" w:eastAsia="Calibri" w:hAnsi="Palatino Linotype" w:cs="Tahoma"/>
          <w:bCs/>
          <w:sz w:val="22"/>
          <w:szCs w:val="22"/>
          <w:lang w:eastAsia="en-US"/>
        </w:rPr>
        <w:t xml:space="preserve">De la misma forma se aprecia que el Sujeto Obligado fue omiso en turnar el requerimiento al área competente, para que pudiera dar atención a la solicitud de información motivo del presente Recurso de Revisión, lo anterior de conformidad con las disipaciones que rigen materia. </w:t>
      </w:r>
    </w:p>
    <w:p w:rsidR="00ED179A" w:rsidRPr="0089475E" w:rsidRDefault="00ED179A" w:rsidP="00ED179A">
      <w:pPr>
        <w:spacing w:line="360" w:lineRule="auto"/>
        <w:contextualSpacing/>
        <w:jc w:val="both"/>
        <w:rPr>
          <w:rFonts w:ascii="Palatino Linotype" w:eastAsia="Calibri" w:hAnsi="Palatino Linotype" w:cs="Tahoma"/>
          <w:bCs/>
          <w:sz w:val="22"/>
          <w:szCs w:val="22"/>
          <w:lang w:eastAsia="en-US"/>
        </w:rPr>
      </w:pPr>
    </w:p>
    <w:p w:rsidR="00ED179A" w:rsidRPr="0089475E" w:rsidRDefault="00ED179A" w:rsidP="00ED179A">
      <w:pPr>
        <w:spacing w:line="360" w:lineRule="auto"/>
        <w:contextualSpacing/>
        <w:jc w:val="both"/>
        <w:rPr>
          <w:rFonts w:ascii="Palatino Linotype" w:eastAsia="Calibri" w:hAnsi="Palatino Linotype" w:cs="Tahoma"/>
          <w:bCs/>
          <w:sz w:val="22"/>
          <w:szCs w:val="22"/>
          <w:lang w:eastAsia="en-US"/>
        </w:rPr>
      </w:pPr>
      <w:r w:rsidRPr="0089475E">
        <w:rPr>
          <w:rFonts w:ascii="Palatino Linotype" w:eastAsia="Calibri" w:hAnsi="Palatino Linotype" w:cs="Tahoma"/>
          <w:bCs/>
          <w:sz w:val="22"/>
          <w:szCs w:val="22"/>
          <w:lang w:eastAsia="en-US"/>
        </w:rPr>
        <w:t xml:space="preserve">En ese orden de ideas y de acuerdo con los artículos 163 y 3° fracción X de la Ley de Transparencia y Acceso a la Información Pública del Estado de México y Municipios, el plazo con el que contaba el Sujeto Obligado para emitir contestación a la solicitud de acceso a la información comenzó el </w:t>
      </w:r>
      <w:r>
        <w:rPr>
          <w:rFonts w:ascii="Palatino Linotype" w:eastAsia="Calibri" w:hAnsi="Palatino Linotype" w:cs="Tahoma"/>
          <w:b/>
          <w:bCs/>
          <w:sz w:val="22"/>
          <w:szCs w:val="22"/>
          <w:lang w:eastAsia="en-US"/>
        </w:rPr>
        <w:t xml:space="preserve">veintiocho </w:t>
      </w:r>
      <w:r w:rsidRPr="0089475E">
        <w:rPr>
          <w:rFonts w:ascii="Palatino Linotype" w:eastAsia="Calibri" w:hAnsi="Palatino Linotype" w:cs="Tahoma"/>
          <w:b/>
          <w:bCs/>
          <w:sz w:val="22"/>
          <w:szCs w:val="22"/>
          <w:lang w:eastAsia="en-US"/>
        </w:rPr>
        <w:t>de mayo del dos mil diecinueve</w:t>
      </w:r>
      <w:r w:rsidRPr="0089475E">
        <w:rPr>
          <w:rFonts w:ascii="Palatino Linotype" w:eastAsia="Calibri" w:hAnsi="Palatino Linotype" w:cs="Tahoma"/>
          <w:bCs/>
          <w:sz w:val="22"/>
          <w:szCs w:val="22"/>
          <w:lang w:eastAsia="en-US"/>
        </w:rPr>
        <w:t xml:space="preserve"> y feneció el </w:t>
      </w:r>
      <w:r>
        <w:rPr>
          <w:rFonts w:ascii="Palatino Linotype" w:eastAsia="Calibri" w:hAnsi="Palatino Linotype" w:cs="Tahoma"/>
          <w:b/>
          <w:bCs/>
          <w:sz w:val="22"/>
          <w:szCs w:val="22"/>
          <w:lang w:eastAsia="en-US"/>
        </w:rPr>
        <w:t xml:space="preserve">diecisiete </w:t>
      </w:r>
      <w:r w:rsidRPr="0089475E">
        <w:rPr>
          <w:rFonts w:ascii="Palatino Linotype" w:eastAsia="Calibri" w:hAnsi="Palatino Linotype" w:cs="Tahoma"/>
          <w:b/>
          <w:bCs/>
          <w:sz w:val="22"/>
          <w:szCs w:val="22"/>
          <w:lang w:eastAsia="en-US"/>
        </w:rPr>
        <w:t xml:space="preserve">de </w:t>
      </w:r>
      <w:r>
        <w:rPr>
          <w:rFonts w:ascii="Palatino Linotype" w:eastAsia="Calibri" w:hAnsi="Palatino Linotype" w:cs="Tahoma"/>
          <w:b/>
          <w:bCs/>
          <w:sz w:val="22"/>
          <w:szCs w:val="22"/>
          <w:lang w:eastAsia="en-US"/>
        </w:rPr>
        <w:t>junio</w:t>
      </w:r>
      <w:r w:rsidRPr="0089475E">
        <w:rPr>
          <w:rFonts w:ascii="Palatino Linotype" w:eastAsia="Calibri" w:hAnsi="Palatino Linotype" w:cs="Tahoma"/>
          <w:b/>
          <w:bCs/>
          <w:sz w:val="22"/>
          <w:szCs w:val="22"/>
          <w:lang w:eastAsia="en-US"/>
        </w:rPr>
        <w:t xml:space="preserve"> del mismo año; </w:t>
      </w:r>
      <w:r w:rsidRPr="0089475E">
        <w:rPr>
          <w:rFonts w:ascii="Palatino Linotype" w:eastAsia="Calibri" w:hAnsi="Palatino Linotype" w:cs="Tahoma"/>
          <w:bCs/>
          <w:sz w:val="22"/>
          <w:szCs w:val="22"/>
          <w:lang w:eastAsia="en-US"/>
        </w:rPr>
        <w:t xml:space="preserve">lo anterior, sin contar los días </w:t>
      </w:r>
      <w:r>
        <w:rPr>
          <w:rFonts w:ascii="Palatino Linotype" w:eastAsia="Calibri" w:hAnsi="Palatino Linotype" w:cs="Tahoma"/>
          <w:bCs/>
          <w:sz w:val="22"/>
          <w:szCs w:val="22"/>
          <w:lang w:eastAsia="en-US"/>
        </w:rPr>
        <w:t>primero, segundo, ocho, nueve, quince y dieciséis de junio</w:t>
      </w:r>
      <w:r w:rsidRPr="0089475E">
        <w:rPr>
          <w:rFonts w:ascii="Palatino Linotype" w:eastAsia="Calibri" w:hAnsi="Palatino Linotype" w:cs="Tahoma"/>
          <w:bCs/>
          <w:sz w:val="22"/>
          <w:szCs w:val="22"/>
          <w:lang w:eastAsia="en-US"/>
        </w:rPr>
        <w:t xml:space="preserve"> del año en curso, al ser inhábiles de conformidad con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rsidR="00ED179A" w:rsidRPr="0089475E" w:rsidRDefault="00ED179A" w:rsidP="00ED179A">
      <w:pPr>
        <w:spacing w:line="360" w:lineRule="auto"/>
        <w:contextualSpacing/>
        <w:jc w:val="both"/>
        <w:rPr>
          <w:rFonts w:ascii="Palatino Linotype" w:eastAsia="Calibri" w:hAnsi="Palatino Linotype" w:cs="Tahoma"/>
          <w:bCs/>
          <w:sz w:val="22"/>
          <w:szCs w:val="22"/>
          <w:lang w:eastAsia="en-US"/>
        </w:rPr>
      </w:pPr>
    </w:p>
    <w:p w:rsidR="00ED179A" w:rsidRPr="0089475E" w:rsidRDefault="00ED179A" w:rsidP="00ED179A">
      <w:pPr>
        <w:spacing w:line="360" w:lineRule="auto"/>
        <w:contextualSpacing/>
        <w:jc w:val="both"/>
        <w:rPr>
          <w:rFonts w:ascii="Palatino Linotype" w:eastAsia="Calibri" w:hAnsi="Palatino Linotype" w:cs="Tahoma"/>
          <w:b/>
          <w:bCs/>
          <w:sz w:val="22"/>
          <w:szCs w:val="22"/>
          <w:lang w:eastAsia="en-US"/>
        </w:rPr>
      </w:pPr>
      <w:r w:rsidRPr="0089475E">
        <w:rPr>
          <w:rFonts w:ascii="Palatino Linotype" w:eastAsia="Calibri" w:hAnsi="Palatino Linotype" w:cs="Tahoma"/>
          <w:bCs/>
          <w:sz w:val="22"/>
          <w:szCs w:val="22"/>
          <w:lang w:eastAsia="en-US"/>
        </w:rPr>
        <w:t xml:space="preserve">Así, se advierte que, tal como lo indicó el Particular, el </w:t>
      </w:r>
      <w:r w:rsidRPr="0089475E">
        <w:rPr>
          <w:rFonts w:ascii="Palatino Linotype" w:eastAsia="Calibri" w:hAnsi="Palatino Linotype" w:cs="Tahoma"/>
          <w:sz w:val="22"/>
          <w:szCs w:val="22"/>
          <w:lang w:eastAsia="en-US"/>
        </w:rPr>
        <w:t xml:space="preserve">Sujeto Obligado </w:t>
      </w:r>
      <w:r w:rsidRPr="0089475E">
        <w:rPr>
          <w:rFonts w:ascii="Palatino Linotype" w:eastAsia="Calibri" w:hAnsi="Palatino Linotype" w:cs="Tahoma"/>
          <w:bCs/>
          <w:sz w:val="22"/>
          <w:szCs w:val="22"/>
          <w:lang w:eastAsia="en-US"/>
        </w:rPr>
        <w:t xml:space="preserve">no atendió su solicitud, ni solicitó una prórroga para dar contestación a la misma, dentro de los plazos establecidos en el artículo 163 de la Ley de la materia, pues tenía hasta el </w:t>
      </w:r>
      <w:r w:rsidRPr="00ED179A">
        <w:rPr>
          <w:rFonts w:ascii="Palatino Linotype" w:eastAsia="Calibri" w:hAnsi="Palatino Linotype" w:cs="Tahoma"/>
          <w:b/>
          <w:bCs/>
          <w:sz w:val="22"/>
          <w:szCs w:val="22"/>
          <w:lang w:eastAsia="en-US"/>
        </w:rPr>
        <w:t xml:space="preserve">diecisiete de junio </w:t>
      </w:r>
      <w:r w:rsidRPr="0089475E">
        <w:rPr>
          <w:rFonts w:ascii="Palatino Linotype" w:eastAsia="Calibri" w:hAnsi="Palatino Linotype" w:cs="Tahoma"/>
          <w:b/>
          <w:bCs/>
          <w:sz w:val="22"/>
          <w:szCs w:val="22"/>
          <w:lang w:eastAsia="en-US"/>
        </w:rPr>
        <w:t>de dos mil diecinueve</w:t>
      </w:r>
      <w:r w:rsidRPr="0089475E">
        <w:rPr>
          <w:rFonts w:ascii="Palatino Linotype" w:eastAsia="Calibri" w:hAnsi="Palatino Linotype" w:cs="Tahoma"/>
          <w:bCs/>
          <w:sz w:val="22"/>
          <w:szCs w:val="22"/>
          <w:lang w:eastAsia="en-US"/>
        </w:rPr>
        <w:t xml:space="preserve"> para notificar alguna de las dos situaciones; de igual manera; por lo que, es evidente que </w:t>
      </w:r>
      <w:r w:rsidRPr="0089475E">
        <w:rPr>
          <w:rFonts w:ascii="Palatino Linotype" w:eastAsia="Calibri" w:hAnsi="Palatino Linotype" w:cs="Tahoma"/>
          <w:b/>
          <w:bCs/>
          <w:sz w:val="22"/>
          <w:szCs w:val="22"/>
          <w:lang w:eastAsia="en-US"/>
        </w:rPr>
        <w:t>el agravio hecho valer por el Recurrente resulta fundado.</w:t>
      </w:r>
    </w:p>
    <w:p w:rsidR="002C33B2" w:rsidRPr="00F0768B" w:rsidRDefault="002C33B2" w:rsidP="002C33B2">
      <w:pPr>
        <w:spacing w:line="360" w:lineRule="auto"/>
        <w:contextualSpacing/>
        <w:jc w:val="both"/>
        <w:rPr>
          <w:rFonts w:ascii="Palatino Linotype" w:eastAsia="Calibri" w:hAnsi="Palatino Linotype" w:cs="Tahoma"/>
          <w:bCs/>
          <w:sz w:val="22"/>
          <w:szCs w:val="22"/>
          <w:lang w:eastAsia="en-US"/>
        </w:rPr>
      </w:pPr>
    </w:p>
    <w:p w:rsidR="002C33B2" w:rsidRDefault="00F56E12" w:rsidP="002C33B2">
      <w:pPr>
        <w:spacing w:line="360" w:lineRule="auto"/>
        <w:contextualSpacing/>
        <w:rPr>
          <w:rFonts w:ascii="Palatino Linotype" w:hAnsi="Palatino Linotype" w:cs="Tahoma"/>
          <w:sz w:val="22"/>
          <w:szCs w:val="22"/>
          <w:lang w:eastAsia="es-ES_tradnl"/>
        </w:rPr>
      </w:pPr>
      <w:r>
        <w:rPr>
          <w:rFonts w:ascii="Palatino Linotype" w:hAnsi="Palatino Linotype"/>
          <w:sz w:val="22"/>
          <w:szCs w:val="22"/>
          <w:lang w:eastAsia="es-ES_tradnl"/>
        </w:rPr>
        <w:t>Una vez que se ha precisado lo anterior, resulta necesario reiterar que e</w:t>
      </w:r>
      <w:r w:rsidR="003D465E">
        <w:rPr>
          <w:rFonts w:ascii="Palatino Linotype" w:hAnsi="Palatino Linotype"/>
          <w:sz w:val="22"/>
          <w:szCs w:val="22"/>
          <w:lang w:eastAsia="es-ES_tradnl"/>
        </w:rPr>
        <w:t xml:space="preserve">l Particular solicitó al Sujeto Obligado que le entregara copia simple en versión pública a través del </w:t>
      </w:r>
      <w:r w:rsidR="003D465E" w:rsidRPr="003D465E">
        <w:rPr>
          <w:rFonts w:ascii="Palatino Linotype" w:hAnsi="Palatino Linotype" w:cs="Tahoma"/>
          <w:sz w:val="22"/>
          <w:szCs w:val="22"/>
          <w:lang w:eastAsia="es-ES_tradnl"/>
        </w:rPr>
        <w:t xml:space="preserve">Sistema de Acceso a la Información </w:t>
      </w:r>
      <w:r w:rsidR="003D465E">
        <w:rPr>
          <w:rFonts w:ascii="Palatino Linotype" w:hAnsi="Palatino Linotype" w:cs="Tahoma"/>
          <w:sz w:val="22"/>
          <w:szCs w:val="22"/>
          <w:lang w:eastAsia="es-ES_tradnl"/>
        </w:rPr>
        <w:t>Mexiquense (SAIMEX), la siguiente información:</w:t>
      </w:r>
    </w:p>
    <w:p w:rsidR="00F56E12" w:rsidRDefault="00F56E12" w:rsidP="002C33B2">
      <w:pPr>
        <w:spacing w:line="360" w:lineRule="auto"/>
        <w:contextualSpacing/>
        <w:rPr>
          <w:rFonts w:ascii="Palatino Linotype" w:hAnsi="Palatino Linotype" w:cs="Tahoma"/>
          <w:sz w:val="22"/>
          <w:szCs w:val="22"/>
          <w:lang w:eastAsia="es-ES_tradnl"/>
        </w:rPr>
      </w:pPr>
    </w:p>
    <w:p w:rsidR="003D465E" w:rsidRDefault="003D465E" w:rsidP="00210960">
      <w:pPr>
        <w:pStyle w:val="Prrafodelista"/>
        <w:numPr>
          <w:ilvl w:val="0"/>
          <w:numId w:val="11"/>
        </w:numPr>
        <w:spacing w:line="360" w:lineRule="auto"/>
        <w:jc w:val="both"/>
        <w:rPr>
          <w:rFonts w:ascii="Palatino Linotype" w:hAnsi="Palatino Linotype"/>
          <w:szCs w:val="22"/>
        </w:rPr>
      </w:pPr>
      <w:r>
        <w:rPr>
          <w:rFonts w:ascii="Palatino Linotype" w:hAnsi="Palatino Linotype"/>
          <w:szCs w:val="22"/>
        </w:rPr>
        <w:t>De las unidades económicas de mediano y alto impacto del Ayuntamiento de Papalotla, que cuentan con giro de venta de bebidas alcohólicas al copeo, lo siguientes:</w:t>
      </w:r>
    </w:p>
    <w:p w:rsidR="003D465E" w:rsidRDefault="003D465E" w:rsidP="00210960">
      <w:pPr>
        <w:pStyle w:val="Prrafodelista"/>
        <w:numPr>
          <w:ilvl w:val="1"/>
          <w:numId w:val="11"/>
        </w:numPr>
        <w:spacing w:line="360" w:lineRule="auto"/>
        <w:jc w:val="both"/>
        <w:rPr>
          <w:rFonts w:ascii="Palatino Linotype" w:hAnsi="Palatino Linotype"/>
          <w:szCs w:val="22"/>
        </w:rPr>
      </w:pPr>
      <w:r>
        <w:rPr>
          <w:rFonts w:ascii="Palatino Linotype" w:hAnsi="Palatino Linotype"/>
          <w:szCs w:val="22"/>
        </w:rPr>
        <w:t>Licencias de funcionamiento.</w:t>
      </w:r>
    </w:p>
    <w:p w:rsidR="003D465E" w:rsidRDefault="003D465E" w:rsidP="00210960">
      <w:pPr>
        <w:pStyle w:val="Prrafodelista"/>
        <w:numPr>
          <w:ilvl w:val="1"/>
          <w:numId w:val="11"/>
        </w:numPr>
        <w:spacing w:line="360" w:lineRule="auto"/>
        <w:jc w:val="both"/>
        <w:rPr>
          <w:rFonts w:ascii="Palatino Linotype" w:hAnsi="Palatino Linotype"/>
          <w:szCs w:val="22"/>
        </w:rPr>
      </w:pPr>
      <w:r>
        <w:rPr>
          <w:rFonts w:ascii="Palatino Linotype" w:hAnsi="Palatino Linotype"/>
          <w:szCs w:val="22"/>
        </w:rPr>
        <w:t>Visto bueno de protección civil.</w:t>
      </w:r>
    </w:p>
    <w:p w:rsidR="003D465E" w:rsidRPr="003D465E" w:rsidRDefault="003D465E" w:rsidP="00210960">
      <w:pPr>
        <w:pStyle w:val="Prrafodelista"/>
        <w:numPr>
          <w:ilvl w:val="1"/>
          <w:numId w:val="11"/>
        </w:numPr>
        <w:spacing w:line="360" w:lineRule="auto"/>
        <w:jc w:val="both"/>
        <w:rPr>
          <w:rFonts w:ascii="Palatino Linotype" w:hAnsi="Palatino Linotype"/>
          <w:szCs w:val="22"/>
        </w:rPr>
      </w:pPr>
      <w:r w:rsidRPr="003D465E">
        <w:rPr>
          <w:rFonts w:ascii="Palatino Linotype" w:hAnsi="Palatino Linotype"/>
          <w:szCs w:val="22"/>
        </w:rPr>
        <w:t>Documento único de factibilidad.</w:t>
      </w:r>
    </w:p>
    <w:p w:rsidR="003D465E" w:rsidRDefault="003D465E" w:rsidP="003D465E">
      <w:pPr>
        <w:spacing w:line="360" w:lineRule="auto"/>
        <w:contextualSpacing/>
        <w:jc w:val="both"/>
        <w:rPr>
          <w:rFonts w:ascii="Palatino Linotype" w:hAnsi="Palatino Linotype"/>
          <w:sz w:val="22"/>
          <w:szCs w:val="22"/>
          <w:lang w:eastAsia="es-ES_tradnl"/>
        </w:rPr>
      </w:pPr>
    </w:p>
    <w:p w:rsidR="003D465E" w:rsidRDefault="003D465E" w:rsidP="003D465E">
      <w:pPr>
        <w:spacing w:line="360" w:lineRule="auto"/>
        <w:contextualSpacing/>
        <w:jc w:val="both"/>
        <w:rPr>
          <w:rFonts w:ascii="Palatino Linotype" w:hAnsi="Palatino Linotype"/>
          <w:sz w:val="22"/>
          <w:szCs w:val="22"/>
          <w:lang w:eastAsia="es-ES_tradnl"/>
        </w:rPr>
      </w:pPr>
      <w:r w:rsidRPr="003D465E">
        <w:rPr>
          <w:rFonts w:ascii="Palatino Linotype" w:hAnsi="Palatino Linotype"/>
          <w:sz w:val="22"/>
          <w:szCs w:val="22"/>
          <w:lang w:eastAsia="es-ES_tradnl"/>
        </w:rPr>
        <w:t>Así, por principio debemos establecer que las unidades económicas de mediano y alto impacto, son contempladas por el Bando Municipal del Sujeto Obligado, visible en:</w:t>
      </w:r>
      <w:r w:rsidRPr="003D465E">
        <w:rPr>
          <w:sz w:val="22"/>
          <w:szCs w:val="22"/>
        </w:rPr>
        <w:t xml:space="preserve"> </w:t>
      </w:r>
      <w:hyperlink r:id="rId8" w:history="1">
        <w:r w:rsidRPr="003D465E">
          <w:rPr>
            <w:rStyle w:val="Hipervnculo"/>
            <w:rFonts w:eastAsiaTheme="majorEastAsia"/>
            <w:sz w:val="22"/>
            <w:szCs w:val="22"/>
          </w:rPr>
          <w:t>http://legislacion.edomex.gob.mx/sites/legislacion.edomex.gob.mx/files/files/pdf/bdo/bdo2019/bdo071.pdf</w:t>
        </w:r>
      </w:hyperlink>
      <w:r>
        <w:rPr>
          <w:rFonts w:ascii="Palatino Linotype" w:hAnsi="Palatino Linotype"/>
          <w:sz w:val="22"/>
          <w:szCs w:val="22"/>
          <w:lang w:eastAsia="es-ES_tradnl"/>
        </w:rPr>
        <w:t>, que en su artículo 126 prevé lo siguiente:</w:t>
      </w:r>
    </w:p>
    <w:p w:rsidR="003D465E" w:rsidRPr="003D465E" w:rsidRDefault="003D465E" w:rsidP="003D465E">
      <w:pPr>
        <w:spacing w:line="360" w:lineRule="auto"/>
        <w:contextualSpacing/>
        <w:jc w:val="both"/>
        <w:rPr>
          <w:rFonts w:ascii="Palatino Linotype" w:hAnsi="Palatino Linotype"/>
          <w:sz w:val="22"/>
          <w:szCs w:val="22"/>
          <w:lang w:eastAsia="es-ES_tradnl"/>
        </w:rPr>
      </w:pPr>
    </w:p>
    <w:p w:rsidR="003D465E" w:rsidRDefault="003D465E" w:rsidP="003D465E">
      <w:pPr>
        <w:spacing w:line="360" w:lineRule="auto"/>
        <w:ind w:left="567" w:right="539"/>
        <w:contextualSpacing/>
        <w:jc w:val="both"/>
        <w:rPr>
          <w:rFonts w:ascii="Palatino Linotype" w:hAnsi="Palatino Linotype"/>
          <w:i/>
        </w:rPr>
      </w:pPr>
      <w:r>
        <w:rPr>
          <w:rFonts w:ascii="Palatino Linotype" w:hAnsi="Palatino Linotype"/>
          <w:i/>
        </w:rPr>
        <w:t>“</w:t>
      </w:r>
      <w:r w:rsidRPr="003D465E">
        <w:rPr>
          <w:rFonts w:ascii="Palatino Linotype" w:hAnsi="Palatino Linotype"/>
          <w:b/>
          <w:i/>
        </w:rPr>
        <w:t>Artículo 126</w:t>
      </w:r>
      <w:r w:rsidRPr="003D465E">
        <w:rPr>
          <w:rFonts w:ascii="Palatino Linotype" w:hAnsi="Palatino Linotype"/>
          <w:i/>
        </w:rPr>
        <w:t xml:space="preserve">.- Los negocios </w:t>
      </w:r>
      <w:r w:rsidRPr="003D465E">
        <w:rPr>
          <w:rFonts w:ascii="Palatino Linotype" w:hAnsi="Palatino Linotype"/>
          <w:b/>
          <w:i/>
        </w:rPr>
        <w:t>comerciales fijos, semifijos</w:t>
      </w:r>
      <w:r w:rsidRPr="003D465E">
        <w:rPr>
          <w:rFonts w:ascii="Palatino Linotype" w:hAnsi="Palatino Linotype"/>
          <w:i/>
        </w:rPr>
        <w:t xml:space="preserve"> o ambulantes se clasificaran en: </w:t>
      </w:r>
    </w:p>
    <w:p w:rsidR="003D465E" w:rsidRDefault="003D465E" w:rsidP="003D465E">
      <w:pPr>
        <w:spacing w:line="360" w:lineRule="auto"/>
        <w:ind w:left="567" w:right="539"/>
        <w:contextualSpacing/>
        <w:jc w:val="both"/>
        <w:rPr>
          <w:rFonts w:ascii="Palatino Linotype" w:hAnsi="Palatino Linotype"/>
          <w:i/>
        </w:rPr>
      </w:pPr>
      <w:r w:rsidRPr="003D465E">
        <w:rPr>
          <w:rFonts w:ascii="Palatino Linotype" w:hAnsi="Palatino Linotype"/>
          <w:i/>
        </w:rPr>
        <w:t xml:space="preserve">I. </w:t>
      </w:r>
      <w:r w:rsidRPr="003D465E">
        <w:rPr>
          <w:rFonts w:ascii="Palatino Linotype" w:hAnsi="Palatino Linotype"/>
          <w:b/>
          <w:i/>
        </w:rPr>
        <w:t>Unidad económica productora de bienes y servicios.</w:t>
      </w:r>
      <w:r w:rsidRPr="003D465E">
        <w:rPr>
          <w:rFonts w:ascii="Palatino Linotype" w:hAnsi="Palatino Linotype"/>
          <w:i/>
        </w:rPr>
        <w:t xml:space="preserve"> </w:t>
      </w:r>
    </w:p>
    <w:p w:rsidR="003D465E" w:rsidRDefault="003D465E" w:rsidP="003D465E">
      <w:pPr>
        <w:spacing w:line="360" w:lineRule="auto"/>
        <w:ind w:left="567" w:right="539"/>
        <w:contextualSpacing/>
        <w:jc w:val="both"/>
        <w:rPr>
          <w:rFonts w:ascii="Palatino Linotype" w:hAnsi="Palatino Linotype"/>
          <w:i/>
        </w:rPr>
      </w:pPr>
      <w:r w:rsidRPr="003D465E">
        <w:rPr>
          <w:rFonts w:ascii="Palatino Linotype" w:hAnsi="Palatino Linotype"/>
          <w:i/>
        </w:rPr>
        <w:t xml:space="preserve">II. </w:t>
      </w:r>
      <w:r w:rsidRPr="003D465E">
        <w:rPr>
          <w:rFonts w:ascii="Palatino Linotype" w:hAnsi="Palatino Linotype"/>
          <w:b/>
          <w:i/>
        </w:rPr>
        <w:t>Unidad económica de alto impacto</w:t>
      </w:r>
      <w:r w:rsidRPr="003D465E">
        <w:rPr>
          <w:rFonts w:ascii="Palatino Linotype" w:hAnsi="Palatino Linotype"/>
          <w:i/>
        </w:rPr>
        <w:t xml:space="preserve">: la que tiene como </w:t>
      </w:r>
      <w:r w:rsidRPr="003D465E">
        <w:rPr>
          <w:rFonts w:ascii="Palatino Linotype" w:hAnsi="Palatino Linotype"/>
          <w:b/>
          <w:i/>
        </w:rPr>
        <w:t>actividad principal la venta de bebidas alcohólicas para su consumo inmediato</w:t>
      </w:r>
      <w:r w:rsidRPr="003D465E">
        <w:rPr>
          <w:rFonts w:ascii="Palatino Linotype" w:hAnsi="Palatino Linotype"/>
          <w:i/>
        </w:rPr>
        <w:t xml:space="preserve">, y las demás que requieran de dictamen único de factibilidad. </w:t>
      </w:r>
    </w:p>
    <w:p w:rsidR="003D465E" w:rsidRPr="003D465E" w:rsidRDefault="003D465E" w:rsidP="003D465E">
      <w:pPr>
        <w:spacing w:line="360" w:lineRule="auto"/>
        <w:ind w:left="567" w:right="539"/>
        <w:contextualSpacing/>
        <w:jc w:val="both"/>
        <w:rPr>
          <w:rFonts w:ascii="Palatino Linotype" w:hAnsi="Palatino Linotype"/>
          <w:b/>
          <w:i/>
        </w:rPr>
      </w:pPr>
      <w:r w:rsidRPr="003D465E">
        <w:rPr>
          <w:rFonts w:ascii="Palatino Linotype" w:hAnsi="Palatino Linotype"/>
          <w:i/>
        </w:rPr>
        <w:t xml:space="preserve">III. </w:t>
      </w:r>
      <w:r w:rsidRPr="003D465E">
        <w:rPr>
          <w:rFonts w:ascii="Palatino Linotype" w:hAnsi="Palatino Linotype"/>
          <w:b/>
          <w:i/>
        </w:rPr>
        <w:t>Unidad económica de mediano impacto</w:t>
      </w:r>
      <w:r w:rsidRPr="003D465E">
        <w:rPr>
          <w:rFonts w:ascii="Palatino Linotype" w:hAnsi="Palatino Linotype"/>
          <w:i/>
        </w:rPr>
        <w:t xml:space="preserve">: las que se </w:t>
      </w:r>
      <w:r w:rsidRPr="003D465E">
        <w:rPr>
          <w:rFonts w:ascii="Palatino Linotype" w:hAnsi="Palatino Linotype"/>
          <w:b/>
          <w:i/>
        </w:rPr>
        <w:t>les autoriza la venta de bebidas alcohólicas para consumo inmediato, siendo otra su actividad principal.</w:t>
      </w:r>
    </w:p>
    <w:p w:rsidR="003D465E" w:rsidRPr="003D465E" w:rsidRDefault="003D465E" w:rsidP="003D465E">
      <w:pPr>
        <w:spacing w:line="360" w:lineRule="auto"/>
        <w:ind w:left="567" w:right="539"/>
        <w:contextualSpacing/>
        <w:jc w:val="both"/>
        <w:rPr>
          <w:rFonts w:ascii="Palatino Linotype" w:hAnsi="Palatino Linotype"/>
          <w:i/>
          <w:sz w:val="22"/>
          <w:szCs w:val="22"/>
          <w:lang w:eastAsia="es-ES_tradnl"/>
        </w:rPr>
      </w:pPr>
      <w:r w:rsidRPr="003D465E">
        <w:rPr>
          <w:rFonts w:ascii="Palatino Linotype" w:hAnsi="Palatino Linotype"/>
          <w:i/>
        </w:rPr>
        <w:t>IV. Unidad económica de bajo impacto: las que se les autoriza la venta de bebidas alcohólicas en envase cerrado y no sean para el consumo inmediato, y las demás que no se encuentren comprendidas en mediano y alto impacto.</w:t>
      </w:r>
      <w:r>
        <w:rPr>
          <w:rFonts w:ascii="Palatino Linotype" w:hAnsi="Palatino Linotype"/>
          <w:i/>
        </w:rPr>
        <w:t>”</w:t>
      </w:r>
    </w:p>
    <w:p w:rsidR="002C33B2" w:rsidRDefault="002C33B2" w:rsidP="002C33B2">
      <w:pPr>
        <w:spacing w:line="360" w:lineRule="auto"/>
        <w:contextualSpacing/>
        <w:rPr>
          <w:rFonts w:ascii="Palatino Linotype" w:hAnsi="Palatino Linotype"/>
          <w:sz w:val="22"/>
          <w:szCs w:val="22"/>
          <w:lang w:eastAsia="es-ES_tradnl"/>
        </w:rPr>
      </w:pPr>
    </w:p>
    <w:p w:rsidR="003D465E" w:rsidRDefault="003D465E" w:rsidP="00F56E12">
      <w:pPr>
        <w:spacing w:line="360" w:lineRule="auto"/>
        <w:contextualSpacing/>
        <w:jc w:val="both"/>
        <w:rPr>
          <w:rFonts w:ascii="Palatino Linotype" w:hAnsi="Palatino Linotype"/>
          <w:sz w:val="22"/>
          <w:szCs w:val="22"/>
          <w:lang w:eastAsia="es-ES_tradnl"/>
        </w:rPr>
      </w:pPr>
      <w:r>
        <w:rPr>
          <w:rFonts w:ascii="Palatino Linotype" w:hAnsi="Palatino Linotype"/>
          <w:sz w:val="22"/>
          <w:szCs w:val="22"/>
          <w:lang w:eastAsia="es-ES_tradnl"/>
        </w:rPr>
        <w:t xml:space="preserve">Del artículo en cita, se advierte que los negocios fijos, semifijos o ambulantes, cuentan con una clasificación, </w:t>
      </w:r>
      <w:r w:rsidR="00F56E12">
        <w:rPr>
          <w:rFonts w:ascii="Palatino Linotype" w:hAnsi="Palatino Linotype"/>
          <w:sz w:val="22"/>
          <w:szCs w:val="22"/>
          <w:lang w:eastAsia="es-ES_tradnl"/>
        </w:rPr>
        <w:t>en la que se</w:t>
      </w:r>
      <w:r>
        <w:rPr>
          <w:rFonts w:ascii="Palatino Linotype" w:hAnsi="Palatino Linotype"/>
          <w:sz w:val="22"/>
          <w:szCs w:val="22"/>
          <w:lang w:eastAsia="es-ES_tradnl"/>
        </w:rPr>
        <w:t xml:space="preserve"> observan las unidades económicas de alto y mediano impacto; donde las primeras son aquellas que tienen como principal actividad la venta de bebidas alcohólicas para consumo inmediato; </w:t>
      </w:r>
      <w:r w:rsidR="00F56E12">
        <w:rPr>
          <w:rFonts w:ascii="Palatino Linotype" w:hAnsi="Palatino Linotype"/>
          <w:sz w:val="22"/>
          <w:szCs w:val="22"/>
          <w:lang w:eastAsia="es-ES_tradnl"/>
        </w:rPr>
        <w:t>y las</w:t>
      </w:r>
      <w:r>
        <w:rPr>
          <w:rFonts w:ascii="Palatino Linotype" w:hAnsi="Palatino Linotype"/>
          <w:sz w:val="22"/>
          <w:szCs w:val="22"/>
          <w:lang w:eastAsia="es-ES_tradnl"/>
        </w:rPr>
        <w:t xml:space="preserve"> segundas corresponden a aquellas que también cuentan con la venta de bebidas alcohólicas para consumo inmediato, pero tienen registrada otra actividad principal. </w:t>
      </w:r>
    </w:p>
    <w:p w:rsidR="006D278C" w:rsidRDefault="006D278C" w:rsidP="00F56E12">
      <w:pPr>
        <w:spacing w:line="360" w:lineRule="auto"/>
        <w:contextualSpacing/>
        <w:jc w:val="both"/>
        <w:rPr>
          <w:rFonts w:ascii="Palatino Linotype" w:hAnsi="Palatino Linotype"/>
          <w:sz w:val="22"/>
          <w:szCs w:val="22"/>
          <w:lang w:eastAsia="es-ES_tradnl"/>
        </w:rPr>
      </w:pPr>
    </w:p>
    <w:p w:rsidR="006D278C" w:rsidRDefault="006D278C" w:rsidP="00F56E12">
      <w:pPr>
        <w:spacing w:line="360" w:lineRule="auto"/>
        <w:contextualSpacing/>
        <w:jc w:val="both"/>
        <w:rPr>
          <w:rFonts w:ascii="Palatino Linotype" w:hAnsi="Palatino Linotype"/>
          <w:sz w:val="22"/>
          <w:szCs w:val="22"/>
          <w:lang w:eastAsia="es-ES_tradnl"/>
        </w:rPr>
      </w:pPr>
      <w:r>
        <w:rPr>
          <w:rFonts w:ascii="Palatino Linotype" w:hAnsi="Palatino Linotype"/>
          <w:sz w:val="22"/>
          <w:szCs w:val="22"/>
          <w:lang w:eastAsia="es-ES_tradnl"/>
        </w:rPr>
        <w:t xml:space="preserve">Es así, como se colige que el Sujeto Obligado cuenta con la competencia y capacidad para determinar e identificar a los negocios comerciales que cuentan con la calidad de unidad económica de alto impacto o de mediano impacto. </w:t>
      </w:r>
    </w:p>
    <w:p w:rsidR="00F52030" w:rsidRDefault="00F52030" w:rsidP="00F52030">
      <w:pPr>
        <w:spacing w:line="360" w:lineRule="auto"/>
        <w:contextualSpacing/>
        <w:rPr>
          <w:rFonts w:ascii="Palatino Linotype" w:hAnsi="Palatino Linotype"/>
          <w:sz w:val="22"/>
          <w:szCs w:val="22"/>
          <w:lang w:eastAsia="es-ES_tradnl"/>
        </w:rPr>
      </w:pPr>
    </w:p>
    <w:p w:rsidR="00F52030" w:rsidRDefault="00F52030" w:rsidP="00F52030">
      <w:pPr>
        <w:spacing w:line="360" w:lineRule="auto"/>
        <w:contextualSpacing/>
        <w:jc w:val="both"/>
        <w:rPr>
          <w:rFonts w:ascii="Palatino Linotype" w:hAnsi="Palatino Linotype"/>
          <w:sz w:val="22"/>
          <w:szCs w:val="22"/>
          <w:lang w:eastAsia="es-ES_tradnl"/>
        </w:rPr>
      </w:pPr>
      <w:r>
        <w:rPr>
          <w:rFonts w:ascii="Palatino Linotype" w:hAnsi="Palatino Linotype"/>
          <w:sz w:val="22"/>
          <w:szCs w:val="22"/>
          <w:lang w:eastAsia="es-ES_tradnl"/>
        </w:rPr>
        <w:t xml:space="preserve">Aunado a lo antes expuesto, es preciso señalar que el Sujeto Obligado, se encuentra constreñido por la </w:t>
      </w:r>
      <w:r w:rsidRPr="007654E2">
        <w:rPr>
          <w:rFonts w:ascii="Palatino Linotype" w:eastAsia="Calibri" w:hAnsi="Palatino Linotype" w:cs="Tahoma"/>
          <w:bCs/>
          <w:sz w:val="22"/>
          <w:szCs w:val="22"/>
          <w:lang w:eastAsia="en-US"/>
        </w:rPr>
        <w:t>Ley de Transparencia y Acceso a la Información Pública del Estado de México y Municipios</w:t>
      </w:r>
      <w:r>
        <w:rPr>
          <w:rFonts w:ascii="Palatino Linotype" w:hAnsi="Palatino Linotype"/>
          <w:sz w:val="22"/>
          <w:szCs w:val="22"/>
          <w:lang w:eastAsia="es-ES_tradnl"/>
        </w:rPr>
        <w:t xml:space="preserve"> a dar cuenta de la información solicitada, lo anterior en virtud de que el artículo 92 fracción XXXII de la Ley de la Materia, dispone lo siguiente:</w:t>
      </w:r>
    </w:p>
    <w:p w:rsidR="00F52030" w:rsidRDefault="00F52030" w:rsidP="00F52030">
      <w:pPr>
        <w:spacing w:line="360" w:lineRule="auto"/>
        <w:contextualSpacing/>
        <w:jc w:val="both"/>
        <w:rPr>
          <w:rFonts w:ascii="Palatino Linotype" w:hAnsi="Palatino Linotype"/>
          <w:sz w:val="22"/>
          <w:szCs w:val="22"/>
          <w:lang w:eastAsia="es-ES_tradnl"/>
        </w:rPr>
      </w:pPr>
    </w:p>
    <w:p w:rsidR="00F52030" w:rsidRPr="007654E2" w:rsidRDefault="00F52030" w:rsidP="00F52030">
      <w:pPr>
        <w:autoSpaceDE w:val="0"/>
        <w:autoSpaceDN w:val="0"/>
        <w:adjustRightInd w:val="0"/>
        <w:spacing w:line="360" w:lineRule="auto"/>
        <w:ind w:left="567" w:right="539"/>
        <w:jc w:val="center"/>
        <w:rPr>
          <w:rFonts w:ascii="Palatino Linotype" w:eastAsiaTheme="minorHAnsi" w:hAnsi="Palatino Linotype" w:cs="Bookman Old Style"/>
          <w:i/>
          <w:color w:val="000000"/>
          <w:lang w:eastAsia="en-US"/>
        </w:rPr>
      </w:pPr>
      <w:r>
        <w:rPr>
          <w:rFonts w:ascii="Palatino Linotype" w:eastAsiaTheme="minorHAnsi" w:hAnsi="Palatino Linotype" w:cs="Bookman Old Style"/>
          <w:b/>
          <w:bCs/>
          <w:i/>
          <w:color w:val="000000"/>
          <w:lang w:eastAsia="en-US"/>
        </w:rPr>
        <w:t>“</w:t>
      </w:r>
      <w:r w:rsidRPr="007654E2">
        <w:rPr>
          <w:rFonts w:ascii="Palatino Linotype" w:eastAsiaTheme="minorHAnsi" w:hAnsi="Palatino Linotype" w:cs="Bookman Old Style"/>
          <w:b/>
          <w:bCs/>
          <w:i/>
          <w:color w:val="000000"/>
          <w:lang w:eastAsia="en-US"/>
        </w:rPr>
        <w:t>Capítulo II</w:t>
      </w:r>
    </w:p>
    <w:p w:rsidR="00F52030" w:rsidRDefault="00F52030" w:rsidP="00F52030">
      <w:pPr>
        <w:autoSpaceDE w:val="0"/>
        <w:autoSpaceDN w:val="0"/>
        <w:adjustRightInd w:val="0"/>
        <w:spacing w:line="360" w:lineRule="auto"/>
        <w:ind w:left="567" w:right="539"/>
        <w:jc w:val="center"/>
        <w:rPr>
          <w:rFonts w:ascii="Palatino Linotype" w:eastAsiaTheme="minorHAnsi" w:hAnsi="Palatino Linotype" w:cs="Bookman Old Style"/>
          <w:b/>
          <w:bCs/>
          <w:i/>
          <w:color w:val="000000"/>
          <w:lang w:eastAsia="en-US"/>
        </w:rPr>
      </w:pPr>
      <w:r w:rsidRPr="007654E2">
        <w:rPr>
          <w:rFonts w:ascii="Palatino Linotype" w:eastAsiaTheme="minorHAnsi" w:hAnsi="Palatino Linotype" w:cs="Bookman Old Style"/>
          <w:b/>
          <w:bCs/>
          <w:i/>
          <w:color w:val="000000"/>
          <w:lang w:eastAsia="en-US"/>
        </w:rPr>
        <w:t>De las Obligaciones de Transparencia Comunes</w:t>
      </w:r>
    </w:p>
    <w:p w:rsidR="00475B54" w:rsidRPr="007654E2" w:rsidRDefault="00475B54" w:rsidP="00F52030">
      <w:pPr>
        <w:autoSpaceDE w:val="0"/>
        <w:autoSpaceDN w:val="0"/>
        <w:adjustRightInd w:val="0"/>
        <w:spacing w:line="360" w:lineRule="auto"/>
        <w:ind w:left="567" w:right="539"/>
        <w:jc w:val="center"/>
        <w:rPr>
          <w:rFonts w:ascii="Palatino Linotype" w:eastAsiaTheme="minorHAnsi" w:hAnsi="Palatino Linotype" w:cs="Bookman Old Style"/>
          <w:i/>
          <w:color w:val="000000"/>
          <w:lang w:eastAsia="en-US"/>
        </w:rPr>
      </w:pPr>
    </w:p>
    <w:p w:rsidR="00F52030" w:rsidRPr="007654E2" w:rsidRDefault="00F52030" w:rsidP="00F52030">
      <w:pPr>
        <w:spacing w:line="360" w:lineRule="auto"/>
        <w:ind w:left="567" w:right="539"/>
        <w:contextualSpacing/>
        <w:jc w:val="both"/>
        <w:rPr>
          <w:rFonts w:ascii="Palatino Linotype" w:hAnsi="Palatino Linotype"/>
          <w:i/>
          <w:sz w:val="22"/>
          <w:szCs w:val="22"/>
          <w:lang w:eastAsia="es-ES_tradnl"/>
        </w:rPr>
      </w:pPr>
      <w:r w:rsidRPr="007654E2">
        <w:rPr>
          <w:rFonts w:ascii="Palatino Linotype" w:eastAsiaTheme="minorHAnsi" w:hAnsi="Palatino Linotype" w:cs="Bookman Old Style"/>
          <w:b/>
          <w:bCs/>
          <w:i/>
          <w:color w:val="000000"/>
          <w:lang w:eastAsia="en-US"/>
        </w:rPr>
        <w:t xml:space="preserve">Artículo 92. </w:t>
      </w:r>
      <w:r w:rsidRPr="007654E2">
        <w:rPr>
          <w:rFonts w:ascii="Palatino Linotype" w:eastAsiaTheme="minorHAnsi" w:hAnsi="Palatino Linotype" w:cs="Bookman Old Style"/>
          <w:i/>
          <w:color w:val="000000"/>
          <w:lang w:eastAsia="en-US"/>
        </w:rPr>
        <w:t>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475B54" w:rsidRDefault="00475B54" w:rsidP="00F52030">
      <w:pPr>
        <w:autoSpaceDE w:val="0"/>
        <w:autoSpaceDN w:val="0"/>
        <w:adjustRightInd w:val="0"/>
        <w:spacing w:line="360" w:lineRule="auto"/>
        <w:ind w:left="567" w:right="539"/>
        <w:jc w:val="both"/>
        <w:rPr>
          <w:rFonts w:ascii="Palatino Linotype" w:eastAsiaTheme="minorHAnsi" w:hAnsi="Palatino Linotype" w:cs="Bookman Old Style"/>
          <w:i/>
          <w:color w:val="000000"/>
          <w:sz w:val="24"/>
          <w:szCs w:val="24"/>
          <w:lang w:eastAsia="en-US"/>
        </w:rPr>
      </w:pPr>
    </w:p>
    <w:p w:rsidR="00F52030" w:rsidRPr="007654E2" w:rsidRDefault="00F52030" w:rsidP="00F52030">
      <w:pPr>
        <w:autoSpaceDE w:val="0"/>
        <w:autoSpaceDN w:val="0"/>
        <w:adjustRightInd w:val="0"/>
        <w:spacing w:line="360" w:lineRule="auto"/>
        <w:ind w:left="567" w:right="539"/>
        <w:jc w:val="both"/>
        <w:rPr>
          <w:rFonts w:ascii="Palatino Linotype" w:eastAsiaTheme="minorHAnsi" w:hAnsi="Palatino Linotype" w:cs="Bookman Old Style"/>
          <w:i/>
          <w:color w:val="000000"/>
          <w:sz w:val="24"/>
          <w:szCs w:val="24"/>
          <w:lang w:eastAsia="en-US"/>
        </w:rPr>
      </w:pPr>
      <w:r>
        <w:rPr>
          <w:rFonts w:ascii="Palatino Linotype" w:eastAsiaTheme="minorHAnsi" w:hAnsi="Palatino Linotype" w:cs="Bookman Old Style"/>
          <w:i/>
          <w:color w:val="000000"/>
          <w:sz w:val="24"/>
          <w:szCs w:val="24"/>
          <w:lang w:eastAsia="en-US"/>
        </w:rPr>
        <w:t>…</w:t>
      </w:r>
    </w:p>
    <w:p w:rsidR="00475B54" w:rsidRDefault="00475B54" w:rsidP="00F52030">
      <w:pPr>
        <w:autoSpaceDE w:val="0"/>
        <w:autoSpaceDN w:val="0"/>
        <w:adjustRightInd w:val="0"/>
        <w:spacing w:line="360" w:lineRule="auto"/>
        <w:ind w:left="567" w:right="539"/>
        <w:jc w:val="both"/>
        <w:rPr>
          <w:rFonts w:ascii="Palatino Linotype" w:eastAsiaTheme="minorHAnsi" w:hAnsi="Palatino Linotype" w:cs="Bookman Old Style"/>
          <w:b/>
          <w:bCs/>
          <w:i/>
          <w:color w:val="000000"/>
          <w:lang w:eastAsia="en-US"/>
        </w:rPr>
      </w:pPr>
    </w:p>
    <w:p w:rsidR="00F52030" w:rsidRDefault="00F52030" w:rsidP="00F52030">
      <w:pPr>
        <w:autoSpaceDE w:val="0"/>
        <w:autoSpaceDN w:val="0"/>
        <w:adjustRightInd w:val="0"/>
        <w:spacing w:line="360" w:lineRule="auto"/>
        <w:ind w:left="567" w:right="539"/>
        <w:jc w:val="both"/>
        <w:rPr>
          <w:rFonts w:ascii="Palatino Linotype" w:eastAsiaTheme="minorHAnsi" w:hAnsi="Palatino Linotype" w:cs="Bookman Old Style"/>
          <w:i/>
          <w:color w:val="000000"/>
          <w:lang w:eastAsia="en-US"/>
        </w:rPr>
      </w:pPr>
      <w:r w:rsidRPr="007654E2">
        <w:rPr>
          <w:rFonts w:ascii="Palatino Linotype" w:eastAsiaTheme="minorHAnsi" w:hAnsi="Palatino Linotype" w:cs="Bookman Old Style"/>
          <w:b/>
          <w:bCs/>
          <w:i/>
          <w:color w:val="000000"/>
          <w:lang w:eastAsia="en-US"/>
        </w:rPr>
        <w:t xml:space="preserve">XXXII. </w:t>
      </w:r>
      <w:r w:rsidRPr="007654E2">
        <w:rPr>
          <w:rFonts w:ascii="Palatino Linotype" w:eastAsiaTheme="minorHAnsi" w:hAnsi="Palatino Linotype" w:cs="Bookman Old Style"/>
          <w:i/>
          <w:color w:val="000000"/>
          <w:lang w:eastAsia="en-US"/>
        </w:rPr>
        <w:t>Las concesiones, contratos, convenios, permisos, licencias o autorizaciones otorgados, especificando los titulares de aquéllos, debiendo publicarse su objeto, nombre o razón social del titular, vigencia, tipo, términos, condiciones, monto y modificaciones, así como si el procedimiento involucra el aprovechamiento de bienes, s</w:t>
      </w:r>
      <w:r>
        <w:rPr>
          <w:rFonts w:ascii="Palatino Linotype" w:eastAsiaTheme="minorHAnsi" w:hAnsi="Palatino Linotype" w:cs="Bookman Old Style"/>
          <w:i/>
          <w:color w:val="000000"/>
          <w:lang w:eastAsia="en-US"/>
        </w:rPr>
        <w:t>ervicios y/o recursos públicos;</w:t>
      </w:r>
    </w:p>
    <w:p w:rsidR="00475B54" w:rsidRDefault="00475B54" w:rsidP="00F52030">
      <w:pPr>
        <w:autoSpaceDE w:val="0"/>
        <w:autoSpaceDN w:val="0"/>
        <w:adjustRightInd w:val="0"/>
        <w:spacing w:line="360" w:lineRule="auto"/>
        <w:ind w:left="567" w:right="539"/>
        <w:jc w:val="both"/>
        <w:rPr>
          <w:rFonts w:ascii="Palatino Linotype" w:eastAsiaTheme="minorHAnsi" w:hAnsi="Palatino Linotype" w:cs="Bookman Old Style"/>
          <w:b/>
          <w:bCs/>
          <w:i/>
          <w:color w:val="000000"/>
          <w:lang w:eastAsia="en-US"/>
        </w:rPr>
      </w:pPr>
    </w:p>
    <w:p w:rsidR="00F52030" w:rsidRDefault="00F52030" w:rsidP="00F52030">
      <w:pPr>
        <w:autoSpaceDE w:val="0"/>
        <w:autoSpaceDN w:val="0"/>
        <w:adjustRightInd w:val="0"/>
        <w:spacing w:line="360" w:lineRule="auto"/>
        <w:ind w:left="567" w:right="539"/>
        <w:jc w:val="both"/>
        <w:rPr>
          <w:rFonts w:ascii="Palatino Linotype" w:eastAsiaTheme="minorHAnsi" w:hAnsi="Palatino Linotype" w:cs="Bookman Old Style"/>
          <w:i/>
          <w:color w:val="000000"/>
          <w:lang w:eastAsia="en-US"/>
        </w:rPr>
      </w:pPr>
      <w:r>
        <w:rPr>
          <w:rFonts w:ascii="Palatino Linotype" w:eastAsiaTheme="minorHAnsi" w:hAnsi="Palatino Linotype" w:cs="Bookman Old Style"/>
          <w:b/>
          <w:bCs/>
          <w:i/>
          <w:color w:val="000000"/>
          <w:lang w:eastAsia="en-US"/>
        </w:rPr>
        <w:t>…</w:t>
      </w:r>
      <w:r>
        <w:rPr>
          <w:rFonts w:ascii="Palatino Linotype" w:eastAsiaTheme="minorHAnsi" w:hAnsi="Palatino Linotype" w:cs="Bookman Old Style"/>
          <w:i/>
          <w:color w:val="000000"/>
          <w:lang w:eastAsia="en-US"/>
        </w:rPr>
        <w:t>”</w:t>
      </w:r>
    </w:p>
    <w:p w:rsidR="00F52030" w:rsidRPr="007654E2" w:rsidRDefault="00F52030" w:rsidP="00F52030">
      <w:pPr>
        <w:autoSpaceDE w:val="0"/>
        <w:autoSpaceDN w:val="0"/>
        <w:adjustRightInd w:val="0"/>
        <w:spacing w:line="360" w:lineRule="auto"/>
        <w:ind w:left="567" w:right="539"/>
        <w:jc w:val="both"/>
        <w:rPr>
          <w:rFonts w:ascii="Palatino Linotype" w:eastAsiaTheme="minorHAnsi" w:hAnsi="Palatino Linotype" w:cs="Bookman Old Style"/>
          <w:i/>
          <w:color w:val="000000"/>
          <w:lang w:eastAsia="en-US"/>
        </w:rPr>
      </w:pPr>
    </w:p>
    <w:p w:rsidR="00F52030" w:rsidRDefault="00F52030" w:rsidP="00F52030">
      <w:pPr>
        <w:spacing w:line="360" w:lineRule="auto"/>
        <w:contextualSpacing/>
        <w:jc w:val="both"/>
        <w:rPr>
          <w:rFonts w:ascii="Palatino Linotype" w:hAnsi="Palatino Linotype" w:cs="Tahoma"/>
          <w:sz w:val="22"/>
          <w:szCs w:val="22"/>
          <w:lang w:val="es-ES" w:eastAsia="es-ES_tradnl"/>
        </w:rPr>
      </w:pPr>
      <w:r>
        <w:rPr>
          <w:rFonts w:ascii="Palatino Linotype" w:hAnsi="Palatino Linotype"/>
          <w:sz w:val="22"/>
          <w:szCs w:val="22"/>
          <w:lang w:eastAsia="es-ES_tradnl"/>
        </w:rPr>
        <w:t xml:space="preserve">Del artículo en cita se desprende la obligación que en materia de Transparencia y Acceso a la Información Pública, tiene el Ayuntamiento de Papalotla, por lo que se procedió a verificar el sitio </w:t>
      </w:r>
      <w:r w:rsidRPr="007654E2">
        <w:rPr>
          <w:rFonts w:ascii="Palatino Linotype" w:hAnsi="Palatino Linotype" w:cs="Tahoma"/>
          <w:sz w:val="22"/>
          <w:szCs w:val="22"/>
          <w:lang w:val="es-ES" w:eastAsia="es-ES_tradnl"/>
        </w:rPr>
        <w:t>Información Pública de Oficio Mexiquense (Ipomex)</w:t>
      </w:r>
      <w:r>
        <w:rPr>
          <w:rFonts w:ascii="Palatino Linotype" w:hAnsi="Palatino Linotype" w:cs="Tahoma"/>
          <w:sz w:val="22"/>
          <w:szCs w:val="22"/>
          <w:lang w:val="es-ES" w:eastAsia="es-ES_tradnl"/>
        </w:rPr>
        <w:t xml:space="preserve"> a fin de verificar si la información solicitada se encuentra en dicho enlace, que derivó en observar el apartado de </w:t>
      </w:r>
      <w:r w:rsidRPr="007654E2">
        <w:rPr>
          <w:rFonts w:ascii="Palatino Linotype" w:hAnsi="Palatino Linotype" w:cs="Tahoma"/>
          <w:i/>
          <w:sz w:val="22"/>
          <w:szCs w:val="22"/>
          <w:lang w:val="es-ES" w:eastAsia="es-ES_tradnl"/>
        </w:rPr>
        <w:t>“Las concesiones, contratos, convenios, permisos, licencias o autorizaciones otorgados”</w:t>
      </w:r>
      <w:r>
        <w:rPr>
          <w:rFonts w:ascii="Palatino Linotype" w:hAnsi="Palatino Linotype" w:cs="Tahoma"/>
          <w:i/>
          <w:sz w:val="22"/>
          <w:szCs w:val="22"/>
          <w:lang w:val="es-ES" w:eastAsia="es-ES_tradnl"/>
        </w:rPr>
        <w:t xml:space="preserve"> </w:t>
      </w:r>
      <w:r>
        <w:rPr>
          <w:rFonts w:ascii="Palatino Linotype" w:hAnsi="Palatino Linotype" w:cs="Tahoma"/>
          <w:sz w:val="22"/>
          <w:szCs w:val="22"/>
          <w:lang w:val="es-ES" w:eastAsia="es-ES_tradnl"/>
        </w:rPr>
        <w:t>, mismo que se encuentra sin información, para mayor referencia se inserta impresión de pantalla:</w:t>
      </w:r>
    </w:p>
    <w:p w:rsidR="00F52030" w:rsidRDefault="00F52030" w:rsidP="00F52030">
      <w:pPr>
        <w:spacing w:line="360" w:lineRule="auto"/>
        <w:contextualSpacing/>
        <w:jc w:val="both"/>
        <w:rPr>
          <w:rFonts w:ascii="Palatino Linotype" w:hAnsi="Palatino Linotype" w:cs="Tahoma"/>
          <w:sz w:val="22"/>
          <w:szCs w:val="22"/>
          <w:lang w:val="es-ES" w:eastAsia="es-ES_tradnl"/>
        </w:rPr>
      </w:pPr>
    </w:p>
    <w:p w:rsidR="00F52030" w:rsidRPr="007654E2" w:rsidRDefault="00F52030" w:rsidP="00F52030">
      <w:pPr>
        <w:spacing w:line="360" w:lineRule="auto"/>
        <w:contextualSpacing/>
        <w:rPr>
          <w:rFonts w:ascii="Palatino Linotype" w:hAnsi="Palatino Linotype"/>
          <w:sz w:val="22"/>
          <w:szCs w:val="22"/>
          <w:lang w:eastAsia="es-ES_tradnl"/>
        </w:rPr>
      </w:pPr>
      <w:r>
        <w:rPr>
          <w:noProof/>
          <w:lang w:eastAsia="es-MX"/>
        </w:rPr>
        <w:drawing>
          <wp:inline distT="0" distB="0" distL="0" distR="0" wp14:anchorId="60F6F49B" wp14:editId="7D12B9DE">
            <wp:extent cx="5431273" cy="25527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6929" t="18426" r="13025" b="56467"/>
                    <a:stretch/>
                  </pic:blipFill>
                  <pic:spPr bwMode="auto">
                    <a:xfrm>
                      <a:off x="0" y="0"/>
                      <a:ext cx="5452622" cy="2562734"/>
                    </a:xfrm>
                    <a:prstGeom prst="rect">
                      <a:avLst/>
                    </a:prstGeom>
                    <a:ln>
                      <a:noFill/>
                    </a:ln>
                    <a:extLst>
                      <a:ext uri="{53640926-AAD7-44D8-BBD7-CCE9431645EC}">
                        <a14:shadowObscured xmlns:a14="http://schemas.microsoft.com/office/drawing/2010/main"/>
                      </a:ext>
                    </a:extLst>
                  </pic:spPr>
                </pic:pic>
              </a:graphicData>
            </a:graphic>
          </wp:inline>
        </w:drawing>
      </w:r>
    </w:p>
    <w:p w:rsidR="00F52030" w:rsidRPr="007654E2" w:rsidRDefault="00F52030" w:rsidP="00F52030">
      <w:pPr>
        <w:spacing w:line="360" w:lineRule="auto"/>
        <w:ind w:left="567" w:right="539"/>
        <w:contextualSpacing/>
        <w:jc w:val="both"/>
        <w:rPr>
          <w:rFonts w:ascii="Palatino Linotype" w:hAnsi="Palatino Linotype"/>
          <w:lang w:eastAsia="es-ES_tradnl"/>
        </w:rPr>
      </w:pPr>
      <w:r w:rsidRPr="007654E2">
        <w:rPr>
          <w:rFonts w:ascii="Palatino Linotype" w:hAnsi="Palatino Linotype"/>
          <w:lang w:eastAsia="es-ES_tradnl"/>
        </w:rPr>
        <w:t>(Imagen extraída del enlace:</w:t>
      </w:r>
      <w:r w:rsidRPr="007654E2">
        <w:rPr>
          <w:rFonts w:ascii="Palatino Linotype" w:hAnsi="Palatino Linotype"/>
        </w:rPr>
        <w:t xml:space="preserve"> </w:t>
      </w:r>
      <w:hyperlink r:id="rId10" w:history="1">
        <w:r w:rsidRPr="007654E2">
          <w:rPr>
            <w:rStyle w:val="Hipervnculo"/>
            <w:rFonts w:ascii="Palatino Linotype" w:eastAsiaTheme="majorEastAsia" w:hAnsi="Palatino Linotype"/>
          </w:rPr>
          <w:t>https://www.ipomex.org.mx/ipo3/lgt/indice/PAPALOTLA/art_92_xxxii.web</w:t>
        </w:r>
      </w:hyperlink>
      <w:r w:rsidRPr="007654E2">
        <w:rPr>
          <w:rFonts w:ascii="Palatino Linotype" w:hAnsi="Palatino Linotype"/>
        </w:rPr>
        <w:t>)</w:t>
      </w:r>
    </w:p>
    <w:p w:rsidR="00F56E12" w:rsidRDefault="00F56E12" w:rsidP="00F56E12">
      <w:pPr>
        <w:spacing w:line="360" w:lineRule="auto"/>
        <w:contextualSpacing/>
        <w:jc w:val="both"/>
        <w:rPr>
          <w:rFonts w:ascii="Palatino Linotype" w:hAnsi="Palatino Linotype"/>
          <w:sz w:val="22"/>
          <w:szCs w:val="22"/>
          <w:lang w:eastAsia="es-ES_tradnl"/>
        </w:rPr>
      </w:pPr>
    </w:p>
    <w:p w:rsidR="00F52030" w:rsidRDefault="00F52030" w:rsidP="00F56E12">
      <w:pPr>
        <w:spacing w:line="360" w:lineRule="auto"/>
        <w:contextualSpacing/>
        <w:jc w:val="both"/>
        <w:rPr>
          <w:rFonts w:ascii="Palatino Linotype" w:hAnsi="Palatino Linotype" w:cs="Tahoma"/>
          <w:sz w:val="22"/>
          <w:szCs w:val="22"/>
          <w:lang w:val="es-ES" w:eastAsia="es-ES_tradnl"/>
        </w:rPr>
      </w:pPr>
      <w:r>
        <w:rPr>
          <w:rFonts w:ascii="Palatino Linotype" w:hAnsi="Palatino Linotype"/>
          <w:sz w:val="22"/>
          <w:szCs w:val="22"/>
          <w:lang w:eastAsia="es-ES_tradnl"/>
        </w:rPr>
        <w:t xml:space="preserve">De lo anterior, se observa que el sitio de </w:t>
      </w:r>
      <w:r w:rsidRPr="00F52030">
        <w:rPr>
          <w:rFonts w:ascii="Palatino Linotype" w:hAnsi="Palatino Linotype" w:cs="Tahoma"/>
          <w:sz w:val="22"/>
          <w:szCs w:val="22"/>
          <w:lang w:val="es-ES" w:eastAsia="es-ES_tradnl"/>
        </w:rPr>
        <w:t>Información Pública de Oficio Mexiquense (Ipomex)</w:t>
      </w:r>
      <w:r>
        <w:rPr>
          <w:rFonts w:ascii="Palatino Linotype" w:hAnsi="Palatino Linotype" w:cs="Tahoma"/>
          <w:sz w:val="22"/>
          <w:szCs w:val="22"/>
          <w:lang w:val="es-ES" w:eastAsia="es-ES_tradnl"/>
        </w:rPr>
        <w:t xml:space="preserve">, no ha sido actualizado, por lo que se puede advertir si se cuenta con la documentación solicitada, por lo que se procede al análisis de la naturaleza y competencia a de la información que solicitó el Particular. </w:t>
      </w:r>
    </w:p>
    <w:p w:rsidR="00F52030" w:rsidRDefault="00F52030" w:rsidP="00F56E12">
      <w:pPr>
        <w:spacing w:line="360" w:lineRule="auto"/>
        <w:contextualSpacing/>
        <w:jc w:val="both"/>
        <w:rPr>
          <w:rFonts w:ascii="Palatino Linotype" w:hAnsi="Palatino Linotype"/>
          <w:sz w:val="22"/>
          <w:szCs w:val="22"/>
          <w:lang w:eastAsia="es-ES_tradnl"/>
        </w:rPr>
      </w:pPr>
    </w:p>
    <w:p w:rsidR="006D278C" w:rsidRDefault="00F56E12" w:rsidP="00210960">
      <w:pPr>
        <w:pStyle w:val="Prrafodelista"/>
        <w:numPr>
          <w:ilvl w:val="0"/>
          <w:numId w:val="10"/>
        </w:numPr>
        <w:spacing w:line="360" w:lineRule="auto"/>
        <w:jc w:val="both"/>
        <w:rPr>
          <w:rFonts w:ascii="Palatino Linotype" w:hAnsi="Palatino Linotype"/>
          <w:b/>
          <w:szCs w:val="22"/>
          <w:lang w:eastAsia="es-ES_tradnl"/>
        </w:rPr>
      </w:pPr>
      <w:r w:rsidRPr="00F56E12">
        <w:rPr>
          <w:rFonts w:ascii="Palatino Linotype" w:hAnsi="Palatino Linotype"/>
          <w:b/>
          <w:szCs w:val="22"/>
          <w:lang w:eastAsia="es-ES_tradnl"/>
        </w:rPr>
        <w:t>LICENCIA DE FUNCIONAMIENTO</w:t>
      </w:r>
      <w:r w:rsidR="00475B54">
        <w:rPr>
          <w:rFonts w:ascii="Palatino Linotype" w:hAnsi="Palatino Linotype"/>
          <w:b/>
          <w:szCs w:val="22"/>
          <w:lang w:eastAsia="es-ES_tradnl"/>
        </w:rPr>
        <w:t>.</w:t>
      </w:r>
    </w:p>
    <w:p w:rsidR="006D278C" w:rsidRDefault="006D278C" w:rsidP="006D278C">
      <w:pPr>
        <w:spacing w:line="360" w:lineRule="auto"/>
        <w:jc w:val="both"/>
        <w:rPr>
          <w:rFonts w:ascii="Palatino Linotype" w:hAnsi="Palatino Linotype"/>
          <w:b/>
          <w:szCs w:val="22"/>
          <w:lang w:eastAsia="es-ES_tradnl"/>
        </w:rPr>
      </w:pPr>
    </w:p>
    <w:p w:rsidR="006D278C" w:rsidRDefault="006D278C" w:rsidP="006D278C">
      <w:pPr>
        <w:spacing w:line="360" w:lineRule="auto"/>
        <w:jc w:val="both"/>
        <w:rPr>
          <w:rFonts w:ascii="Palatino Linotype" w:hAnsi="Palatino Linotype"/>
          <w:sz w:val="22"/>
          <w:szCs w:val="22"/>
          <w:lang w:eastAsia="es-ES_tradnl"/>
        </w:rPr>
      </w:pPr>
      <w:r w:rsidRPr="006D278C">
        <w:rPr>
          <w:rFonts w:ascii="Palatino Linotype" w:hAnsi="Palatino Linotype"/>
          <w:sz w:val="22"/>
          <w:szCs w:val="22"/>
          <w:lang w:eastAsia="es-ES_tradnl"/>
        </w:rPr>
        <w:t>Ahora bien, el Sujeto Obligado</w:t>
      </w:r>
      <w:r>
        <w:rPr>
          <w:rFonts w:ascii="Palatino Linotype" w:hAnsi="Palatino Linotype"/>
          <w:sz w:val="22"/>
          <w:szCs w:val="22"/>
          <w:lang w:eastAsia="es-ES_tradnl"/>
        </w:rPr>
        <w:t>, a través del</w:t>
      </w:r>
      <w:r w:rsidRPr="006D278C">
        <w:rPr>
          <w:rFonts w:ascii="Palatino Linotype" w:hAnsi="Palatino Linotype"/>
          <w:sz w:val="22"/>
          <w:szCs w:val="22"/>
          <w:lang w:eastAsia="es-ES_tradnl"/>
        </w:rPr>
        <w:t xml:space="preserve"> Bando Municipal, </w:t>
      </w:r>
      <w:r>
        <w:rPr>
          <w:rFonts w:ascii="Palatino Linotype" w:hAnsi="Palatino Linotype"/>
          <w:sz w:val="22"/>
          <w:szCs w:val="22"/>
          <w:lang w:eastAsia="es-ES_tradnl"/>
        </w:rPr>
        <w:t>contempla la expedición de licencias de funcionamiento de los negocios comerciales, por lo que se atrae al estudio los artículos 110 y 113 de la normatividad en cita, que a la letra rezan:</w:t>
      </w:r>
    </w:p>
    <w:p w:rsidR="006D278C" w:rsidRPr="006D278C" w:rsidRDefault="006D278C" w:rsidP="006D278C">
      <w:pPr>
        <w:spacing w:line="360" w:lineRule="auto"/>
        <w:jc w:val="both"/>
        <w:rPr>
          <w:rFonts w:ascii="Palatino Linotype" w:hAnsi="Palatino Linotype"/>
          <w:sz w:val="22"/>
          <w:szCs w:val="22"/>
          <w:lang w:eastAsia="es-ES_tradnl"/>
        </w:rPr>
      </w:pPr>
    </w:p>
    <w:p w:rsidR="006D278C" w:rsidRDefault="00D34635" w:rsidP="006D278C">
      <w:pPr>
        <w:spacing w:line="360" w:lineRule="auto"/>
        <w:ind w:left="567" w:right="539"/>
        <w:jc w:val="both"/>
        <w:rPr>
          <w:rFonts w:ascii="Palatino Linotype" w:hAnsi="Palatino Linotype"/>
          <w:i/>
        </w:rPr>
      </w:pPr>
      <w:r>
        <w:rPr>
          <w:rFonts w:ascii="Palatino Linotype" w:hAnsi="Palatino Linotype"/>
          <w:b/>
          <w:i/>
        </w:rPr>
        <w:t>“</w:t>
      </w:r>
      <w:r w:rsidR="006D278C" w:rsidRPr="006D278C">
        <w:rPr>
          <w:rFonts w:ascii="Palatino Linotype" w:hAnsi="Palatino Linotype"/>
          <w:b/>
          <w:i/>
        </w:rPr>
        <w:t>Artículo 110.-</w:t>
      </w:r>
      <w:r w:rsidR="006D278C" w:rsidRPr="006D278C">
        <w:rPr>
          <w:rFonts w:ascii="Palatino Linotype" w:hAnsi="Palatino Linotype"/>
          <w:i/>
        </w:rPr>
        <w:t xml:space="preserve"> </w:t>
      </w:r>
      <w:r w:rsidR="006D278C" w:rsidRPr="006D278C">
        <w:rPr>
          <w:rFonts w:ascii="Palatino Linotype" w:hAnsi="Palatino Linotype"/>
          <w:b/>
          <w:i/>
        </w:rPr>
        <w:t>Toda actividad económica</w:t>
      </w:r>
      <w:r w:rsidR="006D278C" w:rsidRPr="006D278C">
        <w:rPr>
          <w:rFonts w:ascii="Palatino Linotype" w:hAnsi="Palatino Linotype"/>
          <w:i/>
        </w:rPr>
        <w:t xml:space="preserve">, comercial, industrial o de servicios que realicen los particulares, ya sean personas físicas o jurídicas colectivas, </w:t>
      </w:r>
      <w:r w:rsidR="006D278C" w:rsidRPr="006D278C">
        <w:rPr>
          <w:rFonts w:ascii="Palatino Linotype" w:hAnsi="Palatino Linotype"/>
          <w:b/>
          <w:i/>
        </w:rPr>
        <w:t>requieren licencia</w:t>
      </w:r>
      <w:r w:rsidR="006D278C" w:rsidRPr="006D278C">
        <w:rPr>
          <w:rFonts w:ascii="Palatino Linotype" w:hAnsi="Palatino Linotype"/>
          <w:i/>
        </w:rPr>
        <w:t>, permiso o autorización del Ayuntamiento, previo cumplimiento de requisitos y dictamen de verificación. En su caso, ha de observarse primeramente la normatividad federal y estatal que conforme al giro comercial se pretenda obtener la autorización.</w:t>
      </w:r>
    </w:p>
    <w:p w:rsidR="006D278C" w:rsidRDefault="006D278C" w:rsidP="006D278C">
      <w:pPr>
        <w:spacing w:line="360" w:lineRule="auto"/>
        <w:ind w:left="567" w:right="539"/>
        <w:jc w:val="both"/>
        <w:rPr>
          <w:rFonts w:ascii="Palatino Linotype" w:hAnsi="Palatino Linotype"/>
          <w:i/>
          <w:sz w:val="22"/>
          <w:szCs w:val="22"/>
          <w:lang w:eastAsia="es-ES_tradnl"/>
        </w:rPr>
      </w:pPr>
    </w:p>
    <w:p w:rsidR="006D278C" w:rsidRDefault="006D278C" w:rsidP="006D278C">
      <w:pPr>
        <w:spacing w:line="360" w:lineRule="auto"/>
        <w:ind w:left="567" w:right="539"/>
        <w:jc w:val="both"/>
        <w:rPr>
          <w:rFonts w:ascii="Palatino Linotype" w:hAnsi="Palatino Linotype"/>
          <w:i/>
        </w:rPr>
      </w:pPr>
      <w:r w:rsidRPr="006D278C">
        <w:rPr>
          <w:rFonts w:ascii="Palatino Linotype" w:hAnsi="Palatino Linotype"/>
          <w:i/>
        </w:rPr>
        <w:t xml:space="preserve">Artículo 113.- </w:t>
      </w:r>
      <w:r w:rsidRPr="006D278C">
        <w:rPr>
          <w:rFonts w:ascii="Palatino Linotype" w:hAnsi="Palatino Linotype"/>
          <w:b/>
          <w:i/>
        </w:rPr>
        <w:t>Es facultad exclusiva del Ayuntamiento</w:t>
      </w:r>
      <w:r w:rsidRPr="006D278C">
        <w:rPr>
          <w:rFonts w:ascii="Palatino Linotype" w:hAnsi="Palatino Linotype"/>
          <w:i/>
        </w:rPr>
        <w:t xml:space="preserve">, a través de quien comisione para tal efecto, </w:t>
      </w:r>
      <w:r w:rsidRPr="006D278C">
        <w:rPr>
          <w:rFonts w:ascii="Palatino Linotype" w:hAnsi="Palatino Linotype"/>
          <w:b/>
          <w:i/>
        </w:rPr>
        <w:t>la expedición de permisos o licencias para ejercer la actividad mercantil</w:t>
      </w:r>
      <w:r w:rsidRPr="006D278C">
        <w:rPr>
          <w:rFonts w:ascii="Palatino Linotype" w:hAnsi="Palatino Linotype"/>
          <w:i/>
        </w:rPr>
        <w:t xml:space="preserve">. </w:t>
      </w:r>
      <w:r w:rsidRPr="006D278C">
        <w:rPr>
          <w:rFonts w:ascii="Palatino Linotype" w:hAnsi="Palatino Linotype"/>
          <w:b/>
          <w:i/>
        </w:rPr>
        <w:t>Los interesados en obtener licencia o permiso para negocios mercantiles establecidos o en la vía pública, deberán presentar su solicitud dirigida al C. Presidente Municipa</w:t>
      </w:r>
      <w:r w:rsidRPr="006D278C">
        <w:rPr>
          <w:rFonts w:ascii="Palatino Linotype" w:hAnsi="Palatino Linotype"/>
          <w:i/>
        </w:rPr>
        <w:t xml:space="preserve">l, la que deberá contener los siguientes datos: </w:t>
      </w:r>
    </w:p>
    <w:p w:rsidR="006D278C" w:rsidRDefault="006D278C" w:rsidP="006D278C">
      <w:pPr>
        <w:spacing w:line="360" w:lineRule="auto"/>
        <w:ind w:left="567" w:right="539"/>
        <w:jc w:val="both"/>
        <w:rPr>
          <w:rFonts w:ascii="Palatino Linotype" w:hAnsi="Palatino Linotype"/>
          <w:i/>
        </w:rPr>
      </w:pPr>
      <w:r w:rsidRPr="006D278C">
        <w:rPr>
          <w:rFonts w:ascii="Palatino Linotype" w:hAnsi="Palatino Linotype"/>
          <w:i/>
        </w:rPr>
        <w:t xml:space="preserve">I. Nombre y domicilio del interesado, anexando sus respectivos comprobantes en original y copia simple. Tratándose de personas morales deberán anexar copia certificada del acta constitutiva de la sociedad; </w:t>
      </w:r>
    </w:p>
    <w:p w:rsidR="006D278C" w:rsidRDefault="006D278C" w:rsidP="006D278C">
      <w:pPr>
        <w:spacing w:line="360" w:lineRule="auto"/>
        <w:ind w:left="567" w:right="539"/>
        <w:jc w:val="both"/>
        <w:rPr>
          <w:rFonts w:ascii="Palatino Linotype" w:hAnsi="Palatino Linotype"/>
          <w:i/>
        </w:rPr>
      </w:pPr>
      <w:r w:rsidRPr="006D278C">
        <w:rPr>
          <w:rFonts w:ascii="Palatino Linotype" w:hAnsi="Palatino Linotype"/>
          <w:i/>
        </w:rPr>
        <w:t xml:space="preserve">II. Giro mercantil que desea establecer, señalando la actividad preponderante que intentan realizar. Por ningún motivo se aceptará “Artículos varios” como propuesta de giro mercantil válido; </w:t>
      </w:r>
    </w:p>
    <w:p w:rsidR="006D278C" w:rsidRDefault="006D278C" w:rsidP="006D278C">
      <w:pPr>
        <w:spacing w:line="360" w:lineRule="auto"/>
        <w:ind w:left="567" w:right="539"/>
        <w:jc w:val="both"/>
        <w:rPr>
          <w:rFonts w:ascii="Palatino Linotype" w:hAnsi="Palatino Linotype"/>
          <w:i/>
        </w:rPr>
      </w:pPr>
      <w:r w:rsidRPr="006D278C">
        <w:rPr>
          <w:rFonts w:ascii="Palatino Linotype" w:hAnsi="Palatino Linotype"/>
          <w:i/>
        </w:rPr>
        <w:t xml:space="preserve">III. Descripción y croquis de ubicación del lugar que pretende ocupar; </w:t>
      </w:r>
    </w:p>
    <w:p w:rsidR="006D278C" w:rsidRDefault="006D278C" w:rsidP="006D278C">
      <w:pPr>
        <w:spacing w:line="360" w:lineRule="auto"/>
        <w:ind w:left="567" w:right="539"/>
        <w:jc w:val="both"/>
        <w:rPr>
          <w:rFonts w:ascii="Palatino Linotype" w:hAnsi="Palatino Linotype"/>
          <w:i/>
        </w:rPr>
      </w:pPr>
      <w:r w:rsidRPr="006D278C">
        <w:rPr>
          <w:rFonts w:ascii="Palatino Linotype" w:hAnsi="Palatino Linotype"/>
          <w:i/>
        </w:rPr>
        <w:t xml:space="preserve">IV. Fechas y horarios en los que se compromete a operar; </w:t>
      </w:r>
    </w:p>
    <w:p w:rsidR="006D278C" w:rsidRDefault="006D278C" w:rsidP="006D278C">
      <w:pPr>
        <w:spacing w:line="360" w:lineRule="auto"/>
        <w:ind w:left="567" w:right="539"/>
        <w:jc w:val="both"/>
        <w:rPr>
          <w:rFonts w:ascii="Palatino Linotype" w:hAnsi="Palatino Linotype"/>
          <w:i/>
        </w:rPr>
      </w:pPr>
      <w:r w:rsidRPr="006D278C">
        <w:rPr>
          <w:rFonts w:ascii="Palatino Linotype" w:hAnsi="Palatino Linotype"/>
          <w:i/>
        </w:rPr>
        <w:t xml:space="preserve">V. Anexar carta compromiso para cumplir con sus obligaciones fiscales, sanitarias y demás normas municipales; </w:t>
      </w:r>
    </w:p>
    <w:p w:rsidR="006D278C" w:rsidRDefault="006D278C" w:rsidP="006D278C">
      <w:pPr>
        <w:spacing w:line="360" w:lineRule="auto"/>
        <w:ind w:left="567" w:right="539"/>
        <w:jc w:val="both"/>
        <w:rPr>
          <w:rFonts w:ascii="Palatino Linotype" w:hAnsi="Palatino Linotype"/>
          <w:i/>
        </w:rPr>
      </w:pPr>
      <w:r w:rsidRPr="006D278C">
        <w:rPr>
          <w:rFonts w:ascii="Palatino Linotype" w:hAnsi="Palatino Linotype"/>
          <w:i/>
        </w:rPr>
        <w:t xml:space="preserve">VI. Firmar correctamente ambos documentos; y </w:t>
      </w:r>
    </w:p>
    <w:p w:rsidR="006D278C" w:rsidRPr="006D278C" w:rsidRDefault="006D278C" w:rsidP="006D278C">
      <w:pPr>
        <w:spacing w:line="360" w:lineRule="auto"/>
        <w:ind w:left="567" w:right="539"/>
        <w:jc w:val="both"/>
        <w:rPr>
          <w:rFonts w:ascii="Palatino Linotype" w:hAnsi="Palatino Linotype"/>
          <w:i/>
        </w:rPr>
      </w:pPr>
      <w:r w:rsidRPr="00F03439">
        <w:rPr>
          <w:rFonts w:ascii="Palatino Linotype" w:hAnsi="Palatino Linotype"/>
          <w:b/>
          <w:i/>
        </w:rPr>
        <w:t>VII. Presentar constancias de haber cubierto con los requisitos legales, de salud, fiscales y los aplicables referentes a su actividad que pretende realizar</w:t>
      </w:r>
      <w:r w:rsidRPr="006D278C">
        <w:rPr>
          <w:rFonts w:ascii="Palatino Linotype" w:hAnsi="Palatino Linotype"/>
          <w:i/>
        </w:rPr>
        <w:t>.</w:t>
      </w:r>
      <w:r>
        <w:rPr>
          <w:rFonts w:ascii="Palatino Linotype" w:hAnsi="Palatino Linotype"/>
          <w:i/>
        </w:rPr>
        <w:t>”</w:t>
      </w:r>
    </w:p>
    <w:p w:rsidR="00F03439" w:rsidRPr="00F03439" w:rsidRDefault="00F03439" w:rsidP="0027779C">
      <w:pPr>
        <w:spacing w:line="360" w:lineRule="auto"/>
        <w:ind w:left="567" w:right="567"/>
        <w:jc w:val="both"/>
        <w:rPr>
          <w:rFonts w:ascii="Palatino Linotype" w:eastAsia="Calibri" w:hAnsi="Palatino Linotype" w:cs="Tahoma"/>
          <w:bCs/>
          <w:i/>
          <w:szCs w:val="22"/>
          <w:lang w:val="es-ES" w:eastAsia="en-US"/>
        </w:rPr>
      </w:pPr>
      <w:r w:rsidRPr="00F03439">
        <w:rPr>
          <w:rFonts w:ascii="Palatino Linotype" w:eastAsia="Calibri" w:hAnsi="Palatino Linotype" w:cs="Tahoma"/>
          <w:bCs/>
          <w:i/>
          <w:szCs w:val="22"/>
          <w:lang w:val="es-ES" w:eastAsia="en-US"/>
        </w:rPr>
        <w:t>(Énfasis añadido)</w:t>
      </w:r>
    </w:p>
    <w:p w:rsidR="006D278C" w:rsidRDefault="006D278C" w:rsidP="006D278C">
      <w:pPr>
        <w:spacing w:line="360" w:lineRule="auto"/>
        <w:jc w:val="both"/>
        <w:rPr>
          <w:rFonts w:ascii="Palatino Linotype" w:hAnsi="Palatino Linotype"/>
          <w:sz w:val="22"/>
          <w:szCs w:val="22"/>
          <w:lang w:eastAsia="es-ES_tradnl"/>
        </w:rPr>
      </w:pPr>
    </w:p>
    <w:p w:rsidR="00F03439" w:rsidRDefault="00F03439" w:rsidP="006D278C">
      <w:pPr>
        <w:spacing w:line="360" w:lineRule="auto"/>
        <w:jc w:val="both"/>
        <w:rPr>
          <w:rFonts w:ascii="Palatino Linotype" w:hAnsi="Palatino Linotype"/>
          <w:sz w:val="22"/>
          <w:szCs w:val="22"/>
          <w:lang w:eastAsia="es-ES_tradnl"/>
        </w:rPr>
      </w:pPr>
      <w:r>
        <w:rPr>
          <w:rFonts w:ascii="Palatino Linotype" w:hAnsi="Palatino Linotype"/>
          <w:sz w:val="22"/>
          <w:szCs w:val="22"/>
          <w:lang w:eastAsia="es-ES_tradnl"/>
        </w:rPr>
        <w:t>De los preceptos legales en cita, se advierte que el Ayuntamiento de Papalotla cuenta con una facultad exclusiva para la expedición de permisos o licencias para ejercer la actividad mercantil de los negocios mercantiles y que para ejercer todo tipo de actividad económica, comercial, industrial o de servicios ser requiere necesariamente de una licencia, permiso o autorización.</w:t>
      </w:r>
    </w:p>
    <w:p w:rsidR="00F03439" w:rsidRDefault="00F03439" w:rsidP="006D278C">
      <w:pPr>
        <w:spacing w:line="360" w:lineRule="auto"/>
        <w:jc w:val="both"/>
        <w:rPr>
          <w:rFonts w:ascii="Palatino Linotype" w:hAnsi="Palatino Linotype"/>
          <w:sz w:val="22"/>
          <w:szCs w:val="22"/>
          <w:lang w:eastAsia="es-ES_tradnl"/>
        </w:rPr>
      </w:pPr>
    </w:p>
    <w:p w:rsidR="00F03439" w:rsidRDefault="00F03439" w:rsidP="006D278C">
      <w:pPr>
        <w:spacing w:line="360" w:lineRule="auto"/>
        <w:jc w:val="both"/>
        <w:rPr>
          <w:rFonts w:ascii="Palatino Linotype" w:hAnsi="Palatino Linotype"/>
          <w:sz w:val="22"/>
          <w:szCs w:val="22"/>
          <w:lang w:eastAsia="es-ES_tradnl"/>
        </w:rPr>
      </w:pPr>
      <w:r>
        <w:rPr>
          <w:rFonts w:ascii="Palatino Linotype" w:hAnsi="Palatino Linotype"/>
          <w:sz w:val="22"/>
          <w:szCs w:val="22"/>
          <w:lang w:eastAsia="es-ES_tradnl"/>
        </w:rPr>
        <w:t>Ahora bien, los artículos en cita prevén que la facultad de expedición de licencias se comisiona a una área específica</w:t>
      </w:r>
      <w:r w:rsidR="00D34635">
        <w:rPr>
          <w:rFonts w:ascii="Palatino Linotype" w:hAnsi="Palatino Linotype"/>
          <w:sz w:val="22"/>
          <w:szCs w:val="22"/>
          <w:lang w:eastAsia="es-ES_tradnl"/>
        </w:rPr>
        <w:t>, sin embargo, el Bando Municipal no identifica la área comisionada</w:t>
      </w:r>
      <w:r>
        <w:rPr>
          <w:rFonts w:ascii="Palatino Linotype" w:hAnsi="Palatino Linotype"/>
          <w:sz w:val="22"/>
          <w:szCs w:val="22"/>
          <w:lang w:eastAsia="es-ES_tradnl"/>
        </w:rPr>
        <w:t>; pese a ello, en el artículo 113 advierte que aquellos que pretendan obtener una licencia deben solicitarla previamente al Presidente Municipal, por lo que, se advierte que el Sujeto Obligado cuenta con la competencia para conocer, generar y archivar las licencias de funcionamiento correspondientes a las unidades económicas de mediano y alto impacto.</w:t>
      </w:r>
    </w:p>
    <w:p w:rsidR="00F03439" w:rsidRDefault="00F03439" w:rsidP="006D278C">
      <w:pPr>
        <w:spacing w:line="360" w:lineRule="auto"/>
        <w:jc w:val="both"/>
        <w:rPr>
          <w:rFonts w:ascii="Palatino Linotype" w:hAnsi="Palatino Linotype"/>
          <w:sz w:val="22"/>
          <w:szCs w:val="22"/>
          <w:lang w:eastAsia="es-ES_tradnl"/>
        </w:rPr>
      </w:pPr>
    </w:p>
    <w:p w:rsidR="00F03439" w:rsidRDefault="00F03439" w:rsidP="006D278C">
      <w:pPr>
        <w:spacing w:line="360" w:lineRule="auto"/>
        <w:jc w:val="both"/>
        <w:rPr>
          <w:rFonts w:ascii="Palatino Linotype" w:hAnsi="Palatino Linotype"/>
          <w:sz w:val="22"/>
          <w:szCs w:val="22"/>
          <w:lang w:eastAsia="es-ES_tradnl"/>
        </w:rPr>
      </w:pPr>
      <w:r>
        <w:rPr>
          <w:rFonts w:ascii="Palatino Linotype" w:hAnsi="Palatino Linotype"/>
          <w:sz w:val="22"/>
          <w:szCs w:val="22"/>
          <w:lang w:eastAsia="es-ES_tradnl"/>
        </w:rPr>
        <w:t xml:space="preserve">En razón, de lo anterior, resulta procedente ordenar, que previa búsqueda exhaustiva y razonable en las áreas de su competencia, entregue las licencias de funcionamiento de las unidad económicas de mediano y alto impacto, que se encuentran en el Ayuntamiento de Papalotla, ahora bien, para el caso de que la documentación cuente con datos personales confidenciales, deberá entregarla en versión pública, acompañada del acuerdo que para tales efectos emita el </w:t>
      </w:r>
      <w:r>
        <w:rPr>
          <w:rFonts w:ascii="Palatino Linotype" w:hAnsi="Palatino Linotype" w:cs="Tahoma"/>
          <w:sz w:val="22"/>
          <w:szCs w:val="22"/>
          <w:lang w:eastAsia="es-ES_tradnl"/>
        </w:rPr>
        <w:t xml:space="preserve">Comité de Transparencia de conformidad con la normatividad aplicable y los razonamientos vertidos en el considerando siguiente. </w:t>
      </w:r>
    </w:p>
    <w:p w:rsidR="006D278C" w:rsidRPr="006D278C" w:rsidRDefault="006D278C" w:rsidP="006D278C">
      <w:pPr>
        <w:spacing w:line="360" w:lineRule="auto"/>
        <w:jc w:val="both"/>
        <w:rPr>
          <w:rFonts w:ascii="Palatino Linotype" w:hAnsi="Palatino Linotype"/>
          <w:sz w:val="22"/>
          <w:szCs w:val="22"/>
          <w:lang w:eastAsia="es-ES_tradnl"/>
        </w:rPr>
      </w:pPr>
    </w:p>
    <w:p w:rsidR="00F56E12" w:rsidRDefault="00F56E12" w:rsidP="00210960">
      <w:pPr>
        <w:pStyle w:val="Prrafodelista"/>
        <w:numPr>
          <w:ilvl w:val="0"/>
          <w:numId w:val="10"/>
        </w:numPr>
        <w:spacing w:line="360" w:lineRule="auto"/>
        <w:jc w:val="both"/>
        <w:rPr>
          <w:rFonts w:ascii="Palatino Linotype" w:hAnsi="Palatino Linotype"/>
          <w:b/>
          <w:szCs w:val="22"/>
          <w:lang w:eastAsia="es-ES_tradnl"/>
        </w:rPr>
      </w:pPr>
      <w:r w:rsidRPr="00F56E12">
        <w:rPr>
          <w:rFonts w:ascii="Palatino Linotype" w:hAnsi="Palatino Linotype"/>
          <w:b/>
          <w:szCs w:val="22"/>
          <w:lang w:eastAsia="es-ES_tradnl"/>
        </w:rPr>
        <w:t>VISTO BUENO DE PROTECCIÓN CIVIL</w:t>
      </w:r>
      <w:r w:rsidR="00475B54">
        <w:rPr>
          <w:rFonts w:ascii="Palatino Linotype" w:hAnsi="Palatino Linotype"/>
          <w:b/>
          <w:szCs w:val="22"/>
          <w:lang w:eastAsia="es-ES_tradnl"/>
        </w:rPr>
        <w:t>.</w:t>
      </w:r>
    </w:p>
    <w:p w:rsidR="00B70F12" w:rsidRDefault="00B70F12" w:rsidP="00F03439">
      <w:pPr>
        <w:spacing w:line="360" w:lineRule="auto"/>
        <w:jc w:val="both"/>
        <w:rPr>
          <w:rFonts w:ascii="Palatino Linotype" w:hAnsi="Palatino Linotype"/>
          <w:sz w:val="22"/>
          <w:szCs w:val="22"/>
          <w:lang w:eastAsia="es-ES_tradnl"/>
        </w:rPr>
      </w:pPr>
    </w:p>
    <w:p w:rsidR="00F03439" w:rsidRDefault="00F03439" w:rsidP="00F03439">
      <w:pPr>
        <w:spacing w:line="360" w:lineRule="auto"/>
        <w:jc w:val="both"/>
        <w:rPr>
          <w:rFonts w:ascii="Palatino Linotype" w:hAnsi="Palatino Linotype"/>
          <w:sz w:val="22"/>
          <w:szCs w:val="22"/>
          <w:lang w:eastAsia="es-ES_tradnl"/>
        </w:rPr>
      </w:pPr>
      <w:r>
        <w:rPr>
          <w:rFonts w:ascii="Palatino Linotype" w:hAnsi="Palatino Linotype"/>
          <w:sz w:val="22"/>
          <w:szCs w:val="22"/>
          <w:lang w:eastAsia="es-ES_tradnl"/>
        </w:rPr>
        <w:t>Ahora bien, por cuanto hace al visto bueno de protecci</w:t>
      </w:r>
      <w:r w:rsidR="00B70F12">
        <w:rPr>
          <w:rFonts w:ascii="Palatino Linotype" w:hAnsi="Palatino Linotype"/>
          <w:sz w:val="22"/>
          <w:szCs w:val="22"/>
          <w:lang w:eastAsia="es-ES_tradnl"/>
        </w:rPr>
        <w:t>ón civil, nuevamente se retoma el Bando Municipal del Sujeto Obligado, que en su artículo 12 prevé lo siguiente:</w:t>
      </w:r>
    </w:p>
    <w:p w:rsidR="00B70F12" w:rsidRPr="00B70F12" w:rsidRDefault="00B70F12" w:rsidP="00F03439">
      <w:pPr>
        <w:spacing w:line="360" w:lineRule="auto"/>
        <w:jc w:val="both"/>
        <w:rPr>
          <w:rFonts w:ascii="Palatino Linotype" w:hAnsi="Palatino Linotype"/>
          <w:i/>
          <w:sz w:val="22"/>
          <w:szCs w:val="22"/>
          <w:lang w:eastAsia="es-ES_tradnl"/>
        </w:rPr>
      </w:pPr>
    </w:p>
    <w:p w:rsidR="00F03439" w:rsidRPr="00B70F12" w:rsidRDefault="00B70F12" w:rsidP="00B70F12">
      <w:pPr>
        <w:spacing w:line="360" w:lineRule="auto"/>
        <w:ind w:left="567" w:right="539"/>
        <w:jc w:val="both"/>
        <w:rPr>
          <w:rFonts w:ascii="Palatino Linotype" w:hAnsi="Palatino Linotype"/>
          <w:i/>
        </w:rPr>
      </w:pPr>
      <w:r>
        <w:rPr>
          <w:rFonts w:ascii="Palatino Linotype" w:hAnsi="Palatino Linotype"/>
          <w:i/>
        </w:rPr>
        <w:t>“</w:t>
      </w:r>
      <w:r w:rsidRPr="00B70F12">
        <w:rPr>
          <w:rFonts w:ascii="Palatino Linotype" w:hAnsi="Palatino Linotype"/>
          <w:i/>
        </w:rPr>
        <w:t>Artículo 112.- Posterior a la verificación y cumplimiento de las de medidas de seguridad correspondientes a la superficie y giro de la unidad económica, la Dirección de Protección Civil emitirá una constancia de cumplimiento de Visto Bueno en Verificación. El costo legal total integrado del Visto Bueno o Constancia que se refieren a las Medidas de Seguridad, están basados en la facultad reglamentaria autónoma que el artículo 115 de la constitución Política de los Estados Unidos Mexicanos otorga a las entidades municipales como sigue:</w:t>
      </w:r>
    </w:p>
    <w:p w:rsidR="00B70F12" w:rsidRDefault="00B70F12" w:rsidP="00F03439">
      <w:pPr>
        <w:spacing w:line="360" w:lineRule="auto"/>
        <w:jc w:val="both"/>
      </w:pPr>
      <w:r>
        <w:rPr>
          <w:noProof/>
          <w:lang w:eastAsia="es-MX"/>
        </w:rPr>
        <w:drawing>
          <wp:anchor distT="0" distB="0" distL="114300" distR="114300" simplePos="0" relativeHeight="251658240" behindDoc="1" locked="0" layoutInCell="1" allowOverlap="1">
            <wp:simplePos x="0" y="0"/>
            <wp:positionH relativeFrom="column">
              <wp:posOffset>782320</wp:posOffset>
            </wp:positionH>
            <wp:positionV relativeFrom="paragraph">
              <wp:posOffset>43180</wp:posOffset>
            </wp:positionV>
            <wp:extent cx="3914775" cy="1085074"/>
            <wp:effectExtent l="0" t="0" r="0" b="1270"/>
            <wp:wrapTight wrapText="bothSides">
              <wp:wrapPolygon edited="0">
                <wp:start x="0" y="0"/>
                <wp:lineTo x="0" y="21246"/>
                <wp:lineTo x="21442" y="21246"/>
                <wp:lineTo x="21442"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l="59708" t="58384" r="9775" b="26578"/>
                    <a:stretch/>
                  </pic:blipFill>
                  <pic:spPr bwMode="auto">
                    <a:xfrm>
                      <a:off x="0" y="0"/>
                      <a:ext cx="3914775" cy="1085074"/>
                    </a:xfrm>
                    <a:prstGeom prst="rect">
                      <a:avLst/>
                    </a:prstGeom>
                    <a:ln>
                      <a:noFill/>
                    </a:ln>
                    <a:extLst>
                      <a:ext uri="{53640926-AAD7-44D8-BBD7-CCE9431645EC}">
                        <a14:shadowObscured xmlns:a14="http://schemas.microsoft.com/office/drawing/2010/main"/>
                      </a:ext>
                    </a:extLst>
                  </pic:spPr>
                </pic:pic>
              </a:graphicData>
            </a:graphic>
          </wp:anchor>
        </w:drawing>
      </w:r>
    </w:p>
    <w:p w:rsidR="00B70F12" w:rsidRDefault="00B70F12" w:rsidP="00F03439">
      <w:pPr>
        <w:spacing w:line="360" w:lineRule="auto"/>
        <w:jc w:val="both"/>
      </w:pPr>
    </w:p>
    <w:p w:rsidR="00B70F12" w:rsidRDefault="00B70F12" w:rsidP="00F03439">
      <w:pPr>
        <w:spacing w:line="360" w:lineRule="auto"/>
        <w:jc w:val="both"/>
        <w:rPr>
          <w:rFonts w:ascii="Palatino Linotype" w:hAnsi="Palatino Linotype"/>
          <w:b/>
          <w:szCs w:val="22"/>
          <w:lang w:eastAsia="es-ES_tradnl"/>
        </w:rPr>
      </w:pPr>
    </w:p>
    <w:p w:rsidR="00B70F12" w:rsidRDefault="00B70F12" w:rsidP="00F03439">
      <w:pPr>
        <w:spacing w:line="360" w:lineRule="auto"/>
        <w:jc w:val="both"/>
        <w:rPr>
          <w:rFonts w:ascii="Palatino Linotype" w:hAnsi="Palatino Linotype"/>
          <w:b/>
          <w:szCs w:val="22"/>
          <w:lang w:eastAsia="es-ES_tradnl"/>
        </w:rPr>
      </w:pPr>
    </w:p>
    <w:p w:rsidR="00B70F12" w:rsidRDefault="00B70F12" w:rsidP="00F03439">
      <w:pPr>
        <w:spacing w:line="360" w:lineRule="auto"/>
        <w:jc w:val="both"/>
        <w:rPr>
          <w:rFonts w:ascii="Palatino Linotype" w:hAnsi="Palatino Linotype"/>
          <w:b/>
          <w:szCs w:val="22"/>
          <w:lang w:eastAsia="es-ES_tradnl"/>
        </w:rPr>
      </w:pPr>
    </w:p>
    <w:p w:rsidR="00B70F12" w:rsidRDefault="00B70F12" w:rsidP="00F03439">
      <w:pPr>
        <w:spacing w:line="360" w:lineRule="auto"/>
        <w:jc w:val="both"/>
        <w:rPr>
          <w:rFonts w:ascii="Palatino Linotype" w:hAnsi="Palatino Linotype"/>
          <w:b/>
          <w:szCs w:val="22"/>
          <w:lang w:eastAsia="es-ES_tradnl"/>
        </w:rPr>
      </w:pPr>
    </w:p>
    <w:p w:rsidR="00B70F12" w:rsidRDefault="00B70F12" w:rsidP="00F03439">
      <w:pPr>
        <w:spacing w:line="360" w:lineRule="auto"/>
        <w:jc w:val="both"/>
        <w:rPr>
          <w:rFonts w:ascii="Palatino Linotype" w:hAnsi="Palatino Linotype"/>
          <w:sz w:val="22"/>
          <w:szCs w:val="22"/>
          <w:lang w:eastAsia="es-ES_tradnl"/>
        </w:rPr>
      </w:pPr>
      <w:r>
        <w:rPr>
          <w:rFonts w:ascii="Palatino Linotype" w:hAnsi="Palatino Linotype"/>
          <w:sz w:val="22"/>
          <w:szCs w:val="22"/>
          <w:lang w:eastAsia="es-ES_tradnl"/>
        </w:rPr>
        <w:t xml:space="preserve">Del artículo en cita se puede advertir que, previamente a la expedición de la licencia o permiso, se debe </w:t>
      </w:r>
      <w:r w:rsidR="00660E66">
        <w:rPr>
          <w:rFonts w:ascii="Palatino Linotype" w:hAnsi="Palatino Linotype"/>
          <w:sz w:val="22"/>
          <w:szCs w:val="22"/>
          <w:lang w:eastAsia="es-ES_tradnl"/>
        </w:rPr>
        <w:t>dar cumplimiento a las medidas de seguridad correspondiente a la superficie y giro de la unidad económica, ante dicha situación, la Dirección de Protección Civil, emitirá una constancia de visto bueno en verificación, por lo que, se puede concluir, que el Sujeto Obligado tiene conocimiento y facultades para emitir los Vistos Buenos de Verificación de los negocios mercantiles o unidades económicas de alto y mediano plazo.</w:t>
      </w:r>
    </w:p>
    <w:p w:rsidR="00660E66" w:rsidRDefault="00660E66" w:rsidP="00F03439">
      <w:pPr>
        <w:spacing w:line="360" w:lineRule="auto"/>
        <w:jc w:val="both"/>
        <w:rPr>
          <w:rFonts w:ascii="Palatino Linotype" w:hAnsi="Palatino Linotype"/>
          <w:sz w:val="22"/>
          <w:szCs w:val="22"/>
          <w:lang w:eastAsia="es-ES_tradnl"/>
        </w:rPr>
      </w:pPr>
    </w:p>
    <w:p w:rsidR="00B70F12" w:rsidRDefault="00660E66" w:rsidP="00F03439">
      <w:pPr>
        <w:spacing w:line="360" w:lineRule="auto"/>
        <w:jc w:val="both"/>
        <w:rPr>
          <w:rFonts w:ascii="Palatino Linotype" w:hAnsi="Palatino Linotype"/>
          <w:sz w:val="22"/>
          <w:szCs w:val="22"/>
          <w:lang w:eastAsia="es-ES_tradnl"/>
        </w:rPr>
      </w:pPr>
      <w:r>
        <w:rPr>
          <w:rFonts w:ascii="Palatino Linotype" w:hAnsi="Palatino Linotype"/>
          <w:sz w:val="22"/>
          <w:szCs w:val="22"/>
          <w:lang w:eastAsia="es-ES_tradnl"/>
        </w:rPr>
        <w:t xml:space="preserve">Por lo antes expuesto, se determina que previa búsqueda exhaustiva y razonable en las áreas competentes, el Sujeto Obligado debe entregar los vistos buenos de verificación de las unidades económicas de mediano y alto impacto que vendan bebidas alcohólicas al copeo, en el Municipio de Papalotla, para el caso de que dicha documentación contenga datos personales confidenciales, se deberá hacer entrega de la información en su versión pública, acompañada del acuerdo que para tales efectos emita el </w:t>
      </w:r>
      <w:r>
        <w:rPr>
          <w:rFonts w:ascii="Palatino Linotype" w:hAnsi="Palatino Linotype" w:cs="Tahoma"/>
          <w:sz w:val="22"/>
          <w:szCs w:val="22"/>
          <w:lang w:eastAsia="es-ES_tradnl"/>
        </w:rPr>
        <w:t xml:space="preserve">Comité de Transparencia, de conformidad con la legislación aplicable y los criterios descritos en el considerando siguiente. </w:t>
      </w:r>
    </w:p>
    <w:p w:rsidR="00B70F12" w:rsidRPr="00B70F12" w:rsidRDefault="00B70F12" w:rsidP="00F03439">
      <w:pPr>
        <w:spacing w:line="360" w:lineRule="auto"/>
        <w:jc w:val="both"/>
        <w:rPr>
          <w:rFonts w:ascii="Palatino Linotype" w:hAnsi="Palatino Linotype"/>
          <w:sz w:val="22"/>
          <w:szCs w:val="22"/>
          <w:lang w:eastAsia="es-ES_tradnl"/>
        </w:rPr>
      </w:pPr>
    </w:p>
    <w:p w:rsidR="00F56E12" w:rsidRPr="00F56E12" w:rsidRDefault="00F56E12" w:rsidP="00210960">
      <w:pPr>
        <w:pStyle w:val="Prrafodelista"/>
        <w:numPr>
          <w:ilvl w:val="0"/>
          <w:numId w:val="10"/>
        </w:numPr>
        <w:spacing w:line="360" w:lineRule="auto"/>
        <w:jc w:val="both"/>
        <w:rPr>
          <w:rFonts w:ascii="Palatino Linotype" w:hAnsi="Palatino Linotype"/>
          <w:b/>
          <w:szCs w:val="22"/>
          <w:lang w:eastAsia="es-ES_tradnl"/>
        </w:rPr>
      </w:pPr>
      <w:r w:rsidRPr="00F56E12">
        <w:rPr>
          <w:rFonts w:ascii="Palatino Linotype" w:hAnsi="Palatino Linotype"/>
          <w:b/>
          <w:szCs w:val="22"/>
          <w:lang w:eastAsia="es-ES_tradnl"/>
        </w:rPr>
        <w:t>DOCUMENTO ÚNICO DE FACTIBILIDAD</w:t>
      </w:r>
    </w:p>
    <w:p w:rsidR="0027779C" w:rsidRDefault="0027779C" w:rsidP="002C33B2">
      <w:pPr>
        <w:spacing w:line="360" w:lineRule="auto"/>
        <w:contextualSpacing/>
        <w:rPr>
          <w:rFonts w:ascii="Palatino Linotype" w:hAnsi="Palatino Linotype"/>
          <w:sz w:val="22"/>
          <w:szCs w:val="22"/>
          <w:lang w:eastAsia="es-ES_tradnl"/>
        </w:rPr>
      </w:pPr>
    </w:p>
    <w:p w:rsidR="00DB2FBE" w:rsidRDefault="0027779C" w:rsidP="002C33B2">
      <w:pPr>
        <w:spacing w:line="360" w:lineRule="auto"/>
        <w:contextualSpacing/>
        <w:rPr>
          <w:rFonts w:ascii="Palatino Linotype" w:hAnsi="Palatino Linotype"/>
          <w:sz w:val="22"/>
          <w:szCs w:val="22"/>
          <w:lang w:eastAsia="es-ES_tradnl"/>
        </w:rPr>
      </w:pPr>
      <w:r>
        <w:rPr>
          <w:rFonts w:ascii="Palatino Linotype" w:hAnsi="Palatino Linotype"/>
          <w:sz w:val="22"/>
          <w:szCs w:val="22"/>
          <w:lang w:eastAsia="es-ES_tradnl"/>
        </w:rPr>
        <w:t>Ahora bien, en atención a la solicitud del documento único de factibilidad de las unidades económicas de mediano y alto impacto que cuentan con la venta de bebidas alcohólicas; es necesario señalar que el artículo 127 del Bando Municipal en análisis, que a la letra refiere:</w:t>
      </w:r>
    </w:p>
    <w:p w:rsidR="0027779C" w:rsidRPr="0027779C" w:rsidRDefault="0027779C" w:rsidP="0027779C">
      <w:pPr>
        <w:spacing w:line="360" w:lineRule="auto"/>
        <w:ind w:left="567" w:right="539"/>
        <w:contextualSpacing/>
        <w:jc w:val="both"/>
        <w:rPr>
          <w:rFonts w:ascii="Palatino Linotype" w:hAnsi="Palatino Linotype"/>
          <w:i/>
          <w:sz w:val="22"/>
          <w:szCs w:val="22"/>
          <w:lang w:eastAsia="es-ES_tradnl"/>
        </w:rPr>
      </w:pPr>
    </w:p>
    <w:p w:rsidR="0027779C" w:rsidRPr="008F4C28" w:rsidRDefault="0027779C" w:rsidP="006D1C29">
      <w:pPr>
        <w:spacing w:line="360" w:lineRule="auto"/>
        <w:ind w:left="567" w:right="539"/>
        <w:contextualSpacing/>
        <w:jc w:val="both"/>
        <w:rPr>
          <w:rFonts w:ascii="Palatino Linotype" w:hAnsi="Palatino Linotype"/>
          <w:b/>
          <w:i/>
          <w:sz w:val="22"/>
          <w:szCs w:val="22"/>
          <w:lang w:eastAsia="es-ES_tradnl"/>
        </w:rPr>
      </w:pPr>
      <w:r>
        <w:rPr>
          <w:rFonts w:ascii="Palatino Linotype" w:hAnsi="Palatino Linotype"/>
          <w:i/>
        </w:rPr>
        <w:t>“</w:t>
      </w:r>
      <w:r w:rsidRPr="0027779C">
        <w:rPr>
          <w:rFonts w:ascii="Palatino Linotype" w:hAnsi="Palatino Linotype"/>
          <w:i/>
        </w:rPr>
        <w:t xml:space="preserve">Artículo 127.- </w:t>
      </w:r>
      <w:r w:rsidRPr="0027779C">
        <w:rPr>
          <w:rFonts w:ascii="Palatino Linotype" w:hAnsi="Palatino Linotype"/>
          <w:b/>
          <w:i/>
        </w:rPr>
        <w:t>El Ayuntamiento solo permitirán el funcionamiento de unidades económicas cuya actividad principal contemple la venta y/o distribución de bebidas alcohólicas en envase abierto y/o al copeo para su consumo en el interior</w:t>
      </w:r>
      <w:r w:rsidRPr="0027779C">
        <w:rPr>
          <w:rFonts w:ascii="Palatino Linotype" w:hAnsi="Palatino Linotype"/>
          <w:i/>
        </w:rPr>
        <w:t xml:space="preserve">, a las personas físicas y jurídicas colectivas </w:t>
      </w:r>
      <w:r w:rsidRPr="008F4C28">
        <w:rPr>
          <w:rFonts w:ascii="Palatino Linotype" w:hAnsi="Palatino Linotype"/>
          <w:b/>
          <w:i/>
        </w:rPr>
        <w:t>que cuenten previamente con el Dictamen Único de Factibilidad y/o el Dictamen de Factibilidad de Impacto Sanitario. Estos Dictámenes se tramitan ante el Consejo Rector de Impacto Sanitario y Comisión Estatal de Factibilidad.”</w:t>
      </w:r>
    </w:p>
    <w:p w:rsidR="0027779C" w:rsidRDefault="0027779C" w:rsidP="006D1C29">
      <w:pPr>
        <w:spacing w:line="360" w:lineRule="auto"/>
        <w:contextualSpacing/>
        <w:jc w:val="both"/>
        <w:rPr>
          <w:rFonts w:ascii="Palatino Linotype" w:hAnsi="Palatino Linotype"/>
          <w:sz w:val="22"/>
          <w:szCs w:val="22"/>
          <w:lang w:eastAsia="es-ES_tradnl"/>
        </w:rPr>
      </w:pPr>
    </w:p>
    <w:p w:rsidR="00F56E12" w:rsidRDefault="008F4C28" w:rsidP="006D1C29">
      <w:pPr>
        <w:spacing w:line="360" w:lineRule="auto"/>
        <w:contextualSpacing/>
        <w:jc w:val="both"/>
        <w:rPr>
          <w:rFonts w:ascii="Palatino Linotype" w:hAnsi="Palatino Linotype"/>
          <w:sz w:val="22"/>
          <w:szCs w:val="22"/>
          <w:lang w:eastAsia="es-ES_tradnl"/>
        </w:rPr>
      </w:pPr>
      <w:r>
        <w:rPr>
          <w:rFonts w:ascii="Palatino Linotype" w:hAnsi="Palatino Linotype"/>
          <w:sz w:val="22"/>
          <w:szCs w:val="22"/>
          <w:lang w:eastAsia="es-ES_tradnl"/>
        </w:rPr>
        <w:t xml:space="preserve">De lo anterior, se puede extraer, que el Sujeto Obligado prevé en su disposición local, que previamente a obtener un permiso o licencia que permita la venta o distribución de bebidas alcohólicas en envase abierto y/o al copeo, como principal actividad, deberá contar con un </w:t>
      </w:r>
      <w:r w:rsidR="00F06840">
        <w:rPr>
          <w:rFonts w:ascii="Palatino Linotype" w:hAnsi="Palatino Linotype"/>
          <w:sz w:val="22"/>
          <w:szCs w:val="22"/>
          <w:lang w:eastAsia="es-ES_tradnl"/>
        </w:rPr>
        <w:t xml:space="preserve">Dictamen Único de Factibilidad </w:t>
      </w:r>
      <w:r>
        <w:rPr>
          <w:rFonts w:ascii="Palatino Linotype" w:hAnsi="Palatino Linotype"/>
          <w:sz w:val="22"/>
          <w:szCs w:val="22"/>
          <w:lang w:eastAsia="es-ES_tradnl"/>
        </w:rPr>
        <w:t xml:space="preserve">y /o el </w:t>
      </w:r>
      <w:r w:rsidR="00F06840">
        <w:rPr>
          <w:rFonts w:ascii="Palatino Linotype" w:hAnsi="Palatino Linotype"/>
          <w:sz w:val="22"/>
          <w:szCs w:val="22"/>
          <w:lang w:eastAsia="es-ES_tradnl"/>
        </w:rPr>
        <w:t>Dictamen de Factibilidad de Impacto Sanitario.</w:t>
      </w:r>
    </w:p>
    <w:p w:rsidR="008F4C28" w:rsidRDefault="008F4C28" w:rsidP="006D1C29">
      <w:pPr>
        <w:spacing w:line="360" w:lineRule="auto"/>
        <w:contextualSpacing/>
        <w:jc w:val="both"/>
        <w:rPr>
          <w:rFonts w:ascii="Palatino Linotype" w:hAnsi="Palatino Linotype"/>
          <w:sz w:val="22"/>
          <w:szCs w:val="22"/>
          <w:lang w:eastAsia="es-ES_tradnl"/>
        </w:rPr>
      </w:pPr>
    </w:p>
    <w:p w:rsidR="008F4C28" w:rsidRDefault="008F4C28" w:rsidP="006D1C29">
      <w:pPr>
        <w:spacing w:line="360" w:lineRule="auto"/>
        <w:contextualSpacing/>
        <w:jc w:val="both"/>
        <w:rPr>
          <w:rFonts w:ascii="Palatino Linotype" w:hAnsi="Palatino Linotype"/>
          <w:sz w:val="22"/>
          <w:szCs w:val="22"/>
          <w:lang w:eastAsia="es-ES_tradnl"/>
        </w:rPr>
      </w:pPr>
      <w:r>
        <w:rPr>
          <w:rFonts w:ascii="Palatino Linotype" w:hAnsi="Palatino Linotype"/>
          <w:sz w:val="22"/>
          <w:szCs w:val="22"/>
          <w:lang w:eastAsia="es-ES_tradnl"/>
        </w:rPr>
        <w:t>Ante esta disposición legal, se puede entender que el documento denominado Dictamen Único de Factibilidad y/o Dictamen de Factibilidad de Impacto Sanitario, es necesario únicamente para las unidades económicas de alto impacto; pues como se ha referido anteriormente, estas unidades de alto impacto son aquellas que marcan como su principal factibilidad la venta de bebidas alcohólicas para el consumo inmediato.</w:t>
      </w:r>
    </w:p>
    <w:p w:rsidR="008F4C28" w:rsidRDefault="008F4C28" w:rsidP="006D1C29">
      <w:pPr>
        <w:spacing w:line="360" w:lineRule="auto"/>
        <w:contextualSpacing/>
        <w:jc w:val="both"/>
        <w:rPr>
          <w:rFonts w:ascii="Palatino Linotype" w:hAnsi="Palatino Linotype"/>
          <w:sz w:val="22"/>
          <w:szCs w:val="22"/>
          <w:lang w:eastAsia="es-ES_tradnl"/>
        </w:rPr>
      </w:pPr>
    </w:p>
    <w:p w:rsidR="00475B54" w:rsidRDefault="008F4C28" w:rsidP="006D1C29">
      <w:pPr>
        <w:spacing w:line="360" w:lineRule="auto"/>
        <w:contextualSpacing/>
        <w:jc w:val="both"/>
        <w:rPr>
          <w:rFonts w:ascii="Palatino Linotype" w:hAnsi="Palatino Linotype"/>
          <w:sz w:val="22"/>
          <w:szCs w:val="22"/>
          <w:lang w:eastAsia="es-ES_tradnl"/>
        </w:rPr>
      </w:pPr>
      <w:r>
        <w:rPr>
          <w:rFonts w:ascii="Palatino Linotype" w:hAnsi="Palatino Linotype"/>
          <w:sz w:val="22"/>
          <w:szCs w:val="22"/>
          <w:lang w:eastAsia="es-ES_tradnl"/>
        </w:rPr>
        <w:t xml:space="preserve">Asimismo, podemos advertir que este documento o documentos, son expedidos por el Consejo Rector de Impacto Sanitario y Comisión Estatal de Factibilidad, que corresponde a un área administrativa fuera de la estructura </w:t>
      </w:r>
      <w:r w:rsidR="006D1C29">
        <w:rPr>
          <w:rFonts w:ascii="Palatino Linotype" w:hAnsi="Palatino Linotype"/>
          <w:sz w:val="22"/>
          <w:szCs w:val="22"/>
          <w:lang w:eastAsia="es-ES_tradnl"/>
        </w:rPr>
        <w:t>orgánica</w:t>
      </w:r>
      <w:r>
        <w:rPr>
          <w:rFonts w:ascii="Palatino Linotype" w:hAnsi="Palatino Linotype"/>
          <w:sz w:val="22"/>
          <w:szCs w:val="22"/>
          <w:lang w:eastAsia="es-ES_tradnl"/>
        </w:rPr>
        <w:t xml:space="preserve"> del Sujeto Obligado y que </w:t>
      </w:r>
      <w:r w:rsidR="00475B54">
        <w:rPr>
          <w:rFonts w:ascii="Palatino Linotype" w:hAnsi="Palatino Linotype"/>
          <w:sz w:val="22"/>
          <w:szCs w:val="22"/>
          <w:lang w:eastAsia="es-ES_tradnl"/>
        </w:rPr>
        <w:t>corresponde</w:t>
      </w:r>
      <w:r>
        <w:rPr>
          <w:rFonts w:ascii="Palatino Linotype" w:hAnsi="Palatino Linotype"/>
          <w:sz w:val="22"/>
          <w:szCs w:val="22"/>
          <w:lang w:eastAsia="es-ES_tradnl"/>
        </w:rPr>
        <w:t xml:space="preserve"> a un </w:t>
      </w:r>
      <w:r w:rsidR="006D1C29">
        <w:rPr>
          <w:rFonts w:ascii="Palatino Linotype" w:hAnsi="Palatino Linotype"/>
          <w:sz w:val="22"/>
          <w:szCs w:val="22"/>
          <w:lang w:eastAsia="es-ES_tradnl"/>
        </w:rPr>
        <w:t>Sujeto</w:t>
      </w:r>
      <w:r>
        <w:rPr>
          <w:rFonts w:ascii="Palatino Linotype" w:hAnsi="Palatino Linotype"/>
          <w:sz w:val="22"/>
          <w:szCs w:val="22"/>
          <w:lang w:eastAsia="es-ES_tradnl"/>
        </w:rPr>
        <w:t xml:space="preserve"> Obligado distinto</w:t>
      </w:r>
      <w:r w:rsidR="00475B54">
        <w:rPr>
          <w:rFonts w:ascii="Palatino Linotype" w:hAnsi="Palatino Linotype"/>
          <w:sz w:val="22"/>
          <w:szCs w:val="22"/>
          <w:lang w:eastAsia="es-ES_tradnl"/>
        </w:rPr>
        <w:t>, de conformidad con la Ley que crea l</w:t>
      </w:r>
      <w:r w:rsidR="00475B54" w:rsidRPr="00475B54">
        <w:rPr>
          <w:rFonts w:ascii="Palatino Linotype" w:hAnsi="Palatino Linotype"/>
          <w:sz w:val="22"/>
          <w:szCs w:val="22"/>
          <w:lang w:eastAsia="es-ES_tradnl"/>
        </w:rPr>
        <w:t xml:space="preserve">a Comisión </w:t>
      </w:r>
      <w:r w:rsidR="00475B54">
        <w:rPr>
          <w:rFonts w:ascii="Palatino Linotype" w:hAnsi="Palatino Linotype"/>
          <w:sz w:val="22"/>
          <w:szCs w:val="22"/>
          <w:lang w:eastAsia="es-ES_tradnl"/>
        </w:rPr>
        <w:t>de Factibilidad del Estado de México:</w:t>
      </w:r>
    </w:p>
    <w:p w:rsidR="00475B54" w:rsidRDefault="00475B54" w:rsidP="006D1C29">
      <w:pPr>
        <w:spacing w:line="360" w:lineRule="auto"/>
        <w:contextualSpacing/>
        <w:jc w:val="both"/>
        <w:rPr>
          <w:rFonts w:ascii="Palatino Linotype" w:hAnsi="Palatino Linotype"/>
          <w:sz w:val="22"/>
          <w:szCs w:val="22"/>
          <w:lang w:eastAsia="es-ES_tradnl"/>
        </w:rPr>
      </w:pPr>
    </w:p>
    <w:p w:rsid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Artículo 1. La presente Ley de orden público e interés general y tiene por objeto crear la</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Comisión de Factibilidad del Estado de México, como un órgano desconcentrado de la Secretaría de Justicia y Derechos Humanos, con autonomía técnica y operativa en el ejercicio de sus atribuciones, responsable de la emisión del Dictamen Único de Factibilidad.</w:t>
      </w:r>
      <w:r w:rsidRPr="00475B54">
        <w:rPr>
          <w:rFonts w:ascii="Palatino Linotype" w:hAnsi="Palatino Linotype"/>
          <w:i/>
          <w:sz w:val="22"/>
          <w:szCs w:val="22"/>
          <w:lang w:eastAsia="es-ES_tradnl"/>
        </w:rPr>
        <w:cr/>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Artículo 4. La Comisión tendrá las atribuciones siguientes:</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u w:val="single"/>
          <w:lang w:eastAsia="es-ES_tradnl"/>
        </w:rPr>
        <w:t>I. Atender y resolver de manera permanente e integral y en los tiempos establecidos en las disposiciones jurídicas aplicables, las solicitudes de Dictamen y demás trámites de su competencia,</w:t>
      </w:r>
      <w:r w:rsidRPr="00475B54">
        <w:rPr>
          <w:rFonts w:ascii="Palatino Linotype" w:hAnsi="Palatino Linotype"/>
          <w:i/>
          <w:sz w:val="22"/>
          <w:szCs w:val="22"/>
          <w:lang w:eastAsia="es-ES_tradnl"/>
        </w:rPr>
        <w:t xml:space="preserve"> incluidos los realizados mediante el uso de plataformas tecnológicas, presentadas</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por las personas físicas o jurídicas colectivas, dictaminando sobre su procedencia o</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improcedencia, a través de la resolución correspondiente;</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II. Solicitar la colaboración de las dependencias del Ejec</w:t>
      </w:r>
      <w:r>
        <w:rPr>
          <w:rFonts w:ascii="Palatino Linotype" w:hAnsi="Palatino Linotype"/>
          <w:i/>
          <w:sz w:val="22"/>
          <w:szCs w:val="22"/>
          <w:lang w:eastAsia="es-ES_tradnl"/>
        </w:rPr>
        <w:t>u</w:t>
      </w:r>
      <w:r w:rsidRPr="00475B54">
        <w:rPr>
          <w:rFonts w:ascii="Palatino Linotype" w:hAnsi="Palatino Linotype"/>
          <w:i/>
          <w:sz w:val="22"/>
          <w:szCs w:val="22"/>
          <w:lang w:eastAsia="es-ES_tradnl"/>
        </w:rPr>
        <w:t>tivo del Estado y de organismos</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auxiliares de carácter federal, estatal y municipal, para acreditar el cumplimiento de los</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requisitos para la expedición del Dictamen y demás trámites de su competencia, en los</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términos y condiciones establecidos en la legislación correspondiente;</w:t>
      </w:r>
    </w:p>
    <w:p w:rsidR="00475B54" w:rsidRPr="00475B54" w:rsidRDefault="00475B54" w:rsidP="00475B54">
      <w:pPr>
        <w:spacing w:line="360" w:lineRule="auto"/>
        <w:ind w:left="567" w:right="567"/>
        <w:contextualSpacing/>
        <w:jc w:val="both"/>
        <w:rPr>
          <w:rFonts w:ascii="Palatino Linotype" w:hAnsi="Palatino Linotype"/>
          <w:i/>
          <w:sz w:val="22"/>
          <w:szCs w:val="22"/>
          <w:u w:val="single"/>
          <w:lang w:eastAsia="es-ES_tradnl"/>
        </w:rPr>
      </w:pPr>
      <w:r w:rsidRPr="00475B54">
        <w:rPr>
          <w:rFonts w:ascii="Palatino Linotype" w:hAnsi="Palatino Linotype"/>
          <w:i/>
          <w:sz w:val="22"/>
          <w:szCs w:val="22"/>
          <w:u w:val="single"/>
          <w:lang w:eastAsia="es-ES_tradnl"/>
        </w:rPr>
        <w:t>III. Establecer el formato digital e impreso de solicitud para la recepción e integración de le carpeta del proyecto que contendrá los tramites, requisitos y tiempos de respuesta, para obtener el Dictamen;</w:t>
      </w:r>
    </w:p>
    <w:p w:rsidR="00475B54" w:rsidRPr="00475B54" w:rsidRDefault="00475B54" w:rsidP="00475B54">
      <w:pPr>
        <w:spacing w:line="360" w:lineRule="auto"/>
        <w:ind w:left="567" w:right="567"/>
        <w:contextualSpacing/>
        <w:jc w:val="both"/>
        <w:rPr>
          <w:rFonts w:ascii="Palatino Linotype" w:hAnsi="Palatino Linotype"/>
          <w:b/>
          <w:i/>
          <w:sz w:val="22"/>
          <w:szCs w:val="22"/>
          <w:u w:val="single"/>
          <w:lang w:eastAsia="es-ES_tradnl"/>
        </w:rPr>
      </w:pPr>
      <w:r w:rsidRPr="00475B54">
        <w:rPr>
          <w:rFonts w:ascii="Palatino Linotype" w:hAnsi="Palatino Linotype"/>
          <w:b/>
          <w:i/>
          <w:sz w:val="22"/>
          <w:szCs w:val="22"/>
          <w:u w:val="single"/>
          <w:lang w:eastAsia="es-ES_tradnl"/>
        </w:rPr>
        <w:t>IV. Recibir, analizar, requerir e integrar la documentación de los proyectos, incluso por medios digitales, para emitir el oficio de procedencia jurídica, el Dictamen o, en su caso, la determinación que proceda;</w:t>
      </w:r>
    </w:p>
    <w:p w:rsid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V. Crear y actualizar de manera semanal el registro de las unidades económicas que cuenten</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con el Dictamen, así como de aquellas que lo soliciten;</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VI. Requerir a las instancias responsables de emitir las evaluaciones técnicas de factibilidad</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los proyectos sometidos a su consideración;</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VII. Implementar y coordinar los mecanismos que faciliten la tramitación y entrega del</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Dictamen;</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VIII. Orientar a las y los solicitantes, por los medios de comunicación o tecnologías de la</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información que se estimen pertinentes, de conformidad con la Ley de Gobierno Digital del</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Estado de México y Municipios, sobre la normatividad aplicable y la tramitación</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correspondiente para la obtención del Dictamen;</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IX. Solicitar al Instituto que, en el ámbito de su competencia y con la colaboración de las</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dependencias del Ejecutivo Estatal, organismos auxiliares, estatales o municipales coordine la</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realización de las visitas colegiadas multidisciplinarias correspondientes;</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X. Solicitar al Instituto que, en el ámbito de su competencia, lleve a cabo la verificación e</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informe el cumplimiento de las obligaciones o condicionantes establecidas en el Dictamen;</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XI. Coadyuvar con el Instituto para llevar a cabo las verificaciones y vigilar el cumplimiento de</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las obligaciones o condicionantes establecidas en el Dictamen;</w:t>
      </w:r>
    </w:p>
    <w:p w:rsid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XII. Promover que la emisión del Dictamen, se realice de manera oportuna, transparente, ágil y</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sencilla, impulsando reformas jurídicas y administrativas, así como incorporar el uso de</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tecnologías de la información, medios y plataformas tecnológicas;</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XIII. Aplicar las medidas preventivas y de seguridad necesar</w:t>
      </w:r>
      <w:r>
        <w:rPr>
          <w:rFonts w:ascii="Palatino Linotype" w:hAnsi="Palatino Linotype"/>
          <w:i/>
          <w:sz w:val="22"/>
          <w:szCs w:val="22"/>
          <w:lang w:eastAsia="es-ES_tradnl"/>
        </w:rPr>
        <w:t xml:space="preserve">ias para el cumplimiento de sus </w:t>
      </w:r>
      <w:r w:rsidRPr="00475B54">
        <w:rPr>
          <w:rFonts w:ascii="Palatino Linotype" w:hAnsi="Palatino Linotype"/>
          <w:i/>
          <w:sz w:val="22"/>
          <w:szCs w:val="22"/>
          <w:lang w:eastAsia="es-ES_tradnl"/>
        </w:rPr>
        <w:t>atribuciones, en términos de las disposiciones jurídicas aplicables;</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XIV. Dar vista al órgano interno de control de las depen</w:t>
      </w:r>
      <w:r>
        <w:rPr>
          <w:rFonts w:ascii="Palatino Linotype" w:hAnsi="Palatino Linotype"/>
          <w:i/>
          <w:sz w:val="22"/>
          <w:szCs w:val="22"/>
          <w:lang w:eastAsia="es-ES_tradnl"/>
        </w:rPr>
        <w:t xml:space="preserve">dencias y organismos auxiliares </w:t>
      </w:r>
      <w:r w:rsidRPr="00475B54">
        <w:rPr>
          <w:rFonts w:ascii="Palatino Linotype" w:hAnsi="Palatino Linotype"/>
          <w:i/>
          <w:sz w:val="22"/>
          <w:szCs w:val="22"/>
          <w:lang w:eastAsia="es-ES_tradnl"/>
        </w:rPr>
        <w:t>estatales, por el presunto incumplimiento de las disposiciones jurídicas aplicables por parte de</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las y los integrantes de la Comisión;</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XV. Promover y proponer a las autoridades competentes la adopción de medidas necesarias</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para la aplicación de la mejora regulatoria, principalmente la simplificación administrativa y la</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agilización del procedimiento para la emisión del Dictamen, en términos de las disposiciones</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jurídicas aplicables;</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XVI. Establecer mecanismos y requisitos para la regularización de la construcción, apertura,</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instalación, operación, ampliación o funcionamiento</w:t>
      </w:r>
      <w:r>
        <w:rPr>
          <w:rFonts w:ascii="Palatino Linotype" w:hAnsi="Palatino Linotype"/>
          <w:i/>
          <w:sz w:val="22"/>
          <w:szCs w:val="22"/>
          <w:lang w:eastAsia="es-ES_tradnl"/>
        </w:rPr>
        <w:t xml:space="preserve"> de obras, unidades económicas, </w:t>
      </w:r>
      <w:r w:rsidRPr="00475B54">
        <w:rPr>
          <w:rFonts w:ascii="Palatino Linotype" w:hAnsi="Palatino Linotype"/>
          <w:i/>
          <w:sz w:val="22"/>
          <w:szCs w:val="22"/>
          <w:lang w:eastAsia="es-ES_tradnl"/>
        </w:rPr>
        <w:t>inversiones o proyectos, que hubieran iniciado o concluido sin los dictámenes, permisos,</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evaluaciones, opiniones o licencias correspondientes, sin perjuicio de las sanciones previstas</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en cada materia, en términos de las disposiciones jurídicas aplicables;</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XVII. Establecer medidas y criterios para optimizar y precisar la operación de la Comisión y la</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emisión del Dictamen;</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XVIII. Expedir lineamientos, manuales y demás disposiciones para el cumplimiento de sus</w:t>
      </w:r>
      <w:r>
        <w:rPr>
          <w:rFonts w:ascii="Palatino Linotype" w:hAnsi="Palatino Linotype"/>
          <w:i/>
          <w:sz w:val="22"/>
          <w:szCs w:val="22"/>
          <w:lang w:eastAsia="es-ES_tradnl"/>
        </w:rPr>
        <w:t xml:space="preserve"> </w:t>
      </w:r>
      <w:r w:rsidRPr="00475B54">
        <w:rPr>
          <w:rFonts w:ascii="Palatino Linotype" w:hAnsi="Palatino Linotype"/>
          <w:i/>
          <w:sz w:val="22"/>
          <w:szCs w:val="22"/>
          <w:lang w:eastAsia="es-ES_tradnl"/>
        </w:rPr>
        <w:t>atribuciones; y</w:t>
      </w:r>
    </w:p>
    <w:p w:rsidR="00475B54" w:rsidRPr="00475B54" w:rsidRDefault="00475B54" w:rsidP="00475B54">
      <w:pPr>
        <w:spacing w:line="360" w:lineRule="auto"/>
        <w:ind w:left="567" w:right="567"/>
        <w:contextualSpacing/>
        <w:jc w:val="both"/>
        <w:rPr>
          <w:rFonts w:ascii="Palatino Linotype" w:hAnsi="Palatino Linotype"/>
          <w:i/>
          <w:sz w:val="22"/>
          <w:szCs w:val="22"/>
          <w:lang w:eastAsia="es-ES_tradnl"/>
        </w:rPr>
      </w:pPr>
      <w:r w:rsidRPr="00475B54">
        <w:rPr>
          <w:rFonts w:ascii="Palatino Linotype" w:hAnsi="Palatino Linotype"/>
          <w:i/>
          <w:sz w:val="22"/>
          <w:szCs w:val="22"/>
          <w:lang w:eastAsia="es-ES_tradnl"/>
        </w:rPr>
        <w:t>XIX. Las demás que le confieran otras disposiciones jurídicas.</w:t>
      </w:r>
    </w:p>
    <w:p w:rsidR="00475B54" w:rsidRDefault="00475B54" w:rsidP="006D1C29">
      <w:pPr>
        <w:spacing w:line="360" w:lineRule="auto"/>
        <w:contextualSpacing/>
        <w:jc w:val="both"/>
        <w:rPr>
          <w:rFonts w:ascii="Palatino Linotype" w:hAnsi="Palatino Linotype"/>
          <w:sz w:val="22"/>
          <w:szCs w:val="22"/>
          <w:lang w:eastAsia="es-ES_tradnl"/>
        </w:rPr>
      </w:pPr>
    </w:p>
    <w:p w:rsidR="00836D2A" w:rsidRDefault="00836D2A" w:rsidP="00836D2A">
      <w:pPr>
        <w:spacing w:line="360" w:lineRule="auto"/>
        <w:contextualSpacing/>
        <w:jc w:val="both"/>
        <w:rPr>
          <w:rFonts w:ascii="Palatino Linotype" w:hAnsi="Palatino Linotype"/>
          <w:sz w:val="22"/>
          <w:szCs w:val="22"/>
          <w:lang w:eastAsia="es-ES_tradnl"/>
        </w:rPr>
      </w:pPr>
      <w:r>
        <w:rPr>
          <w:rFonts w:ascii="Palatino Linotype" w:hAnsi="Palatino Linotype"/>
          <w:sz w:val="22"/>
          <w:szCs w:val="22"/>
          <w:lang w:eastAsia="es-ES_tradnl"/>
        </w:rPr>
        <w:t>Ahora bien, el Reglamento Interior de la Comisión Estatal de Factibilidad, señala sobre ña emisión del Dictamen de Impacto Sanitario, lo siguiente:</w:t>
      </w:r>
    </w:p>
    <w:p w:rsidR="00836D2A" w:rsidRDefault="00836D2A" w:rsidP="00836D2A">
      <w:pPr>
        <w:spacing w:line="360" w:lineRule="auto"/>
        <w:contextualSpacing/>
        <w:jc w:val="both"/>
        <w:rPr>
          <w:rFonts w:ascii="Palatino Linotype" w:hAnsi="Palatino Linotype"/>
          <w:sz w:val="22"/>
          <w:szCs w:val="22"/>
          <w:lang w:eastAsia="es-ES_tradnl"/>
        </w:rPr>
      </w:pPr>
    </w:p>
    <w:p w:rsidR="00836D2A" w:rsidRPr="00836D2A" w:rsidRDefault="00836D2A" w:rsidP="00836D2A">
      <w:pPr>
        <w:spacing w:line="360" w:lineRule="auto"/>
        <w:ind w:left="567" w:right="567"/>
        <w:contextualSpacing/>
        <w:jc w:val="both"/>
        <w:rPr>
          <w:rFonts w:ascii="Palatino Linotype" w:hAnsi="Palatino Linotype"/>
          <w:i/>
          <w:sz w:val="22"/>
          <w:szCs w:val="22"/>
          <w:lang w:eastAsia="es-ES_tradnl"/>
        </w:rPr>
      </w:pPr>
      <w:r w:rsidRPr="00836D2A">
        <w:rPr>
          <w:rFonts w:ascii="Palatino Linotype" w:hAnsi="Palatino Linotype"/>
          <w:i/>
          <w:sz w:val="22"/>
          <w:szCs w:val="22"/>
          <w:lang w:eastAsia="es-ES_tradnl"/>
        </w:rPr>
        <w:t>Artículo 4. La Comisión es un órgano técnico de coordinación intergubernamental adscrito a la Consejería, encargado de emitir el DUF en materia de salud, desarrollo urbano, protección civil, medio ambiente, desarrollo económico e infraestructura, en los términos que lo contemplen los requisitos para la apertura, instalación, funcionamiento, operación y ampliación de una unidad económica o inversión.</w:t>
      </w:r>
      <w:r w:rsidRPr="00836D2A">
        <w:rPr>
          <w:rFonts w:ascii="Palatino Linotype" w:hAnsi="Palatino Linotype"/>
          <w:i/>
          <w:sz w:val="22"/>
          <w:szCs w:val="22"/>
          <w:lang w:eastAsia="es-ES_tradnl"/>
        </w:rPr>
        <w:cr/>
      </w:r>
    </w:p>
    <w:p w:rsidR="00836D2A" w:rsidRPr="00836D2A" w:rsidRDefault="00836D2A" w:rsidP="00836D2A">
      <w:pPr>
        <w:spacing w:line="360" w:lineRule="auto"/>
        <w:ind w:left="567" w:right="567"/>
        <w:contextualSpacing/>
        <w:jc w:val="both"/>
        <w:rPr>
          <w:rFonts w:ascii="Palatino Linotype" w:hAnsi="Palatino Linotype"/>
          <w:i/>
          <w:sz w:val="22"/>
          <w:szCs w:val="22"/>
          <w:lang w:eastAsia="es-ES_tradnl"/>
        </w:rPr>
      </w:pPr>
      <w:r w:rsidRPr="00836D2A">
        <w:rPr>
          <w:rFonts w:ascii="Palatino Linotype" w:hAnsi="Palatino Linotype"/>
          <w:i/>
          <w:sz w:val="22"/>
          <w:szCs w:val="22"/>
          <w:lang w:eastAsia="es-ES_tradnl"/>
        </w:rPr>
        <w:t>Artículo 15. Para efectos del trámite y emisión del DUF, únicamente serán aceptados los documentos que cumplan con los requisitos legales de la materia y los dispuestos por el Reglamento.</w:t>
      </w:r>
    </w:p>
    <w:p w:rsidR="00836D2A" w:rsidRPr="00836D2A" w:rsidRDefault="00836D2A" w:rsidP="00836D2A">
      <w:pPr>
        <w:spacing w:line="360" w:lineRule="auto"/>
        <w:ind w:left="567" w:right="567"/>
        <w:contextualSpacing/>
        <w:jc w:val="both"/>
        <w:rPr>
          <w:rFonts w:ascii="Palatino Linotype" w:hAnsi="Palatino Linotype"/>
          <w:i/>
          <w:sz w:val="22"/>
          <w:szCs w:val="22"/>
          <w:lang w:eastAsia="es-ES_tradnl"/>
        </w:rPr>
      </w:pPr>
    </w:p>
    <w:p w:rsidR="00836D2A" w:rsidRPr="00836D2A" w:rsidRDefault="00836D2A" w:rsidP="00836D2A">
      <w:pPr>
        <w:spacing w:line="360" w:lineRule="auto"/>
        <w:ind w:left="567" w:right="567"/>
        <w:contextualSpacing/>
        <w:jc w:val="both"/>
        <w:rPr>
          <w:rFonts w:ascii="Palatino Linotype" w:hAnsi="Palatino Linotype"/>
          <w:i/>
          <w:sz w:val="22"/>
          <w:szCs w:val="22"/>
          <w:lang w:eastAsia="es-ES_tradnl"/>
        </w:rPr>
      </w:pPr>
      <w:r w:rsidRPr="00836D2A">
        <w:rPr>
          <w:rFonts w:ascii="Palatino Linotype" w:hAnsi="Palatino Linotype"/>
          <w:i/>
          <w:sz w:val="22"/>
          <w:szCs w:val="22"/>
          <w:lang w:eastAsia="es-ES_tradnl"/>
        </w:rPr>
        <w:t>Artículo 16. Determinada la procedencia jurídica del proyecto en su primera etapa, la Comisión, previa coordinación con las unidades administrativas competentes, notificará los requisitos en materia de protección civil, medio ambiente, salud, desarrollo urbano, vialidad y comercio automotriz que requiera cada uno de estos, de conformidad con la normatividad aplicable y con el RETyS, proporcionando las líneas de captura para el pago de los derechos por el Dictamen Único de Factibilidad y, en su caso, para los estudios correspondientes, conforme al Código Financiero del Estado de México y Municipios.</w:t>
      </w:r>
    </w:p>
    <w:p w:rsidR="00836D2A" w:rsidRPr="00836D2A" w:rsidRDefault="00836D2A" w:rsidP="00836D2A">
      <w:pPr>
        <w:spacing w:line="360" w:lineRule="auto"/>
        <w:ind w:left="567" w:right="567"/>
        <w:contextualSpacing/>
        <w:jc w:val="both"/>
        <w:rPr>
          <w:rFonts w:ascii="Palatino Linotype" w:hAnsi="Palatino Linotype"/>
          <w:i/>
          <w:sz w:val="22"/>
          <w:szCs w:val="22"/>
          <w:lang w:eastAsia="es-ES_tradnl"/>
        </w:rPr>
      </w:pPr>
      <w:r w:rsidRPr="00836D2A">
        <w:rPr>
          <w:rFonts w:ascii="Palatino Linotype" w:hAnsi="Palatino Linotype"/>
          <w:i/>
          <w:sz w:val="22"/>
          <w:szCs w:val="22"/>
          <w:lang w:eastAsia="es-ES_tradnl"/>
        </w:rPr>
        <w:t>Lo anterior, deberá ser presentado por la o el solicitante o por quien promueva en su nombre, dentro del término de quince días hábiles ante el mismo módulo o la ventanilla en que se llevó a cabo la solicitud, y en los ejemplares requeridos.</w:t>
      </w:r>
    </w:p>
    <w:p w:rsidR="00836D2A" w:rsidRPr="00836D2A" w:rsidRDefault="00836D2A" w:rsidP="00836D2A">
      <w:pPr>
        <w:spacing w:line="360" w:lineRule="auto"/>
        <w:ind w:left="567" w:right="567"/>
        <w:contextualSpacing/>
        <w:jc w:val="both"/>
        <w:rPr>
          <w:rFonts w:ascii="Palatino Linotype" w:hAnsi="Palatino Linotype"/>
          <w:i/>
          <w:sz w:val="22"/>
          <w:szCs w:val="22"/>
          <w:lang w:eastAsia="es-ES_tradnl"/>
        </w:rPr>
      </w:pPr>
      <w:r w:rsidRPr="00836D2A">
        <w:rPr>
          <w:rFonts w:ascii="Palatino Linotype" w:hAnsi="Palatino Linotype"/>
          <w:i/>
          <w:sz w:val="22"/>
          <w:szCs w:val="22"/>
          <w:lang w:eastAsia="es-ES_tradnl"/>
        </w:rPr>
        <w:t>A. Los requisitos específicos para el estudio y, en su caso, la emisión de la Evaluación Técnica de Factibilidad de Impacto Sanitario por parte de la unidad administrativa competente, son los siguientes:</w:t>
      </w:r>
    </w:p>
    <w:p w:rsidR="00836D2A" w:rsidRPr="00836D2A" w:rsidRDefault="00836D2A" w:rsidP="00836D2A">
      <w:pPr>
        <w:spacing w:line="360" w:lineRule="auto"/>
        <w:ind w:left="567" w:right="567"/>
        <w:contextualSpacing/>
        <w:jc w:val="both"/>
        <w:rPr>
          <w:rFonts w:ascii="Palatino Linotype" w:hAnsi="Palatino Linotype"/>
          <w:i/>
          <w:sz w:val="22"/>
          <w:szCs w:val="22"/>
          <w:lang w:eastAsia="es-ES_tradnl"/>
        </w:rPr>
      </w:pPr>
      <w:r w:rsidRPr="00836D2A">
        <w:rPr>
          <w:rFonts w:ascii="Palatino Linotype" w:hAnsi="Palatino Linotype"/>
          <w:i/>
          <w:sz w:val="22"/>
          <w:szCs w:val="22"/>
          <w:lang w:eastAsia="es-ES_tradnl"/>
        </w:rPr>
        <w:t>I. Acreditar que cumple con lo relativo a las emisiones de audio o ruido, de conformidad con lo dispuesto en la Ley de Competitividad y Ordenamiento Comercial del Estado de México.</w:t>
      </w:r>
    </w:p>
    <w:p w:rsidR="00836D2A" w:rsidRPr="00836D2A" w:rsidRDefault="00836D2A" w:rsidP="00836D2A">
      <w:pPr>
        <w:spacing w:line="360" w:lineRule="auto"/>
        <w:ind w:left="567" w:right="567"/>
        <w:contextualSpacing/>
        <w:jc w:val="both"/>
        <w:rPr>
          <w:rFonts w:ascii="Palatino Linotype" w:hAnsi="Palatino Linotype"/>
          <w:i/>
          <w:sz w:val="22"/>
          <w:szCs w:val="22"/>
          <w:lang w:eastAsia="es-ES_tradnl"/>
        </w:rPr>
      </w:pPr>
      <w:r w:rsidRPr="00836D2A">
        <w:rPr>
          <w:rFonts w:ascii="Palatino Linotype" w:hAnsi="Palatino Linotype"/>
          <w:i/>
          <w:sz w:val="22"/>
          <w:szCs w:val="22"/>
          <w:lang w:eastAsia="es-ES_tradnl"/>
        </w:rPr>
        <w:t>II. Acreditar el cumplimiento de las disposiciones en materia de control y humo de tabaco.</w:t>
      </w:r>
    </w:p>
    <w:p w:rsidR="00836D2A" w:rsidRPr="00836D2A" w:rsidRDefault="00836D2A" w:rsidP="00836D2A">
      <w:pPr>
        <w:spacing w:line="360" w:lineRule="auto"/>
        <w:ind w:left="567" w:right="567"/>
        <w:contextualSpacing/>
        <w:jc w:val="both"/>
        <w:rPr>
          <w:rFonts w:ascii="Palatino Linotype" w:hAnsi="Palatino Linotype"/>
          <w:i/>
          <w:sz w:val="22"/>
          <w:szCs w:val="22"/>
          <w:lang w:eastAsia="es-ES_tradnl"/>
        </w:rPr>
      </w:pPr>
      <w:r w:rsidRPr="00836D2A">
        <w:rPr>
          <w:rFonts w:ascii="Palatino Linotype" w:hAnsi="Palatino Linotype"/>
          <w:i/>
          <w:sz w:val="22"/>
          <w:szCs w:val="22"/>
          <w:lang w:eastAsia="es-ES_tradnl"/>
        </w:rPr>
        <w:t>III. Acreditar que cumple con las condiciones de higiene y seguridad que establecen las disposiciones legales y normas sanitarias.</w:t>
      </w:r>
    </w:p>
    <w:p w:rsidR="00836D2A" w:rsidRPr="00836D2A" w:rsidRDefault="00836D2A" w:rsidP="00836D2A">
      <w:pPr>
        <w:spacing w:line="360" w:lineRule="auto"/>
        <w:ind w:left="567" w:right="567"/>
        <w:contextualSpacing/>
        <w:jc w:val="both"/>
        <w:rPr>
          <w:rFonts w:ascii="Palatino Linotype" w:hAnsi="Palatino Linotype"/>
          <w:i/>
          <w:sz w:val="22"/>
          <w:szCs w:val="22"/>
          <w:lang w:eastAsia="es-ES_tradnl"/>
        </w:rPr>
      </w:pPr>
      <w:r w:rsidRPr="00836D2A">
        <w:rPr>
          <w:rFonts w:ascii="Palatino Linotype" w:hAnsi="Palatino Linotype"/>
          <w:i/>
          <w:sz w:val="22"/>
          <w:szCs w:val="22"/>
          <w:lang w:eastAsia="es-ES_tradnl"/>
        </w:rPr>
        <w:t>IV. Certificado de control de fauna nociva vigente, emitido por empresa con licencia sanitaria.</w:t>
      </w:r>
    </w:p>
    <w:p w:rsidR="00836D2A" w:rsidRPr="00836D2A" w:rsidRDefault="00836D2A" w:rsidP="00836D2A">
      <w:pPr>
        <w:spacing w:line="360" w:lineRule="auto"/>
        <w:ind w:left="567" w:right="567"/>
        <w:contextualSpacing/>
        <w:jc w:val="both"/>
        <w:rPr>
          <w:rFonts w:ascii="Palatino Linotype" w:hAnsi="Palatino Linotype"/>
          <w:i/>
          <w:sz w:val="22"/>
          <w:szCs w:val="22"/>
          <w:lang w:eastAsia="es-ES_tradnl"/>
        </w:rPr>
      </w:pPr>
      <w:r w:rsidRPr="00836D2A">
        <w:rPr>
          <w:rFonts w:ascii="Palatino Linotype" w:hAnsi="Palatino Linotype"/>
          <w:i/>
          <w:sz w:val="22"/>
          <w:szCs w:val="22"/>
          <w:lang w:eastAsia="es-ES_tradnl"/>
        </w:rPr>
        <w:t>B. a F. …</w:t>
      </w:r>
    </w:p>
    <w:p w:rsidR="00836D2A" w:rsidRPr="00836D2A" w:rsidRDefault="00836D2A" w:rsidP="00836D2A">
      <w:pPr>
        <w:spacing w:line="360" w:lineRule="auto"/>
        <w:ind w:left="567" w:right="567"/>
        <w:contextualSpacing/>
        <w:jc w:val="both"/>
        <w:rPr>
          <w:rFonts w:ascii="Palatino Linotype" w:hAnsi="Palatino Linotype"/>
          <w:i/>
          <w:sz w:val="22"/>
          <w:szCs w:val="22"/>
          <w:lang w:eastAsia="es-ES_tradnl"/>
        </w:rPr>
      </w:pPr>
      <w:r w:rsidRPr="00836D2A">
        <w:rPr>
          <w:rFonts w:ascii="Palatino Linotype" w:hAnsi="Palatino Linotype"/>
          <w:i/>
          <w:sz w:val="22"/>
          <w:szCs w:val="22"/>
          <w:lang w:eastAsia="es-ES_tradnl"/>
        </w:rPr>
        <w:t>Recibidos en los módulos o la ventanilla los requisitos a que se refiere este artículo, se proporcionará el acuse de recibo correspondiente y se remitirá a la Secretaría Técnica de la Comisión en un plazo no mayor a tres días hábiles para continuar con el trámite respectivo.</w:t>
      </w:r>
      <w:r w:rsidRPr="00836D2A">
        <w:rPr>
          <w:rFonts w:ascii="Palatino Linotype" w:hAnsi="Palatino Linotype"/>
          <w:i/>
          <w:sz w:val="22"/>
          <w:szCs w:val="22"/>
          <w:lang w:eastAsia="es-ES_tradnl"/>
        </w:rPr>
        <w:cr/>
      </w:r>
    </w:p>
    <w:p w:rsidR="008F4C28" w:rsidRDefault="00475B54" w:rsidP="006D1C29">
      <w:pPr>
        <w:spacing w:line="360" w:lineRule="auto"/>
        <w:contextualSpacing/>
        <w:jc w:val="both"/>
        <w:rPr>
          <w:rFonts w:ascii="Palatino Linotype" w:hAnsi="Palatino Linotype"/>
          <w:sz w:val="22"/>
          <w:szCs w:val="22"/>
          <w:lang w:eastAsia="es-ES_tradnl"/>
        </w:rPr>
      </w:pPr>
      <w:r>
        <w:rPr>
          <w:rFonts w:ascii="Palatino Linotype" w:hAnsi="Palatino Linotype"/>
          <w:sz w:val="22"/>
          <w:szCs w:val="22"/>
          <w:lang w:eastAsia="es-ES_tradnl"/>
        </w:rPr>
        <w:t xml:space="preserve">De tal suerte se corrobora que es otro </w:t>
      </w:r>
      <w:r w:rsidR="00836D2A">
        <w:rPr>
          <w:rFonts w:ascii="Palatino Linotype" w:hAnsi="Palatino Linotype"/>
          <w:sz w:val="22"/>
          <w:szCs w:val="22"/>
          <w:lang w:eastAsia="es-ES_tradnl"/>
        </w:rPr>
        <w:t>S</w:t>
      </w:r>
      <w:r>
        <w:rPr>
          <w:rFonts w:ascii="Palatino Linotype" w:hAnsi="Palatino Linotype"/>
          <w:sz w:val="22"/>
          <w:szCs w:val="22"/>
          <w:lang w:eastAsia="es-ES_tradnl"/>
        </w:rPr>
        <w:t xml:space="preserve">ujeto Obligado quien genera </w:t>
      </w:r>
      <w:r w:rsidR="00836D2A">
        <w:rPr>
          <w:rFonts w:ascii="Palatino Linotype" w:hAnsi="Palatino Linotype"/>
          <w:sz w:val="22"/>
          <w:szCs w:val="22"/>
          <w:lang w:eastAsia="es-ES_tradnl"/>
        </w:rPr>
        <w:t>los</w:t>
      </w:r>
      <w:r>
        <w:rPr>
          <w:rFonts w:ascii="Palatino Linotype" w:hAnsi="Palatino Linotype"/>
          <w:sz w:val="22"/>
          <w:szCs w:val="22"/>
          <w:lang w:eastAsia="es-ES_tradnl"/>
        </w:rPr>
        <w:t xml:space="preserve"> dict</w:t>
      </w:r>
      <w:r w:rsidR="00836D2A">
        <w:rPr>
          <w:rFonts w:ascii="Palatino Linotype" w:hAnsi="Palatino Linotype"/>
          <w:sz w:val="22"/>
          <w:szCs w:val="22"/>
          <w:lang w:eastAsia="es-ES_tradnl"/>
        </w:rPr>
        <w:t>á</w:t>
      </w:r>
      <w:r>
        <w:rPr>
          <w:rFonts w:ascii="Palatino Linotype" w:hAnsi="Palatino Linotype"/>
          <w:sz w:val="22"/>
          <w:szCs w:val="22"/>
          <w:lang w:eastAsia="es-ES_tradnl"/>
        </w:rPr>
        <w:t>men</w:t>
      </w:r>
      <w:r w:rsidR="00836D2A">
        <w:rPr>
          <w:rFonts w:ascii="Palatino Linotype" w:hAnsi="Palatino Linotype"/>
          <w:sz w:val="22"/>
          <w:szCs w:val="22"/>
          <w:lang w:eastAsia="es-ES_tradnl"/>
        </w:rPr>
        <w:t>es de Factibilidad así como de Impacto Sanitario</w:t>
      </w:r>
      <w:r>
        <w:rPr>
          <w:rFonts w:ascii="Palatino Linotype" w:hAnsi="Palatino Linotype"/>
          <w:sz w:val="22"/>
          <w:szCs w:val="22"/>
          <w:lang w:eastAsia="es-ES_tradnl"/>
        </w:rPr>
        <w:t xml:space="preserve">; </w:t>
      </w:r>
      <w:r w:rsidR="008F4C28">
        <w:rPr>
          <w:rFonts w:ascii="Palatino Linotype" w:hAnsi="Palatino Linotype"/>
          <w:sz w:val="22"/>
          <w:szCs w:val="22"/>
          <w:lang w:eastAsia="es-ES_tradnl"/>
        </w:rPr>
        <w:t xml:space="preserve"> sin embargo, para el caso que nos ocupa, se ha s</w:t>
      </w:r>
      <w:r w:rsidR="00836D2A">
        <w:rPr>
          <w:rFonts w:ascii="Palatino Linotype" w:hAnsi="Palatino Linotype"/>
          <w:sz w:val="22"/>
          <w:szCs w:val="22"/>
          <w:lang w:eastAsia="es-ES_tradnl"/>
        </w:rPr>
        <w:t>eñalado previamente en la cita de</w:t>
      </w:r>
      <w:r w:rsidR="008F4C28">
        <w:rPr>
          <w:rFonts w:ascii="Palatino Linotype" w:hAnsi="Palatino Linotype"/>
          <w:sz w:val="22"/>
          <w:szCs w:val="22"/>
          <w:lang w:eastAsia="es-ES_tradnl"/>
        </w:rPr>
        <w:t xml:space="preserve">l </w:t>
      </w:r>
      <w:r w:rsidR="006D1C29">
        <w:rPr>
          <w:rFonts w:ascii="Palatino Linotype" w:hAnsi="Palatino Linotype"/>
          <w:sz w:val="22"/>
          <w:szCs w:val="22"/>
          <w:lang w:eastAsia="es-ES_tradnl"/>
        </w:rPr>
        <w:t>artículo</w:t>
      </w:r>
      <w:r w:rsidR="008F4C28">
        <w:rPr>
          <w:rFonts w:ascii="Palatino Linotype" w:hAnsi="Palatino Linotype"/>
          <w:sz w:val="22"/>
          <w:szCs w:val="22"/>
          <w:lang w:eastAsia="es-ES_tradnl"/>
        </w:rPr>
        <w:t xml:space="preserve"> 113 del Bando Municipal</w:t>
      </w:r>
      <w:r w:rsidR="00836D2A">
        <w:rPr>
          <w:rFonts w:ascii="Palatino Linotype" w:hAnsi="Palatino Linotype"/>
          <w:sz w:val="22"/>
          <w:szCs w:val="22"/>
          <w:lang w:eastAsia="es-ES_tradnl"/>
        </w:rPr>
        <w:t xml:space="preserve"> que,</w:t>
      </w:r>
      <w:r w:rsidR="008F4C28">
        <w:rPr>
          <w:rFonts w:ascii="Palatino Linotype" w:hAnsi="Palatino Linotype"/>
          <w:sz w:val="22"/>
          <w:szCs w:val="22"/>
          <w:lang w:eastAsia="es-ES_tradnl"/>
        </w:rPr>
        <w:t xml:space="preserve"> </w:t>
      </w:r>
      <w:r w:rsidR="008F4C28" w:rsidRPr="00836D2A">
        <w:rPr>
          <w:rFonts w:ascii="Palatino Linotype" w:hAnsi="Palatino Linotype"/>
          <w:b/>
          <w:sz w:val="22"/>
          <w:szCs w:val="22"/>
          <w:lang w:eastAsia="es-ES_tradnl"/>
        </w:rPr>
        <w:t xml:space="preserve">previo a la elaboración de la licencia de funcionamiento, el interesado debe </w:t>
      </w:r>
      <w:r w:rsidR="006D1C29" w:rsidRPr="00836D2A">
        <w:rPr>
          <w:rFonts w:ascii="Palatino Linotype" w:hAnsi="Palatino Linotype"/>
          <w:b/>
          <w:sz w:val="22"/>
          <w:szCs w:val="22"/>
          <w:lang w:eastAsia="es-ES_tradnl"/>
        </w:rPr>
        <w:t>presentar</w:t>
      </w:r>
      <w:r w:rsidR="008F4C28" w:rsidRPr="00836D2A">
        <w:rPr>
          <w:rFonts w:ascii="Palatino Linotype" w:hAnsi="Palatino Linotype"/>
          <w:b/>
          <w:sz w:val="22"/>
          <w:szCs w:val="22"/>
          <w:lang w:eastAsia="es-ES_tradnl"/>
        </w:rPr>
        <w:t xml:space="preserve"> una solicitud dirigida al Presidente Municipal, en el que </w:t>
      </w:r>
      <w:r w:rsidR="006D1C29" w:rsidRPr="00836D2A">
        <w:rPr>
          <w:rFonts w:ascii="Palatino Linotype" w:hAnsi="Palatino Linotype"/>
          <w:b/>
          <w:sz w:val="22"/>
          <w:szCs w:val="22"/>
          <w:lang w:eastAsia="es-ES_tradnl"/>
        </w:rPr>
        <w:t xml:space="preserve">debe adjuntar o presentar las constancias de haber cubierto con los requisitos legales, de salud, fiscales y demás aplicables, </w:t>
      </w:r>
      <w:r w:rsidR="00F06840" w:rsidRPr="00836D2A">
        <w:rPr>
          <w:rFonts w:ascii="Palatino Linotype" w:hAnsi="Palatino Linotype"/>
          <w:b/>
          <w:sz w:val="22"/>
          <w:szCs w:val="22"/>
          <w:lang w:eastAsia="es-ES_tradnl"/>
        </w:rPr>
        <w:t>dentro de ellos, se encuadra el Dictamen Único de Factibilidad y/o Dictamen de Factibilidad de Impacto Sanitario</w:t>
      </w:r>
      <w:r w:rsidR="00F06840">
        <w:rPr>
          <w:rFonts w:ascii="Palatino Linotype" w:hAnsi="Palatino Linotype"/>
          <w:sz w:val="22"/>
          <w:szCs w:val="22"/>
          <w:lang w:eastAsia="es-ES_tradnl"/>
        </w:rPr>
        <w:t>; por lo que el Sujeto Obligado cuenta con la competencia para archivar y conocer el documento que da cuenta de lo solicitado por el particular.</w:t>
      </w:r>
    </w:p>
    <w:p w:rsidR="00F06840" w:rsidRDefault="00F06840" w:rsidP="006D1C29">
      <w:pPr>
        <w:spacing w:line="360" w:lineRule="auto"/>
        <w:contextualSpacing/>
        <w:jc w:val="both"/>
        <w:rPr>
          <w:rFonts w:ascii="Palatino Linotype" w:hAnsi="Palatino Linotype"/>
          <w:sz w:val="22"/>
          <w:szCs w:val="22"/>
          <w:lang w:eastAsia="es-ES_tradnl"/>
        </w:rPr>
      </w:pPr>
    </w:p>
    <w:p w:rsidR="00F06840" w:rsidRDefault="00F06840" w:rsidP="006D1C29">
      <w:pPr>
        <w:spacing w:line="360" w:lineRule="auto"/>
        <w:contextualSpacing/>
        <w:jc w:val="both"/>
        <w:rPr>
          <w:rFonts w:ascii="Palatino Linotype" w:hAnsi="Palatino Linotype" w:cs="Tahoma"/>
          <w:sz w:val="22"/>
          <w:szCs w:val="22"/>
          <w:lang w:eastAsia="es-ES_tradnl"/>
        </w:rPr>
      </w:pPr>
      <w:r>
        <w:rPr>
          <w:rFonts w:ascii="Palatino Linotype" w:hAnsi="Palatino Linotype"/>
          <w:sz w:val="22"/>
          <w:szCs w:val="22"/>
          <w:lang w:eastAsia="es-ES_tradnl"/>
        </w:rPr>
        <w:t xml:space="preserve">Para el caso de que la documentación que se ordena, contenga datos personales confidenciales, el Sujeto Obligado deberá remitir la información en su versión pública, acompañado del acuerdo que para tales efectos emita el </w:t>
      </w:r>
      <w:r>
        <w:rPr>
          <w:rFonts w:ascii="Palatino Linotype" w:hAnsi="Palatino Linotype" w:cs="Tahoma"/>
          <w:sz w:val="22"/>
          <w:szCs w:val="22"/>
          <w:lang w:eastAsia="es-ES_tradnl"/>
        </w:rPr>
        <w:t>Comité de Transparencia, de conformidad con el apartado siguiente.</w:t>
      </w:r>
    </w:p>
    <w:p w:rsidR="00DD7E5A" w:rsidRDefault="00DD7E5A" w:rsidP="006D1C29">
      <w:pPr>
        <w:spacing w:line="360" w:lineRule="auto"/>
        <w:contextualSpacing/>
        <w:jc w:val="both"/>
        <w:rPr>
          <w:rFonts w:ascii="Palatino Linotype" w:hAnsi="Palatino Linotype" w:cs="Tahoma"/>
          <w:sz w:val="22"/>
          <w:szCs w:val="22"/>
          <w:lang w:eastAsia="es-ES_tradnl"/>
        </w:rPr>
      </w:pPr>
    </w:p>
    <w:p w:rsidR="00DD7E5A" w:rsidRDefault="00DD7E5A" w:rsidP="006D1C29">
      <w:pPr>
        <w:spacing w:line="360" w:lineRule="auto"/>
        <w:contextualSpacing/>
        <w:jc w:val="both"/>
        <w:rPr>
          <w:rFonts w:ascii="Palatino Linotype" w:hAnsi="Palatino Linotype" w:cs="Tahoma"/>
          <w:sz w:val="22"/>
          <w:szCs w:val="22"/>
          <w:lang w:eastAsia="es-ES_tradnl"/>
        </w:rPr>
      </w:pPr>
      <w:r>
        <w:rPr>
          <w:rFonts w:ascii="Palatino Linotype" w:hAnsi="Palatino Linotype" w:cs="Tahoma"/>
          <w:sz w:val="22"/>
          <w:szCs w:val="22"/>
          <w:lang w:eastAsia="es-ES_tradnl"/>
        </w:rPr>
        <w:t>Por último, no se deja de lado que el Recurrente no fue preciso en el periodo por el cual solicita la información; sin embargo al referir que solita de aquellas asentadas en el Municipio, se advierte que se trata de aquellas que se encuentran funcionando a la fecha de presentación de la solicitud, con independencia de la fecha en que se hubiera dado inicio del funcionamiento del comercio, ello en virtud de que al estar abiertos y prestando servicio se entiende que cuentan con las autorizaciones vigentes.</w:t>
      </w:r>
    </w:p>
    <w:p w:rsidR="007654E2" w:rsidRPr="00F0768B" w:rsidRDefault="007654E2" w:rsidP="002C33B2">
      <w:pPr>
        <w:spacing w:line="360" w:lineRule="auto"/>
        <w:contextualSpacing/>
        <w:rPr>
          <w:rFonts w:ascii="Palatino Linotype" w:hAnsi="Palatino Linotype"/>
          <w:sz w:val="22"/>
          <w:szCs w:val="22"/>
          <w:lang w:eastAsia="es-ES_tradnl"/>
        </w:rPr>
      </w:pPr>
    </w:p>
    <w:p w:rsidR="002C33B2" w:rsidRPr="00F0768B" w:rsidRDefault="002C33B2" w:rsidP="002C33B2">
      <w:pPr>
        <w:spacing w:line="360" w:lineRule="auto"/>
        <w:contextualSpacing/>
        <w:jc w:val="both"/>
        <w:rPr>
          <w:rFonts w:ascii="Palatino Linotype" w:hAnsi="Palatino Linotype" w:cs="Tahoma"/>
          <w:b/>
          <w:sz w:val="22"/>
          <w:szCs w:val="22"/>
        </w:rPr>
      </w:pPr>
      <w:r w:rsidRPr="00F0768B">
        <w:rPr>
          <w:rFonts w:ascii="Palatino Linotype" w:hAnsi="Palatino Linotype" w:cs="Tahoma"/>
          <w:b/>
          <w:sz w:val="22"/>
          <w:szCs w:val="22"/>
        </w:rPr>
        <w:t>SEXTO. Versión pública.</w:t>
      </w:r>
    </w:p>
    <w:p w:rsidR="00413D32"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210960">
      <w:pPr>
        <w:numPr>
          <w:ilvl w:val="0"/>
          <w:numId w:val="4"/>
        </w:num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rsidR="00413D32" w:rsidRPr="0089475E" w:rsidRDefault="00413D32" w:rsidP="00210960">
      <w:pPr>
        <w:numPr>
          <w:ilvl w:val="0"/>
          <w:numId w:val="4"/>
        </w:num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 xml:space="preserve">Para la difusión de los datos, se requiera el consentimiento del titular. </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Además, en el artículo 5° de dicho ordenamiento jurídico, establece que es la Ley aplicable para todo tratamiento de datos personales.</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Pr="0089475E"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rsidR="00413D32" w:rsidRPr="0089475E" w:rsidRDefault="00413D32" w:rsidP="00413D32">
      <w:pPr>
        <w:spacing w:line="360" w:lineRule="auto"/>
        <w:contextualSpacing/>
        <w:jc w:val="both"/>
        <w:rPr>
          <w:rFonts w:ascii="Palatino Linotype" w:hAnsi="Palatino Linotype" w:cs="Tahoma"/>
          <w:bCs/>
          <w:iCs/>
          <w:sz w:val="22"/>
          <w:szCs w:val="22"/>
        </w:rPr>
      </w:pPr>
    </w:p>
    <w:p w:rsidR="00413D32" w:rsidRDefault="00413D32" w:rsidP="00413D32">
      <w:pPr>
        <w:spacing w:line="360" w:lineRule="auto"/>
        <w:contextualSpacing/>
        <w:jc w:val="both"/>
        <w:rPr>
          <w:rFonts w:ascii="Palatino Linotype" w:hAnsi="Palatino Linotype" w:cs="Tahoma"/>
          <w:bCs/>
          <w:iCs/>
          <w:sz w:val="22"/>
          <w:szCs w:val="22"/>
        </w:rPr>
      </w:pPr>
      <w:r w:rsidRPr="0089475E">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rsidR="0041771C" w:rsidRPr="0089475E" w:rsidRDefault="0041771C" w:rsidP="00413D32">
      <w:pPr>
        <w:spacing w:line="360" w:lineRule="auto"/>
        <w:contextualSpacing/>
        <w:jc w:val="both"/>
        <w:rPr>
          <w:rFonts w:ascii="Palatino Linotype" w:hAnsi="Palatino Linotype" w:cs="Tahoma"/>
          <w:bCs/>
          <w:iCs/>
          <w:sz w:val="22"/>
          <w:szCs w:val="22"/>
        </w:rPr>
      </w:pP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eastAsia="en-US"/>
        </w:rPr>
      </w:pPr>
      <w:r w:rsidRPr="00A07CE4">
        <w:rPr>
          <w:rFonts w:ascii="Palatino Linotype" w:eastAsia="Calibri" w:hAnsi="Palatino Linotype" w:cs="Tahoma"/>
          <w:bCs/>
          <w:sz w:val="22"/>
          <w:szCs w:val="22"/>
          <w:lang w:eastAsia="en-US"/>
        </w:rPr>
        <w:t xml:space="preserve">Bajo este contexto, </w:t>
      </w:r>
      <w:r w:rsidR="00FC46C5">
        <w:rPr>
          <w:rFonts w:ascii="Palatino Linotype" w:eastAsia="Calibri" w:hAnsi="Palatino Linotype" w:cs="Tahoma"/>
          <w:bCs/>
          <w:sz w:val="22"/>
          <w:szCs w:val="22"/>
          <w:lang w:eastAsia="en-US"/>
        </w:rPr>
        <w:t>es necesario analizar algunos de los datos que contienen los documentos, por ejemplo, para el caso de la licencia de funcionamiento, es procedente analizar</w:t>
      </w:r>
      <w:r w:rsidRPr="00A07CE4">
        <w:rPr>
          <w:rFonts w:ascii="Palatino Linotype" w:eastAsia="Calibri" w:hAnsi="Palatino Linotype" w:cs="Tahoma"/>
          <w:bCs/>
          <w:sz w:val="22"/>
          <w:szCs w:val="22"/>
          <w:lang w:eastAsia="en-US"/>
        </w:rPr>
        <w:t>:</w:t>
      </w:r>
      <w:r w:rsidR="00FC46C5">
        <w:rPr>
          <w:rFonts w:ascii="Palatino Linotype" w:eastAsia="Calibri" w:hAnsi="Palatino Linotype" w:cs="Tahoma"/>
          <w:bCs/>
          <w:sz w:val="22"/>
          <w:szCs w:val="22"/>
          <w:lang w:eastAsia="en-US"/>
        </w:rPr>
        <w:t xml:space="preserve"> </w:t>
      </w:r>
      <w:r w:rsidRPr="00A07CE4">
        <w:rPr>
          <w:rFonts w:ascii="Palatino Linotype" w:eastAsia="Calibri" w:hAnsi="Palatino Linotype" w:cs="Tahoma"/>
          <w:bCs/>
          <w:sz w:val="22"/>
          <w:szCs w:val="22"/>
          <w:lang w:eastAsia="en-US"/>
        </w:rPr>
        <w:t>la clave catastral del predio donde se localiza el establecimiento</w:t>
      </w:r>
      <w:r w:rsidR="00FC46C5" w:rsidRPr="00A07CE4">
        <w:rPr>
          <w:rFonts w:ascii="Palatino Linotype" w:eastAsia="Calibri" w:hAnsi="Palatino Linotype" w:cs="Tahoma"/>
          <w:bCs/>
          <w:sz w:val="22"/>
          <w:szCs w:val="22"/>
          <w:lang w:eastAsia="en-US"/>
        </w:rPr>
        <w:t xml:space="preserve"> y el nombre de</w:t>
      </w:r>
      <w:r w:rsidR="00FC46C5">
        <w:rPr>
          <w:rFonts w:ascii="Palatino Linotype" w:eastAsia="Calibri" w:hAnsi="Palatino Linotype" w:cs="Tahoma"/>
          <w:bCs/>
          <w:sz w:val="22"/>
          <w:szCs w:val="22"/>
          <w:lang w:eastAsia="en-US"/>
        </w:rPr>
        <w:t>l solicitante (persona física)</w:t>
      </w: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eastAsia="en-US"/>
        </w:rPr>
      </w:pPr>
    </w:p>
    <w:p w:rsidR="0041771C" w:rsidRPr="00EC2AFA" w:rsidRDefault="0041771C" w:rsidP="00210960">
      <w:pPr>
        <w:pStyle w:val="Prrafodelista"/>
        <w:numPr>
          <w:ilvl w:val="0"/>
          <w:numId w:val="12"/>
        </w:numPr>
        <w:shd w:val="clear" w:color="auto" w:fill="FFFFFF" w:themeFill="background1"/>
        <w:spacing w:line="360" w:lineRule="auto"/>
        <w:jc w:val="both"/>
        <w:rPr>
          <w:rFonts w:ascii="Palatino Linotype" w:eastAsia="Calibri" w:hAnsi="Palatino Linotype" w:cs="Tahoma"/>
          <w:b/>
          <w:bCs/>
          <w:szCs w:val="22"/>
          <w:lang w:eastAsia="en-US"/>
        </w:rPr>
      </w:pPr>
      <w:r w:rsidRPr="00EC2AFA">
        <w:rPr>
          <w:rFonts w:ascii="Palatino Linotype" w:eastAsia="Calibri" w:hAnsi="Palatino Linotype" w:cs="Tahoma"/>
          <w:b/>
          <w:bCs/>
          <w:szCs w:val="22"/>
          <w:lang w:eastAsia="en-US"/>
        </w:rPr>
        <w:t>Clave Catastral del predio o inmueble autorizado en la licencia de funcionamiento, esto es, donde se encuentra el establecimiento comercial.</w:t>
      </w: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En principio, resulta necesario señalar que de conformidad con el artículo 179, fracción I, del Código Financiero del Estado de México y Municipios, la clave catastral es un código alfanumérico único e irrepetible, que se asigna para efectos de localización geográfica, identificación, inscripción, control y registro de los inmuebles; por lo que, integrado de dieciséis caracteres, los primeros tres identifican el código del municipio, los dos siguientes a la zona catastral, los subsecuentes tres a la manzana y los últimos dos, posiciones identifican el número de lote o predio.</w:t>
      </w: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41771C" w:rsidRPr="00EC2AFA" w:rsidRDefault="0041771C" w:rsidP="0041771C">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lo descrito, se advierte que el dato en comento, únicamente hace referencia a un predio determinado, en el presente caso, </w:t>
      </w:r>
      <w:r w:rsidRPr="00EC2AFA">
        <w:rPr>
          <w:rFonts w:ascii="Palatino Linotype" w:eastAsia="Calibri" w:hAnsi="Palatino Linotype" w:cs="Tahoma"/>
          <w:b/>
          <w:bCs/>
          <w:sz w:val="22"/>
          <w:szCs w:val="22"/>
          <w:lang w:eastAsia="en-US"/>
        </w:rPr>
        <w:t>de un establecimiento comercial,</w:t>
      </w:r>
      <w:r w:rsidRPr="00EC2AFA">
        <w:rPr>
          <w:rFonts w:ascii="Palatino Linotype" w:eastAsia="Calibri" w:hAnsi="Palatino Linotype" w:cs="Tahoma"/>
          <w:bCs/>
          <w:sz w:val="22"/>
          <w:szCs w:val="22"/>
          <w:lang w:eastAsia="en-US"/>
        </w:rPr>
        <w:t xml:space="preserve"> mismo que únicamente identifica el predio donde se realiza una actividad económica regulada por el Municipio, respecto del cual se expidió una licencia de funcionamiento.</w:t>
      </w: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 xml:space="preserve">En ese orden de ideas, conforme a la página oficial del Instituto de Información e Investigación Geográfica, Estadística y Catastral del Estado de México, en su apartado de Preguntas Frecuentes (consultada en la liga electrónica </w:t>
      </w:r>
      <w:hyperlink r:id="rId12" w:history="1">
        <w:r w:rsidRPr="00EC2AFA">
          <w:rPr>
            <w:rStyle w:val="Hipervnculo"/>
            <w:rFonts w:ascii="Palatino Linotype" w:eastAsia="Calibri" w:hAnsi="Palatino Linotype" w:cs="Tahoma"/>
            <w:bCs/>
            <w:sz w:val="22"/>
            <w:szCs w:val="22"/>
            <w:lang w:val="es-ES" w:eastAsia="en-US"/>
          </w:rPr>
          <w:t>http://igecem.edomex.gob.mx/faqs</w:t>
        </w:r>
      </w:hyperlink>
      <w:r w:rsidRPr="00EC2AFA">
        <w:rPr>
          <w:rFonts w:ascii="Palatino Linotype" w:eastAsia="Calibri" w:hAnsi="Palatino Linotype" w:cs="Tahoma"/>
          <w:bCs/>
          <w:sz w:val="22"/>
          <w:szCs w:val="22"/>
          <w:lang w:val="es-ES" w:eastAsia="en-US"/>
        </w:rPr>
        <w:t xml:space="preserve">), para obtener la información registrada en el Padrón Catastral Municipal, conociendo la </w:t>
      </w:r>
      <w:r w:rsidRPr="00EC2AFA">
        <w:rPr>
          <w:rFonts w:ascii="Palatino Linotype" w:eastAsia="Calibri" w:hAnsi="Palatino Linotype" w:cs="Tahoma"/>
          <w:b/>
          <w:bCs/>
          <w:sz w:val="22"/>
          <w:szCs w:val="22"/>
          <w:lang w:val="es-ES" w:eastAsia="en-US"/>
        </w:rPr>
        <w:t xml:space="preserve">clave catastral de un predio, </w:t>
      </w:r>
      <w:r w:rsidRPr="00EC2AFA">
        <w:rPr>
          <w:rFonts w:ascii="Palatino Linotype" w:eastAsia="Calibri" w:hAnsi="Palatino Linotype" w:cs="Tahoma"/>
          <w:bCs/>
          <w:sz w:val="22"/>
          <w:szCs w:val="22"/>
          <w:lang w:val="es-ES" w:eastAsia="en-US"/>
        </w:rPr>
        <w:t xml:space="preserve">se necesita acreditar el interés jurídico o legítimo respecto del inmueble; esto es, demostrar la propiedad, posesión, herencia, trámite judicial, entre otros. </w:t>
      </w: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De tales circunstancias, se colige que conocer la clave catastral de un inmueble, no te permite conocer mayores datos del catastro, pues para acceder a la misma, se necesita acreditar el interés legítimo o jurídico.</w:t>
      </w: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41771C" w:rsidRPr="00EC2AFA" w:rsidRDefault="0041771C" w:rsidP="0041771C">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contexto, no es dable afirmar que necesariamente la entrega de la clave catastral da cuenta del patrimonio de una persona específica; esto es, la expedición de la licencia de funcionamiento, de ninguna manera está vinculada con la propiedad del inmueble autorizado, por lo que hacer pública la clave catastral que únicamente permite acreditar que la ubicación del predio que tiene el establecimiento comercial.</w:t>
      </w: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Así, en el caso en estudio, la clave catastral permite identificar, que la ubicación de la unidad económica (inmueble) corresponde con la licencia de funcionamiento (esto es, que no se puso a la vista una licencia de funcionamiento que no corresponda), y que está debidamente registrada ante la autoridad catastral; por lo tanto, es información de acceso a público, más aún cuando debe tomarse en cuenta que los datos de identificación de un inmueble se encuentran en diversos registros públicos, mismos que son de acceso público.</w:t>
      </w: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41771C" w:rsidRPr="00EC2AFA" w:rsidRDefault="0041771C" w:rsidP="0041771C">
      <w:pPr>
        <w:shd w:val="clear" w:color="auto" w:fill="FFFFFF" w:themeFill="background1"/>
        <w:spacing w:line="360" w:lineRule="auto"/>
        <w:jc w:val="both"/>
        <w:rPr>
          <w:rFonts w:ascii="Palatino Linotype" w:eastAsia="Calibri" w:hAnsi="Palatino Linotype" w:cs="Tahoma"/>
          <w:bCs/>
          <w:sz w:val="22"/>
          <w:szCs w:val="22"/>
          <w:lang w:val="es-ES" w:eastAsia="en-US"/>
        </w:rPr>
      </w:pPr>
      <w:r w:rsidRPr="00EC2AFA">
        <w:rPr>
          <w:rFonts w:ascii="Palatino Linotype" w:eastAsia="Calibri" w:hAnsi="Palatino Linotype" w:cs="Tahoma"/>
          <w:bCs/>
          <w:sz w:val="22"/>
          <w:szCs w:val="22"/>
          <w:lang w:val="es-ES" w:eastAsia="en-US"/>
        </w:rPr>
        <w:t>Por lo tanto, la clave catastral localizada en una licencia de funcionamiento, es de naturaleza pública, pues con dicho dato se acredita que el inmueble donde se realizan actividades económicas, industriales o comerciales, está debidamente registrado, aunado al hecho, de que ayuda a identificar la correcta ubicación del mismo; por lo que,</w:t>
      </w:r>
      <w:r w:rsidRPr="00FC46C5">
        <w:rPr>
          <w:rFonts w:ascii="Palatino Linotype" w:eastAsia="Calibri" w:hAnsi="Palatino Linotype" w:cs="Tahoma"/>
          <w:b/>
          <w:bCs/>
          <w:sz w:val="22"/>
          <w:szCs w:val="22"/>
          <w:lang w:val="es-ES" w:eastAsia="en-US"/>
        </w:rPr>
        <w:t xml:space="preserve"> no resulta procedente la clasificación, en términos del artículo 143, fracción I de la Ley de Transparencia y Acceso a la Información Pública del Estado de México y Municipios.</w:t>
      </w:r>
    </w:p>
    <w:p w:rsidR="00A07CE4" w:rsidRPr="00EC2AFA" w:rsidRDefault="00A07CE4" w:rsidP="00A07CE4">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A07CE4" w:rsidRPr="00EC2AFA" w:rsidRDefault="00A07CE4" w:rsidP="00210960">
      <w:pPr>
        <w:pStyle w:val="Prrafodelista"/>
        <w:numPr>
          <w:ilvl w:val="0"/>
          <w:numId w:val="5"/>
        </w:numPr>
        <w:spacing w:line="360" w:lineRule="auto"/>
        <w:ind w:right="-93"/>
        <w:jc w:val="both"/>
        <w:rPr>
          <w:rFonts w:ascii="Palatino Linotype" w:eastAsia="Calibri" w:hAnsi="Palatino Linotype" w:cs="Tahoma"/>
          <w:bCs/>
          <w:szCs w:val="22"/>
          <w:lang w:eastAsia="en-US"/>
        </w:rPr>
      </w:pPr>
      <w:r w:rsidRPr="00EC2AFA">
        <w:rPr>
          <w:rFonts w:ascii="Palatino Linotype" w:eastAsia="Calibri" w:hAnsi="Palatino Linotype" w:cs="Tahoma"/>
          <w:b/>
          <w:bCs/>
          <w:szCs w:val="22"/>
          <w:lang w:eastAsia="en-US"/>
        </w:rPr>
        <w:t>Nombre del titular de la Licencia de funcionamiento (persona física)</w:t>
      </w:r>
    </w:p>
    <w:p w:rsidR="00A07CE4" w:rsidRPr="00EC2AFA" w:rsidRDefault="00A07CE4" w:rsidP="00A07CE4">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A07CE4" w:rsidRPr="00EC2AFA" w:rsidRDefault="00A07CE4" w:rsidP="00A07CE4">
      <w:pPr>
        <w:spacing w:line="360" w:lineRule="auto"/>
        <w:ind w:right="-93"/>
        <w:jc w:val="both"/>
        <w:rPr>
          <w:rFonts w:ascii="Palatino Linotype" w:eastAsia="Calibri" w:hAnsi="Palatino Linotype" w:cs="Tahoma"/>
          <w:b/>
          <w:bCs/>
          <w:sz w:val="22"/>
          <w:szCs w:val="22"/>
          <w:lang w:val="es-ES_tradnl" w:eastAsia="en-US"/>
        </w:rPr>
      </w:pPr>
      <w:r w:rsidRPr="00EC2AFA">
        <w:rPr>
          <w:rFonts w:ascii="Palatino Linotype" w:eastAsia="Calibri" w:hAnsi="Palatino Linotype" w:cs="Tahoma"/>
          <w:bCs/>
          <w:sz w:val="22"/>
          <w:szCs w:val="22"/>
          <w:lang w:eastAsia="en-US"/>
        </w:rPr>
        <w:t>Al respecto, se considera que el nombre</w:t>
      </w:r>
      <w:r>
        <w:rPr>
          <w:rFonts w:ascii="Palatino Linotype" w:eastAsia="Calibri" w:hAnsi="Palatino Linotype" w:cs="Tahoma"/>
          <w:bCs/>
          <w:sz w:val="22"/>
          <w:szCs w:val="22"/>
          <w:lang w:eastAsia="en-US"/>
        </w:rPr>
        <w:t xml:space="preserve"> de una persona</w:t>
      </w:r>
      <w:r w:rsidRPr="00EC2AFA">
        <w:rPr>
          <w:rFonts w:ascii="Palatino Linotype" w:eastAsia="Calibri" w:hAnsi="Palatino Linotype" w:cs="Tahoma"/>
          <w:bCs/>
          <w:sz w:val="22"/>
          <w:szCs w:val="22"/>
          <w:lang w:eastAsia="en-US"/>
        </w:rPr>
        <w:t xml:space="preserve"> se integra </w:t>
      </w:r>
      <w:r w:rsidRPr="00EC2AFA">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EC2AFA">
        <w:rPr>
          <w:rFonts w:ascii="Palatino Linotype" w:eastAsia="Calibri" w:hAnsi="Palatino Linotype" w:cs="Tahoma"/>
          <w:bCs/>
          <w:i/>
          <w:sz w:val="22"/>
          <w:szCs w:val="22"/>
          <w:lang w:val="es-ES_tradnl" w:eastAsia="en-US"/>
        </w:rPr>
        <w:t>per se</w:t>
      </w:r>
      <w:r w:rsidRPr="00EC2AFA">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EC2AFA">
        <w:rPr>
          <w:rFonts w:ascii="Palatino Linotype" w:eastAsia="Calibri" w:hAnsi="Palatino Linotype" w:cs="Tahoma"/>
          <w:b/>
          <w:bCs/>
          <w:sz w:val="22"/>
          <w:szCs w:val="22"/>
          <w:lang w:val="es-ES_tradnl" w:eastAsia="en-US"/>
        </w:rPr>
        <w:t>se considera un dato personal.</w:t>
      </w:r>
    </w:p>
    <w:p w:rsidR="00A07CE4" w:rsidRPr="00EC2AFA" w:rsidRDefault="00A07CE4" w:rsidP="00A07CE4">
      <w:pPr>
        <w:spacing w:line="360" w:lineRule="auto"/>
        <w:ind w:right="-93"/>
        <w:jc w:val="both"/>
        <w:rPr>
          <w:rFonts w:ascii="Palatino Linotype" w:eastAsia="Calibri" w:hAnsi="Palatino Linotype" w:cs="Tahoma"/>
          <w:b/>
          <w:bCs/>
          <w:sz w:val="22"/>
          <w:szCs w:val="22"/>
          <w:lang w:val="es-ES_tradnl" w:eastAsia="en-US"/>
        </w:rPr>
      </w:pPr>
    </w:p>
    <w:p w:rsidR="00A07CE4" w:rsidRDefault="00A07CE4" w:rsidP="00A07CE4">
      <w:pPr>
        <w:spacing w:line="360" w:lineRule="auto"/>
        <w:jc w:val="both"/>
        <w:rPr>
          <w:rFonts w:ascii="Palatino Linotype" w:eastAsia="Calibri" w:hAnsi="Palatino Linotype" w:cs="Tahoma"/>
          <w:bCs/>
          <w:sz w:val="22"/>
          <w:szCs w:val="22"/>
          <w:lang w:val="es-ES_tradnl" w:eastAsia="en-US"/>
        </w:rPr>
      </w:pPr>
      <w:r w:rsidRPr="00EC2AFA">
        <w:rPr>
          <w:rFonts w:ascii="Palatino Linotype" w:eastAsia="Calibri" w:hAnsi="Palatino Linotype" w:cs="Tahoma"/>
          <w:bCs/>
          <w:sz w:val="22"/>
          <w:szCs w:val="22"/>
          <w:lang w:val="es-ES_tradnl" w:eastAsia="en-US"/>
        </w:rPr>
        <w:t>Sobre el tema, se tiene presente que este Instituto emitió el Criterio Relevante 01/18, de la Segunda Época de este Instituto, que establece que el nombre del titular de una licencia</w:t>
      </w:r>
      <w:r>
        <w:rPr>
          <w:rFonts w:ascii="Palatino Linotype" w:eastAsia="Calibri" w:hAnsi="Palatino Linotype" w:cs="Tahoma"/>
          <w:bCs/>
          <w:sz w:val="22"/>
          <w:szCs w:val="22"/>
          <w:lang w:val="es-ES_tradnl" w:eastAsia="en-US"/>
        </w:rPr>
        <w:t xml:space="preserve"> (persona física)</w:t>
      </w:r>
      <w:r w:rsidRPr="00EC2AFA">
        <w:rPr>
          <w:rFonts w:ascii="Palatino Linotype" w:eastAsia="Calibri" w:hAnsi="Palatino Linotype" w:cs="Tahoma"/>
          <w:bCs/>
          <w:sz w:val="22"/>
          <w:szCs w:val="22"/>
          <w:lang w:val="es-ES_tradnl" w:eastAsia="en-US"/>
        </w:rPr>
        <w:t>, como en el caso que nos ocupa, es información confidencial, cuando no involucra aprovechamiento de recursos públicos.</w:t>
      </w:r>
    </w:p>
    <w:p w:rsidR="00FC46C5" w:rsidRPr="00EC2AFA" w:rsidRDefault="00FC46C5" w:rsidP="00A07CE4">
      <w:pPr>
        <w:spacing w:line="360" w:lineRule="auto"/>
        <w:jc w:val="both"/>
        <w:rPr>
          <w:rFonts w:ascii="Palatino Linotype" w:eastAsia="Calibri" w:hAnsi="Palatino Linotype" w:cs="Tahoma"/>
          <w:bCs/>
          <w:sz w:val="22"/>
          <w:szCs w:val="22"/>
          <w:lang w:val="es-ES_tradnl" w:eastAsia="en-US"/>
        </w:rPr>
      </w:pPr>
    </w:p>
    <w:p w:rsidR="00A07CE4" w:rsidRPr="00FC46C5" w:rsidRDefault="00A07CE4" w:rsidP="00A07CE4">
      <w:pPr>
        <w:spacing w:line="360" w:lineRule="auto"/>
        <w:ind w:left="567" w:right="567"/>
        <w:jc w:val="both"/>
        <w:rPr>
          <w:rFonts w:ascii="Palatino Linotype" w:eastAsiaTheme="minorHAnsi" w:hAnsi="Palatino Linotype" w:cs="Tahoma"/>
          <w:bCs/>
          <w:i/>
          <w:szCs w:val="22"/>
          <w:lang w:eastAsia="es-MX"/>
        </w:rPr>
      </w:pPr>
      <w:r w:rsidRPr="00FC46C5">
        <w:rPr>
          <w:rFonts w:ascii="Palatino Linotype" w:eastAsiaTheme="minorHAnsi" w:hAnsi="Palatino Linotype" w:cs="Tahoma"/>
          <w:b/>
          <w:bCs/>
          <w:i/>
          <w:szCs w:val="22"/>
          <w:lang w:eastAsia="es-MX"/>
        </w:rPr>
        <w:t>“Nombre del titular de una licencia que no involucre el aprovechamiento de bienes, servicios y/o recursos públicos, constituye un dato personal susceptible de clasificar como confidencial.</w:t>
      </w:r>
      <w:r w:rsidRPr="00FC46C5">
        <w:rPr>
          <w:rFonts w:ascii="Palatino Linotype" w:eastAsiaTheme="minorHAnsi" w:hAnsi="Palatino Linotype" w:cs="Tahoma"/>
          <w:bCs/>
          <w:i/>
          <w:szCs w:val="22"/>
          <w:lang w:eastAsia="es-MX"/>
        </w:rPr>
        <w:t xml:space="preserve"> El artículo 1, párrafo segundo de la Constitución Política de los Estados Unidos Mexicanos determina que las normas relativas a los derechos humanos se interpretarán de conformidad con la Constitución y con los tratados internacionales de la materia favoreciendo en todo tiempo a las personas la protección más amplia, por su parte el artículo 6, apartado A, fracciones I y II, de dicho ordenamiento establece que toda información en posesión de los sujetos obligados es pública y sólo podrá limitarse de manera justificada por razones de interés público, seguridad nacional, y para proteger la vida privada y datos personales en los términos precisados por las Leyes reglamentarias. Ahora bien, el artículo 92, fracción XXXII de la Ley de Transparencia y Acceso a la Información Pública del Estado de México y Municipios, señala que el nombre de los titulares de las licencias es un dato de carácter público, no obstante, para su aplicación, dicho numeral debe ser interpretado de manera armónica y sistemática con el ordenamiento reglamentario de la materia de transparencia y protección de datos personales, pues la intromisión a los datos personales de particulares únicamente se verá justificada cuando se involucre el aprovechamiento de bienes, servicios y/o recursos públicos en términos de lo dispuesto por los artículos 6, 92, fracción XXXII, 122 y 143, fracción I, de la Ley de Transparencia referida en concordancia con lo establecido por los numerales 6 y 15 de la Ley de Protección de Datos Personales en Posesión de Sujetos Obligados de la entidad. En ese sentido, el nombre de los titulares de licencias constituye un dato personal que debe ser tratado bajo los principios y términos de la ley reglamentaria de la materia, y para su publicidad se requerirá que la expedición de la licencia correspondiente involucre el aprovechamiento de bienes, servicios y/o recursos públicos, caso contrario se deberá clasificar como confidencial.”</w:t>
      </w:r>
    </w:p>
    <w:p w:rsidR="00FC46C5" w:rsidRPr="00D528B8" w:rsidRDefault="00FC46C5" w:rsidP="00A07CE4">
      <w:pPr>
        <w:spacing w:line="360" w:lineRule="auto"/>
        <w:ind w:left="567" w:right="567"/>
        <w:jc w:val="both"/>
        <w:rPr>
          <w:rFonts w:ascii="Palatino Linotype" w:eastAsiaTheme="minorHAnsi" w:hAnsi="Palatino Linotype" w:cs="Tahoma"/>
          <w:bCs/>
          <w:i/>
          <w:sz w:val="22"/>
          <w:szCs w:val="22"/>
          <w:lang w:eastAsia="es-MX"/>
        </w:rPr>
      </w:pPr>
    </w:p>
    <w:p w:rsidR="00A07CE4"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el Criterio en cita, se argumenta que si bien el nombre de los titulares de las licencias es un dato de carácter público, en términos del artículo 92, fracción XXXII de la Ley de Transparencia y Acceso a la Información Pública del Estado de México y Municipios, dicho precepto legal debe ser interpretado de manera armónica y sistemática, pues la intromisión a los datos personales de particulares únicamente se verá justificada cuando involucre el aprovechamiento de bienes, servicios o recursos públicos; por lo que constituye un dato personal, a menos que se actualice alguno de los supuestos previamente señalados.</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val="es-ES_tradnl" w:eastAsia="en-US"/>
        </w:rPr>
      </w:pPr>
      <w:r w:rsidRPr="00EC2AFA">
        <w:rPr>
          <w:rFonts w:ascii="Palatino Linotype" w:eastAsia="Calibri" w:hAnsi="Palatino Linotype" w:cs="Tahoma"/>
          <w:bCs/>
          <w:sz w:val="22"/>
          <w:szCs w:val="22"/>
          <w:lang w:val="es-ES_tradnl" w:eastAsia="en-US"/>
        </w:rPr>
        <w:t xml:space="preserve">No obstante, se considera que el nombre localizado en una licencia de funcionamiento, guarda cierto interés público, dado que cualquier actividad comercial, industrial o económica, es regulada por el Municipio de </w:t>
      </w:r>
      <w:r>
        <w:rPr>
          <w:rFonts w:ascii="Palatino Linotype" w:eastAsia="Calibri" w:hAnsi="Palatino Linotype" w:cs="Tahoma"/>
          <w:bCs/>
          <w:sz w:val="22"/>
          <w:szCs w:val="22"/>
          <w:lang w:val="es-ES_tradnl" w:eastAsia="en-US"/>
        </w:rPr>
        <w:t>Papalotla</w:t>
      </w:r>
      <w:r w:rsidRPr="00EC2AFA">
        <w:rPr>
          <w:rFonts w:ascii="Palatino Linotype" w:eastAsia="Calibri" w:hAnsi="Palatino Linotype" w:cs="Tahoma"/>
          <w:bCs/>
          <w:sz w:val="22"/>
          <w:szCs w:val="22"/>
          <w:lang w:val="es-ES_tradnl" w:eastAsia="en-US"/>
        </w:rPr>
        <w:t xml:space="preserve"> dentro de su circunscripción territorial, pues ayuda a transparentar la gestión pública.</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el artículo 92, fracción XXXII, de la Ley de Transparencia y Acceso a la Información Pública del Estado de México y Municipios, establece que los Sujetos Obligados deberán poner a disposición del público de manera permanente y actualizada de las licencias otorgadas, especificando los titulares de estas, debiendo publicarse el objeto, </w:t>
      </w:r>
      <w:r w:rsidRPr="00EC2AFA">
        <w:rPr>
          <w:rFonts w:ascii="Palatino Linotype" w:eastAsia="Calibri" w:hAnsi="Palatino Linotype" w:cs="Tahoma"/>
          <w:b/>
          <w:bCs/>
          <w:sz w:val="22"/>
          <w:szCs w:val="22"/>
          <w:lang w:eastAsia="en-US"/>
        </w:rPr>
        <w:t xml:space="preserve">nombre </w:t>
      </w:r>
      <w:r w:rsidRPr="00EC2AFA">
        <w:rPr>
          <w:rFonts w:ascii="Palatino Linotype" w:eastAsia="Calibri" w:hAnsi="Palatino Linotype" w:cs="Tahoma"/>
          <w:bCs/>
          <w:sz w:val="22"/>
          <w:szCs w:val="22"/>
          <w:lang w:eastAsia="en-US"/>
        </w:rPr>
        <w:t xml:space="preserve">o razón social, vigencia, tipo, términos, condiciones, monto o modificación. </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Cabe puntualizar que la</w:t>
      </w:r>
      <w:r>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licencia</w:t>
      </w:r>
      <w:r>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tal como se estableció en párrafos anteriores, se refiere a</w:t>
      </w:r>
      <w:r>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os</w:t>
      </w:r>
      <w:r w:rsidRPr="00EC2AFA">
        <w:rPr>
          <w:rFonts w:ascii="Palatino Linotype" w:eastAsia="Calibri" w:hAnsi="Palatino Linotype" w:cs="Tahoma"/>
          <w:bCs/>
          <w:sz w:val="22"/>
          <w:szCs w:val="22"/>
          <w:lang w:eastAsia="en-US"/>
        </w:rPr>
        <w:t xml:space="preserve"> documento</w:t>
      </w:r>
      <w:r>
        <w:rPr>
          <w:rFonts w:ascii="Palatino Linotype" w:eastAsia="Calibri" w:hAnsi="Palatino Linotype" w:cs="Tahoma"/>
          <w:bCs/>
          <w:sz w:val="22"/>
          <w:szCs w:val="22"/>
          <w:lang w:eastAsia="en-US"/>
        </w:rPr>
        <w:t>s</w:t>
      </w:r>
      <w:r w:rsidRPr="00EC2AFA">
        <w:rPr>
          <w:rFonts w:ascii="Palatino Linotype" w:eastAsia="Calibri" w:hAnsi="Palatino Linotype" w:cs="Tahoma"/>
          <w:bCs/>
          <w:sz w:val="22"/>
          <w:szCs w:val="22"/>
          <w:lang w:eastAsia="en-US"/>
        </w:rPr>
        <w:t xml:space="preserve"> que contiene</w:t>
      </w:r>
      <w:r>
        <w:rPr>
          <w:rFonts w:ascii="Palatino Linotype" w:eastAsia="Calibri" w:hAnsi="Palatino Linotype" w:cs="Tahoma"/>
          <w:bCs/>
          <w:sz w:val="22"/>
          <w:szCs w:val="22"/>
          <w:lang w:eastAsia="en-US"/>
        </w:rPr>
        <w:t>n</w:t>
      </w:r>
      <w:r w:rsidRPr="00EC2AFA">
        <w:rPr>
          <w:rFonts w:ascii="Palatino Linotype" w:eastAsia="Calibri" w:hAnsi="Palatino Linotype" w:cs="Tahoma"/>
          <w:bCs/>
          <w:sz w:val="22"/>
          <w:szCs w:val="22"/>
          <w:lang w:eastAsia="en-US"/>
        </w:rPr>
        <w:t xml:space="preserve"> la autorización</w:t>
      </w:r>
      <w:r>
        <w:rPr>
          <w:rFonts w:ascii="Palatino Linotype" w:eastAsia="Calibri" w:hAnsi="Palatino Linotype" w:cs="Tahoma"/>
          <w:bCs/>
          <w:sz w:val="22"/>
          <w:szCs w:val="22"/>
          <w:lang w:eastAsia="en-US"/>
        </w:rPr>
        <w:t xml:space="preserve"> por parte del Ayuntamiento de Papalotla, </w:t>
      </w:r>
      <w:r w:rsidRPr="00EC2AFA">
        <w:rPr>
          <w:rFonts w:ascii="Palatino Linotype" w:eastAsia="Calibri" w:hAnsi="Palatino Linotype" w:cs="Tahoma"/>
          <w:bCs/>
          <w:sz w:val="22"/>
          <w:szCs w:val="22"/>
          <w:lang w:eastAsia="en-US"/>
        </w:rPr>
        <w:t>para que un particular pueda realizar una actividad económica, comercial o industrial, regulada por las Leyes respectivas.</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de acuerdo con el artículo 92, fracción XXXII de la Ley en cita, el legislador contempló como información de interés público y que debe estar disponible para consulta, aquellas licencias otorgadas, especificando </w:t>
      </w:r>
      <w:r w:rsidRPr="00EF1E4E">
        <w:rPr>
          <w:rFonts w:ascii="Palatino Linotype" w:eastAsia="Calibri" w:hAnsi="Palatino Linotype" w:cs="Tahoma"/>
          <w:b/>
          <w:bCs/>
          <w:sz w:val="22"/>
          <w:szCs w:val="22"/>
          <w:lang w:eastAsia="en-US"/>
        </w:rPr>
        <w:t>el nombre de su titular</w:t>
      </w:r>
      <w:r w:rsidRPr="00EC2AFA">
        <w:rPr>
          <w:rFonts w:ascii="Palatino Linotype" w:eastAsia="Calibri" w:hAnsi="Palatino Linotype" w:cs="Tahoma"/>
          <w:bCs/>
          <w:sz w:val="22"/>
          <w:szCs w:val="22"/>
          <w:lang w:eastAsia="en-US"/>
        </w:rPr>
        <w:t xml:space="preserve"> y las   características principales. Lo anterior, en concordancia a lo establecido en la Ley General de Transparencia y Acceso a la Información Pública. </w:t>
      </w:r>
    </w:p>
    <w:p w:rsidR="00A07CE4"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Ello, con la finalidad de asegurar su mayor difusión, que permita a los ciudadanos evaluar de manera permanente los indicadores más importantes de la gestión pública, como lo son, la autorización de licencias de funcionamiento, pues es facultad exclusiva de los Municipios, ver las cuestiones relacionadas con el tema en cuestión.</w:t>
      </w:r>
      <w:r w:rsidRPr="00EC2AFA">
        <w:rPr>
          <w:rFonts w:ascii="Palatino Linotype" w:hAnsi="Palatino Linotype" w:cs="Tahoma"/>
          <w:sz w:val="22"/>
          <w:szCs w:val="22"/>
        </w:rPr>
        <w:t xml:space="preserve"> </w:t>
      </w:r>
      <w:r w:rsidRPr="00EC2AFA">
        <w:rPr>
          <w:rFonts w:ascii="Palatino Linotype" w:eastAsia="Calibri" w:hAnsi="Palatino Linotype" w:cs="Tahoma"/>
          <w:bCs/>
          <w:sz w:val="22"/>
          <w:szCs w:val="22"/>
          <w:lang w:eastAsia="en-US"/>
        </w:rPr>
        <w:t>Además, se incluyó el deber para los sujetos obligados de proporcionar, en la medida de lo posible, esta información con valor agregado, a efecto de facilitar su uso, comprensión y permitir evaluar su calidad, confiabilidad, oportunidad y veracidad.</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Lo anterior, toma sustento en el Dictamen de las Comisiones Unidas de Anticorrupción y Participación Ciudadana, de Gobernación y de Estudios Legislativos, segunda; relativo a la iniciativa que contiene el proyecto de Decreto por el que se expide la Ley General de Transparencia y Acceso a la Información Pública, ya que de este se desprende que el Poder Legislativo consideró que una de las principales contribuciones que trajo dicha Ley, es el catálogo de las obligaciones de transparencia, a través de un listado amplio, completo, detallado y preciso para todos los sujetos obligados del país, que permitan garantizar, el efectivo ejercicio del derecho de acceso a la información.</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Igualmente, se destacó que aún determinando causales de reserva en las leyes especiales diversas a la Ley General o las Estatales de Transparencia, todos los sujetos obligados deben de dar cumplimiento con todos los principios y procedimientos establecidos en la Ley General de Transparencia y Acceso a la Información Pública, así como con los recursos y criterios de la misma.</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Bajo tal premisa, podría concluirse que la hipótesis normativa del artículo 92, fracción XXXII de la Ley de Transparencia y Acceso a la Información Pública del Estado de México y los Municipios, se traduce en una excepción a la información personal que debe ser protegida, tal como es en el caso que nos ocupa el nombre del titular</w:t>
      </w:r>
      <w:r>
        <w:rPr>
          <w:rFonts w:ascii="Palatino Linotype" w:eastAsia="Calibri" w:hAnsi="Palatino Linotype" w:cs="Tahoma"/>
          <w:bCs/>
          <w:sz w:val="22"/>
          <w:szCs w:val="22"/>
          <w:lang w:eastAsia="en-US"/>
        </w:rPr>
        <w:t xml:space="preserve"> persona física</w:t>
      </w:r>
      <w:r w:rsidRPr="00EC2AFA">
        <w:rPr>
          <w:rFonts w:ascii="Palatino Linotype" w:eastAsia="Calibri" w:hAnsi="Palatino Linotype" w:cs="Tahoma"/>
          <w:bCs/>
          <w:sz w:val="22"/>
          <w:szCs w:val="22"/>
          <w:lang w:eastAsia="en-US"/>
        </w:rPr>
        <w:t xml:space="preserve"> de una licencia de funcionamiento, por lo que no es dable, como se asienta en el Criterio Relevante, considerar que el nombre de los titulares </w:t>
      </w:r>
      <w:r>
        <w:rPr>
          <w:rFonts w:ascii="Palatino Linotype" w:eastAsia="Calibri" w:hAnsi="Palatino Linotype" w:cs="Tahoma"/>
          <w:bCs/>
          <w:sz w:val="22"/>
          <w:szCs w:val="22"/>
          <w:lang w:eastAsia="en-US"/>
        </w:rPr>
        <w:t>estas,</w:t>
      </w:r>
      <w:r w:rsidRPr="00EC2AFA">
        <w:rPr>
          <w:rFonts w:ascii="Palatino Linotype" w:eastAsia="Calibri" w:hAnsi="Palatino Linotype" w:cs="Tahoma"/>
          <w:bCs/>
          <w:sz w:val="22"/>
          <w:szCs w:val="22"/>
          <w:lang w:eastAsia="en-US"/>
        </w:rPr>
        <w:t xml:space="preserve"> deba ser considerado confidencial, aún y cuando el mismo no involucre aprovechamiento de bienes o recursos públicos.</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 mayor abundamiento se puede referir que, el artículo 91 de dicho ordenamiento jurídico, establece que la información pública será restringida excepcionalmente, cuando ésta sea clasificada como reservada o confidencial; por lo que, se colige que las obligaciones de transparencia no superan de forma automática la prohibición de no difundir datos personales sin el consentimiento de su titular, como sucede en el caso concreto.</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Ante tales circunstancias, se desprende que, en el caso concreto, sobreviene una </w:t>
      </w:r>
      <w:r w:rsidRPr="00EC2AFA">
        <w:rPr>
          <w:rFonts w:ascii="Palatino Linotype" w:eastAsia="Calibri" w:hAnsi="Palatino Linotype" w:cs="Tahoma"/>
          <w:b/>
          <w:bCs/>
          <w:sz w:val="22"/>
          <w:szCs w:val="22"/>
          <w:lang w:eastAsia="en-US"/>
        </w:rPr>
        <w:t>colisión de derechos fundamentales,</w:t>
      </w:r>
      <w:r w:rsidRPr="00EC2AFA">
        <w:rPr>
          <w:rFonts w:ascii="Palatino Linotype" w:eastAsia="Calibri" w:hAnsi="Palatino Linotype" w:cs="Tahoma"/>
          <w:bCs/>
          <w:sz w:val="22"/>
          <w:szCs w:val="22"/>
          <w:lang w:eastAsia="en-US"/>
        </w:rPr>
        <w:t xml:space="preserve"> esto es, por una parte, se tiene el derecho de acceso a la información de la Particular para conocer el nombre de la persona a la cual se le otorgó una licencia para desarrollar determinada actividad, y por la otra, el derecho a la protección de los nombres de aquellas a quienes obtuvieron una autorización específica, lo cual implica dar a conocer datos personales confidenciales consistentes, en el nombre de personas físicas y este vincularlo en la actividad que desarrollan y el lugar en el que se ubica su establecimiento.</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Sobre el particular, debe señalarse que en un sistema jurídico racional, el contenido de ciertos derechos fundamentales no es absoluto y la colisión entre derechos fundamentales debe resolverse mediante una ponderación que determine el derecho que ha de prevalecer en el caso concretó, y no apelando a reglas de prioridad entre normas.</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Por cuanto hace a la colisión entre el derecho a la información y el derecho a la intimidad o a la vida privada, el Poder Judicial de la Federación ha sostenido la </w:t>
      </w:r>
      <w:r w:rsidRPr="00EC2AFA">
        <w:rPr>
          <w:rFonts w:ascii="Palatino Linotype" w:eastAsia="Calibri" w:hAnsi="Palatino Linotype" w:cs="Tahoma"/>
          <w:b/>
          <w:bCs/>
          <w:sz w:val="22"/>
          <w:szCs w:val="22"/>
          <w:lang w:eastAsia="en-U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atendiendo a las circunstancias de cada caso en concreto, </w:t>
      </w:r>
      <w:r w:rsidRPr="00EC2AFA">
        <w:rPr>
          <w:rFonts w:ascii="Palatino Linotype" w:eastAsia="Calibri" w:hAnsi="Palatino Linotype" w:cs="Tahoma"/>
          <w:bCs/>
          <w:sz w:val="22"/>
          <w:szCs w:val="22"/>
          <w:lang w:eastAsia="en-U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rsidR="00A07CE4" w:rsidRPr="00EC2AFA" w:rsidRDefault="00A07CE4" w:rsidP="00A07CE4">
      <w:pPr>
        <w:spacing w:line="360" w:lineRule="auto"/>
        <w:rPr>
          <w:rFonts w:ascii="Palatino Linotype" w:eastAsia="Calibri" w:hAnsi="Palatino Linotype" w:cs="Tahoma"/>
          <w:bCs/>
          <w:sz w:val="22"/>
          <w:szCs w:val="22"/>
          <w:lang w:eastAsia="en-US"/>
        </w:rPr>
      </w:pPr>
    </w:p>
    <w:p w:rsidR="00A07CE4" w:rsidRPr="00EC2AFA" w:rsidRDefault="00A07CE4" w:rsidP="00A07CE4">
      <w:pPr>
        <w:spacing w:after="160" w:line="360" w:lineRule="auto"/>
        <w:jc w:val="both"/>
        <w:rPr>
          <w:rFonts w:ascii="Palatino Linotype" w:hAnsi="Palatino Linotype" w:cs="Tahoma"/>
          <w:bCs/>
          <w:iCs/>
          <w:sz w:val="22"/>
          <w:szCs w:val="22"/>
        </w:rPr>
      </w:pPr>
      <w:r w:rsidRPr="00EC2AFA">
        <w:rPr>
          <w:rFonts w:ascii="Palatino Linotype" w:eastAsia="Calibri" w:hAnsi="Palatino Linotype" w:cs="Tahoma"/>
          <w:bCs/>
          <w:sz w:val="22"/>
          <w:szCs w:val="22"/>
          <w:lang w:eastAsia="en-US"/>
        </w:rPr>
        <w:t>En ese mismo sentido y atendiendo a la naturaleza del derecho a la protección de datos personales, por analogía, este debe ceder cuando exista un interés público mayor de acuerdo a las circunstancias del caso.</w:t>
      </w:r>
      <w:r w:rsidRPr="00EC2AFA">
        <w:rPr>
          <w:rFonts w:ascii="Palatino Linotype" w:hAnsi="Palatino Linotype" w:cs="Tahoma"/>
          <w:bCs/>
          <w:iCs/>
          <w:sz w:val="22"/>
          <w:szCs w:val="22"/>
        </w:rPr>
        <w:t xml:space="preserve"> </w:t>
      </w:r>
      <w:r>
        <w:rPr>
          <w:rFonts w:ascii="Palatino Linotype" w:hAnsi="Palatino Linotype" w:cs="Tahoma"/>
          <w:bCs/>
          <w:iCs/>
          <w:sz w:val="22"/>
          <w:szCs w:val="22"/>
        </w:rPr>
        <w:t>Precisado</w:t>
      </w:r>
      <w:r w:rsidRPr="00EC2AFA">
        <w:rPr>
          <w:rFonts w:ascii="Palatino Linotype" w:hAnsi="Palatino Linotype" w:cs="Tahoma"/>
          <w:bCs/>
          <w:iCs/>
          <w:sz w:val="22"/>
          <w:szCs w:val="22"/>
        </w:rPr>
        <w:t xml:space="preserve"> lo anterior, resulta necesario realizar una ponderación de los dos intereses jurídicos tutelados que convergen en la controversia que se dirime; para lo cual, el artículo </w:t>
      </w:r>
      <w:r w:rsidRPr="00EC2AFA">
        <w:rPr>
          <w:rFonts w:ascii="Palatino Linotype" w:eastAsia="Calibri" w:hAnsi="Palatino Linotype" w:cs="Tahoma"/>
          <w:bCs/>
          <w:sz w:val="22"/>
          <w:szCs w:val="22"/>
          <w:lang w:eastAsia="en-US"/>
        </w:rPr>
        <w:t>184 de la Ley de Transparencia y Acceso a la Información Pública del Estado de México y Municipios</w:t>
      </w:r>
      <w:r w:rsidRPr="00EC2AFA">
        <w:rPr>
          <w:rFonts w:ascii="Palatino Linotype" w:hAnsi="Palatino Linotype" w:cs="Tahoma"/>
          <w:bCs/>
          <w:iCs/>
          <w:sz w:val="22"/>
          <w:szCs w:val="22"/>
        </w:rPr>
        <w:t xml:space="preserve"> prevé que cuando exista una colisión de derechos, este Instituto, al resolver el recurso de revisión, debe aplicar una prueba de interés público con base en elementos de idoneidad, necesidad y proporcionalidad. Para estos efectos, se entenderá por: </w:t>
      </w:r>
    </w:p>
    <w:p w:rsidR="00A07CE4" w:rsidRPr="00EC2AFA" w:rsidRDefault="00A07CE4" w:rsidP="00A07CE4">
      <w:pPr>
        <w:spacing w:line="360" w:lineRule="auto"/>
        <w:ind w:right="49"/>
        <w:jc w:val="both"/>
        <w:rPr>
          <w:rFonts w:ascii="Palatino Linotype" w:hAnsi="Palatino Linotype" w:cs="Tahoma"/>
          <w:bCs/>
          <w:iCs/>
          <w:sz w:val="22"/>
          <w:szCs w:val="22"/>
        </w:rPr>
      </w:pPr>
    </w:p>
    <w:p w:rsidR="00A07CE4" w:rsidRPr="00EC2AFA" w:rsidRDefault="00A07CE4" w:rsidP="00210960">
      <w:pPr>
        <w:numPr>
          <w:ilvl w:val="0"/>
          <w:numId w:val="6"/>
        </w:numPr>
        <w:spacing w:line="360" w:lineRule="auto"/>
        <w:ind w:left="426" w:right="49" w:hanging="426"/>
        <w:contextualSpacing/>
        <w:jc w:val="both"/>
        <w:rPr>
          <w:rFonts w:ascii="Palatino Linotype" w:hAnsi="Palatino Linotype" w:cs="Tahoma"/>
          <w:bCs/>
          <w:iCs/>
          <w:sz w:val="22"/>
          <w:szCs w:val="22"/>
        </w:rPr>
      </w:pPr>
      <w:r w:rsidRPr="00EC2AFA">
        <w:rPr>
          <w:rFonts w:ascii="Palatino Linotype" w:hAnsi="Palatino Linotype" w:cs="Tahoma"/>
          <w:b/>
          <w:bCs/>
          <w:iCs/>
          <w:sz w:val="22"/>
          <w:szCs w:val="22"/>
        </w:rPr>
        <w:t>Idoneidad:</w:t>
      </w:r>
      <w:r w:rsidRPr="00EC2AFA">
        <w:rPr>
          <w:rFonts w:ascii="Palatino Linotype" w:hAnsi="Palatino Linotype" w:cs="Tahoma"/>
          <w:bCs/>
          <w:iCs/>
          <w:sz w:val="22"/>
          <w:szCs w:val="22"/>
        </w:rPr>
        <w:t xml:space="preserve"> La legitimidad del derecho adoptado como preferente, que sea el adecuado para el logro de un fin constitucionalmente válido o apto para conseguir el fin pretendido;</w:t>
      </w:r>
    </w:p>
    <w:p w:rsidR="00A07CE4" w:rsidRPr="00EC2AFA" w:rsidRDefault="00A07CE4" w:rsidP="00A07CE4">
      <w:pPr>
        <w:spacing w:line="360" w:lineRule="auto"/>
        <w:ind w:left="426" w:right="49"/>
        <w:contextualSpacing/>
        <w:jc w:val="both"/>
        <w:rPr>
          <w:rFonts w:ascii="Palatino Linotype" w:hAnsi="Palatino Linotype" w:cs="Tahoma"/>
          <w:bCs/>
          <w:iCs/>
          <w:sz w:val="22"/>
          <w:szCs w:val="22"/>
        </w:rPr>
      </w:pPr>
    </w:p>
    <w:p w:rsidR="00A07CE4" w:rsidRPr="00EC2AFA" w:rsidRDefault="00A07CE4" w:rsidP="00210960">
      <w:pPr>
        <w:numPr>
          <w:ilvl w:val="0"/>
          <w:numId w:val="6"/>
        </w:numPr>
        <w:spacing w:line="360" w:lineRule="auto"/>
        <w:ind w:left="426" w:right="49" w:hanging="426"/>
        <w:contextualSpacing/>
        <w:jc w:val="both"/>
        <w:rPr>
          <w:rFonts w:ascii="Palatino Linotype" w:hAnsi="Palatino Linotype" w:cs="Tahoma"/>
          <w:bCs/>
          <w:iCs/>
          <w:sz w:val="22"/>
          <w:szCs w:val="22"/>
        </w:rPr>
      </w:pPr>
      <w:r w:rsidRPr="00EC2AFA">
        <w:rPr>
          <w:rFonts w:ascii="Palatino Linotype" w:hAnsi="Palatino Linotype" w:cs="Tahoma"/>
          <w:b/>
          <w:bCs/>
          <w:iCs/>
          <w:sz w:val="22"/>
          <w:szCs w:val="22"/>
        </w:rPr>
        <w:t>Necesidad:</w:t>
      </w:r>
      <w:r w:rsidRPr="00EC2AFA">
        <w:rPr>
          <w:rFonts w:ascii="Palatino Linotype" w:hAnsi="Palatino Linotype" w:cs="Tahoma"/>
          <w:bCs/>
          <w:iCs/>
          <w:sz w:val="22"/>
          <w:szCs w:val="22"/>
        </w:rPr>
        <w:t xml:space="preserve"> La falta de un medio alternativo menos lesivo a la apertura de la información, para satisfacer el interés público, y</w:t>
      </w:r>
    </w:p>
    <w:p w:rsidR="00A07CE4" w:rsidRPr="00EC2AFA" w:rsidRDefault="00A07CE4" w:rsidP="00A07CE4">
      <w:pPr>
        <w:spacing w:line="360" w:lineRule="auto"/>
        <w:ind w:left="426" w:right="49"/>
        <w:contextualSpacing/>
        <w:jc w:val="both"/>
        <w:rPr>
          <w:rFonts w:ascii="Palatino Linotype" w:hAnsi="Palatino Linotype" w:cs="Tahoma"/>
          <w:bCs/>
          <w:iCs/>
          <w:sz w:val="22"/>
          <w:szCs w:val="22"/>
        </w:rPr>
      </w:pPr>
    </w:p>
    <w:p w:rsidR="00A07CE4" w:rsidRPr="00EC2AFA" w:rsidRDefault="00A07CE4" w:rsidP="00210960">
      <w:pPr>
        <w:numPr>
          <w:ilvl w:val="0"/>
          <w:numId w:val="6"/>
        </w:numPr>
        <w:spacing w:line="360" w:lineRule="auto"/>
        <w:ind w:left="426" w:right="49" w:hanging="426"/>
        <w:contextualSpacing/>
        <w:jc w:val="both"/>
        <w:rPr>
          <w:rFonts w:ascii="Palatino Linotype" w:hAnsi="Palatino Linotype" w:cs="Tahoma"/>
          <w:bCs/>
          <w:iCs/>
          <w:sz w:val="22"/>
          <w:szCs w:val="22"/>
        </w:rPr>
      </w:pPr>
      <w:r w:rsidRPr="00EC2AFA">
        <w:rPr>
          <w:rFonts w:ascii="Palatino Linotype" w:hAnsi="Palatino Linotype" w:cs="Tahoma"/>
          <w:b/>
          <w:bCs/>
          <w:iCs/>
          <w:sz w:val="22"/>
          <w:szCs w:val="22"/>
        </w:rPr>
        <w:t>Proporcionalidad:</w:t>
      </w:r>
      <w:r w:rsidRPr="00EC2AFA">
        <w:rPr>
          <w:rFonts w:ascii="Palatino Linotype" w:hAnsi="Palatino Linotype" w:cs="Tahoma"/>
          <w:bCs/>
          <w:iCs/>
          <w:sz w:val="22"/>
          <w:szCs w:val="22"/>
        </w:rPr>
        <w:t xml:space="preserve"> El equilibrio entre perjuicio y beneficio a favor del interés público, a fin de que la decisión tomada represente un beneficio mayor al perjuicio que podría causar a la población.</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1"/>
        <w:jc w:val="both"/>
        <w:rPr>
          <w:rFonts w:ascii="Palatino Linotype" w:eastAsia="Calibri" w:hAnsi="Palatino Linotype" w:cs="Tahoma"/>
          <w:sz w:val="22"/>
          <w:szCs w:val="22"/>
        </w:rPr>
      </w:pPr>
      <w:r w:rsidRPr="00EC2AFA">
        <w:rPr>
          <w:rFonts w:ascii="Palatino Linotype" w:eastAsia="Calibri" w:hAnsi="Palatino Linotype" w:cs="Tahoma"/>
          <w:sz w:val="22"/>
          <w:szCs w:val="22"/>
        </w:rPr>
        <w:t>En ese orden de ideas, resulta procedente analizar cada uno de los elementos referidos, partiendo de que, en el caso concreto, se estima como preferente el derecho de acceso a la información, bajo las consideraciones que se verterán a continuación.</w:t>
      </w:r>
    </w:p>
    <w:p w:rsidR="00A07CE4" w:rsidRPr="00EC2AFA" w:rsidRDefault="00A07CE4" w:rsidP="00A07CE4">
      <w:pPr>
        <w:spacing w:line="360" w:lineRule="auto"/>
        <w:ind w:right="-1"/>
        <w:jc w:val="both"/>
        <w:rPr>
          <w:rFonts w:ascii="Palatino Linotype" w:eastAsia="Calibri" w:hAnsi="Palatino Linotype" w:cs="Tahoma"/>
          <w:sz w:val="22"/>
          <w:szCs w:val="22"/>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
          <w:bCs/>
          <w:iCs/>
          <w:sz w:val="22"/>
          <w:szCs w:val="22"/>
        </w:rPr>
        <w:t>a) Idoneidad</w:t>
      </w:r>
      <w:r w:rsidRPr="00EC2AFA">
        <w:rPr>
          <w:rFonts w:ascii="Palatino Linotype" w:eastAsia="Calibri" w:hAnsi="Palatino Linotype" w:cs="Tahoma"/>
          <w:bCs/>
          <w:sz w:val="22"/>
          <w:szCs w:val="22"/>
          <w:lang w:eastAsia="en-US"/>
        </w:rPr>
        <w:t>. Existe un fin constitucionalmente válido para dar a conocer el nombre de aquellas personas físicas a quienes les fue otorgada una licencia para realizar una actividad económica, comerci</w:t>
      </w:r>
      <w:r>
        <w:rPr>
          <w:rFonts w:ascii="Palatino Linotype" w:eastAsia="Calibri" w:hAnsi="Palatino Linotype" w:cs="Tahoma"/>
          <w:bCs/>
          <w:sz w:val="22"/>
          <w:szCs w:val="22"/>
          <w:lang w:eastAsia="en-US"/>
        </w:rPr>
        <w:t>al o industrial en el Municipio</w:t>
      </w:r>
      <w:r w:rsidRPr="00EC2AFA">
        <w:rPr>
          <w:rFonts w:ascii="Palatino Linotype" w:eastAsia="Calibri" w:hAnsi="Palatino Linotype" w:cs="Tahoma"/>
          <w:bCs/>
          <w:sz w:val="22"/>
          <w:szCs w:val="22"/>
          <w:lang w:eastAsia="en-US"/>
        </w:rPr>
        <w:t xml:space="preserve">; dicho fin la rendición de cuentas sobre el quehacer gubernamental que permita identificar a aquellas personas que han sido autorizadas por el Ayuntamiento, para realizar actividades lícitas; esto es, las localizadas en el Catálogo Mexiquense de Actividades Industriales, Comerciales y de Servicios, a efecto de determinar si la misma se realizó atendiendo </w:t>
      </w:r>
      <w:r>
        <w:rPr>
          <w:rFonts w:ascii="Palatino Linotype" w:eastAsia="Calibri" w:hAnsi="Palatino Linotype" w:cs="Tahoma"/>
          <w:bCs/>
          <w:sz w:val="22"/>
          <w:szCs w:val="22"/>
          <w:lang w:eastAsia="en-US"/>
        </w:rPr>
        <w:t>a la normatividad aplicable.</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Al respecto, es de señalar que la </w:t>
      </w:r>
      <w:r w:rsidRPr="00EC2AFA">
        <w:rPr>
          <w:rFonts w:ascii="Palatino Linotype" w:eastAsia="Calibri" w:hAnsi="Palatino Linotype" w:cs="Tahoma"/>
          <w:b/>
          <w:bCs/>
          <w:sz w:val="22"/>
          <w:szCs w:val="22"/>
          <w:lang w:eastAsia="en-US"/>
        </w:rPr>
        <w:t xml:space="preserve">transparencia </w:t>
      </w:r>
      <w:r w:rsidRPr="00EC2AFA">
        <w:rPr>
          <w:rFonts w:ascii="Palatino Linotype" w:eastAsia="Calibri" w:hAnsi="Palatino Linotype" w:cs="Tahoma"/>
          <w:bCs/>
          <w:sz w:val="22"/>
          <w:szCs w:val="22"/>
          <w:lang w:eastAsia="en-US"/>
        </w:rPr>
        <w:t xml:space="preserve">está orientada a maximizar el uso social de la información de los organismos gubernamentales, misma que sirve para exigir cuentas a las autoridades; mientras que la </w:t>
      </w:r>
      <w:r w:rsidRPr="00EC2AFA">
        <w:rPr>
          <w:rFonts w:ascii="Palatino Linotype" w:eastAsia="Calibri" w:hAnsi="Palatino Linotype" w:cs="Tahoma"/>
          <w:b/>
          <w:bCs/>
          <w:sz w:val="22"/>
          <w:szCs w:val="22"/>
          <w:lang w:eastAsia="en-US"/>
        </w:rPr>
        <w:t>rendición de cuentas</w:t>
      </w:r>
      <w:r w:rsidRPr="00EC2AFA">
        <w:rPr>
          <w:rFonts w:ascii="Palatino Linotype" w:eastAsia="Calibri" w:hAnsi="Palatino Linotype" w:cs="Tahoma"/>
          <w:bCs/>
          <w:sz w:val="22"/>
          <w:szCs w:val="22"/>
          <w:lang w:eastAsia="en-US"/>
        </w:rPr>
        <w:t xml:space="preserve"> debe entenderse como la obligación de los funcionarios de responder por lo que hacen y la que atañe al poder de los ciudadanos para sancionar los resultados de la gestión en caso de que los servidores públicos hayan violado sus deberes públicos. Por lo que, estos dos conceptos están asociados de manera notable y por tanto, los gobernados requieren información para evaluar críticamente a sus gobernantes y exigirles cuentas.</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En ese orden de ideas, la transparencia, al permitir y ayudar a la rendición de cuentas, funciona de doble manera, </w:t>
      </w:r>
      <w:r w:rsidRPr="00EC2AFA">
        <w:rPr>
          <w:rFonts w:ascii="Palatino Linotype" w:eastAsia="Calibri" w:hAnsi="Palatino Linotype" w:cs="Tahoma"/>
          <w:bCs/>
          <w:sz w:val="22"/>
          <w:szCs w:val="22"/>
          <w:u w:val="single"/>
          <w:lang w:eastAsia="en-US"/>
        </w:rPr>
        <w:t>capacitadora</w:t>
      </w:r>
      <w:r w:rsidRPr="00EC2AFA">
        <w:rPr>
          <w:rFonts w:ascii="Palatino Linotype" w:eastAsia="Calibri" w:hAnsi="Palatino Linotype" w:cs="Tahoma"/>
          <w:bCs/>
          <w:sz w:val="22"/>
          <w:szCs w:val="22"/>
          <w:lang w:eastAsia="en-US"/>
        </w:rPr>
        <w:t xml:space="preserve">, al permitir a la sociedad premiar o castigar el desempeño de los entes públicos, y cómo </w:t>
      </w:r>
      <w:r w:rsidRPr="00EC2AFA">
        <w:rPr>
          <w:rFonts w:ascii="Palatino Linotype" w:eastAsia="Calibri" w:hAnsi="Palatino Linotype" w:cs="Tahoma"/>
          <w:bCs/>
          <w:sz w:val="22"/>
          <w:szCs w:val="22"/>
          <w:u w:val="single"/>
          <w:lang w:eastAsia="en-US"/>
        </w:rPr>
        <w:t>inhibidora</w:t>
      </w:r>
      <w:r w:rsidRPr="00EC2AFA">
        <w:rPr>
          <w:rFonts w:ascii="Palatino Linotype" w:eastAsia="Calibri" w:hAnsi="Palatino Linotype" w:cs="Tahoma"/>
          <w:bCs/>
          <w:sz w:val="22"/>
          <w:szCs w:val="22"/>
          <w:lang w:eastAsia="en-US"/>
        </w:rPr>
        <w:t xml:space="preserve"> de conductas y acciones que atenten contra </w:t>
      </w:r>
      <w:r w:rsidRPr="00EC2AFA">
        <w:rPr>
          <w:rFonts w:ascii="Palatino Linotype" w:eastAsia="Calibri" w:hAnsi="Palatino Linotype" w:cs="Tahoma"/>
          <w:b/>
          <w:bCs/>
          <w:sz w:val="22"/>
          <w:szCs w:val="22"/>
          <w:lang w:eastAsia="en-US"/>
        </w:rPr>
        <w:t xml:space="preserve">el interés público. </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Ahora bien, tal como se estableció en párrafos anteriores, cualquier actividad comercial, industrial o económica, únicamente podrá ser llevada a cabo, bajo el amparo de una licencia de funcionamiento expedida, en el presente caso, por el Ayuntamiento, siempre y cuando cumplan con los requisitos establecidos en la Ley de Competitividad y Ordenamiento Comercial del Estado de México, su Reglamento</w:t>
      </w:r>
      <w:r>
        <w:rPr>
          <w:rFonts w:ascii="Palatino Linotype" w:eastAsia="Calibri" w:hAnsi="Palatino Linotype" w:cs="Tahoma"/>
          <w:bCs/>
          <w:sz w:val="22"/>
          <w:szCs w:val="22"/>
          <w:lang w:eastAsia="en-US"/>
        </w:rPr>
        <w:t>, entre otras normatividades</w:t>
      </w:r>
      <w:r w:rsidRPr="00EC2AFA">
        <w:rPr>
          <w:rFonts w:ascii="Palatino Linotype" w:eastAsia="Calibri" w:hAnsi="Palatino Linotype" w:cs="Tahoma"/>
          <w:bCs/>
          <w:sz w:val="22"/>
          <w:szCs w:val="22"/>
          <w:lang w:eastAsia="en-US"/>
        </w:rPr>
        <w:t xml:space="preserve">; en tal virtud, los nombres de las personas que tienen una autorización para poder realizar diversas unidades económicas, </w:t>
      </w:r>
      <w:r w:rsidRPr="00EC2AFA">
        <w:rPr>
          <w:rFonts w:ascii="Palatino Linotype" w:eastAsia="Calibri" w:hAnsi="Palatino Linotype" w:cs="Tahoma"/>
          <w:b/>
          <w:bCs/>
          <w:sz w:val="22"/>
          <w:szCs w:val="22"/>
          <w:lang w:eastAsia="en-US"/>
        </w:rPr>
        <w:t>se traduce en información que permite transparentar el otorgamiento por parte del Estado de dichos documentos a diversos particulares.</w:t>
      </w:r>
    </w:p>
    <w:p w:rsidR="00A07CE4" w:rsidRPr="00EC2AFA" w:rsidRDefault="00A07CE4" w:rsidP="00A07CE4">
      <w:pPr>
        <w:spacing w:line="360" w:lineRule="auto"/>
        <w:ind w:right="-93"/>
        <w:jc w:val="both"/>
        <w:rPr>
          <w:rFonts w:ascii="Palatino Linotype" w:eastAsia="Calibri" w:hAnsi="Palatino Linotype" w:cs="Tahoma"/>
          <w:b/>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ese orden de ideas, la Suprema Corte de Justicia de la Nación, ha definido el acceso a la información como un derecho en sí mismo y como un medio o instrumento para el ejercicio de otros derechos,</w:t>
      </w:r>
      <w:r w:rsidRPr="00EC2AFA">
        <w:rPr>
          <w:rFonts w:ascii="Palatino Linotype" w:eastAsia="Calibri" w:hAnsi="Palatino Linotype" w:cs="Tahoma"/>
          <w:b/>
          <w:bCs/>
          <w:sz w:val="22"/>
          <w:szCs w:val="22"/>
          <w:lang w:eastAsia="en-US"/>
        </w:rPr>
        <w:t xml:space="preserve"> para que los gobernados ejerzan un control respecto del funcionamiento institucional de los poderes públicos, por lo que se constituye como una exigencia social de todo Estado de Derecho, y como un derecho colectivo o garantía social</w:t>
      </w:r>
      <w:r w:rsidRPr="00EC2AFA">
        <w:rPr>
          <w:rFonts w:ascii="Palatino Linotype" w:eastAsia="Calibri" w:hAnsi="Palatino Linotype" w:cs="Tahoma"/>
          <w:bCs/>
          <w:sz w:val="22"/>
          <w:szCs w:val="22"/>
          <w:lang w:eastAsia="en-US"/>
        </w:rPr>
        <w:t>, a fin de lograr la publicidad de los actos de gobierno y la transparencia de la administración pública. Lo anterior, a través de la jurisprudencia número P./J. 54/2008, publicada en el Semanario Judicial de la Federación y su Gaceta, Tomo XXVII, página 743, Novena Época, en junio de dos mil ocho.</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A mayor precisión, la transparencia de la información requerida permitiría a la sociedad, en general, conocer los nombres de las personas que acreditaron los elementos necesarios para poder realizar una actividad económica dentro del territorio del Municipio; esto es, de los requisitos establecidos </w:t>
      </w:r>
      <w:r>
        <w:rPr>
          <w:rFonts w:ascii="Palatino Linotype" w:eastAsia="Calibri" w:hAnsi="Palatino Linotype" w:cs="Tahoma"/>
          <w:bCs/>
          <w:sz w:val="22"/>
          <w:szCs w:val="22"/>
          <w:lang w:eastAsia="en-US"/>
        </w:rPr>
        <w:t>en las leyes respectivas.</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
          <w:bCs/>
          <w:sz w:val="22"/>
          <w:szCs w:val="22"/>
          <w:u w:val="single"/>
          <w:lang w:eastAsia="en-US"/>
        </w:rPr>
      </w:pPr>
      <w:r w:rsidRPr="00EC2AFA">
        <w:rPr>
          <w:rFonts w:ascii="Palatino Linotype" w:eastAsia="Calibri" w:hAnsi="Palatino Linotype" w:cs="Tahoma"/>
          <w:bCs/>
          <w:sz w:val="22"/>
          <w:szCs w:val="22"/>
          <w:lang w:eastAsia="en-US"/>
        </w:rPr>
        <w:t>En ese sentido, resulta necesario precisar, que en el artículo 21, fracción III de la Ley de Competitividad y Ordenamiento Comercial</w:t>
      </w:r>
      <w:r>
        <w:rPr>
          <w:rFonts w:ascii="Palatino Linotype" w:eastAsia="Calibri" w:hAnsi="Palatino Linotype" w:cs="Tahoma"/>
          <w:bCs/>
          <w:sz w:val="22"/>
          <w:szCs w:val="22"/>
          <w:lang w:eastAsia="en-US"/>
        </w:rPr>
        <w:t xml:space="preserve"> del Estado de México, </w:t>
      </w:r>
      <w:r w:rsidRPr="00EC2AFA">
        <w:rPr>
          <w:rFonts w:ascii="Palatino Linotype" w:eastAsia="Calibri" w:hAnsi="Palatino Linotype" w:cs="Tahoma"/>
          <w:bCs/>
          <w:sz w:val="22"/>
          <w:szCs w:val="22"/>
          <w:lang w:eastAsia="en-US"/>
        </w:rPr>
        <w:t xml:space="preserve"> </w:t>
      </w:r>
      <w:r w:rsidRPr="00EC2AFA">
        <w:rPr>
          <w:rFonts w:ascii="Palatino Linotype" w:eastAsia="Calibri" w:hAnsi="Palatino Linotype" w:cs="Tahoma"/>
          <w:b/>
          <w:bCs/>
          <w:sz w:val="22"/>
          <w:szCs w:val="22"/>
          <w:u w:val="single"/>
          <w:lang w:eastAsia="en-US"/>
        </w:rPr>
        <w:t>prevé que es obligación de los propietarios de establecimientos, tener en un lugar visible dentro de la unidad económica, el original o copia certificada de la licencia de funcionamiento.</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u w:val="single"/>
          <w:lang w:eastAsia="en-US"/>
        </w:rPr>
      </w:pPr>
      <w:r w:rsidRPr="00EC2AFA">
        <w:rPr>
          <w:rFonts w:ascii="Palatino Linotype" w:eastAsia="Calibri" w:hAnsi="Palatino Linotype" w:cs="Tahoma"/>
          <w:bCs/>
          <w:sz w:val="22"/>
          <w:szCs w:val="22"/>
          <w:lang w:eastAsia="en-US"/>
        </w:rPr>
        <w:t xml:space="preserve">Por ende, otorgar el nombre de la persona autorizada, a través de una licencia de funcionamiento, </w:t>
      </w:r>
      <w:r w:rsidRPr="00EC2AFA">
        <w:rPr>
          <w:rFonts w:ascii="Palatino Linotype" w:eastAsia="Calibri" w:hAnsi="Palatino Linotype" w:cs="Tahoma"/>
          <w:bCs/>
          <w:sz w:val="22"/>
          <w:szCs w:val="22"/>
          <w:u w:val="single"/>
          <w:lang w:eastAsia="en-US"/>
        </w:rPr>
        <w:t>permite corroborar que la exhibida en el establecimiento comercial, fue emitida efectivamente por la autoridad competente, en el presente caso, por el</w:t>
      </w:r>
      <w:r w:rsidRPr="00AE4D53">
        <w:rPr>
          <w:rFonts w:ascii="Palatino Linotype" w:eastAsia="Calibri" w:hAnsi="Palatino Linotype" w:cs="Tahoma"/>
          <w:b/>
          <w:bCs/>
          <w:sz w:val="22"/>
          <w:szCs w:val="22"/>
          <w:u w:val="single"/>
          <w:lang w:eastAsia="en-US"/>
        </w:rPr>
        <w:t xml:space="preserve"> Municipio de </w:t>
      </w:r>
      <w:r>
        <w:rPr>
          <w:rFonts w:ascii="Palatino Linotype" w:eastAsia="Calibri" w:hAnsi="Palatino Linotype" w:cs="Tahoma"/>
          <w:b/>
          <w:bCs/>
          <w:sz w:val="22"/>
          <w:szCs w:val="22"/>
          <w:u w:val="single"/>
          <w:lang w:eastAsia="en-US"/>
        </w:rPr>
        <w:t>Papalotla</w:t>
      </w:r>
      <w:r w:rsidRPr="00EC2AFA">
        <w:rPr>
          <w:rFonts w:ascii="Palatino Linotype" w:eastAsia="Calibri" w:hAnsi="Palatino Linotype" w:cs="Tahoma"/>
          <w:bCs/>
          <w:sz w:val="22"/>
          <w:szCs w:val="22"/>
          <w:u w:val="single"/>
          <w:lang w:eastAsia="en-US"/>
        </w:rPr>
        <w:t>.</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Bajo esa premisa, se entiende que la materia sobre la cual versa la presente solicitud, reviste un interés colectivo para la sociedad, dado que el Estado a nivel municipal, es el encargado de regular los establecimientos comerciales o industriales dentro de extensión territorial.</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Cs/>
          <w:sz w:val="22"/>
          <w:szCs w:val="22"/>
          <w:lang w:eastAsia="en-US"/>
        </w:rPr>
        <w:t xml:space="preserve">Así, mediante la difusión de los nombres de aquellas personas que cuentan con la licencia de funcionamiento, permitiría una debida rendición de cuentas, pues es indispensable que se conozcan aquellos que están autorizados por parte del Municipio para realizar actividades económicas, mismas que se encuentran reguladas, por lo que, con ello se garantizaría que la sociedad tenga certeza de que </w:t>
      </w:r>
      <w:r w:rsidRPr="00EC2AFA">
        <w:rPr>
          <w:rFonts w:ascii="Palatino Linotype" w:eastAsia="Calibri" w:hAnsi="Palatino Linotype" w:cs="Tahoma"/>
          <w:b/>
          <w:bCs/>
          <w:sz w:val="22"/>
          <w:szCs w:val="22"/>
          <w:lang w:eastAsia="en-US"/>
        </w:rPr>
        <w:t>las autorizaciones colocadas en los establecimientos, fueron efectivamente emitidas por el sujeto obligado, y no funcionan fuera del marco de la normatividad aplicable.</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Es bajo ese contexto, que se considera que el derecho de acceso a la información debe prevalecer frente a la protección del nombre de los titules de licencias de funcionamiento, pues resulta de interés público, el que la sociedad pueda identificar a quiénes están autorizados para ejercer la actividad comercial; lo cual permite corroborar que la localizada en el establecimiento fue efectivamente emitida por el Sujeto Obligado.</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Igualmente, permitiría el escrutinio de la actividad de la autoridad encargada de emitir dichas licencias, en tanto que la sociedad podría advertir si se autorizaron a quienes cumplen con los requisitos establecidos </w:t>
      </w:r>
      <w:r>
        <w:rPr>
          <w:rFonts w:ascii="Palatino Linotype" w:eastAsia="Calibri" w:hAnsi="Palatino Linotype" w:cs="Tahoma"/>
          <w:bCs/>
          <w:sz w:val="22"/>
          <w:szCs w:val="22"/>
          <w:lang w:eastAsia="en-US"/>
        </w:rPr>
        <w:t>la normatividad</w:t>
      </w:r>
      <w:r w:rsidRPr="00EC2AFA">
        <w:rPr>
          <w:rFonts w:ascii="Palatino Linotype" w:eastAsia="Calibri" w:hAnsi="Palatino Linotype" w:cs="Tahoma"/>
          <w:bCs/>
          <w:sz w:val="22"/>
          <w:szCs w:val="22"/>
          <w:lang w:eastAsia="en-US"/>
        </w:rPr>
        <w:t xml:space="preserve"> aplicable e incluso si dicha licencia se encuentra vigente.</w:t>
      </w:r>
    </w:p>
    <w:p w:rsidR="00A07CE4" w:rsidRPr="00EC2AFA" w:rsidRDefault="00A07CE4" w:rsidP="00A07CE4">
      <w:pPr>
        <w:spacing w:line="360" w:lineRule="auto"/>
        <w:ind w:right="-93"/>
        <w:jc w:val="both"/>
        <w:rPr>
          <w:rFonts w:ascii="Palatino Linotype" w:eastAsia="Calibri" w:hAnsi="Palatino Linotype" w:cs="Tahoma"/>
          <w:b/>
          <w:sz w:val="22"/>
          <w:szCs w:val="22"/>
        </w:rPr>
      </w:pPr>
    </w:p>
    <w:p w:rsidR="00A07CE4" w:rsidRPr="00EC2AFA" w:rsidRDefault="00A07CE4" w:rsidP="00A07CE4">
      <w:pPr>
        <w:spacing w:line="360" w:lineRule="auto"/>
        <w:ind w:right="-93"/>
        <w:jc w:val="both"/>
        <w:rPr>
          <w:rFonts w:ascii="Palatino Linotype" w:eastAsia="Calibri" w:hAnsi="Palatino Linotype" w:cs="Tahoma"/>
          <w:b/>
          <w:bCs/>
          <w:sz w:val="22"/>
          <w:szCs w:val="22"/>
          <w:lang w:eastAsia="en-US"/>
        </w:rPr>
      </w:pPr>
      <w:r w:rsidRPr="00EC2AFA">
        <w:rPr>
          <w:rFonts w:ascii="Palatino Linotype" w:eastAsia="Calibri" w:hAnsi="Palatino Linotype" w:cs="Tahoma"/>
          <w:b/>
          <w:sz w:val="22"/>
          <w:szCs w:val="22"/>
        </w:rPr>
        <w:t>b) Necesidad.</w:t>
      </w:r>
      <w:r w:rsidRPr="00EC2AFA">
        <w:rPr>
          <w:rFonts w:ascii="Palatino Linotype" w:eastAsia="Calibri" w:hAnsi="Palatino Linotype" w:cs="Tahoma"/>
          <w:bCs/>
          <w:sz w:val="22"/>
          <w:szCs w:val="22"/>
          <w:lang w:eastAsia="en-US"/>
        </w:rPr>
        <w:t xml:space="preserve"> El sacrifico de la protección del nombre de aquellas personas que se les otorgó una licencia de funcionamiento, como medio para lograr el fin constitucionalmente válido señalado previamente, se justifica en razón de que se satisface el interés mayor de los ciudadanos de conocer si los establecimientos comerciales cuentan con la autorización correspondiente. Además, corrobora si la localizada en el inmueble para llevar a cabo la actividad, fue emitida por el Sujeto Obligado, </w:t>
      </w:r>
      <w:r w:rsidRPr="00EC2AFA">
        <w:rPr>
          <w:rFonts w:ascii="Palatino Linotype" w:eastAsia="Calibri" w:hAnsi="Palatino Linotype" w:cs="Tahoma"/>
          <w:b/>
          <w:bCs/>
          <w:sz w:val="22"/>
          <w:szCs w:val="22"/>
          <w:lang w:eastAsia="en-US"/>
        </w:rPr>
        <w:t>como regulador de las actividades económicas del Municipio, además de que permite identificar a las personas que acceden al servicio quién es el responsable del local.</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Sobre el particular, el artículo 2° de la Ley de Transparencia y Acceso a la Información Pública del Estado de México y Municipios, dispone que entre los objetivos de la misma, se encuentran: i) transparentar la gestión pública mediante la difusión de la información generada por los Sujetos Obligados; ii) promover, fomentar y la cultura de la transparencia, el acceso a la información y a la rendición de cuentas y, iii) propiciar la participación ciudadana en la toma de las decisiones públicas, a fin de contribuir a la consolidación de la democracia.</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el caso concreto, se considera que no existe un medio menos oneroso que el ejercicio del derecho de acceso a la información para lograr el fin constitucionalmente válido, que es transparentar y rendir cuentas a la sociedad sobre las personas a quiénes se les otorgaron licencias, por parte del Municipio, para que pudieran realizar actividades económicas, comerciales o industriales, pues sólo por esta vía se puede conocer la forma en la cual el ente recurrido ejerció sus facultades emanadas en los diversos ordenamientos jurídicos, lo cual permitiría comprobar que las licencias localizadas en los respectivos establecimientos cumplieron con los requisitos establecidos en los mismos.</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En otras palabras, se considera que sólo con la difusión del nombre del titular de la licencia de funcionamiento, se podrían aportar los elementos necesarios a la ciudadanía para conocer que cualquier establecimiento comercial cuenta con la autorización emitida por el Ayuntamiento.</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Es decir, si se negara el derecho de acceso a la información al nombre localizado en dicho documento, se impediría que los ciudadanos pudieran corroborar que las autorizaciones, que por Ley deben de estar visibles en los establecimientos, efectivamente fueron emitidas por el Sujeto Obligado, pues al proteger dicho dato no se tendría certeza de que el titular corresponda con el emitido por el Municipio en comento, además de que impediría conocer o identificar a la persona responsable del mismo, para atender asuntos relacionados con él, pues debe tener presente que la licencia de funcionamiento se entrega para brindar servicios a terceros, de ahí que se advierta un tema de interés público y que resulte imperativo la difusión de la información, advirtiéndose una desventaja de menor proporción en cuanto a la afectación de la protección de los datos personales.</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hAnsi="Palatino Linotype" w:cs="Tahoma"/>
          <w:b/>
          <w:sz w:val="22"/>
          <w:szCs w:val="22"/>
        </w:rPr>
        <w:t>c) Proporcionalidad en sentido estricto</w:t>
      </w:r>
      <w:r w:rsidRPr="00EC2AFA">
        <w:rPr>
          <w:rFonts w:ascii="Palatino Linotype" w:hAnsi="Palatino Linotype" w:cs="Tahoma"/>
          <w:sz w:val="22"/>
          <w:szCs w:val="22"/>
        </w:rPr>
        <w:t xml:space="preserve">. </w:t>
      </w:r>
      <w:r w:rsidRPr="00EC2AFA">
        <w:rPr>
          <w:rFonts w:ascii="Palatino Linotype" w:eastAsia="Calibri" w:hAnsi="Palatino Linotype" w:cs="Tahoma"/>
          <w:bCs/>
          <w:sz w:val="22"/>
          <w:szCs w:val="22"/>
          <w:lang w:eastAsia="en-US"/>
        </w:rPr>
        <w:t>El sacrificio de la protección al nombre de aquellas personas que se les otorgó una licencia para realizar actividades económicas, como medio para lograr el fin constitucionalmente válido señalado previamente, se justifica en razón de que se satisface el interés mayor de los ciudadanos de conocer si los comerciantes cuentan con la autorización correspondiente para llevar a cabo dichas actividades, las cuales son reguladas, específicamente por los Municipios del Estado de México.</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Aunado a ello, se aportarían elementos para determinar si esas autorizaciones se emitieron conforme a derecho y que las que se encuentran visibles en los establecimientos fueron efectivamente emitidas por el Ayuntamiento, esto es, que se cumplen con los requisitos legales que marcan las disposiciones antes estudiadas.</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Conforme a lo anterior, el </w:t>
      </w:r>
      <w:r w:rsidRPr="00EC2AFA">
        <w:rPr>
          <w:rFonts w:ascii="Palatino Linotype" w:hAnsi="Palatino Linotype" w:cs="Tahoma"/>
          <w:sz w:val="22"/>
          <w:szCs w:val="22"/>
          <w:lang w:val="es-ES_tradnl"/>
        </w:rPr>
        <w:t>bien jurídico tutelado por el supuesto de confidencialidad previsto en el artículo 143, fracción I de la Ley de la materia, debe ceder frente al derecho de la sociedad de obtener información, en tanto que es mayor el beneficio que representa su publicidad, pues la misma da cuenta del correcto actuar del Sujeto Obligado como regulador de las actividades comerciales en la extensión territorial del Municipio y permite a los usuarios del local comercial identificar al responsable del mismo.</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En ese sentido, la difusión del nombre de los titulares de las licencias de funcionamiento revisten un claro interés público, puesto que existe una necesidad colectiva de conocer y evaluar la emisión de dichas autorizaciones; en razón de que se trata de información generada con motivo del ejercicio de las funciones del </w:t>
      </w:r>
      <w:r>
        <w:rPr>
          <w:rFonts w:ascii="Palatino Linotype" w:eastAsia="Calibri" w:hAnsi="Palatino Linotype" w:cs="Tahoma"/>
          <w:bCs/>
          <w:sz w:val="22"/>
          <w:szCs w:val="22"/>
          <w:lang w:eastAsia="en-US"/>
        </w:rPr>
        <w:t>Sujeto Obligado</w:t>
      </w:r>
      <w:r w:rsidRPr="00EC2AFA">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w:t>
      </w:r>
      <w:r w:rsidRPr="00EC2AFA">
        <w:rPr>
          <w:rFonts w:ascii="Palatino Linotype" w:eastAsia="Calibri" w:hAnsi="Palatino Linotype" w:cs="Tahoma"/>
          <w:bCs/>
          <w:sz w:val="22"/>
          <w:szCs w:val="22"/>
          <w:lang w:eastAsia="en-US"/>
        </w:rPr>
        <w:t>como regulador de cualquier actividad económica, comercial o industrial dentro de su territorio; lo anterior, conforme a la Ley Orgánica Municipal el Estado de México, la Ley de Competitividad y Ordenamiento Comercial del Estado de México y su Reglamento</w:t>
      </w:r>
      <w:r>
        <w:rPr>
          <w:rFonts w:ascii="Palatino Linotype" w:eastAsia="Calibri" w:hAnsi="Palatino Linotype" w:cs="Tahoma"/>
          <w:bCs/>
          <w:sz w:val="22"/>
          <w:szCs w:val="22"/>
          <w:lang w:eastAsia="en-US"/>
        </w:rPr>
        <w:t xml:space="preserve"> y</w:t>
      </w:r>
      <w:r w:rsidRPr="00EC2AFA">
        <w:rPr>
          <w:rFonts w:ascii="Palatino Linotype" w:eastAsia="Calibri" w:hAnsi="Palatino Linotype" w:cs="Tahoma"/>
          <w:bCs/>
          <w:sz w:val="22"/>
          <w:szCs w:val="22"/>
          <w:lang w:eastAsia="en-US"/>
        </w:rPr>
        <w:t xml:space="preserve"> el Bando Municipal</w:t>
      </w:r>
      <w:r>
        <w:rPr>
          <w:rFonts w:ascii="Palatino Linotype" w:eastAsia="Calibri" w:hAnsi="Palatino Linotype" w:cs="Tahoma"/>
          <w:bCs/>
          <w:sz w:val="22"/>
          <w:szCs w:val="22"/>
          <w:lang w:eastAsia="en-US"/>
        </w:rPr>
        <w:t>.</w:t>
      </w:r>
      <w:r w:rsidRPr="00EC2AFA">
        <w:rPr>
          <w:rFonts w:ascii="Palatino Linotype" w:eastAsia="Calibri" w:hAnsi="Palatino Linotype" w:cs="Tahoma"/>
          <w:bCs/>
          <w:sz w:val="22"/>
          <w:szCs w:val="22"/>
          <w:lang w:eastAsia="en-US"/>
        </w:rPr>
        <w:t xml:space="preserve"> </w:t>
      </w: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p>
    <w:p w:rsidR="00A07CE4" w:rsidRPr="00EC2AFA" w:rsidRDefault="00A07CE4" w:rsidP="00A07CE4">
      <w:pPr>
        <w:spacing w:line="360" w:lineRule="auto"/>
        <w:ind w:right="-93"/>
        <w:jc w:val="both"/>
        <w:rPr>
          <w:rFonts w:ascii="Palatino Linotype" w:eastAsia="Calibri" w:hAnsi="Palatino Linotype" w:cs="Tahoma"/>
          <w:bCs/>
          <w:sz w:val="22"/>
          <w:szCs w:val="22"/>
          <w:lang w:eastAsia="en-US"/>
        </w:rPr>
      </w:pPr>
      <w:r w:rsidRPr="00EC2AFA">
        <w:rPr>
          <w:rFonts w:ascii="Palatino Linotype" w:eastAsia="Calibri" w:hAnsi="Palatino Linotype" w:cs="Tahoma"/>
          <w:bCs/>
          <w:sz w:val="22"/>
          <w:szCs w:val="22"/>
          <w:lang w:eastAsia="en-US"/>
        </w:rPr>
        <w:t xml:space="preserve">Por todo lo expuesto, </w:t>
      </w:r>
      <w:r w:rsidRPr="00EC2AFA">
        <w:rPr>
          <w:rFonts w:ascii="Palatino Linotype" w:eastAsia="Calibri" w:hAnsi="Palatino Linotype" w:cs="Tahoma"/>
          <w:b/>
          <w:bCs/>
          <w:sz w:val="22"/>
          <w:szCs w:val="22"/>
          <w:lang w:eastAsia="en-US"/>
        </w:rPr>
        <w:t>dar a conocer el nombre de los titulares de licencias, prevalece sobre la protección de los datos personales confidenciales de dichas personas, en razón del interés público que reviste;</w:t>
      </w:r>
      <w:r w:rsidRPr="00EC2AFA">
        <w:rPr>
          <w:rFonts w:ascii="Palatino Linotype" w:eastAsia="Calibri" w:hAnsi="Palatino Linotype" w:cs="Tahoma"/>
          <w:bCs/>
          <w:sz w:val="22"/>
          <w:szCs w:val="22"/>
          <w:lang w:eastAsia="en-US"/>
        </w:rPr>
        <w:t xml:space="preserve"> por lo que, no resulta aplicable, en el presente caso, el artículo 143</w:t>
      </w:r>
      <w:r>
        <w:rPr>
          <w:rFonts w:ascii="Palatino Linotype" w:eastAsia="Calibri" w:hAnsi="Palatino Linotype" w:cs="Tahoma"/>
          <w:bCs/>
          <w:sz w:val="22"/>
          <w:szCs w:val="22"/>
          <w:lang w:eastAsia="en-US"/>
        </w:rPr>
        <w:t>, fracción I,</w:t>
      </w:r>
      <w:r w:rsidRPr="00EC2AFA">
        <w:rPr>
          <w:rFonts w:ascii="Palatino Linotype" w:eastAsia="Calibri" w:hAnsi="Palatino Linotype" w:cs="Tahoma"/>
          <w:bCs/>
          <w:sz w:val="22"/>
          <w:szCs w:val="22"/>
          <w:lang w:eastAsia="en-US"/>
        </w:rPr>
        <w:t xml:space="preserve"> de la Ley de Transparencia y Acceso a la Información Pública del Estado de México y Municipios.</w:t>
      </w:r>
    </w:p>
    <w:p w:rsidR="00A07CE4" w:rsidRDefault="00A07CE4" w:rsidP="00A07CE4">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FC46C5" w:rsidRDefault="00FC46C5" w:rsidP="00A07CE4">
      <w:pPr>
        <w:shd w:val="clear" w:color="auto" w:fill="FFFFFF" w:themeFill="background1"/>
        <w:spacing w:line="360" w:lineRule="auto"/>
        <w:jc w:val="both"/>
        <w:rPr>
          <w:rFonts w:ascii="Palatino Linotype" w:eastAsia="Calibri" w:hAnsi="Palatino Linotype" w:cs="Tahoma"/>
          <w:bCs/>
          <w:sz w:val="22"/>
          <w:szCs w:val="22"/>
          <w:lang w:val="es-ES" w:eastAsia="es-MX"/>
        </w:rPr>
      </w:pPr>
      <w:r>
        <w:rPr>
          <w:rFonts w:ascii="Palatino Linotype" w:eastAsia="Calibri" w:hAnsi="Palatino Linotype" w:cs="Tahoma"/>
          <w:bCs/>
          <w:sz w:val="22"/>
          <w:szCs w:val="22"/>
          <w:lang w:val="es-ES" w:eastAsia="en-US"/>
        </w:rPr>
        <w:t xml:space="preserve">Ahora bien, es procedente analizar algunos de los datos que pueden contener los documentos ordenados como puede ser la </w:t>
      </w:r>
      <w:r w:rsidRPr="00FC46C5">
        <w:rPr>
          <w:rFonts w:ascii="Palatino Linotype" w:eastAsia="Calibri" w:hAnsi="Palatino Linotype" w:cs="Tahoma"/>
          <w:b/>
          <w:bCs/>
          <w:iCs/>
          <w:sz w:val="22"/>
          <w:szCs w:val="22"/>
          <w:lang w:val="es-ES" w:eastAsia="en-US"/>
        </w:rPr>
        <w:t>Registro Federal de Contribuyentes</w:t>
      </w:r>
      <w:r w:rsidRPr="00FC46C5">
        <w:rPr>
          <w:rFonts w:ascii="Palatino Linotype" w:eastAsia="Calibri" w:hAnsi="Palatino Linotype" w:cs="Tahoma"/>
          <w:bCs/>
          <w:iCs/>
          <w:sz w:val="22"/>
          <w:szCs w:val="22"/>
          <w:lang w:val="es-ES" w:eastAsia="en-US"/>
        </w:rPr>
        <w:t xml:space="preserve"> (RFC)</w:t>
      </w:r>
      <w:r>
        <w:rPr>
          <w:rFonts w:ascii="Palatino Linotype" w:eastAsia="Calibri" w:hAnsi="Palatino Linotype" w:cs="Tahoma"/>
          <w:bCs/>
          <w:sz w:val="22"/>
          <w:szCs w:val="22"/>
          <w:lang w:val="es-ES" w:eastAsia="en-US"/>
        </w:rPr>
        <w:t xml:space="preserve"> y la </w:t>
      </w:r>
      <w:r w:rsidRPr="00FC46C5">
        <w:rPr>
          <w:rFonts w:ascii="Palatino Linotype" w:eastAsia="Calibri" w:hAnsi="Palatino Linotype" w:cs="Tahoma"/>
          <w:b/>
          <w:bCs/>
          <w:sz w:val="22"/>
          <w:szCs w:val="22"/>
          <w:lang w:val="es-ES" w:eastAsia="es-MX"/>
        </w:rPr>
        <w:t>Clave Única del Registro de Población (CURP);</w:t>
      </w:r>
      <w:r>
        <w:rPr>
          <w:rFonts w:ascii="Palatino Linotype" w:eastAsia="Calibri" w:hAnsi="Palatino Linotype" w:cs="Tahoma"/>
          <w:bCs/>
          <w:sz w:val="22"/>
          <w:szCs w:val="22"/>
          <w:lang w:val="es-ES" w:eastAsia="es-MX"/>
        </w:rPr>
        <w:t xml:space="preserve"> en los siguientes términos:</w:t>
      </w:r>
    </w:p>
    <w:p w:rsidR="00FC46C5" w:rsidRDefault="00FC46C5" w:rsidP="00210960">
      <w:pPr>
        <w:pStyle w:val="Prrafodelista"/>
        <w:numPr>
          <w:ilvl w:val="0"/>
          <w:numId w:val="13"/>
        </w:numPr>
        <w:shd w:val="clear" w:color="auto" w:fill="FFFFFF" w:themeFill="background1"/>
        <w:spacing w:line="360" w:lineRule="auto"/>
        <w:jc w:val="both"/>
        <w:rPr>
          <w:rFonts w:ascii="Palatino Linotype" w:eastAsia="Calibri" w:hAnsi="Palatino Linotype" w:cs="Tahoma"/>
          <w:bCs/>
          <w:szCs w:val="22"/>
          <w:lang w:val="es-ES" w:eastAsia="en-US"/>
        </w:rPr>
      </w:pPr>
      <w:r>
        <w:rPr>
          <w:rFonts w:ascii="Palatino Linotype" w:eastAsia="Calibri" w:hAnsi="Palatino Linotype" w:cs="Tahoma"/>
          <w:b/>
          <w:bCs/>
          <w:szCs w:val="22"/>
          <w:lang w:val="es-ES_tradnl" w:eastAsia="en-US"/>
        </w:rPr>
        <w:t>Registro Federal de Contribuyentes (RFC) de persona física.</w:t>
      </w:r>
    </w:p>
    <w:p w:rsidR="00FC46C5" w:rsidRDefault="00FC46C5" w:rsidP="00FC46C5">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FC46C5" w:rsidRDefault="00FC46C5" w:rsidP="00FC46C5">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FC46C5" w:rsidRDefault="00FC46C5" w:rsidP="00FC46C5">
      <w:pPr>
        <w:spacing w:line="360" w:lineRule="auto"/>
        <w:jc w:val="both"/>
        <w:rPr>
          <w:rFonts w:ascii="Palatino Linotype" w:hAnsi="Palatino Linotype" w:cs="Tahoma"/>
          <w:sz w:val="22"/>
          <w:szCs w:val="22"/>
          <w:lang w:eastAsia="es-MX"/>
        </w:rPr>
      </w:pPr>
    </w:p>
    <w:p w:rsidR="00FC46C5" w:rsidRDefault="00FC46C5" w:rsidP="00FC46C5">
      <w:pPr>
        <w:widowControl w:val="0"/>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De acuerdo a lo establecido en el artículo en comento, esta clave se compone de trece caracteres alfanuméricos, con datos obtenidos de los apellidos, nombre(s), fecha de nacimiento del titular, más una homoclave que establece el sistema automático del Servicio de Administración Tributaria.</w:t>
      </w:r>
    </w:p>
    <w:p w:rsidR="00FC46C5" w:rsidRDefault="00FC46C5" w:rsidP="00FC46C5">
      <w:pPr>
        <w:spacing w:line="360" w:lineRule="auto"/>
        <w:jc w:val="both"/>
        <w:rPr>
          <w:rFonts w:ascii="Palatino Linotype" w:hAnsi="Palatino Linotype" w:cs="Tahoma"/>
          <w:sz w:val="22"/>
          <w:szCs w:val="22"/>
          <w:lang w:eastAsia="es-MX"/>
        </w:rPr>
      </w:pPr>
    </w:p>
    <w:p w:rsidR="00FC46C5" w:rsidRDefault="00FC46C5" w:rsidP="00FC46C5">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FC46C5" w:rsidRDefault="00FC46C5" w:rsidP="00FC46C5">
      <w:pPr>
        <w:spacing w:line="360" w:lineRule="auto"/>
        <w:jc w:val="both"/>
        <w:rPr>
          <w:rFonts w:ascii="Palatino Linotype" w:hAnsi="Palatino Linotype" w:cs="Tahoma"/>
          <w:sz w:val="22"/>
          <w:szCs w:val="22"/>
          <w:lang w:eastAsia="es-MX"/>
        </w:rPr>
      </w:pPr>
    </w:p>
    <w:p w:rsidR="00FC46C5" w:rsidRDefault="00FC46C5" w:rsidP="00FC46C5">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rsidR="00FC46C5" w:rsidRDefault="00FC46C5" w:rsidP="00FC46C5">
      <w:pPr>
        <w:spacing w:line="360" w:lineRule="auto"/>
        <w:jc w:val="both"/>
        <w:rPr>
          <w:rFonts w:ascii="Palatino Linotype" w:hAnsi="Palatino Linotype" w:cs="Tahoma"/>
          <w:sz w:val="22"/>
          <w:szCs w:val="22"/>
          <w:lang w:eastAsia="es-MX"/>
        </w:rPr>
      </w:pPr>
    </w:p>
    <w:p w:rsidR="00FC46C5" w:rsidRDefault="00FC46C5" w:rsidP="00FC46C5">
      <w:pPr>
        <w:spacing w:line="360" w:lineRule="auto"/>
        <w:jc w:val="both"/>
        <w:rPr>
          <w:rFonts w:ascii="Palatino Linotype" w:eastAsiaTheme="minorHAnsi" w:hAnsi="Palatino Linotype" w:cs="Tahoma"/>
          <w:bCs/>
          <w:sz w:val="22"/>
          <w:szCs w:val="22"/>
          <w:lang w:eastAsia="es-MX"/>
        </w:rPr>
      </w:pPr>
      <w:r>
        <w:rPr>
          <w:rFonts w:ascii="Palatino Linotype" w:eastAsiaTheme="minorHAnsi" w:hAnsi="Palatino Linotype" w:cs="Tahoma"/>
          <w:bCs/>
          <w:sz w:val="22"/>
          <w:szCs w:val="22"/>
          <w:lang w:eastAsia="es-MX"/>
        </w:rPr>
        <w:t>Lo anterior, resulta congruente con el Criterio 19/17 emitido por el Instituto Nacional de Transparencia, Acceso a la Información y Protección de Datos Personales, en el cual se señala lo siguiente:</w:t>
      </w:r>
    </w:p>
    <w:p w:rsidR="00FC46C5" w:rsidRDefault="00FC46C5" w:rsidP="00FC46C5">
      <w:pPr>
        <w:spacing w:line="360" w:lineRule="auto"/>
        <w:jc w:val="both"/>
        <w:rPr>
          <w:rFonts w:ascii="Palatino Linotype" w:hAnsi="Palatino Linotype" w:cs="Tahoma"/>
          <w:sz w:val="22"/>
          <w:szCs w:val="22"/>
          <w:lang w:eastAsia="es-MX"/>
        </w:rPr>
      </w:pPr>
    </w:p>
    <w:p w:rsidR="00FC46C5" w:rsidRDefault="00FC46C5" w:rsidP="00FC46C5">
      <w:pPr>
        <w:spacing w:line="360" w:lineRule="auto"/>
        <w:ind w:left="567" w:right="567"/>
        <w:contextualSpacing/>
        <w:jc w:val="both"/>
        <w:rPr>
          <w:rFonts w:ascii="Palatino Linotype" w:hAnsi="Palatino Linotype" w:cs="Tahoma"/>
          <w:i/>
          <w:sz w:val="22"/>
          <w:szCs w:val="22"/>
        </w:rPr>
      </w:pPr>
      <w:r>
        <w:rPr>
          <w:rFonts w:ascii="Palatino Linotype" w:hAnsi="Palatino Linotype" w:cs="Tahoma"/>
          <w:b/>
          <w:i/>
          <w:sz w:val="22"/>
          <w:szCs w:val="22"/>
        </w:rPr>
        <w:t>“Registro Federal de Contribuyentes (RFC) de personas físicas.</w:t>
      </w:r>
      <w:r>
        <w:rPr>
          <w:rFonts w:ascii="Palatino Linotype" w:hAnsi="Palatino Linotype" w:cs="Tahoma"/>
          <w:i/>
          <w:sz w:val="22"/>
          <w:szCs w:val="22"/>
        </w:rPr>
        <w:t xml:space="preserve"> El RFC es una clave de carácter fiscal, única e irrepetible, que permite identificar al titular, su edad y fecha de nacimiento, por lo que es un dato personal de carácter confidencial.”</w:t>
      </w:r>
    </w:p>
    <w:p w:rsidR="00FC46C5" w:rsidRDefault="00FC46C5" w:rsidP="00FC46C5">
      <w:pPr>
        <w:spacing w:line="360" w:lineRule="auto"/>
        <w:ind w:left="567" w:right="567"/>
        <w:contextualSpacing/>
        <w:jc w:val="both"/>
        <w:rPr>
          <w:rFonts w:ascii="Palatino Linotype" w:hAnsi="Palatino Linotype" w:cs="Tahoma"/>
          <w:sz w:val="22"/>
          <w:szCs w:val="22"/>
        </w:rPr>
      </w:pPr>
    </w:p>
    <w:p w:rsidR="00FC46C5" w:rsidRDefault="00FC46C5" w:rsidP="00FC46C5">
      <w:pPr>
        <w:widowControl w:val="0"/>
        <w:spacing w:line="360" w:lineRule="auto"/>
        <w:jc w:val="both"/>
        <w:rPr>
          <w:rFonts w:ascii="Palatino Linotype" w:eastAsia="Calibri" w:hAnsi="Palatino Linotype" w:cs="Tahoma"/>
          <w:bCs/>
          <w:sz w:val="22"/>
          <w:szCs w:val="22"/>
          <w:lang w:eastAsia="en-US"/>
        </w:rPr>
      </w:pPr>
      <w:r>
        <w:rPr>
          <w:rFonts w:ascii="Palatino Linotype" w:hAnsi="Palatino Linotype" w:cs="Tahoma"/>
          <w:sz w:val="22"/>
          <w:szCs w:val="22"/>
          <w:lang w:eastAsia="es-MX"/>
        </w:rPr>
        <w:t xml:space="preserve">De tal suerte, el Registro Federal de Contribuyentes de los servidores públicos no guarda relación con la transparencia de los recursos públicos, así como tampoco con el desempeño laboral que pueda tener una persona, por lo que constituye un </w:t>
      </w:r>
      <w:r w:rsidRPr="00FC46C5">
        <w:rPr>
          <w:rFonts w:ascii="Palatino Linotype" w:hAnsi="Palatino Linotype" w:cs="Tahoma"/>
          <w:b/>
          <w:sz w:val="22"/>
          <w:szCs w:val="22"/>
          <w:lang w:eastAsia="es-MX"/>
        </w:rPr>
        <w:t xml:space="preserve">dato personal confidencial </w:t>
      </w:r>
      <w:r w:rsidRPr="00FC46C5">
        <w:rPr>
          <w:rFonts w:ascii="Palatino Linotype" w:hAnsi="Palatino Linotype" w:cs="Tahoma"/>
          <w:b/>
          <w:sz w:val="22"/>
          <w:szCs w:val="22"/>
        </w:rPr>
        <w:t>al actualizar el supuesto normativo del artículo 143, fracción I, de la Ley de Transparencia y Acceso a la Información Pública del Estado de México y Municipios</w:t>
      </w:r>
      <w:r w:rsidRPr="00FC46C5">
        <w:rPr>
          <w:rFonts w:ascii="Palatino Linotype" w:hAnsi="Palatino Linotype" w:cs="Tahoma"/>
          <w:b/>
          <w:sz w:val="22"/>
          <w:szCs w:val="22"/>
          <w:lang w:eastAsia="es-MX"/>
        </w:rPr>
        <w:t>.</w:t>
      </w:r>
    </w:p>
    <w:p w:rsidR="00FC46C5" w:rsidRDefault="00FC46C5" w:rsidP="00FC46C5">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FC46C5" w:rsidRPr="00FC46C5" w:rsidRDefault="00FC46C5" w:rsidP="00210960">
      <w:pPr>
        <w:pStyle w:val="Prrafodelista"/>
        <w:numPr>
          <w:ilvl w:val="0"/>
          <w:numId w:val="13"/>
        </w:numPr>
        <w:spacing w:line="360" w:lineRule="auto"/>
        <w:jc w:val="both"/>
        <w:rPr>
          <w:rFonts w:ascii="Palatino Linotype" w:eastAsia="Calibri" w:hAnsi="Palatino Linotype" w:cs="Tahoma"/>
          <w:b/>
          <w:bCs/>
          <w:szCs w:val="22"/>
          <w:lang w:val="es-ES_tradnl" w:eastAsia="en-US"/>
        </w:rPr>
      </w:pPr>
      <w:r w:rsidRPr="00FC46C5">
        <w:rPr>
          <w:rFonts w:ascii="Palatino Linotype" w:hAnsi="Palatino Linotype" w:cs="Tahoma"/>
          <w:b/>
          <w:szCs w:val="22"/>
        </w:rPr>
        <w:t>C</w:t>
      </w:r>
      <w:r w:rsidRPr="00FC46C5">
        <w:rPr>
          <w:rFonts w:ascii="Palatino Linotype" w:eastAsia="Calibri" w:hAnsi="Palatino Linotype" w:cs="Tahoma"/>
          <w:b/>
          <w:bCs/>
          <w:szCs w:val="22"/>
          <w:lang w:val="es-ES_tradnl" w:eastAsia="en-US"/>
        </w:rPr>
        <w:t>lave Única de Registro de Población (CURP).</w:t>
      </w:r>
    </w:p>
    <w:p w:rsidR="00FC46C5" w:rsidRPr="00D00D35" w:rsidRDefault="00FC46C5" w:rsidP="00FC46C5">
      <w:pPr>
        <w:shd w:val="clear" w:color="auto" w:fill="FFFFFF" w:themeFill="background1"/>
        <w:spacing w:line="360" w:lineRule="auto"/>
        <w:jc w:val="both"/>
        <w:rPr>
          <w:rFonts w:ascii="Palatino Linotype" w:hAnsi="Palatino Linotype" w:cs="Tahoma"/>
          <w:sz w:val="22"/>
          <w:szCs w:val="22"/>
        </w:rPr>
      </w:pPr>
    </w:p>
    <w:p w:rsidR="00FC46C5" w:rsidRPr="00D00D35" w:rsidRDefault="00FC46C5" w:rsidP="00FC46C5">
      <w:pPr>
        <w:spacing w:line="360" w:lineRule="auto"/>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rsidR="00FC46C5" w:rsidRPr="00D00D35" w:rsidRDefault="00FC46C5" w:rsidP="00FC46C5">
      <w:pPr>
        <w:spacing w:line="360" w:lineRule="auto"/>
        <w:contextualSpacing/>
        <w:jc w:val="both"/>
        <w:rPr>
          <w:rFonts w:ascii="Palatino Linotype" w:hAnsi="Palatino Linotype" w:cs="Tahoma"/>
          <w:sz w:val="22"/>
          <w:szCs w:val="22"/>
          <w:lang w:eastAsia="es-MX"/>
        </w:rPr>
      </w:pPr>
    </w:p>
    <w:p w:rsidR="00FC46C5" w:rsidRPr="00D00D35" w:rsidRDefault="00FC46C5" w:rsidP="00FC46C5">
      <w:pPr>
        <w:spacing w:line="360" w:lineRule="auto"/>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rsidR="00FC46C5" w:rsidRPr="00D00D35" w:rsidRDefault="00FC46C5" w:rsidP="00FC46C5">
      <w:pPr>
        <w:spacing w:line="360" w:lineRule="auto"/>
        <w:contextualSpacing/>
        <w:jc w:val="both"/>
        <w:rPr>
          <w:rFonts w:ascii="Palatino Linotype" w:hAnsi="Palatino Linotype" w:cs="Tahoma"/>
          <w:sz w:val="22"/>
          <w:szCs w:val="22"/>
          <w:lang w:eastAsia="es-MX"/>
        </w:rPr>
      </w:pPr>
    </w:p>
    <w:p w:rsidR="00FC46C5" w:rsidRPr="00D00D35" w:rsidRDefault="00FC46C5" w:rsidP="00FC46C5">
      <w:pPr>
        <w:spacing w:line="360" w:lineRule="auto"/>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FC46C5" w:rsidRPr="00D00D35" w:rsidRDefault="00FC46C5" w:rsidP="00FC46C5">
      <w:pPr>
        <w:spacing w:line="360" w:lineRule="auto"/>
        <w:contextualSpacing/>
        <w:jc w:val="both"/>
        <w:rPr>
          <w:rFonts w:ascii="Palatino Linotype" w:hAnsi="Palatino Linotype" w:cs="Tahoma"/>
          <w:sz w:val="22"/>
          <w:szCs w:val="22"/>
          <w:lang w:eastAsia="es-MX"/>
        </w:rPr>
      </w:pPr>
    </w:p>
    <w:p w:rsidR="00FC46C5" w:rsidRPr="00D00D35" w:rsidRDefault="00FC46C5" w:rsidP="00FC46C5">
      <w:pPr>
        <w:spacing w:line="360" w:lineRule="auto"/>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 xml:space="preserve">De conformidad con lo precisado por la propia Secretaría de Gobernación en la dirección </w:t>
      </w:r>
      <w:hyperlink r:id="rId13" w:history="1">
        <w:r w:rsidRPr="00D00D35">
          <w:rPr>
            <w:rFonts w:ascii="Palatino Linotype" w:hAnsi="Palatino Linotype" w:cs="Tahoma"/>
            <w:color w:val="0563C1" w:themeColor="hyperlink"/>
            <w:sz w:val="22"/>
            <w:szCs w:val="22"/>
            <w:u w:val="single"/>
            <w:lang w:eastAsia="es-MX"/>
          </w:rPr>
          <w:t>https://consultas.curp.gob.mx/CurpSP/html/informacionecurpPS.html</w:t>
        </w:r>
      </w:hyperlink>
      <w:r w:rsidRPr="00D00D35">
        <w:rPr>
          <w:rFonts w:ascii="Palatino Linotype" w:hAnsi="Palatino Linotype" w:cs="Tahoma"/>
          <w:color w:val="0563C1" w:themeColor="hyperlink"/>
          <w:sz w:val="22"/>
          <w:szCs w:val="22"/>
          <w:u w:val="single"/>
          <w:lang w:eastAsia="es-MX"/>
        </w:rPr>
        <w:t xml:space="preserve"> </w:t>
      </w:r>
      <w:r w:rsidRPr="00D00D35">
        <w:rPr>
          <w:rFonts w:ascii="Palatino Linotype" w:hAnsi="Palatino Linotype" w:cs="Tahoma"/>
          <w:sz w:val="22"/>
          <w:szCs w:val="22"/>
          <w:lang w:eastAsia="es-MX"/>
        </w:rPr>
        <w:t xml:space="preserve">(consultada el veinticinco de marzo de dos mil diecinueve a las once horas con cuarenta minutos),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00D35">
        <w:rPr>
          <w:rFonts w:ascii="Palatino Linotype" w:hAnsi="Palatino Linotype" w:cs="Tahoma"/>
          <w:b/>
          <w:sz w:val="22"/>
          <w:szCs w:val="22"/>
          <w:lang w:eastAsia="es-MX"/>
        </w:rPr>
        <w:t>se generan a partir de los datos contenidos en el documento probatorio de la identidad</w:t>
      </w:r>
      <w:r w:rsidRPr="00D00D35">
        <w:rPr>
          <w:rFonts w:ascii="Palatino Linotype" w:hAnsi="Palatino Linotype" w:cs="Tahoma"/>
          <w:sz w:val="22"/>
          <w:szCs w:val="22"/>
          <w:lang w:eastAsia="es-MX"/>
        </w:rPr>
        <w:t xml:space="preserve"> </w:t>
      </w:r>
      <w:r w:rsidRPr="00D00D35">
        <w:rPr>
          <w:rFonts w:ascii="Palatino Linotype" w:hAnsi="Palatino Linotype" w:cs="Tahoma"/>
          <w:b/>
          <w:sz w:val="22"/>
          <w:szCs w:val="22"/>
          <w:lang w:eastAsia="es-MX"/>
        </w:rPr>
        <w:t xml:space="preserve">del interesado </w:t>
      </w:r>
      <w:r w:rsidRPr="00D00D35">
        <w:rPr>
          <w:rFonts w:ascii="Palatino Linotype" w:hAnsi="Palatino Linotype" w:cs="Tahoma"/>
          <w:sz w:val="22"/>
          <w:szCs w:val="22"/>
          <w:lang w:eastAsia="es-MX"/>
        </w:rPr>
        <w:t>(acta de nacimiento, carta de naturalización o documento migratorio) de la siguiente forma:</w:t>
      </w:r>
    </w:p>
    <w:p w:rsidR="00FC46C5" w:rsidRPr="00D00D35" w:rsidRDefault="00FC46C5" w:rsidP="00FC46C5">
      <w:pPr>
        <w:spacing w:line="360" w:lineRule="auto"/>
        <w:contextualSpacing/>
        <w:jc w:val="both"/>
        <w:rPr>
          <w:rFonts w:ascii="Palatino Linotype" w:hAnsi="Palatino Linotype" w:cs="Tahoma"/>
          <w:sz w:val="22"/>
          <w:szCs w:val="22"/>
          <w:lang w:eastAsia="es-MX"/>
        </w:rPr>
      </w:pPr>
    </w:p>
    <w:p w:rsidR="00FC46C5" w:rsidRPr="00D00D35" w:rsidRDefault="00FC46C5" w:rsidP="00FC46C5">
      <w:pPr>
        <w:spacing w:line="360" w:lineRule="auto"/>
        <w:ind w:left="284"/>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 xml:space="preserve"> • El primero y segundo apellidos, así como al nombre de pila.</w:t>
      </w:r>
    </w:p>
    <w:p w:rsidR="00FC46C5" w:rsidRPr="00D00D35" w:rsidRDefault="00FC46C5" w:rsidP="00FC46C5">
      <w:pPr>
        <w:spacing w:line="360" w:lineRule="auto"/>
        <w:ind w:left="284"/>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 xml:space="preserve"> • La fecha de nacimiento.</w:t>
      </w:r>
    </w:p>
    <w:p w:rsidR="00FC46C5" w:rsidRPr="00D00D35" w:rsidRDefault="00FC46C5" w:rsidP="00FC46C5">
      <w:pPr>
        <w:spacing w:line="360" w:lineRule="auto"/>
        <w:ind w:left="284"/>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 xml:space="preserve"> • El sexo.</w:t>
      </w:r>
    </w:p>
    <w:p w:rsidR="00FC46C5" w:rsidRPr="00D00D35" w:rsidRDefault="00FC46C5" w:rsidP="00FC46C5">
      <w:pPr>
        <w:spacing w:line="360" w:lineRule="auto"/>
        <w:ind w:left="284"/>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 xml:space="preserve"> • La entidad federativa de nacimiento.</w:t>
      </w:r>
    </w:p>
    <w:p w:rsidR="00FC46C5" w:rsidRPr="00D00D35" w:rsidRDefault="00FC46C5" w:rsidP="00FC46C5">
      <w:pPr>
        <w:spacing w:line="360" w:lineRule="auto"/>
        <w:contextualSpacing/>
        <w:jc w:val="both"/>
        <w:rPr>
          <w:rFonts w:ascii="Palatino Linotype" w:hAnsi="Palatino Linotype" w:cs="Tahoma"/>
          <w:sz w:val="22"/>
          <w:szCs w:val="22"/>
          <w:lang w:eastAsia="es-MX"/>
        </w:rPr>
      </w:pPr>
    </w:p>
    <w:p w:rsidR="00FC46C5" w:rsidRPr="00D00D35" w:rsidRDefault="00FC46C5" w:rsidP="00FC46C5">
      <w:pPr>
        <w:spacing w:line="360" w:lineRule="auto"/>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Los dos últimos elementos de la Clave Única de Registro de Población evitan la duplicidad de la Clave y garantizan su correcta integración.</w:t>
      </w:r>
    </w:p>
    <w:p w:rsidR="00FC46C5" w:rsidRPr="00D00D35" w:rsidRDefault="00FC46C5" w:rsidP="00FC46C5">
      <w:pPr>
        <w:spacing w:line="360" w:lineRule="auto"/>
        <w:contextualSpacing/>
        <w:jc w:val="both"/>
        <w:rPr>
          <w:rFonts w:ascii="Palatino Linotype" w:hAnsi="Palatino Linotype" w:cs="Tahoma"/>
          <w:sz w:val="22"/>
          <w:szCs w:val="22"/>
        </w:rPr>
      </w:pPr>
      <w:r w:rsidRPr="00D00D35">
        <w:rPr>
          <w:rFonts w:ascii="Palatino Linotype" w:hAnsi="Palatino Linotype" w:cs="Tahoma"/>
          <w:sz w:val="22"/>
          <w:szCs w:val="22"/>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rsidR="00FC46C5" w:rsidRPr="00D00D35" w:rsidRDefault="00FC46C5" w:rsidP="00FC46C5">
      <w:pPr>
        <w:spacing w:line="360" w:lineRule="auto"/>
        <w:contextualSpacing/>
        <w:jc w:val="both"/>
        <w:rPr>
          <w:rFonts w:ascii="Palatino Linotype" w:hAnsi="Palatino Linotype" w:cs="Tahoma"/>
          <w:sz w:val="22"/>
          <w:szCs w:val="22"/>
        </w:rPr>
      </w:pPr>
    </w:p>
    <w:p w:rsidR="00FC46C5" w:rsidRPr="00D00D35" w:rsidRDefault="00FC46C5" w:rsidP="00FC46C5">
      <w:pPr>
        <w:spacing w:line="360" w:lineRule="auto"/>
        <w:contextualSpacing/>
        <w:jc w:val="both"/>
        <w:rPr>
          <w:rFonts w:ascii="Palatino Linotype" w:hAnsi="Palatino Linotype" w:cs="Tahoma"/>
          <w:sz w:val="22"/>
          <w:szCs w:val="22"/>
          <w:lang w:eastAsia="es-MX"/>
        </w:rPr>
      </w:pPr>
      <w:r w:rsidRPr="00D00D35">
        <w:rPr>
          <w:rFonts w:ascii="Palatino Linotype" w:hAnsi="Palatino Linotype" w:cs="Tahoma"/>
          <w:sz w:val="22"/>
          <w:szCs w:val="22"/>
          <w:lang w:eastAsia="es-MX"/>
        </w:rPr>
        <w:t>Resulta aplicable en la especie, como argumento orientador, el Criterio 18/17, emitido por el Instituto Nacional de Transparencia, Acceso a la Información y Protección de Datos Personales.</w:t>
      </w:r>
    </w:p>
    <w:p w:rsidR="00FC46C5" w:rsidRPr="00D00D35" w:rsidRDefault="00FC46C5" w:rsidP="00FC46C5">
      <w:pPr>
        <w:spacing w:line="360" w:lineRule="auto"/>
        <w:contextualSpacing/>
        <w:jc w:val="both"/>
        <w:rPr>
          <w:rFonts w:ascii="Palatino Linotype" w:hAnsi="Palatino Linotype" w:cs="Tahoma"/>
          <w:sz w:val="22"/>
          <w:szCs w:val="22"/>
        </w:rPr>
      </w:pPr>
    </w:p>
    <w:p w:rsidR="00FC46C5" w:rsidRPr="00FC46C5" w:rsidRDefault="00FC46C5" w:rsidP="00FC46C5">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FC46C5">
        <w:rPr>
          <w:rFonts w:ascii="Palatino Linotype" w:eastAsia="Calibri" w:hAnsi="Palatino Linotype" w:cs="Tahoma"/>
          <w:b/>
          <w:bCs/>
          <w:i/>
          <w:color w:val="000000"/>
          <w:szCs w:val="22"/>
        </w:rPr>
        <w:t xml:space="preserve">“Clave Única de Registro de Población (CURP). </w:t>
      </w:r>
      <w:r w:rsidRPr="00FC46C5">
        <w:rPr>
          <w:rFonts w:ascii="Palatino Linotype" w:eastAsia="Calibri" w:hAnsi="Palatino Linotype" w:cs="Tahoma"/>
          <w:bCs/>
          <w:i/>
          <w:color w:val="000000"/>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FC46C5">
        <w:rPr>
          <w:rFonts w:ascii="Palatino Linotype" w:eastAsia="Calibri" w:hAnsi="Palatino Linotype" w:cs="Tahoma"/>
          <w:i/>
          <w:color w:val="000000"/>
          <w:szCs w:val="22"/>
        </w:rPr>
        <w:t xml:space="preserve">” </w:t>
      </w:r>
    </w:p>
    <w:p w:rsidR="00FC46C5" w:rsidRPr="00D00D35" w:rsidRDefault="00FC46C5" w:rsidP="00FC46C5">
      <w:pPr>
        <w:spacing w:line="360" w:lineRule="auto"/>
        <w:jc w:val="both"/>
        <w:rPr>
          <w:rFonts w:ascii="Palatino Linotype" w:hAnsi="Palatino Linotype" w:cs="Tahoma"/>
          <w:sz w:val="22"/>
          <w:szCs w:val="22"/>
        </w:rPr>
      </w:pPr>
    </w:p>
    <w:p w:rsidR="00FC46C5" w:rsidRPr="00D00D35" w:rsidRDefault="00FC46C5" w:rsidP="00FC46C5">
      <w:pPr>
        <w:spacing w:line="360" w:lineRule="auto"/>
        <w:jc w:val="both"/>
        <w:rPr>
          <w:rFonts w:ascii="Palatino Linotype" w:hAnsi="Palatino Linotype" w:cs="Tahoma"/>
          <w:sz w:val="22"/>
          <w:szCs w:val="22"/>
        </w:rPr>
      </w:pPr>
      <w:r w:rsidRPr="00D00D35">
        <w:rPr>
          <w:rFonts w:ascii="Palatino Linotype" w:hAnsi="Palatino Linotype" w:cs="Tahoma"/>
          <w:sz w:val="22"/>
          <w:szCs w:val="22"/>
        </w:rPr>
        <w:t xml:space="preserve">De acuerdo con lo anterior, se confirma la clasificación de la Clave Única de Registro de Población, por tratarse de un dato personal confidencial, </w:t>
      </w:r>
      <w:r w:rsidRPr="00FC46C5">
        <w:rPr>
          <w:rFonts w:ascii="Palatino Linotype" w:hAnsi="Palatino Linotype" w:cs="Tahoma"/>
          <w:b/>
          <w:sz w:val="22"/>
          <w:szCs w:val="22"/>
        </w:rPr>
        <w:t>en términos del artículo 143, fracción I de la Ley de Transparencia y Acceso a la Información Pública del Estado de México y Municipios.</w:t>
      </w:r>
      <w:r w:rsidRPr="00D00D35">
        <w:rPr>
          <w:rFonts w:ascii="Palatino Linotype" w:hAnsi="Palatino Linotype" w:cs="Tahoma"/>
          <w:sz w:val="22"/>
          <w:szCs w:val="22"/>
        </w:rPr>
        <w:t xml:space="preserve"> </w:t>
      </w:r>
    </w:p>
    <w:p w:rsidR="00FC46C5" w:rsidRPr="00EC2AFA" w:rsidRDefault="00FC46C5" w:rsidP="00A07CE4">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A07CE4" w:rsidRPr="00264223" w:rsidRDefault="00A07CE4" w:rsidP="00A07CE4">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Conforme a lo analizado, únicamente procede la clasificación del Registro Federal de Contribuyentes de personas físicas</w:t>
      </w:r>
      <w:r w:rsidR="00FC46C5">
        <w:rPr>
          <w:rFonts w:ascii="Palatino Linotype" w:eastAsia="Calibri" w:hAnsi="Palatino Linotype" w:cs="Tahoma"/>
          <w:bCs/>
          <w:sz w:val="22"/>
          <w:szCs w:val="22"/>
          <w:lang w:eastAsia="en-US"/>
        </w:rPr>
        <w:t xml:space="preserve"> y la</w:t>
      </w:r>
      <w:r w:rsidR="00FC46C5" w:rsidRPr="00FC46C5">
        <w:rPr>
          <w:rFonts w:ascii="Palatino Linotype" w:eastAsia="Calibri" w:hAnsi="Palatino Linotype" w:cs="Tahoma"/>
          <w:bCs/>
          <w:sz w:val="22"/>
          <w:szCs w:val="22"/>
          <w:lang w:eastAsia="es-MX"/>
        </w:rPr>
        <w:t xml:space="preserve"> Clave Única del Registro de Población CURP</w:t>
      </w:r>
      <w:r w:rsidRPr="00264223">
        <w:rPr>
          <w:rFonts w:ascii="Palatino Linotype" w:eastAsia="Calibri" w:hAnsi="Palatino Linotype" w:cs="Tahoma"/>
          <w:bCs/>
          <w:sz w:val="22"/>
          <w:szCs w:val="22"/>
          <w:lang w:eastAsia="en-US"/>
        </w:rPr>
        <w:t>, por ser información confidencial, en términos de la Ley de la materia.</w:t>
      </w:r>
    </w:p>
    <w:p w:rsidR="00A07CE4" w:rsidRDefault="00A07CE4" w:rsidP="00A07CE4">
      <w:pPr>
        <w:shd w:val="clear" w:color="auto" w:fill="FFFFFF" w:themeFill="background1"/>
        <w:spacing w:line="360" w:lineRule="auto"/>
        <w:jc w:val="both"/>
        <w:rPr>
          <w:rFonts w:ascii="Palatino Linotype" w:eastAsia="Calibri" w:hAnsi="Palatino Linotype" w:cs="Tahoma"/>
          <w:bCs/>
          <w:sz w:val="22"/>
          <w:szCs w:val="22"/>
          <w:lang w:val="es-ES" w:eastAsia="en-US"/>
        </w:rPr>
      </w:pPr>
    </w:p>
    <w:p w:rsidR="00A07CE4" w:rsidRPr="00EC2AFA" w:rsidRDefault="00A07CE4" w:rsidP="00A07CE4">
      <w:pPr>
        <w:spacing w:line="360" w:lineRule="auto"/>
        <w:ind w:right="-93"/>
        <w:jc w:val="both"/>
        <w:rPr>
          <w:rFonts w:ascii="Palatino Linotype" w:hAnsi="Palatino Linotype" w:cs="Tahoma"/>
          <w:sz w:val="22"/>
          <w:szCs w:val="22"/>
        </w:rPr>
      </w:pPr>
      <w:r w:rsidRPr="00EC2AFA">
        <w:rPr>
          <w:rFonts w:ascii="Palatino Linotype" w:hAnsi="Palatino Linotype" w:cs="Tahoma"/>
          <w:sz w:val="22"/>
          <w:szCs w:val="22"/>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rsidR="00A07CE4" w:rsidRPr="00EC2AFA" w:rsidRDefault="00A07CE4" w:rsidP="00A07CE4">
      <w:pPr>
        <w:spacing w:line="360" w:lineRule="auto"/>
        <w:ind w:right="-93"/>
        <w:jc w:val="both"/>
        <w:rPr>
          <w:rFonts w:ascii="Palatino Linotype" w:hAnsi="Palatino Linotype" w:cs="Tahoma"/>
          <w:sz w:val="22"/>
          <w:szCs w:val="22"/>
        </w:rPr>
      </w:pPr>
    </w:p>
    <w:p w:rsidR="00A07CE4" w:rsidRPr="00EC2AFA" w:rsidRDefault="00A07CE4" w:rsidP="00A07CE4">
      <w:pPr>
        <w:spacing w:line="360" w:lineRule="auto"/>
        <w:ind w:right="-93"/>
        <w:jc w:val="both"/>
        <w:rPr>
          <w:rFonts w:ascii="Palatino Linotype" w:hAnsi="Palatino Linotype" w:cs="Tahoma"/>
          <w:sz w:val="22"/>
          <w:szCs w:val="22"/>
        </w:rPr>
      </w:pPr>
      <w:r w:rsidRPr="00EC2AFA">
        <w:rPr>
          <w:rFonts w:ascii="Palatino Linotype" w:hAnsi="Palatino Linotype" w:cs="Tahoma"/>
          <w:sz w:val="22"/>
          <w:szCs w:val="22"/>
        </w:rPr>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rsidR="007B00A0" w:rsidRDefault="007B00A0" w:rsidP="002C33B2">
      <w:pPr>
        <w:autoSpaceDE w:val="0"/>
        <w:autoSpaceDN w:val="0"/>
        <w:adjustRightInd w:val="0"/>
        <w:spacing w:line="360" w:lineRule="auto"/>
        <w:jc w:val="both"/>
        <w:rPr>
          <w:rFonts w:ascii="Palatino Linotype" w:eastAsia="Calibri" w:hAnsi="Palatino Linotype" w:cs="Tahoma"/>
          <w:b/>
          <w:bCs/>
          <w:sz w:val="22"/>
          <w:szCs w:val="22"/>
          <w:lang w:eastAsia="en-US"/>
        </w:rPr>
      </w:pPr>
    </w:p>
    <w:p w:rsidR="002C33B2" w:rsidRPr="00F0768B" w:rsidRDefault="002C33B2" w:rsidP="002C33B2">
      <w:pPr>
        <w:spacing w:line="360" w:lineRule="auto"/>
        <w:contextualSpacing/>
        <w:jc w:val="both"/>
        <w:rPr>
          <w:rFonts w:ascii="Palatino Linotype" w:hAnsi="Palatino Linotype" w:cs="Tahoma"/>
          <w:b/>
          <w:sz w:val="22"/>
          <w:szCs w:val="22"/>
        </w:rPr>
      </w:pPr>
      <w:r w:rsidRPr="00F0768B">
        <w:rPr>
          <w:rFonts w:ascii="Palatino Linotype" w:hAnsi="Palatino Linotype" w:cs="Tahoma"/>
          <w:b/>
          <w:sz w:val="22"/>
          <w:szCs w:val="22"/>
        </w:rPr>
        <w:t>SÉPTIMO. Decisión</w:t>
      </w:r>
    </w:p>
    <w:p w:rsidR="002C33B2" w:rsidRPr="00F0768B" w:rsidRDefault="002C33B2" w:rsidP="002C33B2">
      <w:pPr>
        <w:spacing w:line="360" w:lineRule="auto"/>
        <w:contextualSpacing/>
        <w:jc w:val="both"/>
        <w:rPr>
          <w:rFonts w:ascii="Palatino Linotype" w:hAnsi="Palatino Linotype" w:cs="Tahoma"/>
          <w:sz w:val="22"/>
          <w:szCs w:val="22"/>
        </w:rPr>
      </w:pPr>
    </w:p>
    <w:p w:rsidR="00ED06EC" w:rsidRPr="00F0768B" w:rsidRDefault="002C33B2" w:rsidP="00ED06EC">
      <w:pPr>
        <w:spacing w:line="360" w:lineRule="auto"/>
        <w:contextualSpacing/>
        <w:jc w:val="both"/>
        <w:rPr>
          <w:rFonts w:ascii="Palatino Linotype" w:hAnsi="Palatino Linotype" w:cs="Tahoma"/>
          <w:bCs/>
          <w:sz w:val="22"/>
          <w:szCs w:val="22"/>
        </w:rPr>
      </w:pPr>
      <w:r w:rsidRPr="00F0768B">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F0768B">
        <w:rPr>
          <w:rFonts w:ascii="Palatino Linotype" w:hAnsi="Palatino Linotype" w:cs="Tahoma"/>
          <w:b/>
          <w:sz w:val="22"/>
          <w:szCs w:val="22"/>
        </w:rPr>
        <w:t xml:space="preserve">ORDENAR </w:t>
      </w:r>
      <w:r w:rsidRPr="00F0768B">
        <w:rPr>
          <w:rFonts w:ascii="Palatino Linotype" w:hAnsi="Palatino Linotype" w:cs="Tahoma"/>
          <w:sz w:val="22"/>
          <w:szCs w:val="22"/>
        </w:rPr>
        <w:t xml:space="preserve">al </w:t>
      </w:r>
      <w:r w:rsidRPr="00F0768B">
        <w:rPr>
          <w:rFonts w:ascii="Palatino Linotype" w:hAnsi="Palatino Linotype" w:cs="Tahoma"/>
          <w:b/>
          <w:bCs/>
          <w:color w:val="0D0D0D" w:themeColor="text1" w:themeTint="F2"/>
          <w:sz w:val="22"/>
          <w:szCs w:val="22"/>
        </w:rPr>
        <w:t xml:space="preserve">Ayuntamiento de </w:t>
      </w:r>
      <w:r w:rsidR="00ED06EC">
        <w:rPr>
          <w:rFonts w:ascii="Palatino Linotype" w:hAnsi="Palatino Linotype" w:cs="Tahoma"/>
          <w:b/>
          <w:bCs/>
          <w:color w:val="0D0D0D" w:themeColor="text1" w:themeTint="F2"/>
          <w:sz w:val="22"/>
          <w:szCs w:val="22"/>
        </w:rPr>
        <w:t>Papalotla</w:t>
      </w:r>
      <w:r w:rsidRPr="00F0768B">
        <w:rPr>
          <w:rFonts w:ascii="Palatino Linotype" w:hAnsi="Palatino Linotype" w:cs="Tahoma"/>
          <w:sz w:val="22"/>
          <w:szCs w:val="22"/>
        </w:rPr>
        <w:t>, que</w:t>
      </w:r>
      <w:r w:rsidR="00ED06EC" w:rsidRPr="00F0768B">
        <w:rPr>
          <w:rFonts w:ascii="Palatino Linotype" w:hAnsi="Palatino Linotype" w:cs="Tahoma"/>
          <w:sz w:val="22"/>
          <w:szCs w:val="22"/>
        </w:rPr>
        <w:t xml:space="preserve"> previa búsqueda exhaustiva y razonable en todas las áreas competentes</w:t>
      </w:r>
      <w:r w:rsidR="00ED06EC" w:rsidRPr="00F0768B">
        <w:rPr>
          <w:rFonts w:ascii="Palatino Linotype" w:hAnsi="Palatino Linotype" w:cs="Tahoma"/>
          <w:bCs/>
          <w:sz w:val="22"/>
          <w:szCs w:val="22"/>
        </w:rPr>
        <w:t>, otorgue acceso vía el Sistema de Acceso a la Información Mexiquense (SAIMEX), el documento o documentos, en versión pública que den cuenta de los siguientes:</w:t>
      </w:r>
    </w:p>
    <w:p w:rsidR="00ED06EC" w:rsidRPr="00F0768B" w:rsidRDefault="00ED06EC" w:rsidP="00ED06EC">
      <w:pPr>
        <w:spacing w:line="360" w:lineRule="auto"/>
        <w:contextualSpacing/>
        <w:jc w:val="both"/>
        <w:rPr>
          <w:rFonts w:ascii="Palatino Linotype" w:hAnsi="Palatino Linotype" w:cs="Tahoma"/>
          <w:bCs/>
          <w:sz w:val="22"/>
          <w:szCs w:val="22"/>
        </w:rPr>
      </w:pPr>
    </w:p>
    <w:p w:rsidR="00ED06EC" w:rsidRDefault="00ED06EC" w:rsidP="00210960">
      <w:pPr>
        <w:pStyle w:val="Prrafodelista"/>
        <w:numPr>
          <w:ilvl w:val="0"/>
          <w:numId w:val="14"/>
        </w:numPr>
        <w:spacing w:line="360" w:lineRule="auto"/>
        <w:jc w:val="both"/>
        <w:rPr>
          <w:rFonts w:ascii="Palatino Linotype" w:hAnsi="Palatino Linotype"/>
          <w:szCs w:val="22"/>
        </w:rPr>
      </w:pPr>
      <w:r>
        <w:rPr>
          <w:rFonts w:ascii="Palatino Linotype" w:hAnsi="Palatino Linotype"/>
          <w:szCs w:val="22"/>
        </w:rPr>
        <w:t>De las unidades económicas de mediano y alto impacto del Ayuntamiento de Papalotla, que cuentan con giro de venta de bebidas alcohólicas al copeo, lo siguientes:</w:t>
      </w:r>
    </w:p>
    <w:p w:rsidR="00ED06EC" w:rsidRDefault="00ED06EC" w:rsidP="00210960">
      <w:pPr>
        <w:pStyle w:val="Prrafodelista"/>
        <w:numPr>
          <w:ilvl w:val="1"/>
          <w:numId w:val="14"/>
        </w:numPr>
        <w:spacing w:line="360" w:lineRule="auto"/>
        <w:jc w:val="both"/>
        <w:rPr>
          <w:rFonts w:ascii="Palatino Linotype" w:hAnsi="Palatino Linotype"/>
          <w:szCs w:val="22"/>
        </w:rPr>
      </w:pPr>
      <w:r>
        <w:rPr>
          <w:rFonts w:ascii="Palatino Linotype" w:hAnsi="Palatino Linotype"/>
          <w:szCs w:val="22"/>
        </w:rPr>
        <w:t>Licencias de funcionamiento.</w:t>
      </w:r>
    </w:p>
    <w:p w:rsidR="00ED06EC" w:rsidRDefault="00ED06EC" w:rsidP="00210960">
      <w:pPr>
        <w:pStyle w:val="Prrafodelista"/>
        <w:numPr>
          <w:ilvl w:val="1"/>
          <w:numId w:val="14"/>
        </w:numPr>
        <w:spacing w:line="360" w:lineRule="auto"/>
        <w:jc w:val="both"/>
        <w:rPr>
          <w:rFonts w:ascii="Palatino Linotype" w:hAnsi="Palatino Linotype"/>
          <w:szCs w:val="22"/>
        </w:rPr>
      </w:pPr>
      <w:r>
        <w:rPr>
          <w:rFonts w:ascii="Palatino Linotype" w:hAnsi="Palatino Linotype"/>
          <w:szCs w:val="22"/>
        </w:rPr>
        <w:t>Visto bueno de protección civil.</w:t>
      </w:r>
    </w:p>
    <w:p w:rsidR="007718EE" w:rsidRPr="007718EE" w:rsidRDefault="007718EE" w:rsidP="00210960">
      <w:pPr>
        <w:pStyle w:val="Prrafodelista"/>
        <w:numPr>
          <w:ilvl w:val="1"/>
          <w:numId w:val="14"/>
        </w:numPr>
        <w:spacing w:line="360" w:lineRule="auto"/>
        <w:ind w:right="-93"/>
        <w:jc w:val="both"/>
        <w:rPr>
          <w:rFonts w:ascii="Palatino Linotype" w:hAnsi="Palatino Linotype" w:cs="Tahoma"/>
          <w:szCs w:val="22"/>
        </w:rPr>
      </w:pPr>
      <w:r>
        <w:rPr>
          <w:rFonts w:ascii="Palatino Linotype" w:hAnsi="Palatino Linotype"/>
          <w:szCs w:val="22"/>
        </w:rPr>
        <w:t>Documento único de factibilidad correspondiente a las unidades económicas de alto impacto.</w:t>
      </w:r>
    </w:p>
    <w:p w:rsidR="007718EE" w:rsidRPr="007718EE" w:rsidRDefault="007718EE" w:rsidP="007718EE">
      <w:pPr>
        <w:pStyle w:val="Prrafodelista"/>
        <w:spacing w:line="360" w:lineRule="auto"/>
        <w:ind w:left="1440" w:right="-93"/>
        <w:jc w:val="both"/>
        <w:rPr>
          <w:rFonts w:ascii="Palatino Linotype" w:hAnsi="Palatino Linotype" w:cs="Tahoma"/>
          <w:szCs w:val="22"/>
        </w:rPr>
      </w:pPr>
    </w:p>
    <w:p w:rsidR="002C33B2" w:rsidRPr="007718EE" w:rsidRDefault="00ED06EC" w:rsidP="007718EE">
      <w:pPr>
        <w:spacing w:line="360" w:lineRule="auto"/>
        <w:ind w:right="-93"/>
        <w:jc w:val="both"/>
        <w:rPr>
          <w:rFonts w:ascii="Palatino Linotype" w:hAnsi="Palatino Linotype" w:cs="Tahoma"/>
          <w:sz w:val="22"/>
          <w:szCs w:val="22"/>
        </w:rPr>
      </w:pPr>
      <w:r w:rsidRPr="007718EE">
        <w:rPr>
          <w:rFonts w:ascii="Palatino Linotype" w:hAnsi="Palatino Linotype" w:cs="Tahoma"/>
          <w:sz w:val="22"/>
          <w:szCs w:val="22"/>
        </w:rPr>
        <w:t>Junto con la versión pública, se deberá proporcionar el Acuerdo de Clasificación donde el Comité de Transparencia, confirme la eliminación de los datos conforme a lo concluido en el Considerado Quinto, de conformidad con los artículos 49, fracciones II y VIII, 143, fracción I y 149 de la Ley de Transparencia y Acceso a la Información Pública del Estado de México y Municipios.</w:t>
      </w:r>
    </w:p>
    <w:p w:rsidR="002C33B2" w:rsidRPr="007718EE" w:rsidRDefault="002C33B2" w:rsidP="002C33B2">
      <w:pPr>
        <w:spacing w:line="360" w:lineRule="auto"/>
        <w:contextualSpacing/>
        <w:jc w:val="both"/>
        <w:rPr>
          <w:rFonts w:ascii="Palatino Linotype" w:hAnsi="Palatino Linotype" w:cs="Tahoma"/>
          <w:b/>
          <w:sz w:val="24"/>
          <w:szCs w:val="22"/>
        </w:rPr>
      </w:pPr>
    </w:p>
    <w:p w:rsidR="002C33B2" w:rsidRPr="00F0768B" w:rsidRDefault="002C33B2" w:rsidP="002C33B2">
      <w:pPr>
        <w:spacing w:line="360" w:lineRule="auto"/>
        <w:contextualSpacing/>
        <w:jc w:val="both"/>
        <w:rPr>
          <w:rFonts w:ascii="Palatino Linotype" w:hAnsi="Palatino Linotype" w:cs="Tahoma"/>
          <w:b/>
          <w:sz w:val="22"/>
          <w:szCs w:val="22"/>
        </w:rPr>
      </w:pPr>
      <w:r w:rsidRPr="00F0768B">
        <w:rPr>
          <w:rFonts w:ascii="Palatino Linotype" w:hAnsi="Palatino Linotype" w:cs="Tahoma"/>
          <w:b/>
          <w:sz w:val="22"/>
          <w:szCs w:val="22"/>
        </w:rPr>
        <w:t xml:space="preserve">OCTAVO. Vista a la Contraloría Interna y </w:t>
      </w:r>
      <w:r w:rsidRPr="00F0768B">
        <w:rPr>
          <w:rFonts w:ascii="Palatino Linotype" w:eastAsia="Calibri" w:hAnsi="Palatino Linotype" w:cs="Tahoma"/>
          <w:b/>
          <w:bCs/>
          <w:sz w:val="22"/>
          <w:szCs w:val="22"/>
          <w:lang w:val="es-ES_tradnl" w:eastAsia="en-US"/>
        </w:rPr>
        <w:t>Órgano de Control y Vigilancia</w:t>
      </w:r>
      <w:r w:rsidRPr="00F0768B">
        <w:rPr>
          <w:rFonts w:ascii="Palatino Linotype" w:hAnsi="Palatino Linotype" w:cs="Tahoma"/>
          <w:b/>
          <w:sz w:val="22"/>
          <w:szCs w:val="22"/>
        </w:rPr>
        <w:t xml:space="preserve">. </w:t>
      </w:r>
    </w:p>
    <w:p w:rsidR="002C33B2" w:rsidRPr="00F0768B" w:rsidRDefault="002C33B2" w:rsidP="002C33B2">
      <w:pPr>
        <w:spacing w:line="360" w:lineRule="auto"/>
        <w:contextualSpacing/>
        <w:jc w:val="both"/>
        <w:rPr>
          <w:rFonts w:ascii="Palatino Linotype" w:hAnsi="Palatino Linotype" w:cs="Tahoma"/>
          <w:sz w:val="22"/>
          <w:szCs w:val="22"/>
        </w:rPr>
      </w:pPr>
      <w:r w:rsidRPr="00F0768B">
        <w:rPr>
          <w:rFonts w:ascii="Palatino Linotype" w:hAnsi="Palatino Linotype" w:cs="Tahoma"/>
          <w:sz w:val="22"/>
          <w:szCs w:val="22"/>
        </w:rPr>
        <w:t xml:space="preserve">En los asuntos en estudio, ha quedado señalado que el </w:t>
      </w:r>
      <w:r w:rsidRPr="00F0768B">
        <w:rPr>
          <w:rFonts w:ascii="Palatino Linotype" w:eastAsia="Calibri" w:hAnsi="Palatino Linotype" w:cs="Tahoma"/>
          <w:sz w:val="22"/>
          <w:szCs w:val="22"/>
          <w:lang w:eastAsia="en-US"/>
        </w:rPr>
        <w:t xml:space="preserve">Ayuntamiento de </w:t>
      </w:r>
      <w:r w:rsidR="00ED06EC">
        <w:rPr>
          <w:rFonts w:ascii="Palatino Linotype" w:eastAsia="Calibri" w:hAnsi="Palatino Linotype" w:cs="Tahoma"/>
          <w:sz w:val="22"/>
          <w:szCs w:val="22"/>
          <w:lang w:eastAsia="en-US"/>
        </w:rPr>
        <w:t>Papalotla</w:t>
      </w:r>
      <w:r w:rsidRPr="00F0768B">
        <w:rPr>
          <w:rFonts w:ascii="Palatino Linotype" w:eastAsia="Calibri" w:hAnsi="Palatino Linotype" w:cs="Tahoma"/>
          <w:sz w:val="22"/>
          <w:szCs w:val="22"/>
          <w:lang w:eastAsia="en-US"/>
        </w:rPr>
        <w:t xml:space="preserve"> </w:t>
      </w:r>
      <w:r w:rsidRPr="00F0768B">
        <w:rPr>
          <w:rFonts w:ascii="Palatino Linotype" w:hAnsi="Palatino Linotype" w:cs="Tahoma"/>
          <w:sz w:val="22"/>
          <w:szCs w:val="22"/>
        </w:rPr>
        <w:t>no emitió respuesta dentro del plazo señalado en el artículo 163 de la Ley de Transparencia y Acceso a la Información Pública del Estado de México y Municipios.</w:t>
      </w:r>
    </w:p>
    <w:p w:rsidR="002C33B2" w:rsidRPr="00F0768B" w:rsidRDefault="002C33B2" w:rsidP="002C33B2">
      <w:pPr>
        <w:spacing w:line="360" w:lineRule="auto"/>
        <w:contextualSpacing/>
        <w:jc w:val="both"/>
        <w:rPr>
          <w:rFonts w:ascii="Palatino Linotype" w:hAnsi="Palatino Linotype" w:cs="Tahoma"/>
          <w:sz w:val="22"/>
          <w:szCs w:val="22"/>
        </w:rPr>
      </w:pPr>
    </w:p>
    <w:p w:rsidR="002C33B2" w:rsidRPr="00F0768B" w:rsidRDefault="002C33B2" w:rsidP="002C33B2">
      <w:pPr>
        <w:spacing w:line="360" w:lineRule="auto"/>
        <w:contextualSpacing/>
        <w:jc w:val="both"/>
        <w:rPr>
          <w:rFonts w:ascii="Palatino Linotype" w:hAnsi="Palatino Linotype" w:cs="Tahoma"/>
          <w:sz w:val="22"/>
          <w:szCs w:val="22"/>
        </w:rPr>
      </w:pPr>
      <w:r w:rsidRPr="00F0768B">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rsidR="002C33B2" w:rsidRPr="00F0768B" w:rsidRDefault="002C33B2" w:rsidP="002C33B2">
      <w:pPr>
        <w:spacing w:line="360" w:lineRule="auto"/>
        <w:contextualSpacing/>
        <w:jc w:val="both"/>
        <w:rPr>
          <w:rFonts w:ascii="Palatino Linotype" w:hAnsi="Palatino Linotype" w:cs="Tahoma"/>
          <w:sz w:val="22"/>
          <w:szCs w:val="22"/>
        </w:rPr>
      </w:pPr>
    </w:p>
    <w:p w:rsidR="002C33B2" w:rsidRPr="00F0768B" w:rsidRDefault="002C33B2" w:rsidP="002C33B2">
      <w:pPr>
        <w:spacing w:line="360" w:lineRule="auto"/>
        <w:contextualSpacing/>
        <w:jc w:val="both"/>
        <w:rPr>
          <w:rFonts w:ascii="Palatino Linotype" w:eastAsia="Calibri" w:hAnsi="Palatino Linotype" w:cs="Tahoma"/>
          <w:bCs/>
          <w:sz w:val="22"/>
          <w:szCs w:val="22"/>
          <w:lang w:eastAsia="en-US"/>
        </w:rPr>
      </w:pPr>
      <w:r w:rsidRPr="00F0768B">
        <w:rPr>
          <w:rFonts w:ascii="Palatino Linotype" w:eastAsia="Calibri" w:hAnsi="Palatino Linotype" w:cs="Tahoma"/>
          <w:bCs/>
          <w:sz w:val="22"/>
          <w:szCs w:val="22"/>
          <w:lang w:eastAsia="en-US"/>
        </w:rPr>
        <w:t>En ese sentido, de conformidad con lo previsto en el artículo 222, fracción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rsidR="002C33B2" w:rsidRPr="00F0768B" w:rsidRDefault="002C33B2" w:rsidP="002C33B2">
      <w:pPr>
        <w:spacing w:line="360" w:lineRule="auto"/>
        <w:contextualSpacing/>
        <w:jc w:val="both"/>
        <w:rPr>
          <w:rFonts w:ascii="Palatino Linotype" w:eastAsia="Calibri" w:hAnsi="Palatino Linotype" w:cs="Tahoma"/>
          <w:bCs/>
          <w:sz w:val="22"/>
          <w:szCs w:val="22"/>
          <w:lang w:eastAsia="en-US"/>
        </w:rPr>
      </w:pPr>
    </w:p>
    <w:p w:rsidR="002C33B2" w:rsidRPr="00F0768B" w:rsidRDefault="002C33B2" w:rsidP="002C33B2">
      <w:pPr>
        <w:spacing w:line="360" w:lineRule="auto"/>
        <w:contextualSpacing/>
        <w:jc w:val="both"/>
        <w:rPr>
          <w:rFonts w:ascii="Palatino Linotype" w:eastAsia="Calibri" w:hAnsi="Palatino Linotype" w:cs="Tahoma"/>
          <w:bCs/>
          <w:sz w:val="22"/>
          <w:szCs w:val="22"/>
          <w:lang w:eastAsia="en-US"/>
        </w:rPr>
      </w:pPr>
      <w:r w:rsidRPr="00F0768B">
        <w:rPr>
          <w:rFonts w:ascii="Palatino Linotype" w:eastAsia="Calibri" w:hAnsi="Palatino Linotype" w:cs="Tahoma"/>
          <w:bCs/>
          <w:sz w:val="22"/>
          <w:szCs w:val="22"/>
          <w:lang w:eastAsia="en-US"/>
        </w:rPr>
        <w:t>Por su parte, el artículo 223 de la Ley de Transparencia y Acceso a la Información Pública del Estado de México y Municipio prevé que este Instituto deberá dar vista a la Contraloría Interna, con el fin de que determine el grado de responsabilidad de los servidores públicos que incumplan con las obligaciones establecidas en la Ley.</w:t>
      </w:r>
    </w:p>
    <w:p w:rsidR="002C33B2" w:rsidRPr="00F0768B" w:rsidRDefault="002C33B2" w:rsidP="002C33B2">
      <w:pPr>
        <w:spacing w:line="360" w:lineRule="auto"/>
        <w:contextualSpacing/>
        <w:jc w:val="both"/>
        <w:rPr>
          <w:rFonts w:ascii="Palatino Linotype" w:eastAsia="Calibri" w:hAnsi="Palatino Linotype" w:cs="Tahoma"/>
          <w:bCs/>
          <w:sz w:val="22"/>
          <w:szCs w:val="22"/>
          <w:lang w:eastAsia="en-US"/>
        </w:rPr>
      </w:pPr>
    </w:p>
    <w:p w:rsidR="002C33B2" w:rsidRPr="00F0768B" w:rsidRDefault="002C33B2" w:rsidP="002C33B2">
      <w:pPr>
        <w:spacing w:line="360" w:lineRule="auto"/>
        <w:contextualSpacing/>
        <w:jc w:val="both"/>
        <w:rPr>
          <w:rFonts w:ascii="Palatino Linotype" w:eastAsia="Calibri" w:hAnsi="Palatino Linotype" w:cs="Tahoma"/>
          <w:bCs/>
          <w:sz w:val="22"/>
          <w:szCs w:val="22"/>
          <w:lang w:eastAsia="en-US"/>
        </w:rPr>
      </w:pPr>
      <w:r w:rsidRPr="00F0768B">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F0768B">
        <w:rPr>
          <w:rFonts w:ascii="Palatino Linotype" w:eastAsia="Calibri" w:hAnsi="Palatino Linotype" w:cs="Tahoma"/>
          <w:bCs/>
          <w:sz w:val="22"/>
          <w:szCs w:val="22"/>
          <w:lang w:val="es-ES_tradnl" w:eastAsia="en-US"/>
        </w:rPr>
        <w:t>al Contralor Interno y Titular del Órgano de Control y Vigilancia de este Instituto</w:t>
      </w:r>
      <w:r w:rsidRPr="00F0768B">
        <w:rPr>
          <w:rFonts w:ascii="Palatino Linotype" w:eastAsia="Calibri" w:hAnsi="Palatino Linotype" w:cs="Tahoma"/>
          <w:bCs/>
          <w:sz w:val="22"/>
          <w:szCs w:val="22"/>
          <w:lang w:eastAsia="en-US"/>
        </w:rPr>
        <w:t>.</w:t>
      </w:r>
    </w:p>
    <w:p w:rsidR="002C33B2" w:rsidRPr="00F0768B" w:rsidRDefault="002C33B2" w:rsidP="002C33B2">
      <w:pPr>
        <w:shd w:val="clear" w:color="auto" w:fill="FFFFFF" w:themeFill="background1"/>
        <w:spacing w:line="360" w:lineRule="auto"/>
        <w:contextualSpacing/>
        <w:jc w:val="both"/>
        <w:rPr>
          <w:rFonts w:ascii="Palatino Linotype" w:hAnsi="Palatino Linotype" w:cs="Tahoma"/>
          <w:sz w:val="22"/>
          <w:szCs w:val="22"/>
        </w:rPr>
      </w:pPr>
    </w:p>
    <w:p w:rsidR="002C33B2" w:rsidRPr="00F0768B" w:rsidRDefault="002C33B2" w:rsidP="002C33B2">
      <w:pPr>
        <w:spacing w:line="360" w:lineRule="auto"/>
        <w:contextualSpacing/>
        <w:jc w:val="both"/>
        <w:rPr>
          <w:rFonts w:ascii="Palatino Linotype" w:eastAsia="Calibri" w:hAnsi="Palatino Linotype" w:cs="Tahoma"/>
          <w:bCs/>
          <w:sz w:val="22"/>
          <w:szCs w:val="22"/>
          <w:lang w:eastAsia="en-US"/>
        </w:rPr>
      </w:pPr>
      <w:r w:rsidRPr="00F0768B">
        <w:rPr>
          <w:rFonts w:ascii="Palatino Linotype" w:eastAsia="Calibri" w:hAnsi="Palatino Linotype" w:cs="Tahoma"/>
          <w:bCs/>
          <w:sz w:val="22"/>
          <w:szCs w:val="22"/>
          <w:lang w:eastAsia="en-US"/>
        </w:rPr>
        <w:t>Por lo expuesto y fundado, este Pleno:</w:t>
      </w:r>
    </w:p>
    <w:p w:rsidR="002C33B2" w:rsidRPr="00F0768B" w:rsidRDefault="002C33B2" w:rsidP="002C33B2">
      <w:pPr>
        <w:spacing w:line="360" w:lineRule="auto"/>
        <w:contextualSpacing/>
        <w:jc w:val="both"/>
        <w:rPr>
          <w:rFonts w:ascii="Palatino Linotype" w:eastAsia="Calibri" w:hAnsi="Palatino Linotype" w:cs="Tahoma"/>
          <w:bCs/>
          <w:sz w:val="22"/>
          <w:szCs w:val="22"/>
          <w:lang w:eastAsia="en-US"/>
        </w:rPr>
      </w:pPr>
    </w:p>
    <w:p w:rsidR="002C33B2" w:rsidRPr="00F0768B" w:rsidRDefault="002C33B2" w:rsidP="002C33B2">
      <w:pPr>
        <w:spacing w:line="360" w:lineRule="auto"/>
        <w:contextualSpacing/>
        <w:jc w:val="center"/>
        <w:rPr>
          <w:rFonts w:ascii="Palatino Linotype" w:eastAsia="Calibri" w:hAnsi="Palatino Linotype" w:cs="Tahoma"/>
          <w:b/>
          <w:bCs/>
          <w:sz w:val="22"/>
          <w:szCs w:val="22"/>
          <w:lang w:eastAsia="en-US"/>
        </w:rPr>
      </w:pPr>
      <w:r w:rsidRPr="00F0768B">
        <w:rPr>
          <w:rFonts w:ascii="Palatino Linotype" w:eastAsia="Calibri" w:hAnsi="Palatino Linotype" w:cs="Tahoma"/>
          <w:b/>
          <w:bCs/>
          <w:sz w:val="22"/>
          <w:szCs w:val="22"/>
          <w:lang w:eastAsia="en-US"/>
        </w:rPr>
        <w:t>R E S U E L V E</w:t>
      </w:r>
    </w:p>
    <w:p w:rsidR="002C33B2" w:rsidRPr="00F0768B" w:rsidRDefault="002C33B2" w:rsidP="002C33B2">
      <w:pPr>
        <w:spacing w:line="360" w:lineRule="auto"/>
        <w:contextualSpacing/>
        <w:jc w:val="center"/>
        <w:rPr>
          <w:rFonts w:ascii="Palatino Linotype" w:eastAsia="Calibri" w:hAnsi="Palatino Linotype" w:cs="Tahoma"/>
          <w:b/>
          <w:bCs/>
          <w:sz w:val="22"/>
          <w:szCs w:val="22"/>
          <w:lang w:eastAsia="en-US"/>
        </w:rPr>
      </w:pPr>
    </w:p>
    <w:p w:rsidR="002C33B2" w:rsidRDefault="002C33B2" w:rsidP="002C33B2">
      <w:pPr>
        <w:shd w:val="clear" w:color="auto" w:fill="FFFFFF" w:themeFill="background1"/>
        <w:spacing w:line="360" w:lineRule="auto"/>
        <w:contextualSpacing/>
        <w:jc w:val="both"/>
        <w:rPr>
          <w:rFonts w:ascii="Palatino Linotype" w:eastAsia="Calibri" w:hAnsi="Palatino Linotype" w:cs="Tahoma"/>
          <w:bCs/>
          <w:sz w:val="22"/>
          <w:szCs w:val="22"/>
          <w:lang w:eastAsia="en-US"/>
        </w:rPr>
      </w:pPr>
      <w:r w:rsidRPr="00F0768B">
        <w:rPr>
          <w:rFonts w:ascii="Palatino Linotype" w:eastAsia="Calibri" w:hAnsi="Palatino Linotype" w:cs="Tahoma"/>
          <w:b/>
          <w:bCs/>
          <w:sz w:val="22"/>
          <w:szCs w:val="22"/>
          <w:lang w:eastAsia="en-US"/>
        </w:rPr>
        <w:t xml:space="preserve">PRIMERO. </w:t>
      </w:r>
      <w:r w:rsidR="00ED06EC" w:rsidRPr="0089475E">
        <w:rPr>
          <w:rFonts w:ascii="Palatino Linotype" w:eastAsia="Calibri" w:hAnsi="Palatino Linotype" w:cs="Tahoma"/>
          <w:bCs/>
          <w:sz w:val="22"/>
          <w:szCs w:val="22"/>
          <w:lang w:eastAsia="en-US"/>
        </w:rPr>
        <w:t>Resulta</w:t>
      </w:r>
      <w:r w:rsidR="00836D2A">
        <w:rPr>
          <w:rFonts w:ascii="Palatino Linotype" w:eastAsia="Calibri" w:hAnsi="Palatino Linotype" w:cs="Tahoma"/>
          <w:bCs/>
          <w:sz w:val="22"/>
          <w:szCs w:val="22"/>
          <w:lang w:eastAsia="en-US"/>
        </w:rPr>
        <w:t>n</w:t>
      </w:r>
      <w:r w:rsidR="00ED06EC" w:rsidRPr="0089475E">
        <w:rPr>
          <w:rFonts w:ascii="Palatino Linotype" w:eastAsia="Calibri" w:hAnsi="Palatino Linotype" w:cs="Tahoma"/>
          <w:bCs/>
          <w:sz w:val="22"/>
          <w:szCs w:val="22"/>
          <w:lang w:eastAsia="en-US"/>
        </w:rPr>
        <w:t xml:space="preserve"> </w:t>
      </w:r>
      <w:r w:rsidR="00ED06EC" w:rsidRPr="0089475E">
        <w:rPr>
          <w:rFonts w:ascii="Palatino Linotype" w:eastAsia="Calibri" w:hAnsi="Palatino Linotype" w:cs="Tahoma"/>
          <w:b/>
          <w:bCs/>
          <w:sz w:val="22"/>
          <w:szCs w:val="22"/>
          <w:lang w:eastAsia="en-US"/>
        </w:rPr>
        <w:t>FUNDADA</w:t>
      </w:r>
      <w:r w:rsidR="00836D2A">
        <w:rPr>
          <w:rFonts w:ascii="Palatino Linotype" w:eastAsia="Calibri" w:hAnsi="Palatino Linotype" w:cs="Tahoma"/>
          <w:b/>
          <w:bCs/>
          <w:sz w:val="22"/>
          <w:szCs w:val="22"/>
          <w:lang w:eastAsia="en-US"/>
        </w:rPr>
        <w:t>S</w:t>
      </w:r>
      <w:r w:rsidR="00ED06EC" w:rsidRPr="0089475E">
        <w:rPr>
          <w:rFonts w:ascii="Palatino Linotype" w:eastAsia="Calibri" w:hAnsi="Palatino Linotype" w:cs="Tahoma"/>
          <w:bCs/>
          <w:sz w:val="22"/>
          <w:szCs w:val="22"/>
          <w:lang w:eastAsia="en-US"/>
        </w:rPr>
        <w:t xml:space="preserve"> la raz</w:t>
      </w:r>
      <w:r w:rsidR="00836D2A">
        <w:rPr>
          <w:rFonts w:ascii="Palatino Linotype" w:eastAsia="Calibri" w:hAnsi="Palatino Linotype" w:cs="Tahoma"/>
          <w:bCs/>
          <w:sz w:val="22"/>
          <w:szCs w:val="22"/>
          <w:lang w:eastAsia="en-US"/>
        </w:rPr>
        <w:t>ones</w:t>
      </w:r>
      <w:r w:rsidR="00ED06EC" w:rsidRPr="0089475E">
        <w:rPr>
          <w:rFonts w:ascii="Palatino Linotype" w:eastAsia="Calibri" w:hAnsi="Palatino Linotype" w:cs="Tahoma"/>
          <w:bCs/>
          <w:sz w:val="22"/>
          <w:szCs w:val="22"/>
          <w:lang w:eastAsia="en-US"/>
        </w:rPr>
        <w:t xml:space="preserve"> o motivo</w:t>
      </w:r>
      <w:r w:rsidR="00836D2A">
        <w:rPr>
          <w:rFonts w:ascii="Palatino Linotype" w:eastAsia="Calibri" w:hAnsi="Palatino Linotype" w:cs="Tahoma"/>
          <w:bCs/>
          <w:sz w:val="22"/>
          <w:szCs w:val="22"/>
          <w:lang w:eastAsia="en-US"/>
        </w:rPr>
        <w:t>s</w:t>
      </w:r>
      <w:r w:rsidR="00ED06EC" w:rsidRPr="0089475E">
        <w:rPr>
          <w:rFonts w:ascii="Palatino Linotype" w:eastAsia="Calibri" w:hAnsi="Palatino Linotype" w:cs="Tahoma"/>
          <w:bCs/>
          <w:sz w:val="22"/>
          <w:szCs w:val="22"/>
          <w:lang w:eastAsia="en-US"/>
        </w:rPr>
        <w:t xml:space="preserve"> de inconformidad hecho</w:t>
      </w:r>
      <w:r w:rsidR="00836D2A">
        <w:rPr>
          <w:rFonts w:ascii="Palatino Linotype" w:eastAsia="Calibri" w:hAnsi="Palatino Linotype" w:cs="Tahoma"/>
          <w:bCs/>
          <w:sz w:val="22"/>
          <w:szCs w:val="22"/>
          <w:lang w:eastAsia="en-US"/>
        </w:rPr>
        <w:t>s</w:t>
      </w:r>
      <w:r w:rsidR="00ED06EC" w:rsidRPr="0089475E">
        <w:rPr>
          <w:rFonts w:ascii="Palatino Linotype" w:eastAsia="Calibri" w:hAnsi="Palatino Linotype" w:cs="Tahoma"/>
          <w:bCs/>
          <w:sz w:val="22"/>
          <w:szCs w:val="22"/>
          <w:lang w:eastAsia="en-US"/>
        </w:rPr>
        <w:t xml:space="preserve"> valer por el Recurrente en el Recurso de Revisión </w:t>
      </w:r>
      <w:r w:rsidR="00ED06EC" w:rsidRPr="00AE1EF2">
        <w:rPr>
          <w:rFonts w:ascii="Palatino Linotype" w:eastAsia="Calibri" w:hAnsi="Palatino Linotype" w:cs="Tahoma"/>
          <w:b/>
          <w:bCs/>
          <w:sz w:val="22"/>
          <w:szCs w:val="22"/>
          <w:lang w:eastAsia="en-US"/>
        </w:rPr>
        <w:t>05</w:t>
      </w:r>
      <w:r w:rsidR="00ED06EC">
        <w:rPr>
          <w:rFonts w:ascii="Palatino Linotype" w:eastAsia="Calibri" w:hAnsi="Palatino Linotype" w:cs="Tahoma"/>
          <w:b/>
          <w:bCs/>
          <w:sz w:val="22"/>
          <w:szCs w:val="22"/>
          <w:lang w:eastAsia="en-US"/>
        </w:rPr>
        <w:t>526</w:t>
      </w:r>
      <w:r w:rsidR="00ED06EC" w:rsidRPr="00AE1EF2">
        <w:rPr>
          <w:rFonts w:ascii="Palatino Linotype" w:eastAsia="Calibri" w:hAnsi="Palatino Linotype" w:cs="Tahoma"/>
          <w:b/>
          <w:bCs/>
          <w:sz w:val="22"/>
          <w:szCs w:val="22"/>
          <w:lang w:eastAsia="en-US"/>
        </w:rPr>
        <w:t>/INFOEM/IP/RR/2019</w:t>
      </w:r>
      <w:r w:rsidR="00ED06EC" w:rsidRPr="0089475E">
        <w:rPr>
          <w:rFonts w:ascii="Palatino Linotype" w:eastAsia="Calibri" w:hAnsi="Palatino Linotype" w:cs="Tahoma"/>
          <w:bCs/>
          <w:sz w:val="22"/>
          <w:szCs w:val="22"/>
          <w:lang w:eastAsia="en-US"/>
        </w:rPr>
        <w:t xml:space="preserve">, en términos de los Considerandos </w:t>
      </w:r>
      <w:r w:rsidR="00ED06EC" w:rsidRPr="0089475E">
        <w:rPr>
          <w:rFonts w:ascii="Palatino Linotype" w:eastAsia="Calibri" w:hAnsi="Palatino Linotype" w:cs="Tahoma"/>
          <w:b/>
          <w:bCs/>
          <w:sz w:val="22"/>
          <w:szCs w:val="22"/>
          <w:lang w:eastAsia="en-US"/>
        </w:rPr>
        <w:t xml:space="preserve">QUINTO y </w:t>
      </w:r>
      <w:r w:rsidR="00ED06EC">
        <w:rPr>
          <w:rFonts w:ascii="Palatino Linotype" w:eastAsia="Calibri" w:hAnsi="Palatino Linotype" w:cs="Tahoma"/>
          <w:b/>
          <w:bCs/>
          <w:sz w:val="22"/>
          <w:szCs w:val="22"/>
          <w:lang w:eastAsia="en-US"/>
        </w:rPr>
        <w:t xml:space="preserve">SEXTO </w:t>
      </w:r>
      <w:r w:rsidR="00ED06EC" w:rsidRPr="0089475E">
        <w:rPr>
          <w:rFonts w:ascii="Palatino Linotype" w:eastAsia="Calibri" w:hAnsi="Palatino Linotype" w:cs="Tahoma"/>
          <w:bCs/>
          <w:sz w:val="22"/>
          <w:szCs w:val="22"/>
          <w:lang w:eastAsia="en-US"/>
        </w:rPr>
        <w:t>de la presente Resolución.</w:t>
      </w:r>
    </w:p>
    <w:p w:rsidR="00ED06EC" w:rsidRPr="00F0768B" w:rsidRDefault="00ED06EC" w:rsidP="002C33B2">
      <w:pPr>
        <w:shd w:val="clear" w:color="auto" w:fill="FFFFFF" w:themeFill="background1"/>
        <w:spacing w:line="360" w:lineRule="auto"/>
        <w:contextualSpacing/>
        <w:jc w:val="both"/>
        <w:rPr>
          <w:rFonts w:ascii="Palatino Linotype" w:eastAsia="Calibri" w:hAnsi="Palatino Linotype" w:cs="Tahoma"/>
          <w:bCs/>
          <w:sz w:val="22"/>
          <w:szCs w:val="22"/>
          <w:lang w:eastAsia="en-US"/>
        </w:rPr>
      </w:pPr>
    </w:p>
    <w:p w:rsidR="00ED06EC" w:rsidRDefault="002C33B2" w:rsidP="00ED06EC">
      <w:pPr>
        <w:spacing w:line="360" w:lineRule="auto"/>
        <w:jc w:val="both"/>
        <w:rPr>
          <w:rFonts w:ascii="Palatino Linotype" w:hAnsi="Palatino Linotype" w:cs="Tahoma"/>
          <w:bCs/>
          <w:sz w:val="22"/>
          <w:szCs w:val="22"/>
        </w:rPr>
      </w:pPr>
      <w:r w:rsidRPr="00F0768B">
        <w:rPr>
          <w:rFonts w:ascii="Palatino Linotype" w:eastAsia="Calibri" w:hAnsi="Palatino Linotype" w:cs="Tahoma"/>
          <w:b/>
          <w:bCs/>
          <w:sz w:val="22"/>
          <w:szCs w:val="22"/>
          <w:lang w:eastAsia="en-US"/>
        </w:rPr>
        <w:t xml:space="preserve">SEGUNDO. </w:t>
      </w:r>
      <w:r w:rsidRPr="00F0768B">
        <w:rPr>
          <w:rFonts w:ascii="Palatino Linotype" w:eastAsia="Calibri" w:hAnsi="Palatino Linotype" w:cs="Tahoma"/>
          <w:sz w:val="22"/>
          <w:szCs w:val="22"/>
          <w:lang w:eastAsia="es-MX"/>
        </w:rPr>
        <w:t xml:space="preserve">Se </w:t>
      </w:r>
      <w:r w:rsidRPr="00F0768B">
        <w:rPr>
          <w:rFonts w:ascii="Palatino Linotype" w:eastAsia="Calibri" w:hAnsi="Palatino Linotype" w:cs="Tahoma"/>
          <w:b/>
          <w:sz w:val="22"/>
          <w:szCs w:val="22"/>
          <w:lang w:eastAsia="es-MX"/>
        </w:rPr>
        <w:t xml:space="preserve">ORDENA </w:t>
      </w:r>
      <w:r w:rsidRPr="00F0768B">
        <w:rPr>
          <w:rFonts w:ascii="Palatino Linotype" w:eastAsia="Calibri" w:hAnsi="Palatino Linotype" w:cs="Tahoma"/>
          <w:sz w:val="22"/>
          <w:szCs w:val="22"/>
          <w:lang w:eastAsia="es-MX"/>
        </w:rPr>
        <w:t xml:space="preserve">al Sujeto Obligado, </w:t>
      </w:r>
      <w:r w:rsidR="00ED06EC" w:rsidRPr="00ED06EC">
        <w:rPr>
          <w:rFonts w:ascii="Palatino Linotype" w:hAnsi="Palatino Linotype" w:cs="Tahoma"/>
          <w:b/>
          <w:bCs/>
          <w:color w:val="0D0D0D" w:themeColor="text1" w:themeTint="F2"/>
          <w:sz w:val="22"/>
          <w:szCs w:val="22"/>
        </w:rPr>
        <w:t>Ayuntamiento de Papalotla</w:t>
      </w:r>
      <w:r w:rsidR="00ED06EC">
        <w:rPr>
          <w:rFonts w:ascii="Palatino Linotype" w:eastAsia="Calibri" w:hAnsi="Palatino Linotype" w:cs="Tahoma"/>
          <w:sz w:val="22"/>
          <w:szCs w:val="22"/>
          <w:lang w:eastAsia="es-MX"/>
        </w:rPr>
        <w:t>, atienda la solicitud</w:t>
      </w:r>
      <w:r w:rsidRPr="00F0768B">
        <w:rPr>
          <w:rFonts w:ascii="Palatino Linotype" w:eastAsia="Calibri" w:hAnsi="Palatino Linotype" w:cs="Tahoma"/>
          <w:sz w:val="22"/>
          <w:szCs w:val="22"/>
          <w:lang w:eastAsia="es-MX"/>
        </w:rPr>
        <w:t xml:space="preserve"> de acceso a la información pública con número </w:t>
      </w:r>
      <w:r w:rsidR="00ED06EC">
        <w:rPr>
          <w:rFonts w:ascii="Palatino Linotype" w:hAnsi="Palatino Linotype" w:cs="Tahoma"/>
          <w:sz w:val="22"/>
          <w:szCs w:val="22"/>
        </w:rPr>
        <w:t xml:space="preserve">de folio </w:t>
      </w:r>
      <w:r w:rsidR="00ED06EC" w:rsidRPr="00924F21">
        <w:rPr>
          <w:rFonts w:ascii="Palatino Linotype" w:hAnsi="Palatino Linotype" w:cs="Tahoma"/>
          <w:b/>
          <w:bCs/>
          <w:sz w:val="22"/>
          <w:szCs w:val="22"/>
        </w:rPr>
        <w:t>00026/PAPALO/IP/2019</w:t>
      </w:r>
      <w:r w:rsidR="00ED06EC">
        <w:rPr>
          <w:rFonts w:ascii="Palatino Linotype" w:hAnsi="Palatino Linotype" w:cs="Tahoma"/>
          <w:b/>
          <w:bCs/>
          <w:sz w:val="22"/>
          <w:szCs w:val="22"/>
        </w:rPr>
        <w:t xml:space="preserve"> </w:t>
      </w:r>
      <w:r w:rsidR="00ED06EC" w:rsidRPr="00F0768B">
        <w:rPr>
          <w:rFonts w:ascii="Palatino Linotype" w:hAnsi="Palatino Linotype" w:cs="Tahoma"/>
          <w:bCs/>
          <w:sz w:val="22"/>
          <w:szCs w:val="22"/>
          <w:lang w:val="es-ES"/>
        </w:rPr>
        <w:t xml:space="preserve">y </w:t>
      </w:r>
      <w:r w:rsidR="00ED06EC">
        <w:rPr>
          <w:rFonts w:ascii="Palatino Linotype" w:hAnsi="Palatino Linotype" w:cs="Tahoma"/>
          <w:sz w:val="22"/>
          <w:szCs w:val="22"/>
        </w:rPr>
        <w:t>previa búsqueda exhaustiva y razonable en todas las áreas competentes</w:t>
      </w:r>
      <w:r w:rsidR="00ED06EC">
        <w:rPr>
          <w:rFonts w:ascii="Palatino Linotype" w:hAnsi="Palatino Linotype" w:cs="Tahoma"/>
          <w:bCs/>
          <w:sz w:val="22"/>
          <w:szCs w:val="22"/>
        </w:rPr>
        <w:t>, otorgue acceso vía el Sistema de Acceso a la Información Mexiquense (SAIMEX), el documento o documentos, en versión pública que den cuenta de los siguientes:</w:t>
      </w:r>
    </w:p>
    <w:p w:rsidR="00ED06EC" w:rsidRDefault="00ED06EC" w:rsidP="00ED06EC">
      <w:pPr>
        <w:spacing w:line="360" w:lineRule="auto"/>
        <w:jc w:val="both"/>
        <w:rPr>
          <w:rFonts w:ascii="Palatino Linotype" w:hAnsi="Palatino Linotype" w:cs="Tahoma"/>
          <w:bCs/>
          <w:sz w:val="22"/>
          <w:szCs w:val="22"/>
        </w:rPr>
      </w:pPr>
    </w:p>
    <w:p w:rsidR="00ED06EC" w:rsidRDefault="00ED06EC" w:rsidP="00210960">
      <w:pPr>
        <w:pStyle w:val="Prrafodelista"/>
        <w:numPr>
          <w:ilvl w:val="0"/>
          <w:numId w:val="15"/>
        </w:numPr>
        <w:spacing w:line="360" w:lineRule="auto"/>
        <w:jc w:val="both"/>
        <w:rPr>
          <w:rFonts w:ascii="Palatino Linotype" w:hAnsi="Palatino Linotype"/>
          <w:szCs w:val="22"/>
        </w:rPr>
      </w:pPr>
      <w:r>
        <w:rPr>
          <w:rFonts w:ascii="Palatino Linotype" w:hAnsi="Palatino Linotype"/>
          <w:szCs w:val="22"/>
        </w:rPr>
        <w:t>De las unidades económicas de mediano y alto impacto del Ayuntamiento de Papalotla, que cuentan con giro de venta de bebidas alcohólicas al copeo</w:t>
      </w:r>
      <w:r w:rsidR="00E86ADB">
        <w:rPr>
          <w:rFonts w:ascii="Palatino Linotype" w:hAnsi="Palatino Linotype"/>
          <w:szCs w:val="22"/>
        </w:rPr>
        <w:t xml:space="preserve"> y que se encontraban funcionando a la fecha de la solicitud (</w:t>
      </w:r>
      <w:r w:rsidR="00E86ADB">
        <w:rPr>
          <w:rFonts w:ascii="Palatino Linotype" w:hAnsi="Palatino Linotype" w:cs="Tahoma"/>
          <w:szCs w:val="22"/>
        </w:rPr>
        <w:t>veintisiete</w:t>
      </w:r>
      <w:r w:rsidR="00E86ADB" w:rsidRPr="002E1218">
        <w:rPr>
          <w:rFonts w:ascii="Palatino Linotype" w:hAnsi="Palatino Linotype" w:cs="Tahoma"/>
          <w:szCs w:val="22"/>
        </w:rPr>
        <w:t xml:space="preserve"> de </w:t>
      </w:r>
      <w:r w:rsidR="00E86ADB">
        <w:rPr>
          <w:rFonts w:ascii="Palatino Linotype" w:hAnsi="Palatino Linotype" w:cs="Tahoma"/>
          <w:szCs w:val="22"/>
        </w:rPr>
        <w:t>mayo</w:t>
      </w:r>
      <w:r w:rsidR="00E86ADB" w:rsidRPr="002E1218">
        <w:rPr>
          <w:rFonts w:ascii="Palatino Linotype" w:hAnsi="Palatino Linotype" w:cs="Tahoma"/>
          <w:szCs w:val="22"/>
        </w:rPr>
        <w:t xml:space="preserve"> de dos mil diecinueve</w:t>
      </w:r>
      <w:r w:rsidR="00E86ADB">
        <w:rPr>
          <w:rFonts w:ascii="Palatino Linotype" w:hAnsi="Palatino Linotype"/>
          <w:szCs w:val="22"/>
        </w:rPr>
        <w:t>), lo siguiente</w:t>
      </w:r>
      <w:r>
        <w:rPr>
          <w:rFonts w:ascii="Palatino Linotype" w:hAnsi="Palatino Linotype"/>
          <w:szCs w:val="22"/>
        </w:rPr>
        <w:t>:</w:t>
      </w:r>
    </w:p>
    <w:p w:rsidR="00ED06EC" w:rsidRDefault="00ED06EC" w:rsidP="00210960">
      <w:pPr>
        <w:pStyle w:val="Prrafodelista"/>
        <w:numPr>
          <w:ilvl w:val="1"/>
          <w:numId w:val="15"/>
        </w:numPr>
        <w:spacing w:line="360" w:lineRule="auto"/>
        <w:jc w:val="both"/>
        <w:rPr>
          <w:rFonts w:ascii="Palatino Linotype" w:hAnsi="Palatino Linotype"/>
          <w:szCs w:val="22"/>
        </w:rPr>
      </w:pPr>
      <w:r>
        <w:rPr>
          <w:rFonts w:ascii="Palatino Linotype" w:hAnsi="Palatino Linotype"/>
          <w:szCs w:val="22"/>
        </w:rPr>
        <w:t>Licencias de funcionamiento.</w:t>
      </w:r>
    </w:p>
    <w:p w:rsidR="00ED06EC" w:rsidRDefault="00ED06EC" w:rsidP="00210960">
      <w:pPr>
        <w:pStyle w:val="Prrafodelista"/>
        <w:numPr>
          <w:ilvl w:val="1"/>
          <w:numId w:val="15"/>
        </w:numPr>
        <w:spacing w:line="360" w:lineRule="auto"/>
        <w:jc w:val="both"/>
        <w:rPr>
          <w:rFonts w:ascii="Palatino Linotype" w:hAnsi="Palatino Linotype"/>
          <w:szCs w:val="22"/>
        </w:rPr>
      </w:pPr>
      <w:r>
        <w:rPr>
          <w:rFonts w:ascii="Palatino Linotype" w:hAnsi="Palatino Linotype"/>
          <w:szCs w:val="22"/>
        </w:rPr>
        <w:t>Visto bueno de protección civil.</w:t>
      </w:r>
    </w:p>
    <w:p w:rsidR="00ED06EC" w:rsidRPr="00DD7E5A" w:rsidRDefault="00ED06EC" w:rsidP="00DD7E5A">
      <w:pPr>
        <w:pStyle w:val="Prrafodelista"/>
        <w:numPr>
          <w:ilvl w:val="0"/>
          <w:numId w:val="15"/>
        </w:numPr>
        <w:spacing w:line="360" w:lineRule="auto"/>
        <w:jc w:val="both"/>
        <w:rPr>
          <w:rFonts w:ascii="Palatino Linotype" w:hAnsi="Palatino Linotype"/>
          <w:szCs w:val="22"/>
        </w:rPr>
      </w:pPr>
      <w:r w:rsidRPr="00DD7E5A">
        <w:rPr>
          <w:rFonts w:ascii="Palatino Linotype" w:hAnsi="Palatino Linotype"/>
          <w:szCs w:val="22"/>
        </w:rPr>
        <w:t>Documento único de factibilidad</w:t>
      </w:r>
      <w:r w:rsidR="007718EE" w:rsidRPr="00DD7E5A">
        <w:rPr>
          <w:rFonts w:ascii="Palatino Linotype" w:hAnsi="Palatino Linotype"/>
          <w:szCs w:val="22"/>
        </w:rPr>
        <w:t xml:space="preserve"> correspondiente a las unidades económicas de alto impacto</w:t>
      </w:r>
      <w:r w:rsidR="00E86ADB">
        <w:rPr>
          <w:rFonts w:ascii="Palatino Linotype" w:hAnsi="Palatino Linotype"/>
          <w:szCs w:val="22"/>
        </w:rPr>
        <w:t xml:space="preserve"> que se encontraban funcionando a la fecha de la solicitud (</w:t>
      </w:r>
      <w:r w:rsidR="00E86ADB">
        <w:rPr>
          <w:rFonts w:ascii="Palatino Linotype" w:hAnsi="Palatino Linotype" w:cs="Tahoma"/>
          <w:szCs w:val="22"/>
        </w:rPr>
        <w:t>veintisiete</w:t>
      </w:r>
      <w:r w:rsidR="00E86ADB" w:rsidRPr="002E1218">
        <w:rPr>
          <w:rFonts w:ascii="Palatino Linotype" w:hAnsi="Palatino Linotype" w:cs="Tahoma"/>
          <w:szCs w:val="22"/>
        </w:rPr>
        <w:t xml:space="preserve"> de </w:t>
      </w:r>
      <w:r w:rsidR="00E86ADB">
        <w:rPr>
          <w:rFonts w:ascii="Palatino Linotype" w:hAnsi="Palatino Linotype" w:cs="Tahoma"/>
          <w:szCs w:val="22"/>
        </w:rPr>
        <w:t>mayo</w:t>
      </w:r>
      <w:r w:rsidR="00E86ADB" w:rsidRPr="002E1218">
        <w:rPr>
          <w:rFonts w:ascii="Palatino Linotype" w:hAnsi="Palatino Linotype" w:cs="Tahoma"/>
          <w:szCs w:val="22"/>
        </w:rPr>
        <w:t xml:space="preserve"> de dos mil diecinueve</w:t>
      </w:r>
      <w:r w:rsidR="00E86ADB">
        <w:rPr>
          <w:rFonts w:ascii="Palatino Linotype" w:hAnsi="Palatino Linotype"/>
          <w:szCs w:val="22"/>
        </w:rPr>
        <w:t>)</w:t>
      </w:r>
      <w:r w:rsidRPr="00DD7E5A">
        <w:rPr>
          <w:rFonts w:ascii="Palatino Linotype" w:hAnsi="Palatino Linotype"/>
          <w:szCs w:val="22"/>
        </w:rPr>
        <w:t>.</w:t>
      </w:r>
    </w:p>
    <w:p w:rsidR="00ED06EC" w:rsidRDefault="00ED06EC" w:rsidP="00ED06EC">
      <w:pPr>
        <w:pStyle w:val="Prrafodelista"/>
        <w:spacing w:line="360" w:lineRule="auto"/>
        <w:ind w:left="1440"/>
        <w:jc w:val="both"/>
        <w:rPr>
          <w:rFonts w:ascii="Palatino Linotype" w:hAnsi="Palatino Linotype"/>
          <w:szCs w:val="22"/>
        </w:rPr>
      </w:pPr>
    </w:p>
    <w:p w:rsidR="00ED06EC" w:rsidRDefault="00ED06EC" w:rsidP="00ED06EC">
      <w:pPr>
        <w:spacing w:line="360" w:lineRule="auto"/>
        <w:ind w:right="-93"/>
        <w:jc w:val="both"/>
        <w:rPr>
          <w:rFonts w:ascii="Palatino Linotype" w:hAnsi="Palatino Linotype" w:cs="Tahoma"/>
          <w:sz w:val="22"/>
          <w:szCs w:val="22"/>
        </w:rPr>
      </w:pPr>
      <w:r>
        <w:rPr>
          <w:rFonts w:ascii="Palatino Linotype" w:hAnsi="Palatino Linotype" w:cs="Tahoma"/>
          <w:sz w:val="22"/>
          <w:szCs w:val="22"/>
        </w:rPr>
        <w:t>Junto con la versión pública, se deberá proporcionar el Acuerdo de Clasificación donde el Comité de Transparencia, confirme la eliminación de los datos conforme a lo concluido en el Considerado Sexto, de conformidad con los artículos 49, fracciones II y VIII, 143, fracción I y 149 de la Ley de Transparencia y Acceso a la Información Pública del Estado de México y Municipios.</w:t>
      </w:r>
    </w:p>
    <w:p w:rsidR="00ED06EC" w:rsidRDefault="00ED06EC" w:rsidP="00ED06EC">
      <w:pPr>
        <w:spacing w:line="360" w:lineRule="auto"/>
        <w:contextualSpacing/>
        <w:jc w:val="both"/>
        <w:rPr>
          <w:rFonts w:ascii="Palatino Linotype" w:eastAsia="Calibri" w:hAnsi="Palatino Linotype" w:cs="Tahoma"/>
          <w:b/>
          <w:bCs/>
          <w:sz w:val="22"/>
          <w:szCs w:val="22"/>
          <w:lang w:eastAsia="en-US"/>
        </w:rPr>
      </w:pPr>
    </w:p>
    <w:p w:rsidR="002C33B2" w:rsidRPr="00F0768B" w:rsidRDefault="002C33B2" w:rsidP="00ED06EC">
      <w:pPr>
        <w:spacing w:line="360" w:lineRule="auto"/>
        <w:contextualSpacing/>
        <w:jc w:val="both"/>
        <w:rPr>
          <w:rFonts w:ascii="Palatino Linotype" w:hAnsi="Palatino Linotype" w:cs="Tahoma"/>
          <w:i/>
          <w:sz w:val="22"/>
          <w:szCs w:val="22"/>
        </w:rPr>
      </w:pPr>
      <w:r w:rsidRPr="00F0768B">
        <w:rPr>
          <w:rFonts w:ascii="Palatino Linotype" w:eastAsia="Calibri" w:hAnsi="Palatino Linotype" w:cs="Tahoma"/>
          <w:b/>
          <w:bCs/>
          <w:sz w:val="22"/>
          <w:szCs w:val="22"/>
          <w:lang w:eastAsia="en-US"/>
        </w:rPr>
        <w:t xml:space="preserve">TERCERO. </w:t>
      </w:r>
      <w:r w:rsidRPr="00F0768B">
        <w:rPr>
          <w:rFonts w:ascii="Palatino Linotype" w:hAnsi="Palatino Linotype" w:cs="Tahoma"/>
          <w:b/>
          <w:sz w:val="22"/>
          <w:szCs w:val="22"/>
        </w:rPr>
        <w:t xml:space="preserve">NOTIFÍQUESE </w:t>
      </w:r>
      <w:r w:rsidRPr="00F0768B">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2C33B2" w:rsidRPr="00F0768B" w:rsidRDefault="002C33B2" w:rsidP="002C33B2">
      <w:pPr>
        <w:shd w:val="clear" w:color="auto" w:fill="FFFFFF" w:themeFill="background1"/>
        <w:spacing w:line="360" w:lineRule="auto"/>
        <w:contextualSpacing/>
        <w:jc w:val="both"/>
        <w:rPr>
          <w:rFonts w:ascii="Palatino Linotype" w:eastAsia="Calibri" w:hAnsi="Palatino Linotype" w:cs="Tahoma"/>
          <w:sz w:val="22"/>
          <w:szCs w:val="22"/>
          <w:lang w:eastAsia="es-MX"/>
        </w:rPr>
      </w:pPr>
    </w:p>
    <w:p w:rsidR="002C33B2" w:rsidRPr="00F0768B" w:rsidRDefault="002C33B2" w:rsidP="002C33B2">
      <w:pPr>
        <w:shd w:val="clear" w:color="auto" w:fill="FFFFFF" w:themeFill="background1"/>
        <w:spacing w:line="360" w:lineRule="auto"/>
        <w:contextualSpacing/>
        <w:jc w:val="both"/>
        <w:rPr>
          <w:rFonts w:ascii="Palatino Linotype" w:hAnsi="Palatino Linotype" w:cs="Tahoma"/>
          <w:sz w:val="22"/>
          <w:szCs w:val="22"/>
        </w:rPr>
      </w:pPr>
      <w:r w:rsidRPr="00F0768B">
        <w:rPr>
          <w:rFonts w:ascii="Palatino Linotype" w:eastAsia="Calibri" w:hAnsi="Palatino Linotype" w:cs="Tahoma"/>
          <w:b/>
          <w:sz w:val="22"/>
          <w:szCs w:val="22"/>
          <w:lang w:eastAsia="es-MX"/>
        </w:rPr>
        <w:t>CUARTO</w:t>
      </w:r>
      <w:r w:rsidRPr="00F0768B">
        <w:rPr>
          <w:rFonts w:ascii="Palatino Linotype" w:eastAsia="Calibri" w:hAnsi="Palatino Linotype" w:cs="Tahoma"/>
          <w:b/>
          <w:bCs/>
          <w:sz w:val="22"/>
          <w:szCs w:val="22"/>
          <w:lang w:eastAsia="en-US"/>
        </w:rPr>
        <w:t xml:space="preserve">. </w:t>
      </w:r>
      <w:r w:rsidRPr="00F0768B">
        <w:rPr>
          <w:rFonts w:ascii="Palatino Linotype" w:hAnsi="Palatino Linotype" w:cs="Tahoma"/>
          <w:b/>
          <w:sz w:val="22"/>
          <w:szCs w:val="22"/>
        </w:rPr>
        <w:t>NOTIFÍQUESE</w:t>
      </w:r>
      <w:r w:rsidRPr="00F0768B">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Juicio de Amparo en los términos de las leyes aplicables.</w:t>
      </w:r>
    </w:p>
    <w:p w:rsidR="002C33B2" w:rsidRPr="00F0768B" w:rsidRDefault="002C33B2" w:rsidP="002C33B2">
      <w:pPr>
        <w:spacing w:line="360" w:lineRule="auto"/>
        <w:contextualSpacing/>
        <w:jc w:val="both"/>
        <w:rPr>
          <w:rFonts w:ascii="Palatino Linotype" w:eastAsia="Calibri" w:hAnsi="Palatino Linotype" w:cs="Tahoma"/>
          <w:b/>
          <w:bCs/>
          <w:sz w:val="22"/>
          <w:szCs w:val="22"/>
          <w:lang w:eastAsia="en-US"/>
        </w:rPr>
      </w:pPr>
    </w:p>
    <w:p w:rsidR="002C33B2" w:rsidRPr="00F0768B" w:rsidRDefault="002C33B2" w:rsidP="002C33B2">
      <w:pPr>
        <w:spacing w:line="360" w:lineRule="auto"/>
        <w:contextualSpacing/>
        <w:jc w:val="both"/>
        <w:rPr>
          <w:rFonts w:ascii="Palatino Linotype" w:eastAsia="Calibri" w:hAnsi="Palatino Linotype" w:cs="Tahoma"/>
          <w:bCs/>
          <w:sz w:val="22"/>
          <w:szCs w:val="22"/>
          <w:lang w:val="es-ES_tradnl" w:eastAsia="en-US"/>
        </w:rPr>
      </w:pPr>
      <w:r w:rsidRPr="00F0768B">
        <w:rPr>
          <w:rFonts w:ascii="Palatino Linotype" w:eastAsia="Calibri" w:hAnsi="Palatino Linotype" w:cs="Tahoma"/>
          <w:b/>
          <w:bCs/>
          <w:sz w:val="22"/>
          <w:szCs w:val="22"/>
          <w:lang w:eastAsia="en-US"/>
        </w:rPr>
        <w:t xml:space="preserve">QUINTO. </w:t>
      </w:r>
      <w:r w:rsidRPr="00F0768B">
        <w:rPr>
          <w:rFonts w:ascii="Palatino Linotype" w:eastAsia="Calibri" w:hAnsi="Palatino Linotype" w:cs="Tahoma"/>
          <w:bCs/>
          <w:sz w:val="22"/>
          <w:szCs w:val="22"/>
          <w:lang w:val="es-ES_tradnl" w:eastAsia="en-US"/>
        </w:rPr>
        <w:t xml:space="preserve">Con fundamento en lo dispuesto en los artículos 190 de la </w:t>
      </w:r>
      <w:r w:rsidRPr="00F0768B">
        <w:rPr>
          <w:rFonts w:ascii="Palatino Linotype" w:hAnsi="Palatino Linotype" w:cs="Tahoma"/>
          <w:sz w:val="22"/>
          <w:szCs w:val="22"/>
        </w:rPr>
        <w:t>Ley de Transparencia y Acceso a la Información Pública del Estado de México y Municipios, gírese</w:t>
      </w:r>
      <w:r w:rsidRPr="00F0768B">
        <w:rPr>
          <w:rFonts w:ascii="Palatino Linotype" w:eastAsia="Calibri" w:hAnsi="Palatino Linotype" w:cs="Tahoma"/>
          <w:bCs/>
          <w:sz w:val="22"/>
          <w:szCs w:val="22"/>
          <w:lang w:val="es-ES_tradnl" w:eastAsia="en-US"/>
        </w:rPr>
        <w:t xml:space="preserve"> oficio al Contralor Interno y Titular del Órgano de Control y Vigilancia de este Instituto con la finalidad de que actúe en razón de su competencia, en términos de lo dispuesto en el Considerando </w:t>
      </w:r>
      <w:r w:rsidR="007718EE">
        <w:rPr>
          <w:rFonts w:ascii="Palatino Linotype" w:eastAsia="Calibri" w:hAnsi="Palatino Linotype" w:cs="Tahoma"/>
          <w:bCs/>
          <w:sz w:val="22"/>
          <w:szCs w:val="22"/>
          <w:lang w:val="es-ES_tradnl" w:eastAsia="en-US"/>
        </w:rPr>
        <w:t>O</w:t>
      </w:r>
      <w:r w:rsidR="007718EE" w:rsidRPr="007718EE">
        <w:rPr>
          <w:rFonts w:ascii="Palatino Linotype" w:eastAsia="Calibri" w:hAnsi="Palatino Linotype" w:cs="Tahoma"/>
          <w:bCs/>
          <w:sz w:val="22"/>
          <w:szCs w:val="22"/>
          <w:lang w:val="es-ES_tradnl" w:eastAsia="en-US"/>
        </w:rPr>
        <w:t xml:space="preserve">ctavo </w:t>
      </w:r>
      <w:r w:rsidRPr="00F0768B">
        <w:rPr>
          <w:rFonts w:ascii="Palatino Linotype" w:eastAsia="Calibri" w:hAnsi="Palatino Linotype" w:cs="Tahoma"/>
          <w:bCs/>
          <w:sz w:val="22"/>
          <w:szCs w:val="22"/>
          <w:lang w:val="es-ES_tradnl" w:eastAsia="en-US"/>
        </w:rPr>
        <w:t>de la presente Resolución.</w:t>
      </w:r>
    </w:p>
    <w:p w:rsidR="002C33B2" w:rsidRPr="00F0768B" w:rsidRDefault="002C33B2" w:rsidP="002C33B2">
      <w:pPr>
        <w:spacing w:line="360" w:lineRule="auto"/>
        <w:contextualSpacing/>
        <w:jc w:val="both"/>
        <w:rPr>
          <w:rFonts w:ascii="Palatino Linotype" w:hAnsi="Palatino Linotype" w:cs="Tahoma"/>
          <w:sz w:val="22"/>
          <w:szCs w:val="22"/>
          <w:lang w:eastAsia="es-MX"/>
        </w:rPr>
      </w:pPr>
    </w:p>
    <w:p w:rsidR="00094ADF" w:rsidRPr="00F012DF" w:rsidRDefault="00094ADF" w:rsidP="00094ADF">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LOS COMISIONADOS </w:t>
      </w:r>
      <w:r w:rsidRPr="00F012DF">
        <w:rPr>
          <w:rFonts w:ascii="Palatino Linotype" w:eastAsia="Calibri" w:hAnsi="Palatino Linotype" w:cs="Tahoma"/>
          <w:bCs/>
          <w:sz w:val="22"/>
          <w:szCs w:val="22"/>
          <w:lang w:val="es-ES_tradnl" w:eastAsia="en-US"/>
        </w:rPr>
        <w:t xml:space="preserve">DEL INSTITUTO DE TRANSPARENCIA, ACCESO A LA INFORMACIÓN PÚBLICA Y PROTECCIÓN DE DATOS PERSONALES DEL ESTADO DE MÉXICO Y MUNICIPIOS,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SEGUNDA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CUATRO DE SEPTIEMBRE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rsidR="00094ADF" w:rsidRDefault="00094ADF" w:rsidP="00094ADF">
      <w:pPr>
        <w:spacing w:line="360" w:lineRule="auto"/>
        <w:ind w:right="-93"/>
        <w:jc w:val="both"/>
        <w:rPr>
          <w:rFonts w:ascii="Palatino Linotype" w:eastAsia="Calibri" w:hAnsi="Palatino Linotype" w:cs="Tahoma"/>
          <w:bCs/>
          <w:sz w:val="22"/>
          <w:szCs w:val="22"/>
          <w:lang w:eastAsia="en-US"/>
        </w:rPr>
      </w:pPr>
    </w:p>
    <w:p w:rsidR="00094ADF" w:rsidRDefault="00094ADF" w:rsidP="00094ADF">
      <w:pPr>
        <w:spacing w:line="360" w:lineRule="auto"/>
        <w:ind w:right="-93"/>
        <w:jc w:val="both"/>
        <w:rPr>
          <w:rFonts w:ascii="Palatino Linotype" w:eastAsia="Calibri" w:hAnsi="Palatino Linotype" w:cs="Tahoma"/>
          <w:bCs/>
          <w:sz w:val="22"/>
          <w:szCs w:val="22"/>
          <w:lang w:eastAsia="en-US"/>
        </w:rPr>
      </w:pPr>
    </w:p>
    <w:p w:rsidR="00094ADF" w:rsidRDefault="00094ADF" w:rsidP="00094ADF">
      <w:pPr>
        <w:spacing w:line="360" w:lineRule="auto"/>
        <w:ind w:right="-93"/>
        <w:jc w:val="both"/>
        <w:rPr>
          <w:rFonts w:ascii="Palatino Linotype" w:eastAsia="Calibri" w:hAnsi="Palatino Linotype" w:cs="Tahoma"/>
          <w:bCs/>
          <w:sz w:val="22"/>
          <w:szCs w:val="22"/>
          <w:lang w:eastAsia="en-US"/>
        </w:rPr>
      </w:pPr>
    </w:p>
    <w:p w:rsidR="00094ADF" w:rsidRDefault="00094ADF" w:rsidP="00094ADF">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71A92979" wp14:editId="01A8F93A">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094ADF" w:rsidRPr="00DA1AD1" w:rsidRDefault="00094ADF" w:rsidP="00094ADF">
                            <w:pPr>
                              <w:jc w:val="center"/>
                              <w:rPr>
                                <w:rFonts w:ascii="Palatino Linotype" w:hAnsi="Palatino Linotype"/>
                                <w:b/>
                                <w:sz w:val="22"/>
                                <w:szCs w:val="24"/>
                              </w:rPr>
                            </w:pPr>
                            <w:r w:rsidRPr="00DA1AD1">
                              <w:rPr>
                                <w:rFonts w:ascii="Palatino Linotype" w:hAnsi="Palatino Linotype"/>
                                <w:b/>
                                <w:sz w:val="22"/>
                                <w:szCs w:val="24"/>
                              </w:rPr>
                              <w:t>(Rúbrica)</w:t>
                            </w:r>
                          </w:p>
                          <w:p w:rsidR="00094ADF" w:rsidRPr="00016AF3" w:rsidRDefault="00094ADF" w:rsidP="00094ADF">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A92979"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rsidR="00094ADF" w:rsidRPr="00DA1AD1" w:rsidRDefault="00094ADF" w:rsidP="00094ADF">
                      <w:pPr>
                        <w:jc w:val="center"/>
                        <w:rPr>
                          <w:rFonts w:ascii="Palatino Linotype" w:hAnsi="Palatino Linotype"/>
                          <w:b/>
                          <w:sz w:val="22"/>
                          <w:szCs w:val="24"/>
                        </w:rPr>
                      </w:pPr>
                      <w:r w:rsidRPr="00DA1AD1">
                        <w:rPr>
                          <w:rFonts w:ascii="Palatino Linotype" w:hAnsi="Palatino Linotype"/>
                          <w:b/>
                          <w:sz w:val="22"/>
                          <w:szCs w:val="24"/>
                        </w:rPr>
                        <w:t>(Rúbrica)</w:t>
                      </w:r>
                    </w:p>
                    <w:p w:rsidR="00094ADF" w:rsidRPr="00016AF3" w:rsidRDefault="00094ADF" w:rsidP="00094ADF">
                      <w:pPr>
                        <w:jc w:val="center"/>
                        <w:rPr>
                          <w:rFonts w:ascii="Palatino Linotype" w:hAnsi="Palatino Linotype"/>
                          <w:b/>
                          <w:sz w:val="24"/>
                          <w:szCs w:val="24"/>
                        </w:rPr>
                      </w:pPr>
                    </w:p>
                  </w:txbxContent>
                </v:textbox>
                <w10:wrap anchorx="margin"/>
              </v:shape>
            </w:pict>
          </mc:Fallback>
        </mc:AlternateContent>
      </w:r>
    </w:p>
    <w:p w:rsidR="00094ADF" w:rsidRDefault="00094ADF" w:rsidP="00094ADF">
      <w:pPr>
        <w:spacing w:line="360" w:lineRule="auto"/>
        <w:ind w:right="-93"/>
        <w:jc w:val="both"/>
        <w:rPr>
          <w:rFonts w:ascii="Palatino Linotype" w:eastAsia="Calibri" w:hAnsi="Palatino Linotype" w:cs="Tahoma"/>
          <w:b/>
          <w:bCs/>
          <w:sz w:val="22"/>
          <w:szCs w:val="22"/>
          <w:lang w:eastAsia="en-US"/>
        </w:rPr>
      </w:pPr>
    </w:p>
    <w:p w:rsidR="00094ADF" w:rsidRDefault="00094ADF" w:rsidP="00094ADF">
      <w:pPr>
        <w:spacing w:line="360" w:lineRule="auto"/>
        <w:ind w:right="-93"/>
        <w:jc w:val="both"/>
        <w:rPr>
          <w:rFonts w:ascii="Palatino Linotype" w:eastAsia="Calibri" w:hAnsi="Palatino Linotype" w:cs="Tahoma"/>
          <w:b/>
          <w:bCs/>
          <w:sz w:val="22"/>
          <w:szCs w:val="22"/>
          <w:lang w:eastAsia="en-US"/>
        </w:rPr>
      </w:pPr>
    </w:p>
    <w:p w:rsidR="00094ADF" w:rsidRDefault="00094ADF" w:rsidP="00094ADF">
      <w:pPr>
        <w:spacing w:line="360" w:lineRule="auto"/>
        <w:ind w:right="-93"/>
        <w:jc w:val="both"/>
        <w:rPr>
          <w:rFonts w:ascii="Palatino Linotype" w:eastAsia="Calibri" w:hAnsi="Palatino Linotype" w:cs="Tahoma"/>
          <w:b/>
          <w:bCs/>
          <w:sz w:val="22"/>
          <w:szCs w:val="22"/>
          <w:lang w:eastAsia="en-US"/>
        </w:rPr>
      </w:pPr>
    </w:p>
    <w:p w:rsidR="00094ADF" w:rsidRDefault="00094ADF" w:rsidP="00094ADF">
      <w:pPr>
        <w:spacing w:line="360" w:lineRule="auto"/>
        <w:ind w:right="-93"/>
        <w:jc w:val="both"/>
        <w:rPr>
          <w:rFonts w:ascii="Palatino Linotype" w:eastAsia="Calibri" w:hAnsi="Palatino Linotype" w:cs="Tahoma"/>
          <w:b/>
          <w:bCs/>
          <w:sz w:val="22"/>
          <w:szCs w:val="22"/>
          <w:lang w:eastAsia="en-US"/>
        </w:rPr>
      </w:pPr>
    </w:p>
    <w:p w:rsidR="00094ADF" w:rsidRDefault="00094ADF" w:rsidP="00094ADF">
      <w:pPr>
        <w:spacing w:line="360" w:lineRule="auto"/>
        <w:ind w:right="-93"/>
        <w:jc w:val="both"/>
        <w:rPr>
          <w:rFonts w:ascii="Palatino Linotype" w:eastAsia="Calibri" w:hAnsi="Palatino Linotype" w:cs="Tahoma"/>
          <w:b/>
          <w:bCs/>
          <w:sz w:val="22"/>
          <w:szCs w:val="22"/>
          <w:lang w:eastAsia="en-US"/>
        </w:rPr>
      </w:pPr>
    </w:p>
    <w:p w:rsidR="00094ADF" w:rsidRPr="00F012DF" w:rsidRDefault="00094ADF" w:rsidP="00094ADF">
      <w:pPr>
        <w:spacing w:line="360" w:lineRule="auto"/>
        <w:ind w:right="-93"/>
        <w:jc w:val="both"/>
        <w:rPr>
          <w:rFonts w:ascii="Palatino Linotype" w:eastAsia="Calibri" w:hAnsi="Palatino Linotype" w:cs="Tahoma"/>
          <w:b/>
          <w:bCs/>
          <w:sz w:val="22"/>
          <w:szCs w:val="22"/>
          <w:lang w:eastAsia="en-US"/>
        </w:rPr>
      </w:pPr>
    </w:p>
    <w:p w:rsidR="00094ADF" w:rsidRPr="00F012DF" w:rsidRDefault="00094ADF" w:rsidP="00094ADF">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4A6DD9B2" wp14:editId="73456145">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sz w:val="22"/>
                                <w:szCs w:val="24"/>
                              </w:rPr>
                              <w:t>Comisionado</w:t>
                            </w:r>
                          </w:p>
                          <w:p w:rsidR="00094ADF" w:rsidRPr="00DA1AD1" w:rsidRDefault="00094ADF" w:rsidP="00094ADF">
                            <w:pPr>
                              <w:jc w:val="center"/>
                              <w:rPr>
                                <w:rFonts w:ascii="Palatino Linotype" w:hAnsi="Palatino Linotype"/>
                                <w:b/>
                                <w:sz w:val="22"/>
                                <w:szCs w:val="24"/>
                              </w:rPr>
                            </w:pPr>
                            <w:r w:rsidRPr="00DA1AD1">
                              <w:rPr>
                                <w:rFonts w:ascii="Palatino Linotype" w:hAnsi="Palatino Linotype"/>
                                <w:b/>
                                <w:sz w:val="22"/>
                                <w:szCs w:val="24"/>
                              </w:rPr>
                              <w:t>(Rúbrica)</w:t>
                            </w:r>
                          </w:p>
                          <w:p w:rsidR="00094ADF" w:rsidRPr="00DA1AD1" w:rsidRDefault="00094ADF" w:rsidP="00094ADF">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DD9B2" id="Cuadro de texto 35" o:spid="_x0000_s1027" type="#_x0000_t202" style="position:absolute;left:0;text-align:left;margin-left:237.15pt;margin-top:.75pt;width:220.5pt;height:61.1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sz w:val="22"/>
                          <w:szCs w:val="24"/>
                        </w:rPr>
                        <w:t>Comisionado</w:t>
                      </w:r>
                    </w:p>
                    <w:p w:rsidR="00094ADF" w:rsidRPr="00DA1AD1" w:rsidRDefault="00094ADF" w:rsidP="00094ADF">
                      <w:pPr>
                        <w:jc w:val="center"/>
                        <w:rPr>
                          <w:rFonts w:ascii="Palatino Linotype" w:hAnsi="Palatino Linotype"/>
                          <w:b/>
                          <w:sz w:val="22"/>
                          <w:szCs w:val="24"/>
                        </w:rPr>
                      </w:pPr>
                      <w:r w:rsidRPr="00DA1AD1">
                        <w:rPr>
                          <w:rFonts w:ascii="Palatino Linotype" w:hAnsi="Palatino Linotype"/>
                          <w:b/>
                          <w:sz w:val="22"/>
                          <w:szCs w:val="24"/>
                        </w:rPr>
                        <w:t>(Rúbrica)</w:t>
                      </w:r>
                    </w:p>
                    <w:p w:rsidR="00094ADF" w:rsidRPr="00DA1AD1" w:rsidRDefault="00094ADF" w:rsidP="00094ADF">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47B1970A" wp14:editId="02FC47F5">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4ADF" w:rsidRPr="00DA1AD1" w:rsidRDefault="00094ADF" w:rsidP="00094ADF">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sz w:val="22"/>
                                <w:szCs w:val="24"/>
                              </w:rPr>
                              <w:t>Comisionada</w:t>
                            </w:r>
                          </w:p>
                          <w:p w:rsidR="00094ADF" w:rsidRPr="00DA1AD1" w:rsidRDefault="00094ADF" w:rsidP="00094ADF">
                            <w:pPr>
                              <w:jc w:val="center"/>
                              <w:rPr>
                                <w:rFonts w:ascii="Palatino Linotype" w:hAnsi="Palatino Linotype"/>
                                <w:b/>
                                <w:sz w:val="22"/>
                                <w:szCs w:val="24"/>
                              </w:rPr>
                            </w:pPr>
                            <w:r w:rsidRPr="00DA1AD1">
                              <w:rPr>
                                <w:rFonts w:ascii="Palatino Linotype" w:hAnsi="Palatino Linotype"/>
                                <w:b/>
                                <w:sz w:val="22"/>
                                <w:szCs w:val="24"/>
                              </w:rPr>
                              <w:t>(Rúbrica)</w:t>
                            </w:r>
                          </w:p>
                          <w:p w:rsidR="00094ADF" w:rsidRPr="00DA1AD1" w:rsidRDefault="00094ADF" w:rsidP="00094ADF">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1970A" id="Cuadro de texto 5" o:spid="_x0000_s1028" type="#_x0000_t202" style="position:absolute;left:0;text-align:left;margin-left:0;margin-top:.95pt;width:153pt;height:59.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rsidR="00094ADF" w:rsidRPr="00DA1AD1" w:rsidRDefault="00094ADF" w:rsidP="00094ADF">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sz w:val="22"/>
                          <w:szCs w:val="24"/>
                        </w:rPr>
                        <w:t>Comisionada</w:t>
                      </w:r>
                    </w:p>
                    <w:p w:rsidR="00094ADF" w:rsidRPr="00DA1AD1" w:rsidRDefault="00094ADF" w:rsidP="00094ADF">
                      <w:pPr>
                        <w:jc w:val="center"/>
                        <w:rPr>
                          <w:rFonts w:ascii="Palatino Linotype" w:hAnsi="Palatino Linotype"/>
                          <w:b/>
                          <w:sz w:val="22"/>
                          <w:szCs w:val="24"/>
                        </w:rPr>
                      </w:pPr>
                      <w:r w:rsidRPr="00DA1AD1">
                        <w:rPr>
                          <w:rFonts w:ascii="Palatino Linotype" w:hAnsi="Palatino Linotype"/>
                          <w:b/>
                          <w:sz w:val="22"/>
                          <w:szCs w:val="24"/>
                        </w:rPr>
                        <w:t>(Rúbrica)</w:t>
                      </w:r>
                    </w:p>
                    <w:p w:rsidR="00094ADF" w:rsidRPr="00DA1AD1" w:rsidRDefault="00094ADF" w:rsidP="00094ADF">
                      <w:pPr>
                        <w:jc w:val="center"/>
                        <w:rPr>
                          <w:sz w:val="18"/>
                        </w:rPr>
                      </w:pPr>
                    </w:p>
                  </w:txbxContent>
                </v:textbox>
                <w10:wrap anchorx="margin"/>
              </v:shape>
            </w:pict>
          </mc:Fallback>
        </mc:AlternateContent>
      </w:r>
    </w:p>
    <w:p w:rsidR="00094ADF" w:rsidRPr="00F012DF" w:rsidRDefault="00094ADF" w:rsidP="00094ADF">
      <w:pPr>
        <w:spacing w:line="360" w:lineRule="auto"/>
        <w:ind w:right="-93"/>
        <w:jc w:val="both"/>
        <w:rPr>
          <w:rFonts w:ascii="Palatino Linotype" w:eastAsia="Calibri" w:hAnsi="Palatino Linotype" w:cs="Tahoma"/>
          <w:b/>
          <w:bCs/>
          <w:sz w:val="22"/>
          <w:szCs w:val="22"/>
          <w:lang w:eastAsia="en-US"/>
        </w:rPr>
      </w:pPr>
    </w:p>
    <w:p w:rsidR="00094ADF" w:rsidRPr="00F012DF" w:rsidRDefault="00094ADF" w:rsidP="00094ADF">
      <w:pPr>
        <w:spacing w:line="360" w:lineRule="auto"/>
        <w:ind w:right="-93"/>
        <w:jc w:val="both"/>
        <w:rPr>
          <w:rFonts w:ascii="Palatino Linotype" w:eastAsia="Calibri" w:hAnsi="Palatino Linotype" w:cs="Tahoma"/>
          <w:b/>
          <w:bCs/>
          <w:sz w:val="22"/>
          <w:szCs w:val="22"/>
          <w:lang w:eastAsia="en-US"/>
        </w:rPr>
      </w:pPr>
    </w:p>
    <w:p w:rsidR="00094ADF" w:rsidRDefault="00094ADF" w:rsidP="00094ADF">
      <w:pPr>
        <w:spacing w:line="360" w:lineRule="auto"/>
        <w:ind w:right="-93"/>
        <w:jc w:val="both"/>
        <w:rPr>
          <w:rFonts w:ascii="Palatino Linotype" w:eastAsia="Calibri" w:hAnsi="Palatino Linotype" w:cs="Tahoma"/>
          <w:b/>
          <w:bCs/>
          <w:sz w:val="22"/>
          <w:szCs w:val="22"/>
          <w:lang w:eastAsia="en-US"/>
        </w:rPr>
      </w:pPr>
    </w:p>
    <w:p w:rsidR="00094ADF" w:rsidRPr="00F012DF" w:rsidRDefault="00094ADF" w:rsidP="00094ADF">
      <w:pPr>
        <w:spacing w:line="360" w:lineRule="auto"/>
        <w:ind w:right="-93"/>
        <w:jc w:val="both"/>
        <w:rPr>
          <w:rFonts w:ascii="Palatino Linotype" w:eastAsia="Calibri" w:hAnsi="Palatino Linotype" w:cs="Tahoma"/>
          <w:b/>
          <w:bCs/>
          <w:sz w:val="22"/>
          <w:szCs w:val="22"/>
          <w:lang w:eastAsia="en-US"/>
        </w:rPr>
      </w:pPr>
    </w:p>
    <w:p w:rsidR="00094ADF" w:rsidRDefault="00094ADF" w:rsidP="00094ADF">
      <w:pPr>
        <w:spacing w:line="360" w:lineRule="auto"/>
        <w:ind w:right="-93"/>
        <w:jc w:val="both"/>
        <w:rPr>
          <w:rFonts w:ascii="Palatino Linotype" w:eastAsia="Calibri" w:hAnsi="Palatino Linotype" w:cs="Tahoma"/>
          <w:b/>
          <w:bCs/>
          <w:sz w:val="22"/>
          <w:szCs w:val="22"/>
          <w:lang w:eastAsia="en-US"/>
        </w:rPr>
      </w:pPr>
    </w:p>
    <w:p w:rsidR="00094ADF" w:rsidRDefault="00094ADF" w:rsidP="00094ADF">
      <w:pPr>
        <w:spacing w:line="360" w:lineRule="auto"/>
        <w:ind w:right="-93"/>
        <w:jc w:val="both"/>
        <w:rPr>
          <w:rFonts w:ascii="Palatino Linotype" w:eastAsia="Calibri" w:hAnsi="Palatino Linotype" w:cs="Tahoma"/>
          <w:b/>
          <w:bCs/>
          <w:sz w:val="22"/>
          <w:szCs w:val="22"/>
          <w:lang w:eastAsia="en-US"/>
        </w:rPr>
      </w:pPr>
    </w:p>
    <w:p w:rsidR="00094ADF" w:rsidRPr="00F012DF" w:rsidRDefault="00094ADF" w:rsidP="00094ADF">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5408" behindDoc="0" locked="0" layoutInCell="1" allowOverlap="1" wp14:anchorId="23613602" wp14:editId="6361A073">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4ADF" w:rsidRPr="00DA1AD1" w:rsidRDefault="00094ADF" w:rsidP="00094ADF">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sz w:val="22"/>
                                <w:szCs w:val="24"/>
                              </w:rPr>
                              <w:t>Comisionado</w:t>
                            </w:r>
                          </w:p>
                          <w:p w:rsidR="00094ADF" w:rsidRPr="00DA1AD1" w:rsidRDefault="00094ADF" w:rsidP="00094ADF">
                            <w:pPr>
                              <w:jc w:val="center"/>
                              <w:rPr>
                                <w:rFonts w:ascii="Palatino Linotype" w:hAnsi="Palatino Linotype"/>
                                <w:b/>
                                <w:sz w:val="18"/>
                              </w:rPr>
                            </w:pPr>
                            <w:r w:rsidRPr="00DA1AD1">
                              <w:rPr>
                                <w:rFonts w:ascii="Palatino Linotype" w:hAnsi="Palatino Linotype"/>
                                <w:b/>
                                <w:sz w:val="22"/>
                                <w:szCs w:val="24"/>
                              </w:rPr>
                              <w:t>(Rúbrica)</w:t>
                            </w:r>
                          </w:p>
                          <w:p w:rsidR="00094ADF" w:rsidRDefault="00094ADF" w:rsidP="00094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613602" id="Cuadro de texto 9" o:spid="_x0000_s1029" type="#_x0000_t202" style="position:absolute;left:0;text-align:left;margin-left:128.05pt;margin-top:.4pt;width:179.25pt;height:57.0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rsidR="00094ADF" w:rsidRPr="00DA1AD1" w:rsidRDefault="00094ADF" w:rsidP="00094ADF">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sz w:val="22"/>
                          <w:szCs w:val="24"/>
                        </w:rPr>
                        <w:t>Comisionado</w:t>
                      </w:r>
                    </w:p>
                    <w:p w:rsidR="00094ADF" w:rsidRPr="00DA1AD1" w:rsidRDefault="00094ADF" w:rsidP="00094ADF">
                      <w:pPr>
                        <w:jc w:val="center"/>
                        <w:rPr>
                          <w:rFonts w:ascii="Palatino Linotype" w:hAnsi="Palatino Linotype"/>
                          <w:b/>
                          <w:sz w:val="18"/>
                        </w:rPr>
                      </w:pPr>
                      <w:r w:rsidRPr="00DA1AD1">
                        <w:rPr>
                          <w:rFonts w:ascii="Palatino Linotype" w:hAnsi="Palatino Linotype"/>
                          <w:b/>
                          <w:sz w:val="22"/>
                          <w:szCs w:val="24"/>
                        </w:rPr>
                        <w:t>(Rúbrica)</w:t>
                      </w:r>
                    </w:p>
                    <w:p w:rsidR="00094ADF" w:rsidRDefault="00094ADF" w:rsidP="00094ADF"/>
                  </w:txbxContent>
                </v:textbox>
                <w10:wrap anchorx="margin"/>
              </v:shape>
            </w:pict>
          </mc:Fallback>
        </mc:AlternateContent>
      </w: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35555B0" wp14:editId="6BC508B7">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sz w:val="22"/>
                                <w:szCs w:val="24"/>
                              </w:rPr>
                              <w:t>Comisionado</w:t>
                            </w:r>
                          </w:p>
                          <w:p w:rsidR="00094ADF" w:rsidRPr="00DA1AD1" w:rsidRDefault="00094ADF" w:rsidP="00094ADF">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5555B0" id="Cuadro de texto 8" o:spid="_x0000_s1030" type="#_x0000_t202" style="position:absolute;left:0;text-align:left;margin-left:0;margin-top:.7pt;width:168pt;height:53.6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sz w:val="22"/>
                          <w:szCs w:val="24"/>
                        </w:rPr>
                        <w:t>Comisionado</w:t>
                      </w:r>
                    </w:p>
                    <w:p w:rsidR="00094ADF" w:rsidRPr="00DA1AD1" w:rsidRDefault="00094ADF" w:rsidP="00094ADF">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rsidR="00094ADF" w:rsidRPr="00F012DF" w:rsidRDefault="00094ADF" w:rsidP="00094ADF">
      <w:pPr>
        <w:spacing w:line="360" w:lineRule="auto"/>
        <w:ind w:right="-93"/>
        <w:jc w:val="both"/>
        <w:rPr>
          <w:rFonts w:ascii="Palatino Linotype" w:eastAsia="Calibri" w:hAnsi="Palatino Linotype" w:cs="Tahoma"/>
          <w:bCs/>
          <w:sz w:val="22"/>
          <w:szCs w:val="22"/>
          <w:lang w:eastAsia="en-US"/>
        </w:rPr>
      </w:pPr>
    </w:p>
    <w:p w:rsidR="00094ADF" w:rsidRPr="00F012DF" w:rsidRDefault="00094ADF" w:rsidP="00094ADF">
      <w:pPr>
        <w:spacing w:line="360" w:lineRule="auto"/>
        <w:ind w:right="-93"/>
        <w:jc w:val="both"/>
        <w:rPr>
          <w:rFonts w:ascii="Palatino Linotype" w:eastAsia="Calibri" w:hAnsi="Palatino Linotype" w:cs="Tahoma"/>
          <w:bCs/>
          <w:sz w:val="22"/>
          <w:szCs w:val="22"/>
          <w:lang w:eastAsia="en-US"/>
        </w:rPr>
      </w:pPr>
    </w:p>
    <w:p w:rsidR="00094ADF" w:rsidRDefault="00094ADF" w:rsidP="00094ADF">
      <w:pPr>
        <w:spacing w:line="360" w:lineRule="auto"/>
        <w:ind w:right="-93"/>
        <w:jc w:val="both"/>
        <w:rPr>
          <w:rFonts w:ascii="Palatino Linotype" w:eastAsia="Calibri" w:hAnsi="Palatino Linotype" w:cs="Tahoma"/>
          <w:bCs/>
          <w:sz w:val="22"/>
          <w:szCs w:val="22"/>
          <w:lang w:eastAsia="en-US"/>
        </w:rPr>
      </w:pPr>
    </w:p>
    <w:p w:rsidR="00094ADF" w:rsidRPr="00F012DF" w:rsidRDefault="00094ADF" w:rsidP="00094ADF">
      <w:pPr>
        <w:spacing w:line="360" w:lineRule="auto"/>
        <w:ind w:right="-93"/>
        <w:jc w:val="both"/>
        <w:rPr>
          <w:rFonts w:ascii="Palatino Linotype" w:eastAsia="Calibri" w:hAnsi="Palatino Linotype" w:cs="Tahoma"/>
          <w:bCs/>
          <w:sz w:val="22"/>
          <w:szCs w:val="22"/>
          <w:lang w:eastAsia="en-US"/>
        </w:rPr>
      </w:pPr>
    </w:p>
    <w:p w:rsidR="00094ADF" w:rsidRDefault="00094ADF" w:rsidP="00094ADF">
      <w:pPr>
        <w:spacing w:line="360" w:lineRule="auto"/>
        <w:ind w:right="-93"/>
        <w:jc w:val="both"/>
        <w:rPr>
          <w:rFonts w:ascii="Palatino Linotype" w:eastAsia="Calibri" w:hAnsi="Palatino Linotype" w:cs="Tahoma"/>
          <w:bCs/>
          <w:sz w:val="22"/>
          <w:szCs w:val="22"/>
          <w:lang w:eastAsia="en-US"/>
        </w:rPr>
      </w:pPr>
    </w:p>
    <w:p w:rsidR="00094ADF" w:rsidRDefault="00094ADF" w:rsidP="00094ADF">
      <w:pPr>
        <w:spacing w:line="360" w:lineRule="auto"/>
        <w:ind w:right="-93"/>
        <w:jc w:val="both"/>
      </w:pPr>
      <w:r w:rsidRPr="00F012DF">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00EC5523" wp14:editId="058ACE8D">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094ADF" w:rsidRPr="00DA1AD1" w:rsidRDefault="00094ADF" w:rsidP="00094ADF">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094ADF" w:rsidRDefault="00094ADF" w:rsidP="00094ADF">
                            <w:pPr>
                              <w:jc w:val="center"/>
                              <w:rPr>
                                <w:rFonts w:ascii="Palatino Linotype" w:hAnsi="Palatino Linotype"/>
                                <w:b/>
                                <w:sz w:val="22"/>
                                <w:szCs w:val="24"/>
                              </w:rPr>
                            </w:pPr>
                            <w:r w:rsidRPr="00DA1AD1">
                              <w:rPr>
                                <w:rFonts w:ascii="Palatino Linotype" w:hAnsi="Palatino Linotype"/>
                                <w:b/>
                                <w:sz w:val="22"/>
                                <w:szCs w:val="24"/>
                              </w:rPr>
                              <w:t>(Rúbrica)</w:t>
                            </w:r>
                          </w:p>
                          <w:p w:rsidR="00094ADF" w:rsidRDefault="00094ADF" w:rsidP="00094ADF">
                            <w:pPr>
                              <w:jc w:val="center"/>
                              <w:rPr>
                                <w:rFonts w:ascii="Palatino Linotype" w:hAnsi="Palatino Linotype"/>
                                <w:b/>
                                <w:sz w:val="22"/>
                                <w:szCs w:val="24"/>
                              </w:rPr>
                            </w:pPr>
                          </w:p>
                          <w:p w:rsidR="00094ADF" w:rsidRPr="00DA1AD1" w:rsidRDefault="00094ADF" w:rsidP="00094ADF">
                            <w:pPr>
                              <w:jc w:val="center"/>
                              <w:rPr>
                                <w:rFonts w:ascii="Palatino Linotype" w:hAnsi="Palatino Linotype"/>
                                <w:b/>
                                <w:sz w:val="22"/>
                                <w:szCs w:val="24"/>
                              </w:rPr>
                            </w:pPr>
                          </w:p>
                          <w:p w:rsidR="00094ADF" w:rsidRPr="00DA1AD1" w:rsidRDefault="00094ADF" w:rsidP="00094ADF">
                            <w:pPr>
                              <w:jc w:val="center"/>
                              <w:rPr>
                                <w:rFonts w:ascii="Palatino Linotype" w:hAnsi="Palatino Linotype"/>
                                <w:sz w:val="22"/>
                                <w:szCs w:val="24"/>
                              </w:rPr>
                            </w:pPr>
                          </w:p>
                          <w:p w:rsidR="00094ADF" w:rsidRPr="00EF2FC0" w:rsidRDefault="00094ADF" w:rsidP="00094ADF">
                            <w:pPr>
                              <w:jc w:val="center"/>
                              <w:rPr>
                                <w:rFonts w:ascii="Palatino Linotype" w:hAnsi="Palatino Linotype"/>
                                <w:sz w:val="24"/>
                                <w:szCs w:val="24"/>
                              </w:rPr>
                            </w:pPr>
                          </w:p>
                          <w:p w:rsidR="00094ADF" w:rsidRDefault="00094ADF" w:rsidP="00094AD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EC5523" id="Cuadro de texto 24" o:spid="_x0000_s1031" type="#_x0000_t202" style="position:absolute;left:0;text-align:left;margin-left:180.7pt;margin-top:.8pt;width:248.25pt;height:5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rsidR="00094ADF" w:rsidRPr="00DA1AD1" w:rsidRDefault="00094ADF" w:rsidP="00094ADF">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rsidR="00094ADF" w:rsidRPr="00DA1AD1" w:rsidRDefault="00094ADF" w:rsidP="00094ADF">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rsidR="00094ADF" w:rsidRDefault="00094ADF" w:rsidP="00094ADF">
                      <w:pPr>
                        <w:jc w:val="center"/>
                        <w:rPr>
                          <w:rFonts w:ascii="Palatino Linotype" w:hAnsi="Palatino Linotype"/>
                          <w:b/>
                          <w:sz w:val="22"/>
                          <w:szCs w:val="24"/>
                        </w:rPr>
                      </w:pPr>
                      <w:r w:rsidRPr="00DA1AD1">
                        <w:rPr>
                          <w:rFonts w:ascii="Palatino Linotype" w:hAnsi="Palatino Linotype"/>
                          <w:b/>
                          <w:sz w:val="22"/>
                          <w:szCs w:val="24"/>
                        </w:rPr>
                        <w:t>(Rúbrica)</w:t>
                      </w:r>
                    </w:p>
                    <w:p w:rsidR="00094ADF" w:rsidRDefault="00094ADF" w:rsidP="00094ADF">
                      <w:pPr>
                        <w:jc w:val="center"/>
                        <w:rPr>
                          <w:rFonts w:ascii="Palatino Linotype" w:hAnsi="Palatino Linotype"/>
                          <w:b/>
                          <w:sz w:val="22"/>
                          <w:szCs w:val="24"/>
                        </w:rPr>
                      </w:pPr>
                    </w:p>
                    <w:p w:rsidR="00094ADF" w:rsidRPr="00DA1AD1" w:rsidRDefault="00094ADF" w:rsidP="00094ADF">
                      <w:pPr>
                        <w:jc w:val="center"/>
                        <w:rPr>
                          <w:rFonts w:ascii="Palatino Linotype" w:hAnsi="Palatino Linotype"/>
                          <w:b/>
                          <w:sz w:val="22"/>
                          <w:szCs w:val="24"/>
                        </w:rPr>
                      </w:pPr>
                    </w:p>
                    <w:p w:rsidR="00094ADF" w:rsidRPr="00DA1AD1" w:rsidRDefault="00094ADF" w:rsidP="00094ADF">
                      <w:pPr>
                        <w:jc w:val="center"/>
                        <w:rPr>
                          <w:rFonts w:ascii="Palatino Linotype" w:hAnsi="Palatino Linotype"/>
                          <w:sz w:val="22"/>
                          <w:szCs w:val="24"/>
                        </w:rPr>
                      </w:pPr>
                    </w:p>
                    <w:p w:rsidR="00094ADF" w:rsidRPr="00EF2FC0" w:rsidRDefault="00094ADF" w:rsidP="00094ADF">
                      <w:pPr>
                        <w:jc w:val="center"/>
                        <w:rPr>
                          <w:rFonts w:ascii="Palatino Linotype" w:hAnsi="Palatino Linotype"/>
                          <w:sz w:val="24"/>
                          <w:szCs w:val="24"/>
                        </w:rPr>
                      </w:pPr>
                    </w:p>
                    <w:p w:rsidR="00094ADF" w:rsidRDefault="00094ADF" w:rsidP="00094ADF"/>
                  </w:txbxContent>
                </v:textbox>
                <w10:wrap anchorx="page"/>
              </v:shape>
            </w:pict>
          </mc:Fallback>
        </mc:AlternateContent>
      </w:r>
    </w:p>
    <w:p w:rsidR="00094ADF" w:rsidRDefault="00094ADF" w:rsidP="002C33B2">
      <w:pPr>
        <w:tabs>
          <w:tab w:val="left" w:pos="8931"/>
        </w:tabs>
        <w:spacing w:line="360" w:lineRule="auto"/>
        <w:ind w:right="-93"/>
        <w:contextualSpacing/>
        <w:jc w:val="both"/>
        <w:rPr>
          <w:rFonts w:ascii="Palatino Linotype" w:eastAsia="Calibri" w:hAnsi="Palatino Linotype" w:cs="Arial"/>
          <w:sz w:val="22"/>
          <w:szCs w:val="22"/>
          <w:lang w:eastAsia="en-US"/>
        </w:rPr>
      </w:pPr>
    </w:p>
    <w:p w:rsidR="00094ADF" w:rsidRDefault="00094ADF" w:rsidP="002C33B2">
      <w:pPr>
        <w:tabs>
          <w:tab w:val="left" w:pos="8931"/>
        </w:tabs>
        <w:spacing w:line="360" w:lineRule="auto"/>
        <w:ind w:right="-93"/>
        <w:contextualSpacing/>
        <w:jc w:val="both"/>
        <w:rPr>
          <w:rFonts w:ascii="Palatino Linotype" w:eastAsia="Calibri" w:hAnsi="Palatino Linotype" w:cs="Arial"/>
          <w:sz w:val="22"/>
          <w:szCs w:val="22"/>
          <w:lang w:eastAsia="en-US"/>
        </w:rPr>
      </w:pPr>
    </w:p>
    <w:p w:rsidR="002C33B2" w:rsidRPr="002E1218" w:rsidRDefault="002C33B2" w:rsidP="00094ADF">
      <w:pPr>
        <w:tabs>
          <w:tab w:val="left" w:pos="8931"/>
        </w:tabs>
        <w:spacing w:line="360" w:lineRule="auto"/>
        <w:ind w:right="-93"/>
        <w:contextualSpacing/>
        <w:jc w:val="both"/>
        <w:rPr>
          <w:rFonts w:ascii="Palatino Linotype" w:eastAsia="Calibri" w:hAnsi="Palatino Linotype" w:cs="Tahoma"/>
          <w:b/>
          <w:bCs/>
          <w:sz w:val="22"/>
          <w:szCs w:val="22"/>
          <w:lang w:eastAsia="en-US"/>
        </w:rPr>
      </w:pPr>
      <w:r w:rsidRPr="00F0768B">
        <w:rPr>
          <w:rFonts w:ascii="Palatino Linotype" w:eastAsia="Calibri" w:hAnsi="Palatino Linotype" w:cs="Arial"/>
          <w:sz w:val="22"/>
          <w:szCs w:val="22"/>
          <w:lang w:eastAsia="en-US"/>
        </w:rPr>
        <w:t xml:space="preserve">Esta foja corresponde a la resolución de cuatro de septiembre de dos mil diecinueve, emitida en el Recurso de Revisión número </w:t>
      </w:r>
      <w:r w:rsidR="007718EE">
        <w:rPr>
          <w:rFonts w:ascii="Palatino Linotype" w:eastAsia="Calibri" w:hAnsi="Palatino Linotype" w:cs="Tahoma"/>
          <w:b/>
          <w:bCs/>
          <w:sz w:val="22"/>
          <w:szCs w:val="22"/>
          <w:lang w:eastAsia="en-US"/>
        </w:rPr>
        <w:t>05526</w:t>
      </w:r>
      <w:r w:rsidRPr="00F0768B">
        <w:rPr>
          <w:rFonts w:ascii="Palatino Linotype" w:eastAsia="Calibri" w:hAnsi="Palatino Linotype" w:cs="Tahoma"/>
          <w:b/>
          <w:bCs/>
          <w:sz w:val="22"/>
          <w:szCs w:val="22"/>
          <w:lang w:eastAsia="en-US"/>
        </w:rPr>
        <w:t>/INFOEM/IP/RR/2019.</w:t>
      </w:r>
    </w:p>
    <w:sectPr w:rsidR="002C33B2" w:rsidRPr="002E1218"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24A4" w:rsidRDefault="00F224A4" w:rsidP="00B31222">
      <w:r>
        <w:separator/>
      </w:r>
    </w:p>
  </w:endnote>
  <w:endnote w:type="continuationSeparator" w:id="0">
    <w:p w:rsidR="00F224A4" w:rsidRDefault="00F224A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rsidR="00475B54" w:rsidRDefault="00475B5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7295">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7295">
              <w:rPr>
                <w:b/>
                <w:bCs/>
                <w:noProof/>
              </w:rPr>
              <w:t>50</w:t>
            </w:r>
            <w:r>
              <w:rPr>
                <w:b/>
                <w:bCs/>
                <w:sz w:val="24"/>
                <w:szCs w:val="24"/>
              </w:rPr>
              <w:fldChar w:fldCharType="end"/>
            </w:r>
          </w:p>
        </w:sdtContent>
      </w:sdt>
    </w:sdtContent>
  </w:sdt>
  <w:p w:rsidR="00475B54" w:rsidRDefault="00475B5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rsidR="00475B54" w:rsidRDefault="00475B54">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37295">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37295">
              <w:rPr>
                <w:b/>
                <w:bCs/>
                <w:noProof/>
              </w:rPr>
              <w:t>50</w:t>
            </w:r>
            <w:r>
              <w:rPr>
                <w:b/>
                <w:bCs/>
                <w:sz w:val="24"/>
                <w:szCs w:val="24"/>
              </w:rPr>
              <w:fldChar w:fldCharType="end"/>
            </w:r>
          </w:p>
        </w:sdtContent>
      </w:sdt>
    </w:sdtContent>
  </w:sdt>
  <w:p w:rsidR="00475B54" w:rsidRDefault="00475B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24A4" w:rsidRDefault="00F224A4" w:rsidP="00B31222">
      <w:r>
        <w:separator/>
      </w:r>
    </w:p>
  </w:footnote>
  <w:footnote w:type="continuationSeparator" w:id="0">
    <w:p w:rsidR="00F224A4" w:rsidRDefault="00F224A4"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475B54" w:rsidRPr="005C106F" w:rsidTr="00202DB8">
      <w:trPr>
        <w:trHeight w:val="1435"/>
      </w:trPr>
      <w:tc>
        <w:tcPr>
          <w:tcW w:w="2835" w:type="dxa"/>
          <w:shd w:val="clear" w:color="auto" w:fill="auto"/>
        </w:tcPr>
        <w:p w:rsidR="00475B54" w:rsidRPr="005C106F" w:rsidRDefault="00475B54" w:rsidP="00EF4A64">
          <w:pPr>
            <w:tabs>
              <w:tab w:val="right" w:pos="4273"/>
            </w:tabs>
            <w:rPr>
              <w:rFonts w:ascii="Garamond" w:eastAsia="Calibri" w:hAnsi="Garamond"/>
              <w:sz w:val="16"/>
              <w:szCs w:val="16"/>
              <w:lang w:eastAsia="en-US"/>
            </w:rPr>
          </w:pPr>
        </w:p>
      </w:tc>
      <w:tc>
        <w:tcPr>
          <w:tcW w:w="6733" w:type="dxa"/>
          <w:shd w:val="clear" w:color="auto" w:fill="auto"/>
        </w:tcPr>
        <w:p w:rsidR="00475B54" w:rsidRDefault="00475B54" w:rsidP="005743D2"/>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475B54" w:rsidTr="00FF46FD">
            <w:trPr>
              <w:trHeight w:val="144"/>
            </w:trPr>
            <w:tc>
              <w:tcPr>
                <w:tcW w:w="2727" w:type="dxa"/>
              </w:tcPr>
              <w:p w:rsidR="00475B54" w:rsidRPr="00FF46FD" w:rsidRDefault="00475B5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Recurso de Revisión:</w:t>
                </w:r>
              </w:p>
            </w:tc>
            <w:tc>
              <w:tcPr>
                <w:tcW w:w="3509" w:type="dxa"/>
              </w:tcPr>
              <w:p w:rsidR="00475B54" w:rsidRPr="003F25D4" w:rsidRDefault="00475B54" w:rsidP="00E43A0F">
                <w:pPr>
                  <w:tabs>
                    <w:tab w:val="right" w:pos="8838"/>
                  </w:tabs>
                  <w:ind w:left="-28" w:right="171"/>
                  <w:jc w:val="both"/>
                  <w:rPr>
                    <w:rFonts w:ascii="Palatino Linotype" w:eastAsia="Calibri" w:hAnsi="Palatino Linotype" w:cs="Tahoma"/>
                    <w:b/>
                    <w:bCs/>
                    <w:sz w:val="24"/>
                    <w:szCs w:val="24"/>
                    <w:lang w:eastAsia="en-US"/>
                  </w:rPr>
                </w:pPr>
                <w:r w:rsidRPr="00924F21">
                  <w:rPr>
                    <w:rFonts w:ascii="Palatino Linotype" w:eastAsia="Calibri" w:hAnsi="Palatino Linotype" w:cs="Tahoma"/>
                    <w:b/>
                    <w:bCs/>
                    <w:sz w:val="24"/>
                    <w:szCs w:val="24"/>
                    <w:lang w:eastAsia="en-US"/>
                  </w:rPr>
                  <w:t>05526/INFOEM/IP/RR/2019</w:t>
                </w:r>
              </w:p>
            </w:tc>
          </w:tr>
          <w:tr w:rsidR="00475B54" w:rsidTr="00FF46FD">
            <w:trPr>
              <w:trHeight w:val="283"/>
            </w:trPr>
            <w:tc>
              <w:tcPr>
                <w:tcW w:w="2727" w:type="dxa"/>
              </w:tcPr>
              <w:p w:rsidR="00475B54" w:rsidRPr="00FF46FD" w:rsidRDefault="00475B5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Sujeto Obligado:</w:t>
                </w:r>
              </w:p>
            </w:tc>
            <w:tc>
              <w:tcPr>
                <w:tcW w:w="3509" w:type="dxa"/>
              </w:tcPr>
              <w:p w:rsidR="00475B54" w:rsidRPr="00FF46FD" w:rsidRDefault="00475B54" w:rsidP="00E43A0F">
                <w:pPr>
                  <w:tabs>
                    <w:tab w:val="left" w:pos="2834"/>
                    <w:tab w:val="right" w:pos="8838"/>
                  </w:tabs>
                  <w:ind w:right="171"/>
                  <w:jc w:val="both"/>
                  <w:rPr>
                    <w:rFonts w:ascii="Palatino Linotype" w:eastAsia="Calibri" w:hAnsi="Palatino Linotype" w:cs="Tahoma"/>
                    <w:b/>
                    <w:sz w:val="24"/>
                    <w:szCs w:val="24"/>
                    <w:lang w:eastAsia="en-US"/>
                  </w:rPr>
                </w:pPr>
                <w:r w:rsidRPr="00924F21">
                  <w:rPr>
                    <w:rFonts w:ascii="Palatino Linotype" w:eastAsia="Calibri" w:hAnsi="Palatino Linotype" w:cs="Tahoma"/>
                    <w:sz w:val="24"/>
                    <w:szCs w:val="24"/>
                    <w:lang w:eastAsia="en-US"/>
                  </w:rPr>
                  <w:t>Ayuntamiento de Papalotla</w:t>
                </w:r>
              </w:p>
            </w:tc>
          </w:tr>
          <w:tr w:rsidR="00475B54" w:rsidTr="00FF46FD">
            <w:trPr>
              <w:trHeight w:val="283"/>
            </w:trPr>
            <w:tc>
              <w:tcPr>
                <w:tcW w:w="2727" w:type="dxa"/>
              </w:tcPr>
              <w:p w:rsidR="00475B54" w:rsidRPr="00FF46FD" w:rsidRDefault="00475B54" w:rsidP="00E43A0F">
                <w:pPr>
                  <w:tabs>
                    <w:tab w:val="right" w:pos="8838"/>
                  </w:tabs>
                  <w:ind w:right="-105"/>
                  <w:rPr>
                    <w:rFonts w:ascii="Palatino Linotype" w:eastAsia="Calibri" w:hAnsi="Palatino Linotype" w:cs="Tahoma"/>
                    <w:b/>
                    <w:sz w:val="24"/>
                    <w:szCs w:val="24"/>
                    <w:lang w:eastAsia="en-US"/>
                  </w:rPr>
                </w:pPr>
                <w:r w:rsidRPr="00FF46FD">
                  <w:rPr>
                    <w:rFonts w:ascii="Palatino Linotype" w:eastAsia="Calibri" w:hAnsi="Palatino Linotype" w:cs="Tahoma"/>
                    <w:b/>
                    <w:sz w:val="24"/>
                    <w:szCs w:val="24"/>
                    <w:lang w:eastAsia="en-US"/>
                  </w:rPr>
                  <w:t>Comisionado Ponente:</w:t>
                </w:r>
              </w:p>
            </w:tc>
            <w:tc>
              <w:tcPr>
                <w:tcW w:w="3509" w:type="dxa"/>
              </w:tcPr>
              <w:p w:rsidR="00475B54" w:rsidRPr="00FF46FD" w:rsidRDefault="00475B54" w:rsidP="00E43A0F">
                <w:pPr>
                  <w:tabs>
                    <w:tab w:val="right" w:pos="8838"/>
                  </w:tabs>
                  <w:ind w:right="171"/>
                  <w:jc w:val="both"/>
                  <w:rPr>
                    <w:rFonts w:ascii="Palatino Linotype" w:eastAsia="Calibri" w:hAnsi="Palatino Linotype" w:cs="Tahoma"/>
                    <w:b/>
                    <w:sz w:val="24"/>
                    <w:szCs w:val="24"/>
                    <w:lang w:eastAsia="en-US"/>
                  </w:rPr>
                </w:pPr>
                <w:r w:rsidRPr="00FF46FD">
                  <w:rPr>
                    <w:rFonts w:ascii="Palatino Linotype" w:eastAsia="Calibri" w:hAnsi="Palatino Linotype" w:cs="Tahoma"/>
                    <w:sz w:val="24"/>
                    <w:szCs w:val="24"/>
                    <w:lang w:eastAsia="en-US"/>
                  </w:rPr>
                  <w:t>Luis Gustavo Parra Noriega</w:t>
                </w:r>
              </w:p>
            </w:tc>
          </w:tr>
        </w:tbl>
        <w:p w:rsidR="00475B54" w:rsidRPr="005C106F" w:rsidRDefault="00475B54" w:rsidP="005743D2">
          <w:pPr>
            <w:tabs>
              <w:tab w:val="right" w:pos="8838"/>
            </w:tabs>
            <w:ind w:left="-28"/>
            <w:jc w:val="both"/>
            <w:rPr>
              <w:rFonts w:ascii="Arial" w:eastAsia="Calibri" w:hAnsi="Arial" w:cs="Arial"/>
              <w:b/>
              <w:sz w:val="22"/>
              <w:szCs w:val="22"/>
              <w:lang w:eastAsia="en-US"/>
            </w:rPr>
          </w:pPr>
        </w:p>
      </w:tc>
    </w:tr>
  </w:tbl>
  <w:p w:rsidR="00475B54" w:rsidRPr="00443C6B" w:rsidRDefault="00475B54"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Ind w:w="567" w:type="dxa"/>
      <w:tblLayout w:type="fixed"/>
      <w:tblLook w:val="04A0" w:firstRow="1" w:lastRow="0" w:firstColumn="1" w:lastColumn="0" w:noHBand="0" w:noVBand="1"/>
    </w:tblPr>
    <w:tblGrid>
      <w:gridCol w:w="2835"/>
      <w:gridCol w:w="6733"/>
    </w:tblGrid>
    <w:tr w:rsidR="00475B54" w:rsidRPr="00330DA7" w:rsidTr="00094ADF">
      <w:trPr>
        <w:trHeight w:val="1435"/>
      </w:trPr>
      <w:tc>
        <w:tcPr>
          <w:tcW w:w="2835" w:type="dxa"/>
          <w:shd w:val="clear" w:color="auto" w:fill="auto"/>
        </w:tcPr>
        <w:p w:rsidR="00475B54" w:rsidRPr="00330DA7" w:rsidRDefault="00475B54" w:rsidP="00DB7E5F">
          <w:pPr>
            <w:tabs>
              <w:tab w:val="right" w:pos="4273"/>
            </w:tabs>
            <w:rPr>
              <w:rFonts w:ascii="Garamond" w:eastAsia="Calibri" w:hAnsi="Garamond"/>
              <w:sz w:val="22"/>
              <w:szCs w:val="22"/>
              <w:lang w:eastAsia="en-US"/>
            </w:rPr>
          </w:pPr>
        </w:p>
      </w:tc>
      <w:tc>
        <w:tcPr>
          <w:tcW w:w="6733"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75B54" w:rsidRPr="00330DA7" w:rsidTr="001171BD">
            <w:trPr>
              <w:trHeight w:val="144"/>
            </w:trPr>
            <w:tc>
              <w:tcPr>
                <w:tcW w:w="2727" w:type="dxa"/>
              </w:tcPr>
              <w:p w:rsidR="00475B54" w:rsidRPr="00330DA7" w:rsidRDefault="00475B54"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Recurso de Revisión:</w:t>
                </w:r>
              </w:p>
            </w:tc>
            <w:tc>
              <w:tcPr>
                <w:tcW w:w="3402" w:type="dxa"/>
              </w:tcPr>
              <w:p w:rsidR="00475B54" w:rsidRPr="00AB7760" w:rsidRDefault="00475B54" w:rsidP="00614619">
                <w:pPr>
                  <w:tabs>
                    <w:tab w:val="right" w:pos="8838"/>
                  </w:tabs>
                  <w:ind w:left="-74" w:right="-105"/>
                  <w:jc w:val="both"/>
                  <w:rPr>
                    <w:rFonts w:ascii="Palatino Linotype" w:eastAsia="Calibri" w:hAnsi="Palatino Linotype" w:cs="Tahoma"/>
                    <w:b/>
                    <w:bCs/>
                    <w:sz w:val="22"/>
                    <w:szCs w:val="22"/>
                    <w:lang w:eastAsia="en-US"/>
                  </w:rPr>
                </w:pPr>
                <w:r w:rsidRPr="005723F0">
                  <w:rPr>
                    <w:rFonts w:ascii="Palatino Linotype" w:eastAsia="Calibri" w:hAnsi="Palatino Linotype" w:cs="Tahoma"/>
                    <w:b/>
                    <w:bCs/>
                    <w:sz w:val="22"/>
                    <w:szCs w:val="22"/>
                    <w:lang w:eastAsia="en-US"/>
                  </w:rPr>
                  <w:t>05526/INFOEM/IP/RR/2019</w:t>
                </w:r>
              </w:p>
            </w:tc>
          </w:tr>
          <w:tr w:rsidR="00475B54" w:rsidRPr="00330DA7" w:rsidTr="001171BD">
            <w:trPr>
              <w:trHeight w:val="144"/>
            </w:trPr>
            <w:tc>
              <w:tcPr>
                <w:tcW w:w="2727" w:type="dxa"/>
              </w:tcPr>
              <w:p w:rsidR="00475B54" w:rsidRPr="00330DA7" w:rsidRDefault="00475B54" w:rsidP="00844CB5">
                <w:pPr>
                  <w:tabs>
                    <w:tab w:val="right" w:pos="8838"/>
                  </w:tabs>
                  <w:ind w:left="-74" w:right="-105"/>
                  <w:rPr>
                    <w:rFonts w:ascii="Palatino Linotype" w:eastAsia="Calibri" w:hAnsi="Palatino Linotype" w:cs="Tahoma"/>
                    <w:b/>
                    <w:sz w:val="22"/>
                    <w:szCs w:val="22"/>
                    <w:lang w:eastAsia="en-US"/>
                  </w:rPr>
                </w:pPr>
                <w:bookmarkStart w:id="1" w:name="_Hlk17202680"/>
                <w:r w:rsidRPr="00330DA7">
                  <w:rPr>
                    <w:rFonts w:ascii="Palatino Linotype" w:eastAsia="Calibri" w:hAnsi="Palatino Linotype" w:cs="Tahoma"/>
                    <w:b/>
                    <w:sz w:val="22"/>
                    <w:szCs w:val="22"/>
                    <w:lang w:eastAsia="en-US"/>
                  </w:rPr>
                  <w:t>Recurrente:</w:t>
                </w:r>
              </w:p>
            </w:tc>
            <w:tc>
              <w:tcPr>
                <w:tcW w:w="3402" w:type="dxa"/>
              </w:tcPr>
              <w:p w:rsidR="00475B54" w:rsidRPr="00330DA7" w:rsidRDefault="00737295" w:rsidP="00614619">
                <w:pPr>
                  <w:tabs>
                    <w:tab w:val="left" w:pos="3122"/>
                    <w:tab w:val="right" w:pos="8838"/>
                  </w:tabs>
                  <w:ind w:left="-74" w:right="-105"/>
                  <w:jc w:val="both"/>
                  <w:rPr>
                    <w:rFonts w:ascii="Palatino Linotype" w:eastAsia="Calibri" w:hAnsi="Palatino Linotype" w:cs="Tahoma"/>
                    <w:sz w:val="22"/>
                    <w:szCs w:val="22"/>
                    <w:lang w:eastAsia="en-US"/>
                  </w:rPr>
                </w:pPr>
                <w:r w:rsidRPr="00737295">
                  <w:rPr>
                    <w:rFonts w:ascii="Palatino Linotype" w:eastAsia="Calibri" w:hAnsi="Palatino Linotype" w:cs="Tahoma"/>
                    <w:sz w:val="22"/>
                    <w:szCs w:val="22"/>
                    <w:highlight w:val="black"/>
                    <w:lang w:eastAsia="en-US"/>
                  </w:rPr>
                  <w:t>XXXXXXXXXXXXXX</w:t>
                </w:r>
              </w:p>
            </w:tc>
          </w:tr>
          <w:bookmarkEnd w:id="1"/>
          <w:tr w:rsidR="00475B54" w:rsidRPr="00330DA7" w:rsidTr="001171BD">
            <w:trPr>
              <w:trHeight w:val="283"/>
            </w:trPr>
            <w:tc>
              <w:tcPr>
                <w:tcW w:w="2727" w:type="dxa"/>
              </w:tcPr>
              <w:p w:rsidR="00475B54" w:rsidRPr="00330DA7" w:rsidRDefault="00475B54"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rsidR="00475B54" w:rsidRPr="00330DA7" w:rsidRDefault="00475B54" w:rsidP="00924B6C">
                <w:pPr>
                  <w:tabs>
                    <w:tab w:val="left" w:pos="2834"/>
                    <w:tab w:val="right" w:pos="8838"/>
                  </w:tabs>
                  <w:ind w:left="-74" w:right="-105"/>
                  <w:jc w:val="both"/>
                  <w:rPr>
                    <w:rFonts w:ascii="Palatino Linotype" w:eastAsia="Calibri" w:hAnsi="Palatino Linotype" w:cs="Tahoma"/>
                    <w:b/>
                    <w:sz w:val="22"/>
                    <w:szCs w:val="22"/>
                    <w:lang w:eastAsia="en-US"/>
                  </w:rPr>
                </w:pPr>
                <w:r w:rsidRPr="005723F0">
                  <w:rPr>
                    <w:rFonts w:ascii="Palatino Linotype" w:eastAsia="Calibri" w:hAnsi="Palatino Linotype" w:cs="Tahoma"/>
                    <w:sz w:val="22"/>
                    <w:szCs w:val="22"/>
                    <w:lang w:eastAsia="en-US"/>
                  </w:rPr>
                  <w:t>Ayuntamiento de Papalotla</w:t>
                </w:r>
              </w:p>
            </w:tc>
          </w:tr>
          <w:tr w:rsidR="00475B54" w:rsidRPr="00330DA7" w:rsidTr="001171BD">
            <w:trPr>
              <w:trHeight w:val="283"/>
            </w:trPr>
            <w:tc>
              <w:tcPr>
                <w:tcW w:w="2727" w:type="dxa"/>
              </w:tcPr>
              <w:p w:rsidR="00475B54" w:rsidRPr="00330DA7" w:rsidRDefault="00475B54"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rsidR="00475B54" w:rsidRPr="00330DA7" w:rsidRDefault="00475B54" w:rsidP="00844CB5">
                <w:pPr>
                  <w:tabs>
                    <w:tab w:val="right" w:pos="8838"/>
                  </w:tabs>
                  <w:ind w:left="-74" w:right="-105"/>
                  <w:jc w:val="both"/>
                  <w:rPr>
                    <w:rFonts w:ascii="Palatino Linotype" w:eastAsia="Calibri" w:hAnsi="Palatino Linotype" w:cs="Tahoma"/>
                    <w:b/>
                    <w:sz w:val="22"/>
                    <w:szCs w:val="22"/>
                    <w:lang w:eastAsia="en-US"/>
                  </w:rPr>
                </w:pPr>
                <w:r w:rsidRPr="00330DA7">
                  <w:rPr>
                    <w:rFonts w:ascii="Palatino Linotype" w:eastAsia="Calibri" w:hAnsi="Palatino Linotype" w:cs="Tahoma"/>
                    <w:sz w:val="22"/>
                    <w:szCs w:val="22"/>
                    <w:lang w:eastAsia="en-US"/>
                  </w:rPr>
                  <w:t>Luis Gustavo Parra Noriega</w:t>
                </w:r>
              </w:p>
            </w:tc>
          </w:tr>
        </w:tbl>
        <w:p w:rsidR="00475B54" w:rsidRPr="00330DA7" w:rsidRDefault="00475B54" w:rsidP="00DB7E5F">
          <w:pPr>
            <w:tabs>
              <w:tab w:val="right" w:pos="8838"/>
            </w:tabs>
            <w:ind w:left="-28"/>
            <w:jc w:val="both"/>
            <w:rPr>
              <w:rFonts w:ascii="Arial" w:eastAsia="Calibri" w:hAnsi="Arial" w:cs="Arial"/>
              <w:b/>
              <w:sz w:val="22"/>
              <w:szCs w:val="22"/>
              <w:lang w:eastAsia="en-US"/>
            </w:rPr>
          </w:pPr>
        </w:p>
      </w:tc>
    </w:tr>
  </w:tbl>
  <w:p w:rsidR="00475B54" w:rsidRPr="00330DA7" w:rsidRDefault="00475B54"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7B0112"/>
    <w:multiLevelType w:val="hybridMultilevel"/>
    <w:tmpl w:val="5F8867C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616C2F"/>
    <w:multiLevelType w:val="hybridMultilevel"/>
    <w:tmpl w:val="0FDE35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E21B8E"/>
    <w:multiLevelType w:val="hybridMultilevel"/>
    <w:tmpl w:val="5AA609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28E5AB5"/>
    <w:multiLevelType w:val="hybridMultilevel"/>
    <w:tmpl w:val="5F8867C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7273FB7"/>
    <w:multiLevelType w:val="hybridMultilevel"/>
    <w:tmpl w:val="292246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7C008C8"/>
    <w:multiLevelType w:val="hybridMultilevel"/>
    <w:tmpl w:val="5F8867C2"/>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9EA5811"/>
    <w:multiLevelType w:val="hybridMultilevel"/>
    <w:tmpl w:val="FEAA4F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1"/>
  </w:num>
  <w:num w:numId="4">
    <w:abstractNumId w:val="7"/>
  </w:num>
  <w:num w:numId="5">
    <w:abstractNumId w:val="1"/>
  </w:num>
  <w:num w:numId="6">
    <w:abstractNumId w:val="6"/>
  </w:num>
  <w:num w:numId="7">
    <w:abstractNumId w:val="4"/>
  </w:num>
  <w:num w:numId="8">
    <w:abstractNumId w:val="10"/>
  </w:num>
  <w:num w:numId="9">
    <w:abstractNumId w:val="9"/>
  </w:num>
  <w:num w:numId="10">
    <w:abstractNumId w:val="12"/>
  </w:num>
  <w:num w:numId="11">
    <w:abstractNumId w:val="2"/>
  </w:num>
  <w:num w:numId="12">
    <w:abstractNumId w:val="3"/>
  </w:num>
  <w:num w:numId="13">
    <w:abstractNumId w:val="3"/>
  </w:num>
  <w:num w:numId="14">
    <w:abstractNumId w:val="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339F"/>
    <w:rsid w:val="0000485A"/>
    <w:rsid w:val="00006543"/>
    <w:rsid w:val="00013A19"/>
    <w:rsid w:val="00014465"/>
    <w:rsid w:val="00017858"/>
    <w:rsid w:val="00017D26"/>
    <w:rsid w:val="00020818"/>
    <w:rsid w:val="000212E5"/>
    <w:rsid w:val="00021C64"/>
    <w:rsid w:val="000241C5"/>
    <w:rsid w:val="00024D74"/>
    <w:rsid w:val="00025F5D"/>
    <w:rsid w:val="000313A7"/>
    <w:rsid w:val="00032F5B"/>
    <w:rsid w:val="00033086"/>
    <w:rsid w:val="00034E9D"/>
    <w:rsid w:val="00035F9E"/>
    <w:rsid w:val="000373BC"/>
    <w:rsid w:val="000378BC"/>
    <w:rsid w:val="00037B34"/>
    <w:rsid w:val="00037F4B"/>
    <w:rsid w:val="000415F1"/>
    <w:rsid w:val="00043C4B"/>
    <w:rsid w:val="00045736"/>
    <w:rsid w:val="0004646B"/>
    <w:rsid w:val="0004735D"/>
    <w:rsid w:val="000528E6"/>
    <w:rsid w:val="00057250"/>
    <w:rsid w:val="0006017B"/>
    <w:rsid w:val="000620E1"/>
    <w:rsid w:val="00064855"/>
    <w:rsid w:val="00071A4A"/>
    <w:rsid w:val="000758B2"/>
    <w:rsid w:val="000813B0"/>
    <w:rsid w:val="0008148B"/>
    <w:rsid w:val="00092475"/>
    <w:rsid w:val="00094ADF"/>
    <w:rsid w:val="00097211"/>
    <w:rsid w:val="000A0518"/>
    <w:rsid w:val="000A0861"/>
    <w:rsid w:val="000A20A4"/>
    <w:rsid w:val="000A5058"/>
    <w:rsid w:val="000A7211"/>
    <w:rsid w:val="000B1D37"/>
    <w:rsid w:val="000B2C93"/>
    <w:rsid w:val="000B36DD"/>
    <w:rsid w:val="000B5711"/>
    <w:rsid w:val="000B6020"/>
    <w:rsid w:val="000C2283"/>
    <w:rsid w:val="000C27CA"/>
    <w:rsid w:val="000C59CB"/>
    <w:rsid w:val="000D0B08"/>
    <w:rsid w:val="000D1DDF"/>
    <w:rsid w:val="000D2A27"/>
    <w:rsid w:val="000D62EF"/>
    <w:rsid w:val="000E0BEA"/>
    <w:rsid w:val="000F0C92"/>
    <w:rsid w:val="000F24C8"/>
    <w:rsid w:val="000F2EBF"/>
    <w:rsid w:val="000F3DA0"/>
    <w:rsid w:val="000F4183"/>
    <w:rsid w:val="000F4876"/>
    <w:rsid w:val="000F555D"/>
    <w:rsid w:val="000F6834"/>
    <w:rsid w:val="000F76AB"/>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21B8"/>
    <w:rsid w:val="0012500E"/>
    <w:rsid w:val="00127757"/>
    <w:rsid w:val="001279BF"/>
    <w:rsid w:val="00132A80"/>
    <w:rsid w:val="00132F95"/>
    <w:rsid w:val="00134409"/>
    <w:rsid w:val="0013647C"/>
    <w:rsid w:val="0013791C"/>
    <w:rsid w:val="00137B8F"/>
    <w:rsid w:val="001412B6"/>
    <w:rsid w:val="00141895"/>
    <w:rsid w:val="0014307A"/>
    <w:rsid w:val="00144D0B"/>
    <w:rsid w:val="00147566"/>
    <w:rsid w:val="00147666"/>
    <w:rsid w:val="00147887"/>
    <w:rsid w:val="00150E21"/>
    <w:rsid w:val="00151053"/>
    <w:rsid w:val="00151FBB"/>
    <w:rsid w:val="0015381E"/>
    <w:rsid w:val="00155F96"/>
    <w:rsid w:val="00156408"/>
    <w:rsid w:val="00156A6B"/>
    <w:rsid w:val="00161DF9"/>
    <w:rsid w:val="00162383"/>
    <w:rsid w:val="00162CCE"/>
    <w:rsid w:val="001630C6"/>
    <w:rsid w:val="00163387"/>
    <w:rsid w:val="00165891"/>
    <w:rsid w:val="00170545"/>
    <w:rsid w:val="00171ADD"/>
    <w:rsid w:val="00173E8F"/>
    <w:rsid w:val="0017459B"/>
    <w:rsid w:val="00175CEB"/>
    <w:rsid w:val="00176367"/>
    <w:rsid w:val="00177532"/>
    <w:rsid w:val="00180DE9"/>
    <w:rsid w:val="001821D9"/>
    <w:rsid w:val="00182D6C"/>
    <w:rsid w:val="00182DCE"/>
    <w:rsid w:val="00182F0F"/>
    <w:rsid w:val="00183D24"/>
    <w:rsid w:val="001851A6"/>
    <w:rsid w:val="001875A7"/>
    <w:rsid w:val="001879E1"/>
    <w:rsid w:val="001911B2"/>
    <w:rsid w:val="0019389B"/>
    <w:rsid w:val="00196522"/>
    <w:rsid w:val="001A1B94"/>
    <w:rsid w:val="001A22F5"/>
    <w:rsid w:val="001A4B83"/>
    <w:rsid w:val="001A7FD2"/>
    <w:rsid w:val="001B107D"/>
    <w:rsid w:val="001B2CD9"/>
    <w:rsid w:val="001B38FF"/>
    <w:rsid w:val="001B58BD"/>
    <w:rsid w:val="001B62A0"/>
    <w:rsid w:val="001C17B0"/>
    <w:rsid w:val="001C282F"/>
    <w:rsid w:val="001D0086"/>
    <w:rsid w:val="001D0094"/>
    <w:rsid w:val="001D67AC"/>
    <w:rsid w:val="001D7012"/>
    <w:rsid w:val="001D7BD2"/>
    <w:rsid w:val="001E2A4D"/>
    <w:rsid w:val="001E53C2"/>
    <w:rsid w:val="001E6FC5"/>
    <w:rsid w:val="001F0E9C"/>
    <w:rsid w:val="001F0EB8"/>
    <w:rsid w:val="001F1540"/>
    <w:rsid w:val="001F652C"/>
    <w:rsid w:val="001F78D9"/>
    <w:rsid w:val="001F7FF4"/>
    <w:rsid w:val="002020FA"/>
    <w:rsid w:val="00202DB8"/>
    <w:rsid w:val="002060B4"/>
    <w:rsid w:val="00207736"/>
    <w:rsid w:val="00210546"/>
    <w:rsid w:val="00210960"/>
    <w:rsid w:val="00210A50"/>
    <w:rsid w:val="00212460"/>
    <w:rsid w:val="00215D0D"/>
    <w:rsid w:val="00217AEF"/>
    <w:rsid w:val="00221EC9"/>
    <w:rsid w:val="00222731"/>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6501"/>
    <w:rsid w:val="00247B17"/>
    <w:rsid w:val="00250389"/>
    <w:rsid w:val="00251FF7"/>
    <w:rsid w:val="00252669"/>
    <w:rsid w:val="00254209"/>
    <w:rsid w:val="00254288"/>
    <w:rsid w:val="0025469C"/>
    <w:rsid w:val="002579CE"/>
    <w:rsid w:val="00260FEC"/>
    <w:rsid w:val="00261DD6"/>
    <w:rsid w:val="002657E2"/>
    <w:rsid w:val="00271E0B"/>
    <w:rsid w:val="002727CC"/>
    <w:rsid w:val="00273679"/>
    <w:rsid w:val="00275CC4"/>
    <w:rsid w:val="0027779C"/>
    <w:rsid w:val="00281A35"/>
    <w:rsid w:val="00281AD9"/>
    <w:rsid w:val="00284486"/>
    <w:rsid w:val="00285118"/>
    <w:rsid w:val="00285644"/>
    <w:rsid w:val="0028581E"/>
    <w:rsid w:val="00287034"/>
    <w:rsid w:val="00293491"/>
    <w:rsid w:val="00295F53"/>
    <w:rsid w:val="002A0FB8"/>
    <w:rsid w:val="002A1B97"/>
    <w:rsid w:val="002A57D2"/>
    <w:rsid w:val="002A6193"/>
    <w:rsid w:val="002A66CD"/>
    <w:rsid w:val="002A7BD4"/>
    <w:rsid w:val="002A7F32"/>
    <w:rsid w:val="002B20A1"/>
    <w:rsid w:val="002B226E"/>
    <w:rsid w:val="002B46D4"/>
    <w:rsid w:val="002B4C49"/>
    <w:rsid w:val="002B54CF"/>
    <w:rsid w:val="002C06E4"/>
    <w:rsid w:val="002C1CFA"/>
    <w:rsid w:val="002C33B2"/>
    <w:rsid w:val="002C4046"/>
    <w:rsid w:val="002C458A"/>
    <w:rsid w:val="002D1BE4"/>
    <w:rsid w:val="002D1D6C"/>
    <w:rsid w:val="002D4C3D"/>
    <w:rsid w:val="002E1218"/>
    <w:rsid w:val="002E2418"/>
    <w:rsid w:val="002E5015"/>
    <w:rsid w:val="002E7ACF"/>
    <w:rsid w:val="002F0C1A"/>
    <w:rsid w:val="002F0CE9"/>
    <w:rsid w:val="002F3BD0"/>
    <w:rsid w:val="002F58D8"/>
    <w:rsid w:val="0030032A"/>
    <w:rsid w:val="00300A0B"/>
    <w:rsid w:val="00301F46"/>
    <w:rsid w:val="00303CAD"/>
    <w:rsid w:val="00303E71"/>
    <w:rsid w:val="00304E7C"/>
    <w:rsid w:val="00306418"/>
    <w:rsid w:val="003100F3"/>
    <w:rsid w:val="00310C11"/>
    <w:rsid w:val="00311D8B"/>
    <w:rsid w:val="00312456"/>
    <w:rsid w:val="003133C9"/>
    <w:rsid w:val="00316600"/>
    <w:rsid w:val="003172EC"/>
    <w:rsid w:val="0032170B"/>
    <w:rsid w:val="00323325"/>
    <w:rsid w:val="003243B0"/>
    <w:rsid w:val="00325EC0"/>
    <w:rsid w:val="00330729"/>
    <w:rsid w:val="00330DA7"/>
    <w:rsid w:val="003340EC"/>
    <w:rsid w:val="003350FF"/>
    <w:rsid w:val="0034057C"/>
    <w:rsid w:val="00350142"/>
    <w:rsid w:val="00350D3D"/>
    <w:rsid w:val="00353B6D"/>
    <w:rsid w:val="00354920"/>
    <w:rsid w:val="00355DC6"/>
    <w:rsid w:val="00357700"/>
    <w:rsid w:val="003604D7"/>
    <w:rsid w:val="00361176"/>
    <w:rsid w:val="0036164E"/>
    <w:rsid w:val="0036351E"/>
    <w:rsid w:val="00363615"/>
    <w:rsid w:val="00364521"/>
    <w:rsid w:val="00365026"/>
    <w:rsid w:val="00367F82"/>
    <w:rsid w:val="00370CB0"/>
    <w:rsid w:val="00372803"/>
    <w:rsid w:val="00373387"/>
    <w:rsid w:val="003749EC"/>
    <w:rsid w:val="003756AF"/>
    <w:rsid w:val="00375815"/>
    <w:rsid w:val="00377913"/>
    <w:rsid w:val="00380441"/>
    <w:rsid w:val="00381447"/>
    <w:rsid w:val="00382696"/>
    <w:rsid w:val="0038358D"/>
    <w:rsid w:val="0038438A"/>
    <w:rsid w:val="003864D2"/>
    <w:rsid w:val="00390249"/>
    <w:rsid w:val="00390BF8"/>
    <w:rsid w:val="0039109D"/>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71C"/>
    <w:rsid w:val="003B5AD4"/>
    <w:rsid w:val="003B5D41"/>
    <w:rsid w:val="003B5F3B"/>
    <w:rsid w:val="003B6BEF"/>
    <w:rsid w:val="003C0AFA"/>
    <w:rsid w:val="003C1B21"/>
    <w:rsid w:val="003C2181"/>
    <w:rsid w:val="003C28B8"/>
    <w:rsid w:val="003C4519"/>
    <w:rsid w:val="003C5C01"/>
    <w:rsid w:val="003C6934"/>
    <w:rsid w:val="003C7FD0"/>
    <w:rsid w:val="003D0268"/>
    <w:rsid w:val="003D1A43"/>
    <w:rsid w:val="003D1A64"/>
    <w:rsid w:val="003D465E"/>
    <w:rsid w:val="003D5FF4"/>
    <w:rsid w:val="003D624F"/>
    <w:rsid w:val="003D75E8"/>
    <w:rsid w:val="003E31E5"/>
    <w:rsid w:val="003E32ED"/>
    <w:rsid w:val="003E3A39"/>
    <w:rsid w:val="003E58C9"/>
    <w:rsid w:val="003E601D"/>
    <w:rsid w:val="003E68B5"/>
    <w:rsid w:val="003F0DFC"/>
    <w:rsid w:val="003F25D4"/>
    <w:rsid w:val="003F650B"/>
    <w:rsid w:val="004004E9"/>
    <w:rsid w:val="004052C5"/>
    <w:rsid w:val="004059FB"/>
    <w:rsid w:val="00407A93"/>
    <w:rsid w:val="004100AA"/>
    <w:rsid w:val="00410BF9"/>
    <w:rsid w:val="00410CD2"/>
    <w:rsid w:val="00412203"/>
    <w:rsid w:val="00413D32"/>
    <w:rsid w:val="00414F9B"/>
    <w:rsid w:val="0041771C"/>
    <w:rsid w:val="00417DE3"/>
    <w:rsid w:val="00420B07"/>
    <w:rsid w:val="00422869"/>
    <w:rsid w:val="00423D2F"/>
    <w:rsid w:val="00423F48"/>
    <w:rsid w:val="00426448"/>
    <w:rsid w:val="00426613"/>
    <w:rsid w:val="00427457"/>
    <w:rsid w:val="004321C5"/>
    <w:rsid w:val="0043257A"/>
    <w:rsid w:val="004339FC"/>
    <w:rsid w:val="00434202"/>
    <w:rsid w:val="00436FD3"/>
    <w:rsid w:val="004406CF"/>
    <w:rsid w:val="00441804"/>
    <w:rsid w:val="004435B4"/>
    <w:rsid w:val="0044550A"/>
    <w:rsid w:val="00447F7D"/>
    <w:rsid w:val="00453729"/>
    <w:rsid w:val="00460032"/>
    <w:rsid w:val="0046048A"/>
    <w:rsid w:val="00466346"/>
    <w:rsid w:val="0046745A"/>
    <w:rsid w:val="004702B0"/>
    <w:rsid w:val="004751D6"/>
    <w:rsid w:val="00475B54"/>
    <w:rsid w:val="00475E6B"/>
    <w:rsid w:val="00477DBA"/>
    <w:rsid w:val="00477E20"/>
    <w:rsid w:val="00480BB8"/>
    <w:rsid w:val="00481D51"/>
    <w:rsid w:val="0048519E"/>
    <w:rsid w:val="00485EC7"/>
    <w:rsid w:val="004860BD"/>
    <w:rsid w:val="00487430"/>
    <w:rsid w:val="004A0A7B"/>
    <w:rsid w:val="004A0BB0"/>
    <w:rsid w:val="004A260B"/>
    <w:rsid w:val="004A26CD"/>
    <w:rsid w:val="004A2C97"/>
    <w:rsid w:val="004A3584"/>
    <w:rsid w:val="004A466C"/>
    <w:rsid w:val="004A5121"/>
    <w:rsid w:val="004A577A"/>
    <w:rsid w:val="004A5780"/>
    <w:rsid w:val="004A6ECB"/>
    <w:rsid w:val="004A7990"/>
    <w:rsid w:val="004B1796"/>
    <w:rsid w:val="004B1DA9"/>
    <w:rsid w:val="004B591D"/>
    <w:rsid w:val="004B7542"/>
    <w:rsid w:val="004B769A"/>
    <w:rsid w:val="004B7DB2"/>
    <w:rsid w:val="004C14AC"/>
    <w:rsid w:val="004C4ACC"/>
    <w:rsid w:val="004C6F68"/>
    <w:rsid w:val="004C7E83"/>
    <w:rsid w:val="004D18F2"/>
    <w:rsid w:val="004D2B43"/>
    <w:rsid w:val="004D519A"/>
    <w:rsid w:val="004D583C"/>
    <w:rsid w:val="004D5DB3"/>
    <w:rsid w:val="004E00F8"/>
    <w:rsid w:val="004E345F"/>
    <w:rsid w:val="004E3BBA"/>
    <w:rsid w:val="004E401B"/>
    <w:rsid w:val="004E41C7"/>
    <w:rsid w:val="004E7DB7"/>
    <w:rsid w:val="004F2C69"/>
    <w:rsid w:val="004F2D88"/>
    <w:rsid w:val="004F3D21"/>
    <w:rsid w:val="004F4D5E"/>
    <w:rsid w:val="004F60EF"/>
    <w:rsid w:val="005070C3"/>
    <w:rsid w:val="0051276F"/>
    <w:rsid w:val="005130AC"/>
    <w:rsid w:val="005220BE"/>
    <w:rsid w:val="00526575"/>
    <w:rsid w:val="00533B79"/>
    <w:rsid w:val="00533FD4"/>
    <w:rsid w:val="00534258"/>
    <w:rsid w:val="00536006"/>
    <w:rsid w:val="00542D5F"/>
    <w:rsid w:val="005435DE"/>
    <w:rsid w:val="00543AD3"/>
    <w:rsid w:val="005441AD"/>
    <w:rsid w:val="00544C28"/>
    <w:rsid w:val="00546769"/>
    <w:rsid w:val="00546BAE"/>
    <w:rsid w:val="00546C4E"/>
    <w:rsid w:val="00552EBD"/>
    <w:rsid w:val="00553827"/>
    <w:rsid w:val="00555F71"/>
    <w:rsid w:val="00563BEB"/>
    <w:rsid w:val="00566849"/>
    <w:rsid w:val="00570981"/>
    <w:rsid w:val="005723F0"/>
    <w:rsid w:val="005740F6"/>
    <w:rsid w:val="005743D2"/>
    <w:rsid w:val="00575905"/>
    <w:rsid w:val="005802BD"/>
    <w:rsid w:val="00580BBC"/>
    <w:rsid w:val="00586FA8"/>
    <w:rsid w:val="00587F23"/>
    <w:rsid w:val="00591E3A"/>
    <w:rsid w:val="00593CB4"/>
    <w:rsid w:val="00593E68"/>
    <w:rsid w:val="0059433D"/>
    <w:rsid w:val="005A52AC"/>
    <w:rsid w:val="005A62BE"/>
    <w:rsid w:val="005B08E6"/>
    <w:rsid w:val="005B0D7C"/>
    <w:rsid w:val="005B0E86"/>
    <w:rsid w:val="005B5CB1"/>
    <w:rsid w:val="005B6854"/>
    <w:rsid w:val="005C1943"/>
    <w:rsid w:val="005C37A0"/>
    <w:rsid w:val="005C4034"/>
    <w:rsid w:val="005C483A"/>
    <w:rsid w:val="005C651C"/>
    <w:rsid w:val="005C656A"/>
    <w:rsid w:val="005D1427"/>
    <w:rsid w:val="005D22D3"/>
    <w:rsid w:val="005D457F"/>
    <w:rsid w:val="005D49C8"/>
    <w:rsid w:val="005D5607"/>
    <w:rsid w:val="005D6A2B"/>
    <w:rsid w:val="005D6AD9"/>
    <w:rsid w:val="005E1EE5"/>
    <w:rsid w:val="005E37E9"/>
    <w:rsid w:val="005F03DB"/>
    <w:rsid w:val="005F48F1"/>
    <w:rsid w:val="00601E59"/>
    <w:rsid w:val="00603A46"/>
    <w:rsid w:val="00606194"/>
    <w:rsid w:val="0061115C"/>
    <w:rsid w:val="00611A49"/>
    <w:rsid w:val="00613017"/>
    <w:rsid w:val="00613A54"/>
    <w:rsid w:val="00614619"/>
    <w:rsid w:val="006157C9"/>
    <w:rsid w:val="00616189"/>
    <w:rsid w:val="0062078C"/>
    <w:rsid w:val="00620E8F"/>
    <w:rsid w:val="00621760"/>
    <w:rsid w:val="006217BB"/>
    <w:rsid w:val="0062343B"/>
    <w:rsid w:val="00625BD5"/>
    <w:rsid w:val="00625DFB"/>
    <w:rsid w:val="006277B7"/>
    <w:rsid w:val="00634D1A"/>
    <w:rsid w:val="00636904"/>
    <w:rsid w:val="00637179"/>
    <w:rsid w:val="006418ED"/>
    <w:rsid w:val="00642B13"/>
    <w:rsid w:val="006431FF"/>
    <w:rsid w:val="00645F7D"/>
    <w:rsid w:val="00646100"/>
    <w:rsid w:val="006476CA"/>
    <w:rsid w:val="006552AE"/>
    <w:rsid w:val="00655773"/>
    <w:rsid w:val="006563CA"/>
    <w:rsid w:val="006578FC"/>
    <w:rsid w:val="006608AB"/>
    <w:rsid w:val="00660E66"/>
    <w:rsid w:val="006620DA"/>
    <w:rsid w:val="00664587"/>
    <w:rsid w:val="00666F25"/>
    <w:rsid w:val="00667C1C"/>
    <w:rsid w:val="0067001F"/>
    <w:rsid w:val="00670A43"/>
    <w:rsid w:val="00673DD4"/>
    <w:rsid w:val="00674AEB"/>
    <w:rsid w:val="0067655A"/>
    <w:rsid w:val="006828D8"/>
    <w:rsid w:val="0068455C"/>
    <w:rsid w:val="00684887"/>
    <w:rsid w:val="006867FA"/>
    <w:rsid w:val="00693C8E"/>
    <w:rsid w:val="006969BA"/>
    <w:rsid w:val="00697FF1"/>
    <w:rsid w:val="006A026A"/>
    <w:rsid w:val="006A0425"/>
    <w:rsid w:val="006A1D62"/>
    <w:rsid w:val="006A4EAE"/>
    <w:rsid w:val="006A56C3"/>
    <w:rsid w:val="006A6B88"/>
    <w:rsid w:val="006A6D7F"/>
    <w:rsid w:val="006B0298"/>
    <w:rsid w:val="006B0E83"/>
    <w:rsid w:val="006B5493"/>
    <w:rsid w:val="006B77E2"/>
    <w:rsid w:val="006C10C0"/>
    <w:rsid w:val="006C1B1D"/>
    <w:rsid w:val="006C32BB"/>
    <w:rsid w:val="006C3747"/>
    <w:rsid w:val="006C7760"/>
    <w:rsid w:val="006C7EEA"/>
    <w:rsid w:val="006D1C29"/>
    <w:rsid w:val="006D233A"/>
    <w:rsid w:val="006D278C"/>
    <w:rsid w:val="006D522C"/>
    <w:rsid w:val="006D56AA"/>
    <w:rsid w:val="006D7795"/>
    <w:rsid w:val="006D7ACB"/>
    <w:rsid w:val="006E00EF"/>
    <w:rsid w:val="006E06BB"/>
    <w:rsid w:val="006E1A7A"/>
    <w:rsid w:val="006E4723"/>
    <w:rsid w:val="006E716F"/>
    <w:rsid w:val="006E7DA9"/>
    <w:rsid w:val="006E7DEE"/>
    <w:rsid w:val="006F01E7"/>
    <w:rsid w:val="006F1F3A"/>
    <w:rsid w:val="006F7EB8"/>
    <w:rsid w:val="0070094A"/>
    <w:rsid w:val="00702DD7"/>
    <w:rsid w:val="007047D3"/>
    <w:rsid w:val="00705663"/>
    <w:rsid w:val="00705C40"/>
    <w:rsid w:val="0071087E"/>
    <w:rsid w:val="007147C2"/>
    <w:rsid w:val="0071508D"/>
    <w:rsid w:val="007169A8"/>
    <w:rsid w:val="00721648"/>
    <w:rsid w:val="007229A1"/>
    <w:rsid w:val="00722F18"/>
    <w:rsid w:val="007235AA"/>
    <w:rsid w:val="00725E35"/>
    <w:rsid w:val="00730D35"/>
    <w:rsid w:val="00732289"/>
    <w:rsid w:val="007343FD"/>
    <w:rsid w:val="00735915"/>
    <w:rsid w:val="00735C21"/>
    <w:rsid w:val="0073614A"/>
    <w:rsid w:val="00736FF2"/>
    <w:rsid w:val="00737295"/>
    <w:rsid w:val="00740C8C"/>
    <w:rsid w:val="00741AC4"/>
    <w:rsid w:val="00742CA5"/>
    <w:rsid w:val="00743155"/>
    <w:rsid w:val="00747181"/>
    <w:rsid w:val="007513F0"/>
    <w:rsid w:val="007515BC"/>
    <w:rsid w:val="00752606"/>
    <w:rsid w:val="0075402E"/>
    <w:rsid w:val="00756D3D"/>
    <w:rsid w:val="007573B2"/>
    <w:rsid w:val="007574BB"/>
    <w:rsid w:val="0075764C"/>
    <w:rsid w:val="00762198"/>
    <w:rsid w:val="00763CE8"/>
    <w:rsid w:val="007654E2"/>
    <w:rsid w:val="00770792"/>
    <w:rsid w:val="007718EE"/>
    <w:rsid w:val="007737B5"/>
    <w:rsid w:val="00774B5C"/>
    <w:rsid w:val="00774FFE"/>
    <w:rsid w:val="00775638"/>
    <w:rsid w:val="00775677"/>
    <w:rsid w:val="0077599A"/>
    <w:rsid w:val="00776811"/>
    <w:rsid w:val="0077724D"/>
    <w:rsid w:val="00777353"/>
    <w:rsid w:val="00780CD6"/>
    <w:rsid w:val="00781A64"/>
    <w:rsid w:val="00782EA4"/>
    <w:rsid w:val="00785461"/>
    <w:rsid w:val="00786FF3"/>
    <w:rsid w:val="007876CF"/>
    <w:rsid w:val="00787B77"/>
    <w:rsid w:val="00793090"/>
    <w:rsid w:val="00796F2A"/>
    <w:rsid w:val="007A0176"/>
    <w:rsid w:val="007A0F2A"/>
    <w:rsid w:val="007A2F67"/>
    <w:rsid w:val="007A3918"/>
    <w:rsid w:val="007A5398"/>
    <w:rsid w:val="007B00A0"/>
    <w:rsid w:val="007B0E89"/>
    <w:rsid w:val="007B2C38"/>
    <w:rsid w:val="007B2E54"/>
    <w:rsid w:val="007B31B9"/>
    <w:rsid w:val="007B56A8"/>
    <w:rsid w:val="007B7498"/>
    <w:rsid w:val="007B7AEE"/>
    <w:rsid w:val="007C5C9B"/>
    <w:rsid w:val="007C6C24"/>
    <w:rsid w:val="007C7EB6"/>
    <w:rsid w:val="007D2F75"/>
    <w:rsid w:val="007D710E"/>
    <w:rsid w:val="007D7E3A"/>
    <w:rsid w:val="007E1177"/>
    <w:rsid w:val="007E22E7"/>
    <w:rsid w:val="007E2893"/>
    <w:rsid w:val="007E4232"/>
    <w:rsid w:val="007E5C74"/>
    <w:rsid w:val="007E69BB"/>
    <w:rsid w:val="007E6AB8"/>
    <w:rsid w:val="007E7E96"/>
    <w:rsid w:val="007F2109"/>
    <w:rsid w:val="007F21C5"/>
    <w:rsid w:val="007F26EE"/>
    <w:rsid w:val="007F3EF1"/>
    <w:rsid w:val="007F636B"/>
    <w:rsid w:val="0080056E"/>
    <w:rsid w:val="00801457"/>
    <w:rsid w:val="00801BCE"/>
    <w:rsid w:val="00801E7D"/>
    <w:rsid w:val="00802515"/>
    <w:rsid w:val="00807232"/>
    <w:rsid w:val="0081283F"/>
    <w:rsid w:val="00812C0C"/>
    <w:rsid w:val="0081480A"/>
    <w:rsid w:val="008202EB"/>
    <w:rsid w:val="00820F86"/>
    <w:rsid w:val="008216D3"/>
    <w:rsid w:val="008242C5"/>
    <w:rsid w:val="00827F88"/>
    <w:rsid w:val="008315CE"/>
    <w:rsid w:val="008336A5"/>
    <w:rsid w:val="00835474"/>
    <w:rsid w:val="00836D2A"/>
    <w:rsid w:val="008373C0"/>
    <w:rsid w:val="0084105A"/>
    <w:rsid w:val="0084145F"/>
    <w:rsid w:val="00841DA2"/>
    <w:rsid w:val="00844CB5"/>
    <w:rsid w:val="008458F6"/>
    <w:rsid w:val="00845AED"/>
    <w:rsid w:val="0084708E"/>
    <w:rsid w:val="00851AE4"/>
    <w:rsid w:val="00855019"/>
    <w:rsid w:val="008554B6"/>
    <w:rsid w:val="0085598D"/>
    <w:rsid w:val="00862771"/>
    <w:rsid w:val="0086682F"/>
    <w:rsid w:val="00867687"/>
    <w:rsid w:val="008704DF"/>
    <w:rsid w:val="00874748"/>
    <w:rsid w:val="00874894"/>
    <w:rsid w:val="00876F54"/>
    <w:rsid w:val="00877292"/>
    <w:rsid w:val="0087754A"/>
    <w:rsid w:val="0087766C"/>
    <w:rsid w:val="00880552"/>
    <w:rsid w:val="008839DA"/>
    <w:rsid w:val="00884EE8"/>
    <w:rsid w:val="00885168"/>
    <w:rsid w:val="0089173B"/>
    <w:rsid w:val="008919C4"/>
    <w:rsid w:val="00891E76"/>
    <w:rsid w:val="0089220F"/>
    <w:rsid w:val="008935AA"/>
    <w:rsid w:val="008963F0"/>
    <w:rsid w:val="00897444"/>
    <w:rsid w:val="008A03A5"/>
    <w:rsid w:val="008A0DF3"/>
    <w:rsid w:val="008A1B76"/>
    <w:rsid w:val="008A282C"/>
    <w:rsid w:val="008A4138"/>
    <w:rsid w:val="008A5D96"/>
    <w:rsid w:val="008B5AB3"/>
    <w:rsid w:val="008B6848"/>
    <w:rsid w:val="008C2FA1"/>
    <w:rsid w:val="008C4CAE"/>
    <w:rsid w:val="008C58DF"/>
    <w:rsid w:val="008D1369"/>
    <w:rsid w:val="008D2C4C"/>
    <w:rsid w:val="008D7E0D"/>
    <w:rsid w:val="008D7EDB"/>
    <w:rsid w:val="008E1829"/>
    <w:rsid w:val="008E1A61"/>
    <w:rsid w:val="008E2327"/>
    <w:rsid w:val="008E2D66"/>
    <w:rsid w:val="008E5077"/>
    <w:rsid w:val="008E64F0"/>
    <w:rsid w:val="008E6FF3"/>
    <w:rsid w:val="008E7B05"/>
    <w:rsid w:val="008F13A5"/>
    <w:rsid w:val="008F18ED"/>
    <w:rsid w:val="008F46C2"/>
    <w:rsid w:val="008F4C28"/>
    <w:rsid w:val="008F7068"/>
    <w:rsid w:val="0090360E"/>
    <w:rsid w:val="00903D37"/>
    <w:rsid w:val="00904DFA"/>
    <w:rsid w:val="0091055D"/>
    <w:rsid w:val="00914C61"/>
    <w:rsid w:val="00917D6F"/>
    <w:rsid w:val="0092073B"/>
    <w:rsid w:val="00921B1A"/>
    <w:rsid w:val="00921B7F"/>
    <w:rsid w:val="00921DDA"/>
    <w:rsid w:val="00922DE1"/>
    <w:rsid w:val="00924B6C"/>
    <w:rsid w:val="00924F21"/>
    <w:rsid w:val="0092600D"/>
    <w:rsid w:val="00930345"/>
    <w:rsid w:val="0093039D"/>
    <w:rsid w:val="00931E4F"/>
    <w:rsid w:val="0093364D"/>
    <w:rsid w:val="00936574"/>
    <w:rsid w:val="00937EE1"/>
    <w:rsid w:val="00943BCE"/>
    <w:rsid w:val="009508A0"/>
    <w:rsid w:val="00953FF0"/>
    <w:rsid w:val="00960346"/>
    <w:rsid w:val="009617D3"/>
    <w:rsid w:val="0096463B"/>
    <w:rsid w:val="00967869"/>
    <w:rsid w:val="0096796E"/>
    <w:rsid w:val="00971F54"/>
    <w:rsid w:val="009725C5"/>
    <w:rsid w:val="00972AEA"/>
    <w:rsid w:val="00972B4E"/>
    <w:rsid w:val="00973F40"/>
    <w:rsid w:val="00980900"/>
    <w:rsid w:val="00983EDC"/>
    <w:rsid w:val="00983EED"/>
    <w:rsid w:val="009849EF"/>
    <w:rsid w:val="00986DB7"/>
    <w:rsid w:val="0098732C"/>
    <w:rsid w:val="009934CF"/>
    <w:rsid w:val="00994396"/>
    <w:rsid w:val="00994FB1"/>
    <w:rsid w:val="009A0D75"/>
    <w:rsid w:val="009A306D"/>
    <w:rsid w:val="009A347A"/>
    <w:rsid w:val="009A620E"/>
    <w:rsid w:val="009B6452"/>
    <w:rsid w:val="009B6A6F"/>
    <w:rsid w:val="009C1AFE"/>
    <w:rsid w:val="009C3E33"/>
    <w:rsid w:val="009C5F24"/>
    <w:rsid w:val="009D048B"/>
    <w:rsid w:val="009D1B5D"/>
    <w:rsid w:val="009D43FE"/>
    <w:rsid w:val="009D69C6"/>
    <w:rsid w:val="009D6F70"/>
    <w:rsid w:val="009E10E1"/>
    <w:rsid w:val="009E5419"/>
    <w:rsid w:val="009E5A6E"/>
    <w:rsid w:val="009E70E7"/>
    <w:rsid w:val="009F25A8"/>
    <w:rsid w:val="009F46DC"/>
    <w:rsid w:val="009F65AF"/>
    <w:rsid w:val="00A01C00"/>
    <w:rsid w:val="00A02488"/>
    <w:rsid w:val="00A03A1B"/>
    <w:rsid w:val="00A06CC5"/>
    <w:rsid w:val="00A07CE4"/>
    <w:rsid w:val="00A11CAD"/>
    <w:rsid w:val="00A1620D"/>
    <w:rsid w:val="00A16AC0"/>
    <w:rsid w:val="00A16DC1"/>
    <w:rsid w:val="00A23D31"/>
    <w:rsid w:val="00A24C9B"/>
    <w:rsid w:val="00A26ECD"/>
    <w:rsid w:val="00A27D2B"/>
    <w:rsid w:val="00A301A7"/>
    <w:rsid w:val="00A30C34"/>
    <w:rsid w:val="00A30FD3"/>
    <w:rsid w:val="00A34223"/>
    <w:rsid w:val="00A34F11"/>
    <w:rsid w:val="00A35E2F"/>
    <w:rsid w:val="00A36013"/>
    <w:rsid w:val="00A37891"/>
    <w:rsid w:val="00A40A51"/>
    <w:rsid w:val="00A415BA"/>
    <w:rsid w:val="00A4594F"/>
    <w:rsid w:val="00A47916"/>
    <w:rsid w:val="00A50123"/>
    <w:rsid w:val="00A536DA"/>
    <w:rsid w:val="00A5406C"/>
    <w:rsid w:val="00A54801"/>
    <w:rsid w:val="00A54FFB"/>
    <w:rsid w:val="00A5596D"/>
    <w:rsid w:val="00A56F39"/>
    <w:rsid w:val="00A571CD"/>
    <w:rsid w:val="00A579CE"/>
    <w:rsid w:val="00A57C3D"/>
    <w:rsid w:val="00A6697B"/>
    <w:rsid w:val="00A719AA"/>
    <w:rsid w:val="00A73DE3"/>
    <w:rsid w:val="00A74C2D"/>
    <w:rsid w:val="00A76B34"/>
    <w:rsid w:val="00A83487"/>
    <w:rsid w:val="00A84A8E"/>
    <w:rsid w:val="00A854FF"/>
    <w:rsid w:val="00A86E30"/>
    <w:rsid w:val="00A87035"/>
    <w:rsid w:val="00A8745D"/>
    <w:rsid w:val="00A908DA"/>
    <w:rsid w:val="00A90F9B"/>
    <w:rsid w:val="00A92694"/>
    <w:rsid w:val="00A93072"/>
    <w:rsid w:val="00A9629C"/>
    <w:rsid w:val="00AA0885"/>
    <w:rsid w:val="00AA2289"/>
    <w:rsid w:val="00AA35D5"/>
    <w:rsid w:val="00AA417B"/>
    <w:rsid w:val="00AA49FF"/>
    <w:rsid w:val="00AA533F"/>
    <w:rsid w:val="00AA5A86"/>
    <w:rsid w:val="00AA7F48"/>
    <w:rsid w:val="00AB010D"/>
    <w:rsid w:val="00AB0749"/>
    <w:rsid w:val="00AB76D8"/>
    <w:rsid w:val="00AB7760"/>
    <w:rsid w:val="00AB7E6A"/>
    <w:rsid w:val="00AC1B50"/>
    <w:rsid w:val="00AC1B61"/>
    <w:rsid w:val="00AC2C6E"/>
    <w:rsid w:val="00AC5EE6"/>
    <w:rsid w:val="00AD0D24"/>
    <w:rsid w:val="00AD1923"/>
    <w:rsid w:val="00AD2611"/>
    <w:rsid w:val="00AD3AC5"/>
    <w:rsid w:val="00AD3D57"/>
    <w:rsid w:val="00AD497C"/>
    <w:rsid w:val="00AD50F9"/>
    <w:rsid w:val="00AE0890"/>
    <w:rsid w:val="00AE0B4B"/>
    <w:rsid w:val="00AE19C0"/>
    <w:rsid w:val="00AE47BF"/>
    <w:rsid w:val="00AE489D"/>
    <w:rsid w:val="00AE552E"/>
    <w:rsid w:val="00AF0A77"/>
    <w:rsid w:val="00AF4610"/>
    <w:rsid w:val="00AF4C29"/>
    <w:rsid w:val="00AF6432"/>
    <w:rsid w:val="00AF6DED"/>
    <w:rsid w:val="00AF79BD"/>
    <w:rsid w:val="00B01191"/>
    <w:rsid w:val="00B07F12"/>
    <w:rsid w:val="00B07FE3"/>
    <w:rsid w:val="00B10BAE"/>
    <w:rsid w:val="00B14154"/>
    <w:rsid w:val="00B1415B"/>
    <w:rsid w:val="00B15278"/>
    <w:rsid w:val="00B222A2"/>
    <w:rsid w:val="00B234EC"/>
    <w:rsid w:val="00B264F6"/>
    <w:rsid w:val="00B274AE"/>
    <w:rsid w:val="00B274BF"/>
    <w:rsid w:val="00B31222"/>
    <w:rsid w:val="00B31516"/>
    <w:rsid w:val="00B318C9"/>
    <w:rsid w:val="00B31FDB"/>
    <w:rsid w:val="00B42C7F"/>
    <w:rsid w:val="00B42E81"/>
    <w:rsid w:val="00B4329D"/>
    <w:rsid w:val="00B45BEE"/>
    <w:rsid w:val="00B520F9"/>
    <w:rsid w:val="00B52812"/>
    <w:rsid w:val="00B5495A"/>
    <w:rsid w:val="00B577A3"/>
    <w:rsid w:val="00B6144B"/>
    <w:rsid w:val="00B6170F"/>
    <w:rsid w:val="00B63796"/>
    <w:rsid w:val="00B64641"/>
    <w:rsid w:val="00B70F12"/>
    <w:rsid w:val="00B7262F"/>
    <w:rsid w:val="00B727C5"/>
    <w:rsid w:val="00B73FD4"/>
    <w:rsid w:val="00B74FC5"/>
    <w:rsid w:val="00B75A6C"/>
    <w:rsid w:val="00B82F2D"/>
    <w:rsid w:val="00B83E2A"/>
    <w:rsid w:val="00B83E38"/>
    <w:rsid w:val="00B85DF3"/>
    <w:rsid w:val="00B86C19"/>
    <w:rsid w:val="00B924EF"/>
    <w:rsid w:val="00B92EDF"/>
    <w:rsid w:val="00B93510"/>
    <w:rsid w:val="00B93640"/>
    <w:rsid w:val="00B93E33"/>
    <w:rsid w:val="00B93FFB"/>
    <w:rsid w:val="00B94C73"/>
    <w:rsid w:val="00B954F3"/>
    <w:rsid w:val="00B956FC"/>
    <w:rsid w:val="00B95BCD"/>
    <w:rsid w:val="00B95CDC"/>
    <w:rsid w:val="00B95CE5"/>
    <w:rsid w:val="00B96107"/>
    <w:rsid w:val="00BA0D0B"/>
    <w:rsid w:val="00BA4CE5"/>
    <w:rsid w:val="00BB375D"/>
    <w:rsid w:val="00BB49A0"/>
    <w:rsid w:val="00BB515F"/>
    <w:rsid w:val="00BB532B"/>
    <w:rsid w:val="00BC0924"/>
    <w:rsid w:val="00BC11E0"/>
    <w:rsid w:val="00BC1FA5"/>
    <w:rsid w:val="00BC2C0C"/>
    <w:rsid w:val="00BC732A"/>
    <w:rsid w:val="00BC758B"/>
    <w:rsid w:val="00BD2EAC"/>
    <w:rsid w:val="00BD4BB3"/>
    <w:rsid w:val="00BE17C6"/>
    <w:rsid w:val="00BE2BD3"/>
    <w:rsid w:val="00BE4843"/>
    <w:rsid w:val="00BE4865"/>
    <w:rsid w:val="00BE5595"/>
    <w:rsid w:val="00BE69BF"/>
    <w:rsid w:val="00BE725A"/>
    <w:rsid w:val="00BE73C1"/>
    <w:rsid w:val="00BE7430"/>
    <w:rsid w:val="00BE7B48"/>
    <w:rsid w:val="00BF3381"/>
    <w:rsid w:val="00BF667D"/>
    <w:rsid w:val="00C10FCF"/>
    <w:rsid w:val="00C12810"/>
    <w:rsid w:val="00C16B4B"/>
    <w:rsid w:val="00C17427"/>
    <w:rsid w:val="00C20C00"/>
    <w:rsid w:val="00C210FD"/>
    <w:rsid w:val="00C22901"/>
    <w:rsid w:val="00C25238"/>
    <w:rsid w:val="00C305F2"/>
    <w:rsid w:val="00C3345C"/>
    <w:rsid w:val="00C407E5"/>
    <w:rsid w:val="00C42DAC"/>
    <w:rsid w:val="00C4342B"/>
    <w:rsid w:val="00C459A9"/>
    <w:rsid w:val="00C477E7"/>
    <w:rsid w:val="00C502A5"/>
    <w:rsid w:val="00C521F7"/>
    <w:rsid w:val="00C53008"/>
    <w:rsid w:val="00C55151"/>
    <w:rsid w:val="00C5575D"/>
    <w:rsid w:val="00C558FF"/>
    <w:rsid w:val="00C560FA"/>
    <w:rsid w:val="00C56772"/>
    <w:rsid w:val="00C577C1"/>
    <w:rsid w:val="00C57FF9"/>
    <w:rsid w:val="00C6103F"/>
    <w:rsid w:val="00C64434"/>
    <w:rsid w:val="00C64A51"/>
    <w:rsid w:val="00C64B27"/>
    <w:rsid w:val="00C65C4D"/>
    <w:rsid w:val="00C7063C"/>
    <w:rsid w:val="00C73C57"/>
    <w:rsid w:val="00C746D9"/>
    <w:rsid w:val="00C74D43"/>
    <w:rsid w:val="00C75CA7"/>
    <w:rsid w:val="00C7683D"/>
    <w:rsid w:val="00C86432"/>
    <w:rsid w:val="00C86FC6"/>
    <w:rsid w:val="00C901BB"/>
    <w:rsid w:val="00C90CD3"/>
    <w:rsid w:val="00C92552"/>
    <w:rsid w:val="00C92C27"/>
    <w:rsid w:val="00C93F1B"/>
    <w:rsid w:val="00C96DFE"/>
    <w:rsid w:val="00C976D1"/>
    <w:rsid w:val="00CA308F"/>
    <w:rsid w:val="00CA71D4"/>
    <w:rsid w:val="00CB5D29"/>
    <w:rsid w:val="00CB675A"/>
    <w:rsid w:val="00CB6EC8"/>
    <w:rsid w:val="00CB7423"/>
    <w:rsid w:val="00CB782B"/>
    <w:rsid w:val="00CC082B"/>
    <w:rsid w:val="00CC0E77"/>
    <w:rsid w:val="00CC2092"/>
    <w:rsid w:val="00CC285C"/>
    <w:rsid w:val="00CC5595"/>
    <w:rsid w:val="00CC5E76"/>
    <w:rsid w:val="00CD1770"/>
    <w:rsid w:val="00CD3A5D"/>
    <w:rsid w:val="00CD5FD4"/>
    <w:rsid w:val="00CE0DCE"/>
    <w:rsid w:val="00CE1BC9"/>
    <w:rsid w:val="00CE33C1"/>
    <w:rsid w:val="00CE4DD6"/>
    <w:rsid w:val="00CE76FF"/>
    <w:rsid w:val="00CF1CF7"/>
    <w:rsid w:val="00CF4012"/>
    <w:rsid w:val="00CF43D5"/>
    <w:rsid w:val="00D01F75"/>
    <w:rsid w:val="00D02BC6"/>
    <w:rsid w:val="00D0310D"/>
    <w:rsid w:val="00D05803"/>
    <w:rsid w:val="00D05C7C"/>
    <w:rsid w:val="00D06906"/>
    <w:rsid w:val="00D07742"/>
    <w:rsid w:val="00D1276A"/>
    <w:rsid w:val="00D14DB7"/>
    <w:rsid w:val="00D15ED5"/>
    <w:rsid w:val="00D16656"/>
    <w:rsid w:val="00D200AB"/>
    <w:rsid w:val="00D278A7"/>
    <w:rsid w:val="00D31CD5"/>
    <w:rsid w:val="00D34402"/>
    <w:rsid w:val="00D34635"/>
    <w:rsid w:val="00D348F7"/>
    <w:rsid w:val="00D3564E"/>
    <w:rsid w:val="00D36EF4"/>
    <w:rsid w:val="00D371D0"/>
    <w:rsid w:val="00D4062A"/>
    <w:rsid w:val="00D40BC3"/>
    <w:rsid w:val="00D434EC"/>
    <w:rsid w:val="00D44E9D"/>
    <w:rsid w:val="00D472A7"/>
    <w:rsid w:val="00D51515"/>
    <w:rsid w:val="00D54BD5"/>
    <w:rsid w:val="00D575F0"/>
    <w:rsid w:val="00D60578"/>
    <w:rsid w:val="00D61A0E"/>
    <w:rsid w:val="00D62055"/>
    <w:rsid w:val="00D71CF9"/>
    <w:rsid w:val="00D7675E"/>
    <w:rsid w:val="00D80080"/>
    <w:rsid w:val="00D80F9D"/>
    <w:rsid w:val="00D80FFB"/>
    <w:rsid w:val="00D81BAE"/>
    <w:rsid w:val="00D84B17"/>
    <w:rsid w:val="00D8507D"/>
    <w:rsid w:val="00D86735"/>
    <w:rsid w:val="00D8718E"/>
    <w:rsid w:val="00D871FB"/>
    <w:rsid w:val="00D90C9D"/>
    <w:rsid w:val="00D90E57"/>
    <w:rsid w:val="00D91910"/>
    <w:rsid w:val="00D91AA8"/>
    <w:rsid w:val="00D944A6"/>
    <w:rsid w:val="00D95B5F"/>
    <w:rsid w:val="00D96FC3"/>
    <w:rsid w:val="00DA0839"/>
    <w:rsid w:val="00DA12C3"/>
    <w:rsid w:val="00DA22B5"/>
    <w:rsid w:val="00DA495D"/>
    <w:rsid w:val="00DA4F15"/>
    <w:rsid w:val="00DA5DCA"/>
    <w:rsid w:val="00DA7BA0"/>
    <w:rsid w:val="00DB2FBE"/>
    <w:rsid w:val="00DB42F5"/>
    <w:rsid w:val="00DB469A"/>
    <w:rsid w:val="00DB52C3"/>
    <w:rsid w:val="00DB5454"/>
    <w:rsid w:val="00DB5DA3"/>
    <w:rsid w:val="00DB7E5F"/>
    <w:rsid w:val="00DC10B0"/>
    <w:rsid w:val="00DC1594"/>
    <w:rsid w:val="00DC4BCD"/>
    <w:rsid w:val="00DD1107"/>
    <w:rsid w:val="00DD178F"/>
    <w:rsid w:val="00DD186A"/>
    <w:rsid w:val="00DD1FE4"/>
    <w:rsid w:val="00DD4022"/>
    <w:rsid w:val="00DD7E5A"/>
    <w:rsid w:val="00DE2966"/>
    <w:rsid w:val="00DE40E0"/>
    <w:rsid w:val="00DE4107"/>
    <w:rsid w:val="00DE736A"/>
    <w:rsid w:val="00DF04ED"/>
    <w:rsid w:val="00DF0B5E"/>
    <w:rsid w:val="00DF0ED5"/>
    <w:rsid w:val="00DF72D9"/>
    <w:rsid w:val="00DF7EC8"/>
    <w:rsid w:val="00E028ED"/>
    <w:rsid w:val="00E0499F"/>
    <w:rsid w:val="00E104F6"/>
    <w:rsid w:val="00E10748"/>
    <w:rsid w:val="00E12F57"/>
    <w:rsid w:val="00E14282"/>
    <w:rsid w:val="00E156F2"/>
    <w:rsid w:val="00E2250E"/>
    <w:rsid w:val="00E2370C"/>
    <w:rsid w:val="00E24BF5"/>
    <w:rsid w:val="00E27DDF"/>
    <w:rsid w:val="00E27E01"/>
    <w:rsid w:val="00E30A90"/>
    <w:rsid w:val="00E32DBA"/>
    <w:rsid w:val="00E424DE"/>
    <w:rsid w:val="00E43469"/>
    <w:rsid w:val="00E4369C"/>
    <w:rsid w:val="00E43A0F"/>
    <w:rsid w:val="00E43AA2"/>
    <w:rsid w:val="00E445DA"/>
    <w:rsid w:val="00E45379"/>
    <w:rsid w:val="00E465CB"/>
    <w:rsid w:val="00E47C0D"/>
    <w:rsid w:val="00E50B22"/>
    <w:rsid w:val="00E51E18"/>
    <w:rsid w:val="00E533BD"/>
    <w:rsid w:val="00E53706"/>
    <w:rsid w:val="00E57CE2"/>
    <w:rsid w:val="00E617BD"/>
    <w:rsid w:val="00E61E05"/>
    <w:rsid w:val="00E64BD9"/>
    <w:rsid w:val="00E6519C"/>
    <w:rsid w:val="00E67E50"/>
    <w:rsid w:val="00E705B4"/>
    <w:rsid w:val="00E72967"/>
    <w:rsid w:val="00E8155D"/>
    <w:rsid w:val="00E84AD7"/>
    <w:rsid w:val="00E85CC0"/>
    <w:rsid w:val="00E86ADB"/>
    <w:rsid w:val="00E96AB8"/>
    <w:rsid w:val="00E96E1A"/>
    <w:rsid w:val="00EA0E04"/>
    <w:rsid w:val="00EA220D"/>
    <w:rsid w:val="00EA3156"/>
    <w:rsid w:val="00EA40A2"/>
    <w:rsid w:val="00EA4CD5"/>
    <w:rsid w:val="00EA5D2C"/>
    <w:rsid w:val="00EA5D8E"/>
    <w:rsid w:val="00EB07CF"/>
    <w:rsid w:val="00EB3B88"/>
    <w:rsid w:val="00EC0C14"/>
    <w:rsid w:val="00EC2B42"/>
    <w:rsid w:val="00EC3B8F"/>
    <w:rsid w:val="00EC5CA0"/>
    <w:rsid w:val="00EC7372"/>
    <w:rsid w:val="00ED06EC"/>
    <w:rsid w:val="00ED179A"/>
    <w:rsid w:val="00ED19D1"/>
    <w:rsid w:val="00ED2AC0"/>
    <w:rsid w:val="00ED30E8"/>
    <w:rsid w:val="00ED3B69"/>
    <w:rsid w:val="00ED3ECA"/>
    <w:rsid w:val="00ED3F39"/>
    <w:rsid w:val="00ED63AE"/>
    <w:rsid w:val="00ED6CD1"/>
    <w:rsid w:val="00ED7A42"/>
    <w:rsid w:val="00EE5F2E"/>
    <w:rsid w:val="00EF2C2D"/>
    <w:rsid w:val="00EF4A64"/>
    <w:rsid w:val="00F02171"/>
    <w:rsid w:val="00F033EF"/>
    <w:rsid w:val="00F03439"/>
    <w:rsid w:val="00F061A6"/>
    <w:rsid w:val="00F06840"/>
    <w:rsid w:val="00F0710C"/>
    <w:rsid w:val="00F11AB3"/>
    <w:rsid w:val="00F14017"/>
    <w:rsid w:val="00F1684C"/>
    <w:rsid w:val="00F20633"/>
    <w:rsid w:val="00F224A4"/>
    <w:rsid w:val="00F25CFE"/>
    <w:rsid w:val="00F26CBF"/>
    <w:rsid w:val="00F35243"/>
    <w:rsid w:val="00F36E9F"/>
    <w:rsid w:val="00F41B19"/>
    <w:rsid w:val="00F43E6E"/>
    <w:rsid w:val="00F43EBF"/>
    <w:rsid w:val="00F44423"/>
    <w:rsid w:val="00F50BE6"/>
    <w:rsid w:val="00F51236"/>
    <w:rsid w:val="00F52030"/>
    <w:rsid w:val="00F5374C"/>
    <w:rsid w:val="00F541B8"/>
    <w:rsid w:val="00F56B6D"/>
    <w:rsid w:val="00F56CC2"/>
    <w:rsid w:val="00F56E12"/>
    <w:rsid w:val="00F60BC0"/>
    <w:rsid w:val="00F61B7F"/>
    <w:rsid w:val="00F62370"/>
    <w:rsid w:val="00F628D3"/>
    <w:rsid w:val="00F62EF2"/>
    <w:rsid w:val="00F6497E"/>
    <w:rsid w:val="00F677E2"/>
    <w:rsid w:val="00F717E6"/>
    <w:rsid w:val="00F7216B"/>
    <w:rsid w:val="00F73751"/>
    <w:rsid w:val="00F75EAD"/>
    <w:rsid w:val="00F77154"/>
    <w:rsid w:val="00F80F33"/>
    <w:rsid w:val="00F846D6"/>
    <w:rsid w:val="00F871D7"/>
    <w:rsid w:val="00F9173A"/>
    <w:rsid w:val="00F91800"/>
    <w:rsid w:val="00F94E99"/>
    <w:rsid w:val="00F9650A"/>
    <w:rsid w:val="00F967C7"/>
    <w:rsid w:val="00FA0437"/>
    <w:rsid w:val="00FA233F"/>
    <w:rsid w:val="00FA2E05"/>
    <w:rsid w:val="00FA3DF0"/>
    <w:rsid w:val="00FA7D57"/>
    <w:rsid w:val="00FB0008"/>
    <w:rsid w:val="00FB071C"/>
    <w:rsid w:val="00FB1ACE"/>
    <w:rsid w:val="00FB3EA0"/>
    <w:rsid w:val="00FB55F4"/>
    <w:rsid w:val="00FB58D8"/>
    <w:rsid w:val="00FB7140"/>
    <w:rsid w:val="00FC0B63"/>
    <w:rsid w:val="00FC2209"/>
    <w:rsid w:val="00FC46C5"/>
    <w:rsid w:val="00FC7531"/>
    <w:rsid w:val="00FC7950"/>
    <w:rsid w:val="00FC7EAA"/>
    <w:rsid w:val="00FD4FA5"/>
    <w:rsid w:val="00FD5166"/>
    <w:rsid w:val="00FD758C"/>
    <w:rsid w:val="00FF05B9"/>
    <w:rsid w:val="00FF05E6"/>
    <w:rsid w:val="00FF0EB1"/>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01CBFBF-F87A-4D1C-8546-5ADF37565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97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3D465E"/>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UnresolvedMention">
    <w:name w:val="Unresolved Mention"/>
    <w:basedOn w:val="Fuentedeprrafopredeter"/>
    <w:uiPriority w:val="99"/>
    <w:semiHidden/>
    <w:unhideWhenUsed/>
    <w:rsid w:val="002D4C3D"/>
    <w:rPr>
      <w:color w:val="605E5C"/>
      <w:shd w:val="clear" w:color="auto" w:fill="E1DFDD"/>
    </w:rPr>
  </w:style>
  <w:style w:type="character" w:customStyle="1" w:styleId="Ttulo2Car">
    <w:name w:val="Título 2 Car"/>
    <w:basedOn w:val="Fuentedeprrafopredeter"/>
    <w:link w:val="Ttulo2"/>
    <w:uiPriority w:val="9"/>
    <w:rsid w:val="003D465E"/>
    <w:rPr>
      <w:rFonts w:asciiTheme="majorHAnsi" w:eastAsiaTheme="majorEastAsia" w:hAnsiTheme="majorHAnsi" w:cstheme="majorBidi"/>
      <w:color w:val="2F5496" w:themeColor="accent1" w:themeShade="BF"/>
      <w:sz w:val="26"/>
      <w:szCs w:val="2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313024310">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80640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99697922">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sites/legislacion.edomex.gob.mx/files/files/pdf/bdo/bdo2019/bdo071.pdf" TargetMode="External"/><Relationship Id="rId13" Type="http://schemas.openxmlformats.org/officeDocument/2006/relationships/hyperlink" Target="https://consultas.curp.gob.mx/CurpSP/html/informacionecurpP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gecem.edomex.gob.mx/faq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pomex.org.mx/ipo3/lgt/indice/PAPALOTLA/art_92_xxxii.web"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02F55-B1C8-4DFA-B716-328495867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13334</Words>
  <Characters>73339</Characters>
  <Application>Microsoft Office Word</Application>
  <DocSecurity>0</DocSecurity>
  <Lines>611</Lines>
  <Paragraphs>172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86501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USER</cp:lastModifiedBy>
  <cp:revision>2</cp:revision>
  <cp:lastPrinted>2019-09-04T23:15:00Z</cp:lastPrinted>
  <dcterms:created xsi:type="dcterms:W3CDTF">2019-10-08T17:18:00Z</dcterms:created>
  <dcterms:modified xsi:type="dcterms:W3CDTF">2019-10-08T17:18:00Z</dcterms:modified>
</cp:coreProperties>
</file>