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7E2BFD5B"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1D47DF">
        <w:rPr>
          <w:rFonts w:ascii="Palatino Linotype" w:eastAsia="Times New Roman" w:hAnsi="Palatino Linotype" w:cs="Arial"/>
          <w:color w:val="000000"/>
          <w:sz w:val="24"/>
          <w:szCs w:val="24"/>
          <w:lang w:eastAsia="es-MX"/>
        </w:rPr>
        <w:t>cinco de marzo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7F835CF7"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66428">
        <w:rPr>
          <w:rFonts w:ascii="Palatino Linotype" w:hAnsi="Palatino Linotype" w:cs="Arial"/>
          <w:b/>
          <w:bCs/>
          <w:sz w:val="24"/>
          <w:lang w:eastAsia="es-MX"/>
        </w:rPr>
        <w:t>113</w:t>
      </w:r>
      <w:r w:rsidR="00281E22">
        <w:rPr>
          <w:rFonts w:ascii="Palatino Linotype" w:hAnsi="Palatino Linotype" w:cs="Arial"/>
          <w:b/>
          <w:bCs/>
          <w:sz w:val="24"/>
          <w:lang w:eastAsia="es-MX"/>
        </w:rPr>
        <w:t>30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A66428" w:rsidRPr="00A66428">
        <w:rPr>
          <w:rFonts w:ascii="Palatino Linotype" w:hAnsi="Palatino Linotype" w:cs="Arial"/>
          <w:b/>
          <w:sz w:val="24"/>
          <w:szCs w:val="24"/>
        </w:rPr>
        <w:t>Ayuntamiento de Axapusco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65F37561"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66428">
        <w:rPr>
          <w:rFonts w:ascii="Palatino Linotype" w:hAnsi="Palatino Linotype" w:cs="Arial"/>
          <w:sz w:val="24"/>
        </w:rPr>
        <w:t>catorce de noviembre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81E22" w:rsidRPr="00281E22">
        <w:rPr>
          <w:rFonts w:ascii="Palatino Linotype" w:hAnsi="Palatino Linotype" w:cs="Arial"/>
          <w:b/>
          <w:sz w:val="24"/>
        </w:rPr>
        <w:t>00316/AXAPUSCO/IP/2019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72A2BA01"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81E22" w:rsidRPr="00281E22">
        <w:rPr>
          <w:rFonts w:ascii="Palatino Linotype" w:hAnsi="Palatino Linotype"/>
          <w:i/>
          <w:color w:val="000000"/>
        </w:rPr>
        <w:t>Quiero saber los bonos a que tienen derecho y van a recibir los policías en este año</w:t>
      </w:r>
      <w:r w:rsidR="007F56D8" w:rsidRPr="007F56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648E929"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237AEFC3" w14:textId="77777777" w:rsidR="00A66428" w:rsidRDefault="00E15E85" w:rsidP="00A66428">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00A66428" w:rsidRPr="00165D6E">
        <w:rPr>
          <w:rFonts w:ascii="Palatino Linotype" w:hAnsi="Palatino Linotype" w:cs="Arial"/>
          <w:b/>
          <w:sz w:val="28"/>
          <w:szCs w:val="20"/>
        </w:rPr>
        <w:t xml:space="preserve">De la respuesta </w:t>
      </w:r>
      <w:r w:rsidR="00A66428">
        <w:rPr>
          <w:rFonts w:ascii="Palatino Linotype" w:hAnsi="Palatino Linotype" w:cs="Arial"/>
          <w:b/>
          <w:sz w:val="28"/>
          <w:szCs w:val="20"/>
        </w:rPr>
        <w:t>del Sujeto Obligado</w:t>
      </w:r>
      <w:r w:rsidR="00A66428" w:rsidRPr="00165D6E">
        <w:rPr>
          <w:rFonts w:ascii="Palatino Linotype" w:hAnsi="Palatino Linotype" w:cs="Arial"/>
          <w:b/>
          <w:sz w:val="28"/>
          <w:szCs w:val="20"/>
        </w:rPr>
        <w:t>.</w:t>
      </w:r>
    </w:p>
    <w:p w14:paraId="3E4CC413" w14:textId="5E0ED5FA" w:rsidR="00A66428" w:rsidRPr="00D02974" w:rsidRDefault="00A66428" w:rsidP="00A6642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DA696D">
        <w:rPr>
          <w:rFonts w:ascii="Palatino Linotype" w:hAnsi="Palatino Linotype" w:cs="Arial"/>
          <w:sz w:val="24"/>
        </w:rPr>
        <w:t>cuatro de diciembre de dos mil diecinueve aludiendo lo siguiente:</w:t>
      </w:r>
    </w:p>
    <w:p w14:paraId="007CB7D4" w14:textId="77777777" w:rsidR="00DA696D" w:rsidRPr="00DA696D" w:rsidRDefault="00DA696D" w:rsidP="00DA696D">
      <w:pPr>
        <w:spacing w:before="240" w:line="360" w:lineRule="auto"/>
        <w:ind w:left="708"/>
        <w:jc w:val="both"/>
        <w:rPr>
          <w:rFonts w:ascii="Palatino Linotype" w:hAnsi="Palatino Linotype" w:cs="Arial"/>
          <w:i/>
          <w:iCs/>
          <w:sz w:val="24"/>
        </w:rPr>
      </w:pPr>
      <w:r w:rsidRPr="00DA696D">
        <w:rPr>
          <w:rFonts w:ascii="Palatino Linotype" w:hAnsi="Palatino Linotype" w:cs="Arial"/>
          <w:i/>
          <w:iCs/>
          <w:sz w:val="24"/>
        </w:rPr>
        <w:t>De conformidad con los artículos 150, 163 de la Ley de Transparencia y Acceso a la Información Publica del Estado de México y Municipios, en respuesta a su solicitud, me permito informarle lo siguiente: Los policías no han recibido ningún tipo de bono en lo que va del año y como tal por concepto de BONOS no tienen derecho a alguno. puede comunicarse a la siguiente dirección de correo; axapusco@itaipem.org.mx, asi como para cualquier duda y aclaración. Sin otro particular reciba un cordial saludo.</w:t>
      </w:r>
    </w:p>
    <w:p w14:paraId="4BA500D4" w14:textId="77777777" w:rsidR="00DA696D" w:rsidRPr="00DA696D" w:rsidRDefault="00DA696D" w:rsidP="00DA696D">
      <w:pPr>
        <w:spacing w:before="240" w:line="360" w:lineRule="auto"/>
        <w:ind w:left="708"/>
        <w:jc w:val="both"/>
        <w:rPr>
          <w:rFonts w:ascii="Palatino Linotype" w:hAnsi="Palatino Linotype" w:cs="Arial"/>
          <w:i/>
          <w:iCs/>
          <w:sz w:val="24"/>
        </w:rPr>
      </w:pPr>
      <w:r w:rsidRPr="00DA696D">
        <w:rPr>
          <w:rFonts w:ascii="Palatino Linotype" w:hAnsi="Palatino Linotype" w:cs="Arial"/>
          <w:i/>
          <w:iCs/>
          <w:sz w:val="24"/>
        </w:rPr>
        <w:t>ATENTAMENTE</w:t>
      </w:r>
    </w:p>
    <w:p w14:paraId="1749E1A4" w14:textId="141DA36E" w:rsidR="00CB5584" w:rsidRDefault="00DA696D" w:rsidP="00DA696D">
      <w:pPr>
        <w:spacing w:before="240" w:line="360" w:lineRule="auto"/>
        <w:ind w:left="708"/>
        <w:jc w:val="both"/>
        <w:rPr>
          <w:rFonts w:ascii="Palatino Linotype" w:hAnsi="Palatino Linotype" w:cs="Arial"/>
          <w:b/>
          <w:i/>
          <w:iCs/>
          <w:sz w:val="24"/>
        </w:rPr>
      </w:pPr>
      <w:r w:rsidRPr="00DA696D">
        <w:rPr>
          <w:rFonts w:ascii="Palatino Linotype" w:hAnsi="Palatino Linotype" w:cs="Arial"/>
          <w:i/>
          <w:iCs/>
          <w:sz w:val="24"/>
        </w:rPr>
        <w:t>Lic. Diana Nallely López García</w:t>
      </w:r>
      <w:r w:rsidR="00CB5584" w:rsidRPr="00CB5584">
        <w:rPr>
          <w:rFonts w:ascii="Palatino Linotype" w:hAnsi="Palatino Linotype" w:cs="Arial"/>
          <w:b/>
          <w:i/>
          <w:iCs/>
          <w:sz w:val="24"/>
        </w:rPr>
        <w:t xml:space="preserve"> </w:t>
      </w:r>
    </w:p>
    <w:p w14:paraId="05B653FD" w14:textId="3A382756" w:rsidR="00A66428" w:rsidRPr="00441A94" w:rsidRDefault="00D81A75" w:rsidP="00CB5584">
      <w:pPr>
        <w:spacing w:before="240" w:line="360" w:lineRule="auto"/>
        <w:jc w:val="both"/>
        <w:rPr>
          <w:rFonts w:ascii="Palatino Linotype" w:hAnsi="Palatino Linotype" w:cs="Arial"/>
          <w:b/>
          <w:sz w:val="28"/>
        </w:rPr>
      </w:pPr>
      <w:r w:rsidRPr="00441A94">
        <w:rPr>
          <w:rFonts w:ascii="Palatino Linotype" w:hAnsi="Palatino Linotype" w:cs="Arial"/>
          <w:b/>
          <w:sz w:val="28"/>
        </w:rPr>
        <w:t>TERCERO</w:t>
      </w:r>
      <w:r w:rsidR="00A66428">
        <w:rPr>
          <w:rFonts w:ascii="Palatino Linotype" w:hAnsi="Palatino Linotype" w:cs="Arial"/>
          <w:b/>
          <w:sz w:val="28"/>
        </w:rPr>
        <w:t>.</w:t>
      </w:r>
      <w:r w:rsidRPr="00165D6E">
        <w:rPr>
          <w:rFonts w:ascii="Palatino Linotype" w:hAnsi="Palatino Linotype" w:cs="Arial"/>
          <w:b/>
          <w:sz w:val="28"/>
          <w:szCs w:val="20"/>
        </w:rPr>
        <w:t xml:space="preserve"> </w:t>
      </w:r>
      <w:r w:rsidR="00A66428" w:rsidRPr="00441A94">
        <w:rPr>
          <w:rFonts w:ascii="Palatino Linotype" w:hAnsi="Palatino Linotype"/>
          <w:b/>
          <w:sz w:val="28"/>
        </w:rPr>
        <w:t>Del recurso de revisión.</w:t>
      </w:r>
    </w:p>
    <w:p w14:paraId="3EC0B327" w14:textId="553C5D06"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22C38">
        <w:rPr>
          <w:rFonts w:ascii="Palatino Linotype" w:hAnsi="Palatino Linotype" w:cs="Arial"/>
          <w:sz w:val="24"/>
          <w:szCs w:val="24"/>
        </w:rPr>
        <w:t xml:space="preserve">dieciocho de diciembre </w:t>
      </w:r>
      <w:r>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22C38">
        <w:rPr>
          <w:rFonts w:ascii="Palatino Linotype" w:hAnsi="Palatino Linotype" w:cs="Arial"/>
          <w:b/>
          <w:bCs/>
          <w:sz w:val="24"/>
          <w:szCs w:val="24"/>
          <w:lang w:eastAsia="es-MX"/>
        </w:rPr>
        <w:t>113</w:t>
      </w:r>
      <w:r w:rsidR="00DA696D">
        <w:rPr>
          <w:rFonts w:ascii="Palatino Linotype" w:hAnsi="Palatino Linotype" w:cs="Arial"/>
          <w:b/>
          <w:bCs/>
          <w:sz w:val="24"/>
          <w:szCs w:val="24"/>
          <w:lang w:eastAsia="es-MX"/>
        </w:rPr>
        <w:t>30</w:t>
      </w:r>
      <w:r>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59C7FF64"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DA696D" w:rsidRPr="00DA696D">
        <w:rPr>
          <w:rFonts w:ascii="Palatino Linotype" w:hAnsi="Palatino Linotype"/>
          <w:i/>
          <w:color w:val="000000"/>
        </w:rPr>
        <w:t>No me entregan la información relativa a las policías que pedí en mi solicitud</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4675AE6" w14:textId="77777777" w:rsidR="00A66428" w:rsidRDefault="00A66428" w:rsidP="00A66428">
      <w:pPr>
        <w:spacing w:before="240"/>
        <w:jc w:val="both"/>
        <w:rPr>
          <w:rFonts w:ascii="Palatino Linotype" w:hAnsi="Palatino Linotype" w:cs="Arial"/>
          <w:b/>
          <w:sz w:val="24"/>
        </w:rPr>
      </w:pP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1A2C2864" w14:textId="6B257A95" w:rsidR="00A66428" w:rsidRPr="004469D5" w:rsidRDefault="00A66428" w:rsidP="00A66428">
      <w:pPr>
        <w:spacing w:before="240"/>
        <w:ind w:left="851" w:right="850"/>
        <w:jc w:val="both"/>
        <w:rPr>
          <w:rFonts w:ascii="Palatino Linotype" w:hAnsi="Palatino Linotype" w:cs="Arial"/>
          <w:i/>
        </w:rPr>
      </w:pPr>
      <w:r w:rsidRPr="004469D5">
        <w:rPr>
          <w:rFonts w:ascii="Palatino Linotype" w:hAnsi="Palatino Linotype" w:cs="Arial"/>
          <w:i/>
        </w:rPr>
        <w:t>“</w:t>
      </w:r>
      <w:r w:rsidR="00DA696D" w:rsidRPr="00DA696D">
        <w:rPr>
          <w:rFonts w:ascii="Palatino Linotype" w:hAnsi="Palatino Linotype" w:cs="Arial"/>
          <w:i/>
        </w:rPr>
        <w:t>La información no esta completa, me limitan mi derecho de acceso a la información pública</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2BDFEA35"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22C38">
        <w:rPr>
          <w:rFonts w:ascii="Palatino Linotype" w:hAnsi="Palatino Linotype" w:cs="Arial"/>
          <w:sz w:val="24"/>
          <w:szCs w:val="24"/>
        </w:rPr>
        <w:t>nueve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252ACEC1"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122C38">
        <w:rPr>
          <w:rFonts w:ascii="Palatino Linotype" w:hAnsi="Palatino Linotype" w:cs="Arial"/>
          <w:sz w:val="24"/>
          <w:szCs w:val="24"/>
        </w:rPr>
        <w:t>veintiocho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5CB6A941"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122C38">
        <w:rPr>
          <w:rFonts w:ascii="Palatino Linotype" w:hAnsi="Palatino Linotype" w:cs="Arial"/>
          <w:sz w:val="24"/>
          <w:szCs w:val="24"/>
        </w:rPr>
        <w:t>veinticuatro de febrero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70ADC8" w14:textId="77777777" w:rsidR="00611F2D" w:rsidRPr="009E5FF7" w:rsidRDefault="00611F2D" w:rsidP="00611F2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TERCERO. Previo y especial pronunciamiento.</w:t>
      </w:r>
    </w:p>
    <w:p w14:paraId="4AC7916B" w14:textId="77777777" w:rsidR="00611F2D" w:rsidRDefault="00611F2D" w:rsidP="00611F2D">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6522A5D0"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7D4004A2"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1BFEC685"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1812A5F9"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1E760A24"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316FC1E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276E5E9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502F65A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455B843F"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62ED30CA"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0758F4C"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79072F3F" w14:textId="77777777" w:rsidR="00611F2D" w:rsidRPr="00890DBD" w:rsidRDefault="00611F2D" w:rsidP="00611F2D">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En caso de que el recurso se in</w:t>
      </w:r>
      <w:bookmarkStart w:id="0" w:name="_GoBack"/>
      <w:bookmarkEnd w:id="0"/>
      <w:r w:rsidRPr="00890DBD">
        <w:rPr>
          <w:rFonts w:ascii="Palatino Linotype" w:hAnsi="Palatino Linotype"/>
          <w:b/>
          <w:i/>
          <w:lang w:val="es-ES"/>
        </w:rPr>
        <w:t>terponga de manera electrónica no será indispensable que contengan los requisitos establecidos en las fracciones II</w:t>
      </w:r>
      <w:r w:rsidRPr="00890DBD">
        <w:rPr>
          <w:rFonts w:ascii="Palatino Linotype" w:hAnsi="Palatino Linotype"/>
          <w:i/>
          <w:lang w:val="es-ES"/>
        </w:rPr>
        <w:t>, IV, VII y VIII.”</w:t>
      </w:r>
    </w:p>
    <w:p w14:paraId="23AC7F85" w14:textId="77777777" w:rsidR="00611F2D" w:rsidRPr="00311EE6" w:rsidRDefault="00611F2D" w:rsidP="00611F2D">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2BA4E011" w14:textId="77777777" w:rsidR="00611F2D" w:rsidRDefault="00611F2D" w:rsidP="00611F2D">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6F34C257" w14:textId="77777777" w:rsidR="00611F2D" w:rsidRPr="009E5FF7" w:rsidRDefault="00611F2D" w:rsidP="00611F2D">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w:t>
      </w:r>
      <w:r w:rsidRPr="0014447C">
        <w:rPr>
          <w:rFonts w:ascii="Palatino Linotype" w:hAnsi="Palatino Linotype"/>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77777777" w:rsidR="00611F2D" w:rsidRPr="008C3CD8" w:rsidRDefault="00611F2D"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2F4EA129" w14:textId="77777777" w:rsidR="001F295E" w:rsidRDefault="00B0008F" w:rsidP="00F730D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w:t>
      </w:r>
      <w:r w:rsidR="00F730DF">
        <w:rPr>
          <w:rFonts w:ascii="Palatino Linotype" w:hAnsi="Palatino Linotype"/>
          <w:sz w:val="24"/>
          <w:szCs w:val="24"/>
        </w:rPr>
        <w:t>término,</w:t>
      </w:r>
      <w:r>
        <w:rPr>
          <w:rFonts w:ascii="Palatino Linotype" w:hAnsi="Palatino Linotype"/>
          <w:sz w:val="24"/>
          <w:szCs w:val="24"/>
        </w:rPr>
        <w:t xml:space="preserve"> es menester </w:t>
      </w:r>
      <w:r w:rsidR="00F730DF">
        <w:rPr>
          <w:rFonts w:ascii="Palatino Linotype" w:hAnsi="Palatino Linotype"/>
          <w:sz w:val="24"/>
          <w:szCs w:val="24"/>
        </w:rPr>
        <w:t>establecer la materia sobre la cual versara el presente asunto, ya que el hoy recurrente señalo como acto impugnado “falta información”.</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5306BC60"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lastRenderedPageBreak/>
        <w:t>“Quiero saber los bonos a que tienen derecho y van a recibir los policías en este año.” [Sic]</w:t>
      </w:r>
    </w:p>
    <w:p w14:paraId="40098D3D" w14:textId="3A878FC6" w:rsidR="00EE28A5" w:rsidRPr="006451E4" w:rsidRDefault="00EE28A5" w:rsidP="00EE28A5">
      <w:pPr>
        <w:spacing w:line="360" w:lineRule="auto"/>
        <w:jc w:val="both"/>
        <w:rPr>
          <w:rFonts w:ascii="Palatino Linotype" w:hAnsi="Palatino Linotype" w:cs="Arial"/>
          <w:color w:val="000000" w:themeColor="text1"/>
          <w:sz w:val="24"/>
          <w:szCs w:val="24"/>
        </w:rPr>
      </w:pPr>
      <w:r w:rsidRPr="006451E4">
        <w:rPr>
          <w:rFonts w:ascii="Palatino Linotype" w:hAnsi="Palatino Linotype" w:cs="Arial"/>
          <w:bCs/>
          <w:sz w:val="24"/>
          <w:szCs w:val="24"/>
        </w:rPr>
        <w:t xml:space="preserve">Así pues, </w:t>
      </w:r>
      <w:r w:rsidR="00533106">
        <w:rPr>
          <w:rFonts w:ascii="Palatino Linotype" w:hAnsi="Palatino Linotype" w:cs="Arial"/>
          <w:bCs/>
          <w:sz w:val="24"/>
          <w:szCs w:val="24"/>
        </w:rPr>
        <w:t>ante tales hechos</w:t>
      </w:r>
      <w:r w:rsidRPr="006451E4">
        <w:rPr>
          <w:rFonts w:ascii="Palatino Linotype" w:hAnsi="Palatino Linotype" w:cs="Arial"/>
          <w:bCs/>
          <w:sz w:val="24"/>
          <w:szCs w:val="24"/>
        </w:rPr>
        <w:t xml:space="preserve">, es oportuno resaltar que el ciudadano tiene la oportunidad de inconformarse  </w:t>
      </w:r>
      <w:r w:rsidRPr="006451E4">
        <w:rPr>
          <w:rFonts w:ascii="Palatino Linotype" w:hAnsi="Palatino Linotype" w:cs="Arial"/>
          <w:sz w:val="24"/>
          <w:szCs w:val="24"/>
        </w:rPr>
        <w:t xml:space="preserve">en los casos en que estime violentado su derecho; en consecuencia, </w:t>
      </w:r>
      <w:r w:rsidRPr="006451E4">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E0904A7" w14:textId="2FC84FA7"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14:paraId="7B046117"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20DBB2B"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3D25EBA"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lastRenderedPageBreak/>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888D40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3AA47A"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8C49BEF" w14:textId="77777777"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099F01D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3416125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4DCA2B6F"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FF11205"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33F86C31" w14:textId="32A49382" w:rsidR="00EE28A5" w:rsidRPr="00A27566" w:rsidRDefault="00EE28A5" w:rsidP="00DA696D">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14:paraId="5C5B5AAE" w14:textId="77777777" w:rsidR="00EE28A5" w:rsidRDefault="00EE28A5" w:rsidP="00F07B17">
      <w:pPr>
        <w:spacing w:before="24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w:t>
      </w:r>
      <w:r w:rsidRPr="005C729F">
        <w:rPr>
          <w:rFonts w:ascii="Palatino Linotype" w:hAnsi="Palatino Linotype" w:cs="Arial"/>
          <w:color w:val="000000" w:themeColor="text1"/>
          <w:sz w:val="24"/>
          <w:szCs w:val="24"/>
        </w:rPr>
        <w:lastRenderedPageBreak/>
        <w:t xml:space="preserve">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37B2BEF8" w14:textId="77777777"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F55104D" w14:textId="77777777"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5D5F3C80" w14:textId="77777777"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9A0F53C" w14:textId="77777777"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1EECC681" w14:textId="77777777"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236544E5" w14:textId="78DD1C1F" w:rsidR="00DA696D" w:rsidRDefault="00DA696D" w:rsidP="00DA696D">
      <w:pPr>
        <w:spacing w:before="240" w:after="240" w:line="360" w:lineRule="auto"/>
        <w:jc w:val="both"/>
        <w:rPr>
          <w:rFonts w:ascii="Palatino Linotype" w:hAnsi="Palatino Linotype"/>
          <w:sz w:val="24"/>
          <w:szCs w:val="24"/>
        </w:rPr>
      </w:pPr>
    </w:p>
    <w:p w14:paraId="558CDA9B" w14:textId="77777777" w:rsidR="007C162D" w:rsidRDefault="007C162D" w:rsidP="00DA696D">
      <w:pPr>
        <w:spacing w:before="240" w:after="240" w:line="360" w:lineRule="auto"/>
        <w:jc w:val="both"/>
        <w:rPr>
          <w:rFonts w:ascii="Palatino Linotype" w:hAnsi="Palatino Linotype"/>
          <w:sz w:val="24"/>
          <w:szCs w:val="24"/>
        </w:rPr>
      </w:pPr>
    </w:p>
    <w:p w14:paraId="41805329" w14:textId="57B89B94" w:rsidR="00DA696D" w:rsidRDefault="007C162D" w:rsidP="00DA696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Ahora bien, no pasa desapercibido que, si bien el sujeto obligado remitió respuesta a la solicitud del particular, también es cierto que, únicamente aludió que los policías no </w:t>
      </w:r>
      <w:r>
        <w:rPr>
          <w:rFonts w:ascii="Palatino Linotype" w:hAnsi="Palatino Linotype"/>
          <w:sz w:val="24"/>
          <w:szCs w:val="24"/>
        </w:rPr>
        <w:lastRenderedPageBreak/>
        <w:t>han recibido algún tipo de bono en lo que va del año y como tal por concepto de bonos no tienen derecho a alguno.</w:t>
      </w:r>
    </w:p>
    <w:p w14:paraId="3989DC81" w14:textId="66A09CCB" w:rsidR="007C162D" w:rsidRDefault="007C162D" w:rsidP="00DA696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Así también, no pasa de óptica este resolutor que, si éxito una respuesta por parte del sujeto obligado, sin embargo, del expediente electrónico Saimex no se advierte algún tramite interno de la solicitud de información por parte de la Titular de la Unidad de Transparencia, tal y como lo establece el numeral 162 de la Ley de Transparencia </w:t>
      </w:r>
      <w:r w:rsidR="003D2E06">
        <w:rPr>
          <w:rFonts w:ascii="Palatino Linotype" w:hAnsi="Palatino Linotype"/>
          <w:sz w:val="24"/>
          <w:szCs w:val="24"/>
        </w:rPr>
        <w:t xml:space="preserve">y </w:t>
      </w:r>
      <w:r>
        <w:rPr>
          <w:rFonts w:ascii="Palatino Linotype" w:hAnsi="Palatino Linotype"/>
          <w:sz w:val="24"/>
          <w:szCs w:val="24"/>
        </w:rPr>
        <w:t>Acceso a la Información Pública del Estado de México y Municipios</w:t>
      </w:r>
      <w:r w:rsidR="003D2E06">
        <w:rPr>
          <w:rFonts w:ascii="Palatino Linotype" w:hAnsi="Palatino Linotype"/>
          <w:sz w:val="24"/>
          <w:szCs w:val="24"/>
        </w:rPr>
        <w:t xml:space="preserve"> que a la letra reza:</w:t>
      </w:r>
    </w:p>
    <w:p w14:paraId="3AAC0F8F" w14:textId="0BBE0DBE" w:rsidR="003D2E06" w:rsidRPr="003D2E06" w:rsidRDefault="003D2E06" w:rsidP="003D2E06">
      <w:pPr>
        <w:spacing w:before="240" w:after="240" w:line="360" w:lineRule="auto"/>
        <w:ind w:left="708"/>
        <w:jc w:val="both"/>
        <w:rPr>
          <w:rFonts w:ascii="Palatino Linotype" w:hAnsi="Palatino Linotype"/>
          <w:i/>
          <w:iCs/>
          <w:sz w:val="24"/>
          <w:szCs w:val="24"/>
        </w:rPr>
      </w:pPr>
      <w:r w:rsidRPr="003D2E06">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5CFC9D8" w14:textId="1BDABC91" w:rsidR="003D2E06" w:rsidRDefault="003D2E06" w:rsidP="00DA696D">
      <w:pPr>
        <w:spacing w:before="240" w:after="240" w:line="360" w:lineRule="auto"/>
        <w:jc w:val="both"/>
        <w:rPr>
          <w:rFonts w:ascii="Palatino Linotype" w:hAnsi="Palatino Linotype"/>
          <w:sz w:val="24"/>
          <w:szCs w:val="24"/>
        </w:rPr>
      </w:pPr>
      <w:r>
        <w:rPr>
          <w:rFonts w:ascii="Palatino Linotype" w:hAnsi="Palatino Linotype"/>
          <w:sz w:val="24"/>
          <w:szCs w:val="24"/>
        </w:rPr>
        <w:t>Luego entonces, como se desprende del numeral en cita, las unidades de transparencia con el objetivo de brindar un buen derecho de acceso a la información publica, deberán de garantizar que las solicitudes de información sean turnadas a las áreas administrativas que de conformidad con su normativa puedan contar con lo solicitado por los particulares, a fin de realizar una búsqueda exhaustiva y razonable dentro de sus archivos.</w:t>
      </w:r>
    </w:p>
    <w:p w14:paraId="3180D80D" w14:textId="70DABC66" w:rsidR="003D2E06" w:rsidRDefault="003D2E06" w:rsidP="00DA696D">
      <w:pPr>
        <w:spacing w:before="240" w:after="240" w:line="360" w:lineRule="auto"/>
        <w:jc w:val="both"/>
        <w:rPr>
          <w:rFonts w:ascii="Palatino Linotype" w:hAnsi="Palatino Linotype"/>
          <w:sz w:val="24"/>
          <w:szCs w:val="24"/>
        </w:rPr>
      </w:pPr>
      <w:r>
        <w:rPr>
          <w:rFonts w:ascii="Palatino Linotype" w:hAnsi="Palatino Linotype"/>
          <w:sz w:val="24"/>
          <w:szCs w:val="24"/>
        </w:rPr>
        <w:t>Amen de lo anterior, como se señaló en párrafos que anteceden el sujeto obligado no realizo el debido carteo dentro de las áreas que pudieran generar, administrar o poseer la información solicitada, lo cual genera incertidumbre jurídica para el particular al momento de recibir la respuesta emitida, ya que la misma podría tratarse de un simple pronunciamiento por parte del Titular de la Unidad de Transparencia.</w:t>
      </w:r>
    </w:p>
    <w:p w14:paraId="5423C45E" w14:textId="77777777" w:rsidR="00AA36D6" w:rsidRPr="008101F6" w:rsidRDefault="00AA36D6" w:rsidP="00AA36D6">
      <w:pPr>
        <w:spacing w:before="240" w:after="360" w:line="360" w:lineRule="auto"/>
        <w:jc w:val="both"/>
        <w:rPr>
          <w:rFonts w:ascii="Palatino Linotype" w:eastAsia="Calibri" w:hAnsi="Palatino Linotype" w:cs="Arial"/>
          <w:sz w:val="24"/>
          <w:szCs w:val="24"/>
        </w:rPr>
      </w:pPr>
      <w:r w:rsidRPr="008101F6">
        <w:rPr>
          <w:rFonts w:ascii="Palatino Linotype" w:hAnsi="Palatino Linotype"/>
          <w:sz w:val="24"/>
          <w:szCs w:val="24"/>
        </w:rPr>
        <w:lastRenderedPageBreak/>
        <w:t xml:space="preserve">De tal modo, </w:t>
      </w:r>
      <w:r w:rsidRPr="008101F6">
        <w:rPr>
          <w:rFonts w:ascii="Palatino Linotype" w:eastAsia="Calibri" w:hAnsi="Palatino Linotype" w:cs="Arial"/>
          <w:sz w:val="24"/>
          <w:szCs w:val="24"/>
        </w:rPr>
        <w:t>el artículo 92 fracción VIII de la citada Ley, indica como una obligación de transparencia común a todos los Sujetos Obligados el poner a disposición del público de manera permanente y actualizada, así como de forma sencilla precisa y entendible en los respectivos medios electrónicos la información relativa a la remuneración bruta y neta de todos los servidores públicos de base o de confianza y de todas las prestaciones, como se observa de la siguiente transcripción.</w:t>
      </w:r>
    </w:p>
    <w:p w14:paraId="7B312F4C" w14:textId="77777777" w:rsidR="00AA36D6" w:rsidRPr="00AA36D6" w:rsidRDefault="00AA36D6" w:rsidP="00AA36D6">
      <w:pPr>
        <w:spacing w:before="240" w:after="360" w:line="360" w:lineRule="auto"/>
        <w:ind w:left="851" w:right="900"/>
        <w:jc w:val="both"/>
        <w:rPr>
          <w:rFonts w:ascii="Palatino Linotype" w:hAnsi="Palatino Linotype"/>
          <w:i/>
          <w:iCs/>
        </w:rPr>
      </w:pPr>
      <w:r w:rsidRPr="00AA36D6">
        <w:rPr>
          <w:rFonts w:ascii="Palatino Linotype" w:eastAsia="Calibri" w:hAnsi="Palatino Linotype" w:cs="Arial"/>
          <w:i/>
          <w:iCs/>
        </w:rPr>
        <w:t>“</w:t>
      </w:r>
      <w:r w:rsidRPr="00AA36D6">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F07F0E" w14:textId="77777777" w:rsidR="00AA36D6" w:rsidRPr="00AA36D6" w:rsidRDefault="00AA36D6" w:rsidP="00AA36D6">
      <w:pPr>
        <w:spacing w:before="240" w:after="360" w:line="360" w:lineRule="auto"/>
        <w:ind w:left="851" w:right="900"/>
        <w:jc w:val="both"/>
        <w:rPr>
          <w:rFonts w:ascii="Palatino Linotype" w:hAnsi="Palatino Linotype"/>
          <w:i/>
          <w:iCs/>
        </w:rPr>
      </w:pPr>
      <w:r w:rsidRPr="00AA36D6">
        <w:rPr>
          <w:rFonts w:ascii="Palatino Linotype" w:hAnsi="Palatino Linotype"/>
          <w:i/>
          <w:iCs/>
        </w:rPr>
        <w:t>(…)</w:t>
      </w:r>
    </w:p>
    <w:p w14:paraId="2D470D16" w14:textId="77777777" w:rsidR="00AA36D6" w:rsidRPr="00AA36D6" w:rsidRDefault="00AA36D6" w:rsidP="00AA36D6">
      <w:pPr>
        <w:spacing w:before="240" w:after="360" w:line="360" w:lineRule="auto"/>
        <w:ind w:left="851" w:right="900"/>
        <w:jc w:val="both"/>
        <w:rPr>
          <w:rFonts w:ascii="Palatino Linotype" w:eastAsia="Calibri" w:hAnsi="Palatino Linotype" w:cs="Arial"/>
          <w:i/>
          <w:iCs/>
        </w:rPr>
      </w:pPr>
      <w:r w:rsidRPr="00AA36D6">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9CDC608" w14:textId="720C25C1" w:rsidR="00AA36D6" w:rsidRPr="008101F6" w:rsidRDefault="00AA36D6" w:rsidP="00AA36D6">
      <w:pPr>
        <w:spacing w:before="240" w:after="360" w:line="360" w:lineRule="auto"/>
        <w:jc w:val="both"/>
        <w:rPr>
          <w:rFonts w:ascii="Palatino Linotype" w:eastAsia="Calibri" w:hAnsi="Palatino Linotype" w:cs="Arial"/>
          <w:sz w:val="24"/>
          <w:szCs w:val="24"/>
        </w:rPr>
      </w:pPr>
      <w:r w:rsidRPr="008101F6">
        <w:rPr>
          <w:rFonts w:ascii="Palatino Linotype" w:eastAsia="Calibri" w:hAnsi="Palatino Linotype" w:cs="Arial"/>
          <w:sz w:val="24"/>
          <w:szCs w:val="24"/>
        </w:rPr>
        <w:t>En este sentido, es evidente que la Ley de Transparencia y Acceso a la Información Pública del Estado de México y Municipios hace referencia de manera específica a que los Su</w:t>
      </w:r>
      <w:r w:rsidRPr="008101F6">
        <w:rPr>
          <w:rFonts w:ascii="Palatino Linotype" w:eastAsia="Calibri" w:hAnsi="Palatino Linotype" w:cs="Arial"/>
          <w:sz w:val="24"/>
          <w:szCs w:val="24"/>
          <w:lang w:eastAsia="es-MX"/>
        </w:rPr>
        <w:t xml:space="preserve">jetos Obligados deben hacer pública la información relativa a la remuneración que perciben todos sus servidores públicos, bruta y neta, así como las dietas, bonos, estímulos; consecuentemente es necesario que en el caso concreto, el Sujeto Obligado </w:t>
      </w:r>
      <w:r w:rsidRPr="008101F6">
        <w:rPr>
          <w:rFonts w:ascii="Palatino Linotype" w:eastAsia="Calibri" w:hAnsi="Palatino Linotype" w:cs="Arial"/>
          <w:sz w:val="24"/>
          <w:szCs w:val="24"/>
          <w:lang w:eastAsia="es-MX"/>
        </w:rPr>
        <w:lastRenderedPageBreak/>
        <w:t>entregue dicha información a la parte recurrente, pues se trata de una obligación determinada por la Ley que rige la materia en la Entidad</w:t>
      </w:r>
      <w:r w:rsidRPr="008101F6">
        <w:rPr>
          <w:rFonts w:ascii="Palatino Linotype" w:eastAsia="Calibri" w:hAnsi="Palatino Linotype" w:cs="Arial"/>
          <w:sz w:val="24"/>
          <w:szCs w:val="24"/>
        </w:rPr>
        <w:t xml:space="preserve">. </w:t>
      </w:r>
    </w:p>
    <w:p w14:paraId="7CDB536B" w14:textId="77777777" w:rsidR="002A143D" w:rsidRPr="002A143D" w:rsidRDefault="002A143D" w:rsidP="002A143D">
      <w:pPr>
        <w:spacing w:before="240" w:after="240" w:line="360" w:lineRule="auto"/>
        <w:jc w:val="both"/>
        <w:rPr>
          <w:rFonts w:ascii="Palatino Linotype" w:hAnsi="Palatino Linotype" w:cs="Arial"/>
          <w:sz w:val="24"/>
          <w:szCs w:val="24"/>
        </w:rPr>
      </w:pPr>
      <w:r w:rsidRPr="002A143D">
        <w:rPr>
          <w:rFonts w:ascii="Palatino Linotype" w:hAnsi="Palatino Linotype" w:cs="Arial"/>
          <w:sz w:val="24"/>
          <w:szCs w:val="24"/>
        </w:rPr>
        <w:t>Ahora bien, el Manual Único de Contabilidad Gubernamental para las Dependencias y Entidades Públicas del Gobierno y Municipios del Estado de México en su edición 2019</w:t>
      </w:r>
      <w:r w:rsidRPr="002A143D">
        <w:rPr>
          <w:rStyle w:val="Refdenotaalpie"/>
          <w:rFonts w:ascii="Palatino Linotype" w:hAnsi="Palatino Linotype"/>
          <w:sz w:val="24"/>
          <w:szCs w:val="24"/>
        </w:rPr>
        <w:footnoteReference w:id="2"/>
      </w:r>
      <w:r w:rsidRPr="002A143D">
        <w:rPr>
          <w:rFonts w:ascii="Palatino Linotype" w:hAnsi="Palatino Linotype"/>
          <w:sz w:val="24"/>
          <w:szCs w:val="24"/>
        </w:rPr>
        <w:t xml:space="preserve">, </w:t>
      </w:r>
      <w:r w:rsidRPr="002A143D">
        <w:rPr>
          <w:rFonts w:ascii="Palatino Linotype" w:hAnsi="Palatino Linotype" w:cs="Arial"/>
          <w:sz w:val="24"/>
          <w:szCs w:val="24"/>
        </w:rPr>
        <w:t>tiene como objetivo el proporcionar a las entidades de la administración pública Estatal y Municipal, los elementos necesarios que les permitan contabilizar sus operaciones al establecer los criterios en materia de contabilidad gubernamental; el instrumento básico para su operación es el Catálogo de Cuentas, el cual agrupa un conjunto de conceptos homogéneos, cuya ordenación facilita distinguir y formar agrupaciones generales y de orden particular; mientras que el Instructivo para el manejo de las cuentas, describe, en forma detallada, los distintos conceptos de cargo y abono por los que cada cuenta deberá ser afectada, indicando el número respectivo, su denominación, clasificación y naturaleza, así como la representatividad de su saldo; de igual manera, la Guía Contabilizadora contiene la descripción detallada de las principales operaciones, además de mencionar los documentos fuente que respaldan cada operación, señalando su periodicidad durante un ejercicio e incluye las cuentas a afectar, tanto contable como presupuestalmente.</w:t>
      </w:r>
    </w:p>
    <w:p w14:paraId="051C39D1" w14:textId="62AB0623" w:rsidR="002A143D" w:rsidRDefault="002A143D" w:rsidP="002A143D">
      <w:pPr>
        <w:spacing w:before="240" w:after="240" w:line="360" w:lineRule="auto"/>
        <w:jc w:val="both"/>
        <w:rPr>
          <w:rFonts w:ascii="Palatino Linotype" w:hAnsi="Palatino Linotype" w:cs="Arial"/>
          <w:sz w:val="24"/>
          <w:szCs w:val="24"/>
        </w:rPr>
      </w:pPr>
      <w:r w:rsidRPr="002A143D">
        <w:rPr>
          <w:rFonts w:ascii="Palatino Linotype" w:hAnsi="Palatino Linotype" w:cs="Arial"/>
          <w:sz w:val="24"/>
          <w:szCs w:val="24"/>
        </w:rPr>
        <w:t>Es así, como el Clasificador por objeto de gasto de los años requeridos, establece la partida y el concepto del tema que nos ocupa, de la siguiente manera:</w:t>
      </w:r>
    </w:p>
    <w:p w14:paraId="561766C6" w14:textId="4B75ED78" w:rsidR="002A143D" w:rsidRPr="002A143D" w:rsidRDefault="002A143D" w:rsidP="002A143D">
      <w:pPr>
        <w:spacing w:before="240" w:after="240" w:line="360" w:lineRule="auto"/>
        <w:jc w:val="both"/>
        <w:rPr>
          <w:rFonts w:ascii="Palatino Linotype" w:hAnsi="Palatino Linotype" w:cs="Arial"/>
          <w:sz w:val="24"/>
          <w:szCs w:val="24"/>
        </w:rPr>
      </w:pPr>
      <w:r>
        <w:rPr>
          <w:noProof/>
        </w:rPr>
        <w:lastRenderedPageBreak/>
        <mc:AlternateContent>
          <mc:Choice Requires="wps">
            <w:drawing>
              <wp:anchor distT="0" distB="0" distL="114300" distR="114300" simplePos="0" relativeHeight="251678720" behindDoc="0" locked="0" layoutInCell="1" allowOverlap="1" wp14:anchorId="0623E43F" wp14:editId="06F22320">
                <wp:simplePos x="0" y="0"/>
                <wp:positionH relativeFrom="column">
                  <wp:posOffset>-15011</wp:posOffset>
                </wp:positionH>
                <wp:positionV relativeFrom="paragraph">
                  <wp:posOffset>712445</wp:posOffset>
                </wp:positionV>
                <wp:extent cx="5764378" cy="523595"/>
                <wp:effectExtent l="19050" t="19050" r="27305" b="10160"/>
                <wp:wrapNone/>
                <wp:docPr id="8" name="Rectángulo 8"/>
                <wp:cNvGraphicFramePr/>
                <a:graphic xmlns:a="http://schemas.openxmlformats.org/drawingml/2006/main">
                  <a:graphicData uri="http://schemas.microsoft.com/office/word/2010/wordprocessingShape">
                    <wps:wsp>
                      <wps:cNvSpPr/>
                      <wps:spPr>
                        <a:xfrm>
                          <a:off x="0" y="0"/>
                          <a:ext cx="5764378" cy="52359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CAF741" id="Rectángulo 8" o:spid="_x0000_s1026" style="position:absolute;margin-left:-1.2pt;margin-top:56.1pt;width:453.9pt;height:4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" filled="f" strokecolor="red" strokeweight="2.25pt"/>
            </w:pict>
          </mc:Fallback>
        </mc:AlternateContent>
      </w:r>
      <w:r>
        <w:rPr>
          <w:noProof/>
        </w:rPr>
        <w:drawing>
          <wp:inline distT="0" distB="0" distL="0" distR="0" wp14:anchorId="0A0D0E88" wp14:editId="2526479F">
            <wp:extent cx="5762625" cy="3638550"/>
            <wp:effectExtent l="0" t="0" r="9525" b="0"/>
            <wp:docPr id="7" name="Imagen 7"/>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7">
                      <a:extLst>
                        <a:ext uri="{28A0092B-C50C-407E-A947-70E740481C1C}">
                          <a14:useLocalDpi xmlns:a14="http://schemas.microsoft.com/office/drawing/2010/main" val="0"/>
                        </a:ext>
                      </a:extLst>
                    </a:blip>
                    <a:srcRect l="28631" t="17123" r="28803" b="6485"/>
                    <a:stretch/>
                  </pic:blipFill>
                  <pic:spPr bwMode="auto">
                    <a:xfrm>
                      <a:off x="0" y="0"/>
                      <a:ext cx="5762625" cy="3638550"/>
                    </a:xfrm>
                    <a:prstGeom prst="rect">
                      <a:avLst/>
                    </a:prstGeom>
                    <a:ln>
                      <a:noFill/>
                    </a:ln>
                    <a:extLst>
                      <a:ext uri="{53640926-AAD7-44D8-BBD7-CCE9431645EC}">
                        <a14:shadowObscured xmlns:a14="http://schemas.microsoft.com/office/drawing/2010/main"/>
                      </a:ext>
                    </a:extLst>
                  </pic:spPr>
                </pic:pic>
              </a:graphicData>
            </a:graphic>
          </wp:inline>
        </w:drawing>
      </w:r>
    </w:p>
    <w:p w14:paraId="57116029" w14:textId="73D99441" w:rsidR="002A143D" w:rsidRPr="00AA36D6" w:rsidRDefault="002A143D" w:rsidP="008101F6">
      <w:pPr>
        <w:spacing w:before="240" w:after="240" w:line="360" w:lineRule="auto"/>
        <w:jc w:val="both"/>
        <w:rPr>
          <w:rFonts w:ascii="Palatino Linotype" w:eastAsia="Calibri" w:hAnsi="Palatino Linotype" w:cs="Arial"/>
        </w:rPr>
      </w:pPr>
      <w:r>
        <w:rPr>
          <w:rFonts w:ascii="Palatino Linotype" w:hAnsi="Palatino Linotype" w:cs="Times New Roman"/>
          <w:noProof/>
          <w:sz w:val="24"/>
          <w:szCs w:val="24"/>
          <w:lang w:eastAsia="es-MX"/>
        </w:rPr>
        <w:t>Bajo tal premisa, dentro de la partida 1700 nos encontramos con el tema que nos ocupa para el presente asunto, del cual se puede apreciar el concepto por pago de estimulos a los servidores publicos.</w:t>
      </w:r>
    </w:p>
    <w:p w14:paraId="3D5D42B8" w14:textId="32DD9232" w:rsidR="00AA36D6" w:rsidRPr="008101F6" w:rsidRDefault="008101F6" w:rsidP="00AA36D6">
      <w:pPr>
        <w:spacing w:before="240" w:after="360" w:line="360" w:lineRule="auto"/>
        <w:jc w:val="both"/>
        <w:rPr>
          <w:rFonts w:ascii="Palatino Linotype" w:hAnsi="Palatino Linotype" w:cs="Arial"/>
          <w:sz w:val="24"/>
          <w:szCs w:val="24"/>
        </w:rPr>
      </w:pPr>
      <w:r>
        <w:rPr>
          <w:rFonts w:ascii="Palatino Linotype" w:hAnsi="Palatino Linotype" w:cs="Arial"/>
          <w:sz w:val="24"/>
          <w:szCs w:val="24"/>
        </w:rPr>
        <w:t>Por su parte</w:t>
      </w:r>
      <w:r w:rsidR="00AA36D6" w:rsidRPr="008101F6">
        <w:rPr>
          <w:rFonts w:ascii="Palatino Linotype" w:hAnsi="Palatino Linotype" w:cs="Arial"/>
          <w:sz w:val="24"/>
          <w:szCs w:val="24"/>
        </w:rPr>
        <w:t>, la Ley del Trabajo de los Servidores Públicos del Estado y Municipios, en su artículo 220-K fracciones II y IV y último párrafo, establecen lo siguiente:</w:t>
      </w:r>
    </w:p>
    <w:p w14:paraId="3DD55EF7" w14:textId="77777777" w:rsidR="00AA36D6" w:rsidRPr="007A63F7" w:rsidRDefault="00AA36D6" w:rsidP="00AA36D6">
      <w:pPr>
        <w:tabs>
          <w:tab w:val="left" w:pos="9072"/>
        </w:tabs>
        <w:spacing w:after="120" w:line="360" w:lineRule="auto"/>
        <w:ind w:left="851" w:right="902"/>
        <w:contextualSpacing/>
        <w:jc w:val="both"/>
        <w:rPr>
          <w:rFonts w:ascii="Palatino Linotype" w:hAnsi="Palatino Linotype"/>
          <w:bCs/>
          <w:i/>
          <w:szCs w:val="20"/>
        </w:rPr>
      </w:pPr>
      <w:r w:rsidRPr="007A63F7">
        <w:rPr>
          <w:rFonts w:ascii="Palatino Linotype" w:hAnsi="Palatino Linotype"/>
          <w:b/>
          <w:bCs/>
          <w:i/>
          <w:szCs w:val="20"/>
        </w:rPr>
        <w:t>“ARTÍCULO 220 K.-</w:t>
      </w:r>
      <w:r w:rsidRPr="007A63F7">
        <w:rPr>
          <w:rFonts w:ascii="Palatino Linotype" w:hAnsi="Palatino Linotype"/>
          <w:bCs/>
          <w:i/>
          <w:szCs w:val="20"/>
        </w:rPr>
        <w:t xml:space="preserve"> La institución o dependencia pública tiene la obligación de conservar y exhibir en el proceso los documentos que a continuación se precisan:</w:t>
      </w:r>
    </w:p>
    <w:p w14:paraId="3DA90691" w14:textId="77777777" w:rsidR="00AA36D6" w:rsidRPr="007A63F7" w:rsidRDefault="00AA36D6" w:rsidP="00AA36D6">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w:t>
      </w:r>
    </w:p>
    <w:p w14:paraId="186DC48A" w14:textId="77777777" w:rsidR="00AA36D6" w:rsidRPr="007A63F7" w:rsidRDefault="00AA36D6" w:rsidP="00AA36D6">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II. Recibos de pagos de salarios o las constancias documentales del pago de salario cuando sea por depósito o mediante información electrónica;</w:t>
      </w:r>
    </w:p>
    <w:p w14:paraId="4619B022" w14:textId="77777777" w:rsidR="00AA36D6" w:rsidRPr="007A63F7" w:rsidRDefault="00AA36D6" w:rsidP="00AA36D6">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w:t>
      </w:r>
    </w:p>
    <w:p w14:paraId="6286E590" w14:textId="77777777" w:rsidR="00AA36D6" w:rsidRPr="007A63F7" w:rsidRDefault="00AA36D6" w:rsidP="00AA36D6">
      <w:pPr>
        <w:tabs>
          <w:tab w:val="left" w:pos="9072"/>
        </w:tabs>
        <w:spacing w:after="120" w:line="360" w:lineRule="auto"/>
        <w:ind w:left="1134" w:right="902"/>
        <w:contextualSpacing/>
        <w:jc w:val="both"/>
        <w:rPr>
          <w:rFonts w:ascii="Palatino Linotype" w:hAnsi="Palatino Linotype"/>
          <w:bCs/>
          <w:i/>
          <w:szCs w:val="20"/>
        </w:rPr>
      </w:pPr>
    </w:p>
    <w:p w14:paraId="6C219DA7" w14:textId="77777777" w:rsidR="00AA36D6" w:rsidRPr="007A63F7" w:rsidRDefault="00AA36D6" w:rsidP="00AA36D6">
      <w:pPr>
        <w:tabs>
          <w:tab w:val="left" w:pos="9072"/>
        </w:tabs>
        <w:spacing w:after="120" w:line="360" w:lineRule="auto"/>
        <w:ind w:left="1134" w:right="902"/>
        <w:contextualSpacing/>
        <w:jc w:val="both"/>
        <w:rPr>
          <w:rFonts w:ascii="Palatino Linotype" w:hAnsi="Palatino Linotype"/>
          <w:bCs/>
          <w:i/>
          <w:szCs w:val="20"/>
        </w:rPr>
      </w:pPr>
      <w:r w:rsidRPr="007A63F7">
        <w:rPr>
          <w:rFonts w:ascii="Palatino Linotype" w:hAnsi="Palatino Linotype"/>
          <w:bCs/>
          <w:i/>
          <w:szCs w:val="20"/>
        </w:rPr>
        <w:t>IV. Recibos o las constancias de depósito o del medio de información magnética o electrónica que sean utilizadas para el pago de salarios, prima vacacional, aguinaldo y demás prestaciones establecidas en la presente ley; y…</w:t>
      </w:r>
    </w:p>
    <w:p w14:paraId="60A9EF6D" w14:textId="77777777" w:rsidR="00AA36D6" w:rsidRPr="007A63F7" w:rsidRDefault="00AA36D6" w:rsidP="00AA36D6">
      <w:pPr>
        <w:tabs>
          <w:tab w:val="left" w:pos="9072"/>
        </w:tabs>
        <w:spacing w:after="120" w:line="360" w:lineRule="auto"/>
        <w:ind w:left="851" w:right="902"/>
        <w:contextualSpacing/>
        <w:jc w:val="both"/>
        <w:rPr>
          <w:rFonts w:ascii="Palatino Linotype" w:hAnsi="Palatino Linotype"/>
          <w:bCs/>
          <w:i/>
          <w:szCs w:val="20"/>
        </w:rPr>
      </w:pPr>
      <w:r w:rsidRPr="007A63F7">
        <w:rPr>
          <w:rFonts w:ascii="Palatino Linotype" w:hAnsi="Palatino Linotype"/>
          <w:bCs/>
          <w:i/>
          <w:szCs w:val="2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25307D4" w14:textId="77777777" w:rsidR="00AA36D6" w:rsidRPr="007A63F7" w:rsidRDefault="00AA36D6" w:rsidP="00AA36D6">
      <w:pPr>
        <w:tabs>
          <w:tab w:val="left" w:pos="9072"/>
        </w:tabs>
        <w:spacing w:after="120" w:line="360" w:lineRule="auto"/>
        <w:ind w:left="851" w:right="902"/>
        <w:contextualSpacing/>
        <w:jc w:val="both"/>
        <w:rPr>
          <w:rFonts w:ascii="Palatino Linotype" w:hAnsi="Palatino Linotype"/>
          <w:bCs/>
          <w:i/>
          <w:szCs w:val="20"/>
        </w:rPr>
      </w:pPr>
      <w:r w:rsidRPr="007A63F7">
        <w:rPr>
          <w:rFonts w:ascii="Palatino Linotype" w:hAnsi="Palatino Linotype"/>
          <w:bCs/>
          <w:i/>
          <w:szCs w:val="20"/>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6604B0B" w14:textId="77777777" w:rsidR="00AA36D6" w:rsidRPr="007A63F7" w:rsidRDefault="00AA36D6" w:rsidP="00AA36D6">
      <w:pPr>
        <w:tabs>
          <w:tab w:val="left" w:pos="9072"/>
        </w:tabs>
        <w:spacing w:after="120" w:line="360" w:lineRule="auto"/>
        <w:ind w:left="851" w:right="902"/>
        <w:contextualSpacing/>
        <w:jc w:val="both"/>
        <w:rPr>
          <w:rFonts w:ascii="Palatino Linotype" w:hAnsi="Palatino Linotype"/>
          <w:bCs/>
          <w:i/>
          <w:szCs w:val="20"/>
        </w:rPr>
      </w:pPr>
    </w:p>
    <w:p w14:paraId="672BEF16" w14:textId="77777777" w:rsidR="00AA36D6" w:rsidRPr="007A63F7" w:rsidRDefault="00AA36D6" w:rsidP="00AA36D6">
      <w:pPr>
        <w:spacing w:after="120" w:line="360" w:lineRule="auto"/>
        <w:ind w:left="851" w:right="902"/>
        <w:contextualSpacing/>
        <w:jc w:val="both"/>
        <w:rPr>
          <w:rFonts w:ascii="Palatino Linotype" w:hAnsi="Palatino Linotype"/>
          <w:bCs/>
          <w:i/>
          <w:szCs w:val="20"/>
        </w:rPr>
      </w:pPr>
      <w:r w:rsidRPr="007A63F7">
        <w:rPr>
          <w:rFonts w:ascii="Palatino Linotype" w:hAnsi="Palatino Linotype"/>
          <w:bCs/>
          <w:i/>
          <w:szCs w:val="20"/>
        </w:rPr>
        <w:t>El incumplimiento por lo dispuesto por este artículo, establecerá la presunción de ser ciertos los hechos que el actor exprese en su demanda, en relación con tales documentos, salvo prueba en contrario.”</w:t>
      </w:r>
    </w:p>
    <w:p w14:paraId="1B801635" w14:textId="77777777" w:rsidR="00AA36D6" w:rsidRPr="008101F6" w:rsidRDefault="00AA36D6" w:rsidP="00AA36D6">
      <w:pPr>
        <w:spacing w:before="240" w:after="240" w:line="360" w:lineRule="auto"/>
        <w:jc w:val="both"/>
        <w:rPr>
          <w:rFonts w:ascii="Palatino Linotype" w:hAnsi="Palatino Linotype" w:cs="Arial"/>
          <w:sz w:val="24"/>
          <w:szCs w:val="24"/>
        </w:rPr>
      </w:pPr>
      <w:r w:rsidRPr="008101F6">
        <w:rPr>
          <w:rFonts w:ascii="Palatino Linotype" w:hAnsi="Palatino Linotype" w:cs="Arial"/>
          <w:sz w:val="24"/>
          <w:szCs w:val="24"/>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27A8753" w14:textId="4F9390F7" w:rsidR="00AA36D6" w:rsidRDefault="00AA36D6" w:rsidP="00DA696D">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Por lo tanto, el sujeto obligado se encuentra posibilitado de hacer entrega de la información solicitada, la cual de manera enunciativa mas no limitativa podría contenerse en los recibos de nómina o CFDI</w:t>
      </w:r>
      <w:r w:rsidR="002A143D">
        <w:rPr>
          <w:rFonts w:ascii="Palatino Linotype" w:hAnsi="Palatino Linotype"/>
          <w:sz w:val="24"/>
          <w:szCs w:val="24"/>
        </w:rPr>
        <w:t>, en los que tienen como objetivo presentar la información del pago de las remuneraciones de cada uno de los servidores públicos de la entidad fiscalizable que se trate y en su caso, las prestaciones establecidas en la Ley.</w:t>
      </w:r>
    </w:p>
    <w:p w14:paraId="6821F670" w14:textId="77777777" w:rsidR="007F7F3C" w:rsidRDefault="007F7F3C" w:rsidP="007F7F3C">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79F81A00" w14:textId="77777777" w:rsidR="007F7F3C" w:rsidRDefault="007F7F3C" w:rsidP="007F7F3C">
      <w:pPr>
        <w:spacing w:before="240" w:line="360" w:lineRule="auto"/>
        <w:ind w:left="567" w:right="567"/>
        <w:jc w:val="both"/>
        <w:rPr>
          <w:rFonts w:ascii="Palatino Linotype" w:eastAsia="Times New Roman" w:hAnsi="Palatino Linotype" w:cs="Arial"/>
          <w:bCs/>
          <w:i/>
          <w:lang w:eastAsia="es-ES"/>
        </w:rPr>
      </w:pPr>
      <w:r>
        <w:rPr>
          <w:rFonts w:ascii="Palatino Linotype" w:eastAsia="Times New Roman" w:hAnsi="Palatino Linotype" w:cs="Times New Roman"/>
          <w:b/>
          <w:i/>
          <w:lang w:eastAsia="es-ES"/>
        </w:rPr>
        <w:t>Artículo 350.-</w:t>
      </w:r>
      <w:r>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Pr>
          <w:rFonts w:ascii="Palatino Linotype" w:eastAsia="Times New Roman" w:hAnsi="Palatino Linotype" w:cs="Arial"/>
          <w:bCs/>
          <w:i/>
          <w:lang w:eastAsia="es-ES"/>
        </w:rPr>
        <w:t xml:space="preserve">Fiscalización del Estado de México, la siguiente información: </w:t>
      </w:r>
    </w:p>
    <w:p w14:paraId="3E0A60BF" w14:textId="77777777" w:rsidR="007F7F3C" w:rsidRDefault="007F7F3C" w:rsidP="007F7F3C">
      <w:pPr>
        <w:numPr>
          <w:ilvl w:val="0"/>
          <w:numId w:val="23"/>
        </w:numPr>
        <w:spacing w:before="240" w:line="360" w:lineRule="auto"/>
        <w:ind w:right="567"/>
        <w:jc w:val="both"/>
        <w:rPr>
          <w:rFonts w:ascii="Palatino Linotype" w:eastAsia="Times New Roman" w:hAnsi="Palatino Linotype" w:cs="Arial"/>
          <w:bCs/>
          <w:i/>
          <w:lang w:eastAsia="es-ES"/>
        </w:rPr>
      </w:pPr>
      <w:r>
        <w:rPr>
          <w:rFonts w:ascii="Palatino Linotype" w:eastAsia="Times New Roman" w:hAnsi="Palatino Linotype" w:cs="Arial"/>
          <w:bCs/>
          <w:i/>
          <w:lang w:eastAsia="es-ES"/>
        </w:rPr>
        <w:t xml:space="preserve">Información patrimonial. </w:t>
      </w:r>
    </w:p>
    <w:p w14:paraId="2F2E44D9" w14:textId="77777777" w:rsidR="007F7F3C" w:rsidRDefault="007F7F3C" w:rsidP="007F7F3C">
      <w:pPr>
        <w:numPr>
          <w:ilvl w:val="0"/>
          <w:numId w:val="23"/>
        </w:numPr>
        <w:spacing w:before="240" w:line="360" w:lineRule="auto"/>
        <w:ind w:right="567"/>
        <w:jc w:val="both"/>
        <w:rPr>
          <w:rFonts w:ascii="Palatino Linotype" w:eastAsia="Times New Roman" w:hAnsi="Palatino Linotype" w:cs="Arial"/>
          <w:bCs/>
          <w:i/>
          <w:lang w:eastAsia="es-ES"/>
        </w:rPr>
      </w:pPr>
      <w:r>
        <w:rPr>
          <w:rFonts w:ascii="Palatino Linotype" w:eastAsia="Times New Roman" w:hAnsi="Palatino Linotype" w:cs="Arial"/>
          <w:bCs/>
          <w:i/>
          <w:lang w:eastAsia="es-ES"/>
        </w:rPr>
        <w:t xml:space="preserve">Información presupuestal. </w:t>
      </w:r>
    </w:p>
    <w:p w14:paraId="1D13FAEC" w14:textId="77777777" w:rsidR="007F7F3C" w:rsidRDefault="007F7F3C" w:rsidP="007F7F3C">
      <w:pPr>
        <w:numPr>
          <w:ilvl w:val="0"/>
          <w:numId w:val="23"/>
        </w:numPr>
        <w:spacing w:before="240" w:line="360" w:lineRule="auto"/>
        <w:ind w:right="567"/>
        <w:jc w:val="both"/>
        <w:rPr>
          <w:rFonts w:ascii="Palatino Linotype" w:eastAsia="Times New Roman" w:hAnsi="Palatino Linotype" w:cs="Arial"/>
          <w:bCs/>
          <w:i/>
          <w:lang w:eastAsia="es-ES"/>
        </w:rPr>
      </w:pPr>
      <w:r>
        <w:rPr>
          <w:rFonts w:ascii="Palatino Linotype" w:eastAsia="Times New Roman" w:hAnsi="Palatino Linotype" w:cs="Arial"/>
          <w:bCs/>
          <w:i/>
          <w:lang w:eastAsia="es-ES"/>
        </w:rPr>
        <w:t xml:space="preserve">Información de la obra pública. </w:t>
      </w:r>
    </w:p>
    <w:p w14:paraId="228DEB28" w14:textId="77777777" w:rsidR="007F7F3C" w:rsidRDefault="007F7F3C" w:rsidP="007F7F3C">
      <w:pPr>
        <w:numPr>
          <w:ilvl w:val="0"/>
          <w:numId w:val="23"/>
        </w:numPr>
        <w:spacing w:before="240" w:line="360" w:lineRule="auto"/>
        <w:ind w:right="567"/>
        <w:jc w:val="both"/>
        <w:rPr>
          <w:rFonts w:ascii="Palatino Linotype" w:eastAsia="Times New Roman" w:hAnsi="Palatino Linotype" w:cs="Arial"/>
          <w:i/>
          <w:lang w:eastAsia="es-ES"/>
        </w:rPr>
      </w:pPr>
      <w:r>
        <w:rPr>
          <w:rFonts w:ascii="Palatino Linotype" w:eastAsia="Times New Roman" w:hAnsi="Palatino Linotype" w:cs="Arial"/>
          <w:b/>
          <w:bCs/>
          <w:i/>
          <w:u w:val="single"/>
          <w:lang w:eastAsia="es-ES"/>
        </w:rPr>
        <w:t>Información de nómina</w:t>
      </w:r>
      <w:r>
        <w:rPr>
          <w:rFonts w:ascii="Palatino Linotype" w:eastAsia="Times New Roman" w:hAnsi="Palatino Linotype" w:cs="Arial"/>
          <w:bCs/>
          <w:i/>
          <w:lang w:eastAsia="es-ES"/>
        </w:rPr>
        <w:t>.</w:t>
      </w:r>
    </w:p>
    <w:p w14:paraId="39831295" w14:textId="77777777" w:rsidR="007F7F3C" w:rsidRDefault="007F7F3C" w:rsidP="007F7F3C">
      <w:pPr>
        <w:spacing w:before="240" w:line="360" w:lineRule="auto"/>
        <w:jc w:val="both"/>
        <w:rPr>
          <w:rFonts w:ascii="Palatino Linotype" w:eastAsia="MS Mincho" w:hAnsi="Palatino Linotype" w:cs="Tahoma"/>
          <w:sz w:val="24"/>
          <w:szCs w:val="24"/>
          <w:lang w:val="es-ES_tradnl"/>
        </w:rPr>
      </w:pPr>
      <w:r>
        <w:rPr>
          <w:rFonts w:ascii="Palatino Linotype" w:eastAsia="Times New Roman" w:hAnsi="Palatino Linotype" w:cs="Times New Roman"/>
          <w:sz w:val="24"/>
          <w:szCs w:val="24"/>
        </w:rPr>
        <w:t xml:space="preserve">De igual forma, </w:t>
      </w:r>
      <w:r>
        <w:rPr>
          <w:rFonts w:ascii="Palatino Linotype" w:eastAsia="MS Mincho" w:hAnsi="Palatino Linotype" w:cs="Arial"/>
          <w:sz w:val="24"/>
          <w:szCs w:val="24"/>
          <w:lang w:val="es-ES_tradnl"/>
        </w:rPr>
        <w:t xml:space="preserve">las </w:t>
      </w:r>
      <w:r>
        <w:rPr>
          <w:rFonts w:ascii="Palatino Linotype" w:eastAsia="Times New Roman" w:hAnsi="Palatino Linotype" w:cs="Arial"/>
          <w:sz w:val="24"/>
          <w:szCs w:val="24"/>
        </w:rPr>
        <w:t>disposiciones</w:t>
      </w:r>
      <w:r>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Pr>
          <w:rFonts w:ascii="Palatino Linotype" w:eastAsia="MS Mincho" w:hAnsi="Palatino Linotype" w:cs="Tahoma"/>
          <w:sz w:val="24"/>
          <w:szCs w:val="24"/>
          <w:lang w:val="es-ES_tradnl"/>
        </w:rPr>
        <w:t xml:space="preserve">erramienta para elaborar y presentar los Informes Mensuales por parte de las Entidades Fiscalizables, en cuanto a los requerimientos financieros, </w:t>
      </w:r>
      <w:r>
        <w:rPr>
          <w:rFonts w:ascii="Palatino Linotype" w:eastAsia="MS Mincho" w:hAnsi="Palatino Linotype" w:cs="Tahoma"/>
          <w:sz w:val="24"/>
          <w:szCs w:val="24"/>
          <w:lang w:val="es-ES_tradnl"/>
        </w:rPr>
        <w:lastRenderedPageBreak/>
        <w:t>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746CA8AE" w14:textId="77777777" w:rsidR="007F7F3C" w:rsidRDefault="007F7F3C" w:rsidP="007F7F3C">
      <w:pPr>
        <w:widowControl w:val="0"/>
        <w:autoSpaceDE w:val="0"/>
        <w:autoSpaceDN w:val="0"/>
        <w:adjustRightInd w:val="0"/>
        <w:spacing w:before="240" w:line="360" w:lineRule="auto"/>
        <w:jc w:val="both"/>
        <w:rPr>
          <w:rFonts w:ascii="Palatino Linotype" w:hAnsi="Palatino Linotype"/>
          <w:i/>
        </w:rPr>
      </w:pPr>
      <w:r>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Pr>
          <w:rFonts w:ascii="Palatino Linotype" w:eastAsia="Calibri" w:hAnsi="Palatino Linotype" w:cs="Arial"/>
          <w:sz w:val="24"/>
          <w:szCs w:val="24"/>
        </w:rPr>
        <w:t>presentar</w:t>
      </w:r>
      <w:r>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Nómina</w:t>
      </w:r>
      <w:r>
        <w:rPr>
          <w:rFonts w:ascii="Palatino Linotype" w:eastAsia="MS Mincho" w:hAnsi="Palatino Linotype" w:cs="Tahoma"/>
          <w:sz w:val="24"/>
          <w:szCs w:val="24"/>
          <w:lang w:val="es-ES_tradnl"/>
        </w:rPr>
        <w:t xml:space="preserve">, el cual, se integra por documentos tales como los </w:t>
      </w:r>
      <w:r>
        <w:rPr>
          <w:rFonts w:ascii="Palatino Linotype" w:eastAsia="MS Mincho" w:hAnsi="Palatino Linotype" w:cs="Tahoma"/>
          <w:b/>
          <w:sz w:val="24"/>
          <w:szCs w:val="24"/>
          <w:lang w:val="es-ES_tradnl"/>
        </w:rPr>
        <w:t xml:space="preserve">Comprobantes Fiscales Digitales por Internet (CFDI), </w:t>
      </w:r>
      <w:r>
        <w:rPr>
          <w:rFonts w:ascii="Palatino Linotype" w:eastAsia="Calibri" w:hAnsi="Palatino Linotype" w:cs="Times New Roman"/>
          <w:sz w:val="24"/>
          <w:szCs w:val="24"/>
        </w:rPr>
        <w:t>correspondiente al</w:t>
      </w:r>
      <w:r>
        <w:rPr>
          <w:rFonts w:ascii="Palatino Linotype" w:eastAsia="Calibri" w:hAnsi="Palatino Linotype" w:cs="Arial"/>
          <w:sz w:val="24"/>
          <w:szCs w:val="24"/>
        </w:rPr>
        <w:t xml:space="preserve"> Disco 4 de los informes mensuales correspondientes, los cuales son enviados por el Tesorero Municipal al OSFEM, en términos del </w:t>
      </w:r>
      <w:r>
        <w:rPr>
          <w:rFonts w:ascii="Palatino Linotype" w:eastAsia="Calibri" w:hAnsi="Palatino Linotype" w:cs="Arial"/>
          <w:sz w:val="24"/>
          <w:szCs w:val="24"/>
          <w:lang w:eastAsia="es-MX"/>
        </w:rPr>
        <w:t>artículo 2 fracción XI de la Ley de Fiscalización Superior del Estado de México,</w:t>
      </w:r>
      <w:r>
        <w:rPr>
          <w:rFonts w:ascii="Palatino Linotype" w:eastAsia="Calibri" w:hAnsi="Palatino Linotype" w:cs="Arial"/>
          <w:sz w:val="24"/>
          <w:szCs w:val="24"/>
        </w:rPr>
        <w:t xml:space="preserve"> acorde a lo establecido en los </w:t>
      </w:r>
      <w:r>
        <w:rPr>
          <w:rFonts w:ascii="Palatino Linotype" w:eastAsia="Calibri" w:hAnsi="Palatino Linotype" w:cs="Times New Roman"/>
          <w:sz w:val="24"/>
          <w:szCs w:val="24"/>
        </w:rPr>
        <w:t>Lineamientos para la Integración del Informe Mensual del año 2019, para lo cual se insertan las siguiente imágenes:</w:t>
      </w:r>
    </w:p>
    <w:p w14:paraId="07901127" w14:textId="45BC89EF" w:rsidR="007F7F3C" w:rsidRDefault="007F7F3C" w:rsidP="007F7F3C">
      <w:pPr>
        <w:spacing w:before="240" w:after="240" w:line="360" w:lineRule="auto"/>
        <w:jc w:val="both"/>
        <w:rPr>
          <w:rFonts w:ascii="Palatino Linotype" w:hAnsi="Palatino Linotype"/>
          <w:i/>
        </w:rPr>
      </w:pPr>
      <w:r>
        <w:rPr>
          <w:rFonts w:ascii="Palatino Linotype" w:hAnsi="Palatino Linotype"/>
          <w:i/>
        </w:rPr>
        <w:t xml:space="preserve"> </w:t>
      </w:r>
      <w:r>
        <w:rPr>
          <w:noProof/>
          <w:lang w:eastAsia="es-MX"/>
        </w:rPr>
        <w:drawing>
          <wp:inline distT="0" distB="0" distL="0" distR="0" wp14:anchorId="55062CAF" wp14:editId="1F857C2C">
            <wp:extent cx="5517991" cy="2551814"/>
            <wp:effectExtent l="0" t="0" r="698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28770" t="12051" r="31216" b="36803"/>
                    <a:stretch>
                      <a:fillRect/>
                    </a:stretch>
                  </pic:blipFill>
                  <pic:spPr bwMode="auto">
                    <a:xfrm>
                      <a:off x="0" y="0"/>
                      <a:ext cx="5533100" cy="2558801"/>
                    </a:xfrm>
                    <a:prstGeom prst="rect">
                      <a:avLst/>
                    </a:prstGeom>
                    <a:noFill/>
                    <a:ln>
                      <a:noFill/>
                    </a:ln>
                  </pic:spPr>
                </pic:pic>
              </a:graphicData>
            </a:graphic>
          </wp:inline>
        </w:drawing>
      </w:r>
    </w:p>
    <w:p w14:paraId="3CEEB50C" w14:textId="77777777" w:rsidR="007F7F3C" w:rsidRDefault="007F7F3C" w:rsidP="007F7F3C">
      <w:pPr>
        <w:spacing w:before="240" w:after="240" w:line="360" w:lineRule="auto"/>
        <w:jc w:val="both"/>
        <w:rPr>
          <w:rFonts w:ascii="Palatino Linotype" w:eastAsia="MS Mincho" w:hAnsi="Palatino Linotype"/>
          <w:sz w:val="24"/>
          <w:szCs w:val="24"/>
          <w:lang w:val="es-ES_tradnl"/>
        </w:rPr>
      </w:pPr>
      <w:r>
        <w:rPr>
          <w:noProof/>
        </w:rPr>
        <w:lastRenderedPageBreak/>
        <w:t xml:space="preserve"> </w:t>
      </w:r>
      <w:r>
        <w:rPr>
          <w:rFonts w:ascii="Palatino Linotype" w:eastAsia="MS Mincho" w:hAnsi="Palatino Linotype"/>
          <w:sz w:val="24"/>
          <w:szCs w:val="24"/>
          <w:lang w:val="es-ES_tradnl"/>
        </w:rPr>
        <w:t>De la imagen antes referida, podemos advertir que el Sujeto Obligado tiene la obligación de entregar al Órgano Superior de Fiscalización del Estado de México, informes mensuales, en los cuales se incluyen los Comprobantes Fiscales Digitales por Internet (CFDI) por concepto de nómina de la primera y segunda quincena del mes, es por ello que la información solicitada por el hoy Recurrente debe obrar en los archivos del Sujeto Obligado.</w:t>
      </w:r>
    </w:p>
    <w:p w14:paraId="0C7B0EB2" w14:textId="0AEDC432" w:rsidR="007F7F3C" w:rsidRDefault="007F7F3C" w:rsidP="0084093D">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Por lo tanto, lo procedente es </w:t>
      </w:r>
      <w:r w:rsidR="0084093D">
        <w:rPr>
          <w:rFonts w:ascii="Palatino Linotype" w:hAnsi="Palatino Linotype" w:cs="Arial"/>
          <w:sz w:val="24"/>
          <w:szCs w:val="20"/>
        </w:rPr>
        <w:t>revocar</w:t>
      </w:r>
      <w:r>
        <w:rPr>
          <w:rFonts w:ascii="Palatino Linotype" w:hAnsi="Palatino Linotype" w:cs="Arial"/>
          <w:sz w:val="24"/>
          <w:szCs w:val="20"/>
        </w:rPr>
        <w:t xml:space="preserve"> la respuesta del sujeto obligado y ordenar haga entrega de la información, en versión pública </w:t>
      </w:r>
      <w:r w:rsidR="0084093D">
        <w:rPr>
          <w:rFonts w:ascii="Palatino Linotype" w:hAnsi="Palatino Linotype" w:cs="Arial"/>
          <w:sz w:val="24"/>
          <w:szCs w:val="20"/>
        </w:rPr>
        <w:t xml:space="preserve">de ser procedente </w:t>
      </w:r>
      <w:r>
        <w:rPr>
          <w:rFonts w:ascii="Palatino Linotype" w:hAnsi="Palatino Linotype" w:cs="Arial"/>
          <w:sz w:val="24"/>
          <w:szCs w:val="20"/>
        </w:rPr>
        <w:t>y vía Sistema de Acceso a la Información Mexiquense.</w:t>
      </w:r>
    </w:p>
    <w:p w14:paraId="67EF863F" w14:textId="77777777" w:rsidR="007F7F3C" w:rsidRDefault="007F7F3C" w:rsidP="0084093D">
      <w:pPr>
        <w:pStyle w:val="Prrafodelista"/>
        <w:numPr>
          <w:ilvl w:val="0"/>
          <w:numId w:val="24"/>
        </w:numPr>
        <w:tabs>
          <w:tab w:val="left" w:pos="709"/>
        </w:tabs>
        <w:spacing w:before="240" w:after="240" w:line="360" w:lineRule="auto"/>
        <w:ind w:right="51"/>
        <w:jc w:val="both"/>
        <w:rPr>
          <w:rFonts w:ascii="Palatino Linotype" w:hAnsi="Palatino Linotype" w:cs="Arial"/>
          <w:b/>
        </w:rPr>
      </w:pPr>
      <w:r>
        <w:rPr>
          <w:rFonts w:ascii="Palatino Linotype" w:hAnsi="Palatino Linotype" w:cs="Arial"/>
          <w:b/>
        </w:rPr>
        <w:t xml:space="preserve">De la Versión Pública </w:t>
      </w:r>
    </w:p>
    <w:p w14:paraId="6AFE18F1" w14:textId="77777777" w:rsidR="007F7F3C" w:rsidRDefault="007F7F3C" w:rsidP="0084093D">
      <w:pPr>
        <w:spacing w:before="24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310FD1A2" w14:textId="77777777" w:rsidR="007F7F3C" w:rsidRDefault="007F7F3C" w:rsidP="007F7F3C">
      <w:pPr>
        <w:spacing w:after="0" w:line="360" w:lineRule="auto"/>
        <w:jc w:val="both"/>
        <w:rPr>
          <w:rFonts w:ascii="Palatino Linotype" w:eastAsia="Arial Unicode MS" w:hAnsi="Palatino Linotype" w:cs="Times New Roman"/>
          <w:sz w:val="24"/>
          <w:szCs w:val="24"/>
          <w:lang w:val="es-ES" w:eastAsia="es-ES"/>
        </w:rPr>
      </w:pPr>
    </w:p>
    <w:p w14:paraId="46EA05E6" w14:textId="77777777" w:rsidR="007F7F3C" w:rsidRDefault="007F7F3C" w:rsidP="007F7F3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Cs/>
          <w:sz w:val="24"/>
          <w:szCs w:val="24"/>
          <w:lang w:eastAsia="es-ES"/>
        </w:rPr>
        <w:t>A este respecto, los</w:t>
      </w:r>
      <w:r>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AF11E6D" w14:textId="77777777" w:rsidR="007F7F3C" w:rsidRDefault="007F7F3C" w:rsidP="007F7F3C">
      <w:pPr>
        <w:spacing w:before="240" w:line="36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Arial"/>
          <w:b/>
          <w:bCs/>
          <w:i/>
          <w:noProof/>
          <w:lang w:eastAsia="es-ES"/>
        </w:rPr>
        <w:t>“</w:t>
      </w:r>
      <w:r>
        <w:rPr>
          <w:rFonts w:ascii="Palatino Linotype" w:eastAsia="Times New Roman" w:hAnsi="Palatino Linotype" w:cs="Arial"/>
          <w:b/>
          <w:bCs/>
          <w:i/>
          <w:lang w:eastAsia="es-MX"/>
        </w:rPr>
        <w:t>Artículo</w:t>
      </w:r>
      <w:r>
        <w:rPr>
          <w:rFonts w:ascii="Palatino Linotype" w:eastAsia="Times New Roman" w:hAnsi="Palatino Linotype" w:cs="Arial"/>
          <w:b/>
          <w:bCs/>
          <w:i/>
          <w:lang w:eastAsia="es-ES"/>
        </w:rPr>
        <w:t xml:space="preserve"> 3. </w:t>
      </w:r>
      <w:r>
        <w:rPr>
          <w:rFonts w:ascii="Palatino Linotype" w:eastAsia="Times New Roman" w:hAnsi="Palatino Linotype" w:cs="Times New Roman"/>
          <w:i/>
          <w:lang w:eastAsia="es-ES"/>
        </w:rPr>
        <w:t xml:space="preserve">Para los efectos de la presente Ley se entenderá por: </w:t>
      </w:r>
    </w:p>
    <w:p w14:paraId="2F28F538" w14:textId="77777777" w:rsidR="007F7F3C" w:rsidRDefault="007F7F3C" w:rsidP="007F7F3C">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lastRenderedPageBreak/>
        <w:t>IX.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 xml:space="preserve">Datos personales: </w:t>
      </w:r>
      <w:r>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515432F8" w14:textId="77777777" w:rsidR="007F7F3C" w:rsidRDefault="007F7F3C" w:rsidP="007F7F3C">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clasificada:</w:t>
      </w:r>
      <w:r>
        <w:rPr>
          <w:rFonts w:ascii="Palatino Linotype" w:eastAsia="Times New Roman" w:hAnsi="Palatino Linotype" w:cs="Arial"/>
          <w:i/>
          <w:lang w:eastAsia="es-ES"/>
        </w:rPr>
        <w:t xml:space="preserve"> Aquella considerada por la presente Ley como reservada o confidencial;</w:t>
      </w:r>
    </w:p>
    <w:p w14:paraId="263434D4" w14:textId="77777777" w:rsidR="007F7F3C" w:rsidRDefault="007F7F3C" w:rsidP="007F7F3C">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XXI.</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confidencial</w:t>
      </w:r>
      <w:r>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BDB6F99" w14:textId="77777777" w:rsidR="007F7F3C" w:rsidRDefault="007F7F3C" w:rsidP="007F7F3C">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XLV. Versión pública:</w:t>
      </w:r>
      <w:r>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C551E77" w14:textId="77777777" w:rsidR="007F7F3C" w:rsidRDefault="007F7F3C" w:rsidP="007F7F3C">
      <w:pPr>
        <w:spacing w:before="240" w:line="36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Artículo 51.</w:t>
      </w:r>
      <w:r>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Times New Roman" w:hAnsi="Palatino Linotype" w:cs="Arial"/>
          <w:b/>
          <w:i/>
          <w:lang w:eastAsia="es-ES"/>
        </w:rPr>
        <w:t xml:space="preserve">y tendrá la responsabilidad de verificar en cada caso que la misma no sea confidencial o reservada. </w:t>
      </w:r>
      <w:r>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87EABED" w14:textId="77777777" w:rsidR="007F7F3C" w:rsidRDefault="007F7F3C" w:rsidP="007F7F3C">
      <w:pPr>
        <w:spacing w:before="240" w:line="360" w:lineRule="auto"/>
        <w:ind w:left="567" w:right="616"/>
        <w:jc w:val="both"/>
        <w:rPr>
          <w:rFonts w:ascii="Times New Roman" w:eastAsia="Times New Roman" w:hAnsi="Times New Roman" w:cs="Arial"/>
          <w:bCs/>
          <w:noProof/>
          <w:sz w:val="24"/>
          <w:szCs w:val="24"/>
          <w:lang w:eastAsia="es-ES"/>
        </w:rPr>
      </w:pPr>
      <w:r>
        <w:rPr>
          <w:rFonts w:ascii="Palatino Linotype" w:eastAsia="Times New Roman" w:hAnsi="Palatino Linotype" w:cs="Arial"/>
          <w:b/>
          <w:i/>
          <w:lang w:eastAsia="es-ES"/>
        </w:rPr>
        <w:t>Artículo 52.</w:t>
      </w:r>
      <w:r>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eastAsia="Times New Roman" w:hAnsi="Palatino Linotype" w:cs="Arial"/>
          <w:bCs/>
          <w:i/>
          <w:noProof/>
          <w:lang w:eastAsia="es-ES"/>
        </w:rPr>
        <w:t>”</w:t>
      </w:r>
    </w:p>
    <w:p w14:paraId="4E965DC4" w14:textId="77777777" w:rsidR="007F7F3C" w:rsidRDefault="007F7F3C" w:rsidP="007F7F3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9980AA8" w14:textId="77777777" w:rsidR="007F7F3C" w:rsidRDefault="007F7F3C" w:rsidP="007F7F3C">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58DDC2CB" w14:textId="77777777" w:rsidR="007F7F3C" w:rsidRDefault="007F7F3C" w:rsidP="007F7F3C">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E86D803" w14:textId="77777777" w:rsidR="007F7F3C" w:rsidRDefault="007F7F3C" w:rsidP="007F7F3C">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14:paraId="2619C501" w14:textId="77777777" w:rsidR="007F7F3C" w:rsidRDefault="007F7F3C" w:rsidP="007F7F3C">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5A79001" w14:textId="77777777" w:rsidR="007F7F3C" w:rsidRDefault="007F7F3C" w:rsidP="007F7F3C">
      <w:pPr>
        <w:spacing w:before="240" w:line="36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84C4BA2"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1FE5474" w14:textId="77777777" w:rsidR="007F7F3C" w:rsidRDefault="007F7F3C" w:rsidP="007F7F3C">
      <w:pPr>
        <w:spacing w:before="24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4FAAE60" w14:textId="77777777" w:rsidR="007F7F3C" w:rsidRDefault="007F7F3C" w:rsidP="007F7F3C">
      <w:pPr>
        <w:spacing w:before="24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Asimismo, de la versión pública deberá dejarse a la vista de la Recurrente</w:t>
      </w:r>
      <w:r>
        <w:rPr>
          <w:rFonts w:ascii="Palatino Linotype" w:eastAsia="Arial Unicode MS" w:hAnsi="Palatino Linotype" w:cs="Times New Roman"/>
          <w:b/>
          <w:sz w:val="24"/>
          <w:szCs w:val="24"/>
          <w:lang w:val="es-ES" w:eastAsia="es-ES"/>
        </w:rPr>
        <w:t xml:space="preserve"> </w:t>
      </w:r>
      <w:r>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0005040"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71363A4" w14:textId="77777777" w:rsidR="007F7F3C" w:rsidRDefault="007F7F3C" w:rsidP="007F7F3C">
      <w:pPr>
        <w:spacing w:before="240" w:line="36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lastRenderedPageBreak/>
        <w:t>"</w:t>
      </w:r>
      <w:r>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DE273DA"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Pr>
          <w:rFonts w:ascii="Palatino Linotype" w:eastAsia="Times New Roman" w:hAnsi="Palatino Linotype" w:cs="Times New Roman"/>
          <w:sz w:val="24"/>
          <w:szCs w:val="24"/>
          <w:lang w:val="es-ES" w:eastAsia="es-ES"/>
        </w:rPr>
        <w:t>resulta necesario que el Comité de Transparencia d</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emita el Acuerdo de Clasificación correspondiente</w:t>
      </w:r>
      <w:r>
        <w:rPr>
          <w:rFonts w:ascii="Palatino Linotype" w:eastAsia="Times New Roman" w:hAnsi="Palatino Linotype" w:cs="Times New Roman"/>
          <w:sz w:val="24"/>
          <w:szCs w:val="24"/>
          <w:lang w:val="es-ES_tradnl" w:eastAsia="es-ES"/>
        </w:rPr>
        <w:t xml:space="preserve"> debidamente fundado y </w:t>
      </w:r>
      <w:r>
        <w:rPr>
          <w:rFonts w:ascii="Palatino Linotype" w:eastAsia="Times New Roman" w:hAnsi="Palatino Linotype" w:cs="Times New Roman"/>
          <w:sz w:val="24"/>
          <w:szCs w:val="24"/>
          <w:lang w:val="es-ES_tradnl" w:eastAsia="es-ES"/>
        </w:rPr>
        <w:lastRenderedPageBreak/>
        <w:t xml:space="preserve">motivado, </w:t>
      </w:r>
      <w:r>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38353E8"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la </w:t>
      </w:r>
      <w:r>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así como, los </w:t>
      </w:r>
      <w:r>
        <w:rPr>
          <w:rFonts w:ascii="Palatino Linotype" w:eastAsia="Times New Roman" w:hAnsi="Palatino Linotype" w:cs="Times New Roman"/>
          <w:b/>
          <w:sz w:val="24"/>
          <w:szCs w:val="24"/>
          <w:lang w:val="es-ES" w:eastAsia="es-ES"/>
        </w:rPr>
        <w:t xml:space="preserve">préstamos o descuentos </w:t>
      </w:r>
      <w:r>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Pr>
          <w:rFonts w:ascii="Palatino Linotype" w:eastAsia="Times New Roman" w:hAnsi="Palatino Linotype" w:cs="Times New Roman"/>
          <w:b/>
          <w:sz w:val="24"/>
          <w:szCs w:val="24"/>
          <w:lang w:val="es-ES" w:eastAsia="es-ES"/>
        </w:rPr>
        <w:t>cuotas</w:t>
      </w:r>
      <w:r>
        <w:rPr>
          <w:rFonts w:ascii="Palatino Linotype" w:eastAsia="Times New Roman" w:hAnsi="Palatino Linotype" w:cs="Times New Roman"/>
          <w:sz w:val="24"/>
          <w:szCs w:val="24"/>
          <w:lang w:val="es-ES" w:eastAsia="es-ES"/>
        </w:rPr>
        <w:t xml:space="preserve"> por </w:t>
      </w:r>
      <w:r>
        <w:rPr>
          <w:rFonts w:ascii="Palatino Linotype" w:eastAsia="Times New Roman" w:hAnsi="Palatino Linotype" w:cs="Times New Roman"/>
          <w:b/>
          <w:sz w:val="24"/>
          <w:szCs w:val="24"/>
          <w:lang w:val="es-ES" w:eastAsia="es-ES"/>
        </w:rPr>
        <w:t xml:space="preserve">seguridad social, Cadenas Originales, Códigos Bidimensionales </w:t>
      </w:r>
      <w:r>
        <w:rPr>
          <w:rFonts w:ascii="Palatino Linotype" w:eastAsia="Times New Roman" w:hAnsi="Palatino Linotype" w:cs="Times New Roman"/>
          <w:sz w:val="24"/>
          <w:szCs w:val="24"/>
          <w:lang w:val="es-ES" w:eastAsia="es-ES"/>
        </w:rPr>
        <w:t>y los denominados</w:t>
      </w:r>
      <w:r>
        <w:rPr>
          <w:rFonts w:ascii="Palatino Linotype" w:eastAsia="Times New Roman" w:hAnsi="Palatino Linotype" w:cs="Times New Roman"/>
          <w:b/>
          <w:sz w:val="24"/>
          <w:szCs w:val="24"/>
          <w:lang w:val="es-ES" w:eastAsia="es-ES"/>
        </w:rPr>
        <w:t xml:space="preserve"> Códigos QR.</w:t>
      </w:r>
    </w:p>
    <w:p w14:paraId="6036995C"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cuanto hace al </w:t>
      </w:r>
      <w:r>
        <w:rPr>
          <w:rFonts w:ascii="Palatino Linotype" w:eastAsia="Times New Roman" w:hAnsi="Palatino Linotype" w:cs="Times New Roman"/>
          <w:b/>
          <w:sz w:val="24"/>
          <w:szCs w:val="24"/>
          <w:lang w:val="es-ES" w:eastAsia="es-MX"/>
        </w:rPr>
        <w:t>Registro Federal de Contribuyentes</w:t>
      </w:r>
      <w:r>
        <w:rPr>
          <w:rFonts w:ascii="Palatino Linotype" w:eastAsia="Times New Roman" w:hAnsi="Palatino Linotype" w:cs="Times New Roman"/>
          <w:sz w:val="24"/>
          <w:szCs w:val="24"/>
          <w:lang w:val="es-ES" w:eastAsia="es-MX"/>
        </w:rPr>
        <w:t xml:space="preserve"> </w:t>
      </w:r>
      <w:r>
        <w:rPr>
          <w:rFonts w:ascii="Palatino Linotype" w:eastAsia="Times New Roman" w:hAnsi="Palatino Linotype" w:cs="Times New Roman"/>
          <w:b/>
          <w:sz w:val="24"/>
          <w:szCs w:val="24"/>
          <w:lang w:val="es-ES" w:eastAsia="es-MX"/>
        </w:rPr>
        <w:t>de las personas físicas</w:t>
      </w:r>
      <w:r>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Pr>
          <w:rFonts w:ascii="Palatino Linotype" w:eastAsia="Times New Roman" w:hAnsi="Palatino Linotype" w:cs="Times New Roman"/>
          <w:sz w:val="24"/>
          <w:szCs w:val="24"/>
          <w:lang w:val="es-ES" w:eastAsia="es-ES"/>
        </w:rPr>
        <w:t xml:space="preserve"> y </w:t>
      </w:r>
      <w:r>
        <w:rPr>
          <w:rFonts w:ascii="Palatino Linotype" w:eastAsia="Times New Roman" w:hAnsi="Palatino Linotype" w:cs="Times New Roman"/>
          <w:sz w:val="24"/>
          <w:szCs w:val="24"/>
          <w:lang w:val="es-ES" w:eastAsia="es-ES"/>
        </w:rPr>
        <w:lastRenderedPageBreak/>
        <w:t xml:space="preserve">finalmente la </w:t>
      </w:r>
      <w:proofErr w:type="spellStart"/>
      <w:r>
        <w:rPr>
          <w:rFonts w:ascii="Palatino Linotype" w:eastAsia="Times New Roman" w:hAnsi="Palatino Linotype" w:cs="Times New Roman"/>
          <w:sz w:val="24"/>
          <w:szCs w:val="24"/>
          <w:lang w:val="es-ES" w:eastAsia="es-ES"/>
        </w:rPr>
        <w:t>homoclave</w:t>
      </w:r>
      <w:proofErr w:type="spellEnd"/>
      <w:r>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9A65376"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6CDCA510" w14:textId="77777777" w:rsidR="007F7F3C" w:rsidRDefault="007F7F3C" w:rsidP="007F7F3C">
      <w:pPr>
        <w:spacing w:before="240" w:line="360" w:lineRule="auto"/>
        <w:ind w:left="567" w:right="616"/>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Registro Federal de Contribuyentes (RFC) de personas físicas</w:t>
      </w:r>
      <w:r>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67B556CA" w14:textId="77777777" w:rsidR="007F7F3C" w:rsidRDefault="007F7F3C" w:rsidP="007F7F3C">
      <w:pPr>
        <w:spacing w:before="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eastAsia="es-MX"/>
        </w:rPr>
        <w:t>.</w:t>
      </w:r>
    </w:p>
    <w:p w14:paraId="32CF6684"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 xml:space="preserve">Clave Única de Registro de Población, </w:t>
      </w:r>
      <w:r>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99C9557"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71A1E11" w14:textId="77777777" w:rsidR="007F7F3C" w:rsidRDefault="007F7F3C" w:rsidP="007F7F3C">
      <w:pPr>
        <w:spacing w:before="240" w:line="36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lastRenderedPageBreak/>
        <w:t xml:space="preserve">“Artículo 86. </w:t>
      </w:r>
      <w:r>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0006EDB" w14:textId="77777777" w:rsidR="007F7F3C" w:rsidRDefault="007F7F3C" w:rsidP="007F7F3C">
      <w:pPr>
        <w:spacing w:before="240" w:line="36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t xml:space="preserve">Artículo 91. </w:t>
      </w:r>
      <w:r>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BA9AAFD"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7118740"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167E65D7" w14:textId="77777777" w:rsidR="007F7F3C" w:rsidRDefault="007F7F3C" w:rsidP="007F7F3C">
      <w:pPr>
        <w:spacing w:before="240" w:line="360" w:lineRule="auto"/>
        <w:ind w:left="567" w:right="616"/>
        <w:jc w:val="both"/>
        <w:rPr>
          <w:rFonts w:ascii="Palatino Linotype" w:eastAsia="Times New Roman" w:hAnsi="Palatino Linotype" w:cs="Times New Roman"/>
          <w:i/>
          <w:lang w:val="es-ES" w:eastAsia="es-MX"/>
        </w:rPr>
      </w:pPr>
      <w:r>
        <w:rPr>
          <w:rFonts w:ascii="Palatino Linotype" w:eastAsia="Times New Roman" w:hAnsi="Palatino Linotype" w:cs="Times New Roman"/>
          <w:b/>
          <w:i/>
          <w:lang w:val="es-ES" w:eastAsia="es-MX"/>
        </w:rPr>
        <w:t>Clave Única de Registro de Población (CURP)</w:t>
      </w:r>
      <w:r>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14:paraId="0A159671"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9391C67"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está integrado por una </w:t>
      </w:r>
      <w:r>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val="es-ES" w:eastAsia="es-MX"/>
        </w:rPr>
        <w:t>.</w:t>
      </w:r>
    </w:p>
    <w:p w14:paraId="1F0393D4"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ES"/>
        </w:rPr>
        <w:t xml:space="preserve">Respecto de los </w:t>
      </w:r>
      <w:r>
        <w:rPr>
          <w:rFonts w:ascii="Palatino Linotype" w:eastAsia="Times New Roman" w:hAnsi="Palatino Linotype" w:cs="Times New Roman"/>
          <w:b/>
          <w:sz w:val="24"/>
          <w:szCs w:val="24"/>
          <w:lang w:val="es-ES" w:eastAsia="es-ES"/>
        </w:rPr>
        <w:t>préstamos o descuentos</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b/>
          <w:sz w:val="24"/>
          <w:szCs w:val="24"/>
          <w:lang w:val="es-ES" w:eastAsia="es-ES"/>
        </w:rPr>
        <w:t>de carácter personal</w:t>
      </w:r>
      <w:r>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w:t>
      </w:r>
      <w:r>
        <w:rPr>
          <w:rFonts w:ascii="Palatino Linotype" w:eastAsia="Times New Roman" w:hAnsi="Palatino Linotype" w:cs="Times New Roman"/>
          <w:sz w:val="24"/>
          <w:szCs w:val="24"/>
          <w:lang w:val="es-ES" w:eastAsia="es-ES"/>
        </w:rPr>
        <w:lastRenderedPageBreak/>
        <w:t xml:space="preserve">públicas, en virtud de no </w:t>
      </w:r>
      <w:r>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protección de información confidencial, porque incide en la intimidad de un individuo</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identificado.</w:t>
      </w:r>
    </w:p>
    <w:p w14:paraId="674B01F5"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su parte, el </w:t>
      </w:r>
      <w:r>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4396FAF5"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b/>
          <w:i/>
          <w:noProof/>
          <w:sz w:val="24"/>
          <w:szCs w:val="24"/>
          <w:lang w:val="es-ES" w:eastAsia="es-ES"/>
        </w:rPr>
        <w:t>ARTICULO 84.</w:t>
      </w:r>
      <w:r>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12265283"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 Gravámenes fiscales relacionados con el sueldo;</w:t>
      </w:r>
    </w:p>
    <w:p w14:paraId="63382655"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7C23744D"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III. Cuotas sindicales;</w:t>
      </w:r>
    </w:p>
    <w:p w14:paraId="77319D9D"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457882C0"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3B3CDD30"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lastRenderedPageBreak/>
        <w:t>VI. Obligaciones a cargo del servidor público con las que haya consentido, derivadas de la adquisición o del uso de habitaciones consideradas como de interés social;</w:t>
      </w:r>
    </w:p>
    <w:p w14:paraId="28FE4152"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VII. Faltas de puntualidad o de asistencia injustificadas;</w:t>
      </w:r>
    </w:p>
    <w:p w14:paraId="3D1CBA2F"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VIII. Pensiones alimenticias ordenadas por la autoridad judicial; o</w:t>
      </w:r>
    </w:p>
    <w:p w14:paraId="121F7D49" w14:textId="77777777" w:rsidR="007F7F3C" w:rsidRDefault="007F7F3C" w:rsidP="007F7F3C">
      <w:pPr>
        <w:spacing w:before="240" w:line="360" w:lineRule="auto"/>
        <w:ind w:left="567" w:right="616"/>
        <w:jc w:val="both"/>
        <w:rPr>
          <w:rFonts w:ascii="Palatino Linotype" w:eastAsia="Times New Roman" w:hAnsi="Palatino Linotype" w:cs="Times New Roman"/>
          <w:i/>
          <w:noProof/>
          <w:sz w:val="24"/>
          <w:szCs w:val="24"/>
          <w:lang w:val="es-ES" w:eastAsia="es-ES"/>
        </w:rPr>
      </w:pPr>
      <w:r>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5D1615AF" w14:textId="77777777" w:rsidR="007F7F3C" w:rsidRDefault="007F7F3C" w:rsidP="007F7F3C">
      <w:pPr>
        <w:spacing w:before="240" w:line="360" w:lineRule="auto"/>
        <w:ind w:left="567" w:right="616"/>
        <w:jc w:val="both"/>
        <w:rPr>
          <w:rFonts w:ascii="Times New Roman" w:eastAsia="Times New Roman" w:hAnsi="Times New Roman" w:cs="Times New Roman"/>
          <w:sz w:val="24"/>
          <w:szCs w:val="24"/>
          <w:lang w:val="es-ES" w:eastAsia="es-ES"/>
        </w:rPr>
      </w:pPr>
      <w:r>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8E5FF68"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A840C1B"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Arial Unicode MS" w:hAnsi="Palatino Linotype" w:cs="Times New Roman"/>
          <w:sz w:val="24"/>
          <w:szCs w:val="24"/>
          <w:lang w:eastAsia="es-ES"/>
        </w:rPr>
        <w:lastRenderedPageBreak/>
        <w:t xml:space="preserve">En ese sentido, </w:t>
      </w:r>
      <w:r>
        <w:rPr>
          <w:rFonts w:ascii="Palatino Linotype" w:eastAsia="Times New Roman" w:hAnsi="Palatino Linotype" w:cs="Times New Roman"/>
          <w:sz w:val="24"/>
          <w:szCs w:val="24"/>
          <w:lang w:eastAsia="es-ES"/>
        </w:rPr>
        <w:t xml:space="preserve">las </w:t>
      </w:r>
      <w:r>
        <w:rPr>
          <w:rFonts w:ascii="Palatino Linotype" w:eastAsia="Times New Roman" w:hAnsi="Palatino Linotype" w:cs="Times New Roman"/>
          <w:b/>
          <w:sz w:val="24"/>
          <w:szCs w:val="24"/>
          <w:lang w:eastAsia="es-ES"/>
        </w:rPr>
        <w:t>Cadenas Originales</w:t>
      </w:r>
      <w:r>
        <w:rPr>
          <w:rFonts w:ascii="Palatino Linotype" w:eastAsia="Times New Roman" w:hAnsi="Palatino Linotype" w:cs="Times New Roman"/>
          <w:sz w:val="24"/>
          <w:szCs w:val="24"/>
          <w:lang w:eastAsia="es-ES"/>
        </w:rPr>
        <w:t xml:space="preserve"> forman parte del </w:t>
      </w:r>
      <w:r>
        <w:rPr>
          <w:rFonts w:ascii="Palatino Linotype" w:eastAsia="Times New Roman" w:hAnsi="Palatino Linotype" w:cs="Times New Roman"/>
          <w:sz w:val="24"/>
          <w:szCs w:val="24"/>
          <w:lang w:val="es-ES_tradnl" w:eastAsia="es-ES"/>
        </w:rPr>
        <w:t xml:space="preserve">certificado de sello digital, los cuales </w:t>
      </w:r>
      <w:r>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Pr>
          <w:rFonts w:ascii="Palatino Linotype" w:eastAsia="Times New Roman" w:hAnsi="Palatino Linotype" w:cs="Times New Roman"/>
          <w:b/>
          <w:sz w:val="24"/>
          <w:szCs w:val="24"/>
          <w:lang w:eastAsia="es-ES"/>
        </w:rPr>
        <w:t xml:space="preserve">vinculación </w:t>
      </w:r>
      <w:r>
        <w:rPr>
          <w:rFonts w:ascii="Palatino Linotype" w:eastAsia="Times New Roman" w:hAnsi="Palatino Linotype" w:cs="Times New Roman"/>
          <w:sz w:val="24"/>
          <w:szCs w:val="24"/>
          <w:lang w:eastAsia="es-ES"/>
        </w:rPr>
        <w:t xml:space="preserve">entre la </w:t>
      </w:r>
      <w:r>
        <w:rPr>
          <w:rFonts w:ascii="Palatino Linotype" w:eastAsia="Times New Roman" w:hAnsi="Palatino Linotype" w:cs="Times New Roman"/>
          <w:b/>
          <w:sz w:val="24"/>
          <w:szCs w:val="24"/>
          <w:lang w:eastAsia="es-ES"/>
        </w:rPr>
        <w:t>identidad de un sujeto o entidad</w:t>
      </w:r>
      <w:r>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Pr>
          <w:rFonts w:ascii="Palatino Linotype" w:eastAsia="Times New Roman" w:hAnsi="Palatino Linotype" w:cs="Times New Roman"/>
          <w:b/>
          <w:sz w:val="24"/>
          <w:szCs w:val="24"/>
          <w:lang w:eastAsia="es-ES"/>
        </w:rPr>
        <w:t>para acreditar la autoría de los comprobantes fiscales digitales</w:t>
      </w:r>
      <w:r>
        <w:rPr>
          <w:rFonts w:ascii="Palatino Linotype" w:eastAsia="Times New Roman" w:hAnsi="Palatino Linotype" w:cs="Times New Roman"/>
          <w:sz w:val="24"/>
          <w:szCs w:val="24"/>
          <w:lang w:eastAsia="es-ES"/>
        </w:rPr>
        <w:t>. En ese tenor se transcriben los artículos señalados con antelación para mejor ilustración:</w:t>
      </w:r>
    </w:p>
    <w:p w14:paraId="06D11AB0" w14:textId="77777777" w:rsidR="007F7F3C" w:rsidRDefault="007F7F3C" w:rsidP="007F7F3C">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1EF9923A" w14:textId="77777777" w:rsidR="007F7F3C" w:rsidRDefault="007F7F3C" w:rsidP="007F7F3C">
      <w:pPr>
        <w:numPr>
          <w:ilvl w:val="0"/>
          <w:numId w:val="25"/>
        </w:numPr>
        <w:spacing w:before="240" w:line="360" w:lineRule="auto"/>
        <w:ind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676B8F10" w14:textId="77777777" w:rsidR="007F7F3C" w:rsidRDefault="007F7F3C" w:rsidP="007F7F3C">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45C4A68" w14:textId="77777777" w:rsidR="007F7F3C" w:rsidRDefault="007F7F3C" w:rsidP="007F7F3C">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Los contribuyentes a que se refiere el párrafo anterior deberán cumplir con las obligaciones siguientes:</w:t>
      </w:r>
    </w:p>
    <w:p w14:paraId="039F3959" w14:textId="77777777" w:rsidR="007F7F3C" w:rsidRDefault="007F7F3C" w:rsidP="007F7F3C">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 xml:space="preserve">I. </w:t>
      </w:r>
      <w:r>
        <w:rPr>
          <w:rFonts w:ascii="Palatino Linotype" w:eastAsia="Times New Roman" w:hAnsi="Palatino Linotype" w:cs="Times New Roman"/>
          <w:i/>
          <w:noProof/>
          <w:lang w:eastAsia="es-ES"/>
        </w:rPr>
        <w:tab/>
        <w:t>…</w:t>
      </w:r>
    </w:p>
    <w:p w14:paraId="0E67BC57" w14:textId="77777777" w:rsidR="007F7F3C" w:rsidRDefault="007F7F3C" w:rsidP="007F7F3C">
      <w:pPr>
        <w:spacing w:before="240" w:line="36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lastRenderedPageBreak/>
        <w:t xml:space="preserve">II. </w:t>
      </w:r>
      <w:r>
        <w:rPr>
          <w:rFonts w:ascii="Palatino Linotype" w:eastAsia="Times New Roman" w:hAnsi="Palatino Linotype" w:cs="Times New Roman"/>
          <w:i/>
          <w:noProof/>
          <w:lang w:eastAsia="es-ES"/>
        </w:rPr>
        <w:tab/>
        <w:t>Tramitar ante el Servicio de Administración Tributaria el certificado para el uso de los sellos digitales.</w:t>
      </w:r>
    </w:p>
    <w:p w14:paraId="3CB10124" w14:textId="77777777" w:rsidR="007F7F3C" w:rsidRDefault="007F7F3C" w:rsidP="007F7F3C">
      <w:pPr>
        <w:spacing w:before="240" w:line="360" w:lineRule="auto"/>
        <w:ind w:left="567" w:right="616"/>
        <w:jc w:val="both"/>
        <w:rPr>
          <w:rFonts w:ascii="Times New Roman" w:eastAsia="Times New Roman" w:hAnsi="Times New Roman" w:cs="Times New Roman"/>
          <w:noProof/>
          <w:sz w:val="24"/>
          <w:szCs w:val="24"/>
          <w:lang w:eastAsia="es-ES"/>
        </w:rPr>
      </w:pPr>
      <w:r>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D858A02"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lo que hace a los </w:t>
      </w:r>
      <w:r>
        <w:rPr>
          <w:rFonts w:ascii="Palatino Linotype" w:eastAsia="Times New Roman" w:hAnsi="Palatino Linotype" w:cs="Times New Roman"/>
          <w:b/>
          <w:sz w:val="24"/>
          <w:szCs w:val="24"/>
          <w:lang w:eastAsia="es-ES"/>
        </w:rPr>
        <w:t>Códigos Bidimensionales</w:t>
      </w:r>
      <w:r>
        <w:rPr>
          <w:rFonts w:ascii="Palatino Linotype" w:eastAsia="Times New Roman" w:hAnsi="Palatino Linotype" w:cs="Times New Roman"/>
          <w:sz w:val="24"/>
          <w:szCs w:val="24"/>
          <w:lang w:eastAsia="es-ES"/>
        </w:rPr>
        <w:t xml:space="preserve"> y los denominados </w:t>
      </w:r>
      <w:r>
        <w:rPr>
          <w:rFonts w:ascii="Palatino Linotype" w:eastAsia="Times New Roman" w:hAnsi="Palatino Linotype" w:cs="Times New Roman"/>
          <w:b/>
          <w:sz w:val="24"/>
          <w:szCs w:val="24"/>
          <w:lang w:eastAsia="es-ES"/>
        </w:rPr>
        <w:t>Códigos QR</w:t>
      </w:r>
      <w:r>
        <w:rPr>
          <w:rFonts w:ascii="Palatino Linotype" w:eastAsia="Times New Roman" w:hAnsi="Palatino Linotype" w:cs="Times New Roman"/>
          <w:sz w:val="24"/>
          <w:szCs w:val="24"/>
          <w:lang w:eastAsia="es-ES"/>
        </w:rPr>
        <w:t xml:space="preserve">, se trata </w:t>
      </w:r>
      <w:r>
        <w:rPr>
          <w:rFonts w:ascii="Palatino Linotype" w:eastAsia="Times New Roman" w:hAnsi="Palatino Linotype" w:cs="Times New Roman"/>
          <w:sz w:val="24"/>
          <w:szCs w:val="24"/>
          <w:lang w:val="es-ES_tradnl" w:eastAsia="es-ES"/>
        </w:rPr>
        <w:t>de</w:t>
      </w:r>
      <w:r>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Pr>
          <w:rFonts w:ascii="Palatino Linotype" w:eastAsia="Times New Roman" w:hAnsi="Palatino Linotype" w:cs="Times New Roman"/>
          <w:sz w:val="24"/>
          <w:szCs w:val="24"/>
          <w:lang w:eastAsia="es-MX"/>
        </w:rPr>
        <w:t>datos</w:t>
      </w:r>
      <w:r>
        <w:rPr>
          <w:rFonts w:ascii="Palatino Linotype" w:eastAsia="Times New Roman" w:hAnsi="Palatino Linotype" w:cs="Times New Roman"/>
          <w:sz w:val="24"/>
          <w:szCs w:val="24"/>
          <w:lang w:eastAsia="es-ES"/>
        </w:rPr>
        <w:t xml:space="preserve"> personales como lo son el </w:t>
      </w:r>
      <w:r>
        <w:rPr>
          <w:rFonts w:ascii="Palatino Linotype" w:eastAsia="Times New Roman" w:hAnsi="Palatino Linotype" w:cs="Times New Roman"/>
          <w:b/>
          <w:sz w:val="24"/>
          <w:szCs w:val="24"/>
          <w:lang w:eastAsia="es-ES"/>
        </w:rPr>
        <w:t>Registro Federal de Contribuyentes</w:t>
      </w:r>
      <w:r>
        <w:rPr>
          <w:rFonts w:ascii="Palatino Linotype" w:eastAsia="Times New Roman" w:hAnsi="Palatino Linotype" w:cs="Times New Roman"/>
          <w:sz w:val="24"/>
          <w:szCs w:val="24"/>
          <w:lang w:eastAsia="es-ES"/>
        </w:rPr>
        <w:t xml:space="preserve"> (RFC) y la </w:t>
      </w:r>
      <w:r>
        <w:rPr>
          <w:rFonts w:ascii="Palatino Linotype" w:eastAsia="Times New Roman" w:hAnsi="Palatino Linotype" w:cs="Times New Roman"/>
          <w:b/>
          <w:sz w:val="24"/>
          <w:szCs w:val="24"/>
          <w:lang w:eastAsia="es-ES"/>
        </w:rPr>
        <w:t>Clave Única de Registro de Población</w:t>
      </w:r>
      <w:r>
        <w:rPr>
          <w:rFonts w:ascii="Palatino Linotype" w:eastAsia="Times New Roman" w:hAnsi="Palatino Linotype" w:cs="Times New Roman"/>
          <w:sz w:val="24"/>
          <w:szCs w:val="24"/>
          <w:lang w:eastAsia="es-ES"/>
        </w:rPr>
        <w:t xml:space="preserve"> (CURP), por lo cual, deberán ser protegidos.</w:t>
      </w:r>
    </w:p>
    <w:p w14:paraId="370C56F4" w14:textId="77777777" w:rsidR="007F7F3C" w:rsidRDefault="007F7F3C" w:rsidP="007F7F3C">
      <w:pPr>
        <w:spacing w:before="24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_tradnl" w:eastAsia="es-ES"/>
        </w:rPr>
        <w:t xml:space="preserve">Por ende, en el presente caso el Sujeto Obligado debe </w:t>
      </w:r>
      <w:r>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709B97" w14:textId="77777777" w:rsidR="007F7F3C" w:rsidRDefault="007F7F3C" w:rsidP="007F7F3C">
      <w:pPr>
        <w:spacing w:before="24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Así, es que </w:t>
      </w:r>
      <w:r>
        <w:rPr>
          <w:rFonts w:ascii="Palatino Linotype" w:eastAsia="Times New Roman" w:hAnsi="Palatino Linotype" w:cs="Times New Roman"/>
          <w:sz w:val="24"/>
          <w:szCs w:val="24"/>
          <w:lang w:val="es-ES_tradnl" w:eastAsia="es-ES"/>
        </w:rPr>
        <w:t xml:space="preserve">el Sujeto Obligado </w:t>
      </w:r>
      <w:r>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E0DDE99"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217F68"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 xml:space="preserve">“Artículo 49. </w:t>
      </w:r>
      <w:r w:rsidRPr="007F7F3C">
        <w:rPr>
          <w:rFonts w:ascii="Palatino Linotype" w:eastAsia="Times New Roman" w:hAnsi="Palatino Linotype" w:cs="Times New Roman"/>
          <w:i/>
          <w:lang w:eastAsia="es-MX"/>
        </w:rPr>
        <w:t>Los Comités de Transparencia tendrán las siguientes atribuciones:</w:t>
      </w:r>
    </w:p>
    <w:p w14:paraId="71217ADE"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lastRenderedPageBreak/>
        <w:t>VIII.</w:t>
      </w:r>
      <w:r w:rsidRPr="007F7F3C">
        <w:rPr>
          <w:rFonts w:ascii="Palatino Linotype" w:eastAsia="Times New Roman" w:hAnsi="Palatino Linotype" w:cs="Times New Roman"/>
          <w:i/>
          <w:lang w:eastAsia="es-MX"/>
        </w:rPr>
        <w:t xml:space="preserve"> Aprobar, modificar o revocar la clasificación de la información;</w:t>
      </w:r>
    </w:p>
    <w:p w14:paraId="2C73786E"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Artículo 132.</w:t>
      </w:r>
      <w:r w:rsidRPr="007F7F3C">
        <w:rPr>
          <w:rFonts w:ascii="Palatino Linotype" w:eastAsia="Times New Roman" w:hAnsi="Palatino Linotype" w:cs="Times New Roman"/>
          <w:i/>
          <w:lang w:eastAsia="es-MX"/>
        </w:rPr>
        <w:t xml:space="preserve"> La clasificación de la información se llevará a cabo en el momento en que:</w:t>
      </w:r>
    </w:p>
    <w:p w14:paraId="64DFEF72"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w:t>
      </w:r>
      <w:r w:rsidRPr="007F7F3C">
        <w:rPr>
          <w:rFonts w:ascii="Palatino Linotype" w:eastAsia="Times New Roman" w:hAnsi="Palatino Linotype" w:cs="Times New Roman"/>
          <w:i/>
          <w:lang w:eastAsia="es-MX"/>
        </w:rPr>
        <w:t xml:space="preserve"> Se reciba una solicitud de acceso a la información;</w:t>
      </w:r>
    </w:p>
    <w:p w14:paraId="7DF1E04C"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II.</w:t>
      </w:r>
      <w:r w:rsidRPr="007F7F3C">
        <w:rPr>
          <w:rFonts w:ascii="Palatino Linotype" w:eastAsia="Times New Roman" w:hAnsi="Palatino Linotype" w:cs="Times New Roman"/>
          <w:i/>
          <w:lang w:eastAsia="es-MX"/>
        </w:rPr>
        <w:t xml:space="preserve"> Se determine mediante resolución de autoridad competente; o</w:t>
      </w:r>
    </w:p>
    <w:p w14:paraId="4336B56D" w14:textId="77777777" w:rsidR="007F7F3C" w:rsidRPr="007F7F3C" w:rsidRDefault="007F7F3C" w:rsidP="007F7F3C">
      <w:pPr>
        <w:spacing w:before="240" w:line="360" w:lineRule="auto"/>
        <w:ind w:left="567" w:right="616"/>
        <w:jc w:val="both"/>
        <w:rPr>
          <w:rFonts w:ascii="Palatino Linotype" w:eastAsia="Times New Roman" w:hAnsi="Palatino Linotype" w:cs="Times New Roman"/>
          <w:b/>
          <w:i/>
          <w:lang w:eastAsia="es-MX"/>
        </w:rPr>
      </w:pPr>
      <w:r w:rsidRPr="007F7F3C">
        <w:rPr>
          <w:rFonts w:ascii="Palatino Linotype" w:eastAsia="Times New Roman" w:hAnsi="Palatino Linotype" w:cs="Times New Roman"/>
          <w:i/>
          <w:lang w:eastAsia="es-MX"/>
        </w:rPr>
        <w:t>III. Se generen versiones públicas para dar cumplimiento a las obligaciones de transparencia previstas en esta Ley.</w:t>
      </w:r>
      <w:r w:rsidRPr="007F7F3C">
        <w:rPr>
          <w:rFonts w:ascii="Palatino Linotype" w:eastAsia="Times New Roman" w:hAnsi="Palatino Linotype" w:cs="Times New Roman"/>
          <w:b/>
          <w:i/>
          <w:lang w:eastAsia="es-MX"/>
        </w:rPr>
        <w:t>”</w:t>
      </w:r>
    </w:p>
    <w:p w14:paraId="24DAED24"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“Segundo.-</w:t>
      </w:r>
      <w:r w:rsidRPr="007F7F3C">
        <w:rPr>
          <w:rFonts w:ascii="Palatino Linotype" w:eastAsia="Times New Roman" w:hAnsi="Palatino Linotype" w:cs="Times New Roman"/>
          <w:i/>
          <w:lang w:eastAsia="es-MX"/>
        </w:rPr>
        <w:t xml:space="preserve"> Para efectos de los presentes Lineamientos Generales, se entenderá por:</w:t>
      </w:r>
    </w:p>
    <w:p w14:paraId="7DC8500C"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XVIII.</w:t>
      </w:r>
      <w:r w:rsidRPr="007F7F3C">
        <w:rPr>
          <w:rFonts w:ascii="Palatino Linotype" w:eastAsia="Times New Roman" w:hAnsi="Palatino Linotype" w:cs="Times New Roman"/>
          <w:i/>
          <w:lang w:eastAsia="es-MX"/>
        </w:rPr>
        <w:t xml:space="preserve"> </w:t>
      </w:r>
      <w:r w:rsidRPr="007F7F3C">
        <w:rPr>
          <w:rFonts w:ascii="Palatino Linotype" w:eastAsia="Times New Roman" w:hAnsi="Palatino Linotype" w:cs="Times New Roman"/>
          <w:b/>
          <w:i/>
          <w:lang w:eastAsia="es-MX"/>
        </w:rPr>
        <w:t>Versión pública:</w:t>
      </w:r>
      <w:r w:rsidRPr="007F7F3C">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B3D1A0"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Cuarto.</w:t>
      </w:r>
      <w:r w:rsidRPr="007F7F3C">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7DA4F0"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702D85C4"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Quinto.</w:t>
      </w:r>
      <w:r w:rsidRPr="007F7F3C">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w:t>
      </w:r>
      <w:r w:rsidRPr="007F7F3C">
        <w:rPr>
          <w:rFonts w:ascii="Palatino Linotype" w:eastAsia="Times New Roman" w:hAnsi="Palatino Linotype" w:cs="Times New Roman"/>
          <w:i/>
          <w:lang w:eastAsia="es-MX"/>
        </w:rPr>
        <w:lastRenderedPageBreak/>
        <w:t>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71B6B4"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Sexto.</w:t>
      </w:r>
      <w:r w:rsidRPr="007F7F3C">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E7ACCAB"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80A7538"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Séptimo.</w:t>
      </w:r>
      <w:r w:rsidRPr="007F7F3C">
        <w:rPr>
          <w:rFonts w:ascii="Palatino Linotype" w:eastAsia="Times New Roman" w:hAnsi="Palatino Linotype" w:cs="Times New Roman"/>
          <w:i/>
          <w:lang w:eastAsia="es-MX"/>
        </w:rPr>
        <w:t xml:space="preserve"> La clasificación de la información se llevará a cabo en el momento en que:</w:t>
      </w:r>
    </w:p>
    <w:p w14:paraId="043FA88F"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w:t>
      </w:r>
      <w:r w:rsidRPr="007F7F3C">
        <w:rPr>
          <w:rFonts w:ascii="Palatino Linotype" w:eastAsia="Times New Roman" w:hAnsi="Palatino Linotype" w:cs="Times New Roman"/>
          <w:i/>
          <w:lang w:eastAsia="es-MX"/>
        </w:rPr>
        <w:t xml:space="preserve"> Se reciba una solicitud de acceso a la información;</w:t>
      </w:r>
    </w:p>
    <w:p w14:paraId="193226CE"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II.</w:t>
      </w:r>
      <w:r w:rsidRPr="007F7F3C">
        <w:rPr>
          <w:rFonts w:ascii="Palatino Linotype" w:eastAsia="Times New Roman" w:hAnsi="Palatino Linotype" w:cs="Times New Roman"/>
          <w:i/>
          <w:lang w:eastAsia="es-MX"/>
        </w:rPr>
        <w:t xml:space="preserve"> Se determine mediante resolución de autoridad competente, o</w:t>
      </w:r>
    </w:p>
    <w:p w14:paraId="340770CC"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III.</w:t>
      </w:r>
      <w:r w:rsidRPr="007F7F3C">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C7F1249"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1ED3BA2"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Octavo.</w:t>
      </w:r>
      <w:r w:rsidRPr="007F7F3C">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1589C6"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76533530"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712C5E7B"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319230"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5EC21EDE"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Noveno.</w:t>
      </w:r>
      <w:r w:rsidRPr="007F7F3C">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2705E9"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b/>
          <w:i/>
          <w:lang w:eastAsia="es-MX"/>
        </w:rPr>
        <w:t>Décimo.</w:t>
      </w:r>
      <w:r w:rsidRPr="007F7F3C">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1A9E9F" w14:textId="77777777" w:rsidR="007F7F3C" w:rsidRPr="007F7F3C" w:rsidRDefault="007F7F3C" w:rsidP="007F7F3C">
      <w:pPr>
        <w:spacing w:before="240" w:line="360" w:lineRule="auto"/>
        <w:ind w:left="567" w:right="616"/>
        <w:jc w:val="both"/>
        <w:rPr>
          <w:rFonts w:ascii="Palatino Linotype" w:eastAsia="Times New Roman" w:hAnsi="Palatino Linotype" w:cs="Times New Roman"/>
          <w:i/>
          <w:lang w:eastAsia="es-MX"/>
        </w:rPr>
      </w:pPr>
      <w:r w:rsidRPr="007F7F3C">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544437F1" w14:textId="77777777" w:rsidR="007F7F3C" w:rsidRPr="007F7F3C" w:rsidRDefault="007F7F3C" w:rsidP="007F7F3C">
      <w:pPr>
        <w:spacing w:before="240" w:line="360" w:lineRule="auto"/>
        <w:ind w:left="567" w:right="616"/>
        <w:jc w:val="both"/>
        <w:rPr>
          <w:rFonts w:ascii="Palatino Linotype" w:eastAsia="Times New Roman" w:hAnsi="Palatino Linotype" w:cs="Times New Roman"/>
          <w:b/>
          <w:sz w:val="24"/>
          <w:szCs w:val="24"/>
          <w:lang w:eastAsia="es-MX"/>
        </w:rPr>
      </w:pPr>
      <w:r w:rsidRPr="007F7F3C">
        <w:rPr>
          <w:rFonts w:ascii="Palatino Linotype" w:eastAsia="Times New Roman" w:hAnsi="Palatino Linotype" w:cs="Times New Roman"/>
          <w:b/>
          <w:i/>
          <w:lang w:eastAsia="es-MX"/>
        </w:rPr>
        <w:t>Décimo primero.</w:t>
      </w:r>
      <w:r w:rsidRPr="007F7F3C">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F7F3C">
        <w:rPr>
          <w:rFonts w:ascii="Palatino Linotype" w:eastAsia="Times New Roman" w:hAnsi="Palatino Linotype" w:cs="Times New Roman"/>
          <w:b/>
          <w:i/>
          <w:lang w:eastAsia="es-MX"/>
        </w:rPr>
        <w:t>”</w:t>
      </w:r>
    </w:p>
    <w:p w14:paraId="5822EDE5"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F0D3FC2"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0EC34B64"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52FF432" w14:textId="77777777" w:rsidR="007F7F3C" w:rsidRDefault="007F7F3C" w:rsidP="007F7F3C">
      <w:pPr>
        <w:spacing w:before="240" w:line="36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B81D32"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44EAE4"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BF423F6" w14:textId="77777777" w:rsidR="007F7F3C" w:rsidRDefault="007F7F3C" w:rsidP="007F7F3C">
      <w:pPr>
        <w:spacing w:before="240" w:line="360" w:lineRule="auto"/>
        <w:ind w:left="708"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w:t>
      </w:r>
      <w:r>
        <w:rPr>
          <w:rFonts w:ascii="Palatino Linotype" w:eastAsia="Times New Roman" w:hAnsi="Palatino Linotype" w:cs="Times New Roman"/>
          <w:i/>
          <w:lang w:eastAsia="es-ES"/>
        </w:rPr>
        <w:lastRenderedPageBreak/>
        <w:t>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0148D60" w14:textId="77777777" w:rsidR="007F7F3C" w:rsidRDefault="007F7F3C" w:rsidP="007F7F3C">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F808334" w14:textId="77777777" w:rsidR="007F7F3C" w:rsidRDefault="007F7F3C" w:rsidP="007F7F3C">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3627DF" w14:textId="77777777" w:rsidR="007F7F3C" w:rsidRDefault="007F7F3C" w:rsidP="007F7F3C">
      <w:pPr>
        <w:spacing w:before="240" w:line="360" w:lineRule="auto"/>
        <w:jc w:val="both"/>
        <w:rPr>
          <w:rFonts w:ascii="Palatino Linotype" w:eastAsia="Times New Roman" w:hAnsi="Palatino Linotype" w:cs="Arial"/>
          <w:bCs/>
          <w:sz w:val="24"/>
          <w:szCs w:val="24"/>
          <w:lang w:eastAsia="es-ES"/>
        </w:rPr>
      </w:pPr>
      <w:r>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045BF96" w14:textId="29EA329C" w:rsidR="00736C75" w:rsidRPr="00DA696D" w:rsidRDefault="00736C75" w:rsidP="00DA696D">
      <w:pPr>
        <w:spacing w:before="240" w:after="240" w:line="360" w:lineRule="auto"/>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AA36D6" w:rsidRPr="00281E22">
        <w:rPr>
          <w:rFonts w:ascii="Palatino Linotype" w:hAnsi="Palatino Linotype" w:cs="Arial"/>
          <w:b/>
          <w:sz w:val="24"/>
        </w:rPr>
        <w:t>00316/AXAPUSCO/IP/2019</w:t>
      </w:r>
      <w:r>
        <w:rPr>
          <w:rFonts w:ascii="Palatino Linotype" w:hAnsi="Palatino Linotype"/>
          <w:sz w:val="24"/>
          <w:szCs w:val="24"/>
        </w:rPr>
        <w:t>, que ha sido materia del presente fallo.</w:t>
      </w:r>
    </w:p>
    <w:p w14:paraId="6ED3CC02" w14:textId="0620EEA0"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386F2D44" w14:textId="77777777" w:rsidR="001D47DF" w:rsidRDefault="001D47DF"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5B133739"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AA36D6" w:rsidRPr="00281E22">
        <w:rPr>
          <w:rFonts w:ascii="Palatino Linotype" w:hAnsi="Palatino Linotype" w:cs="Arial"/>
          <w:b/>
          <w:sz w:val="24"/>
        </w:rPr>
        <w:t>00316/AXAPUSCO/IP/2019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F371CA">
        <w:rPr>
          <w:rFonts w:ascii="Palatino Linotype" w:hAnsi="Palatino Linotype" w:cs="Arial"/>
          <w:b/>
          <w:sz w:val="24"/>
          <w:lang w:val="es-ES_tradnl"/>
        </w:rPr>
        <w:t xml:space="preserve">Quinto </w:t>
      </w:r>
      <w:r w:rsidRPr="001D420F">
        <w:rPr>
          <w:rFonts w:ascii="Palatino Linotype" w:hAnsi="Palatino Linotype" w:cs="Arial"/>
          <w:sz w:val="24"/>
          <w:lang w:val="es-ES_tradnl"/>
        </w:rPr>
        <w:t>de la presente resolución.</w:t>
      </w:r>
    </w:p>
    <w:p w14:paraId="0CE56FF8" w14:textId="1C286BF0" w:rsidR="00A27459" w:rsidRDefault="00736C75" w:rsidP="00736C75">
      <w:pPr>
        <w:autoSpaceDE w:val="0"/>
        <w:autoSpaceDN w:val="0"/>
        <w:adjustRightInd w:val="0"/>
        <w:spacing w:before="240" w:line="360" w:lineRule="auto"/>
        <w:ind w:right="49"/>
        <w:jc w:val="both"/>
        <w:rPr>
          <w:rFonts w:ascii="Palatino Linotype" w:hAnsi="Palatino Linotype" w:cs="Arial"/>
          <w:bCs/>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previa búsqueda exhaustiva y razonable</w:t>
      </w:r>
      <w:r>
        <w:rPr>
          <w:rFonts w:ascii="Palatino Linotype" w:hAnsi="Palatino Linotype" w:cs="Arial"/>
          <w:sz w:val="24"/>
          <w:szCs w:val="24"/>
        </w:rPr>
        <w:t xml:space="preserve"> a través del SAIMEX</w:t>
      </w:r>
      <w:r w:rsidR="00533106">
        <w:rPr>
          <w:rFonts w:ascii="Palatino Linotype" w:hAnsi="Palatino Linotype" w:cs="Arial"/>
          <w:sz w:val="24"/>
          <w:szCs w:val="24"/>
        </w:rPr>
        <w:t xml:space="preserve"> y en versión pública</w:t>
      </w:r>
      <w:r w:rsidR="00407989">
        <w:rPr>
          <w:rFonts w:ascii="Palatino Linotype" w:hAnsi="Palatino Linotype" w:cs="Arial"/>
          <w:sz w:val="24"/>
          <w:szCs w:val="24"/>
        </w:rPr>
        <w:t xml:space="preserve"> en caso de ser procedente</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w:t>
      </w:r>
      <w:r w:rsidR="00F371CA">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55C18EAF" w14:textId="77777777" w:rsidR="001D47DF" w:rsidRPr="00736C75" w:rsidRDefault="001D47DF" w:rsidP="00736C75">
      <w:pPr>
        <w:autoSpaceDE w:val="0"/>
        <w:autoSpaceDN w:val="0"/>
        <w:adjustRightInd w:val="0"/>
        <w:spacing w:before="240" w:line="360" w:lineRule="auto"/>
        <w:ind w:right="49"/>
        <w:jc w:val="both"/>
        <w:rPr>
          <w:rFonts w:ascii="Palatino Linotype" w:hAnsi="Palatino Linotype" w:cs="Arial"/>
          <w:sz w:val="24"/>
          <w:szCs w:val="24"/>
        </w:rPr>
      </w:pPr>
    </w:p>
    <w:p w14:paraId="590533DD" w14:textId="61FA561B" w:rsidR="00A27459" w:rsidRPr="00A65C79" w:rsidRDefault="00761C4E" w:rsidP="007928E0">
      <w:pPr>
        <w:numPr>
          <w:ilvl w:val="0"/>
          <w:numId w:val="20"/>
        </w:numPr>
        <w:autoSpaceDE w:val="0"/>
        <w:autoSpaceDN w:val="0"/>
        <w:adjustRightInd w:val="0"/>
        <w:spacing w:before="240" w:after="0" w:line="360" w:lineRule="auto"/>
        <w:ind w:left="1416" w:right="49" w:hanging="1056"/>
        <w:jc w:val="both"/>
        <w:rPr>
          <w:rFonts w:ascii="Palatino Linotype" w:eastAsia="Times New Roman" w:hAnsi="Palatino Linotype" w:cs="Arial"/>
          <w:i/>
          <w:sz w:val="24"/>
          <w:szCs w:val="24"/>
          <w:lang w:val="es-ES" w:eastAsia="es-ES"/>
        </w:rPr>
      </w:pPr>
      <w:r>
        <w:rPr>
          <w:rFonts w:ascii="Palatino Linotype" w:eastAsia="MS Mincho" w:hAnsi="Palatino Linotype" w:cs="Times New Roman"/>
          <w:i/>
          <w:sz w:val="24"/>
          <w:szCs w:val="24"/>
          <w:lang w:val="es-ES" w:eastAsia="es-ES"/>
        </w:rPr>
        <w:t xml:space="preserve">El o los documentos en donde conste los bonos a los que tienen derecho y </w:t>
      </w:r>
      <w:r w:rsidR="00E33AD5">
        <w:rPr>
          <w:rFonts w:ascii="Palatino Linotype" w:eastAsia="MS Mincho" w:hAnsi="Palatino Linotype" w:cs="Times New Roman"/>
          <w:i/>
          <w:sz w:val="24"/>
          <w:szCs w:val="24"/>
          <w:lang w:val="es-ES" w:eastAsia="es-ES"/>
        </w:rPr>
        <w:t>que recibieron los</w:t>
      </w:r>
      <w:r>
        <w:rPr>
          <w:rFonts w:ascii="Palatino Linotype" w:eastAsia="MS Mincho" w:hAnsi="Palatino Linotype" w:cs="Times New Roman"/>
          <w:i/>
          <w:sz w:val="24"/>
          <w:szCs w:val="24"/>
          <w:lang w:val="es-ES" w:eastAsia="es-ES"/>
        </w:rPr>
        <w:t xml:space="preserve"> policías adscritos al Ayuntamiento de Axapusco</w:t>
      </w:r>
      <w:r w:rsidR="00E33AD5">
        <w:rPr>
          <w:rFonts w:ascii="Palatino Linotype" w:eastAsia="MS Mincho" w:hAnsi="Palatino Linotype" w:cs="Times New Roman"/>
          <w:i/>
          <w:sz w:val="24"/>
          <w:szCs w:val="24"/>
          <w:lang w:val="es-ES" w:eastAsia="es-ES"/>
        </w:rPr>
        <w:t xml:space="preserve"> en el ejercicio fiscal 2019</w:t>
      </w:r>
      <w:r w:rsidR="00F07B17">
        <w:rPr>
          <w:rFonts w:ascii="Palatino Linotype" w:eastAsia="MS Mincho" w:hAnsi="Palatino Linotype" w:cs="Times New Roman"/>
          <w:i/>
          <w:sz w:val="24"/>
          <w:szCs w:val="24"/>
          <w:lang w:val="es-ES" w:eastAsia="es-ES"/>
        </w:rPr>
        <w:t>.</w:t>
      </w:r>
    </w:p>
    <w:p w14:paraId="37A39D05" w14:textId="6CE1AF12" w:rsidR="00A27459" w:rsidRDefault="00A27459" w:rsidP="00E33AD5">
      <w:pPr>
        <w:spacing w:before="24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9064781" w14:textId="7D8BA7C3" w:rsidR="00E33AD5" w:rsidRDefault="00E33AD5" w:rsidP="00E33AD5">
      <w:pPr>
        <w:spacing w:before="240" w:line="360" w:lineRule="auto"/>
        <w:ind w:left="720"/>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Para el caso de que no se haya generado la información señalada en el inciso a) bastara con que así lo manifieste al momento de dar cumplimiento a la presente resolución.</w:t>
      </w:r>
    </w:p>
    <w:p w14:paraId="71AFDC06" w14:textId="77777777" w:rsidR="001D47DF" w:rsidRDefault="001D47DF" w:rsidP="00E33AD5">
      <w:pPr>
        <w:spacing w:before="240" w:line="360" w:lineRule="auto"/>
        <w:ind w:left="720"/>
        <w:jc w:val="both"/>
        <w:rPr>
          <w:rFonts w:ascii="Palatino Linotype" w:eastAsia="Times New Roman" w:hAnsi="Palatino Linotype" w:cs="Arial"/>
          <w:i/>
          <w:sz w:val="24"/>
          <w:szCs w:val="24"/>
          <w:lang w:val="es-ES" w:eastAsia="es-ES"/>
        </w:rPr>
      </w:pP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2AD0760" w14:textId="0298B983"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8117649" w14:textId="77777777" w:rsidR="001D47DF" w:rsidRDefault="001D47DF" w:rsidP="00A27459">
      <w:pPr>
        <w:autoSpaceDE w:val="0"/>
        <w:autoSpaceDN w:val="0"/>
        <w:adjustRightInd w:val="0"/>
        <w:spacing w:before="240" w:line="360" w:lineRule="auto"/>
        <w:jc w:val="both"/>
        <w:rPr>
          <w:rFonts w:ascii="Palatino Linotype" w:hAnsi="Palatino Linotype" w:cs="Arial"/>
          <w:sz w:val="24"/>
          <w:szCs w:val="24"/>
        </w:rPr>
      </w:pPr>
    </w:p>
    <w:p w14:paraId="0E05D741" w14:textId="731CC004" w:rsidR="001D47DF" w:rsidRDefault="001D47DF" w:rsidP="001D47DF">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r w:rsidRPr="001D47DF">
        <w:rPr>
          <w:rFonts w:ascii="Palatino Linotype" w:hAnsi="Palatino Linotype" w:cs="Arial"/>
          <w:sz w:val="24"/>
          <w:szCs w:val="24"/>
        </w:rPr>
        <w:t xml:space="preserve"> </w:t>
      </w:r>
      <w:r>
        <w:rPr>
          <w:rFonts w:ascii="Palatino Linotype" w:hAnsi="Palatino Linotype" w:cs="Arial"/>
          <w:sz w:val="24"/>
          <w:szCs w:val="24"/>
        </w:rPr>
        <w:t>-------------------------------------------------------------------------------------------------------------------------------------------------------------------------------------------------------------------------------------------------------------------------------------------------------------------------------------------------------------------------------------------------------------------------------------------------------------------------------------------------------------------------------------------------------------------------------------</w:t>
      </w:r>
    </w:p>
    <w:p w14:paraId="111F959C" w14:textId="77777777" w:rsidR="001D47DF" w:rsidRDefault="001D47DF" w:rsidP="001D47DF">
      <w:pPr>
        <w:spacing w:before="240"/>
        <w:jc w:val="both"/>
        <w:rPr>
          <w:rFonts w:ascii="Palatino Linotype" w:hAnsi="Palatino Linotype"/>
        </w:rPr>
      </w:pPr>
    </w:p>
    <w:p w14:paraId="03BB2F9B" w14:textId="77777777" w:rsidR="001D47DF" w:rsidRDefault="001D47DF" w:rsidP="001D47DF">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4864" behindDoc="0" locked="0" layoutInCell="1" allowOverlap="1" wp14:anchorId="5F097CFA" wp14:editId="0A0C7072">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F7510B2" w14:textId="77777777" w:rsidR="001D47DF" w:rsidRPr="00EF2FC0" w:rsidRDefault="001D47DF" w:rsidP="001D47D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90E24E7"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EAA7A26"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097CFA"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8486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0F7510B2" w14:textId="77777777" w:rsidR="001D47DF" w:rsidRPr="00EF2FC0" w:rsidRDefault="001D47DF" w:rsidP="001D47D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90E24E7"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EAA7A26"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3F1E0E0C" w14:textId="77777777" w:rsidR="001D47DF" w:rsidRPr="00D54B7D" w:rsidRDefault="001D47DF" w:rsidP="001D47DF">
      <w:pPr>
        <w:spacing w:before="240"/>
        <w:jc w:val="both"/>
        <w:rPr>
          <w:rFonts w:ascii="Palatino Linotype" w:hAnsi="Palatino Linotype"/>
        </w:rPr>
      </w:pPr>
    </w:p>
    <w:p w14:paraId="7F0DB9CC" w14:textId="77777777" w:rsidR="001D47DF" w:rsidRPr="00D54B7D" w:rsidRDefault="001D47DF" w:rsidP="001D47DF">
      <w:pPr>
        <w:spacing w:before="240"/>
        <w:jc w:val="center"/>
        <w:rPr>
          <w:rFonts w:ascii="Palatino Linotype" w:hAnsi="Palatino Linotype"/>
        </w:rPr>
      </w:pPr>
    </w:p>
    <w:p w14:paraId="4C9DC656" w14:textId="77777777" w:rsidR="001D47DF" w:rsidRDefault="001D47DF" w:rsidP="001D47DF">
      <w:pPr>
        <w:spacing w:before="240"/>
        <w:rPr>
          <w:rFonts w:ascii="Palatino Linotype" w:hAnsi="Palatino Linotype"/>
          <w:b/>
        </w:rPr>
      </w:pPr>
    </w:p>
    <w:p w14:paraId="5BCEBB90" w14:textId="77777777" w:rsidR="001D47DF" w:rsidRDefault="001D47DF" w:rsidP="001D47DF">
      <w:pPr>
        <w:spacing w:before="240"/>
        <w:rPr>
          <w:rFonts w:ascii="Palatino Linotype" w:hAnsi="Palatino Linotype"/>
          <w:b/>
        </w:rPr>
      </w:pPr>
    </w:p>
    <w:p w14:paraId="24FE79DA" w14:textId="77777777" w:rsidR="001D47DF" w:rsidRDefault="001D47DF" w:rsidP="001D47DF">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1A426EED" wp14:editId="01A645B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1CE189" w14:textId="77777777" w:rsidR="001D47DF" w:rsidRPr="00EF2FC0" w:rsidRDefault="001D47DF" w:rsidP="001D47D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8054DE3"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89E6E3"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6B6B821B" w14:textId="77777777" w:rsidR="001D47DF" w:rsidRDefault="001D47DF" w:rsidP="001D47DF">
                            <w:pPr>
                              <w:spacing w:line="240" w:lineRule="auto"/>
                              <w:jc w:val="center"/>
                              <w:rPr>
                                <w:rFonts w:ascii="Palatino Linotype" w:hAnsi="Palatino Linotype"/>
                                <w:sz w:val="24"/>
                                <w:szCs w:val="24"/>
                              </w:rPr>
                            </w:pPr>
                          </w:p>
                          <w:p w14:paraId="166B3860" w14:textId="77777777" w:rsidR="001D47DF" w:rsidRPr="00797B31" w:rsidRDefault="001D47DF" w:rsidP="001D47D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26EED" id="Cuadro de texto 35" o:spid="_x0000_s1027" type="#_x0000_t202" style="position:absolute;margin-left:149.05pt;margin-top:.9pt;width:200.25pt;height:73.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7D1CE189" w14:textId="77777777" w:rsidR="001D47DF" w:rsidRPr="00EF2FC0" w:rsidRDefault="001D47DF" w:rsidP="001D47D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8054DE3"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89E6E3"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6B6B821B" w14:textId="77777777" w:rsidR="001D47DF" w:rsidRDefault="001D47DF" w:rsidP="001D47DF">
                      <w:pPr>
                        <w:spacing w:line="240" w:lineRule="auto"/>
                        <w:jc w:val="center"/>
                        <w:rPr>
                          <w:rFonts w:ascii="Palatino Linotype" w:hAnsi="Palatino Linotype"/>
                          <w:sz w:val="24"/>
                          <w:szCs w:val="24"/>
                        </w:rPr>
                      </w:pPr>
                    </w:p>
                    <w:p w14:paraId="166B3860" w14:textId="77777777" w:rsidR="001D47DF" w:rsidRPr="00797B31" w:rsidRDefault="001D47DF" w:rsidP="001D47DF">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0768" behindDoc="0" locked="0" layoutInCell="1" allowOverlap="1" wp14:anchorId="62CCC86E" wp14:editId="65320D16">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5E8A60" w14:textId="77777777" w:rsidR="001D47DF" w:rsidRPr="00EF2FC0" w:rsidRDefault="001D47DF" w:rsidP="001D47DF">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07EF5401" w14:textId="77777777" w:rsidR="001D47DF" w:rsidRDefault="001D47DF" w:rsidP="001D47DF">
                            <w:pPr>
                              <w:jc w:val="center"/>
                              <w:rPr>
                                <w:rFonts w:ascii="Palatino Linotype" w:hAnsi="Palatino Linotype"/>
                                <w:sz w:val="24"/>
                                <w:szCs w:val="24"/>
                              </w:rPr>
                            </w:pPr>
                            <w:r w:rsidRPr="00EF2FC0">
                              <w:rPr>
                                <w:rFonts w:ascii="Palatino Linotype" w:hAnsi="Palatino Linotype"/>
                                <w:sz w:val="24"/>
                                <w:szCs w:val="24"/>
                              </w:rPr>
                              <w:t>Comisionada</w:t>
                            </w:r>
                          </w:p>
                          <w:p w14:paraId="037656A6"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6DE6DF31" w14:textId="77777777" w:rsidR="001D47DF" w:rsidRPr="00EF2FC0" w:rsidRDefault="001D47DF" w:rsidP="001D47DF">
                            <w:pPr>
                              <w:jc w:val="center"/>
                              <w:rPr>
                                <w:rFonts w:ascii="Palatino Linotype" w:hAnsi="Palatino Linotype"/>
                                <w:sz w:val="24"/>
                                <w:szCs w:val="24"/>
                              </w:rPr>
                            </w:pPr>
                          </w:p>
                          <w:p w14:paraId="4D0D402E" w14:textId="77777777" w:rsidR="001D47DF" w:rsidRDefault="001D47DF" w:rsidP="001D47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CC86E" id="Cuadro de texto 22" o:spid="_x0000_s1028" type="#_x0000_t202" style="position:absolute;margin-left:0;margin-top:1.65pt;width:153pt;height:78.3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A5E8A60" w14:textId="77777777" w:rsidR="001D47DF" w:rsidRPr="00EF2FC0" w:rsidRDefault="001D47DF" w:rsidP="001D47DF">
                      <w:pPr>
                        <w:jc w:val="center"/>
                        <w:rPr>
                          <w:rFonts w:ascii="Palatino Linotype" w:hAnsi="Palatino Linotype"/>
                          <w:b/>
                          <w:sz w:val="24"/>
                          <w:szCs w:val="24"/>
                        </w:rPr>
                      </w:pPr>
                      <w:r w:rsidRPr="00EF2FC0">
                        <w:rPr>
                          <w:rFonts w:ascii="Palatino Linotype" w:hAnsi="Palatino Linotype"/>
                          <w:b/>
                          <w:sz w:val="24"/>
                          <w:szCs w:val="24"/>
                        </w:rPr>
                        <w:t>Eva Abaid Yapur</w:t>
                      </w:r>
                    </w:p>
                    <w:p w14:paraId="07EF5401" w14:textId="77777777" w:rsidR="001D47DF" w:rsidRDefault="001D47DF" w:rsidP="001D47DF">
                      <w:pPr>
                        <w:jc w:val="center"/>
                        <w:rPr>
                          <w:rFonts w:ascii="Palatino Linotype" w:hAnsi="Palatino Linotype"/>
                          <w:sz w:val="24"/>
                          <w:szCs w:val="24"/>
                        </w:rPr>
                      </w:pPr>
                      <w:r w:rsidRPr="00EF2FC0">
                        <w:rPr>
                          <w:rFonts w:ascii="Palatino Linotype" w:hAnsi="Palatino Linotype"/>
                          <w:sz w:val="24"/>
                          <w:szCs w:val="24"/>
                        </w:rPr>
                        <w:t>Comisionada</w:t>
                      </w:r>
                    </w:p>
                    <w:p w14:paraId="037656A6"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6DE6DF31" w14:textId="77777777" w:rsidR="001D47DF" w:rsidRPr="00EF2FC0" w:rsidRDefault="001D47DF" w:rsidP="001D47DF">
                      <w:pPr>
                        <w:jc w:val="center"/>
                        <w:rPr>
                          <w:rFonts w:ascii="Palatino Linotype" w:hAnsi="Palatino Linotype"/>
                          <w:sz w:val="24"/>
                          <w:szCs w:val="24"/>
                        </w:rPr>
                      </w:pPr>
                    </w:p>
                    <w:p w14:paraId="4D0D402E" w14:textId="77777777" w:rsidR="001D47DF" w:rsidRDefault="001D47DF" w:rsidP="001D47DF">
                      <w:pPr>
                        <w:jc w:val="center"/>
                      </w:pPr>
                    </w:p>
                  </w:txbxContent>
                </v:textbox>
                <w10:wrap anchorx="margin"/>
              </v:shape>
            </w:pict>
          </mc:Fallback>
        </mc:AlternateContent>
      </w:r>
    </w:p>
    <w:p w14:paraId="5195614F" w14:textId="77777777" w:rsidR="001D47DF" w:rsidRPr="00D54B7D" w:rsidRDefault="001D47DF" w:rsidP="001D47DF">
      <w:pPr>
        <w:spacing w:before="240"/>
        <w:rPr>
          <w:rFonts w:ascii="Palatino Linotype" w:hAnsi="Palatino Linotype"/>
          <w:b/>
        </w:rPr>
      </w:pPr>
    </w:p>
    <w:p w14:paraId="6AC2E79E" w14:textId="77777777" w:rsidR="001D47DF" w:rsidRPr="00D54B7D" w:rsidRDefault="001D47DF" w:rsidP="001D47DF">
      <w:pPr>
        <w:spacing w:before="240"/>
        <w:rPr>
          <w:rFonts w:ascii="Palatino Linotype" w:hAnsi="Palatino Linotype"/>
          <w:b/>
        </w:rPr>
      </w:pPr>
    </w:p>
    <w:p w14:paraId="523C8305" w14:textId="77777777" w:rsidR="001D47DF" w:rsidRDefault="001D47DF" w:rsidP="001D47DF">
      <w:pPr>
        <w:spacing w:before="240"/>
        <w:rPr>
          <w:rFonts w:ascii="Palatino Linotype" w:hAnsi="Palatino Linotype"/>
          <w:b/>
        </w:rPr>
      </w:pPr>
    </w:p>
    <w:p w14:paraId="767B42DC" w14:textId="77777777" w:rsidR="001D47DF" w:rsidRDefault="001D47DF" w:rsidP="001D47DF">
      <w:pPr>
        <w:spacing w:before="240"/>
        <w:rPr>
          <w:rFonts w:ascii="Palatino Linotype" w:hAnsi="Palatino Linotype"/>
          <w:b/>
          <w:sz w:val="18"/>
          <w:szCs w:val="18"/>
        </w:rPr>
      </w:pPr>
    </w:p>
    <w:p w14:paraId="71C0EF46" w14:textId="77777777" w:rsidR="001D47DF" w:rsidRPr="00B93570" w:rsidRDefault="001D47DF" w:rsidP="001D47DF">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4C2CE43A" wp14:editId="713C59BD">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63F569" w14:textId="77777777" w:rsidR="001D47DF" w:rsidRPr="00EF2FC0" w:rsidRDefault="001D47DF" w:rsidP="001D47D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5CA88AC"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5EA0BEC"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1ED8239E" w14:textId="77777777" w:rsidR="001D47DF" w:rsidRPr="00EF2FC0" w:rsidRDefault="001D47DF" w:rsidP="001D47DF">
                            <w:pPr>
                              <w:spacing w:line="240" w:lineRule="auto"/>
                              <w:jc w:val="center"/>
                              <w:rPr>
                                <w:rFonts w:ascii="Palatino Linotype" w:hAnsi="Palatino Linotype"/>
                                <w:sz w:val="24"/>
                                <w:szCs w:val="24"/>
                              </w:rPr>
                            </w:pPr>
                          </w:p>
                          <w:p w14:paraId="64DB37CB" w14:textId="77777777" w:rsidR="001D47DF" w:rsidRDefault="001D47DF" w:rsidP="001D4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CE43A" id="Cuadro de texto 6" o:spid="_x0000_s1029" type="#_x0000_t202" style="position:absolute;margin-left:358.05pt;margin-top:19.05pt;width:168pt;height:74.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1063F569" w14:textId="77777777" w:rsidR="001D47DF" w:rsidRPr="00EF2FC0" w:rsidRDefault="001D47DF" w:rsidP="001D47D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5CA88AC"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5EA0BEC"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1ED8239E" w14:textId="77777777" w:rsidR="001D47DF" w:rsidRPr="00EF2FC0" w:rsidRDefault="001D47DF" w:rsidP="001D47DF">
                      <w:pPr>
                        <w:spacing w:line="240" w:lineRule="auto"/>
                        <w:jc w:val="center"/>
                        <w:rPr>
                          <w:rFonts w:ascii="Palatino Linotype" w:hAnsi="Palatino Linotype"/>
                          <w:sz w:val="24"/>
                          <w:szCs w:val="24"/>
                        </w:rPr>
                      </w:pPr>
                    </w:p>
                    <w:p w14:paraId="64DB37CB" w14:textId="77777777" w:rsidR="001D47DF" w:rsidRDefault="001D47DF" w:rsidP="001D47DF"/>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334B8B3E" wp14:editId="74298C6E">
                <wp:simplePos x="0" y="0"/>
                <wp:positionH relativeFrom="page">
                  <wp:posOffset>1085850</wp:posOffset>
                </wp:positionH>
                <wp:positionV relativeFrom="paragraph">
                  <wp:posOffset>231775</wp:posOffset>
                </wp:positionV>
                <wp:extent cx="2133600" cy="943661"/>
                <wp:effectExtent l="0" t="0" r="19050" b="27940"/>
                <wp:wrapNone/>
                <wp:docPr id="1" name="Cuadro de texto 1"/>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F846F4" w14:textId="77777777" w:rsidR="001D47DF" w:rsidRPr="00EF2FC0" w:rsidRDefault="001D47DF" w:rsidP="001D47D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7C6E12B"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B9295B"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11744FEB" w14:textId="77777777" w:rsidR="001D47DF" w:rsidRPr="00EF2FC0" w:rsidRDefault="001D47DF" w:rsidP="001D47DF">
                            <w:pPr>
                              <w:spacing w:line="240" w:lineRule="auto"/>
                              <w:jc w:val="center"/>
                              <w:rPr>
                                <w:rFonts w:ascii="Palatino Linotype" w:hAnsi="Palatino Linotype"/>
                                <w:sz w:val="24"/>
                                <w:szCs w:val="24"/>
                              </w:rPr>
                            </w:pPr>
                          </w:p>
                          <w:p w14:paraId="362AA544" w14:textId="77777777" w:rsidR="001D47DF" w:rsidRDefault="001D47DF" w:rsidP="001D4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8B3E" id="Cuadro de texto 1" o:spid="_x0000_s1030" type="#_x0000_t202" style="position:absolute;margin-left:85.5pt;margin-top:18.25pt;width:168pt;height:74.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" fillcolor="white [3201]" strokecolor="white [3212]" strokeweight=".5pt">
                <v:textbox>
                  <w:txbxContent>
                    <w:p w14:paraId="48F846F4" w14:textId="77777777" w:rsidR="001D47DF" w:rsidRPr="00EF2FC0" w:rsidRDefault="001D47DF" w:rsidP="001D47D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7C6E12B" w14:textId="77777777" w:rsidR="001D47DF" w:rsidRDefault="001D47DF" w:rsidP="001D47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B9295B"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11744FEB" w14:textId="77777777" w:rsidR="001D47DF" w:rsidRPr="00EF2FC0" w:rsidRDefault="001D47DF" w:rsidP="001D47DF">
                      <w:pPr>
                        <w:spacing w:line="240" w:lineRule="auto"/>
                        <w:jc w:val="center"/>
                        <w:rPr>
                          <w:rFonts w:ascii="Palatino Linotype" w:hAnsi="Palatino Linotype"/>
                          <w:sz w:val="24"/>
                          <w:szCs w:val="24"/>
                        </w:rPr>
                      </w:pPr>
                    </w:p>
                    <w:p w14:paraId="362AA544" w14:textId="77777777" w:rsidR="001D47DF" w:rsidRDefault="001D47DF" w:rsidP="001D47DF"/>
                  </w:txbxContent>
                </v:textbox>
                <w10:wrap anchorx="page"/>
              </v:shape>
            </w:pict>
          </mc:Fallback>
        </mc:AlternateContent>
      </w:r>
    </w:p>
    <w:p w14:paraId="11A84C4A" w14:textId="77777777" w:rsidR="001D47DF" w:rsidRDefault="001D47DF" w:rsidP="001D47DF">
      <w:pPr>
        <w:spacing w:before="240"/>
        <w:rPr>
          <w:rFonts w:ascii="Palatino Linotype" w:hAnsi="Palatino Linotype"/>
          <w:b/>
        </w:rPr>
      </w:pPr>
    </w:p>
    <w:p w14:paraId="0083701A" w14:textId="77777777" w:rsidR="001D47DF" w:rsidRDefault="001D47DF" w:rsidP="001D47DF">
      <w:pPr>
        <w:spacing w:before="240"/>
        <w:rPr>
          <w:rFonts w:ascii="Palatino Linotype" w:hAnsi="Palatino Linotype"/>
          <w:b/>
        </w:rPr>
      </w:pPr>
    </w:p>
    <w:p w14:paraId="4D705848" w14:textId="77777777" w:rsidR="001D47DF" w:rsidRDefault="001D47DF" w:rsidP="001D47DF">
      <w:pPr>
        <w:spacing w:before="240"/>
        <w:rPr>
          <w:rFonts w:ascii="Palatino Linotype" w:hAnsi="Palatino Linotype" w:cs="Arial"/>
          <w:szCs w:val="20"/>
        </w:rPr>
      </w:pPr>
    </w:p>
    <w:p w14:paraId="1B9C01ED" w14:textId="77777777" w:rsidR="001D47DF" w:rsidRDefault="001D47DF" w:rsidP="001D47DF">
      <w:pPr>
        <w:spacing w:before="240"/>
        <w:rPr>
          <w:rFonts w:ascii="Palatino Linotype" w:hAnsi="Palatino Linotype" w:cs="Arial"/>
          <w:szCs w:val="20"/>
        </w:rPr>
      </w:pPr>
    </w:p>
    <w:p w14:paraId="69F79CE5" w14:textId="68839946" w:rsidR="001D47DF" w:rsidRDefault="001D47DF" w:rsidP="001D47DF">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2816" behindDoc="0" locked="0" layoutInCell="1" allowOverlap="1" wp14:anchorId="78FD6007" wp14:editId="2B59E75A">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12F2B4" w14:textId="77777777" w:rsidR="001D47DF" w:rsidRPr="007F6133" w:rsidRDefault="001D47DF" w:rsidP="001D47DF">
                            <w:pPr>
                              <w:jc w:val="center"/>
                              <w:rPr>
                                <w:rFonts w:ascii="Palatino Linotype" w:hAnsi="Palatino Linotype"/>
                                <w:b/>
                                <w:sz w:val="24"/>
                                <w:szCs w:val="24"/>
                              </w:rPr>
                            </w:pPr>
                            <w:r w:rsidRPr="00B86F1F">
                              <w:rPr>
                                <w:rFonts w:ascii="Palatino Linotype" w:hAnsi="Palatino Linotype"/>
                                <w:b/>
                                <w:sz w:val="24"/>
                                <w:szCs w:val="24"/>
                              </w:rPr>
                              <w:t>Alexis Tapia Ramírez</w:t>
                            </w:r>
                          </w:p>
                          <w:p w14:paraId="7AF5A46D" w14:textId="77777777" w:rsidR="001D47DF" w:rsidRDefault="001D47DF" w:rsidP="001D47D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CB1DCEA"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0E74C578" w14:textId="77777777" w:rsidR="001D47DF" w:rsidRDefault="001D47DF" w:rsidP="001D47DF">
                            <w:pPr>
                              <w:spacing w:after="0" w:line="240" w:lineRule="auto"/>
                              <w:jc w:val="center"/>
                              <w:rPr>
                                <w:rFonts w:ascii="Palatino Linotype" w:hAnsi="Palatino Linotype"/>
                                <w:sz w:val="24"/>
                                <w:szCs w:val="24"/>
                              </w:rPr>
                            </w:pPr>
                          </w:p>
                          <w:p w14:paraId="30C83282" w14:textId="77777777" w:rsidR="001D47DF" w:rsidRPr="00EF2FC0" w:rsidRDefault="001D47DF" w:rsidP="001D47DF">
                            <w:pPr>
                              <w:jc w:val="center"/>
                              <w:rPr>
                                <w:rFonts w:ascii="Palatino Linotype" w:hAnsi="Palatino Linotype"/>
                                <w:sz w:val="24"/>
                                <w:szCs w:val="24"/>
                              </w:rPr>
                            </w:pPr>
                          </w:p>
                          <w:p w14:paraId="0B467B9F" w14:textId="77777777" w:rsidR="001D47DF" w:rsidRDefault="001D47DF" w:rsidP="001D4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6007" id="Cuadro de texto 24" o:spid="_x0000_s1031" type="#_x0000_t202" style="position:absolute;margin-left:190.5pt;margin-top:27.35pt;width:248.25pt;height:6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1D12F2B4" w14:textId="77777777" w:rsidR="001D47DF" w:rsidRPr="007F6133" w:rsidRDefault="001D47DF" w:rsidP="001D47DF">
                      <w:pPr>
                        <w:jc w:val="center"/>
                        <w:rPr>
                          <w:rFonts w:ascii="Palatino Linotype" w:hAnsi="Palatino Linotype"/>
                          <w:b/>
                          <w:sz w:val="24"/>
                          <w:szCs w:val="24"/>
                        </w:rPr>
                      </w:pPr>
                      <w:r w:rsidRPr="00B86F1F">
                        <w:rPr>
                          <w:rFonts w:ascii="Palatino Linotype" w:hAnsi="Palatino Linotype"/>
                          <w:b/>
                          <w:sz w:val="24"/>
                          <w:szCs w:val="24"/>
                        </w:rPr>
                        <w:t>Alexis Tapia Ramírez</w:t>
                      </w:r>
                    </w:p>
                    <w:p w14:paraId="7AF5A46D" w14:textId="77777777" w:rsidR="001D47DF" w:rsidRDefault="001D47DF" w:rsidP="001D47D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CB1DCEA" w14:textId="77777777" w:rsidR="001D47DF" w:rsidRDefault="001D47DF" w:rsidP="001D47DF">
                      <w:pPr>
                        <w:spacing w:line="240" w:lineRule="auto"/>
                        <w:jc w:val="center"/>
                        <w:rPr>
                          <w:rFonts w:ascii="Palatino Linotype" w:hAnsi="Palatino Linotype"/>
                          <w:sz w:val="24"/>
                          <w:szCs w:val="24"/>
                        </w:rPr>
                      </w:pPr>
                      <w:r>
                        <w:rPr>
                          <w:rFonts w:ascii="Palatino Linotype" w:hAnsi="Palatino Linotype"/>
                          <w:sz w:val="24"/>
                          <w:szCs w:val="24"/>
                        </w:rPr>
                        <w:t>(Rúbrica)</w:t>
                      </w:r>
                    </w:p>
                    <w:p w14:paraId="0E74C578" w14:textId="77777777" w:rsidR="001D47DF" w:rsidRDefault="001D47DF" w:rsidP="001D47DF">
                      <w:pPr>
                        <w:spacing w:after="0" w:line="240" w:lineRule="auto"/>
                        <w:jc w:val="center"/>
                        <w:rPr>
                          <w:rFonts w:ascii="Palatino Linotype" w:hAnsi="Palatino Linotype"/>
                          <w:sz w:val="24"/>
                          <w:szCs w:val="24"/>
                        </w:rPr>
                      </w:pPr>
                    </w:p>
                    <w:p w14:paraId="30C83282" w14:textId="77777777" w:rsidR="001D47DF" w:rsidRPr="00EF2FC0" w:rsidRDefault="001D47DF" w:rsidP="001D47DF">
                      <w:pPr>
                        <w:jc w:val="center"/>
                        <w:rPr>
                          <w:rFonts w:ascii="Palatino Linotype" w:hAnsi="Palatino Linotype"/>
                          <w:sz w:val="24"/>
                          <w:szCs w:val="24"/>
                        </w:rPr>
                      </w:pPr>
                    </w:p>
                    <w:p w14:paraId="0B467B9F" w14:textId="77777777" w:rsidR="001D47DF" w:rsidRDefault="001D47DF" w:rsidP="001D47DF"/>
                  </w:txbxContent>
                </v:textbox>
                <w10:wrap anchorx="page"/>
              </v:shape>
            </w:pict>
          </mc:Fallback>
        </mc:AlternateContent>
      </w:r>
    </w:p>
    <w:p w14:paraId="5B4AE138" w14:textId="77777777" w:rsidR="001D47DF" w:rsidRDefault="001D47DF" w:rsidP="001D47DF">
      <w:pPr>
        <w:spacing w:before="240"/>
        <w:rPr>
          <w:rFonts w:ascii="Palatino Linotype" w:hAnsi="Palatino Linotype" w:cs="Arial"/>
          <w:sz w:val="18"/>
          <w:szCs w:val="18"/>
        </w:rPr>
      </w:pPr>
    </w:p>
    <w:p w14:paraId="62AF0DFD" w14:textId="77777777" w:rsidR="001D47DF" w:rsidRDefault="001D47DF" w:rsidP="001D47DF">
      <w:pPr>
        <w:spacing w:before="240"/>
        <w:jc w:val="both"/>
        <w:rPr>
          <w:rFonts w:ascii="Palatino Linotype" w:hAnsi="Palatino Linotype" w:cs="Arial"/>
          <w:sz w:val="18"/>
          <w:szCs w:val="18"/>
        </w:rPr>
      </w:pPr>
    </w:p>
    <w:p w14:paraId="70B88B48" w14:textId="77777777" w:rsidR="001D47DF" w:rsidRDefault="001D47DF" w:rsidP="001D47DF">
      <w:pPr>
        <w:spacing w:before="240"/>
        <w:jc w:val="both"/>
        <w:rPr>
          <w:rFonts w:ascii="Palatino Linotype" w:hAnsi="Palatino Linotype" w:cs="Arial"/>
          <w:sz w:val="18"/>
          <w:szCs w:val="18"/>
        </w:rPr>
      </w:pPr>
    </w:p>
    <w:p w14:paraId="72C44A54" w14:textId="77777777" w:rsidR="001D47DF" w:rsidRDefault="001D47DF" w:rsidP="001D47DF">
      <w:pPr>
        <w:spacing w:after="0" w:line="240" w:lineRule="auto"/>
        <w:jc w:val="both"/>
        <w:rPr>
          <w:rFonts w:ascii="Palatino Linotype" w:hAnsi="Palatino Linotype" w:cs="Arial"/>
          <w:sz w:val="16"/>
          <w:szCs w:val="16"/>
        </w:rPr>
      </w:pPr>
    </w:p>
    <w:p w14:paraId="6F647E69" w14:textId="70627FC2" w:rsidR="001D47DF" w:rsidRPr="002052F6" w:rsidRDefault="001D47DF" w:rsidP="001D47DF">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11330/INFOEM/IP/RR/2019</w:t>
      </w:r>
      <w:r w:rsidRPr="002052F6">
        <w:rPr>
          <w:rFonts w:ascii="Palatino Linotype" w:hAnsi="Palatino Linotype" w:cs="Arial"/>
          <w:sz w:val="16"/>
          <w:szCs w:val="16"/>
        </w:rPr>
        <w:t>.</w:t>
      </w:r>
    </w:p>
    <w:p w14:paraId="241F6787" w14:textId="1BCBC3A1" w:rsidR="0032321A" w:rsidRDefault="001D47DF" w:rsidP="001D47DF">
      <w:pPr>
        <w:spacing w:after="0"/>
      </w:pPr>
      <w:r w:rsidRPr="002052F6">
        <w:t>ZMS/OSAM/MAEM</w:t>
      </w:r>
      <w:r w:rsidR="008E06DF">
        <w:t xml:space="preserve"> </w:t>
      </w:r>
    </w:p>
    <w:sectPr w:rsidR="0032321A"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56092" w14:textId="77777777" w:rsidR="0026153E" w:rsidRDefault="0026153E" w:rsidP="00E15E85">
      <w:pPr>
        <w:spacing w:after="0" w:line="240" w:lineRule="auto"/>
      </w:pPr>
      <w:r>
        <w:separator/>
      </w:r>
    </w:p>
  </w:endnote>
  <w:endnote w:type="continuationSeparator" w:id="0">
    <w:p w14:paraId="551B0663" w14:textId="77777777" w:rsidR="0026153E" w:rsidRDefault="0026153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558A" w14:textId="77777777" w:rsidR="0026153E" w:rsidRDefault="0026153E" w:rsidP="00E15E85">
      <w:pPr>
        <w:spacing w:after="0" w:line="240" w:lineRule="auto"/>
      </w:pPr>
      <w:r>
        <w:separator/>
      </w:r>
    </w:p>
  </w:footnote>
  <w:footnote w:type="continuationSeparator" w:id="0">
    <w:p w14:paraId="5C075D15" w14:textId="77777777" w:rsidR="0026153E" w:rsidRDefault="0026153E"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2C6718" w14:textId="77777777" w:rsidR="002A143D" w:rsidRDefault="002A143D" w:rsidP="002A143D">
      <w:pPr>
        <w:pStyle w:val="Textonotapie"/>
        <w:rPr>
          <w:rFonts w:ascii="Palatino Linotype" w:hAnsi="Palatino Linotype"/>
          <w:sz w:val="16"/>
          <w:szCs w:val="16"/>
        </w:rPr>
      </w:pPr>
      <w:r>
        <w:rPr>
          <w:rStyle w:val="Refdenotaalpie"/>
        </w:rPr>
        <w:footnoteRef/>
      </w:r>
      <w:r>
        <w:rPr>
          <w:rFonts w:ascii="Palatino Linotype" w:hAnsi="Palatino Linotype"/>
          <w:sz w:val="16"/>
          <w:szCs w:val="16"/>
        </w:rPr>
        <w:t xml:space="preserve"> Consultable en: </w:t>
      </w:r>
      <w:hyperlink r:id="rId3" w:history="1">
        <w:r>
          <w:rPr>
            <w:rStyle w:val="Hipervnculo"/>
            <w:rFonts w:ascii="Palatino Linotype" w:hAnsi="Palatino Linotype"/>
            <w:sz w:val="16"/>
            <w:szCs w:val="16"/>
          </w:rPr>
          <w:t>http://legislacion.edomex.gob.mx/sites/legislacion.edomex.gob.mx/files/files/pdf/gct/2019/may311.pdf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ADF9008" w:rsidR="00E15E85" w:rsidRPr="00D56BC3" w:rsidRDefault="00A66428"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113</w:t>
          </w:r>
          <w:r w:rsidR="00281E22">
            <w:rPr>
              <w:rFonts w:ascii="Palatino Linotype" w:hAnsi="Palatino Linotype" w:cs="Arial"/>
              <w:bCs/>
              <w:sz w:val="24"/>
              <w:lang w:eastAsia="es-MX"/>
            </w:rPr>
            <w:t>30</w:t>
          </w:r>
          <w:r w:rsidR="0037311B" w:rsidRPr="0037311B">
            <w:rPr>
              <w:rFonts w:ascii="Palatino Linotype" w:hAnsi="Palatino Linotype" w:cs="Arial"/>
              <w:bCs/>
              <w:sz w:val="24"/>
              <w:lang w:eastAsia="es-MX"/>
            </w:rPr>
            <w:t>/INFOEM/IP/RR/2019</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480F0E7" w:rsidR="00E15E85" w:rsidRDefault="00A66428" w:rsidP="00BA65E0">
          <w:pPr>
            <w:spacing w:after="120" w:line="256" w:lineRule="auto"/>
            <w:ind w:left="-486" w:right="214" w:firstLine="284"/>
            <w:jc w:val="right"/>
            <w:rPr>
              <w:rFonts w:ascii="Palatino Linotype" w:hAnsi="Palatino Linotype" w:cs="Arial"/>
              <w:szCs w:val="20"/>
            </w:rPr>
          </w:pPr>
          <w:r w:rsidRPr="003D6DA3">
            <w:rPr>
              <w:rFonts w:ascii="Palatino Linotype" w:hAnsi="Palatino Linotype" w:cs="Arial"/>
              <w:szCs w:val="20"/>
            </w:rPr>
            <w:t xml:space="preserve">Ayuntamiento de </w:t>
          </w:r>
          <w:r>
            <w:rPr>
              <w:rFonts w:ascii="Palatino Linotype" w:hAnsi="Palatino Linotype" w:cs="Arial"/>
              <w:szCs w:val="20"/>
            </w:rPr>
            <w:t>Axapusco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2DE15D9C" w:rsidR="00E15E85" w:rsidRPr="00B4142F" w:rsidRDefault="00A66428"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113</w:t>
          </w:r>
          <w:r w:rsidR="00281E22">
            <w:rPr>
              <w:rFonts w:ascii="Palatino Linotype" w:hAnsi="Palatino Linotype" w:cs="Arial"/>
              <w:bCs/>
              <w:sz w:val="24"/>
              <w:lang w:eastAsia="es-MX"/>
            </w:rPr>
            <w:t>30</w:t>
          </w:r>
          <w:r w:rsidR="0037311B" w:rsidRPr="0037311B">
            <w:rPr>
              <w:rFonts w:ascii="Palatino Linotype" w:hAnsi="Palatino Linotype" w:cs="Arial"/>
              <w:bCs/>
              <w:sz w:val="24"/>
              <w:lang w:eastAsia="es-MX"/>
            </w:rPr>
            <w:t>/INFOEM/IP/RR/2019</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7777777"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07D0CA6" w:rsidR="00E15E85" w:rsidRDefault="003D6DA3" w:rsidP="0015550A">
          <w:pPr>
            <w:spacing w:after="120" w:line="256" w:lineRule="auto"/>
            <w:ind w:left="-495" w:right="214" w:firstLine="567"/>
            <w:jc w:val="right"/>
            <w:rPr>
              <w:rFonts w:ascii="Palatino Linotype" w:hAnsi="Palatino Linotype" w:cs="Arial"/>
              <w:szCs w:val="20"/>
            </w:rPr>
          </w:pPr>
          <w:r w:rsidRPr="003D6DA3">
            <w:rPr>
              <w:rFonts w:ascii="Palatino Linotype" w:hAnsi="Palatino Linotype" w:cs="Arial"/>
              <w:szCs w:val="20"/>
            </w:rPr>
            <w:t xml:space="preserve">Ayuntamiento de </w:t>
          </w:r>
          <w:r w:rsidR="00A66428">
            <w:rPr>
              <w:rFonts w:ascii="Palatino Linotype" w:hAnsi="Palatino Linotype" w:cs="Arial"/>
              <w:szCs w:val="20"/>
            </w:rPr>
            <w:t>Axapusco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157DB9"/>
    <w:multiLevelType w:val="hybridMultilevel"/>
    <w:tmpl w:val="18640776"/>
    <w:numStyleLink w:val="Estiloimportado2"/>
  </w:abstractNum>
  <w:abstractNum w:abstractNumId="16"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num>
  <w:num w:numId="3">
    <w:abstractNumId w:val="14"/>
  </w:num>
  <w:num w:numId="4">
    <w:abstractNumId w:val="9"/>
  </w:num>
  <w:num w:numId="5">
    <w:abstractNumId w:val="15"/>
  </w:num>
  <w:num w:numId="6">
    <w:abstractNumId w:val="4"/>
  </w:num>
  <w:num w:numId="7">
    <w:abstractNumId w:val="20"/>
  </w:num>
  <w:num w:numId="8">
    <w:abstractNumId w:val="12"/>
  </w:num>
  <w:num w:numId="9">
    <w:abstractNumId w:val="5"/>
  </w:num>
  <w:num w:numId="10">
    <w:abstractNumId w:val="19"/>
  </w:num>
  <w:num w:numId="11">
    <w:abstractNumId w:val="8"/>
  </w:num>
  <w:num w:numId="12">
    <w:abstractNumId w:val="11"/>
  </w:num>
  <w:num w:numId="13">
    <w:abstractNumId w:val="1"/>
  </w:num>
  <w:num w:numId="14">
    <w:abstractNumId w:val="6"/>
  </w:num>
  <w:num w:numId="15">
    <w:abstractNumId w:val="13"/>
  </w:num>
  <w:num w:numId="16">
    <w:abstractNumId w:val="16"/>
  </w:num>
  <w:num w:numId="17">
    <w:abstractNumId w:val="17"/>
  </w:num>
  <w:num w:numId="18">
    <w:abstractNumId w:val="0"/>
  </w:num>
  <w:num w:numId="19">
    <w:abstractNumId w:val="2"/>
  </w:num>
  <w:num w:numId="20">
    <w:abstractNumId w:val="21"/>
  </w:num>
  <w:num w:numId="21">
    <w:abstractNumId w:val="7"/>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100095"/>
    <w:rsid w:val="0011750A"/>
    <w:rsid w:val="0012266D"/>
    <w:rsid w:val="00122C38"/>
    <w:rsid w:val="001278BC"/>
    <w:rsid w:val="00130D58"/>
    <w:rsid w:val="00142F61"/>
    <w:rsid w:val="00152B26"/>
    <w:rsid w:val="0015550A"/>
    <w:rsid w:val="00171BD5"/>
    <w:rsid w:val="00183623"/>
    <w:rsid w:val="001B066D"/>
    <w:rsid w:val="001B3E5E"/>
    <w:rsid w:val="001C28D0"/>
    <w:rsid w:val="001C3E01"/>
    <w:rsid w:val="001C3F41"/>
    <w:rsid w:val="001C7069"/>
    <w:rsid w:val="001D47DF"/>
    <w:rsid w:val="001F295E"/>
    <w:rsid w:val="001F5D0E"/>
    <w:rsid w:val="002052F6"/>
    <w:rsid w:val="00217E99"/>
    <w:rsid w:val="0022069E"/>
    <w:rsid w:val="00223C2F"/>
    <w:rsid w:val="00224181"/>
    <w:rsid w:val="00226E44"/>
    <w:rsid w:val="00231F68"/>
    <w:rsid w:val="00233D51"/>
    <w:rsid w:val="00240133"/>
    <w:rsid w:val="00253101"/>
    <w:rsid w:val="002606F0"/>
    <w:rsid w:val="0026153E"/>
    <w:rsid w:val="0026534C"/>
    <w:rsid w:val="002677ED"/>
    <w:rsid w:val="00281E22"/>
    <w:rsid w:val="00287512"/>
    <w:rsid w:val="002902D7"/>
    <w:rsid w:val="00294D34"/>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52C5"/>
    <w:rsid w:val="003B465B"/>
    <w:rsid w:val="003C5897"/>
    <w:rsid w:val="003D29D2"/>
    <w:rsid w:val="003D2E06"/>
    <w:rsid w:val="003D6DA3"/>
    <w:rsid w:val="003E3297"/>
    <w:rsid w:val="0040048F"/>
    <w:rsid w:val="00407989"/>
    <w:rsid w:val="004254FE"/>
    <w:rsid w:val="00437C82"/>
    <w:rsid w:val="00455E36"/>
    <w:rsid w:val="00470C7E"/>
    <w:rsid w:val="00492244"/>
    <w:rsid w:val="004A2BFB"/>
    <w:rsid w:val="004B14C2"/>
    <w:rsid w:val="004C3693"/>
    <w:rsid w:val="004E6DB3"/>
    <w:rsid w:val="004F05B2"/>
    <w:rsid w:val="00523067"/>
    <w:rsid w:val="00526CB4"/>
    <w:rsid w:val="00527856"/>
    <w:rsid w:val="00527C6A"/>
    <w:rsid w:val="005329E8"/>
    <w:rsid w:val="00533106"/>
    <w:rsid w:val="005733EB"/>
    <w:rsid w:val="0057576D"/>
    <w:rsid w:val="00576C26"/>
    <w:rsid w:val="005820BF"/>
    <w:rsid w:val="005C7580"/>
    <w:rsid w:val="00611799"/>
    <w:rsid w:val="00611F2D"/>
    <w:rsid w:val="00614FDD"/>
    <w:rsid w:val="00616784"/>
    <w:rsid w:val="006203A2"/>
    <w:rsid w:val="00631B59"/>
    <w:rsid w:val="00631FC5"/>
    <w:rsid w:val="006402A6"/>
    <w:rsid w:val="006451E4"/>
    <w:rsid w:val="00653B08"/>
    <w:rsid w:val="00654B56"/>
    <w:rsid w:val="00657473"/>
    <w:rsid w:val="00673CFD"/>
    <w:rsid w:val="006A08BA"/>
    <w:rsid w:val="006B2E10"/>
    <w:rsid w:val="006B7C59"/>
    <w:rsid w:val="006C1A4F"/>
    <w:rsid w:val="006C5B3F"/>
    <w:rsid w:val="006F001B"/>
    <w:rsid w:val="006F2EA8"/>
    <w:rsid w:val="00707CD8"/>
    <w:rsid w:val="00713A19"/>
    <w:rsid w:val="0071620F"/>
    <w:rsid w:val="00716F59"/>
    <w:rsid w:val="00736C75"/>
    <w:rsid w:val="00740AC8"/>
    <w:rsid w:val="00755099"/>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182E"/>
    <w:rsid w:val="00806DD5"/>
    <w:rsid w:val="00807D14"/>
    <w:rsid w:val="008101F6"/>
    <w:rsid w:val="0084093D"/>
    <w:rsid w:val="00845C1C"/>
    <w:rsid w:val="00856325"/>
    <w:rsid w:val="00872278"/>
    <w:rsid w:val="00875499"/>
    <w:rsid w:val="0087560D"/>
    <w:rsid w:val="00881D0D"/>
    <w:rsid w:val="008A12F6"/>
    <w:rsid w:val="008A5E77"/>
    <w:rsid w:val="008B34EC"/>
    <w:rsid w:val="008D6D31"/>
    <w:rsid w:val="008E06DF"/>
    <w:rsid w:val="008E0E21"/>
    <w:rsid w:val="008E1581"/>
    <w:rsid w:val="008E5141"/>
    <w:rsid w:val="008E7408"/>
    <w:rsid w:val="008F7A52"/>
    <w:rsid w:val="009306B4"/>
    <w:rsid w:val="00943223"/>
    <w:rsid w:val="0094613F"/>
    <w:rsid w:val="009472E2"/>
    <w:rsid w:val="00950056"/>
    <w:rsid w:val="009629A5"/>
    <w:rsid w:val="00980401"/>
    <w:rsid w:val="009838CD"/>
    <w:rsid w:val="00991CC2"/>
    <w:rsid w:val="00994336"/>
    <w:rsid w:val="00997030"/>
    <w:rsid w:val="009A45B6"/>
    <w:rsid w:val="009A4C2C"/>
    <w:rsid w:val="009A6D1C"/>
    <w:rsid w:val="009B76BF"/>
    <w:rsid w:val="009C75A5"/>
    <w:rsid w:val="009E3B36"/>
    <w:rsid w:val="009F7948"/>
    <w:rsid w:val="00A27459"/>
    <w:rsid w:val="00A459D0"/>
    <w:rsid w:val="00A45C8D"/>
    <w:rsid w:val="00A65C79"/>
    <w:rsid w:val="00A66428"/>
    <w:rsid w:val="00A70873"/>
    <w:rsid w:val="00A92C85"/>
    <w:rsid w:val="00A948EF"/>
    <w:rsid w:val="00A94BCE"/>
    <w:rsid w:val="00AA2CB1"/>
    <w:rsid w:val="00AA36D6"/>
    <w:rsid w:val="00AC1D50"/>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E4A4B"/>
    <w:rsid w:val="00D01B70"/>
    <w:rsid w:val="00D02974"/>
    <w:rsid w:val="00D0297D"/>
    <w:rsid w:val="00D120B9"/>
    <w:rsid w:val="00D24D6B"/>
    <w:rsid w:val="00D30286"/>
    <w:rsid w:val="00D5302E"/>
    <w:rsid w:val="00D56BC3"/>
    <w:rsid w:val="00D67629"/>
    <w:rsid w:val="00D70FE3"/>
    <w:rsid w:val="00D81A75"/>
    <w:rsid w:val="00D8485C"/>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B0246"/>
    <w:rsid w:val="00EC4061"/>
    <w:rsid w:val="00EC601F"/>
    <w:rsid w:val="00ED3DC4"/>
    <w:rsid w:val="00ED466F"/>
    <w:rsid w:val="00ED735A"/>
    <w:rsid w:val="00EE28A5"/>
    <w:rsid w:val="00EE5CB5"/>
    <w:rsid w:val="00EF2AE9"/>
    <w:rsid w:val="00EF2F87"/>
    <w:rsid w:val="00F07B17"/>
    <w:rsid w:val="00F21A2E"/>
    <w:rsid w:val="00F3212D"/>
    <w:rsid w:val="00F371CA"/>
    <w:rsid w:val="00F433DC"/>
    <w:rsid w:val="00F532CB"/>
    <w:rsid w:val="00F6736F"/>
    <w:rsid w:val="00F70BC9"/>
    <w:rsid w:val="00F730DF"/>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9/may31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3647</TotalTime>
  <Pages>42</Pages>
  <Words>9684</Words>
  <Characters>53268</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47</cp:revision>
  <cp:lastPrinted>2020-03-11T02:27:00Z</cp:lastPrinted>
  <dcterms:created xsi:type="dcterms:W3CDTF">2019-01-22T19:49:00Z</dcterms:created>
  <dcterms:modified xsi:type="dcterms:W3CDTF">2020-04-14T18:37:00Z</dcterms:modified>
</cp:coreProperties>
</file>