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404" w:rsidRPr="00152C52" w:rsidRDefault="00A517EA" w:rsidP="00733A11">
      <w:pPr>
        <w:widowControl w:val="0"/>
        <w:spacing w:before="100" w:beforeAutospacing="1" w:after="100" w:afterAutospacing="1" w:line="360" w:lineRule="auto"/>
        <w:jc w:val="both"/>
        <w:rPr>
          <w:rFonts w:ascii="Palatino Linotype" w:hAnsi="Palatino Linotype" w:cs="Arial"/>
          <w:b/>
        </w:rPr>
      </w:pPr>
      <w:r w:rsidRPr="006D731E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722978">
        <w:rPr>
          <w:rFonts w:ascii="Palatino Linotype" w:hAnsi="Palatino Linotype" w:cs="Arial"/>
          <w:b/>
        </w:rPr>
        <w:t xml:space="preserve">TRIGÉSIMA </w:t>
      </w:r>
      <w:r w:rsidR="00FE27CF">
        <w:rPr>
          <w:rFonts w:ascii="Palatino Linotype" w:hAnsi="Palatino Linotype" w:cs="Arial"/>
          <w:b/>
        </w:rPr>
        <w:t xml:space="preserve">SEXTA </w:t>
      </w:r>
      <w:r w:rsidRPr="006D731E">
        <w:rPr>
          <w:rFonts w:ascii="Palatino Linotype" w:hAnsi="Palatino Linotype" w:cs="Arial"/>
          <w:b/>
        </w:rPr>
        <w:t xml:space="preserve">SESIÓN ORDINARIA DE </w:t>
      </w:r>
      <w:r w:rsidR="00FE27CF">
        <w:rPr>
          <w:rFonts w:ascii="Palatino Linotype" w:hAnsi="Palatino Linotype" w:cs="Arial"/>
          <w:b/>
        </w:rPr>
        <w:t xml:space="preserve">DOS </w:t>
      </w:r>
      <w:r w:rsidR="006853B2">
        <w:rPr>
          <w:rFonts w:ascii="Palatino Linotype" w:hAnsi="Palatino Linotype" w:cs="Arial"/>
          <w:b/>
        </w:rPr>
        <w:t xml:space="preserve">DE </w:t>
      </w:r>
      <w:r w:rsidR="00FE27CF">
        <w:rPr>
          <w:rFonts w:ascii="Palatino Linotype" w:hAnsi="Palatino Linotype" w:cs="Arial"/>
          <w:b/>
        </w:rPr>
        <w:t xml:space="preserve">OCTUBRE </w:t>
      </w:r>
      <w:r w:rsidR="0052090E">
        <w:rPr>
          <w:rFonts w:ascii="Palatino Linotype" w:hAnsi="Palatino Linotype" w:cs="Arial"/>
          <w:b/>
        </w:rPr>
        <w:t>DE</w:t>
      </w:r>
      <w:r w:rsidRPr="006D731E">
        <w:rPr>
          <w:rFonts w:ascii="Palatino Linotype" w:hAnsi="Palatino Linotype" w:cs="Arial"/>
          <w:b/>
        </w:rPr>
        <w:t xml:space="preserve"> DOS MIL </w:t>
      </w:r>
      <w:r w:rsidR="006D731E">
        <w:rPr>
          <w:rFonts w:ascii="Palatino Linotype" w:hAnsi="Palatino Linotype" w:cs="Arial"/>
          <w:b/>
        </w:rPr>
        <w:t>DIECI</w:t>
      </w:r>
      <w:r w:rsidR="00FE27CF">
        <w:rPr>
          <w:rFonts w:ascii="Palatino Linotype" w:hAnsi="Palatino Linotype" w:cs="Arial"/>
          <w:b/>
        </w:rPr>
        <w:t>NUEVE</w:t>
      </w:r>
      <w:r w:rsidRPr="006D731E">
        <w:rPr>
          <w:rFonts w:ascii="Palatino Linotype" w:hAnsi="Palatino Linotype" w:cs="Arial"/>
          <w:b/>
        </w:rPr>
        <w:t xml:space="preserve">, EN </w:t>
      </w:r>
      <w:r w:rsidR="00FE27CF">
        <w:rPr>
          <w:rFonts w:ascii="Palatino Linotype" w:hAnsi="Palatino Linotype" w:cs="Arial"/>
          <w:b/>
        </w:rPr>
        <w:t>EL</w:t>
      </w:r>
      <w:r w:rsidRPr="006D731E">
        <w:rPr>
          <w:rFonts w:ascii="Palatino Linotype" w:hAnsi="Palatino Linotype" w:cs="Arial"/>
          <w:b/>
        </w:rPr>
        <w:t xml:space="preserve"> RECURSO DE REVISIÓN</w:t>
      </w:r>
      <w:r w:rsidR="00722978">
        <w:rPr>
          <w:rFonts w:ascii="Palatino Linotype" w:hAnsi="Palatino Linotype" w:cs="Arial"/>
          <w:b/>
        </w:rPr>
        <w:t xml:space="preserve"> </w:t>
      </w:r>
      <w:r w:rsidR="00FE27CF">
        <w:rPr>
          <w:rFonts w:ascii="Palatino Linotype" w:hAnsi="Palatino Linotype" w:cs="Arial"/>
          <w:b/>
        </w:rPr>
        <w:t>05894</w:t>
      </w:r>
      <w:r w:rsidR="00722978" w:rsidRPr="00722978">
        <w:rPr>
          <w:rFonts w:ascii="Palatino Linotype" w:hAnsi="Palatino Linotype" w:cs="Arial"/>
          <w:b/>
        </w:rPr>
        <w:t>/INFOEM/IP/RR/201</w:t>
      </w:r>
      <w:r w:rsidR="00FE27CF">
        <w:rPr>
          <w:rFonts w:ascii="Palatino Linotype" w:hAnsi="Palatino Linotype" w:cs="Arial"/>
          <w:b/>
        </w:rPr>
        <w:t>9</w:t>
      </w:r>
      <w:r w:rsidR="0052090E">
        <w:rPr>
          <w:rFonts w:ascii="Palatino Linotype" w:hAnsi="Palatino Linotype" w:cs="Arial"/>
          <w:b/>
        </w:rPr>
        <w:t>.</w:t>
      </w:r>
    </w:p>
    <w:p w:rsidR="00F579EE" w:rsidRPr="006D731E" w:rsidRDefault="00A517EA" w:rsidP="00733A11">
      <w:pPr>
        <w:widowControl w:val="0"/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6D731E">
        <w:rPr>
          <w:rFonts w:ascii="Palatino Linotype" w:hAnsi="Palatino Linotype" w:cs="Arial"/>
          <w:b/>
          <w:lang w:val="es-ES_tradnl"/>
        </w:rPr>
        <w:t xml:space="preserve"> </w:t>
      </w:r>
      <w:r w:rsidRPr="006D731E">
        <w:rPr>
          <w:rFonts w:ascii="Palatino Linotype" w:hAnsi="Palatino Linotype" w:cs="Arial"/>
          <w:b/>
        </w:rPr>
        <w:t xml:space="preserve">EVA ABAID YAPUR </w:t>
      </w:r>
      <w:r w:rsidRPr="006D731E">
        <w:rPr>
          <w:rFonts w:ascii="Palatino Linotype" w:hAnsi="Palatino Linotype" w:cs="Arial"/>
        </w:rPr>
        <w:t xml:space="preserve">emite </w:t>
      </w:r>
      <w:r w:rsidRPr="006D731E">
        <w:rPr>
          <w:rFonts w:ascii="Palatino Linotype" w:hAnsi="Palatino Linotype" w:cs="Arial"/>
          <w:b/>
        </w:rPr>
        <w:t xml:space="preserve">VOTO PARTICULAR </w:t>
      </w:r>
      <w:r w:rsidRPr="006D731E">
        <w:rPr>
          <w:rFonts w:ascii="Palatino Linotype" w:hAnsi="Palatino Linotype" w:cs="Arial"/>
        </w:rPr>
        <w:t xml:space="preserve">respecto de la resolución dictada en </w:t>
      </w:r>
      <w:r w:rsidR="00FE27CF">
        <w:rPr>
          <w:rFonts w:ascii="Palatino Linotype" w:hAnsi="Palatino Linotype" w:cs="Arial"/>
        </w:rPr>
        <w:t>e</w:t>
      </w:r>
      <w:r w:rsidR="00722978">
        <w:rPr>
          <w:rFonts w:ascii="Palatino Linotype" w:hAnsi="Palatino Linotype" w:cs="Arial"/>
        </w:rPr>
        <w:t>l</w:t>
      </w:r>
      <w:r w:rsidR="00FE27CF">
        <w:rPr>
          <w:rFonts w:ascii="Palatino Linotype" w:hAnsi="Palatino Linotype" w:cs="Arial"/>
        </w:rPr>
        <w:t xml:space="preserve"> recurso </w:t>
      </w:r>
      <w:r w:rsidRPr="006D731E">
        <w:rPr>
          <w:rFonts w:ascii="Palatino Linotype" w:hAnsi="Palatino Linotype" w:cs="Arial"/>
        </w:rPr>
        <w:t xml:space="preserve">de revisión </w:t>
      </w:r>
      <w:r w:rsidR="00FE27CF">
        <w:rPr>
          <w:rFonts w:ascii="Palatino Linotype" w:hAnsi="Palatino Linotype" w:cs="Arial"/>
          <w:b/>
        </w:rPr>
        <w:t>05894/</w:t>
      </w:r>
      <w:r w:rsidR="00722978" w:rsidRPr="00722978">
        <w:rPr>
          <w:rFonts w:ascii="Palatino Linotype" w:hAnsi="Palatino Linotype" w:cs="Arial"/>
          <w:b/>
        </w:rPr>
        <w:t>INFOEM/IP/RR/201</w:t>
      </w:r>
      <w:r w:rsidR="00FE27CF">
        <w:rPr>
          <w:rFonts w:ascii="Palatino Linotype" w:hAnsi="Palatino Linotype" w:cs="Arial"/>
          <w:b/>
        </w:rPr>
        <w:t>9</w:t>
      </w:r>
      <w:r w:rsidRPr="006D731E">
        <w:rPr>
          <w:rFonts w:ascii="Palatino Linotype" w:eastAsia="Calibri" w:hAnsi="Palatino Linotype" w:cs="Arial"/>
          <w:b/>
        </w:rPr>
        <w:t>,</w:t>
      </w:r>
      <w:r w:rsidRPr="006D731E">
        <w:rPr>
          <w:rFonts w:ascii="Palatino Linotype" w:hAnsi="Palatino Linotype"/>
          <w:b/>
          <w:bCs/>
        </w:rPr>
        <w:t xml:space="preserve"> </w:t>
      </w:r>
      <w:r w:rsidRPr="006D731E">
        <w:rPr>
          <w:rFonts w:ascii="Palatino Linotype" w:hAnsi="Palatino Linotype" w:cs="Arial"/>
        </w:rPr>
        <w:t xml:space="preserve">pronunciada por el Pleno de este Instituto ante el proyecto presentado </w:t>
      </w:r>
      <w:r w:rsidR="00E46292">
        <w:rPr>
          <w:rFonts w:ascii="Palatino Linotype" w:hAnsi="Palatino Linotype" w:cs="Arial"/>
        </w:rPr>
        <w:t xml:space="preserve">por </w:t>
      </w:r>
      <w:r w:rsidR="00FE27CF">
        <w:rPr>
          <w:rFonts w:ascii="Palatino Linotype" w:hAnsi="Palatino Linotype" w:cs="Arial"/>
        </w:rPr>
        <w:t>el</w:t>
      </w:r>
      <w:r w:rsidR="006853B2">
        <w:rPr>
          <w:rFonts w:ascii="Palatino Linotype" w:hAnsi="Palatino Linotype" w:cs="Arial"/>
        </w:rPr>
        <w:t xml:space="preserve"> Comisionad</w:t>
      </w:r>
      <w:r w:rsidR="00FE27CF">
        <w:rPr>
          <w:rFonts w:ascii="Palatino Linotype" w:hAnsi="Palatino Linotype" w:cs="Arial"/>
        </w:rPr>
        <w:t>o</w:t>
      </w:r>
      <w:r w:rsidR="00722978">
        <w:rPr>
          <w:rFonts w:ascii="Palatino Linotype" w:hAnsi="Palatino Linotype" w:cs="Arial"/>
        </w:rPr>
        <w:t xml:space="preserve"> </w:t>
      </w:r>
      <w:r w:rsidR="00FE27CF">
        <w:rPr>
          <w:rFonts w:ascii="Palatino Linotype" w:hAnsi="Palatino Linotype" w:cs="Arial"/>
          <w:b/>
        </w:rPr>
        <w:t>JAVIER MARTÍNEZ CRUZ</w:t>
      </w:r>
      <w:r w:rsidRPr="006D731E">
        <w:rPr>
          <w:rFonts w:ascii="Palatino Linotype" w:hAnsi="Palatino Linotype" w:cs="Arial"/>
        </w:rPr>
        <w:t xml:space="preserve">, </w:t>
      </w:r>
      <w:r w:rsidR="00F579EE">
        <w:rPr>
          <w:rFonts w:ascii="Palatino Linotype" w:hAnsi="Palatino Linotype" w:cs="Arial"/>
        </w:rPr>
        <w:t>que es del tenor siguiente.</w:t>
      </w:r>
    </w:p>
    <w:p w:rsidR="0052090E" w:rsidRDefault="00A517EA" w:rsidP="00733A11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>Es de destacar, que la suscrita comparte esencialmente el estudio de la resolución del recurso de revisión; empero, considero necesario precisar algunas c</w:t>
      </w:r>
      <w:r w:rsidR="00152C52">
        <w:rPr>
          <w:rFonts w:ascii="Palatino Linotype" w:hAnsi="Palatino Linotype"/>
        </w:rPr>
        <w:t>uestiones</w:t>
      </w:r>
      <w:r w:rsidR="00F579EE">
        <w:rPr>
          <w:rFonts w:ascii="Palatino Linotype" w:hAnsi="Palatino Linotype"/>
        </w:rPr>
        <w:t xml:space="preserve"> de hecho y de derecho </w:t>
      </w:r>
      <w:r w:rsidR="00D05D82">
        <w:rPr>
          <w:rFonts w:ascii="Palatino Linotype" w:hAnsi="Palatino Linotype"/>
        </w:rPr>
        <w:t>en relación a</w:t>
      </w:r>
      <w:r w:rsidR="006853B2">
        <w:rPr>
          <w:rFonts w:ascii="Palatino Linotype" w:hAnsi="Palatino Linotype"/>
        </w:rPr>
        <w:t xml:space="preserve"> lo ordenado</w:t>
      </w:r>
      <w:r w:rsidR="00C3451C">
        <w:rPr>
          <w:rFonts w:ascii="Palatino Linotype" w:hAnsi="Palatino Linotype"/>
        </w:rPr>
        <w:t xml:space="preserve"> de la resolución de mérito.</w:t>
      </w:r>
    </w:p>
    <w:p w:rsidR="00823404" w:rsidRDefault="00A517EA" w:rsidP="00733A11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>Al respecto, tal y como quedó debidamente asentado en la resoluci</w:t>
      </w:r>
      <w:r w:rsidR="007E4C17">
        <w:rPr>
          <w:rFonts w:ascii="Palatino Linotype" w:hAnsi="Palatino Linotype"/>
        </w:rPr>
        <w:t>ón materia del presente voto, el</w:t>
      </w:r>
      <w:r w:rsidRPr="006D731E">
        <w:rPr>
          <w:rFonts w:ascii="Palatino Linotype" w:hAnsi="Palatino Linotype"/>
        </w:rPr>
        <w:t xml:space="preserve"> particular requirió </w:t>
      </w:r>
      <w:r w:rsidR="00C3451C">
        <w:rPr>
          <w:rFonts w:ascii="Palatino Linotype" w:hAnsi="Palatino Linotype"/>
        </w:rPr>
        <w:t>a</w:t>
      </w:r>
      <w:r w:rsidR="00FE27CF">
        <w:rPr>
          <w:rFonts w:ascii="Palatino Linotype" w:hAnsi="Palatino Linotype"/>
        </w:rPr>
        <w:t>l</w:t>
      </w:r>
      <w:r w:rsidR="00722978">
        <w:rPr>
          <w:rFonts w:ascii="Palatino Linotype" w:hAnsi="Palatino Linotype"/>
        </w:rPr>
        <w:t xml:space="preserve"> </w:t>
      </w:r>
      <w:r w:rsidR="00FE27CF">
        <w:rPr>
          <w:rFonts w:ascii="Palatino Linotype" w:hAnsi="Palatino Linotype"/>
          <w:b/>
        </w:rPr>
        <w:t>Partido Morena</w:t>
      </w:r>
      <w:r w:rsidR="00823404">
        <w:rPr>
          <w:rFonts w:ascii="Palatino Linotype" w:hAnsi="Palatino Linotype"/>
        </w:rPr>
        <w:t xml:space="preserve">, en lo sucesivo </w:t>
      </w:r>
      <w:r w:rsidR="00823404">
        <w:rPr>
          <w:rFonts w:ascii="Palatino Linotype" w:hAnsi="Palatino Linotype"/>
          <w:b/>
        </w:rPr>
        <w:t xml:space="preserve">EL </w:t>
      </w:r>
      <w:r w:rsidRPr="006D731E">
        <w:rPr>
          <w:rFonts w:ascii="Palatino Linotype" w:hAnsi="Palatino Linotype"/>
          <w:b/>
        </w:rPr>
        <w:t>SUJETO OBLIGADO</w:t>
      </w:r>
      <w:r w:rsidR="00FB60F4">
        <w:rPr>
          <w:rFonts w:ascii="Palatino Linotype" w:hAnsi="Palatino Linotype"/>
          <w:b/>
        </w:rPr>
        <w:t>,</w:t>
      </w:r>
      <w:r w:rsidR="00DB3A83" w:rsidRPr="006D731E">
        <w:rPr>
          <w:rFonts w:ascii="Palatino Linotype" w:hAnsi="Palatino Linotype"/>
        </w:rPr>
        <w:t xml:space="preserve"> </w:t>
      </w:r>
      <w:r w:rsidR="00FE27CF" w:rsidRPr="00FE27CF">
        <w:rPr>
          <w:rFonts w:ascii="Palatino Linotype" w:hAnsi="Palatino Linotype"/>
          <w:i/>
        </w:rPr>
        <w:t>“¿</w:t>
      </w:r>
      <w:r w:rsidR="00FE27CF" w:rsidRPr="00001141">
        <w:rPr>
          <w:rFonts w:ascii="Palatino Linotype" w:hAnsi="Palatino Linotype"/>
          <w:i/>
          <w:sz w:val="22"/>
        </w:rPr>
        <w:t xml:space="preserve">CUÁNTOS SERVIDORES DE LA NACIÓN TRABAJAN EN EL PAÍS </w:t>
      </w:r>
      <w:r w:rsidR="00FE27CF" w:rsidRPr="00001141">
        <w:rPr>
          <w:rFonts w:ascii="Palatino Linotype" w:hAnsi="Palatino Linotype"/>
          <w:i/>
          <w:sz w:val="22"/>
        </w:rPr>
        <w:lastRenderedPageBreak/>
        <w:t>ACTUALMENTE, POR MUNICIPIO? ¿DE QUÉ ÁREA DEL GOBIERNO FEDERAL DEPENDEN?</w:t>
      </w:r>
      <w:r w:rsidR="00FE27CF" w:rsidRPr="00FE27CF">
        <w:rPr>
          <w:rFonts w:ascii="Palatino Linotype" w:hAnsi="Palatino Linotype"/>
          <w:i/>
        </w:rPr>
        <w:t xml:space="preserve">” </w:t>
      </w:r>
      <w:r w:rsidR="00FE27CF" w:rsidRPr="00001141">
        <w:rPr>
          <w:rFonts w:ascii="Palatino Linotype" w:hAnsi="Palatino Linotype"/>
          <w:i/>
          <w:sz w:val="22"/>
        </w:rPr>
        <w:t>(</w:t>
      </w:r>
      <w:proofErr w:type="gramStart"/>
      <w:r w:rsidR="00FE27CF" w:rsidRPr="00001141">
        <w:rPr>
          <w:rFonts w:ascii="Palatino Linotype" w:hAnsi="Palatino Linotype"/>
          <w:i/>
          <w:sz w:val="22"/>
        </w:rPr>
        <w:t>sic</w:t>
      </w:r>
      <w:proofErr w:type="gramEnd"/>
      <w:r w:rsidR="00FE27CF" w:rsidRPr="00001141">
        <w:rPr>
          <w:rFonts w:ascii="Palatino Linotype" w:hAnsi="Palatino Linotype"/>
          <w:i/>
          <w:sz w:val="22"/>
        </w:rPr>
        <w:t>)</w:t>
      </w:r>
      <w:r w:rsidR="00C3451C" w:rsidRPr="00001141">
        <w:rPr>
          <w:rFonts w:ascii="Palatino Linotype" w:hAnsi="Palatino Linotype"/>
          <w:i/>
          <w:sz w:val="22"/>
        </w:rPr>
        <w:t>.</w:t>
      </w:r>
    </w:p>
    <w:p w:rsidR="00FE27CF" w:rsidRDefault="00FE27CF" w:rsidP="00733A11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Ahora bien, de las constancias que obran dentro del expediente electrónico del Sistema de Acceso a la Información Mexiquense, en lo subsecuente el </w:t>
      </w:r>
      <w:r>
        <w:rPr>
          <w:rFonts w:ascii="Palatino Linotype" w:hAnsi="Palatino Linotype" w:cs="Arial"/>
          <w:b/>
        </w:rPr>
        <w:t xml:space="preserve">SAIMEX, </w:t>
      </w:r>
      <w:r>
        <w:rPr>
          <w:rFonts w:ascii="Palatino Linotype" w:hAnsi="Palatino Linotype" w:cs="Arial"/>
        </w:rPr>
        <w:t xml:space="preserve">se advierte que </w:t>
      </w:r>
      <w:r>
        <w:rPr>
          <w:rFonts w:ascii="Palatino Linotype" w:hAnsi="Palatino Linotype" w:cs="Arial"/>
          <w:b/>
        </w:rPr>
        <w:t xml:space="preserve">EL SUJETO OBLIGADO </w:t>
      </w:r>
      <w:r>
        <w:rPr>
          <w:rFonts w:ascii="Palatino Linotype" w:hAnsi="Palatino Linotype" w:cs="Arial"/>
        </w:rPr>
        <w:t xml:space="preserve">fue omiso en emitir una respuesta a la solicitud de información formulada por la particular. </w:t>
      </w:r>
    </w:p>
    <w:p w:rsidR="00FE27CF" w:rsidRDefault="00FE27CF" w:rsidP="00733A11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En ese tenor, </w:t>
      </w:r>
      <w:r w:rsidRPr="00D316E0">
        <w:rPr>
          <w:rFonts w:ascii="Palatino Linotype" w:hAnsi="Palatino Linotype" w:cs="Arial"/>
          <w:b/>
        </w:rPr>
        <w:t>L</w:t>
      </w:r>
      <w:r>
        <w:rPr>
          <w:rFonts w:ascii="Palatino Linotype" w:hAnsi="Palatino Linotype" w:cs="Arial"/>
          <w:b/>
        </w:rPr>
        <w:t>A</w:t>
      </w:r>
      <w:r w:rsidRPr="00D316E0">
        <w:rPr>
          <w:rFonts w:ascii="Palatino Linotype" w:hAnsi="Palatino Linotype" w:cs="Arial"/>
          <w:b/>
        </w:rPr>
        <w:t xml:space="preserve"> RECURRENTE</w:t>
      </w:r>
      <w:r>
        <w:rPr>
          <w:rFonts w:ascii="Palatino Linotype" w:hAnsi="Palatino Linotype" w:cs="Arial"/>
        </w:rPr>
        <w:t xml:space="preserve"> inconforme con la falta de respuesta por </w:t>
      </w:r>
      <w:r>
        <w:rPr>
          <w:rFonts w:ascii="Palatino Linotype" w:hAnsi="Palatino Linotype" w:cs="Arial"/>
          <w:b/>
        </w:rPr>
        <w:t xml:space="preserve">EL SUJETO OBLIGADO, </w:t>
      </w:r>
      <w:r>
        <w:rPr>
          <w:rFonts w:ascii="Palatino Linotype" w:hAnsi="Palatino Linotype" w:cs="Arial"/>
        </w:rPr>
        <w:t xml:space="preserve">interpuso el recurso de revisión de mérito. </w:t>
      </w:r>
    </w:p>
    <w:p w:rsidR="00152C52" w:rsidRDefault="00A517EA" w:rsidP="00733A1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b/>
        </w:rPr>
      </w:pPr>
      <w:r w:rsidRPr="00C069FC">
        <w:rPr>
          <w:rFonts w:ascii="Palatino Linotype" w:hAnsi="Palatino Linotype" w:cs="Arial"/>
        </w:rPr>
        <w:t>Así</w:t>
      </w:r>
      <w:r w:rsidRPr="006D731E">
        <w:rPr>
          <w:rFonts w:ascii="Palatino Linotype" w:hAnsi="Palatino Linotype" w:cs="Arial"/>
        </w:rPr>
        <w:t xml:space="preserve">, del estudio al expediente electrónico, la Ponencia </w:t>
      </w:r>
      <w:proofErr w:type="spellStart"/>
      <w:r w:rsidRPr="006D731E">
        <w:rPr>
          <w:rFonts w:ascii="Palatino Linotype" w:hAnsi="Palatino Linotype" w:cs="Arial"/>
        </w:rPr>
        <w:t>Resolutora</w:t>
      </w:r>
      <w:proofErr w:type="spellEnd"/>
      <w:r w:rsidRPr="006D731E">
        <w:rPr>
          <w:rFonts w:ascii="Palatino Linotype" w:hAnsi="Palatino Linotype" w:cs="Arial"/>
        </w:rPr>
        <w:t xml:space="preserve"> determinó </w:t>
      </w:r>
      <w:r w:rsidR="00FE27CF">
        <w:rPr>
          <w:rFonts w:ascii="Palatino Linotype" w:hAnsi="Palatino Linotype" w:cs="Arial"/>
          <w:b/>
        </w:rPr>
        <w:t xml:space="preserve">ORDENAR </w:t>
      </w:r>
      <w:r w:rsidR="00FE27CF" w:rsidRPr="00EA5BFB">
        <w:rPr>
          <w:rFonts w:ascii="Palatino Linotype" w:hAnsi="Palatino Linotype" w:cs="Arial"/>
        </w:rPr>
        <w:t xml:space="preserve">al </w:t>
      </w:r>
      <w:r w:rsidR="00FE27CF" w:rsidRPr="00EA5BFB">
        <w:rPr>
          <w:rFonts w:ascii="Palatino Linotype" w:hAnsi="Palatino Linotype" w:cs="Arial"/>
          <w:b/>
        </w:rPr>
        <w:t>SUJETO OBLIGADO</w:t>
      </w:r>
      <w:r w:rsidR="00FE27CF" w:rsidRPr="00EA5BFB">
        <w:rPr>
          <w:rFonts w:ascii="Palatino Linotype" w:hAnsi="Palatino Linotype" w:cs="Arial"/>
        </w:rPr>
        <w:t xml:space="preserve"> </w:t>
      </w:r>
      <w:r w:rsidR="00EA5BFB" w:rsidRPr="00EA5BFB">
        <w:rPr>
          <w:rFonts w:ascii="Palatino Linotype" w:hAnsi="Palatino Linotype" w:cs="Arial"/>
        </w:rPr>
        <w:t>hacer entrega vía SAIMEX</w:t>
      </w:r>
      <w:r w:rsidR="00FE27CF" w:rsidRPr="00EA5BFB">
        <w:rPr>
          <w:rFonts w:ascii="Palatino Linotype" w:hAnsi="Palatino Linotype" w:cs="Arial"/>
        </w:rPr>
        <w:t>, de</w:t>
      </w:r>
      <w:r w:rsidR="00FE27CF">
        <w:rPr>
          <w:rFonts w:ascii="Palatino Linotype" w:hAnsi="Palatino Linotype" w:cs="Arial"/>
          <w:b/>
        </w:rPr>
        <w:t xml:space="preserve"> </w:t>
      </w:r>
      <w:r w:rsidR="00722FFE">
        <w:rPr>
          <w:rFonts w:ascii="Palatino Linotype" w:hAnsi="Palatino Linotype" w:cs="Arial"/>
        </w:rPr>
        <w:t>lo siguiente</w:t>
      </w:r>
      <w:r w:rsidR="00E80F4B" w:rsidRPr="00E80F4B">
        <w:rPr>
          <w:rFonts w:ascii="Palatino Linotype" w:hAnsi="Palatino Linotype" w:cs="Arial"/>
          <w:b/>
        </w:rPr>
        <w:t>.</w:t>
      </w:r>
    </w:p>
    <w:p w:rsidR="00E54873" w:rsidRDefault="00EA5BFB" w:rsidP="00733A11">
      <w:pPr>
        <w:spacing w:before="100" w:beforeAutospacing="1" w:after="100" w:afterAutospacing="1" w:line="360" w:lineRule="auto"/>
        <w:ind w:left="851" w:right="899"/>
        <w:jc w:val="both"/>
        <w:rPr>
          <w:rFonts w:ascii="Palatino Linotype" w:hAnsi="Palatino Linotype"/>
          <w:i/>
          <w:sz w:val="22"/>
          <w:szCs w:val="22"/>
          <w:lang w:eastAsia="en-US"/>
        </w:rPr>
      </w:pPr>
      <w:r>
        <w:rPr>
          <w:rFonts w:ascii="Palatino Linotype" w:hAnsi="Palatino Linotype"/>
          <w:i/>
          <w:sz w:val="22"/>
          <w:szCs w:val="22"/>
          <w:lang w:eastAsia="en-US"/>
        </w:rPr>
        <w:t>“</w:t>
      </w:r>
      <w:r w:rsidRPr="007234FF">
        <w:rPr>
          <w:rFonts w:ascii="Palatino Linotype" w:hAnsi="Palatino Linotype"/>
          <w:i/>
          <w:sz w:val="22"/>
          <w:szCs w:val="22"/>
          <w:lang w:eastAsia="en-US"/>
        </w:rPr>
        <w:t xml:space="preserve">El Acuerdo que emita el Comité de Transparencia en el que se confirme la declaración de incompetencia del </w:t>
      </w:r>
      <w:r w:rsidRPr="007234FF">
        <w:rPr>
          <w:rFonts w:ascii="Palatino Linotype" w:hAnsi="Palatino Linotype"/>
          <w:b/>
          <w:i/>
          <w:sz w:val="22"/>
          <w:szCs w:val="22"/>
          <w:lang w:eastAsia="en-US"/>
        </w:rPr>
        <w:t xml:space="preserve">Sujeto Obligado </w:t>
      </w:r>
      <w:r w:rsidRPr="007234FF">
        <w:rPr>
          <w:rFonts w:ascii="Palatino Linotype" w:hAnsi="Palatino Linotype"/>
          <w:i/>
          <w:sz w:val="22"/>
          <w:szCs w:val="22"/>
          <w:lang w:eastAsia="en-US"/>
        </w:rPr>
        <w:t>respecto a la información requerida por el impetrante.</w:t>
      </w:r>
      <w:r>
        <w:rPr>
          <w:rFonts w:ascii="Palatino Linotype" w:hAnsi="Palatino Linotype"/>
          <w:i/>
          <w:sz w:val="22"/>
          <w:szCs w:val="22"/>
          <w:lang w:eastAsia="en-US"/>
        </w:rPr>
        <w:t>”</w:t>
      </w:r>
    </w:p>
    <w:p w:rsidR="00EA5BFB" w:rsidRDefault="003E3026" w:rsidP="00733A1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E</w:t>
      </w:r>
      <w:r w:rsidRPr="004F3DBF">
        <w:rPr>
          <w:rFonts w:ascii="Palatino Linotype" w:hAnsi="Palatino Linotype" w:cs="Arial"/>
        </w:rPr>
        <w:t xml:space="preserve">n ese sentido, la que suscribe </w:t>
      </w:r>
      <w:r w:rsidR="003F1EC5">
        <w:rPr>
          <w:rFonts w:ascii="Palatino Linotype" w:hAnsi="Palatino Linotype" w:cs="Arial"/>
        </w:rPr>
        <w:t xml:space="preserve">reitera, que si bien coincide </w:t>
      </w:r>
      <w:r w:rsidR="00A517EA" w:rsidRPr="006D731E">
        <w:rPr>
          <w:rFonts w:ascii="Palatino Linotype" w:hAnsi="Palatino Linotype" w:cs="Arial"/>
        </w:rPr>
        <w:t xml:space="preserve">en términos generales con el </w:t>
      </w:r>
      <w:r w:rsidR="00E867DE">
        <w:rPr>
          <w:rFonts w:ascii="Palatino Linotype" w:hAnsi="Palatino Linotype" w:cs="Arial"/>
        </w:rPr>
        <w:t>estudio</w:t>
      </w:r>
      <w:r w:rsidR="00A517EA" w:rsidRPr="006D731E">
        <w:rPr>
          <w:rFonts w:ascii="Palatino Linotype" w:hAnsi="Palatino Linotype" w:cs="Arial"/>
        </w:rPr>
        <w:t xml:space="preserve"> de la resolución en comento, </w:t>
      </w:r>
      <w:r w:rsidR="00424668">
        <w:rPr>
          <w:rFonts w:ascii="Palatino Linotype" w:hAnsi="Palatino Linotype" w:cs="Arial"/>
        </w:rPr>
        <w:t>difiero respecto a que se orden</w:t>
      </w:r>
      <w:r w:rsidR="00EA5BFB">
        <w:rPr>
          <w:rFonts w:ascii="Palatino Linotype" w:hAnsi="Palatino Linotype" w:cs="Arial"/>
        </w:rPr>
        <w:t>e</w:t>
      </w:r>
      <w:r w:rsidR="00424668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la </w:t>
      </w:r>
      <w:r w:rsidR="00EA5BFB">
        <w:rPr>
          <w:rFonts w:ascii="Palatino Linotype" w:hAnsi="Palatino Linotype" w:cs="Arial"/>
        </w:rPr>
        <w:t xml:space="preserve">entrega del Acuerdo en el que se confirme la declaración de incompetencia del </w:t>
      </w:r>
      <w:r w:rsidR="00EA5BFB" w:rsidRPr="00EA5BFB">
        <w:rPr>
          <w:rFonts w:ascii="Palatino Linotype" w:hAnsi="Palatino Linotype" w:cs="Arial"/>
          <w:b/>
        </w:rPr>
        <w:t>SUJETO OBLIGADO</w:t>
      </w:r>
      <w:r w:rsidR="00EA5BFB">
        <w:rPr>
          <w:rFonts w:ascii="Palatino Linotype" w:hAnsi="Palatino Linotype" w:cs="Arial"/>
        </w:rPr>
        <w:t xml:space="preserve">. </w:t>
      </w:r>
    </w:p>
    <w:p w:rsidR="00152C52" w:rsidRPr="00DB7FA0" w:rsidRDefault="00975F9D" w:rsidP="00733A11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</w:rPr>
      </w:pPr>
      <w:r>
        <w:rPr>
          <w:rFonts w:ascii="Palatino Linotype" w:eastAsia="Calibri" w:hAnsi="Palatino Linotype" w:cs="Arial"/>
        </w:rPr>
        <w:t>Pu</w:t>
      </w:r>
      <w:r w:rsidR="00E867DE">
        <w:rPr>
          <w:rFonts w:ascii="Palatino Linotype" w:eastAsia="Calibri" w:hAnsi="Palatino Linotype" w:cs="Arial"/>
        </w:rPr>
        <w:t>es, s</w:t>
      </w:r>
      <w:r w:rsidR="00E867DE" w:rsidRPr="00DB7FA0">
        <w:rPr>
          <w:rFonts w:ascii="Palatino Linotype" w:eastAsia="Calibri" w:hAnsi="Palatino Linotype" w:cs="Arial"/>
        </w:rPr>
        <w:t>i bien es cierto l</w:t>
      </w:r>
      <w:r w:rsidR="00E867DE">
        <w:rPr>
          <w:rFonts w:ascii="Palatino Linotype" w:eastAsia="Calibri" w:hAnsi="Palatino Linotype" w:cs="Arial"/>
        </w:rPr>
        <w:t>o</w:t>
      </w:r>
      <w:r w:rsidR="00E867DE" w:rsidRPr="00DB7FA0">
        <w:rPr>
          <w:rFonts w:ascii="Palatino Linotype" w:eastAsia="Calibri" w:hAnsi="Palatino Linotype" w:cs="Arial"/>
        </w:rPr>
        <w:t xml:space="preserve"> establecido en el artículo 167 de la Ley de Transparencia y Acceso a la Información Pública, que indica que cuando </w:t>
      </w:r>
      <w:r w:rsidR="00001141" w:rsidRPr="00001141">
        <w:rPr>
          <w:rFonts w:ascii="Palatino Linotype" w:eastAsia="Calibri" w:hAnsi="Palatino Linotype" w:cs="Arial"/>
          <w:b/>
        </w:rPr>
        <w:t>EL SUJETO OBLIGADO</w:t>
      </w:r>
      <w:r w:rsidR="00001141" w:rsidRPr="00DB7FA0">
        <w:rPr>
          <w:rFonts w:ascii="Palatino Linotype" w:eastAsia="Calibri" w:hAnsi="Palatino Linotype" w:cs="Arial"/>
        </w:rPr>
        <w:t xml:space="preserve"> </w:t>
      </w:r>
      <w:r w:rsidR="00E867DE" w:rsidRPr="00DB7FA0">
        <w:rPr>
          <w:rFonts w:ascii="Palatino Linotype" w:eastAsia="Calibri" w:hAnsi="Palatino Linotype" w:cs="Arial"/>
        </w:rPr>
        <w:t xml:space="preserve">sea incompetente para dar contestación a la solicitud de información deberá notificar al </w:t>
      </w:r>
      <w:r w:rsidR="00E867DE" w:rsidRPr="00DB7FA0">
        <w:rPr>
          <w:rFonts w:ascii="Palatino Linotype" w:eastAsia="Calibri" w:hAnsi="Palatino Linotype" w:cs="Arial"/>
        </w:rPr>
        <w:lastRenderedPageBreak/>
        <w:t xml:space="preserve">particular y </w:t>
      </w:r>
      <w:r w:rsidR="00E867DE">
        <w:rPr>
          <w:rFonts w:ascii="Palatino Linotype" w:eastAsia="Calibri" w:hAnsi="Palatino Linotype" w:cs="Arial"/>
        </w:rPr>
        <w:t xml:space="preserve">de ser el caso </w:t>
      </w:r>
      <w:r w:rsidR="00E867DE" w:rsidRPr="00DB7FA0">
        <w:rPr>
          <w:rFonts w:ascii="Palatino Linotype" w:eastAsia="Calibri" w:hAnsi="Palatino Linotype" w:cs="Arial"/>
        </w:rPr>
        <w:t xml:space="preserve">orientarlo con el Sujeto Obligado competente, situación que </w:t>
      </w:r>
      <w:r w:rsidR="00AE263C">
        <w:rPr>
          <w:rFonts w:ascii="Palatino Linotype" w:eastAsia="Calibri" w:hAnsi="Palatino Linotype" w:cs="Arial"/>
        </w:rPr>
        <w:t>no se advierte dentro de las constancias que integran el expediente electrónico</w:t>
      </w:r>
      <w:r w:rsidR="00E867DE">
        <w:rPr>
          <w:rFonts w:ascii="Palatino Linotype" w:eastAsia="Calibri" w:hAnsi="Palatino Linotype" w:cs="Arial"/>
        </w:rPr>
        <w:t xml:space="preserve">; sin embargo, de </w:t>
      </w:r>
      <w:r w:rsidR="00E867DE" w:rsidRPr="00AC6338">
        <w:rPr>
          <w:rFonts w:ascii="Palatino Linotype" w:eastAsia="Calibri" w:hAnsi="Palatino Linotype" w:cs="Arial"/>
        </w:rPr>
        <w:t>determin</w:t>
      </w:r>
      <w:r w:rsidR="00E867DE">
        <w:rPr>
          <w:rFonts w:ascii="Palatino Linotype" w:eastAsia="Calibri" w:hAnsi="Palatino Linotype" w:cs="Arial"/>
        </w:rPr>
        <w:t>ar</w:t>
      </w:r>
      <w:r w:rsidR="00E867DE" w:rsidRPr="00AC6338">
        <w:rPr>
          <w:rFonts w:ascii="Palatino Linotype" w:eastAsia="Calibri" w:hAnsi="Palatino Linotype" w:cs="Arial"/>
        </w:rPr>
        <w:t xml:space="preserve"> la notoria incompetencia </w:t>
      </w:r>
      <w:r w:rsidR="00E867DE">
        <w:rPr>
          <w:rFonts w:ascii="Palatino Linotype" w:eastAsia="Calibri" w:hAnsi="Palatino Linotype" w:cs="Arial"/>
        </w:rPr>
        <w:t xml:space="preserve">debió comunicarlo al solicitante </w:t>
      </w:r>
      <w:r w:rsidR="00E867DE" w:rsidRPr="00AC6338">
        <w:rPr>
          <w:rFonts w:ascii="Palatino Linotype" w:eastAsia="Calibri" w:hAnsi="Palatino Linotype" w:cs="Arial"/>
        </w:rPr>
        <w:t>dentro de los tres días hábiles posteriores a la recepción de la solicitud</w:t>
      </w:r>
      <w:r w:rsidR="00E867DE">
        <w:rPr>
          <w:rFonts w:ascii="Palatino Linotype" w:eastAsia="Calibri" w:hAnsi="Palatino Linotype" w:cs="Arial"/>
        </w:rPr>
        <w:t>, y ante la falta de ello,</w:t>
      </w:r>
      <w:r w:rsidR="00E867DE" w:rsidRPr="00DB7FA0">
        <w:rPr>
          <w:rFonts w:ascii="Palatino Linotype" w:eastAsia="Calibri" w:hAnsi="Palatino Linotype" w:cs="Arial"/>
        </w:rPr>
        <w:t xml:space="preserve"> dicha incompetencia </w:t>
      </w:r>
      <w:r w:rsidR="00E867DE">
        <w:rPr>
          <w:rFonts w:ascii="Palatino Linotype" w:eastAsia="Calibri" w:hAnsi="Palatino Linotype" w:cs="Arial"/>
        </w:rPr>
        <w:t>tenía</w:t>
      </w:r>
      <w:r w:rsidR="00E867DE" w:rsidRPr="00DB7FA0">
        <w:rPr>
          <w:rFonts w:ascii="Palatino Linotype" w:eastAsia="Calibri" w:hAnsi="Palatino Linotype" w:cs="Arial"/>
        </w:rPr>
        <w:t xml:space="preserve"> que ser aprobada por el Comité de Transparencia del </w:t>
      </w:r>
      <w:r w:rsidR="00E867DE" w:rsidRPr="00AC6338">
        <w:rPr>
          <w:rFonts w:ascii="Palatino Linotype" w:eastAsia="Calibri" w:hAnsi="Palatino Linotype" w:cs="Arial"/>
        </w:rPr>
        <w:t>Sujeto Obligado</w:t>
      </w:r>
      <w:r w:rsidR="00152C52">
        <w:rPr>
          <w:rFonts w:ascii="Palatino Linotype" w:eastAsia="Calibri" w:hAnsi="Palatino Linotype" w:cs="Arial"/>
        </w:rPr>
        <w:t>;</w:t>
      </w:r>
      <w:r w:rsidR="00E867DE">
        <w:rPr>
          <w:rFonts w:ascii="Palatino Linotype" w:eastAsia="Calibri" w:hAnsi="Palatino Linotype" w:cs="Arial"/>
        </w:rPr>
        <w:t xml:space="preserve"> en éste caso</w:t>
      </w:r>
      <w:r w:rsidR="00152C52">
        <w:rPr>
          <w:rFonts w:ascii="Palatino Linotype" w:eastAsia="Calibri" w:hAnsi="Palatino Linotype" w:cs="Arial"/>
        </w:rPr>
        <w:t>,</w:t>
      </w:r>
      <w:r w:rsidR="00E867DE">
        <w:rPr>
          <w:rFonts w:ascii="Palatino Linotype" w:eastAsia="Calibri" w:hAnsi="Palatino Linotype" w:cs="Arial"/>
        </w:rPr>
        <w:t xml:space="preserve"> </w:t>
      </w:r>
      <w:r w:rsidR="00E867DE" w:rsidRPr="00DB7FA0">
        <w:rPr>
          <w:rFonts w:ascii="Palatino Linotype" w:eastAsia="Calibri" w:hAnsi="Palatino Linotype" w:cs="Arial"/>
        </w:rPr>
        <w:t xml:space="preserve"> en términos del artículo 49</w:t>
      </w:r>
      <w:r w:rsidR="00152C52">
        <w:rPr>
          <w:rFonts w:ascii="Palatino Linotype" w:eastAsia="Calibri" w:hAnsi="Palatino Linotype" w:cs="Arial"/>
        </w:rPr>
        <w:t>,</w:t>
      </w:r>
      <w:r w:rsidR="00E867DE" w:rsidRPr="00DB7FA0">
        <w:rPr>
          <w:rFonts w:ascii="Palatino Linotype" w:eastAsia="Calibri" w:hAnsi="Palatino Linotype" w:cs="Arial"/>
        </w:rPr>
        <w:t xml:space="preserve"> fraccion</w:t>
      </w:r>
      <w:r w:rsidR="00E867DE">
        <w:rPr>
          <w:rFonts w:ascii="Palatino Linotype" w:eastAsia="Calibri" w:hAnsi="Palatino Linotype" w:cs="Arial"/>
        </w:rPr>
        <w:t>es I y</w:t>
      </w:r>
      <w:r w:rsidR="00E867DE" w:rsidRPr="00DB7FA0">
        <w:rPr>
          <w:rFonts w:ascii="Palatino Linotype" w:eastAsia="Calibri" w:hAnsi="Palatino Linotype" w:cs="Arial"/>
        </w:rPr>
        <w:t xml:space="preserve"> II de la Ley de Transparencia y Acceso a la Información Pública del Estado de México y Municipios, que literalmente  señala:</w:t>
      </w:r>
    </w:p>
    <w:p w:rsidR="00E867DE" w:rsidRDefault="00E867DE" w:rsidP="00733A11">
      <w:pPr>
        <w:ind w:left="709" w:right="760"/>
        <w:jc w:val="both"/>
        <w:rPr>
          <w:rFonts w:ascii="Palatino Linotype" w:eastAsia="Calibri" w:hAnsi="Palatino Linotype" w:cs="Arial"/>
          <w:i/>
          <w:sz w:val="22"/>
        </w:rPr>
      </w:pPr>
      <w:r w:rsidRPr="00DB7FA0">
        <w:rPr>
          <w:rFonts w:ascii="Palatino Linotype" w:eastAsia="Calibri" w:hAnsi="Palatino Linotype" w:cs="Arial"/>
          <w:i/>
          <w:sz w:val="22"/>
        </w:rPr>
        <w:t>“</w:t>
      </w:r>
      <w:r w:rsidRPr="00D324AA">
        <w:rPr>
          <w:rFonts w:ascii="Palatino Linotype" w:eastAsia="Calibri" w:hAnsi="Palatino Linotype" w:cs="Arial"/>
          <w:b/>
          <w:i/>
          <w:sz w:val="22"/>
        </w:rPr>
        <w:t>Artículo 49</w:t>
      </w:r>
      <w:r w:rsidRPr="00DB7FA0">
        <w:rPr>
          <w:rFonts w:ascii="Palatino Linotype" w:eastAsia="Calibri" w:hAnsi="Palatino Linotype" w:cs="Arial"/>
          <w:i/>
          <w:sz w:val="22"/>
        </w:rPr>
        <w:t>. Los Comités de Transparencia tendrán las siguientes atribuciones:</w:t>
      </w:r>
    </w:p>
    <w:p w:rsidR="00E867DE" w:rsidRPr="00DB7FA0" w:rsidRDefault="00E867DE" w:rsidP="00733A11">
      <w:pPr>
        <w:ind w:left="709" w:right="760"/>
        <w:jc w:val="both"/>
        <w:rPr>
          <w:rFonts w:ascii="Palatino Linotype" w:eastAsia="Calibri" w:hAnsi="Palatino Linotype" w:cs="Arial"/>
          <w:i/>
          <w:sz w:val="22"/>
        </w:rPr>
      </w:pPr>
    </w:p>
    <w:p w:rsidR="00E867DE" w:rsidRDefault="00E867DE" w:rsidP="00733A11">
      <w:pPr>
        <w:ind w:left="709" w:right="760"/>
        <w:jc w:val="both"/>
        <w:rPr>
          <w:rFonts w:ascii="Palatino Linotype" w:eastAsia="Calibri" w:hAnsi="Palatino Linotype" w:cs="Arial"/>
          <w:i/>
          <w:sz w:val="22"/>
        </w:rPr>
      </w:pPr>
      <w:r w:rsidRPr="00D324AA">
        <w:rPr>
          <w:rFonts w:ascii="Palatino Linotype" w:eastAsia="Calibri" w:hAnsi="Palatino Linotype" w:cs="Arial"/>
          <w:b/>
          <w:i/>
          <w:sz w:val="22"/>
        </w:rPr>
        <w:t>I</w:t>
      </w:r>
      <w:r w:rsidRPr="00DB7FA0">
        <w:rPr>
          <w:rFonts w:ascii="Palatino Linotype" w:eastAsia="Calibri" w:hAnsi="Palatino Linotype" w:cs="Arial"/>
          <w:i/>
          <w:sz w:val="22"/>
        </w:rPr>
        <w:t>. Instituir, coordinar y supervisar en términos de las disposiciones aplicables, las acciones, medidas y procedimientos que coadyuven a asegurar una mayor eficacia en la gestión y atención de las solicitudes en materia de acceso a la información;</w:t>
      </w:r>
    </w:p>
    <w:p w:rsidR="00E867DE" w:rsidRPr="00DB7FA0" w:rsidRDefault="00E867DE" w:rsidP="00733A11">
      <w:pPr>
        <w:ind w:left="709" w:right="760"/>
        <w:jc w:val="both"/>
        <w:rPr>
          <w:rFonts w:ascii="Palatino Linotype" w:eastAsia="Calibri" w:hAnsi="Palatino Linotype" w:cs="Arial"/>
          <w:i/>
          <w:sz w:val="22"/>
        </w:rPr>
      </w:pPr>
    </w:p>
    <w:p w:rsidR="00555AB1" w:rsidRDefault="00E867DE" w:rsidP="00733A11">
      <w:pPr>
        <w:ind w:left="709" w:right="760"/>
        <w:jc w:val="both"/>
        <w:rPr>
          <w:rFonts w:ascii="Palatino Linotype" w:eastAsia="Calibri" w:hAnsi="Palatino Linotype" w:cs="Arial"/>
          <w:i/>
          <w:sz w:val="22"/>
        </w:rPr>
      </w:pPr>
      <w:r w:rsidRPr="00D324AA">
        <w:rPr>
          <w:rFonts w:ascii="Palatino Linotype" w:eastAsia="Calibri" w:hAnsi="Palatino Linotype" w:cs="Arial"/>
          <w:b/>
          <w:i/>
          <w:sz w:val="22"/>
        </w:rPr>
        <w:t>II</w:t>
      </w:r>
      <w:r w:rsidRPr="00DB7FA0">
        <w:rPr>
          <w:rFonts w:ascii="Palatino Linotype" w:eastAsia="Calibri" w:hAnsi="Palatino Linotype" w:cs="Arial"/>
          <w:i/>
          <w:sz w:val="22"/>
        </w:rPr>
        <w:t>. Confirmar, modificar o revocar las determinaciones que en materia de ampliación del plazo de respuesta, clasificación de la información y declaración de inexistencia o de incompetencia realicen los titulares de las áreas de los sujetos obligados;”</w:t>
      </w:r>
    </w:p>
    <w:p w:rsidR="004F38F8" w:rsidRDefault="00E867DE" w:rsidP="00733A11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</w:rPr>
      </w:pPr>
      <w:r w:rsidRPr="00DB7FA0">
        <w:rPr>
          <w:rFonts w:ascii="Palatino Linotype" w:eastAsia="Calibri" w:hAnsi="Palatino Linotype" w:cs="Arial"/>
        </w:rPr>
        <w:t xml:space="preserve">En efecto, si bien </w:t>
      </w:r>
      <w:r>
        <w:rPr>
          <w:rFonts w:ascii="Palatino Linotype" w:eastAsia="Calibri" w:hAnsi="Palatino Linotype" w:cs="Arial"/>
          <w:b/>
        </w:rPr>
        <w:t>EL SUJETO OBLIGADO</w:t>
      </w:r>
      <w:r w:rsidRPr="00DB7FA0">
        <w:rPr>
          <w:rFonts w:ascii="Palatino Linotype" w:eastAsia="Calibri" w:hAnsi="Palatino Linotype" w:cs="Arial"/>
        </w:rPr>
        <w:t xml:space="preserve"> no tiene competencia para administrar, generar o poseer la información solicitada por </w:t>
      </w:r>
      <w:r w:rsidR="001D10F9">
        <w:rPr>
          <w:rFonts w:ascii="Palatino Linotype" w:eastAsia="Calibri" w:hAnsi="Palatino Linotype" w:cs="Arial"/>
          <w:b/>
        </w:rPr>
        <w:t>EL</w:t>
      </w:r>
      <w:r w:rsidRPr="00DB7FA0">
        <w:rPr>
          <w:rFonts w:ascii="Palatino Linotype" w:eastAsia="Calibri" w:hAnsi="Palatino Linotype" w:cs="Arial"/>
          <w:b/>
        </w:rPr>
        <w:t xml:space="preserve"> RECURRENTE</w:t>
      </w:r>
      <w:r w:rsidR="001D10F9">
        <w:rPr>
          <w:rFonts w:ascii="Palatino Linotype" w:hAnsi="Palatino Linotype" w:cs="Arial"/>
          <w:lang w:eastAsia="es-MX"/>
        </w:rPr>
        <w:t xml:space="preserve">, dicha incompetencia fue advertida por la Ponencia </w:t>
      </w:r>
      <w:proofErr w:type="spellStart"/>
      <w:r w:rsidR="001D10F9">
        <w:rPr>
          <w:rFonts w:ascii="Palatino Linotype" w:hAnsi="Palatino Linotype" w:cs="Arial"/>
          <w:lang w:eastAsia="es-MX"/>
        </w:rPr>
        <w:t>Resolutora</w:t>
      </w:r>
      <w:proofErr w:type="spellEnd"/>
      <w:r w:rsidR="001D10F9">
        <w:rPr>
          <w:rFonts w:ascii="Palatino Linotype" w:hAnsi="Palatino Linotype" w:cs="Arial"/>
          <w:lang w:eastAsia="es-MX"/>
        </w:rPr>
        <w:t xml:space="preserve"> y no por </w:t>
      </w:r>
      <w:r w:rsidR="001D10F9" w:rsidRPr="001D10F9">
        <w:rPr>
          <w:rFonts w:ascii="Palatino Linotype" w:hAnsi="Palatino Linotype" w:cs="Arial"/>
          <w:b/>
          <w:lang w:eastAsia="es-MX"/>
        </w:rPr>
        <w:t>EL SUJETO OBLIGADO</w:t>
      </w:r>
      <w:r w:rsidR="001D10F9">
        <w:rPr>
          <w:rFonts w:ascii="Palatino Linotype" w:hAnsi="Palatino Linotype" w:cs="Arial"/>
          <w:lang w:eastAsia="es-MX"/>
        </w:rPr>
        <w:t xml:space="preserve">, por lo que se considera que no se debió ordenar lo que comprende el </w:t>
      </w:r>
      <w:r w:rsidR="003E3026">
        <w:rPr>
          <w:rFonts w:ascii="Palatino Linotype" w:hAnsi="Palatino Linotype" w:cs="Arial"/>
          <w:lang w:eastAsia="es-MX"/>
        </w:rPr>
        <w:t xml:space="preserve">resolutivo </w:t>
      </w:r>
      <w:r w:rsidR="00733A11">
        <w:rPr>
          <w:rFonts w:ascii="Palatino Linotype" w:hAnsi="Palatino Linotype" w:cs="Arial"/>
          <w:lang w:eastAsia="es-MX"/>
        </w:rPr>
        <w:t>SEGUNDO</w:t>
      </w:r>
      <w:r w:rsidR="00152C52">
        <w:rPr>
          <w:rFonts w:ascii="Palatino Linotype" w:hAnsi="Palatino Linotype" w:cs="Arial"/>
          <w:lang w:eastAsia="es-MX"/>
        </w:rPr>
        <w:t>,</w:t>
      </w:r>
      <w:r w:rsidR="001D10F9">
        <w:rPr>
          <w:rFonts w:ascii="Palatino Linotype" w:hAnsi="Palatino Linotype" w:cs="Arial"/>
          <w:lang w:eastAsia="es-MX"/>
        </w:rPr>
        <w:t xml:space="preserve"> en virtud de </w:t>
      </w:r>
      <w:r w:rsidR="00152C52">
        <w:rPr>
          <w:rFonts w:ascii="Palatino Linotype" w:hAnsi="Palatino Linotype" w:cs="Arial"/>
          <w:lang w:eastAsia="es-MX"/>
        </w:rPr>
        <w:t xml:space="preserve">que la Ponencia </w:t>
      </w:r>
      <w:proofErr w:type="spellStart"/>
      <w:r w:rsidR="00152C52">
        <w:rPr>
          <w:rFonts w:ascii="Palatino Linotype" w:hAnsi="Palatino Linotype" w:cs="Arial"/>
          <w:lang w:eastAsia="es-MX"/>
        </w:rPr>
        <w:t>Resolutora</w:t>
      </w:r>
      <w:proofErr w:type="spellEnd"/>
      <w:r w:rsidR="00152C52">
        <w:rPr>
          <w:rFonts w:ascii="Palatino Linotype" w:hAnsi="Palatino Linotype" w:cs="Arial"/>
          <w:lang w:eastAsia="es-MX"/>
        </w:rPr>
        <w:t xml:space="preserve"> dejó</w:t>
      </w:r>
      <w:r w:rsidR="001D10F9">
        <w:rPr>
          <w:rFonts w:ascii="Palatino Linotype" w:hAnsi="Palatino Linotype" w:cs="Arial"/>
          <w:lang w:eastAsia="es-MX"/>
        </w:rPr>
        <w:t xml:space="preserve"> sin materia dicho punto</w:t>
      </w:r>
      <w:r w:rsidRPr="00DB7FA0">
        <w:rPr>
          <w:rFonts w:ascii="Palatino Linotype" w:eastAsia="Calibri" w:hAnsi="Palatino Linotype" w:cs="Arial"/>
        </w:rPr>
        <w:t>.</w:t>
      </w:r>
    </w:p>
    <w:p w:rsidR="005B3099" w:rsidRDefault="003C1C67" w:rsidP="00733A1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73286C">
        <w:rPr>
          <w:rFonts w:ascii="Palatino Linotype" w:hAnsi="Palatino Linotype" w:cs="Arial"/>
        </w:rPr>
        <w:t xml:space="preserve">Atento a </w:t>
      </w:r>
      <w:r>
        <w:rPr>
          <w:rFonts w:ascii="Palatino Linotype" w:hAnsi="Palatino Linotype" w:cs="Arial"/>
        </w:rPr>
        <w:t>los argumentos de hecho y de derecho anteriormente expuestos,</w:t>
      </w:r>
      <w:r w:rsidRPr="0073286C">
        <w:rPr>
          <w:rFonts w:ascii="Palatino Linotype" w:hAnsi="Palatino Linotype" w:cs="Arial"/>
        </w:rPr>
        <w:t xml:space="preserve"> la que suscribe emite </w:t>
      </w:r>
      <w:r w:rsidRPr="0073286C">
        <w:rPr>
          <w:rFonts w:ascii="Palatino Linotype" w:hAnsi="Palatino Linotype" w:cs="Arial"/>
          <w:b/>
        </w:rPr>
        <w:t>VOTO PARTICULAR</w:t>
      </w:r>
      <w:r w:rsidRPr="0073286C">
        <w:rPr>
          <w:rFonts w:ascii="Palatino Linotype" w:hAnsi="Palatino Linotype" w:cs="Arial"/>
        </w:rPr>
        <w:t xml:space="preserve">, </w:t>
      </w:r>
      <w:r w:rsidR="00733A11">
        <w:rPr>
          <w:rFonts w:ascii="Palatino Linotype" w:hAnsi="Palatino Linotype" w:cs="Arial"/>
        </w:rPr>
        <w:t>puesto que estima que debió</w:t>
      </w:r>
      <w:r>
        <w:rPr>
          <w:rFonts w:ascii="Palatino Linotype" w:hAnsi="Palatino Linotype" w:cs="Arial"/>
        </w:rPr>
        <w:t xml:space="preserve"> haberse precisado las consideraciones enunciadas en el presente voto, en atención a los principios que </w:t>
      </w:r>
      <w:r>
        <w:rPr>
          <w:rFonts w:ascii="Palatino Linotype" w:hAnsi="Palatino Linotype" w:cs="Arial"/>
        </w:rPr>
        <w:lastRenderedPageBreak/>
        <w:t>consagra el artículo 9 de la Ley de Transparencia y Acceso a la Información Pública del Estado de México y Municipios.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5B3099" w:rsidRPr="00574CFC" w:rsidTr="00F15AB3">
        <w:trPr>
          <w:jc w:val="center"/>
        </w:trPr>
        <w:tc>
          <w:tcPr>
            <w:tcW w:w="4393" w:type="dxa"/>
          </w:tcPr>
          <w:p w:rsidR="000844AA" w:rsidRDefault="000844AA" w:rsidP="00733A11">
            <w:pPr>
              <w:jc w:val="center"/>
              <w:rPr>
                <w:rFonts w:ascii="Palatino Linotype" w:hAnsi="Palatino Linotype"/>
                <w:b/>
              </w:rPr>
            </w:pPr>
          </w:p>
          <w:p w:rsidR="00733A11" w:rsidRDefault="00733A11" w:rsidP="00733A11">
            <w:pPr>
              <w:jc w:val="center"/>
              <w:rPr>
                <w:rFonts w:ascii="Palatino Linotype" w:hAnsi="Palatino Linotype"/>
                <w:b/>
              </w:rPr>
            </w:pPr>
          </w:p>
          <w:p w:rsidR="00733A11" w:rsidRDefault="00733A11" w:rsidP="00733A11">
            <w:pPr>
              <w:jc w:val="center"/>
              <w:rPr>
                <w:rFonts w:ascii="Palatino Linotype" w:hAnsi="Palatino Linotype"/>
                <w:b/>
              </w:rPr>
            </w:pPr>
          </w:p>
          <w:p w:rsidR="00733A11" w:rsidRDefault="00733A11" w:rsidP="00733A11">
            <w:pPr>
              <w:jc w:val="center"/>
              <w:rPr>
                <w:rFonts w:ascii="Palatino Linotype" w:hAnsi="Palatino Linotype"/>
                <w:b/>
              </w:rPr>
            </w:pPr>
          </w:p>
          <w:p w:rsidR="00733A11" w:rsidRDefault="00733A11" w:rsidP="00733A11">
            <w:pPr>
              <w:jc w:val="center"/>
              <w:rPr>
                <w:rFonts w:ascii="Palatino Linotype" w:hAnsi="Palatino Linotype"/>
                <w:b/>
              </w:rPr>
            </w:pPr>
          </w:p>
          <w:p w:rsidR="00733A11" w:rsidRDefault="00733A11" w:rsidP="00733A11">
            <w:pPr>
              <w:jc w:val="center"/>
              <w:rPr>
                <w:rFonts w:ascii="Palatino Linotype" w:hAnsi="Palatino Linotype"/>
                <w:b/>
              </w:rPr>
            </w:pPr>
          </w:p>
          <w:p w:rsidR="00F97A29" w:rsidRDefault="00F97A29" w:rsidP="00733A11">
            <w:pPr>
              <w:jc w:val="center"/>
              <w:rPr>
                <w:rFonts w:ascii="Palatino Linotype" w:hAnsi="Palatino Linotype"/>
                <w:b/>
              </w:rPr>
            </w:pPr>
          </w:p>
          <w:p w:rsidR="00733A11" w:rsidRDefault="00733A11" w:rsidP="00733A11">
            <w:pPr>
              <w:jc w:val="center"/>
              <w:rPr>
                <w:rFonts w:ascii="Palatino Linotype" w:hAnsi="Palatino Linotype"/>
                <w:b/>
              </w:rPr>
            </w:pPr>
          </w:p>
          <w:p w:rsidR="00733A11" w:rsidRDefault="00733A11" w:rsidP="00733A11">
            <w:pPr>
              <w:jc w:val="center"/>
              <w:rPr>
                <w:rFonts w:ascii="Palatino Linotype" w:hAnsi="Palatino Linotype"/>
                <w:b/>
              </w:rPr>
            </w:pPr>
          </w:p>
          <w:p w:rsidR="00733A11" w:rsidRDefault="00733A11" w:rsidP="00733A11">
            <w:pPr>
              <w:jc w:val="center"/>
              <w:rPr>
                <w:rFonts w:ascii="Palatino Linotype" w:hAnsi="Palatino Linotype"/>
                <w:b/>
              </w:rPr>
            </w:pPr>
          </w:p>
          <w:p w:rsidR="005B3099" w:rsidRPr="00574CFC" w:rsidRDefault="005B3099" w:rsidP="00733A11">
            <w:pPr>
              <w:jc w:val="center"/>
              <w:rPr>
                <w:rFonts w:ascii="Palatino Linotype" w:hAnsi="Palatino Linotype"/>
                <w:b/>
              </w:rPr>
            </w:pPr>
            <w:r w:rsidRPr="00574CFC">
              <w:rPr>
                <w:rFonts w:ascii="Palatino Linotype" w:hAnsi="Palatino Linotype"/>
                <w:b/>
              </w:rPr>
              <w:t>EVA ABAID YAPUR</w:t>
            </w:r>
          </w:p>
          <w:p w:rsidR="00733A11" w:rsidRDefault="005B3099" w:rsidP="00F97A29">
            <w:pPr>
              <w:jc w:val="center"/>
              <w:rPr>
                <w:rFonts w:ascii="Palatino Linotype" w:hAnsi="Palatino Linotype"/>
                <w:b/>
              </w:rPr>
            </w:pPr>
            <w:r w:rsidRPr="00574CFC">
              <w:rPr>
                <w:rFonts w:ascii="Palatino Linotype" w:hAnsi="Palatino Linotype"/>
                <w:b/>
              </w:rPr>
              <w:t>COMISIONAD</w:t>
            </w:r>
            <w:bookmarkStart w:id="0" w:name="_GoBack"/>
            <w:bookmarkEnd w:id="0"/>
            <w:r w:rsidRPr="00574CFC">
              <w:rPr>
                <w:rFonts w:ascii="Palatino Linotype" w:hAnsi="Palatino Linotype"/>
                <w:b/>
              </w:rPr>
              <w:t>A</w:t>
            </w:r>
          </w:p>
          <w:p w:rsidR="00F8095A" w:rsidRPr="00574CFC" w:rsidRDefault="00F8095A" w:rsidP="00F97A2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</w:tc>
      </w:tr>
    </w:tbl>
    <w:p w:rsidR="000844AA" w:rsidRDefault="000844AA" w:rsidP="00733A11">
      <w:pPr>
        <w:jc w:val="both"/>
        <w:rPr>
          <w:rFonts w:ascii="Palatino Linotype" w:eastAsia="Calibri" w:hAnsi="Palatino Linotype" w:cs="Arial"/>
          <w:sz w:val="20"/>
        </w:rPr>
      </w:pPr>
    </w:p>
    <w:p w:rsidR="000844AA" w:rsidRDefault="000844AA" w:rsidP="00733A11">
      <w:pPr>
        <w:jc w:val="both"/>
        <w:rPr>
          <w:rFonts w:ascii="Palatino Linotype" w:eastAsia="Calibri" w:hAnsi="Palatino Linotype" w:cs="Arial"/>
          <w:sz w:val="20"/>
        </w:rPr>
      </w:pPr>
    </w:p>
    <w:p w:rsidR="000844AA" w:rsidRDefault="000844AA" w:rsidP="00733A11">
      <w:pPr>
        <w:jc w:val="both"/>
        <w:rPr>
          <w:rFonts w:ascii="Palatino Linotype" w:eastAsia="Calibri" w:hAnsi="Palatino Linotype" w:cs="Arial"/>
          <w:sz w:val="20"/>
        </w:rPr>
      </w:pPr>
    </w:p>
    <w:p w:rsidR="000844AA" w:rsidRDefault="000844AA" w:rsidP="00733A11">
      <w:pPr>
        <w:jc w:val="both"/>
        <w:rPr>
          <w:rFonts w:ascii="Palatino Linotype" w:eastAsia="Calibri" w:hAnsi="Palatino Linotype" w:cs="Arial"/>
          <w:sz w:val="20"/>
        </w:rPr>
      </w:pPr>
    </w:p>
    <w:p w:rsidR="00733A11" w:rsidRDefault="00733A11" w:rsidP="00733A11">
      <w:pPr>
        <w:jc w:val="both"/>
        <w:rPr>
          <w:rFonts w:ascii="Palatino Linotype" w:eastAsia="Calibri" w:hAnsi="Palatino Linotype" w:cs="Arial"/>
          <w:sz w:val="20"/>
        </w:rPr>
      </w:pPr>
    </w:p>
    <w:p w:rsidR="00733A11" w:rsidRDefault="00733A11" w:rsidP="00733A11">
      <w:pPr>
        <w:jc w:val="both"/>
        <w:rPr>
          <w:rFonts w:ascii="Palatino Linotype" w:eastAsia="Calibri" w:hAnsi="Palatino Linotype" w:cs="Arial"/>
          <w:sz w:val="20"/>
        </w:rPr>
      </w:pPr>
    </w:p>
    <w:p w:rsidR="00733A11" w:rsidRDefault="00733A11" w:rsidP="00733A11">
      <w:pPr>
        <w:jc w:val="both"/>
        <w:rPr>
          <w:rFonts w:ascii="Palatino Linotype" w:eastAsia="Calibri" w:hAnsi="Palatino Linotype" w:cs="Arial"/>
          <w:sz w:val="20"/>
        </w:rPr>
      </w:pPr>
    </w:p>
    <w:p w:rsidR="00733A11" w:rsidRDefault="00733A11" w:rsidP="00733A11">
      <w:pPr>
        <w:jc w:val="both"/>
        <w:rPr>
          <w:rFonts w:ascii="Palatino Linotype" w:eastAsia="Calibri" w:hAnsi="Palatino Linotype" w:cs="Arial"/>
          <w:sz w:val="20"/>
        </w:rPr>
      </w:pPr>
    </w:p>
    <w:p w:rsidR="00733A11" w:rsidRDefault="00733A11" w:rsidP="00733A11">
      <w:pPr>
        <w:jc w:val="both"/>
        <w:rPr>
          <w:rFonts w:ascii="Palatino Linotype" w:eastAsia="Calibri" w:hAnsi="Palatino Linotype" w:cs="Arial"/>
          <w:sz w:val="20"/>
        </w:rPr>
      </w:pPr>
    </w:p>
    <w:p w:rsidR="00733A11" w:rsidRDefault="00733A11" w:rsidP="00733A11">
      <w:pPr>
        <w:jc w:val="both"/>
        <w:rPr>
          <w:rFonts w:ascii="Palatino Linotype" w:eastAsia="Calibri" w:hAnsi="Palatino Linotype" w:cs="Arial"/>
          <w:sz w:val="20"/>
        </w:rPr>
      </w:pPr>
    </w:p>
    <w:p w:rsidR="00733A11" w:rsidRDefault="00733A11" w:rsidP="00733A11">
      <w:pPr>
        <w:jc w:val="both"/>
        <w:rPr>
          <w:rFonts w:ascii="Palatino Linotype" w:eastAsia="Calibri" w:hAnsi="Palatino Linotype" w:cs="Arial"/>
          <w:sz w:val="20"/>
        </w:rPr>
      </w:pPr>
    </w:p>
    <w:p w:rsidR="00733A11" w:rsidRDefault="00733A11" w:rsidP="00733A11">
      <w:pPr>
        <w:jc w:val="both"/>
        <w:rPr>
          <w:rFonts w:ascii="Palatino Linotype" w:eastAsia="Calibri" w:hAnsi="Palatino Linotype" w:cs="Arial"/>
          <w:sz w:val="20"/>
        </w:rPr>
      </w:pPr>
    </w:p>
    <w:p w:rsidR="00733A11" w:rsidRDefault="00733A11" w:rsidP="00733A11">
      <w:pPr>
        <w:jc w:val="both"/>
        <w:rPr>
          <w:rFonts w:ascii="Palatino Linotype" w:eastAsia="Calibri" w:hAnsi="Palatino Linotype" w:cs="Arial"/>
          <w:sz w:val="20"/>
        </w:rPr>
      </w:pPr>
    </w:p>
    <w:p w:rsidR="00733A11" w:rsidRDefault="00733A11" w:rsidP="00733A11">
      <w:pPr>
        <w:jc w:val="both"/>
        <w:rPr>
          <w:rFonts w:ascii="Palatino Linotype" w:eastAsia="Calibri" w:hAnsi="Palatino Linotype" w:cs="Arial"/>
          <w:sz w:val="20"/>
        </w:rPr>
      </w:pPr>
    </w:p>
    <w:p w:rsidR="004F38F8" w:rsidRDefault="004F38F8" w:rsidP="00733A11">
      <w:pPr>
        <w:jc w:val="both"/>
        <w:rPr>
          <w:rFonts w:ascii="Palatino Linotype" w:eastAsia="Calibri" w:hAnsi="Palatino Linotype" w:cs="Arial"/>
          <w:sz w:val="20"/>
        </w:rPr>
      </w:pPr>
    </w:p>
    <w:p w:rsidR="003C1C67" w:rsidRDefault="00D05D82" w:rsidP="00733A11">
      <w:pPr>
        <w:jc w:val="both"/>
        <w:rPr>
          <w:rFonts w:ascii="Palatino Linotype" w:eastAsia="Calibri" w:hAnsi="Palatino Linotype" w:cs="Arial"/>
          <w:sz w:val="20"/>
        </w:rPr>
      </w:pPr>
      <w:r w:rsidRPr="00D05D82">
        <w:rPr>
          <w:rFonts w:ascii="Palatino Linotype" w:eastAsia="Calibri" w:hAnsi="Palatino Linotype" w:cs="Arial"/>
          <w:sz w:val="20"/>
        </w:rPr>
        <w:t>E</w:t>
      </w:r>
      <w:r w:rsidR="00A517EA" w:rsidRPr="00D05D82">
        <w:rPr>
          <w:rFonts w:ascii="Palatino Linotype" w:eastAsia="Calibri" w:hAnsi="Palatino Linotype" w:cs="Arial"/>
          <w:sz w:val="20"/>
        </w:rPr>
        <w:t xml:space="preserve">sta hoja corresponde al voto particular emitido </w:t>
      </w:r>
      <w:r w:rsidR="005B3099" w:rsidRPr="00D05D82">
        <w:rPr>
          <w:rFonts w:ascii="Palatino Linotype" w:eastAsia="Calibri" w:hAnsi="Palatino Linotype" w:cs="Arial"/>
          <w:sz w:val="20"/>
        </w:rPr>
        <w:t>en la resolución d</w:t>
      </w:r>
      <w:r w:rsidR="003C1C67">
        <w:rPr>
          <w:rFonts w:ascii="Palatino Linotype" w:eastAsia="Calibri" w:hAnsi="Palatino Linotype" w:cs="Arial"/>
          <w:sz w:val="20"/>
        </w:rPr>
        <w:t>e</w:t>
      </w:r>
      <w:r w:rsidR="00733A11">
        <w:rPr>
          <w:rFonts w:ascii="Palatino Linotype" w:eastAsia="Calibri" w:hAnsi="Palatino Linotype" w:cs="Arial"/>
          <w:sz w:val="20"/>
        </w:rPr>
        <w:t>l</w:t>
      </w:r>
      <w:r w:rsidR="003C1C67">
        <w:rPr>
          <w:rFonts w:ascii="Palatino Linotype" w:eastAsia="Calibri" w:hAnsi="Palatino Linotype" w:cs="Arial"/>
          <w:sz w:val="20"/>
        </w:rPr>
        <w:t xml:space="preserve"> </w:t>
      </w:r>
      <w:r w:rsidR="00A517EA" w:rsidRPr="00D05D82">
        <w:rPr>
          <w:rFonts w:ascii="Palatino Linotype" w:eastAsia="Calibri" w:hAnsi="Palatino Linotype" w:cs="Arial"/>
          <w:sz w:val="20"/>
        </w:rPr>
        <w:t>recurso</w:t>
      </w:r>
      <w:r w:rsidR="00733A11">
        <w:rPr>
          <w:rFonts w:ascii="Palatino Linotype" w:eastAsia="Calibri" w:hAnsi="Palatino Linotype" w:cs="Arial"/>
          <w:sz w:val="20"/>
        </w:rPr>
        <w:t xml:space="preserve"> </w:t>
      </w:r>
      <w:r w:rsidR="00A517EA" w:rsidRPr="00D05D82">
        <w:rPr>
          <w:rFonts w:ascii="Palatino Linotype" w:eastAsia="Calibri" w:hAnsi="Palatino Linotype" w:cs="Arial"/>
          <w:sz w:val="20"/>
        </w:rPr>
        <w:t xml:space="preserve">de revisión </w:t>
      </w:r>
      <w:r w:rsidR="00733A11">
        <w:rPr>
          <w:rFonts w:ascii="Palatino Linotype" w:eastAsia="Calibri" w:hAnsi="Palatino Linotype" w:cs="Arial"/>
          <w:sz w:val="20"/>
        </w:rPr>
        <w:t>05894/INFOEM/IP/RR/2019</w:t>
      </w:r>
      <w:r w:rsidR="005B3099" w:rsidRPr="00D05D82">
        <w:rPr>
          <w:rFonts w:ascii="Palatino Linotype" w:eastAsia="Calibri" w:hAnsi="Palatino Linotype" w:cs="Arial"/>
          <w:sz w:val="20"/>
        </w:rPr>
        <w:t xml:space="preserve">, aprobada el </w:t>
      </w:r>
      <w:r w:rsidR="00733A11">
        <w:rPr>
          <w:rFonts w:ascii="Palatino Linotype" w:eastAsia="Calibri" w:hAnsi="Palatino Linotype" w:cs="Arial"/>
          <w:sz w:val="20"/>
        </w:rPr>
        <w:t>dos</w:t>
      </w:r>
      <w:r w:rsidR="00555AB1">
        <w:rPr>
          <w:rFonts w:ascii="Palatino Linotype" w:eastAsia="Calibri" w:hAnsi="Palatino Linotype" w:cs="Arial"/>
          <w:sz w:val="20"/>
        </w:rPr>
        <w:t xml:space="preserve"> de </w:t>
      </w:r>
      <w:r w:rsidR="00733A11">
        <w:rPr>
          <w:rFonts w:ascii="Palatino Linotype" w:eastAsia="Calibri" w:hAnsi="Palatino Linotype" w:cs="Arial"/>
          <w:sz w:val="20"/>
        </w:rPr>
        <w:t xml:space="preserve">octubre </w:t>
      </w:r>
      <w:r w:rsidR="005B3099" w:rsidRPr="00D05D82">
        <w:rPr>
          <w:rFonts w:ascii="Palatino Linotype" w:eastAsia="Calibri" w:hAnsi="Palatino Linotype" w:cs="Arial"/>
          <w:sz w:val="20"/>
        </w:rPr>
        <w:t xml:space="preserve">de dos mil </w:t>
      </w:r>
      <w:r w:rsidR="00DD5275" w:rsidRPr="00D05D82">
        <w:rPr>
          <w:rFonts w:ascii="Palatino Linotype" w:eastAsia="Calibri" w:hAnsi="Palatino Linotype" w:cs="Arial"/>
          <w:sz w:val="20"/>
        </w:rPr>
        <w:t>dieci</w:t>
      </w:r>
      <w:r w:rsidR="00733A11">
        <w:rPr>
          <w:rFonts w:ascii="Palatino Linotype" w:eastAsia="Calibri" w:hAnsi="Palatino Linotype" w:cs="Arial"/>
          <w:sz w:val="20"/>
        </w:rPr>
        <w:t>nueve</w:t>
      </w:r>
      <w:r w:rsidR="00555AB1">
        <w:rPr>
          <w:rFonts w:ascii="Palatino Linotype" w:eastAsia="Calibri" w:hAnsi="Palatino Linotype" w:cs="Arial"/>
          <w:sz w:val="20"/>
        </w:rPr>
        <w:t xml:space="preserve">. </w:t>
      </w:r>
    </w:p>
    <w:p w:rsidR="000844AA" w:rsidRPr="000844AA" w:rsidRDefault="000844AA" w:rsidP="00733A11">
      <w:pPr>
        <w:jc w:val="both"/>
        <w:rPr>
          <w:rFonts w:ascii="Palatino Linotype" w:eastAsia="Calibri" w:hAnsi="Palatino Linotype" w:cs="Arial"/>
          <w:sz w:val="4"/>
        </w:rPr>
      </w:pPr>
    </w:p>
    <w:p w:rsidR="00A517EA" w:rsidRPr="00555AB1" w:rsidRDefault="00A517EA" w:rsidP="00733A11">
      <w:pPr>
        <w:jc w:val="both"/>
        <w:rPr>
          <w:rFonts w:ascii="Palatino Linotype" w:eastAsia="Calibri" w:hAnsi="Palatino Linotype" w:cs="Arial"/>
          <w:sz w:val="20"/>
        </w:rPr>
      </w:pPr>
      <w:r w:rsidRPr="00D05D82">
        <w:rPr>
          <w:rFonts w:ascii="Palatino Linotype" w:eastAsia="Calibri" w:hAnsi="Palatino Linotype" w:cs="Arial"/>
          <w:sz w:val="20"/>
        </w:rPr>
        <w:t>YSM/</w:t>
      </w:r>
      <w:r w:rsidR="00733A11">
        <w:rPr>
          <w:rFonts w:ascii="Palatino Linotype" w:eastAsia="Calibri" w:hAnsi="Palatino Linotype" w:cs="Arial"/>
          <w:sz w:val="20"/>
        </w:rPr>
        <w:t>ATU/IAHA</w:t>
      </w:r>
    </w:p>
    <w:sectPr w:rsidR="00A517EA" w:rsidRPr="00555AB1" w:rsidSect="006D731E">
      <w:headerReference w:type="default" r:id="rId7"/>
      <w:footerReference w:type="default" r:id="rId8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F7B" w:rsidRDefault="002E3F7B" w:rsidP="00DB3A83">
      <w:r>
        <w:separator/>
      </w:r>
    </w:p>
  </w:endnote>
  <w:endnote w:type="continuationSeparator" w:id="0">
    <w:p w:rsidR="002E3F7B" w:rsidRDefault="002E3F7B" w:rsidP="00D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F8095A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733A11" w:rsidRDefault="00733A11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F8095A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F8095A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F8095A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B756D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F8095A">
      <w:rPr>
        <w:rFonts w:ascii="Palatino Linotype" w:hAnsi="Palatino Linotype" w:cs="Arial"/>
        <w:b/>
        <w:bCs/>
        <w:noProof/>
        <w:sz w:val="20"/>
        <w:szCs w:val="20"/>
      </w:rPr>
      <w:t>3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F8095A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F8095A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F7B" w:rsidRDefault="002E3F7B" w:rsidP="00DB3A83">
      <w:r>
        <w:separator/>
      </w:r>
    </w:p>
  </w:footnote>
  <w:footnote w:type="continuationSeparator" w:id="0">
    <w:p w:rsidR="002E3F7B" w:rsidRDefault="002E3F7B" w:rsidP="00DB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823404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2CC6FAC8" wp14:editId="688F8639">
          <wp:simplePos x="0" y="0"/>
          <wp:positionH relativeFrom="column">
            <wp:posOffset>-711835</wp:posOffset>
          </wp:positionH>
          <wp:positionV relativeFrom="paragraph">
            <wp:posOffset>-421640</wp:posOffset>
          </wp:positionV>
          <wp:extent cx="7604125" cy="9903460"/>
          <wp:effectExtent l="0" t="0" r="0" b="254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64231096"/>
        <w:docPartObj>
          <w:docPartGallery w:val="Watermarks"/>
          <w:docPartUnique/>
        </w:docPartObj>
      </w:sdtPr>
      <w:sdtEndPr/>
      <w:sdtContent/>
    </w:sdt>
  </w:p>
  <w:p w:rsidR="0034309A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722978" w:rsidRDefault="00B756DB" w:rsidP="00FE27CF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</w:p>
  <w:p w:rsidR="00722978" w:rsidRPr="00621ADB" w:rsidRDefault="00621A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621ADB">
      <w:rPr>
        <w:rFonts w:ascii="Palatino Linotype" w:hAnsi="Palatino Linotype" w:cs="Arial"/>
        <w:sz w:val="20"/>
        <w:szCs w:val="20"/>
      </w:rPr>
      <w:t>05894/INFOEM/IP/RR/2019</w:t>
    </w:r>
  </w:p>
  <w:p w:rsidR="00733A11" w:rsidRPr="00733A11" w:rsidRDefault="00733A11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8"/>
        <w:szCs w:val="20"/>
      </w:rPr>
    </w:pPr>
  </w:p>
  <w:p w:rsidR="00125D2F" w:rsidRDefault="00F8095A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left:0;text-align:left;margin-left:-103.45pt;margin-top:248.25pt;width:682.65pt;height:93.55pt;rotation:315;z-index:-251658240;mso-position-horizontal-relative:margin;mso-position-vertical-relative:margin" o:allowincell="f" fillcolor="#bfbfbf [2412]" stroked="f">
          <v:fill opacity=".5"/>
          <v:textpath style="font-family:&quot;Palatino Linotype&quot;;font-size:44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B2353"/>
    <w:multiLevelType w:val="hybridMultilevel"/>
    <w:tmpl w:val="24D456E0"/>
    <w:lvl w:ilvl="0" w:tplc="080A000F">
      <w:start w:val="1"/>
      <w:numFmt w:val="decimal"/>
      <w:lvlText w:val="%1."/>
      <w:lvlJc w:val="left"/>
      <w:pPr>
        <w:ind w:left="784" w:hanging="360"/>
      </w:pPr>
    </w:lvl>
    <w:lvl w:ilvl="1" w:tplc="693C9A3C">
      <w:start w:val="1"/>
      <w:numFmt w:val="decimal"/>
      <w:lvlText w:val="%2."/>
      <w:lvlJc w:val="left"/>
      <w:pPr>
        <w:ind w:left="1504" w:hanging="360"/>
      </w:pPr>
      <w:rPr>
        <w:rFonts w:hint="default"/>
        <w:i/>
      </w:rPr>
    </w:lvl>
    <w:lvl w:ilvl="2" w:tplc="080A001B" w:tentative="1">
      <w:start w:val="1"/>
      <w:numFmt w:val="lowerRoman"/>
      <w:lvlText w:val="%3."/>
      <w:lvlJc w:val="right"/>
      <w:pPr>
        <w:ind w:left="2224" w:hanging="180"/>
      </w:pPr>
    </w:lvl>
    <w:lvl w:ilvl="3" w:tplc="080A000F" w:tentative="1">
      <w:start w:val="1"/>
      <w:numFmt w:val="decimal"/>
      <w:lvlText w:val="%4."/>
      <w:lvlJc w:val="left"/>
      <w:pPr>
        <w:ind w:left="2944" w:hanging="360"/>
      </w:pPr>
    </w:lvl>
    <w:lvl w:ilvl="4" w:tplc="080A0019" w:tentative="1">
      <w:start w:val="1"/>
      <w:numFmt w:val="lowerLetter"/>
      <w:lvlText w:val="%5."/>
      <w:lvlJc w:val="left"/>
      <w:pPr>
        <w:ind w:left="3664" w:hanging="360"/>
      </w:pPr>
    </w:lvl>
    <w:lvl w:ilvl="5" w:tplc="080A001B" w:tentative="1">
      <w:start w:val="1"/>
      <w:numFmt w:val="lowerRoman"/>
      <w:lvlText w:val="%6."/>
      <w:lvlJc w:val="right"/>
      <w:pPr>
        <w:ind w:left="4384" w:hanging="180"/>
      </w:pPr>
    </w:lvl>
    <w:lvl w:ilvl="6" w:tplc="080A000F" w:tentative="1">
      <w:start w:val="1"/>
      <w:numFmt w:val="decimal"/>
      <w:lvlText w:val="%7."/>
      <w:lvlJc w:val="left"/>
      <w:pPr>
        <w:ind w:left="5104" w:hanging="360"/>
      </w:pPr>
    </w:lvl>
    <w:lvl w:ilvl="7" w:tplc="080A0019" w:tentative="1">
      <w:start w:val="1"/>
      <w:numFmt w:val="lowerLetter"/>
      <w:lvlText w:val="%8."/>
      <w:lvlJc w:val="left"/>
      <w:pPr>
        <w:ind w:left="5824" w:hanging="360"/>
      </w:pPr>
    </w:lvl>
    <w:lvl w:ilvl="8" w:tplc="080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21A441F5"/>
    <w:multiLevelType w:val="hybridMultilevel"/>
    <w:tmpl w:val="5B0EC0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86940"/>
    <w:multiLevelType w:val="hybridMultilevel"/>
    <w:tmpl w:val="265CF8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A"/>
    <w:rsid w:val="00001141"/>
    <w:rsid w:val="00043682"/>
    <w:rsid w:val="000844AA"/>
    <w:rsid w:val="000C52D8"/>
    <w:rsid w:val="000F0C55"/>
    <w:rsid w:val="00102649"/>
    <w:rsid w:val="00152C52"/>
    <w:rsid w:val="00191CF3"/>
    <w:rsid w:val="001976FE"/>
    <w:rsid w:val="001D10F9"/>
    <w:rsid w:val="00216380"/>
    <w:rsid w:val="00254372"/>
    <w:rsid w:val="00260EA1"/>
    <w:rsid w:val="002670A2"/>
    <w:rsid w:val="00296C85"/>
    <w:rsid w:val="002A6638"/>
    <w:rsid w:val="002E22AC"/>
    <w:rsid w:val="002E3F7B"/>
    <w:rsid w:val="00303EAE"/>
    <w:rsid w:val="00324EBE"/>
    <w:rsid w:val="003C1C67"/>
    <w:rsid w:val="003C2F6A"/>
    <w:rsid w:val="003E3026"/>
    <w:rsid w:val="003F1EC5"/>
    <w:rsid w:val="00424668"/>
    <w:rsid w:val="00437359"/>
    <w:rsid w:val="00473052"/>
    <w:rsid w:val="00483DBD"/>
    <w:rsid w:val="004956E1"/>
    <w:rsid w:val="004B5C25"/>
    <w:rsid w:val="004F38F8"/>
    <w:rsid w:val="00507F01"/>
    <w:rsid w:val="0052090E"/>
    <w:rsid w:val="0053148C"/>
    <w:rsid w:val="00555AB1"/>
    <w:rsid w:val="00595E82"/>
    <w:rsid w:val="005A4D7F"/>
    <w:rsid w:val="005B3099"/>
    <w:rsid w:val="005D46D6"/>
    <w:rsid w:val="005F3A32"/>
    <w:rsid w:val="00621ADB"/>
    <w:rsid w:val="00654FE9"/>
    <w:rsid w:val="006801D4"/>
    <w:rsid w:val="006853B2"/>
    <w:rsid w:val="006B0D54"/>
    <w:rsid w:val="006B30CD"/>
    <w:rsid w:val="006C7D0A"/>
    <w:rsid w:val="006D731E"/>
    <w:rsid w:val="006E266A"/>
    <w:rsid w:val="00722978"/>
    <w:rsid w:val="00722FFE"/>
    <w:rsid w:val="00733A11"/>
    <w:rsid w:val="007C7A0C"/>
    <w:rsid w:val="007E4C17"/>
    <w:rsid w:val="00811B0B"/>
    <w:rsid w:val="00823404"/>
    <w:rsid w:val="008348C9"/>
    <w:rsid w:val="00862F43"/>
    <w:rsid w:val="00864D3F"/>
    <w:rsid w:val="008A2F5C"/>
    <w:rsid w:val="008A35FA"/>
    <w:rsid w:val="008B0732"/>
    <w:rsid w:val="00913E69"/>
    <w:rsid w:val="00975F9D"/>
    <w:rsid w:val="00983010"/>
    <w:rsid w:val="00990B93"/>
    <w:rsid w:val="009B02C7"/>
    <w:rsid w:val="009F0C59"/>
    <w:rsid w:val="00A12991"/>
    <w:rsid w:val="00A15DD9"/>
    <w:rsid w:val="00A2795F"/>
    <w:rsid w:val="00A340E0"/>
    <w:rsid w:val="00A517EA"/>
    <w:rsid w:val="00A77FA8"/>
    <w:rsid w:val="00A96975"/>
    <w:rsid w:val="00AD3BC6"/>
    <w:rsid w:val="00AE263C"/>
    <w:rsid w:val="00B30650"/>
    <w:rsid w:val="00B36E68"/>
    <w:rsid w:val="00B65DA8"/>
    <w:rsid w:val="00B756DB"/>
    <w:rsid w:val="00B860BF"/>
    <w:rsid w:val="00BC2DD8"/>
    <w:rsid w:val="00C069FC"/>
    <w:rsid w:val="00C3451C"/>
    <w:rsid w:val="00C50D22"/>
    <w:rsid w:val="00C9743C"/>
    <w:rsid w:val="00CE0D21"/>
    <w:rsid w:val="00CF70C6"/>
    <w:rsid w:val="00D05D82"/>
    <w:rsid w:val="00D064C2"/>
    <w:rsid w:val="00D07F17"/>
    <w:rsid w:val="00D1479E"/>
    <w:rsid w:val="00D43461"/>
    <w:rsid w:val="00D55E6A"/>
    <w:rsid w:val="00D60969"/>
    <w:rsid w:val="00D724F4"/>
    <w:rsid w:val="00D872C4"/>
    <w:rsid w:val="00DB3A83"/>
    <w:rsid w:val="00DD5275"/>
    <w:rsid w:val="00E46292"/>
    <w:rsid w:val="00E54873"/>
    <w:rsid w:val="00E80F4B"/>
    <w:rsid w:val="00E867DE"/>
    <w:rsid w:val="00EA5BFB"/>
    <w:rsid w:val="00F054F8"/>
    <w:rsid w:val="00F10238"/>
    <w:rsid w:val="00F3740C"/>
    <w:rsid w:val="00F579EE"/>
    <w:rsid w:val="00F64CC1"/>
    <w:rsid w:val="00F8095A"/>
    <w:rsid w:val="00F91A7F"/>
    <w:rsid w:val="00F976C6"/>
    <w:rsid w:val="00F97A29"/>
    <w:rsid w:val="00FA0BF5"/>
    <w:rsid w:val="00FA5F51"/>
    <w:rsid w:val="00FB60F4"/>
    <w:rsid w:val="00FE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E6438D-8DAE-48E3-A5CD-CCC477D3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7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B860BF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6853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aliases w:val="Francesa"/>
    <w:link w:val="SinespaciadoCar"/>
    <w:uiPriority w:val="1"/>
    <w:qFormat/>
    <w:rsid w:val="00473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4730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j">
    <w:name w:val="j"/>
    <w:basedOn w:val="Normal"/>
    <w:rsid w:val="003E3026"/>
    <w:pPr>
      <w:spacing w:before="100" w:beforeAutospacing="1" w:after="100" w:afterAutospacing="1"/>
    </w:pPr>
    <w:rPr>
      <w:lang w:eastAsia="es-MX"/>
    </w:rPr>
  </w:style>
  <w:style w:type="character" w:customStyle="1" w:styleId="nacep">
    <w:name w:val="n_acep"/>
    <w:basedOn w:val="Fuentedeprrafopredeter"/>
    <w:rsid w:val="003E3026"/>
  </w:style>
  <w:style w:type="character" w:customStyle="1" w:styleId="u">
    <w:name w:val="u"/>
    <w:basedOn w:val="Fuentedeprrafopredeter"/>
    <w:rsid w:val="003E3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751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Itze Hdz.</cp:lastModifiedBy>
  <cp:revision>7</cp:revision>
  <cp:lastPrinted>2019-10-07T17:07:00Z</cp:lastPrinted>
  <dcterms:created xsi:type="dcterms:W3CDTF">2019-10-07T16:34:00Z</dcterms:created>
  <dcterms:modified xsi:type="dcterms:W3CDTF">2019-10-25T18:40:00Z</dcterms:modified>
</cp:coreProperties>
</file>