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0BE8" w:rsidRPr="00AD6026" w:rsidRDefault="001032D4" w:rsidP="00AD6026">
      <w:pPr>
        <w:pStyle w:val="Sinespaciado"/>
        <w:spacing w:line="360" w:lineRule="auto"/>
        <w:jc w:val="both"/>
        <w:rPr>
          <w:rFonts w:ascii="Palatino Linotype" w:hAnsi="Palatino Linotype"/>
        </w:rPr>
      </w:pPr>
      <w:r w:rsidRPr="00AD6026">
        <w:rPr>
          <w:rFonts w:ascii="Palatino Linotype" w:hAnsi="Palatino Linotype"/>
        </w:rPr>
        <w:t>Resolución del Pleno del Instituto de Transparencia, Acceso a la Información Pública y Protección de Datos Personales del Estado de México</w:t>
      </w:r>
      <w:r w:rsidR="00A35220" w:rsidRPr="00AD6026">
        <w:rPr>
          <w:rFonts w:ascii="Palatino Linotype" w:hAnsi="Palatino Linotype"/>
        </w:rPr>
        <w:t xml:space="preserve"> y Municipios</w:t>
      </w:r>
      <w:r w:rsidRPr="00AD6026">
        <w:rPr>
          <w:rFonts w:ascii="Palatino Linotype" w:hAnsi="Palatino Linotype"/>
        </w:rPr>
        <w:t xml:space="preserve">, con domicilio en Metepec, México, a </w:t>
      </w:r>
      <w:r w:rsidR="00E940FC" w:rsidRPr="00E940FC">
        <w:rPr>
          <w:rFonts w:ascii="Palatino Linotype" w:hAnsi="Palatino Linotype"/>
          <w:highlight w:val="yellow"/>
        </w:rPr>
        <w:t>once de diciembre</w:t>
      </w:r>
      <w:r w:rsidR="00AB34C8" w:rsidRPr="001A0CD0">
        <w:rPr>
          <w:rFonts w:ascii="Palatino Linotype" w:hAnsi="Palatino Linotype"/>
        </w:rPr>
        <w:t xml:space="preserve"> </w:t>
      </w:r>
      <w:r w:rsidR="00FD15BC">
        <w:rPr>
          <w:rFonts w:ascii="Palatino Linotype" w:hAnsi="Palatino Linotype"/>
        </w:rPr>
        <w:t>de dos mil diecinueve</w:t>
      </w:r>
      <w:r w:rsidRPr="001A0CD0">
        <w:rPr>
          <w:rFonts w:ascii="Palatino Linotype" w:hAnsi="Palatino Linotype"/>
        </w:rPr>
        <w:t>.</w:t>
      </w:r>
    </w:p>
    <w:p w:rsidR="00D80BE8" w:rsidRPr="00DC1021" w:rsidRDefault="00D80BE8" w:rsidP="00AD6026">
      <w:pPr>
        <w:pStyle w:val="Sinespaciado"/>
        <w:spacing w:line="360" w:lineRule="auto"/>
        <w:jc w:val="both"/>
        <w:rPr>
          <w:rFonts w:ascii="Palatino Linotype" w:hAnsi="Palatino Linotype"/>
          <w:sz w:val="20"/>
        </w:rPr>
      </w:pPr>
    </w:p>
    <w:p w:rsidR="001032D4" w:rsidRPr="00AD6026" w:rsidRDefault="001032D4" w:rsidP="00AD6026">
      <w:pPr>
        <w:pStyle w:val="Sinespaciado"/>
        <w:spacing w:line="360" w:lineRule="auto"/>
        <w:jc w:val="both"/>
        <w:rPr>
          <w:rFonts w:ascii="Palatino Linotype" w:hAnsi="Palatino Linotype"/>
        </w:rPr>
      </w:pPr>
      <w:r w:rsidRPr="00AD6026">
        <w:rPr>
          <w:rFonts w:ascii="Palatino Linotype" w:hAnsi="Palatino Linotype"/>
          <w:b/>
        </w:rPr>
        <w:t>VISTO</w:t>
      </w:r>
      <w:r w:rsidRPr="00AD6026">
        <w:rPr>
          <w:rFonts w:ascii="Palatino Linotype" w:hAnsi="Palatino Linotype"/>
        </w:rPr>
        <w:t xml:space="preserve"> </w:t>
      </w:r>
      <w:r w:rsidR="00DC1021">
        <w:rPr>
          <w:rFonts w:ascii="Palatino Linotype" w:hAnsi="Palatino Linotype"/>
        </w:rPr>
        <w:t>el expediente electrónico formado con motivo del recurso</w:t>
      </w:r>
      <w:r w:rsidR="00AB34C8" w:rsidRPr="00AD6026">
        <w:rPr>
          <w:rFonts w:ascii="Palatino Linotype" w:hAnsi="Palatino Linotype"/>
        </w:rPr>
        <w:t xml:space="preserve"> de revisión número </w:t>
      </w:r>
      <w:r w:rsidR="00A50DF7" w:rsidRPr="00A50DF7">
        <w:rPr>
          <w:rFonts w:ascii="Palatino Linotype" w:hAnsi="Palatino Linotype"/>
          <w:b/>
        </w:rPr>
        <w:t>07485/INFOEM/IP/RR/2019</w:t>
      </w:r>
      <w:r w:rsidR="00AB34C8" w:rsidRPr="00AD6026">
        <w:rPr>
          <w:rFonts w:ascii="Palatino Linotype" w:hAnsi="Palatino Linotype"/>
          <w:b/>
        </w:rPr>
        <w:t xml:space="preserve"> </w:t>
      </w:r>
      <w:r w:rsidR="009178E2" w:rsidRPr="00AD6026">
        <w:rPr>
          <w:rFonts w:ascii="Palatino Linotype" w:hAnsi="Palatino Linotype"/>
        </w:rPr>
        <w:t>interpu</w:t>
      </w:r>
      <w:r w:rsidR="00DC1021">
        <w:rPr>
          <w:rFonts w:ascii="Palatino Linotype" w:hAnsi="Palatino Linotype"/>
        </w:rPr>
        <w:t>esto</w:t>
      </w:r>
      <w:r w:rsidR="00966D27" w:rsidRPr="00AD6026">
        <w:rPr>
          <w:rFonts w:ascii="Palatino Linotype" w:hAnsi="Palatino Linotype"/>
        </w:rPr>
        <w:t xml:space="preserve"> por el </w:t>
      </w:r>
      <w:r w:rsidR="00966D27" w:rsidRPr="00AD6026">
        <w:rPr>
          <w:rFonts w:ascii="Palatino Linotype" w:hAnsi="Palatino Linotype"/>
          <w:b/>
        </w:rPr>
        <w:t xml:space="preserve">C. </w:t>
      </w:r>
      <w:r w:rsidR="00837548">
        <w:rPr>
          <w:rFonts w:ascii="Palatino Linotype" w:hAnsi="Palatino Linotype"/>
          <w:b/>
        </w:rPr>
        <w:t>XXXXXXXXXXXXXXXXX</w:t>
      </w:r>
      <w:bookmarkStart w:id="0" w:name="_GoBack"/>
      <w:bookmarkEnd w:id="0"/>
      <w:r w:rsidR="005941BC" w:rsidRPr="005941BC">
        <w:rPr>
          <w:rFonts w:ascii="Palatino Linotype" w:hAnsi="Palatino Linotype"/>
        </w:rPr>
        <w:t>,</w:t>
      </w:r>
      <w:r w:rsidR="009178E2" w:rsidRPr="005941BC">
        <w:rPr>
          <w:rFonts w:ascii="Palatino Linotype" w:hAnsi="Palatino Linotype"/>
        </w:rPr>
        <w:t xml:space="preserve"> </w:t>
      </w:r>
      <w:r w:rsidRPr="00AD6026">
        <w:rPr>
          <w:rFonts w:ascii="Palatino Linotype" w:hAnsi="Palatino Linotype"/>
        </w:rPr>
        <w:t xml:space="preserve">en lo sucesivo </w:t>
      </w:r>
      <w:r w:rsidR="009178E2" w:rsidRPr="00AD6026">
        <w:rPr>
          <w:rFonts w:ascii="Palatino Linotype" w:hAnsi="Palatino Linotype"/>
        </w:rPr>
        <w:t>el</w:t>
      </w:r>
      <w:r w:rsidR="006170BC" w:rsidRPr="00AD6026">
        <w:rPr>
          <w:rFonts w:ascii="Palatino Linotype" w:hAnsi="Palatino Linotype"/>
          <w:b/>
        </w:rPr>
        <w:t xml:space="preserve"> </w:t>
      </w:r>
      <w:r w:rsidRPr="00AD6026">
        <w:rPr>
          <w:rFonts w:ascii="Palatino Linotype" w:hAnsi="Palatino Linotype"/>
          <w:b/>
        </w:rPr>
        <w:t>Recurrente</w:t>
      </w:r>
      <w:r w:rsidRPr="00AD6026">
        <w:rPr>
          <w:rFonts w:ascii="Palatino Linotype" w:hAnsi="Palatino Linotype"/>
        </w:rPr>
        <w:t>, en contra de la</w:t>
      </w:r>
      <w:r w:rsidR="00800F02" w:rsidRPr="00AD6026">
        <w:rPr>
          <w:rFonts w:ascii="Palatino Linotype" w:hAnsi="Palatino Linotype"/>
        </w:rPr>
        <w:t xml:space="preserve"> </w:t>
      </w:r>
      <w:r w:rsidRPr="00AD6026">
        <w:rPr>
          <w:rFonts w:ascii="Palatino Linotype" w:hAnsi="Palatino Linotype"/>
        </w:rPr>
        <w:t xml:space="preserve">respuesta </w:t>
      </w:r>
      <w:r w:rsidR="00983A5D" w:rsidRPr="00AD6026">
        <w:rPr>
          <w:rFonts w:ascii="Palatino Linotype" w:hAnsi="Palatino Linotype"/>
        </w:rPr>
        <w:t>de</w:t>
      </w:r>
      <w:r w:rsidR="00D41C04" w:rsidRPr="00AD6026">
        <w:rPr>
          <w:rFonts w:ascii="Palatino Linotype" w:hAnsi="Palatino Linotype"/>
        </w:rPr>
        <w:t>l</w:t>
      </w:r>
      <w:r w:rsidR="00AE3156" w:rsidRPr="00AD6026">
        <w:rPr>
          <w:rFonts w:ascii="Palatino Linotype" w:hAnsi="Palatino Linotype"/>
        </w:rPr>
        <w:t xml:space="preserve"> </w:t>
      </w:r>
      <w:r w:rsidR="00E52E49" w:rsidRPr="00E52E49">
        <w:rPr>
          <w:rFonts w:ascii="Palatino Linotype" w:hAnsi="Palatino Linotype"/>
          <w:b/>
        </w:rPr>
        <w:t>Instituto de Transparencia, Acceso a la Información Pública y Protección de Datos Personales del Estado de México y Municipios</w:t>
      </w:r>
      <w:r w:rsidR="005941BC">
        <w:rPr>
          <w:rFonts w:ascii="Palatino Linotype" w:hAnsi="Palatino Linotype"/>
        </w:rPr>
        <w:t>,</w:t>
      </w:r>
      <w:r w:rsidR="005C0595" w:rsidRPr="00AD6026">
        <w:rPr>
          <w:rFonts w:ascii="Palatino Linotype" w:hAnsi="Palatino Linotype"/>
          <w:b/>
        </w:rPr>
        <w:t xml:space="preserve"> </w:t>
      </w:r>
      <w:r w:rsidRPr="00AD6026">
        <w:rPr>
          <w:rFonts w:ascii="Palatino Linotype" w:hAnsi="Palatino Linotype"/>
        </w:rPr>
        <w:t>en lo subsecuente</w:t>
      </w:r>
      <w:r w:rsidRPr="00AD6026">
        <w:rPr>
          <w:rFonts w:ascii="Palatino Linotype" w:hAnsi="Palatino Linotype"/>
          <w:b/>
        </w:rPr>
        <w:t xml:space="preserve"> </w:t>
      </w:r>
      <w:r w:rsidR="006170BC" w:rsidRPr="00AD6026">
        <w:rPr>
          <w:rFonts w:ascii="Palatino Linotype" w:hAnsi="Palatino Linotype"/>
        </w:rPr>
        <w:t>el</w:t>
      </w:r>
      <w:r w:rsidR="006170BC" w:rsidRPr="00AD6026">
        <w:rPr>
          <w:rFonts w:ascii="Palatino Linotype" w:hAnsi="Palatino Linotype"/>
          <w:b/>
        </w:rPr>
        <w:t xml:space="preserve"> </w:t>
      </w:r>
      <w:r w:rsidRPr="00AD6026">
        <w:rPr>
          <w:rFonts w:ascii="Palatino Linotype" w:hAnsi="Palatino Linotype"/>
          <w:b/>
        </w:rPr>
        <w:t>Sujeto Obligado</w:t>
      </w:r>
      <w:r w:rsidRPr="00AD6026">
        <w:rPr>
          <w:rFonts w:ascii="Palatino Linotype" w:hAnsi="Palatino Linotype"/>
        </w:rPr>
        <w:t>,</w:t>
      </w:r>
      <w:r w:rsidRPr="00AD6026">
        <w:rPr>
          <w:rFonts w:ascii="Palatino Linotype" w:hAnsi="Palatino Linotype"/>
          <w:b/>
        </w:rPr>
        <w:t xml:space="preserve"> </w:t>
      </w:r>
      <w:r w:rsidRPr="00AD6026">
        <w:rPr>
          <w:rFonts w:ascii="Palatino Linotype" w:hAnsi="Palatino Linotype"/>
        </w:rPr>
        <w:t>se procede a dictar la presente resolución.</w:t>
      </w:r>
    </w:p>
    <w:p w:rsidR="00093F4C" w:rsidRPr="00DC1021" w:rsidRDefault="00093F4C" w:rsidP="00AD6026">
      <w:pPr>
        <w:pStyle w:val="Sinespaciado"/>
        <w:spacing w:line="360" w:lineRule="auto"/>
        <w:jc w:val="both"/>
        <w:rPr>
          <w:rFonts w:ascii="Palatino Linotype" w:hAnsi="Palatino Linotype"/>
          <w:sz w:val="18"/>
        </w:rPr>
      </w:pPr>
    </w:p>
    <w:p w:rsidR="00093F4C" w:rsidRPr="00AD6026" w:rsidRDefault="000B518A" w:rsidP="00AD6026">
      <w:pPr>
        <w:pStyle w:val="Sinespaciado"/>
        <w:spacing w:line="360" w:lineRule="auto"/>
        <w:jc w:val="center"/>
        <w:rPr>
          <w:rFonts w:ascii="Palatino Linotype" w:hAnsi="Palatino Linotype"/>
          <w:b/>
          <w:sz w:val="28"/>
          <w:szCs w:val="28"/>
        </w:rPr>
      </w:pPr>
      <w:r w:rsidRPr="00AD6026">
        <w:rPr>
          <w:rFonts w:ascii="Palatino Linotype" w:hAnsi="Palatino Linotype"/>
          <w:b/>
          <w:sz w:val="28"/>
          <w:szCs w:val="28"/>
        </w:rPr>
        <w:t xml:space="preserve">A N T E C E D E N T E </w:t>
      </w:r>
      <w:r w:rsidR="00D80BE8" w:rsidRPr="00AD6026">
        <w:rPr>
          <w:rFonts w:ascii="Palatino Linotype" w:hAnsi="Palatino Linotype"/>
          <w:b/>
          <w:sz w:val="28"/>
          <w:szCs w:val="28"/>
        </w:rPr>
        <w:t>S</w:t>
      </w:r>
    </w:p>
    <w:p w:rsidR="00AD6026" w:rsidRPr="00DC1021" w:rsidRDefault="00AD6026" w:rsidP="00AD6026">
      <w:pPr>
        <w:pStyle w:val="Sinespaciado"/>
        <w:spacing w:line="360" w:lineRule="auto"/>
        <w:jc w:val="both"/>
        <w:rPr>
          <w:rFonts w:ascii="Palatino Linotype" w:hAnsi="Palatino Linotype"/>
          <w:b/>
          <w:sz w:val="18"/>
        </w:rPr>
      </w:pPr>
    </w:p>
    <w:p w:rsidR="000B518A" w:rsidRPr="00DC1021" w:rsidRDefault="000B518A" w:rsidP="00AD6026">
      <w:pPr>
        <w:pStyle w:val="Sinespaciado"/>
        <w:spacing w:line="360" w:lineRule="auto"/>
        <w:jc w:val="both"/>
        <w:rPr>
          <w:rFonts w:ascii="Palatino Linotype" w:hAnsi="Palatino Linotype"/>
          <w:b/>
          <w:sz w:val="28"/>
          <w:szCs w:val="26"/>
        </w:rPr>
      </w:pPr>
      <w:r w:rsidRPr="00DC1021">
        <w:rPr>
          <w:rFonts w:ascii="Palatino Linotype" w:hAnsi="Palatino Linotype"/>
          <w:b/>
          <w:sz w:val="28"/>
          <w:szCs w:val="26"/>
        </w:rPr>
        <w:t>PRIMERO.</w:t>
      </w:r>
      <w:r w:rsidRPr="00DC1021">
        <w:rPr>
          <w:rFonts w:ascii="Palatino Linotype" w:hAnsi="Palatino Linotype"/>
          <w:sz w:val="28"/>
          <w:szCs w:val="26"/>
        </w:rPr>
        <w:t xml:space="preserve"> </w:t>
      </w:r>
      <w:r w:rsidRPr="00DC1021">
        <w:rPr>
          <w:rFonts w:ascii="Palatino Linotype" w:hAnsi="Palatino Linotype"/>
          <w:b/>
          <w:sz w:val="28"/>
          <w:szCs w:val="26"/>
        </w:rPr>
        <w:t>De la Solicitud de Información.</w:t>
      </w:r>
    </w:p>
    <w:p w:rsidR="001032D4" w:rsidRPr="00AD6026" w:rsidRDefault="001032D4" w:rsidP="00AD6026">
      <w:pPr>
        <w:pStyle w:val="Sinespaciado"/>
        <w:spacing w:line="360" w:lineRule="auto"/>
        <w:jc w:val="both"/>
        <w:rPr>
          <w:rFonts w:ascii="Palatino Linotype" w:hAnsi="Palatino Linotype"/>
        </w:rPr>
      </w:pPr>
      <w:r w:rsidRPr="00AD6026">
        <w:rPr>
          <w:rFonts w:ascii="Palatino Linotype" w:hAnsi="Palatino Linotype"/>
        </w:rPr>
        <w:t xml:space="preserve">Con fecha </w:t>
      </w:r>
      <w:r w:rsidR="00E52E49">
        <w:rPr>
          <w:rFonts w:ascii="Palatino Linotype" w:hAnsi="Palatino Linotype"/>
        </w:rPr>
        <w:t>veintiséis de agosto de dos mil diecinueve</w:t>
      </w:r>
      <w:r w:rsidR="009178E2" w:rsidRPr="00AD6026">
        <w:rPr>
          <w:rFonts w:ascii="Palatino Linotype" w:hAnsi="Palatino Linotype"/>
        </w:rPr>
        <w:t xml:space="preserve">, el </w:t>
      </w:r>
      <w:r w:rsidR="009178E2" w:rsidRPr="00DC1021">
        <w:rPr>
          <w:rFonts w:ascii="Palatino Linotype" w:hAnsi="Palatino Linotype"/>
          <w:b/>
        </w:rPr>
        <w:t>Recurrente</w:t>
      </w:r>
      <w:r w:rsidR="00DC1021">
        <w:rPr>
          <w:rFonts w:ascii="Palatino Linotype" w:hAnsi="Palatino Linotype"/>
        </w:rPr>
        <w:t xml:space="preserve"> </w:t>
      </w:r>
      <w:r w:rsidRPr="00AD6026">
        <w:rPr>
          <w:rFonts w:ascii="Palatino Linotype" w:hAnsi="Palatino Linotype"/>
        </w:rPr>
        <w:t>presentó a través del Sistema de Acceso a la Información Mexiquense (</w:t>
      </w:r>
      <w:r w:rsidRPr="00AD6026">
        <w:rPr>
          <w:rFonts w:ascii="Palatino Linotype" w:hAnsi="Palatino Linotype"/>
          <w:b/>
        </w:rPr>
        <w:t>SAIMEX</w:t>
      </w:r>
      <w:r w:rsidRPr="00A50DF7">
        <w:rPr>
          <w:rFonts w:ascii="Palatino Linotype" w:hAnsi="Palatino Linotype"/>
        </w:rPr>
        <w:t>)</w:t>
      </w:r>
      <w:r w:rsidRPr="00AD6026">
        <w:rPr>
          <w:rFonts w:ascii="Palatino Linotype" w:hAnsi="Palatino Linotype"/>
        </w:rPr>
        <w:t xml:space="preserve"> ante </w:t>
      </w:r>
      <w:r w:rsidR="006170BC" w:rsidRPr="00AD6026">
        <w:rPr>
          <w:rFonts w:ascii="Palatino Linotype" w:hAnsi="Palatino Linotype"/>
        </w:rPr>
        <w:t>el</w:t>
      </w:r>
      <w:r w:rsidR="006170BC" w:rsidRPr="00AD6026">
        <w:rPr>
          <w:rFonts w:ascii="Palatino Linotype" w:hAnsi="Palatino Linotype"/>
          <w:b/>
        </w:rPr>
        <w:t xml:space="preserve"> </w:t>
      </w:r>
      <w:r w:rsidRPr="00DC1021">
        <w:rPr>
          <w:rFonts w:ascii="Palatino Linotype" w:hAnsi="Palatino Linotype"/>
          <w:b/>
        </w:rPr>
        <w:t>Sujeto Obligado</w:t>
      </w:r>
      <w:r w:rsidRPr="00AD6026">
        <w:rPr>
          <w:rFonts w:ascii="Palatino Linotype" w:hAnsi="Palatino Linotype"/>
        </w:rPr>
        <w:t xml:space="preserve">, </w:t>
      </w:r>
      <w:r w:rsidR="00DC1021">
        <w:rPr>
          <w:rFonts w:ascii="Palatino Linotype" w:hAnsi="Palatino Linotype"/>
        </w:rPr>
        <w:t xml:space="preserve">la </w:t>
      </w:r>
      <w:r w:rsidRPr="00AD6026">
        <w:rPr>
          <w:rFonts w:ascii="Palatino Linotype" w:hAnsi="Palatino Linotype"/>
        </w:rPr>
        <w:t xml:space="preserve">solicitud de acceso a la información pública </w:t>
      </w:r>
      <w:r w:rsidR="00A50DF7" w:rsidRPr="00A50DF7">
        <w:rPr>
          <w:rFonts w:ascii="Palatino Linotype" w:hAnsi="Palatino Linotype"/>
          <w:b/>
        </w:rPr>
        <w:t>00774/INFOEM/IP/2019</w:t>
      </w:r>
      <w:r w:rsidR="00A50DF7">
        <w:rPr>
          <w:rFonts w:ascii="Palatino Linotype" w:hAnsi="Palatino Linotype"/>
        </w:rPr>
        <w:t xml:space="preserve">, </w:t>
      </w:r>
      <w:r w:rsidR="00E52E49" w:rsidRPr="00AD6026">
        <w:rPr>
          <w:rFonts w:ascii="Palatino Linotype" w:hAnsi="Palatino Linotype"/>
        </w:rPr>
        <w:t>requiriendo</w:t>
      </w:r>
      <w:r w:rsidR="009178E2" w:rsidRPr="00AD6026">
        <w:rPr>
          <w:rFonts w:ascii="Palatino Linotype" w:hAnsi="Palatino Linotype"/>
        </w:rPr>
        <w:t xml:space="preserve"> lo siguiente: </w:t>
      </w:r>
    </w:p>
    <w:p w:rsidR="009178E2" w:rsidRPr="00DC1021" w:rsidRDefault="009178E2" w:rsidP="00AD6026">
      <w:pPr>
        <w:pStyle w:val="Sinespaciado"/>
        <w:spacing w:line="360" w:lineRule="auto"/>
        <w:jc w:val="both"/>
        <w:rPr>
          <w:rFonts w:ascii="Palatino Linotype" w:hAnsi="Palatino Linotype"/>
          <w:sz w:val="10"/>
        </w:rPr>
      </w:pPr>
    </w:p>
    <w:p w:rsidR="00262A50" w:rsidRPr="00AD6026" w:rsidRDefault="00DC1021" w:rsidP="00A50DF7">
      <w:pPr>
        <w:pStyle w:val="Sinespaciado"/>
        <w:ind w:left="567" w:right="567"/>
        <w:jc w:val="both"/>
        <w:rPr>
          <w:rFonts w:ascii="Palatino Linotype" w:hAnsi="Palatino Linotype"/>
          <w:i/>
          <w:lang w:val="es-ES_tradnl"/>
        </w:rPr>
      </w:pPr>
      <w:r w:rsidRPr="00AD6026">
        <w:rPr>
          <w:rFonts w:ascii="Palatino Linotype" w:hAnsi="Palatino Linotype"/>
          <w:i/>
          <w:lang w:val="es-ES_tradnl"/>
        </w:rPr>
        <w:t xml:space="preserve"> </w:t>
      </w:r>
      <w:r w:rsidR="001032D4" w:rsidRPr="00AD6026">
        <w:rPr>
          <w:rFonts w:ascii="Palatino Linotype" w:hAnsi="Palatino Linotype"/>
          <w:i/>
          <w:lang w:val="es-ES_tradnl"/>
        </w:rPr>
        <w:t>“</w:t>
      </w:r>
      <w:r w:rsidR="00A50DF7" w:rsidRPr="00A50DF7">
        <w:rPr>
          <w:rFonts w:ascii="Palatino Linotype" w:hAnsi="Palatino Linotype"/>
          <w:i/>
          <w:color w:val="000000"/>
        </w:rPr>
        <w:t xml:space="preserve">Solicito el expediente de personal de la c. gabriela nieto cid del prado; a partir de cuando esta persona es jefa de departamento, porqué aún sabiendo que la c. norma beatriz loredose encuentra inhabilitada por siete años, fue contratada, y actualmente sabiendo de esa situación no se ha hecho nada para impedir que se siga violando la Ley de responsabilidades y el sistema anticorrupción. solicito copia del documento o documentos con los que el contralor , en este caso, ha dado cumplimiento a sus </w:t>
      </w:r>
      <w:r w:rsidR="00A50DF7" w:rsidRPr="00A50DF7">
        <w:rPr>
          <w:rFonts w:ascii="Palatino Linotype" w:hAnsi="Palatino Linotype"/>
          <w:i/>
          <w:color w:val="000000"/>
        </w:rPr>
        <w:lastRenderedPageBreak/>
        <w:t>funciones para vigilar el correcto desempeño de las obligaciones de los trabajadores del infoem, tambien quiero copia del documento con el que el contralor hizo del conocimiento de los comisionados y/o del area administrativa, sobre la inhabilitación de dicha persona y sobre el hecho de que aún sigue en funciones violentando todo el sistema anticorrupción del que el infoem forma parte, y tambien quiero saber que ha hecho el contralor para sancionar el encubrimiento que los servidores publicos del area de administración han realizado para que la c. norma beatriz loredo siga trabajando en el infoem a pesar de que en el registro de servdores públicos sancionados de la secretaría de la función pública aparece su sanción. finalmente solicito me informen si los comisionados estan enterados de esta situación y que han hecho para remediarla</w:t>
      </w:r>
      <w:r w:rsidR="00A50DF7">
        <w:rPr>
          <w:rFonts w:ascii="Palatino Linotype" w:hAnsi="Palatino Linotype"/>
          <w:i/>
          <w:color w:val="000000"/>
        </w:rPr>
        <w:t>”</w:t>
      </w:r>
      <w:r w:rsidR="00A50DF7">
        <w:rPr>
          <w:rFonts w:ascii="Palatino Linotype" w:hAnsi="Palatino Linotype"/>
          <w:i/>
          <w:lang w:val="es-ES_tradnl"/>
        </w:rPr>
        <w:t xml:space="preserve"> </w:t>
      </w:r>
      <w:r w:rsidR="00262A50" w:rsidRPr="00AD6026">
        <w:rPr>
          <w:rFonts w:ascii="Palatino Linotype" w:hAnsi="Palatino Linotype"/>
          <w:i/>
          <w:lang w:val="es-ES_tradnl"/>
        </w:rPr>
        <w:t xml:space="preserve"> [Sic]</w:t>
      </w:r>
    </w:p>
    <w:p w:rsidR="00DC1021" w:rsidRPr="00DC1021" w:rsidRDefault="00DC1021" w:rsidP="00AD6026">
      <w:pPr>
        <w:pStyle w:val="Sinespaciado"/>
        <w:spacing w:line="360" w:lineRule="auto"/>
        <w:jc w:val="both"/>
        <w:rPr>
          <w:rFonts w:ascii="Palatino Linotype" w:hAnsi="Palatino Linotype"/>
          <w:sz w:val="18"/>
          <w:lang w:val="es-ES_tradnl"/>
        </w:rPr>
      </w:pPr>
    </w:p>
    <w:p w:rsidR="00DC14F4" w:rsidRPr="00E52E49" w:rsidRDefault="00B3492A" w:rsidP="00E52E49">
      <w:pPr>
        <w:pStyle w:val="Sinespaciado"/>
        <w:spacing w:line="360" w:lineRule="auto"/>
        <w:jc w:val="both"/>
        <w:rPr>
          <w:rFonts w:ascii="Palatino Linotype" w:hAnsi="Palatino Linotype"/>
          <w:lang w:val="es-ES_tradnl"/>
        </w:rPr>
      </w:pPr>
      <w:r w:rsidRPr="00B3492A">
        <w:rPr>
          <w:rFonts w:ascii="Palatino Linotype" w:hAnsi="Palatino Linotype"/>
          <w:b/>
          <w:lang w:val="es-ES_tradnl"/>
        </w:rPr>
        <w:t>MODALIDAD DE ENTREGA</w:t>
      </w:r>
      <w:r>
        <w:rPr>
          <w:rFonts w:ascii="Palatino Linotype" w:hAnsi="Palatino Linotype"/>
          <w:b/>
          <w:lang w:val="es-ES_tradnl"/>
        </w:rPr>
        <w:t>:</w:t>
      </w:r>
      <w:r w:rsidR="00262A50" w:rsidRPr="00AD6026">
        <w:rPr>
          <w:rFonts w:ascii="Palatino Linotype" w:hAnsi="Palatino Linotype"/>
          <w:lang w:val="es-ES_tradnl"/>
        </w:rPr>
        <w:t xml:space="preserve"> </w:t>
      </w:r>
      <w:r>
        <w:rPr>
          <w:rFonts w:ascii="Palatino Linotype" w:hAnsi="Palatino Linotype"/>
          <w:lang w:val="es-ES_tradnl"/>
        </w:rPr>
        <w:t>A</w:t>
      </w:r>
      <w:r w:rsidR="00767539" w:rsidRPr="00AD6026">
        <w:rPr>
          <w:rFonts w:ascii="Palatino Linotype" w:hAnsi="Palatino Linotype"/>
          <w:lang w:val="es-ES_tradnl"/>
        </w:rPr>
        <w:t xml:space="preserve"> través del </w:t>
      </w:r>
      <w:r w:rsidR="00767539" w:rsidRPr="00AD6026">
        <w:rPr>
          <w:rFonts w:ascii="Palatino Linotype" w:hAnsi="Palatino Linotype"/>
          <w:b/>
          <w:lang w:val="es-ES_tradnl"/>
        </w:rPr>
        <w:t>SAIMEX</w:t>
      </w:r>
      <w:r w:rsidR="00767539" w:rsidRPr="00AD6026">
        <w:rPr>
          <w:rFonts w:ascii="Palatino Linotype" w:hAnsi="Palatino Linotype"/>
          <w:lang w:val="es-ES_tradnl"/>
        </w:rPr>
        <w:t>.</w:t>
      </w:r>
    </w:p>
    <w:p w:rsidR="00DC14F4" w:rsidRDefault="00DC14F4" w:rsidP="00AD6026">
      <w:pPr>
        <w:pStyle w:val="Sinespaciado"/>
        <w:spacing w:line="360" w:lineRule="auto"/>
        <w:jc w:val="both"/>
        <w:rPr>
          <w:rFonts w:ascii="Palatino Linotype" w:hAnsi="Palatino Linotype" w:cs="Arial"/>
          <w:b/>
          <w:sz w:val="28"/>
          <w:szCs w:val="26"/>
        </w:rPr>
      </w:pPr>
    </w:p>
    <w:p w:rsidR="000B518A" w:rsidRPr="00B3492A" w:rsidRDefault="00E52E49" w:rsidP="00AD6026">
      <w:pPr>
        <w:pStyle w:val="Sinespaciado"/>
        <w:spacing w:line="360" w:lineRule="auto"/>
        <w:jc w:val="both"/>
        <w:rPr>
          <w:rFonts w:ascii="Palatino Linotype" w:hAnsi="Palatino Linotype" w:cs="Arial"/>
          <w:b/>
          <w:sz w:val="28"/>
          <w:szCs w:val="26"/>
        </w:rPr>
      </w:pPr>
      <w:r>
        <w:rPr>
          <w:rFonts w:ascii="Palatino Linotype" w:hAnsi="Palatino Linotype" w:cs="Arial"/>
          <w:b/>
          <w:sz w:val="28"/>
          <w:szCs w:val="26"/>
        </w:rPr>
        <w:t>SEGUND</w:t>
      </w:r>
      <w:r w:rsidR="00DC14F4">
        <w:rPr>
          <w:rFonts w:ascii="Palatino Linotype" w:hAnsi="Palatino Linotype" w:cs="Arial"/>
          <w:b/>
          <w:sz w:val="28"/>
          <w:szCs w:val="26"/>
        </w:rPr>
        <w:t>O</w:t>
      </w:r>
      <w:r w:rsidR="000B518A" w:rsidRPr="00B3492A">
        <w:rPr>
          <w:rFonts w:ascii="Palatino Linotype" w:hAnsi="Palatino Linotype" w:cs="Arial"/>
          <w:b/>
          <w:sz w:val="28"/>
          <w:szCs w:val="26"/>
        </w:rPr>
        <w:t>. De la respuesta del Sujeto Obligado.</w:t>
      </w:r>
    </w:p>
    <w:p w:rsidR="007C2AA3" w:rsidRPr="00AD6026" w:rsidRDefault="00800F02" w:rsidP="00AD6026">
      <w:pPr>
        <w:pStyle w:val="Sinespaciado"/>
        <w:spacing w:line="360" w:lineRule="auto"/>
        <w:jc w:val="both"/>
        <w:rPr>
          <w:rFonts w:ascii="Palatino Linotype" w:hAnsi="Palatino Linotype" w:cs="Arial"/>
        </w:rPr>
      </w:pPr>
      <w:r w:rsidRPr="00AD6026">
        <w:rPr>
          <w:rFonts w:ascii="Palatino Linotype" w:hAnsi="Palatino Linotype" w:cs="Arial"/>
        </w:rPr>
        <w:t xml:space="preserve">Del expediente electrónico que obra en </w:t>
      </w:r>
      <w:r w:rsidRPr="00AD6026">
        <w:rPr>
          <w:rFonts w:ascii="Palatino Linotype" w:hAnsi="Palatino Linotype" w:cs="Arial"/>
          <w:b/>
        </w:rPr>
        <w:t xml:space="preserve">SAIMEX, </w:t>
      </w:r>
      <w:r w:rsidRPr="00AD6026">
        <w:rPr>
          <w:rFonts w:ascii="Palatino Linotype" w:hAnsi="Palatino Linotype" w:cs="Arial"/>
        </w:rPr>
        <w:t xml:space="preserve">se observa que el </w:t>
      </w:r>
      <w:r w:rsidRPr="00DC14F4">
        <w:rPr>
          <w:rFonts w:ascii="Palatino Linotype" w:hAnsi="Palatino Linotype" w:cs="Arial"/>
          <w:b/>
        </w:rPr>
        <w:t>Sujeto Obligado</w:t>
      </w:r>
      <w:r w:rsidR="00F44BF6" w:rsidRPr="00AD6026">
        <w:rPr>
          <w:rFonts w:ascii="Palatino Linotype" w:hAnsi="Palatino Linotype" w:cs="Arial"/>
        </w:rPr>
        <w:t xml:space="preserve"> </w:t>
      </w:r>
      <w:r w:rsidR="00DC14F4">
        <w:rPr>
          <w:rFonts w:ascii="Palatino Linotype" w:hAnsi="Palatino Linotype" w:cs="Arial"/>
        </w:rPr>
        <w:t xml:space="preserve">emitió la respuesta a la solicitud </w:t>
      </w:r>
      <w:r w:rsidR="007C2AA3" w:rsidRPr="00AD6026">
        <w:rPr>
          <w:rFonts w:ascii="Palatino Linotype" w:hAnsi="Palatino Linotype" w:cs="Arial"/>
        </w:rPr>
        <w:t xml:space="preserve">de información en fecha </w:t>
      </w:r>
      <w:r w:rsidR="00E52E49">
        <w:rPr>
          <w:rFonts w:ascii="Palatino Linotype" w:hAnsi="Palatino Linotype" w:cs="Arial"/>
        </w:rPr>
        <w:t>doce de septiembre de dos mil diecinueve</w:t>
      </w:r>
      <w:r w:rsidR="007C2AA3" w:rsidRPr="00AD6026">
        <w:rPr>
          <w:rFonts w:ascii="Palatino Linotype" w:hAnsi="Palatino Linotype" w:cs="Arial"/>
        </w:rPr>
        <w:t>, al tenor de lo siguiente:</w:t>
      </w:r>
    </w:p>
    <w:p w:rsidR="007C2AA3" w:rsidRPr="00DC14F4" w:rsidRDefault="007C2AA3" w:rsidP="00AD6026">
      <w:pPr>
        <w:pStyle w:val="Sinespaciado"/>
        <w:spacing w:line="360" w:lineRule="auto"/>
        <w:jc w:val="both"/>
        <w:rPr>
          <w:rFonts w:ascii="Palatino Linotype" w:hAnsi="Palatino Linotype"/>
          <w:i/>
          <w:sz w:val="16"/>
        </w:rPr>
      </w:pPr>
    </w:p>
    <w:p w:rsidR="00E52E49" w:rsidRPr="00E52E49" w:rsidRDefault="00E52E49" w:rsidP="00E52E49">
      <w:pPr>
        <w:pStyle w:val="Sinespaciado"/>
        <w:ind w:left="567" w:right="567"/>
        <w:jc w:val="both"/>
        <w:rPr>
          <w:rFonts w:ascii="Palatino Linotype" w:hAnsi="Palatino Linotype"/>
          <w:i/>
        </w:rPr>
      </w:pPr>
      <w:r>
        <w:rPr>
          <w:rFonts w:ascii="Palatino Linotype" w:hAnsi="Palatino Linotype"/>
          <w:i/>
        </w:rPr>
        <w:t xml:space="preserve"> “</w:t>
      </w:r>
      <w:r w:rsidRPr="00E52E49">
        <w:rPr>
          <w:rFonts w:ascii="Palatino Linotype" w:hAnsi="Palatino Linotype"/>
          <w:i/>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E52E49" w:rsidRDefault="00E52E49" w:rsidP="00E52E49">
      <w:pPr>
        <w:pStyle w:val="Sinespaciado"/>
        <w:ind w:left="567" w:right="567"/>
        <w:jc w:val="both"/>
        <w:rPr>
          <w:rFonts w:ascii="Palatino Linotype" w:hAnsi="Palatino Linotype"/>
          <w:i/>
        </w:rPr>
      </w:pPr>
    </w:p>
    <w:p w:rsidR="00E52E49" w:rsidRPr="00E52E49" w:rsidRDefault="00E52E49" w:rsidP="00E52E49">
      <w:pPr>
        <w:pStyle w:val="Sinespaciado"/>
        <w:ind w:left="567" w:right="567"/>
        <w:jc w:val="both"/>
        <w:rPr>
          <w:rFonts w:ascii="Palatino Linotype" w:hAnsi="Palatino Linotype"/>
          <w:i/>
        </w:rPr>
      </w:pPr>
      <w:r w:rsidRPr="00E52E49">
        <w:rPr>
          <w:rFonts w:ascii="Palatino Linotype" w:hAnsi="Palatino Linotype"/>
          <w:i/>
        </w:rPr>
        <w:t>Con fundamento en el artículo 53 fracción II de la Ley de Transparencia y Acceso a la Información Pública del Estado de México y Municipios, se adjunta la respuesta a su solicitud de información pública.</w:t>
      </w:r>
    </w:p>
    <w:p w:rsidR="00E52E49" w:rsidRDefault="00E52E49" w:rsidP="00E52E49">
      <w:pPr>
        <w:pStyle w:val="Sinespaciado"/>
        <w:ind w:left="567" w:right="567"/>
        <w:jc w:val="both"/>
        <w:rPr>
          <w:rFonts w:ascii="Palatino Linotype" w:hAnsi="Palatino Linotype"/>
          <w:i/>
        </w:rPr>
      </w:pPr>
    </w:p>
    <w:p w:rsidR="00E52E49" w:rsidRPr="00E52E49" w:rsidRDefault="00E52E49" w:rsidP="00E52E49">
      <w:pPr>
        <w:pStyle w:val="Sinespaciado"/>
        <w:ind w:left="567" w:right="567"/>
        <w:jc w:val="both"/>
        <w:rPr>
          <w:rFonts w:ascii="Palatino Linotype" w:hAnsi="Palatino Linotype"/>
          <w:i/>
        </w:rPr>
      </w:pPr>
      <w:r w:rsidRPr="00E52E49">
        <w:rPr>
          <w:rFonts w:ascii="Palatino Linotype" w:hAnsi="Palatino Linotype"/>
          <w:i/>
        </w:rPr>
        <w:t>ATENTAMENTE</w:t>
      </w:r>
    </w:p>
    <w:p w:rsidR="007C2AA3" w:rsidRPr="00AD6026" w:rsidRDefault="00E52E49" w:rsidP="00E52E49">
      <w:pPr>
        <w:pStyle w:val="Sinespaciado"/>
        <w:ind w:left="567" w:right="567"/>
        <w:jc w:val="both"/>
        <w:rPr>
          <w:rFonts w:ascii="Palatino Linotype" w:hAnsi="Palatino Linotype"/>
          <w:i/>
        </w:rPr>
      </w:pPr>
      <w:r w:rsidRPr="00E52E49">
        <w:rPr>
          <w:rFonts w:ascii="Palatino Linotype" w:hAnsi="Palatino Linotype"/>
          <w:i/>
        </w:rPr>
        <w:t>Mtra. Diana Griselda Luna Tamariz</w:t>
      </w:r>
      <w:r w:rsidR="007C2AA3" w:rsidRPr="00AD6026">
        <w:rPr>
          <w:rFonts w:ascii="Palatino Linotype" w:hAnsi="Palatino Linotype"/>
          <w:i/>
        </w:rPr>
        <w:t>” (Sic)</w:t>
      </w:r>
    </w:p>
    <w:p w:rsidR="007C2AA3" w:rsidRPr="00E52E49" w:rsidRDefault="007C2AA3" w:rsidP="00AD6026">
      <w:pPr>
        <w:pStyle w:val="Sinespaciado"/>
        <w:numPr>
          <w:ilvl w:val="0"/>
          <w:numId w:val="8"/>
        </w:numPr>
        <w:spacing w:line="360" w:lineRule="auto"/>
        <w:jc w:val="both"/>
        <w:rPr>
          <w:rFonts w:ascii="Palatino Linotype" w:hAnsi="Palatino Linotype"/>
        </w:rPr>
      </w:pPr>
      <w:r w:rsidRPr="00AD6026">
        <w:rPr>
          <w:rFonts w:ascii="Palatino Linotype" w:hAnsi="Palatino Linotype"/>
        </w:rPr>
        <w:lastRenderedPageBreak/>
        <w:t>Adjuntando a su respuesta</w:t>
      </w:r>
      <w:r w:rsidR="00E52E49">
        <w:rPr>
          <w:rFonts w:ascii="Palatino Linotype" w:hAnsi="Palatino Linotype"/>
        </w:rPr>
        <w:t>,</w:t>
      </w:r>
      <w:r w:rsidRPr="00AD6026">
        <w:rPr>
          <w:rFonts w:ascii="Palatino Linotype" w:hAnsi="Palatino Linotype"/>
        </w:rPr>
        <w:t xml:space="preserve"> </w:t>
      </w:r>
      <w:r w:rsidR="00E52E49">
        <w:rPr>
          <w:rFonts w:ascii="Palatino Linotype" w:hAnsi="Palatino Linotype"/>
        </w:rPr>
        <w:t>el</w:t>
      </w:r>
      <w:r w:rsidR="00DC14F4">
        <w:rPr>
          <w:rFonts w:ascii="Palatino Linotype" w:hAnsi="Palatino Linotype"/>
        </w:rPr>
        <w:t xml:space="preserve"> </w:t>
      </w:r>
      <w:r w:rsidRPr="00AD6026">
        <w:rPr>
          <w:rFonts w:ascii="Palatino Linotype" w:hAnsi="Palatino Linotype"/>
        </w:rPr>
        <w:t>archivo electrónico</w:t>
      </w:r>
      <w:r w:rsidR="00E52E49">
        <w:rPr>
          <w:rFonts w:ascii="Palatino Linotype" w:hAnsi="Palatino Linotype"/>
        </w:rPr>
        <w:t xml:space="preserve"> denominado</w:t>
      </w:r>
      <w:r w:rsidR="003E742F" w:rsidRPr="00AD6026">
        <w:rPr>
          <w:rFonts w:ascii="Palatino Linotype" w:hAnsi="Palatino Linotype"/>
        </w:rPr>
        <w:t xml:space="preserve"> </w:t>
      </w:r>
      <w:r w:rsidR="003E742F" w:rsidRPr="00AD6026">
        <w:rPr>
          <w:rFonts w:ascii="Palatino Linotype" w:hAnsi="Palatino Linotype"/>
          <w:b/>
        </w:rPr>
        <w:t>“</w:t>
      </w:r>
      <w:r w:rsidR="00E52E49" w:rsidRPr="00E52E49">
        <w:rPr>
          <w:rFonts w:ascii="Palatino Linotype" w:hAnsi="Palatino Linotype"/>
          <w:b/>
        </w:rPr>
        <w:t>774.19.zip</w:t>
      </w:r>
      <w:r w:rsidR="003E742F" w:rsidRPr="00AD6026">
        <w:rPr>
          <w:rFonts w:ascii="Palatino Linotype" w:hAnsi="Palatino Linotype"/>
          <w:b/>
        </w:rPr>
        <w:t>”</w:t>
      </w:r>
      <w:r w:rsidR="00E52E49">
        <w:rPr>
          <w:rFonts w:ascii="Palatino Linotype" w:hAnsi="Palatino Linotype"/>
        </w:rPr>
        <w:t>; y debido a</w:t>
      </w:r>
      <w:r w:rsidR="00E52E49">
        <w:rPr>
          <w:rFonts w:ascii="Palatino Linotype" w:hAnsi="Palatino Linotype" w:cs="Arial"/>
        </w:rPr>
        <w:t xml:space="preserve"> que</w:t>
      </w:r>
      <w:r w:rsidR="00763E64" w:rsidRPr="00E52E49">
        <w:rPr>
          <w:rFonts w:ascii="Palatino Linotype" w:hAnsi="Palatino Linotype" w:cs="Arial"/>
        </w:rPr>
        <w:t xml:space="preserve"> </w:t>
      </w:r>
      <w:r w:rsidR="00E52E49">
        <w:rPr>
          <w:rFonts w:ascii="Palatino Linotype" w:hAnsi="Palatino Linotype" w:cs="Arial"/>
        </w:rPr>
        <w:t>es</w:t>
      </w:r>
      <w:r w:rsidR="00763E64" w:rsidRPr="00E52E49">
        <w:rPr>
          <w:rFonts w:ascii="Palatino Linotype" w:hAnsi="Palatino Linotype" w:cs="Arial"/>
        </w:rPr>
        <w:t xml:space="preserve"> del conocimiento</w:t>
      </w:r>
      <w:r w:rsidR="00E52E49">
        <w:rPr>
          <w:rFonts w:ascii="Palatino Linotype" w:hAnsi="Palatino Linotype" w:cs="Arial"/>
        </w:rPr>
        <w:t xml:space="preserve"> de las partes, no se reproduce</w:t>
      </w:r>
      <w:r w:rsidR="00763E64" w:rsidRPr="00E52E49">
        <w:rPr>
          <w:rFonts w:ascii="Palatino Linotype" w:hAnsi="Palatino Linotype" w:cs="Arial"/>
        </w:rPr>
        <w:t xml:space="preserve"> a continuación; no obstante, se hará mérito de </w:t>
      </w:r>
      <w:r w:rsidR="00E52E49">
        <w:rPr>
          <w:rFonts w:ascii="Palatino Linotype" w:hAnsi="Palatino Linotype" w:cs="Arial"/>
        </w:rPr>
        <w:t>él</w:t>
      </w:r>
      <w:r w:rsidR="00763E64" w:rsidRPr="00E52E49">
        <w:rPr>
          <w:rFonts w:ascii="Palatino Linotype" w:hAnsi="Palatino Linotype" w:cs="Arial"/>
        </w:rPr>
        <w:t xml:space="preserve"> al momento de realizar el </w:t>
      </w:r>
      <w:r w:rsidR="003E742F" w:rsidRPr="00E52E49">
        <w:rPr>
          <w:rFonts w:ascii="Palatino Linotype" w:hAnsi="Palatino Linotype" w:cs="Arial"/>
        </w:rPr>
        <w:t>estudio correspondiente.</w:t>
      </w:r>
    </w:p>
    <w:p w:rsidR="00800F02" w:rsidRPr="00AD6026" w:rsidRDefault="00800F02" w:rsidP="00AD6026">
      <w:pPr>
        <w:pStyle w:val="Sinespaciado"/>
        <w:spacing w:line="360" w:lineRule="auto"/>
        <w:jc w:val="both"/>
        <w:rPr>
          <w:rFonts w:ascii="Palatino Linotype" w:hAnsi="Palatino Linotype" w:cs="Arial"/>
        </w:rPr>
      </w:pPr>
    </w:p>
    <w:p w:rsidR="000B518A" w:rsidRPr="00DC14F4" w:rsidRDefault="00E52E49" w:rsidP="00AD6026">
      <w:pPr>
        <w:pStyle w:val="Sinespaciado"/>
        <w:spacing w:line="360" w:lineRule="auto"/>
        <w:jc w:val="both"/>
        <w:rPr>
          <w:rFonts w:ascii="Palatino Linotype" w:hAnsi="Palatino Linotype"/>
          <w:b/>
          <w:sz w:val="28"/>
          <w:szCs w:val="26"/>
        </w:rPr>
      </w:pPr>
      <w:r>
        <w:rPr>
          <w:rFonts w:ascii="Palatino Linotype" w:hAnsi="Palatino Linotype" w:cs="Arial"/>
          <w:b/>
          <w:sz w:val="28"/>
          <w:szCs w:val="26"/>
        </w:rPr>
        <w:t>TERCER</w:t>
      </w:r>
      <w:r w:rsidR="00DC14F4">
        <w:rPr>
          <w:rFonts w:ascii="Palatino Linotype" w:hAnsi="Palatino Linotype" w:cs="Arial"/>
          <w:b/>
          <w:sz w:val="28"/>
          <w:szCs w:val="26"/>
        </w:rPr>
        <w:t>O</w:t>
      </w:r>
      <w:r w:rsidR="000B518A" w:rsidRPr="00DC14F4">
        <w:rPr>
          <w:rFonts w:ascii="Palatino Linotype" w:hAnsi="Palatino Linotype" w:cs="Arial"/>
          <w:b/>
          <w:sz w:val="28"/>
          <w:szCs w:val="26"/>
        </w:rPr>
        <w:t xml:space="preserve">. </w:t>
      </w:r>
      <w:r w:rsidR="000B518A" w:rsidRPr="00DC14F4">
        <w:rPr>
          <w:rFonts w:ascii="Palatino Linotype" w:hAnsi="Palatino Linotype"/>
          <w:b/>
          <w:sz w:val="28"/>
          <w:szCs w:val="26"/>
        </w:rPr>
        <w:t>Del recurso de revisión.</w:t>
      </w:r>
    </w:p>
    <w:p w:rsidR="001032D4" w:rsidRPr="00AD6026" w:rsidRDefault="00DC14F4" w:rsidP="00AD6026">
      <w:pPr>
        <w:pStyle w:val="Sinespaciado"/>
        <w:spacing w:line="360" w:lineRule="auto"/>
        <w:jc w:val="both"/>
        <w:rPr>
          <w:rFonts w:ascii="Palatino Linotype" w:hAnsi="Palatino Linotype" w:cs="Arial"/>
        </w:rPr>
      </w:pPr>
      <w:r>
        <w:rPr>
          <w:rFonts w:ascii="Palatino Linotype" w:hAnsi="Palatino Linotype" w:cs="Arial"/>
        </w:rPr>
        <w:t>Inconforme con la respuesta emitida</w:t>
      </w:r>
      <w:r w:rsidR="00763E64" w:rsidRPr="00AD6026">
        <w:rPr>
          <w:rFonts w:ascii="Palatino Linotype" w:hAnsi="Palatino Linotype" w:cs="Arial"/>
        </w:rPr>
        <w:t>, e</w:t>
      </w:r>
      <w:r w:rsidR="00800F02" w:rsidRPr="00AD6026">
        <w:rPr>
          <w:rFonts w:ascii="Palatino Linotype" w:hAnsi="Palatino Linotype" w:cs="Arial"/>
        </w:rPr>
        <w:t xml:space="preserve">n </w:t>
      </w:r>
      <w:r w:rsidR="001032D4" w:rsidRPr="00AD6026">
        <w:rPr>
          <w:rFonts w:ascii="Palatino Linotype" w:hAnsi="Palatino Linotype" w:cs="Arial"/>
        </w:rPr>
        <w:t xml:space="preserve">fecha </w:t>
      </w:r>
      <w:r w:rsidR="0026420C">
        <w:rPr>
          <w:rFonts w:ascii="Palatino Linotype" w:hAnsi="Palatino Linotype" w:cs="Arial"/>
        </w:rPr>
        <w:t>diecinueve</w:t>
      </w:r>
      <w:r w:rsidR="00763E64" w:rsidRPr="00AD6026">
        <w:rPr>
          <w:rFonts w:ascii="Palatino Linotype" w:hAnsi="Palatino Linotype" w:cs="Arial"/>
        </w:rPr>
        <w:t xml:space="preserve"> de </w:t>
      </w:r>
      <w:r w:rsidR="0026420C">
        <w:rPr>
          <w:rFonts w:ascii="Palatino Linotype" w:hAnsi="Palatino Linotype" w:cs="Arial"/>
        </w:rPr>
        <w:t>septiembre</w:t>
      </w:r>
      <w:r w:rsidR="00763E64" w:rsidRPr="00AD6026">
        <w:rPr>
          <w:rFonts w:ascii="Palatino Linotype" w:hAnsi="Palatino Linotype" w:cs="Arial"/>
        </w:rPr>
        <w:t xml:space="preserve"> </w:t>
      </w:r>
      <w:r w:rsidR="0026420C">
        <w:rPr>
          <w:rFonts w:ascii="Palatino Linotype" w:hAnsi="Palatino Linotype" w:cs="Arial"/>
        </w:rPr>
        <w:t>de dos mil diecinueve</w:t>
      </w:r>
      <w:r w:rsidR="008A5787" w:rsidRPr="00AD6026">
        <w:rPr>
          <w:rFonts w:ascii="Palatino Linotype" w:hAnsi="Palatino Linotype" w:cs="Arial"/>
        </w:rPr>
        <w:t xml:space="preserve">, </w:t>
      </w:r>
      <w:r w:rsidR="002257CE" w:rsidRPr="00AD6026">
        <w:rPr>
          <w:rFonts w:ascii="Palatino Linotype" w:hAnsi="Palatino Linotype" w:cs="Arial"/>
        </w:rPr>
        <w:t xml:space="preserve">el </w:t>
      </w:r>
      <w:r w:rsidR="008A5787" w:rsidRPr="00DC14F4">
        <w:rPr>
          <w:rFonts w:ascii="Palatino Linotype" w:hAnsi="Palatino Linotype" w:cs="Arial"/>
          <w:b/>
        </w:rPr>
        <w:t>Recurrente</w:t>
      </w:r>
      <w:r w:rsidR="001032D4" w:rsidRPr="00AD6026">
        <w:rPr>
          <w:rFonts w:ascii="Palatino Linotype" w:hAnsi="Palatino Linotype" w:cs="Arial"/>
        </w:rPr>
        <w:t xml:space="preserve"> interpuso </w:t>
      </w:r>
      <w:r>
        <w:rPr>
          <w:rFonts w:ascii="Palatino Linotype" w:hAnsi="Palatino Linotype" w:cs="Arial"/>
        </w:rPr>
        <w:t>el</w:t>
      </w:r>
      <w:r w:rsidR="002257CE" w:rsidRPr="00AD6026">
        <w:rPr>
          <w:rFonts w:ascii="Palatino Linotype" w:hAnsi="Palatino Linotype" w:cs="Arial"/>
        </w:rPr>
        <w:t xml:space="preserve"> recurso de revisión </w:t>
      </w:r>
      <w:r>
        <w:rPr>
          <w:rFonts w:ascii="Palatino Linotype" w:hAnsi="Palatino Linotype" w:cs="Arial"/>
        </w:rPr>
        <w:t>correspondiente</w:t>
      </w:r>
      <w:r w:rsidR="00763E64" w:rsidRPr="00AD6026">
        <w:rPr>
          <w:rFonts w:ascii="Palatino Linotype" w:hAnsi="Palatino Linotype" w:cs="Arial"/>
        </w:rPr>
        <w:t xml:space="preserve">. </w:t>
      </w:r>
      <w:r>
        <w:rPr>
          <w:rFonts w:ascii="Palatino Linotype" w:hAnsi="Palatino Linotype" w:cs="Arial"/>
        </w:rPr>
        <w:t>Dicho recurso</w:t>
      </w:r>
      <w:r w:rsidR="002257CE" w:rsidRPr="00AD6026">
        <w:rPr>
          <w:rFonts w:ascii="Palatino Linotype" w:hAnsi="Palatino Linotype" w:cs="Arial"/>
        </w:rPr>
        <w:t xml:space="preserve"> </w:t>
      </w:r>
      <w:r>
        <w:rPr>
          <w:rFonts w:ascii="Palatino Linotype" w:hAnsi="Palatino Linotype" w:cs="Arial"/>
        </w:rPr>
        <w:t>fue registrado</w:t>
      </w:r>
      <w:r w:rsidR="00862F75" w:rsidRPr="00AD6026">
        <w:rPr>
          <w:rFonts w:ascii="Palatino Linotype" w:hAnsi="Palatino Linotype" w:cs="Arial"/>
        </w:rPr>
        <w:t xml:space="preserve"> en el </w:t>
      </w:r>
      <w:r w:rsidR="00862F75" w:rsidRPr="00AD6026">
        <w:rPr>
          <w:rFonts w:ascii="Palatino Linotype" w:hAnsi="Palatino Linotype" w:cs="Arial"/>
          <w:b/>
        </w:rPr>
        <w:t>SAIMEX</w:t>
      </w:r>
      <w:r>
        <w:rPr>
          <w:rFonts w:ascii="Palatino Linotype" w:hAnsi="Palatino Linotype" w:cs="Arial"/>
        </w:rPr>
        <w:t xml:space="preserve"> con el expediente</w:t>
      </w:r>
      <w:r w:rsidR="00862F75" w:rsidRPr="00AD6026">
        <w:rPr>
          <w:rFonts w:ascii="Palatino Linotype" w:hAnsi="Palatino Linotype" w:cs="Arial"/>
        </w:rPr>
        <w:t xml:space="preserve"> </w:t>
      </w:r>
      <w:r w:rsidR="00B651C8" w:rsidRPr="00AD6026">
        <w:rPr>
          <w:rFonts w:ascii="Palatino Linotype" w:hAnsi="Palatino Linotype" w:cs="Arial"/>
          <w:b/>
        </w:rPr>
        <w:t>0</w:t>
      </w:r>
      <w:r w:rsidR="006C7C21">
        <w:rPr>
          <w:rFonts w:ascii="Palatino Linotype" w:hAnsi="Palatino Linotype" w:cs="Arial"/>
          <w:b/>
        </w:rPr>
        <w:t>7485</w:t>
      </w:r>
      <w:r w:rsidR="00862F75" w:rsidRPr="00AD6026">
        <w:rPr>
          <w:rFonts w:ascii="Palatino Linotype" w:hAnsi="Palatino Linotype" w:cs="Arial"/>
          <w:b/>
        </w:rPr>
        <w:t>/INFOEM/IP/RR/201</w:t>
      </w:r>
      <w:r w:rsidR="006C7C21">
        <w:rPr>
          <w:rFonts w:ascii="Palatino Linotype" w:hAnsi="Palatino Linotype" w:cs="Arial"/>
          <w:b/>
        </w:rPr>
        <w:t>9</w:t>
      </w:r>
      <w:r w:rsidR="001032D4" w:rsidRPr="00AD6026">
        <w:rPr>
          <w:rFonts w:ascii="Palatino Linotype" w:hAnsi="Palatino Linotype" w:cs="Arial"/>
        </w:rPr>
        <w:t>, manifesta</w:t>
      </w:r>
      <w:r w:rsidR="00F13D95" w:rsidRPr="00AD6026">
        <w:rPr>
          <w:rFonts w:ascii="Palatino Linotype" w:hAnsi="Palatino Linotype" w:cs="Arial"/>
        </w:rPr>
        <w:t>ndo lo siguiente</w:t>
      </w:r>
      <w:r w:rsidR="001032D4" w:rsidRPr="00AD6026">
        <w:rPr>
          <w:rFonts w:ascii="Palatino Linotype" w:hAnsi="Palatino Linotype" w:cs="Arial"/>
        </w:rPr>
        <w:t>:</w:t>
      </w:r>
    </w:p>
    <w:p w:rsidR="00514740" w:rsidRPr="00AD6026" w:rsidRDefault="00514740" w:rsidP="00AD6026">
      <w:pPr>
        <w:pStyle w:val="Sinespaciado"/>
        <w:spacing w:line="360" w:lineRule="auto"/>
        <w:jc w:val="both"/>
        <w:rPr>
          <w:rFonts w:ascii="Palatino Linotype" w:hAnsi="Palatino Linotype" w:cs="Arial"/>
        </w:rPr>
      </w:pPr>
    </w:p>
    <w:p w:rsidR="001032D4" w:rsidRPr="00AD6026" w:rsidRDefault="001032D4" w:rsidP="006C7C21">
      <w:pPr>
        <w:pStyle w:val="Sinespaciado"/>
        <w:numPr>
          <w:ilvl w:val="0"/>
          <w:numId w:val="7"/>
        </w:numPr>
        <w:jc w:val="both"/>
        <w:rPr>
          <w:rFonts w:ascii="Palatino Linotype" w:hAnsi="Palatino Linotype" w:cs="Arial"/>
          <w:b/>
        </w:rPr>
      </w:pPr>
      <w:r w:rsidRPr="00AD6026">
        <w:rPr>
          <w:rFonts w:ascii="Palatino Linotype" w:hAnsi="Palatino Linotype" w:cs="Arial"/>
          <w:b/>
        </w:rPr>
        <w:t>Acto Impugnado:</w:t>
      </w:r>
    </w:p>
    <w:p w:rsidR="001C63D8" w:rsidRPr="00AD6026" w:rsidRDefault="001C63D8" w:rsidP="006C7C21">
      <w:pPr>
        <w:pStyle w:val="Sinespaciado"/>
        <w:ind w:left="567" w:right="567"/>
        <w:jc w:val="both"/>
        <w:rPr>
          <w:rFonts w:ascii="Palatino Linotype" w:hAnsi="Palatino Linotype"/>
          <w:i/>
          <w:lang w:eastAsia="es-MX"/>
        </w:rPr>
      </w:pPr>
      <w:r w:rsidRPr="00AD6026">
        <w:rPr>
          <w:rFonts w:ascii="Palatino Linotype" w:hAnsi="Palatino Linotype"/>
          <w:i/>
          <w:color w:val="000000"/>
        </w:rPr>
        <w:t>“</w:t>
      </w:r>
      <w:r w:rsidR="006C7C21" w:rsidRPr="006C7C21">
        <w:rPr>
          <w:rFonts w:ascii="Palatino Linotype" w:hAnsi="Palatino Linotype"/>
          <w:i/>
          <w:color w:val="000000"/>
        </w:rPr>
        <w:t>RESPUESTA OTORGADA A MI SOLICITUD DE INFORMACIÓN</w:t>
      </w:r>
      <w:r w:rsidR="006A3AFB" w:rsidRPr="00AD6026">
        <w:rPr>
          <w:rFonts w:ascii="Palatino Linotype" w:hAnsi="Palatino Linotype"/>
          <w:i/>
          <w:color w:val="000000"/>
        </w:rPr>
        <w:t xml:space="preserve">” (Sic) </w:t>
      </w:r>
    </w:p>
    <w:p w:rsidR="006602FB" w:rsidRPr="00AD6026" w:rsidRDefault="006602FB" w:rsidP="00AD6026">
      <w:pPr>
        <w:pStyle w:val="Sinespaciado"/>
        <w:spacing w:line="360" w:lineRule="auto"/>
        <w:jc w:val="both"/>
        <w:rPr>
          <w:rFonts w:ascii="Palatino Linotype" w:hAnsi="Palatino Linotype" w:cs="Arial"/>
        </w:rPr>
      </w:pPr>
    </w:p>
    <w:p w:rsidR="001C63D8" w:rsidRPr="00AD6026" w:rsidRDefault="001C63D8" w:rsidP="006C7C21">
      <w:pPr>
        <w:pStyle w:val="Sinespaciado"/>
        <w:numPr>
          <w:ilvl w:val="0"/>
          <w:numId w:val="7"/>
        </w:numPr>
        <w:jc w:val="both"/>
        <w:rPr>
          <w:rFonts w:ascii="Palatino Linotype" w:hAnsi="Palatino Linotype" w:cs="Arial"/>
        </w:rPr>
      </w:pPr>
      <w:r w:rsidRPr="00AD6026">
        <w:rPr>
          <w:rFonts w:ascii="Palatino Linotype" w:hAnsi="Palatino Linotype" w:cs="Arial"/>
          <w:b/>
        </w:rPr>
        <w:t>Razones o Motivos de Inconformidad</w:t>
      </w:r>
      <w:r w:rsidRPr="00AD6026">
        <w:rPr>
          <w:rFonts w:ascii="Palatino Linotype" w:hAnsi="Palatino Linotype" w:cs="Arial"/>
        </w:rPr>
        <w:t>:</w:t>
      </w:r>
    </w:p>
    <w:p w:rsidR="00454524" w:rsidRDefault="001C63D8" w:rsidP="006C7C21">
      <w:pPr>
        <w:pStyle w:val="Sinespaciado"/>
        <w:ind w:left="567" w:right="567"/>
        <w:jc w:val="both"/>
        <w:rPr>
          <w:rFonts w:ascii="Palatino Linotype" w:hAnsi="Palatino Linotype"/>
          <w:i/>
          <w:lang w:eastAsia="es-MX"/>
        </w:rPr>
      </w:pPr>
      <w:r w:rsidRPr="00AD6026">
        <w:rPr>
          <w:rFonts w:ascii="Palatino Linotype" w:hAnsi="Palatino Linotype"/>
          <w:i/>
          <w:color w:val="000000"/>
        </w:rPr>
        <w:t>“</w:t>
      </w:r>
      <w:r w:rsidR="006C7C21" w:rsidRPr="006C7C21">
        <w:rPr>
          <w:rFonts w:ascii="Palatino Linotype" w:hAnsi="Palatino Linotype"/>
          <w:i/>
          <w:color w:val="000000"/>
        </w:rPr>
        <w:t xml:space="preserve">Interpongo Recurso de revisión por la respuesta otorgada a mi solicitud número 00774/INFOEM/IP/2019, porque no se me entrega la información y la respuesta que se me otorga, específicamente el acta donde se reserva la información carece de suficiente motivación y fundamentación, y se encuentra plagada de impresiciones jurídicas y de aplicación errónea de conceptos jurídicos básicos, de acuerdo con lo siguiente: No se realiza el análisis de mi solicitud de información, ya que el Contralor y el Comité de Información solo se limitan a manifestar que la solicitud forma parte de una investigación cuyo número y fecha de inicio ni siquiera mencionan, pretendiendo ignorar que la solicitud no se refiere a un solo rubro, sino que contiene varios aspectos que en ningún momento fueron analizados en lo individual, por ejemplo, desde cuando c. gabriela nieto cid del prado es jefa de departamento?, ¿informar ese dato afecta la investigación?, nunca lo dicen y mucho menos lo justifican Tampoco se analiza la solicitud en lo que se refiere al </w:t>
      </w:r>
      <w:r w:rsidR="006C7C21" w:rsidRPr="006C7C21">
        <w:rPr>
          <w:rFonts w:ascii="Palatino Linotype" w:hAnsi="Palatino Linotype"/>
          <w:i/>
          <w:color w:val="000000"/>
        </w:rPr>
        <w:lastRenderedPageBreak/>
        <w:t xml:space="preserve">“documento con el que el contralor hizo del conocimiento de los comisionados y/o del area administrativa, sobre la inhabilitación de dicha persona y sobre el hecho de que aún sigue en funciones violentando todo el sistema anticorrupción del que el infoem forma parte…” Con la respuesta otorgada debo asumir que dicho documento sí existe?, o sea, el Contralor informó por escrito a los comisionados y/o al área administrativa sobre dicha inhabilitación y que dicho escrito consta en la investigación?. Si es así, estaremos atentos para consultar dicha información en el momento en que la arbitraria clasificación cese y analizar la posible existencia de alguna falta o delito para realizar las denuncias que correspondan. Cabe señalar que el dictamen del Comité carece de suficiente motivación y fundamentación, ya que solo citan generalidades y confunden o desconocen conceptos jurídicos básicos, lo cual salta a la vista, por ejemplo, en la parte de ponderación de los intereses en conflicto, donde confunden la garantía de legalidad con la administración de justicia, sustentándolas en los artículos 14 y 16 constitucionales, pero omiten precisar qué parte de estas disposiciones prevén dichos principios; afirman que las constancias que integran la investigación “solo atañen al universo de las partes y del juzgador”, ahora resulta que en el expediente de procedimiento de investigación que resuelven reservar, hay “partes” y que la autoridad investigadora es un “juzgador”; además que éste debe velar por el correcto equilibrio del “proceso”, Señores Comisionados, a qué partes, proceso y juzgador se refieren sus subordinados?, porque hasta donde alcanzo a entender, siguiendo la Ley de Responsabilidades y conceptos procesales básicos, la autoridad investigadora es simplemente una autoridad administrativa, no es Juez, y la Investigación es un procedimiento, no un proceso. Si los señores del Comité y de la Contraloría no saben ni entienden la diferencia de dichos conceptos, es explicable por que resuelven de esa manera. En el aparatado de Riesgo demostrable, para acreditar el supuesto riesgo utilizan como argumento que no se tiene la certeza del solicitante, lo cual violenta mi derecho humano de acceso a la información, ya que una de sus características es la opción del anonimato y al utilizar este derecho de los ciudadanos como pretexto para no entregar información, no solo se inhibe el derecho de acceso a la información, sino se violenta las disposiciones de la Ley y de la Constitución en materia de acceso a la información. En el apartado de Acreditación de modo tiempo y lugar del daño, aparte de la confusa redacción, se alcanza a inferir que toda la información solicitada se encuentra en la clasificación, sin molestarse en analizar cuál es toda la esa </w:t>
      </w:r>
      <w:r w:rsidR="006C7C21" w:rsidRPr="006C7C21">
        <w:rPr>
          <w:rFonts w:ascii="Palatino Linotype" w:hAnsi="Palatino Linotype"/>
          <w:i/>
          <w:color w:val="000000"/>
        </w:rPr>
        <w:lastRenderedPageBreak/>
        <w:t>información solicitada. Además argumentan que se imposibilitaría la correcta aplicación de la justicia del juzgador contaminando su juicio deliberativo, insisto cual juzgador?, cual juicio deliberativo?, si solo se trata de una investigación a cargo de una autoridad administrativa. Por otra parte, el Comité de Información no justifica el periodo de reserva de dos años, es decir, no se razona porqué ese plazo y no otro. ¿Aparte del tiempo que ya tienen investigando, que no se sabe cuanto por que no lo dicen, la Contraloría necesita dos años más para culminar su investigación?, o cual es la razón de la reserva por ese tiempo, no lo dicen y mucho menos lo justifican. Es claro que la información que solicito se oculta para encubrir el ilícito actuar del instituto al haber contratado a una persona que se encuentra inhabilitada, y si no lo sabían en el momento de la contratación, por lo menos el Contralor lo sabe desde que se inició la investigación que dicen tener; sin embargo, lo oculta al no informar a sus superiores y no investigar, porqué dicha persona sigue laborando en el Infoem, vale la pena recordar que los artículos 62 y 65 de la Ley de Responsabilidades Administrativas del Estado de México y Municipios dicen: Artículo 62. Incurrirá en contratación indebida el servidor público que autorice cualquier tipo de contratación, así como la selección, nombramiento o designación, de quien se encuentre impedido por disposición legal o inhabilitado por resolución de autoridad competente para ocupar un empleo, cargo o comisión en el servicio público o inhabilitado para realizar contrataciones con los entes públicos, siempre que en el caso de las inhabilitaciones, al momento de la autorización, éstas se encuentren inscritas en el sistema nacional o estatal de servidores públicos y particulares sancionados de la plataforma digital nacional o estatal. Artículo 65. Incurrirá en encubrimiento el servidor público que cuando en el ejercicio de sus funciones llegare a advertir actos u omisiones que pudieren constituir faltas administrativas, realice deliberadamente alguna conducta para su ocultamiento. Hechos que desde este momento denuncio y espero que el Honorable Pleno del Infoem actúe en consecuencia.</w:t>
      </w:r>
      <w:r w:rsidR="006A3AFB" w:rsidRPr="00AD6026">
        <w:rPr>
          <w:rFonts w:ascii="Palatino Linotype" w:hAnsi="Palatino Linotype"/>
          <w:i/>
          <w:color w:val="000000"/>
        </w:rPr>
        <w:t xml:space="preserve">” (Sic) </w:t>
      </w:r>
    </w:p>
    <w:p w:rsidR="00DC14F4" w:rsidRDefault="00DC14F4" w:rsidP="00DC14F4">
      <w:pPr>
        <w:pStyle w:val="Sinespaciado"/>
        <w:ind w:left="567" w:right="567"/>
        <w:jc w:val="both"/>
        <w:rPr>
          <w:rFonts w:ascii="Palatino Linotype" w:hAnsi="Palatino Linotype"/>
          <w:lang w:eastAsia="es-MX"/>
        </w:rPr>
      </w:pPr>
    </w:p>
    <w:p w:rsidR="006C7C21" w:rsidRPr="006C7C21" w:rsidRDefault="006C7C21" w:rsidP="00DC14F4">
      <w:pPr>
        <w:pStyle w:val="Sinespaciado"/>
        <w:ind w:left="567" w:right="567"/>
        <w:jc w:val="both"/>
        <w:rPr>
          <w:rFonts w:ascii="Palatino Linotype" w:hAnsi="Palatino Linotype"/>
          <w:lang w:eastAsia="es-MX"/>
        </w:rPr>
      </w:pPr>
    </w:p>
    <w:p w:rsidR="000B518A" w:rsidRPr="00DC14F4" w:rsidRDefault="006C7C21" w:rsidP="00AD6026">
      <w:pPr>
        <w:pStyle w:val="Sinespaciado"/>
        <w:spacing w:line="360" w:lineRule="auto"/>
        <w:jc w:val="both"/>
        <w:rPr>
          <w:rFonts w:ascii="Palatino Linotype" w:hAnsi="Palatino Linotype"/>
          <w:b/>
          <w:sz w:val="28"/>
          <w:szCs w:val="26"/>
        </w:rPr>
      </w:pPr>
      <w:r>
        <w:rPr>
          <w:rFonts w:ascii="Palatino Linotype" w:hAnsi="Palatino Linotype"/>
          <w:b/>
          <w:sz w:val="28"/>
          <w:szCs w:val="26"/>
        </w:rPr>
        <w:t>CUAR</w:t>
      </w:r>
      <w:r w:rsidR="00DC14F4" w:rsidRPr="00DC14F4">
        <w:rPr>
          <w:rFonts w:ascii="Palatino Linotype" w:hAnsi="Palatino Linotype"/>
          <w:b/>
          <w:sz w:val="28"/>
          <w:szCs w:val="26"/>
        </w:rPr>
        <w:t>TO</w:t>
      </w:r>
      <w:r w:rsidR="000B518A" w:rsidRPr="00DC14F4">
        <w:rPr>
          <w:rFonts w:ascii="Palatino Linotype" w:hAnsi="Palatino Linotype"/>
          <w:b/>
          <w:sz w:val="28"/>
          <w:szCs w:val="26"/>
        </w:rPr>
        <w:t xml:space="preserve">. Del turno </w:t>
      </w:r>
      <w:r w:rsidR="001C03C2" w:rsidRPr="00DC14F4">
        <w:rPr>
          <w:rFonts w:ascii="Palatino Linotype" w:hAnsi="Palatino Linotype"/>
          <w:b/>
          <w:sz w:val="28"/>
          <w:szCs w:val="26"/>
        </w:rPr>
        <w:t>y admisión</w:t>
      </w:r>
      <w:r w:rsidR="00750196" w:rsidRPr="00DC14F4">
        <w:rPr>
          <w:rFonts w:ascii="Palatino Linotype" w:hAnsi="Palatino Linotype"/>
          <w:b/>
          <w:sz w:val="28"/>
          <w:szCs w:val="26"/>
        </w:rPr>
        <w:t xml:space="preserve"> </w:t>
      </w:r>
      <w:r w:rsidR="000B518A" w:rsidRPr="00DC14F4">
        <w:rPr>
          <w:rFonts w:ascii="Palatino Linotype" w:hAnsi="Palatino Linotype"/>
          <w:b/>
          <w:sz w:val="28"/>
          <w:szCs w:val="26"/>
        </w:rPr>
        <w:t>de</w:t>
      </w:r>
      <w:r>
        <w:rPr>
          <w:rFonts w:ascii="Palatino Linotype" w:hAnsi="Palatino Linotype"/>
          <w:b/>
          <w:sz w:val="28"/>
          <w:szCs w:val="26"/>
        </w:rPr>
        <w:t>l</w:t>
      </w:r>
      <w:r w:rsidR="001C03C2" w:rsidRPr="00DC14F4">
        <w:rPr>
          <w:rFonts w:ascii="Palatino Linotype" w:hAnsi="Palatino Linotype"/>
          <w:b/>
          <w:sz w:val="28"/>
          <w:szCs w:val="26"/>
        </w:rPr>
        <w:t xml:space="preserve"> </w:t>
      </w:r>
      <w:r w:rsidR="000B518A" w:rsidRPr="00DC14F4">
        <w:rPr>
          <w:rFonts w:ascii="Palatino Linotype" w:hAnsi="Palatino Linotype"/>
          <w:b/>
          <w:sz w:val="28"/>
          <w:szCs w:val="26"/>
        </w:rPr>
        <w:t>recurso de revisión.</w:t>
      </w:r>
    </w:p>
    <w:p w:rsidR="001032D4" w:rsidRPr="00AD6026" w:rsidRDefault="001C03C2" w:rsidP="00AD6026">
      <w:pPr>
        <w:pStyle w:val="Sinespaciado"/>
        <w:spacing w:line="360" w:lineRule="auto"/>
        <w:jc w:val="both"/>
        <w:rPr>
          <w:rFonts w:ascii="Palatino Linotype" w:hAnsi="Palatino Linotype"/>
        </w:rPr>
      </w:pPr>
      <w:r w:rsidRPr="00AD6026">
        <w:rPr>
          <w:rFonts w:ascii="Palatino Linotype" w:hAnsi="Palatino Linotype"/>
        </w:rPr>
        <w:t>En términos del numeral 185</w:t>
      </w:r>
      <w:r w:rsidR="006C7C21">
        <w:rPr>
          <w:rFonts w:ascii="Palatino Linotype" w:hAnsi="Palatino Linotype"/>
        </w:rPr>
        <w:t>,</w:t>
      </w:r>
      <w:r w:rsidRPr="00AD6026">
        <w:rPr>
          <w:rFonts w:ascii="Palatino Linotype" w:hAnsi="Palatino Linotype"/>
        </w:rPr>
        <w:t xml:space="preserve"> fracción I</w:t>
      </w:r>
      <w:r w:rsidR="006C7C21">
        <w:rPr>
          <w:rFonts w:ascii="Palatino Linotype" w:hAnsi="Palatino Linotype"/>
        </w:rPr>
        <w:t>,</w:t>
      </w:r>
      <w:r w:rsidRPr="00AD6026">
        <w:rPr>
          <w:rFonts w:ascii="Palatino Linotype" w:hAnsi="Palatino Linotype"/>
        </w:rPr>
        <w:t xml:space="preserve"> de la Ley de Transparencia y Acceso a la Información Pública del Estado de México y Municipios, el recurso de revisión con </w:t>
      </w:r>
      <w:r w:rsidRPr="00AD6026">
        <w:rPr>
          <w:rFonts w:ascii="Palatino Linotype" w:hAnsi="Palatino Linotype"/>
        </w:rPr>
        <w:lastRenderedPageBreak/>
        <w:t xml:space="preserve">número </w:t>
      </w:r>
      <w:r w:rsidR="00B651C8" w:rsidRPr="00AD6026">
        <w:rPr>
          <w:rFonts w:ascii="Palatino Linotype" w:hAnsi="Palatino Linotype"/>
          <w:b/>
        </w:rPr>
        <w:t>0</w:t>
      </w:r>
      <w:r w:rsidR="006C7C21">
        <w:rPr>
          <w:rFonts w:ascii="Palatino Linotype" w:hAnsi="Palatino Linotype"/>
          <w:b/>
        </w:rPr>
        <w:t>7485</w:t>
      </w:r>
      <w:r w:rsidRPr="00AD6026">
        <w:rPr>
          <w:rFonts w:ascii="Palatino Linotype" w:hAnsi="Palatino Linotype"/>
          <w:b/>
        </w:rPr>
        <w:t>/INFOEM/IP/RR/201</w:t>
      </w:r>
      <w:r w:rsidR="006C7C21">
        <w:rPr>
          <w:rFonts w:ascii="Palatino Linotype" w:hAnsi="Palatino Linotype"/>
          <w:b/>
        </w:rPr>
        <w:t>9</w:t>
      </w:r>
      <w:r w:rsidR="006C7C21">
        <w:rPr>
          <w:rFonts w:ascii="Palatino Linotype" w:hAnsi="Palatino Linotype"/>
        </w:rPr>
        <w:t>,</w:t>
      </w:r>
      <w:r w:rsidRPr="00AD6026">
        <w:rPr>
          <w:rFonts w:ascii="Palatino Linotype" w:hAnsi="Palatino Linotype"/>
        </w:rPr>
        <w:t xml:space="preserve"> fue turnado a </w:t>
      </w:r>
      <w:r w:rsidR="001032D4" w:rsidRPr="00AD6026">
        <w:rPr>
          <w:rFonts w:ascii="Palatino Linotype" w:hAnsi="Palatino Linotype"/>
        </w:rPr>
        <w:t xml:space="preserve">la </w:t>
      </w:r>
      <w:r w:rsidR="001032D4" w:rsidRPr="00AD6026">
        <w:rPr>
          <w:rFonts w:ascii="Palatino Linotype" w:hAnsi="Palatino Linotype"/>
          <w:b/>
        </w:rPr>
        <w:t>Comisionada Zulema Martínez Sánchez</w:t>
      </w:r>
      <w:r w:rsidRPr="00AD6026">
        <w:rPr>
          <w:rFonts w:ascii="Palatino Linotype" w:hAnsi="Palatino Linotype"/>
        </w:rPr>
        <w:t xml:space="preserve">; para su revisión y análisis sobre la </w:t>
      </w:r>
      <w:r w:rsidR="00750196" w:rsidRPr="00AD6026">
        <w:rPr>
          <w:rFonts w:ascii="Palatino Linotype" w:hAnsi="Palatino Linotype"/>
        </w:rPr>
        <w:t>admisión</w:t>
      </w:r>
      <w:r w:rsidRPr="00AD6026">
        <w:rPr>
          <w:rFonts w:ascii="Palatino Linotype" w:hAnsi="Palatino Linotype"/>
        </w:rPr>
        <w:t xml:space="preserve"> o d</w:t>
      </w:r>
      <w:r w:rsidR="00B651C8" w:rsidRPr="00AD6026">
        <w:rPr>
          <w:rFonts w:ascii="Palatino Linotype" w:hAnsi="Palatino Linotype"/>
        </w:rPr>
        <w:t xml:space="preserve">esechamiento; por lo que en </w:t>
      </w:r>
      <w:r w:rsidR="00FF3844">
        <w:rPr>
          <w:rFonts w:ascii="Palatino Linotype" w:hAnsi="Palatino Linotype"/>
        </w:rPr>
        <w:t xml:space="preserve">fecha </w:t>
      </w:r>
      <w:r w:rsidR="006C7C21">
        <w:rPr>
          <w:rFonts w:ascii="Palatino Linotype" w:hAnsi="Palatino Linotype"/>
        </w:rPr>
        <w:t>veinticinco de septiembre</w:t>
      </w:r>
      <w:r w:rsidR="00B651C8" w:rsidRPr="00AD6026">
        <w:rPr>
          <w:rFonts w:ascii="Palatino Linotype" w:hAnsi="Palatino Linotype"/>
        </w:rPr>
        <w:t xml:space="preserve"> de</w:t>
      </w:r>
      <w:r w:rsidR="006C7C21">
        <w:rPr>
          <w:rFonts w:ascii="Palatino Linotype" w:hAnsi="Palatino Linotype"/>
        </w:rPr>
        <w:t>l año en curso</w:t>
      </w:r>
      <w:r w:rsidR="00B651C8" w:rsidRPr="00AD6026">
        <w:rPr>
          <w:rFonts w:ascii="Palatino Linotype" w:hAnsi="Palatino Linotype"/>
        </w:rPr>
        <w:t xml:space="preserve">, </w:t>
      </w:r>
      <w:r w:rsidR="00391A69">
        <w:rPr>
          <w:rFonts w:ascii="Palatino Linotype" w:hAnsi="Palatino Linotype"/>
        </w:rPr>
        <w:t>se admitió</w:t>
      </w:r>
      <w:r w:rsidR="00750196" w:rsidRPr="00AD6026">
        <w:rPr>
          <w:rFonts w:ascii="Palatino Linotype" w:hAnsi="Palatino Linotype"/>
        </w:rPr>
        <w:t xml:space="preserve"> en </w:t>
      </w:r>
      <w:r w:rsidR="00832A32" w:rsidRPr="00AD6026">
        <w:rPr>
          <w:rFonts w:ascii="Palatino Linotype" w:hAnsi="Palatino Linotype"/>
        </w:rPr>
        <w:t>la vía interpuesta, poni</w:t>
      </w:r>
      <w:r w:rsidR="00180293" w:rsidRPr="00AD6026">
        <w:rPr>
          <w:rFonts w:ascii="Palatino Linotype" w:hAnsi="Palatino Linotype"/>
        </w:rPr>
        <w:t>e</w:t>
      </w:r>
      <w:r w:rsidR="00832A32" w:rsidRPr="00AD6026">
        <w:rPr>
          <w:rFonts w:ascii="Palatino Linotype" w:hAnsi="Palatino Linotype"/>
        </w:rPr>
        <w:t xml:space="preserve">ndo </w:t>
      </w:r>
      <w:r w:rsidR="00391A69">
        <w:rPr>
          <w:rFonts w:ascii="Palatino Linotype" w:hAnsi="Palatino Linotype"/>
        </w:rPr>
        <w:t>el</w:t>
      </w:r>
      <w:r w:rsidR="00750196" w:rsidRPr="00AD6026">
        <w:rPr>
          <w:rFonts w:ascii="Palatino Linotype" w:hAnsi="Palatino Linotype"/>
        </w:rPr>
        <w:t xml:space="preserve"> </w:t>
      </w:r>
      <w:r w:rsidR="00180293" w:rsidRPr="00AD6026">
        <w:rPr>
          <w:rFonts w:ascii="Palatino Linotype" w:hAnsi="Palatino Linotype"/>
        </w:rPr>
        <w:t xml:space="preserve">expediente </w:t>
      </w:r>
      <w:r w:rsidR="00832A32" w:rsidRPr="00AD6026">
        <w:rPr>
          <w:rFonts w:ascii="Palatino Linotype" w:hAnsi="Palatino Linotype"/>
        </w:rPr>
        <w:t>a disposición de las partes para que, en un plazo máximo de siete días, manifestaran lo que a su derecho corresponda a efecto de ofrecer pruebas, informe justificado y presentar alegatos, con fundamento en el artículo 185 fracciones I, II y IV de la Ley de Transparencia y Acceso a la Información Pública del Estado de México y Municipios.</w:t>
      </w:r>
    </w:p>
    <w:p w:rsidR="00594625" w:rsidRPr="00AD6026" w:rsidRDefault="00594625" w:rsidP="00AD6026">
      <w:pPr>
        <w:pStyle w:val="Sinespaciado"/>
        <w:spacing w:line="360" w:lineRule="auto"/>
        <w:jc w:val="both"/>
        <w:rPr>
          <w:rFonts w:ascii="Palatino Linotype" w:hAnsi="Palatino Linotype"/>
          <w:b/>
        </w:rPr>
      </w:pPr>
    </w:p>
    <w:p w:rsidR="000B518A" w:rsidRPr="00391A69" w:rsidRDefault="006C7C21" w:rsidP="00AD6026">
      <w:pPr>
        <w:pStyle w:val="Sinespaciado"/>
        <w:spacing w:line="360" w:lineRule="auto"/>
        <w:jc w:val="both"/>
        <w:rPr>
          <w:rFonts w:ascii="Palatino Linotype" w:hAnsi="Palatino Linotype"/>
          <w:b/>
          <w:sz w:val="28"/>
          <w:szCs w:val="26"/>
        </w:rPr>
      </w:pPr>
      <w:r>
        <w:rPr>
          <w:rFonts w:ascii="Palatino Linotype" w:hAnsi="Palatino Linotype"/>
          <w:b/>
          <w:sz w:val="28"/>
          <w:szCs w:val="26"/>
        </w:rPr>
        <w:t>QUIN</w:t>
      </w:r>
      <w:r w:rsidR="00594625" w:rsidRPr="00391A69">
        <w:rPr>
          <w:rFonts w:ascii="Palatino Linotype" w:hAnsi="Palatino Linotype"/>
          <w:b/>
          <w:sz w:val="28"/>
          <w:szCs w:val="26"/>
        </w:rPr>
        <w:t>TO</w:t>
      </w:r>
      <w:r w:rsidR="000B518A" w:rsidRPr="00391A69">
        <w:rPr>
          <w:rFonts w:ascii="Palatino Linotype" w:hAnsi="Palatino Linotype"/>
          <w:b/>
          <w:sz w:val="28"/>
          <w:szCs w:val="26"/>
        </w:rPr>
        <w:t>. De la etapa de instrucción.</w:t>
      </w:r>
    </w:p>
    <w:p w:rsidR="00901C66" w:rsidRPr="00AD6026" w:rsidRDefault="006C7C21" w:rsidP="00AD6026">
      <w:pPr>
        <w:pStyle w:val="Sinespaciado"/>
        <w:spacing w:line="360" w:lineRule="auto"/>
        <w:jc w:val="both"/>
        <w:rPr>
          <w:rFonts w:ascii="Palatino Linotype" w:hAnsi="Palatino Linotype"/>
        </w:rPr>
      </w:pPr>
      <w:r>
        <w:rPr>
          <w:rFonts w:ascii="Palatino Linotype" w:hAnsi="Palatino Linotype"/>
          <w:noProof/>
          <w:lang w:eastAsia="es-MX"/>
        </w:rPr>
        <mc:AlternateContent>
          <mc:Choice Requires="wps">
            <w:drawing>
              <wp:anchor distT="0" distB="0" distL="114300" distR="114300" simplePos="0" relativeHeight="251679744" behindDoc="0" locked="0" layoutInCell="1" allowOverlap="1">
                <wp:simplePos x="0" y="0"/>
                <wp:positionH relativeFrom="column">
                  <wp:posOffset>33047</wp:posOffset>
                </wp:positionH>
                <wp:positionV relativeFrom="paragraph">
                  <wp:posOffset>2444750</wp:posOffset>
                </wp:positionV>
                <wp:extent cx="5716987" cy="1669774"/>
                <wp:effectExtent l="19050" t="19050" r="36195" b="26035"/>
                <wp:wrapNone/>
                <wp:docPr id="2" name="Conector recto 2"/>
                <wp:cNvGraphicFramePr/>
                <a:graphic xmlns:a="http://schemas.openxmlformats.org/drawingml/2006/main">
                  <a:graphicData uri="http://schemas.microsoft.com/office/word/2010/wordprocessingShape">
                    <wps:wsp>
                      <wps:cNvCnPr/>
                      <wps:spPr>
                        <a:xfrm>
                          <a:off x="0" y="0"/>
                          <a:ext cx="5716987" cy="1669774"/>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F2032C" id="Conector recto 2"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2.6pt,192.5pt" to="452.75pt,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" strokecolor="#5b9bd5 [3204]" strokeweight="2.25pt">
                <v:stroke joinstyle="miter"/>
              </v:line>
            </w:pict>
          </mc:Fallback>
        </mc:AlternateContent>
      </w:r>
      <w:r w:rsidR="007C0F23" w:rsidRPr="00AD6026">
        <w:rPr>
          <w:rFonts w:ascii="Palatino Linotype" w:hAnsi="Palatino Linotype"/>
        </w:rPr>
        <w:t>Una vez transcurrido el término legal referido, de las constancias que obran en el SAIMEX, se advierte que</w:t>
      </w:r>
      <w:r w:rsidR="00F249D3" w:rsidRPr="00AD6026">
        <w:rPr>
          <w:rFonts w:ascii="Palatino Linotype" w:hAnsi="Palatino Linotype"/>
        </w:rPr>
        <w:t xml:space="preserve"> </w:t>
      </w:r>
      <w:r w:rsidR="00594625" w:rsidRPr="00AD6026">
        <w:rPr>
          <w:rFonts w:ascii="Palatino Linotype" w:hAnsi="Palatino Linotype"/>
        </w:rPr>
        <w:t xml:space="preserve">en fecha </w:t>
      </w:r>
      <w:r w:rsidR="00391A69">
        <w:rPr>
          <w:rFonts w:ascii="Palatino Linotype" w:hAnsi="Palatino Linotype"/>
        </w:rPr>
        <w:t>cuatro</w:t>
      </w:r>
      <w:r w:rsidR="00FF3844">
        <w:rPr>
          <w:rFonts w:ascii="Palatino Linotype" w:hAnsi="Palatino Linotype"/>
        </w:rPr>
        <w:t xml:space="preserve"> de </w:t>
      </w:r>
      <w:r>
        <w:rPr>
          <w:rFonts w:ascii="Palatino Linotype" w:hAnsi="Palatino Linotype"/>
        </w:rPr>
        <w:t>octubre</w:t>
      </w:r>
      <w:r w:rsidR="00FF3844">
        <w:rPr>
          <w:rFonts w:ascii="Palatino Linotype" w:hAnsi="Palatino Linotype"/>
        </w:rPr>
        <w:t xml:space="preserve"> del año en curso, </w:t>
      </w:r>
      <w:r w:rsidR="00594625" w:rsidRPr="00AD6026">
        <w:rPr>
          <w:rFonts w:ascii="Palatino Linotype" w:hAnsi="Palatino Linotype"/>
        </w:rPr>
        <w:t>el</w:t>
      </w:r>
      <w:r w:rsidR="00F249D3" w:rsidRPr="00AD6026">
        <w:rPr>
          <w:rFonts w:ascii="Palatino Linotype" w:hAnsi="Palatino Linotype"/>
        </w:rPr>
        <w:t xml:space="preserve"> </w:t>
      </w:r>
      <w:r w:rsidR="00F249D3" w:rsidRPr="00391A69">
        <w:rPr>
          <w:rFonts w:ascii="Palatino Linotype" w:hAnsi="Palatino Linotype"/>
          <w:b/>
        </w:rPr>
        <w:t>Sujeto Obligado</w:t>
      </w:r>
      <w:r w:rsidR="00F249D3" w:rsidRPr="00AD6026">
        <w:rPr>
          <w:rFonts w:ascii="Palatino Linotype" w:hAnsi="Palatino Linotype"/>
        </w:rPr>
        <w:t xml:space="preserve"> </w:t>
      </w:r>
      <w:r w:rsidR="00391A69">
        <w:rPr>
          <w:rFonts w:ascii="Palatino Linotype" w:hAnsi="Palatino Linotype"/>
        </w:rPr>
        <w:t xml:space="preserve">rindió su </w:t>
      </w:r>
      <w:r w:rsidR="00594625" w:rsidRPr="00AD6026">
        <w:rPr>
          <w:rFonts w:ascii="Palatino Linotype" w:hAnsi="Palatino Linotype"/>
        </w:rPr>
        <w:t xml:space="preserve">Informe Justificado, el cual fue puesto a la vista del hoy </w:t>
      </w:r>
      <w:r w:rsidR="00594625" w:rsidRPr="00391A69">
        <w:rPr>
          <w:rFonts w:ascii="Palatino Linotype" w:hAnsi="Palatino Linotype"/>
          <w:b/>
        </w:rPr>
        <w:t>Recurrente</w:t>
      </w:r>
      <w:r w:rsidR="00594625" w:rsidRPr="00AD6026">
        <w:rPr>
          <w:rFonts w:ascii="Palatino Linotype" w:hAnsi="Palatino Linotype"/>
        </w:rPr>
        <w:t xml:space="preserve"> mediante acuerdo de fecha </w:t>
      </w:r>
      <w:r>
        <w:rPr>
          <w:rFonts w:ascii="Palatino Linotype" w:hAnsi="Palatino Linotype"/>
        </w:rPr>
        <w:t>siete de octubre de dos mil diecinueve</w:t>
      </w:r>
      <w:r w:rsidR="00594625" w:rsidRPr="00AD6026">
        <w:rPr>
          <w:rFonts w:ascii="Palatino Linotype" w:hAnsi="Palatino Linotype"/>
        </w:rPr>
        <w:t>;</w:t>
      </w:r>
      <w:r w:rsidR="009A4E0C">
        <w:rPr>
          <w:rFonts w:ascii="Palatino Linotype" w:hAnsi="Palatino Linotype"/>
        </w:rPr>
        <w:t xml:space="preserve"> consistente en los archivos electrónicos denominados </w:t>
      </w:r>
      <w:r w:rsidR="009A4E0C" w:rsidRPr="006C7C21">
        <w:rPr>
          <w:rFonts w:ascii="Palatino Linotype" w:hAnsi="Palatino Linotype"/>
          <w:b/>
          <w:i/>
        </w:rPr>
        <w:t>“</w:t>
      </w:r>
      <w:r w:rsidRPr="006C7C21">
        <w:rPr>
          <w:rFonts w:ascii="Palatino Linotype" w:hAnsi="Palatino Linotype"/>
          <w:b/>
          <w:i/>
        </w:rPr>
        <w:t>INFOMRE.DAF.pdf</w:t>
      </w:r>
      <w:r w:rsidR="009A4E0C" w:rsidRPr="006C7C21">
        <w:rPr>
          <w:rFonts w:ascii="Palatino Linotype" w:hAnsi="Palatino Linotype"/>
          <w:b/>
          <w:i/>
        </w:rPr>
        <w:t>”</w:t>
      </w:r>
      <w:r w:rsidR="00A461FD">
        <w:rPr>
          <w:rFonts w:ascii="Palatino Linotype" w:hAnsi="Palatino Linotype"/>
        </w:rPr>
        <w:t xml:space="preserve">, </w:t>
      </w:r>
      <w:r w:rsidR="00A461FD" w:rsidRPr="006C7C21">
        <w:rPr>
          <w:rFonts w:ascii="Palatino Linotype" w:hAnsi="Palatino Linotype"/>
          <w:b/>
          <w:i/>
        </w:rPr>
        <w:t>“</w:t>
      </w:r>
      <w:r w:rsidRPr="006C7C21">
        <w:rPr>
          <w:rFonts w:ascii="Palatino Linotype" w:hAnsi="Palatino Linotype"/>
          <w:b/>
          <w:i/>
        </w:rPr>
        <w:t>INFOMRE.JUSTIFICADO.7458.2019.pdf</w:t>
      </w:r>
      <w:r w:rsidR="00A461FD" w:rsidRPr="006C7C21">
        <w:rPr>
          <w:rFonts w:ascii="Palatino Linotype" w:hAnsi="Palatino Linotype"/>
          <w:b/>
          <w:i/>
        </w:rPr>
        <w:t>”</w:t>
      </w:r>
      <w:r w:rsidR="009A4E0C">
        <w:rPr>
          <w:rFonts w:ascii="Palatino Linotype" w:hAnsi="Palatino Linotype"/>
        </w:rPr>
        <w:t xml:space="preserve"> </w:t>
      </w:r>
      <w:r w:rsidR="00A461FD">
        <w:rPr>
          <w:rFonts w:ascii="Palatino Linotype" w:hAnsi="Palatino Linotype"/>
        </w:rPr>
        <w:t>e</w:t>
      </w:r>
      <w:r w:rsidR="009A4E0C">
        <w:rPr>
          <w:rFonts w:ascii="Palatino Linotype" w:hAnsi="Palatino Linotype"/>
        </w:rPr>
        <w:t xml:space="preserve"> </w:t>
      </w:r>
      <w:r w:rsidR="009A4E0C" w:rsidRPr="006C7C21">
        <w:rPr>
          <w:rFonts w:ascii="Palatino Linotype" w:hAnsi="Palatino Linotype"/>
          <w:b/>
          <w:i/>
        </w:rPr>
        <w:t>“</w:t>
      </w:r>
      <w:r w:rsidRPr="006C7C21">
        <w:rPr>
          <w:rFonts w:ascii="Palatino Linotype" w:hAnsi="Palatino Linotype"/>
          <w:b/>
          <w:i/>
        </w:rPr>
        <w:tab/>
        <w:t>INFOMRE.CIOCV.pdf</w:t>
      </w:r>
      <w:r w:rsidR="009A4E0C" w:rsidRPr="006C7C21">
        <w:rPr>
          <w:rFonts w:ascii="Palatino Linotype" w:hAnsi="Palatino Linotype"/>
          <w:b/>
          <w:i/>
        </w:rPr>
        <w:t>”</w:t>
      </w:r>
      <w:r>
        <w:rPr>
          <w:rFonts w:ascii="Palatino Linotype" w:hAnsi="Palatino Linotype"/>
        </w:rPr>
        <w:t>; p</w:t>
      </w:r>
      <w:r w:rsidR="007046FB" w:rsidRPr="00AD6026">
        <w:rPr>
          <w:rFonts w:ascii="Palatino Linotype" w:hAnsi="Palatino Linotype"/>
        </w:rPr>
        <w:t>or su parte</w:t>
      </w:r>
      <w:r>
        <w:rPr>
          <w:rFonts w:ascii="Palatino Linotype" w:hAnsi="Palatino Linotype"/>
        </w:rPr>
        <w:t>,</w:t>
      </w:r>
      <w:r w:rsidR="007046FB" w:rsidRPr="00AD6026">
        <w:rPr>
          <w:rFonts w:ascii="Palatino Linotype" w:hAnsi="Palatino Linotype"/>
        </w:rPr>
        <w:t xml:space="preserve"> el</w:t>
      </w:r>
      <w:r w:rsidR="00F249D3" w:rsidRPr="00AD6026">
        <w:rPr>
          <w:rFonts w:ascii="Palatino Linotype" w:hAnsi="Palatino Linotype"/>
        </w:rPr>
        <w:t xml:space="preserve"> </w:t>
      </w:r>
      <w:r w:rsidR="00F249D3" w:rsidRPr="00A461FD">
        <w:rPr>
          <w:rFonts w:ascii="Palatino Linotype" w:hAnsi="Palatino Linotype"/>
          <w:b/>
        </w:rPr>
        <w:t>Recurrente</w:t>
      </w:r>
      <w:r w:rsidR="00F249D3" w:rsidRPr="00AD6026">
        <w:rPr>
          <w:rFonts w:ascii="Palatino Linotype" w:hAnsi="Palatino Linotype"/>
        </w:rPr>
        <w:t xml:space="preserve"> omitió presentar manifestaciones</w:t>
      </w:r>
      <w:r w:rsidR="007046FB" w:rsidRPr="00AD6026">
        <w:rPr>
          <w:rFonts w:ascii="Palatino Linotype" w:hAnsi="Palatino Linotype"/>
        </w:rPr>
        <w:t xml:space="preserve"> o verter alegatos que a su derecho convinieran</w:t>
      </w:r>
      <w:r>
        <w:rPr>
          <w:rFonts w:ascii="Palatino Linotype" w:hAnsi="Palatino Linotype"/>
        </w:rPr>
        <w:t>, de conformidad con la siguiente captura de pantalla:</w:t>
      </w:r>
    </w:p>
    <w:p w:rsidR="00901C66" w:rsidRDefault="00901C66" w:rsidP="00AD6026">
      <w:pPr>
        <w:pStyle w:val="Sinespaciado"/>
        <w:spacing w:line="360" w:lineRule="auto"/>
        <w:jc w:val="both"/>
        <w:rPr>
          <w:rFonts w:ascii="Palatino Linotype" w:hAnsi="Palatino Linotype"/>
        </w:rPr>
      </w:pPr>
    </w:p>
    <w:p w:rsidR="006C7C21" w:rsidRDefault="006C7C21" w:rsidP="00AD6026">
      <w:pPr>
        <w:pStyle w:val="Sinespaciado"/>
        <w:spacing w:line="360" w:lineRule="auto"/>
        <w:jc w:val="both"/>
        <w:rPr>
          <w:rFonts w:ascii="Palatino Linotype" w:hAnsi="Palatino Linotype"/>
        </w:rPr>
      </w:pPr>
      <w:r>
        <w:rPr>
          <w:rFonts w:ascii="Palatino Linotype" w:hAnsi="Palatino Linotype"/>
          <w:noProof/>
          <w:lang w:eastAsia="es-MX"/>
        </w:rPr>
        <w:lastRenderedPageBreak/>
        <w:drawing>
          <wp:inline distT="0" distB="0" distL="0" distR="0">
            <wp:extent cx="5756910" cy="42144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4214495"/>
                    </a:xfrm>
                    <a:prstGeom prst="rect">
                      <a:avLst/>
                    </a:prstGeom>
                    <a:noFill/>
                    <a:ln>
                      <a:noFill/>
                    </a:ln>
                  </pic:spPr>
                </pic:pic>
              </a:graphicData>
            </a:graphic>
          </wp:inline>
        </w:drawing>
      </w:r>
    </w:p>
    <w:p w:rsidR="006C7C21" w:rsidRPr="00E12FA8" w:rsidRDefault="006C7C21" w:rsidP="00E12FA8">
      <w:pPr>
        <w:pStyle w:val="Sinespaciado"/>
      </w:pPr>
    </w:p>
    <w:p w:rsidR="00011EFA" w:rsidRDefault="00011EFA" w:rsidP="00011EFA">
      <w:pPr>
        <w:spacing w:after="0" w:line="360" w:lineRule="auto"/>
        <w:jc w:val="both"/>
        <w:rPr>
          <w:rFonts w:ascii="Palatino Linotype" w:eastAsia="Arial Unicode MS" w:hAnsi="Palatino Linotype" w:cs="Arial"/>
          <w:sz w:val="24"/>
          <w:szCs w:val="24"/>
          <w:lang w:val="es-ES_tradnl" w:eastAsia="es-ES"/>
        </w:rPr>
      </w:pPr>
      <w:r w:rsidRPr="00786631">
        <w:rPr>
          <w:rFonts w:ascii="Palatino Linotype" w:eastAsia="Arial Unicode MS" w:hAnsi="Palatino Linotype" w:cs="Arial"/>
          <w:sz w:val="24"/>
          <w:szCs w:val="24"/>
          <w:lang w:val="es-ES_tradnl" w:eastAsia="es-ES"/>
        </w:rPr>
        <w:t xml:space="preserve">De igual forma, el </w:t>
      </w:r>
      <w:r>
        <w:rPr>
          <w:rFonts w:ascii="Palatino Linotype" w:eastAsia="Arial Unicode MS" w:hAnsi="Palatino Linotype" w:cs="Arial"/>
          <w:sz w:val="24"/>
          <w:szCs w:val="24"/>
          <w:lang w:val="es-ES_tradnl" w:eastAsia="es-ES"/>
        </w:rPr>
        <w:t xml:space="preserve">día </w:t>
      </w:r>
      <w:r w:rsidR="00E940FC">
        <w:rPr>
          <w:rFonts w:ascii="Palatino Linotype" w:eastAsia="Arial Unicode MS" w:hAnsi="Palatino Linotype" w:cs="Arial"/>
          <w:sz w:val="24"/>
          <w:szCs w:val="24"/>
          <w:lang w:val="es-ES_tradnl" w:eastAsia="es-ES"/>
        </w:rPr>
        <w:t>dos de diciembre</w:t>
      </w:r>
      <w:r w:rsidRPr="00786631">
        <w:rPr>
          <w:rFonts w:ascii="Palatino Linotype" w:eastAsia="Arial Unicode MS" w:hAnsi="Palatino Linotype" w:cs="Arial"/>
          <w:sz w:val="24"/>
          <w:szCs w:val="24"/>
          <w:lang w:val="es-ES_tradnl" w:eastAsia="es-ES"/>
        </w:rPr>
        <w:t xml:space="preserve"> de dos mil diecinueve, </w:t>
      </w:r>
      <w:r w:rsidRPr="00011EFA">
        <w:rPr>
          <w:rFonts w:ascii="Palatino Linotype" w:eastAsia="Arial Unicode MS" w:hAnsi="Palatino Linotype" w:cs="Arial"/>
          <w:sz w:val="24"/>
          <w:szCs w:val="24"/>
          <w:lang w:val="es-ES_tradnl" w:eastAsia="es-ES"/>
        </w:rPr>
        <w:t xml:space="preserve">el </w:t>
      </w:r>
      <w:r w:rsidRPr="00786631">
        <w:rPr>
          <w:rFonts w:ascii="Palatino Linotype" w:eastAsia="Arial Unicode MS" w:hAnsi="Palatino Linotype" w:cs="Arial"/>
          <w:b/>
          <w:sz w:val="24"/>
          <w:szCs w:val="24"/>
          <w:lang w:val="es-ES_tradnl" w:eastAsia="es-ES"/>
        </w:rPr>
        <w:t>Sujeto Obligado</w:t>
      </w:r>
      <w:r w:rsidRPr="00786631">
        <w:rPr>
          <w:rFonts w:ascii="Palatino Linotype" w:eastAsia="Arial Unicode MS" w:hAnsi="Palatino Linotype" w:cs="Arial"/>
          <w:sz w:val="24"/>
          <w:szCs w:val="24"/>
          <w:lang w:val="es-ES_tradnl" w:eastAsia="es-ES"/>
        </w:rPr>
        <w:t xml:space="preserve"> remitió alcance al Informe Justificado adjuntando dos archivos electrónicos, mismos que serán materia de estudio en el apartado correspondiente.</w:t>
      </w:r>
    </w:p>
    <w:p w:rsidR="00011EFA" w:rsidRPr="00011EFA" w:rsidRDefault="00011EFA" w:rsidP="00011EFA">
      <w:pPr>
        <w:spacing w:after="0" w:line="360" w:lineRule="auto"/>
        <w:jc w:val="both"/>
        <w:rPr>
          <w:rFonts w:ascii="Palatino Linotype" w:eastAsia="Arial Unicode MS" w:hAnsi="Palatino Linotype" w:cs="Arial"/>
          <w:sz w:val="24"/>
          <w:szCs w:val="24"/>
          <w:lang w:val="es-ES_tradnl" w:eastAsia="es-ES"/>
        </w:rPr>
      </w:pPr>
    </w:p>
    <w:p w:rsidR="007046FB" w:rsidRPr="00A461FD" w:rsidRDefault="006C7C21" w:rsidP="00011EFA">
      <w:pPr>
        <w:pStyle w:val="Sinespaciado"/>
        <w:spacing w:line="360" w:lineRule="auto"/>
        <w:jc w:val="both"/>
        <w:rPr>
          <w:rFonts w:ascii="Palatino Linotype" w:hAnsi="Palatino Linotype"/>
          <w:b/>
          <w:sz w:val="28"/>
          <w:szCs w:val="26"/>
        </w:rPr>
      </w:pPr>
      <w:r>
        <w:rPr>
          <w:rFonts w:ascii="Palatino Linotype" w:hAnsi="Palatino Linotype"/>
          <w:b/>
          <w:sz w:val="28"/>
          <w:szCs w:val="26"/>
        </w:rPr>
        <w:t>SEXT</w:t>
      </w:r>
      <w:r w:rsidR="007046FB" w:rsidRPr="00A461FD">
        <w:rPr>
          <w:rFonts w:ascii="Palatino Linotype" w:hAnsi="Palatino Linotype"/>
          <w:b/>
          <w:sz w:val="28"/>
          <w:szCs w:val="26"/>
        </w:rPr>
        <w:t>O. Del cierre de instrucción.</w:t>
      </w:r>
    </w:p>
    <w:p w:rsidR="006C7C21" w:rsidRPr="006C7C21" w:rsidRDefault="0098415F" w:rsidP="006C7C21">
      <w:pPr>
        <w:spacing w:after="0" w:line="360" w:lineRule="auto"/>
        <w:jc w:val="both"/>
        <w:rPr>
          <w:rFonts w:ascii="Palatino Linotype" w:hAnsi="Palatino Linotype" w:cs="Arial"/>
          <w:sz w:val="24"/>
          <w:szCs w:val="24"/>
        </w:rPr>
      </w:pPr>
      <w:r w:rsidRPr="006C7C21">
        <w:rPr>
          <w:rFonts w:ascii="Palatino Linotype" w:hAnsi="Palatino Linotype"/>
          <w:sz w:val="24"/>
          <w:szCs w:val="24"/>
        </w:rPr>
        <w:t xml:space="preserve">Por lo </w:t>
      </w:r>
      <w:r w:rsidR="007046FB" w:rsidRPr="006C7C21">
        <w:rPr>
          <w:rFonts w:ascii="Palatino Linotype" w:hAnsi="Palatino Linotype"/>
          <w:sz w:val="24"/>
          <w:szCs w:val="24"/>
        </w:rPr>
        <w:t xml:space="preserve">anterior, </w:t>
      </w:r>
      <w:r w:rsidRPr="006C7C21">
        <w:rPr>
          <w:rFonts w:ascii="Palatino Linotype" w:hAnsi="Palatino Linotype"/>
          <w:sz w:val="24"/>
          <w:szCs w:val="24"/>
        </w:rPr>
        <w:t>e</w:t>
      </w:r>
      <w:r w:rsidR="007C0F23" w:rsidRPr="006C7C21">
        <w:rPr>
          <w:rFonts w:ascii="Palatino Linotype" w:hAnsi="Palatino Linotype"/>
          <w:sz w:val="24"/>
          <w:szCs w:val="24"/>
        </w:rPr>
        <w:t xml:space="preserve">n fecha </w:t>
      </w:r>
      <w:r w:rsidR="006C7C21" w:rsidRPr="006C7C21">
        <w:rPr>
          <w:rFonts w:ascii="Palatino Linotype" w:hAnsi="Palatino Linotype"/>
          <w:sz w:val="24"/>
          <w:szCs w:val="24"/>
        </w:rPr>
        <w:t xml:space="preserve">once de octubre </w:t>
      </w:r>
      <w:r w:rsidR="007046FB" w:rsidRPr="006C7C21">
        <w:rPr>
          <w:rFonts w:ascii="Palatino Linotype" w:hAnsi="Palatino Linotype"/>
          <w:sz w:val="24"/>
          <w:szCs w:val="24"/>
        </w:rPr>
        <w:t>de dos</w:t>
      </w:r>
      <w:r w:rsidR="006C7C21" w:rsidRPr="006C7C21">
        <w:rPr>
          <w:rFonts w:ascii="Palatino Linotype" w:hAnsi="Palatino Linotype"/>
          <w:sz w:val="24"/>
          <w:szCs w:val="24"/>
        </w:rPr>
        <w:t xml:space="preserve"> mil diecinueve,</w:t>
      </w:r>
      <w:r w:rsidR="007C0F23" w:rsidRPr="006C7C21">
        <w:rPr>
          <w:rFonts w:ascii="Palatino Linotype" w:hAnsi="Palatino Linotype"/>
          <w:sz w:val="24"/>
          <w:szCs w:val="24"/>
        </w:rPr>
        <w:t xml:space="preserve"> mediante acuerdo de la </w:t>
      </w:r>
      <w:r w:rsidR="007C0F23" w:rsidRPr="006C7C21">
        <w:rPr>
          <w:rFonts w:ascii="Palatino Linotype" w:hAnsi="Palatino Linotype"/>
          <w:b/>
          <w:sz w:val="24"/>
          <w:szCs w:val="24"/>
        </w:rPr>
        <w:t>Comisionada Zulema Martínez Sánchez</w:t>
      </w:r>
      <w:r w:rsidR="007C0F23" w:rsidRPr="006C7C21">
        <w:rPr>
          <w:rFonts w:ascii="Palatino Linotype" w:hAnsi="Palatino Linotype"/>
          <w:sz w:val="24"/>
          <w:szCs w:val="24"/>
        </w:rPr>
        <w:t>,</w:t>
      </w:r>
      <w:r w:rsidR="006C7C21" w:rsidRPr="006C7C21">
        <w:rPr>
          <w:rFonts w:ascii="Palatino Linotype" w:hAnsi="Palatino Linotype"/>
          <w:sz w:val="24"/>
          <w:szCs w:val="24"/>
        </w:rPr>
        <w:t xml:space="preserve"> y</w:t>
      </w:r>
      <w:r w:rsidR="007C0F23" w:rsidRPr="006C7C21">
        <w:rPr>
          <w:rFonts w:ascii="Palatino Linotype" w:hAnsi="Palatino Linotype"/>
          <w:sz w:val="24"/>
          <w:szCs w:val="24"/>
        </w:rPr>
        <w:t xml:space="preserve"> una vez transcurrido el plazo otorgado a las partes para que manifestaran lo que a su derecho conviniera, ofrecieran pruebas </w:t>
      </w:r>
      <w:r w:rsidR="007C0F23" w:rsidRPr="006C7C21">
        <w:rPr>
          <w:rFonts w:ascii="Palatino Linotype" w:hAnsi="Palatino Linotype"/>
          <w:sz w:val="24"/>
          <w:szCs w:val="24"/>
        </w:rPr>
        <w:lastRenderedPageBreak/>
        <w:t>que estimaran convenientes y rindieran alegatos, se decretó el cierre de instrucción, en términos del artículo 185</w:t>
      </w:r>
      <w:r w:rsidR="006C7C21" w:rsidRPr="006C7C21">
        <w:rPr>
          <w:rFonts w:ascii="Palatino Linotype" w:hAnsi="Palatino Linotype"/>
          <w:sz w:val="24"/>
          <w:szCs w:val="24"/>
        </w:rPr>
        <w:t>,</w:t>
      </w:r>
      <w:r w:rsidR="007C0F23" w:rsidRPr="006C7C21">
        <w:rPr>
          <w:rFonts w:ascii="Palatino Linotype" w:hAnsi="Palatino Linotype"/>
          <w:sz w:val="24"/>
          <w:szCs w:val="24"/>
        </w:rPr>
        <w:t xml:space="preserve"> Fracción VI</w:t>
      </w:r>
      <w:r w:rsidR="006C7C21" w:rsidRPr="006C7C21">
        <w:rPr>
          <w:rFonts w:ascii="Palatino Linotype" w:hAnsi="Palatino Linotype"/>
          <w:sz w:val="24"/>
          <w:szCs w:val="24"/>
        </w:rPr>
        <w:t>,</w:t>
      </w:r>
      <w:r w:rsidR="007C0F23" w:rsidRPr="006C7C21">
        <w:rPr>
          <w:rFonts w:ascii="Palatino Linotype" w:hAnsi="Palatino Linotype"/>
          <w:sz w:val="24"/>
          <w:szCs w:val="24"/>
        </w:rPr>
        <w:t xml:space="preserve"> de la Ley de Transparencia y Acceso a la Información Pública de</w:t>
      </w:r>
      <w:r w:rsidR="006C7C21" w:rsidRPr="006C7C21">
        <w:rPr>
          <w:rFonts w:ascii="Palatino Linotype" w:hAnsi="Palatino Linotype"/>
          <w:sz w:val="24"/>
          <w:szCs w:val="24"/>
        </w:rPr>
        <w:t>l Estado de México y Municipios,</w:t>
      </w:r>
      <w:r w:rsidR="006C7C21" w:rsidRPr="006C7C21">
        <w:rPr>
          <w:rFonts w:ascii="Palatino Linotype" w:hAnsi="Palatino Linotype" w:cs="Arial"/>
          <w:sz w:val="24"/>
          <w:szCs w:val="24"/>
        </w:rPr>
        <w:t xml:space="preserve"> iniciando el término legal para dictar resolución definitiva del asunto.</w:t>
      </w:r>
    </w:p>
    <w:p w:rsidR="00011EFA" w:rsidRPr="00E940FC" w:rsidRDefault="00011EFA" w:rsidP="00E940FC"/>
    <w:p w:rsidR="003A023E" w:rsidRPr="00E940FC" w:rsidRDefault="003A023E" w:rsidP="00E940FC">
      <w:pPr>
        <w:pStyle w:val="Sinespaciado"/>
        <w:spacing w:line="360" w:lineRule="auto"/>
        <w:jc w:val="both"/>
        <w:rPr>
          <w:rFonts w:ascii="Palatino Linotype" w:hAnsi="Palatino Linotype"/>
        </w:rPr>
      </w:pPr>
      <w:r w:rsidRPr="00C15CFD">
        <w:rPr>
          <w:rFonts w:ascii="Palatino Linotype" w:hAnsi="Palatino Linotype"/>
        </w:rPr>
        <w:t xml:space="preserve">Posterior al cierre de instrucción, se advierte que el día </w:t>
      </w:r>
      <w:r w:rsidR="00E940FC">
        <w:rPr>
          <w:rFonts w:ascii="Palatino Linotype" w:hAnsi="Palatino Linotype"/>
        </w:rPr>
        <w:t>dos de diciembre</w:t>
      </w:r>
      <w:r w:rsidRPr="00C15CFD">
        <w:rPr>
          <w:rFonts w:ascii="Palatino Linotype" w:hAnsi="Palatino Linotype"/>
        </w:rPr>
        <w:t xml:space="preserve"> del presente año, el </w:t>
      </w:r>
      <w:r w:rsidRPr="003A023E">
        <w:rPr>
          <w:rFonts w:ascii="Palatino Linotype" w:hAnsi="Palatino Linotype"/>
          <w:b/>
        </w:rPr>
        <w:t>Sujeto Obligado</w:t>
      </w:r>
      <w:r w:rsidRPr="00C15CFD">
        <w:rPr>
          <w:rFonts w:ascii="Palatino Linotype" w:hAnsi="Palatino Linotype"/>
        </w:rPr>
        <w:t xml:space="preserve"> remitió mediante correo electrónico </w:t>
      </w:r>
      <w:r>
        <w:rPr>
          <w:rFonts w:ascii="Palatino Linotype" w:hAnsi="Palatino Linotype"/>
        </w:rPr>
        <w:t xml:space="preserve">un </w:t>
      </w:r>
      <w:r w:rsidRPr="00C15CFD">
        <w:rPr>
          <w:rFonts w:ascii="Palatino Linotype" w:hAnsi="Palatino Linotype"/>
        </w:rPr>
        <w:t>documento en alcance como informe justificado, como se observa a continuación:</w:t>
      </w:r>
    </w:p>
    <w:p w:rsidR="003A023E" w:rsidRDefault="00E940FC" w:rsidP="006C7C21">
      <w:pPr>
        <w:spacing w:after="0" w:line="360" w:lineRule="auto"/>
        <w:jc w:val="both"/>
        <w:rPr>
          <w:rFonts w:ascii="Palatino Linotype" w:hAnsi="Palatino Linotype" w:cs="Arial"/>
          <w:sz w:val="24"/>
          <w:szCs w:val="24"/>
        </w:rPr>
      </w:pPr>
      <w:r>
        <w:rPr>
          <w:rFonts w:ascii="Palatino Linotype" w:hAnsi="Palatino Linotype" w:cs="Arial"/>
          <w:noProof/>
          <w:sz w:val="24"/>
          <w:szCs w:val="24"/>
          <w:lang w:eastAsia="es-MX"/>
        </w:rPr>
        <w:drawing>
          <wp:inline distT="0" distB="0" distL="0" distR="0">
            <wp:extent cx="5756910" cy="263207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2632075"/>
                    </a:xfrm>
                    <a:prstGeom prst="rect">
                      <a:avLst/>
                    </a:prstGeom>
                    <a:noFill/>
                    <a:ln>
                      <a:noFill/>
                    </a:ln>
                  </pic:spPr>
                </pic:pic>
              </a:graphicData>
            </a:graphic>
          </wp:inline>
        </w:drawing>
      </w:r>
    </w:p>
    <w:p w:rsidR="003A023E" w:rsidRDefault="003A023E" w:rsidP="00E940FC">
      <w:pPr>
        <w:pStyle w:val="Sinespaciado"/>
      </w:pPr>
    </w:p>
    <w:p w:rsidR="003A023E" w:rsidRDefault="003A023E" w:rsidP="003A023E">
      <w:pPr>
        <w:pStyle w:val="Sinespaciado"/>
        <w:spacing w:line="360" w:lineRule="auto"/>
        <w:jc w:val="both"/>
        <w:rPr>
          <w:rFonts w:ascii="Palatino Linotype" w:hAnsi="Palatino Linotype"/>
        </w:rPr>
      </w:pPr>
      <w:r w:rsidRPr="00C15CFD">
        <w:rPr>
          <w:rFonts w:ascii="Palatino Linotype" w:hAnsi="Palatino Linotype"/>
        </w:rPr>
        <w:t>Esta autoridad ha decidido tomar en consideración dichas manifestaciones, en virtud de lo establecido por la fracción VII</w:t>
      </w:r>
      <w:r>
        <w:rPr>
          <w:rFonts w:ascii="Palatino Linotype" w:hAnsi="Palatino Linotype"/>
        </w:rPr>
        <w:t>,</w:t>
      </w:r>
      <w:r w:rsidRPr="00C15CFD">
        <w:rPr>
          <w:rFonts w:ascii="Palatino Linotype" w:hAnsi="Palatino Linotype"/>
        </w:rPr>
        <w:t xml:space="preserve"> del artículo 185</w:t>
      </w:r>
      <w:r>
        <w:rPr>
          <w:rFonts w:ascii="Palatino Linotype" w:hAnsi="Palatino Linotype"/>
        </w:rPr>
        <w:t>,</w:t>
      </w:r>
      <w:r w:rsidRPr="00C15CFD">
        <w:rPr>
          <w:rFonts w:ascii="Palatino Linotype" w:hAnsi="Palatino Linotype"/>
        </w:rPr>
        <w:t xml:space="preserve"> de la Ley de la materia, que establece que éste Instituto no estará obligado a atender la información remitida por el Sujeto Obligado una vez decretado el cierre de instrucción. Como puede observarse, el precepto refiere como facultad potestativa el atender o no la información hecha </w:t>
      </w:r>
      <w:r w:rsidRPr="00C15CFD">
        <w:rPr>
          <w:rFonts w:ascii="Palatino Linotype" w:hAnsi="Palatino Linotype"/>
        </w:rPr>
        <w:lastRenderedPageBreak/>
        <w:t>llegar de manera posterior al cierre de instrucción, así, en aras de privilegiar el principio de máxima publicidad, dichas manifestaciones serán consideradas en el presente medio de impugnación, como se verá en los párrafos subsecuentes, asimismo, con la finalidad de generar certeza sobre todas las actuaciones que obran en el sumario, s</w:t>
      </w:r>
      <w:r>
        <w:rPr>
          <w:rFonts w:ascii="Palatino Linotype" w:hAnsi="Palatino Linotype"/>
        </w:rPr>
        <w:t>e hará mención del contenido del documento anexo a dicho alcance</w:t>
      </w:r>
      <w:r w:rsidRPr="00C15CFD">
        <w:rPr>
          <w:rFonts w:ascii="Palatino Linotype" w:hAnsi="Palatino Linotype"/>
        </w:rPr>
        <w:t>, en el cuerpo de la presente resolución.</w:t>
      </w:r>
    </w:p>
    <w:p w:rsidR="003A023E" w:rsidRDefault="003A023E" w:rsidP="006C7C21">
      <w:pPr>
        <w:spacing w:after="0" w:line="360" w:lineRule="auto"/>
        <w:jc w:val="both"/>
        <w:rPr>
          <w:rFonts w:ascii="Palatino Linotype" w:hAnsi="Palatino Linotype" w:cs="Arial"/>
          <w:sz w:val="24"/>
          <w:szCs w:val="24"/>
        </w:rPr>
      </w:pPr>
    </w:p>
    <w:p w:rsidR="003A023E" w:rsidRPr="003A023E" w:rsidRDefault="003A023E" w:rsidP="003A023E">
      <w:pPr>
        <w:pStyle w:val="Sinespaciado"/>
        <w:spacing w:line="360" w:lineRule="auto"/>
        <w:jc w:val="both"/>
        <w:rPr>
          <w:rFonts w:ascii="Palatino Linotype" w:hAnsi="Palatino Linotype" w:cs="Arial"/>
          <w:b/>
          <w:sz w:val="28"/>
          <w:szCs w:val="26"/>
        </w:rPr>
      </w:pPr>
      <w:r w:rsidRPr="003A023E">
        <w:rPr>
          <w:rFonts w:ascii="Palatino Linotype" w:hAnsi="Palatino Linotype" w:cs="Arial"/>
          <w:b/>
          <w:sz w:val="28"/>
          <w:szCs w:val="26"/>
        </w:rPr>
        <w:t>SÉPTIMO. De la ampliación del término para resolver.</w:t>
      </w:r>
    </w:p>
    <w:p w:rsidR="006C7C21" w:rsidRPr="00AC5BF2" w:rsidRDefault="006C7C21" w:rsidP="006C7C21">
      <w:pPr>
        <w:spacing w:after="0" w:line="360" w:lineRule="auto"/>
        <w:jc w:val="both"/>
        <w:rPr>
          <w:rFonts w:ascii="Palatino Linotype" w:hAnsi="Palatino Linotype" w:cs="Arial"/>
          <w:sz w:val="24"/>
          <w:szCs w:val="24"/>
        </w:rPr>
      </w:pPr>
      <w:r w:rsidRPr="00AC5BF2">
        <w:rPr>
          <w:rFonts w:ascii="Palatino Linotype" w:hAnsi="Palatino Linotype" w:cs="Arial"/>
          <w:sz w:val="24"/>
          <w:szCs w:val="24"/>
        </w:rPr>
        <w:t xml:space="preserve">Cabe señalar que en fecha </w:t>
      </w:r>
      <w:r w:rsidR="00E40C21">
        <w:rPr>
          <w:rFonts w:ascii="Palatino Linotype" w:hAnsi="Palatino Linotype" w:cs="Arial"/>
          <w:sz w:val="24"/>
          <w:szCs w:val="24"/>
        </w:rPr>
        <w:t>siete de noviembre de</w:t>
      </w:r>
      <w:r>
        <w:rPr>
          <w:rFonts w:ascii="Palatino Linotype" w:hAnsi="Palatino Linotype" w:cs="Arial"/>
          <w:sz w:val="24"/>
          <w:szCs w:val="24"/>
        </w:rPr>
        <w:t xml:space="preserve"> dos mil diecinueve</w:t>
      </w:r>
      <w:r w:rsidRPr="00AC5BF2">
        <w:rPr>
          <w:rFonts w:ascii="Palatino Linotype" w:hAnsi="Palatino Linotype" w:cs="Arial"/>
          <w:sz w:val="24"/>
          <w:szCs w:val="24"/>
        </w:rPr>
        <w:t>, se amplió el término para resolver los recursos de revisión en términos del artículo 180, párrafo tercero de la Ley de Transparencia y Acceso a la Información Pública del Estado de México y Municipios, por un plazo de quince días hábiles.</w:t>
      </w:r>
    </w:p>
    <w:p w:rsidR="003A023E" w:rsidRPr="00C15E79" w:rsidRDefault="003A023E" w:rsidP="00C15E79">
      <w:pPr>
        <w:pStyle w:val="Sinespaciado"/>
        <w:spacing w:line="360" w:lineRule="auto"/>
        <w:jc w:val="both"/>
        <w:rPr>
          <w:rFonts w:ascii="Palatino Linotype" w:hAnsi="Palatino Linotype"/>
        </w:rPr>
      </w:pPr>
    </w:p>
    <w:p w:rsidR="001032D4" w:rsidRPr="00C15E79" w:rsidRDefault="00F06264" w:rsidP="00C15E79">
      <w:pPr>
        <w:pStyle w:val="Sinespaciado"/>
        <w:spacing w:line="360" w:lineRule="auto"/>
        <w:jc w:val="center"/>
        <w:rPr>
          <w:rFonts w:ascii="Palatino Linotype" w:hAnsi="Palatino Linotype" w:cs="Arial"/>
          <w:b/>
          <w:sz w:val="28"/>
          <w:szCs w:val="28"/>
        </w:rPr>
      </w:pPr>
      <w:r w:rsidRPr="00C15E79">
        <w:rPr>
          <w:rFonts w:ascii="Palatino Linotype" w:hAnsi="Palatino Linotype" w:cs="Arial"/>
          <w:b/>
          <w:sz w:val="28"/>
          <w:szCs w:val="28"/>
        </w:rPr>
        <w:t>C O N S I D E R A N D O</w:t>
      </w:r>
    </w:p>
    <w:p w:rsidR="000E3A84" w:rsidRPr="00C15E79" w:rsidRDefault="000E3A84" w:rsidP="00C15E79">
      <w:pPr>
        <w:pStyle w:val="Sinespaciado"/>
        <w:spacing w:line="360" w:lineRule="auto"/>
        <w:jc w:val="both"/>
        <w:rPr>
          <w:rFonts w:ascii="Palatino Linotype" w:hAnsi="Palatino Linotype"/>
        </w:rPr>
      </w:pPr>
    </w:p>
    <w:p w:rsidR="000B518A" w:rsidRPr="00A461FD" w:rsidRDefault="000B518A" w:rsidP="00C15E79">
      <w:pPr>
        <w:pStyle w:val="Sinespaciado"/>
        <w:spacing w:line="360" w:lineRule="auto"/>
        <w:jc w:val="both"/>
        <w:rPr>
          <w:rFonts w:ascii="Palatino Linotype" w:hAnsi="Palatino Linotype"/>
          <w:b/>
          <w:sz w:val="28"/>
          <w:szCs w:val="26"/>
        </w:rPr>
      </w:pPr>
      <w:r w:rsidRPr="00A461FD">
        <w:rPr>
          <w:rFonts w:ascii="Palatino Linotype" w:hAnsi="Palatino Linotype"/>
          <w:b/>
          <w:sz w:val="28"/>
          <w:szCs w:val="26"/>
        </w:rPr>
        <w:t>PRIMERO. De la competencia.</w:t>
      </w:r>
    </w:p>
    <w:p w:rsidR="00421F6E" w:rsidRPr="00C15E79" w:rsidRDefault="007C0F23" w:rsidP="00C15E79">
      <w:pPr>
        <w:pStyle w:val="Sinespaciado"/>
        <w:spacing w:line="360" w:lineRule="auto"/>
        <w:jc w:val="both"/>
        <w:rPr>
          <w:rFonts w:ascii="Palatino Linotype" w:hAnsi="Palatino Linotype"/>
        </w:rPr>
      </w:pPr>
      <w:r w:rsidRPr="00C15E79">
        <w:rPr>
          <w:rFonts w:ascii="Palatino Linotype" w:hAnsi="Palatino Linotype"/>
        </w:rPr>
        <w:t>Este Instituto de Transparencia, Acceso a la Información Pública y Protección de Datos Personales del Estado de México y Municipios es competente para conocer y resolver el presente recurso de revisión, de conformidad con los artículos: 6, fracción IV de la Constitución Política de los Estados Unidos Mexicanos; 5</w:t>
      </w:r>
      <w:r w:rsidRPr="00E40C21">
        <w:rPr>
          <w:rFonts w:ascii="Palatino Linotype" w:hAnsi="Palatino Linotype"/>
        </w:rPr>
        <w:t xml:space="preserve">, párrafos </w:t>
      </w:r>
      <w:r w:rsidR="00F00E9D" w:rsidRPr="00E40C21">
        <w:rPr>
          <w:rFonts w:ascii="Palatino Linotype" w:hAnsi="Palatino Linotype"/>
        </w:rPr>
        <w:t>vigésimo</w:t>
      </w:r>
      <w:r w:rsidR="00F00E9D" w:rsidRPr="00C15E79">
        <w:rPr>
          <w:rFonts w:ascii="Palatino Linotype" w:hAnsi="Palatino Linotype"/>
        </w:rPr>
        <w:t xml:space="preserve"> segundo</w:t>
      </w:r>
      <w:r w:rsidRPr="00C15E79">
        <w:rPr>
          <w:rFonts w:ascii="Palatino Linotype" w:hAnsi="Palatino Linotype"/>
        </w:rPr>
        <w:t xml:space="preserve">, </w:t>
      </w:r>
      <w:r w:rsidR="00E40C21">
        <w:rPr>
          <w:rFonts w:ascii="Palatino Linotype" w:hAnsi="Palatino Linotype"/>
        </w:rPr>
        <w:t xml:space="preserve">vigésimo tercero y vigésimo cuarto, </w:t>
      </w:r>
      <w:r w:rsidRPr="00C15E79">
        <w:rPr>
          <w:rFonts w:ascii="Palatino Linotype" w:hAnsi="Palatino Linotype"/>
        </w:rPr>
        <w:t>fracción IV</w:t>
      </w:r>
      <w:r w:rsidR="00E40C21">
        <w:rPr>
          <w:rFonts w:ascii="Palatino Linotype" w:hAnsi="Palatino Linotype"/>
        </w:rPr>
        <w:t>,</w:t>
      </w:r>
      <w:r w:rsidRPr="00C15E79">
        <w:rPr>
          <w:rFonts w:ascii="Palatino Linotype" w:hAnsi="Palatino Linotype"/>
        </w:rPr>
        <w:t xml:space="preserve"> de la Constitución Política del Es</w:t>
      </w:r>
      <w:r w:rsidR="00491FBF" w:rsidRPr="00C15E79">
        <w:rPr>
          <w:rFonts w:ascii="Palatino Linotype" w:hAnsi="Palatino Linotype"/>
        </w:rPr>
        <w:t>tado Libre y Soberano de México;</w:t>
      </w:r>
      <w:r w:rsidRPr="00C15E79">
        <w:rPr>
          <w:rFonts w:ascii="Palatino Linotype" w:hAnsi="Palatino Linotype"/>
        </w:rPr>
        <w:t xml:space="preserve"> 1, 2 fracción II, 13, 29, 36 fracciones II y III, 176, 178, 179, </w:t>
      </w:r>
      <w:r w:rsidRPr="00C15E79">
        <w:rPr>
          <w:rFonts w:ascii="Palatino Linotype" w:hAnsi="Palatino Linotype"/>
        </w:rPr>
        <w:lastRenderedPageBreak/>
        <w:t>181 párrafo tercero, 185, 188 y 194</w:t>
      </w:r>
      <w:r w:rsidR="00E12FA8">
        <w:rPr>
          <w:rFonts w:ascii="Palatino Linotype" w:hAnsi="Palatino Linotype"/>
        </w:rPr>
        <w:t>,</w:t>
      </w:r>
      <w:r w:rsidRPr="00C15E79">
        <w:rPr>
          <w:rFonts w:ascii="Palatino Linotype" w:hAnsi="Palatino Linotype"/>
        </w:rPr>
        <w:t xml:space="preserve"> de la Ley de Transparencia y Acceso a la Información Pública del Estado de México y Municipios; </w:t>
      </w:r>
      <w:r w:rsidR="004D138A" w:rsidRPr="00C15E79">
        <w:rPr>
          <w:rFonts w:ascii="Palatino Linotype" w:hAnsi="Palatino Linotype"/>
        </w:rPr>
        <w:t>9, fracciones I y XXIV, 11 y 14 fracción I</w:t>
      </w:r>
      <w:r w:rsidR="00E40C21">
        <w:rPr>
          <w:rFonts w:ascii="Palatino Linotype" w:hAnsi="Palatino Linotype"/>
        </w:rPr>
        <w:t>,</w:t>
      </w:r>
      <w:r w:rsidR="004D138A" w:rsidRPr="00C15E79">
        <w:rPr>
          <w:rFonts w:ascii="Palatino Linotype" w:hAnsi="Palatino Linotype"/>
        </w:rPr>
        <w:t xml:space="preserve"> </w:t>
      </w:r>
      <w:r w:rsidRPr="00C15E79">
        <w:rPr>
          <w:rFonts w:ascii="Palatino Linotype" w:hAnsi="Palatino Linotype"/>
        </w:rPr>
        <w:t>del Reglamento Interior del Instituto de Transparencia, Acceso a la Información Pública y Protección de Datos Personales del Estado de México y Municipios.</w:t>
      </w:r>
    </w:p>
    <w:p w:rsidR="00E12FA8" w:rsidRPr="00C15E79" w:rsidRDefault="00E12FA8" w:rsidP="00C15E79">
      <w:pPr>
        <w:pStyle w:val="Sinespaciado"/>
        <w:spacing w:line="360" w:lineRule="auto"/>
        <w:jc w:val="both"/>
        <w:rPr>
          <w:rFonts w:ascii="Palatino Linotype" w:hAnsi="Palatino Linotype"/>
        </w:rPr>
      </w:pPr>
    </w:p>
    <w:p w:rsidR="000B518A" w:rsidRPr="00A461FD" w:rsidRDefault="000B518A" w:rsidP="00C15E79">
      <w:pPr>
        <w:pStyle w:val="Sinespaciado"/>
        <w:spacing w:line="360" w:lineRule="auto"/>
        <w:jc w:val="both"/>
        <w:rPr>
          <w:rFonts w:ascii="Palatino Linotype" w:hAnsi="Palatino Linotype"/>
          <w:b/>
          <w:sz w:val="28"/>
          <w:szCs w:val="26"/>
        </w:rPr>
      </w:pPr>
      <w:r w:rsidRPr="00A461FD">
        <w:rPr>
          <w:rFonts w:ascii="Palatino Linotype" w:hAnsi="Palatino Linotype"/>
          <w:b/>
          <w:sz w:val="28"/>
          <w:szCs w:val="26"/>
        </w:rPr>
        <w:t xml:space="preserve">SEGUNDO. Sobre los alcances del recurso de revisión. </w:t>
      </w:r>
    </w:p>
    <w:p w:rsidR="001032D4" w:rsidRPr="00C15E79" w:rsidRDefault="001032D4" w:rsidP="00C15E79">
      <w:pPr>
        <w:pStyle w:val="Sinespaciado"/>
        <w:spacing w:line="360" w:lineRule="auto"/>
        <w:jc w:val="both"/>
        <w:rPr>
          <w:rFonts w:ascii="Palatino Linotype" w:hAnsi="Palatino Linotype"/>
        </w:rPr>
      </w:pPr>
      <w:r w:rsidRPr="00C15E79">
        <w:rPr>
          <w:rFonts w:ascii="Palatino Linotype" w:hAnsi="Palatino Linotype"/>
        </w:rPr>
        <w:t>Anterior a todo debe destacarse que el recurso de revisión tiene el fin y alcance que señalan los numerales 176, 179, 181 párrafo cuarto, 194 y 195 y demás aplicables de la Ley de Transparencia y Acceso a la Información Pública del Estado de México y Municipios vigente y será analizado conforme a las actuaciones que obren en el expediente electrónico con la finalidad de reparar cualquier posible afectación al derecho de acceso a la información pública y garantizando el principio rector de máxima publicidad.</w:t>
      </w:r>
    </w:p>
    <w:p w:rsidR="00A55AEC" w:rsidRPr="00C15E79" w:rsidRDefault="00A55AEC" w:rsidP="00C15E79">
      <w:pPr>
        <w:pStyle w:val="Sinespaciado"/>
        <w:spacing w:line="360" w:lineRule="auto"/>
        <w:jc w:val="both"/>
        <w:rPr>
          <w:rFonts w:ascii="Palatino Linotype" w:hAnsi="Palatino Linotype"/>
        </w:rPr>
      </w:pPr>
    </w:p>
    <w:p w:rsidR="00011EFA" w:rsidRPr="001E318A" w:rsidRDefault="00011EFA" w:rsidP="00011EFA">
      <w:pPr>
        <w:pStyle w:val="Prrafodelista"/>
        <w:autoSpaceDE w:val="0"/>
        <w:autoSpaceDN w:val="0"/>
        <w:adjustRightInd w:val="0"/>
        <w:spacing w:line="360" w:lineRule="auto"/>
        <w:ind w:left="0"/>
        <w:jc w:val="both"/>
        <w:rPr>
          <w:rFonts w:ascii="Palatino Linotype" w:hAnsi="Palatino Linotype" w:cs="Arial"/>
          <w:b/>
          <w:sz w:val="28"/>
        </w:rPr>
      </w:pPr>
      <w:r w:rsidRPr="001E318A">
        <w:rPr>
          <w:rFonts w:ascii="Palatino Linotype" w:hAnsi="Palatino Linotype" w:cs="Arial"/>
          <w:b/>
          <w:sz w:val="28"/>
        </w:rPr>
        <w:t>TERCERO. Del estudio de las causas de improcedencia y sobreseimiento.</w:t>
      </w:r>
    </w:p>
    <w:p w:rsidR="00011EFA" w:rsidRPr="001E318A" w:rsidRDefault="00011EFA" w:rsidP="00011EFA">
      <w:pPr>
        <w:pStyle w:val="Prrafodelista"/>
        <w:autoSpaceDE w:val="0"/>
        <w:autoSpaceDN w:val="0"/>
        <w:adjustRightInd w:val="0"/>
        <w:spacing w:line="360" w:lineRule="auto"/>
        <w:ind w:left="0"/>
        <w:jc w:val="both"/>
        <w:rPr>
          <w:rFonts w:ascii="Palatino Linotype" w:hAnsi="Palatino Linotype" w:cs="Arial"/>
        </w:rPr>
      </w:pPr>
      <w:r w:rsidRPr="001E318A">
        <w:rPr>
          <w:rFonts w:ascii="Palatino Linotype" w:hAnsi="Palatino Linotype" w:cs="Arial"/>
        </w:rPr>
        <w:t xml:space="preserve">Es menester resaltar que en el procedimiento de acceso a la información pública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w:t>
      </w:r>
      <w:r w:rsidRPr="001E318A">
        <w:rPr>
          <w:rFonts w:ascii="Palatino Linotype" w:hAnsi="Palatino Linotype" w:cs="Arial"/>
        </w:rPr>
        <w:lastRenderedPageBreak/>
        <w:t>en correlación con la seguridad jurídica que debe generar lo actuado ante este Organismo garante.</w:t>
      </w:r>
    </w:p>
    <w:p w:rsidR="00011EFA" w:rsidRPr="001E318A" w:rsidRDefault="00011EFA" w:rsidP="00011EFA">
      <w:pPr>
        <w:pStyle w:val="Sinespaciado"/>
      </w:pPr>
    </w:p>
    <w:p w:rsidR="00011EFA" w:rsidRPr="001E318A" w:rsidRDefault="00011EFA" w:rsidP="00011EFA">
      <w:pPr>
        <w:pStyle w:val="Prrafodelista"/>
        <w:autoSpaceDE w:val="0"/>
        <w:autoSpaceDN w:val="0"/>
        <w:adjustRightInd w:val="0"/>
        <w:spacing w:line="360" w:lineRule="auto"/>
        <w:ind w:left="0"/>
        <w:jc w:val="both"/>
        <w:rPr>
          <w:rFonts w:ascii="Palatino Linotype" w:hAnsi="Palatino Linotype" w:cs="Arial"/>
        </w:rPr>
      </w:pPr>
      <w:r w:rsidRPr="001E318A">
        <w:rPr>
          <w:rFonts w:ascii="Palatino Linotype" w:hAnsi="Palatino Linotype" w:cs="Arial"/>
        </w:rPr>
        <w:t>Siendo una facultad legal entrar al estudio de las causas de improcedencia que hagan valer las partes o que se adviertan de oficio por este Resolutor; presupuestos procesales de inicio o trámite de un proceso que dotan de seguridad jurídica las resoluciones emitidas por este organismo colegiado, máxime que se trata de una figura procesal adoptada en la ley de la materia, la cual permite dilucidar alguna causal que impida el estudio y resolución de un asunto en su fondo, cuando una vez admitido el recurso de revisión se advierta una causa de improcedencia que permita sobreseerlo.</w:t>
      </w:r>
    </w:p>
    <w:p w:rsidR="00011EFA" w:rsidRPr="001E318A" w:rsidRDefault="00011EFA" w:rsidP="00011EFA">
      <w:pPr>
        <w:pStyle w:val="Prrafodelista"/>
        <w:autoSpaceDE w:val="0"/>
        <w:autoSpaceDN w:val="0"/>
        <w:adjustRightInd w:val="0"/>
        <w:spacing w:line="360" w:lineRule="auto"/>
        <w:ind w:left="0"/>
        <w:jc w:val="both"/>
        <w:rPr>
          <w:rFonts w:ascii="Palatino Linotype" w:hAnsi="Palatino Linotype" w:cs="Arial"/>
        </w:rPr>
      </w:pPr>
    </w:p>
    <w:p w:rsidR="00011EFA" w:rsidRPr="001E318A" w:rsidRDefault="00011EFA" w:rsidP="00011EFA">
      <w:pPr>
        <w:pStyle w:val="Prrafodelista"/>
        <w:autoSpaceDE w:val="0"/>
        <w:autoSpaceDN w:val="0"/>
        <w:adjustRightInd w:val="0"/>
        <w:spacing w:line="360" w:lineRule="auto"/>
        <w:ind w:left="0"/>
        <w:jc w:val="both"/>
        <w:rPr>
          <w:rFonts w:ascii="Palatino Linotype" w:hAnsi="Palatino Linotype" w:cs="Arial"/>
        </w:rPr>
      </w:pPr>
      <w:r w:rsidRPr="001E318A">
        <w:rPr>
          <w:rFonts w:ascii="Palatino Linotype" w:hAnsi="Palatino Linotype" w:cs="Arial"/>
        </w:rPr>
        <w:t>Estudio de causales de improcedencia que no son incompatibles con el derecho de acceso a la justicia, ya que éste no se coarta por regular causas de improcedencia y sobreseimiento con tales fines</w:t>
      </w:r>
      <w:r w:rsidRPr="001E318A">
        <w:rPr>
          <w:rStyle w:val="Refdenotaalpie"/>
          <w:rFonts w:ascii="Palatino Linotype" w:hAnsi="Palatino Linotype" w:cs="Arial"/>
        </w:rPr>
        <w:footnoteReference w:id="1"/>
      </w:r>
      <w:r w:rsidRPr="001E318A">
        <w:rPr>
          <w:rFonts w:ascii="Palatino Linotype" w:hAnsi="Palatino Linotype" w:cs="Arial"/>
        </w:rPr>
        <w:t>.</w:t>
      </w:r>
    </w:p>
    <w:p w:rsidR="00011EFA" w:rsidRPr="00011EFA" w:rsidRDefault="00011EFA" w:rsidP="00011EFA">
      <w:pPr>
        <w:autoSpaceDE w:val="0"/>
        <w:autoSpaceDN w:val="0"/>
        <w:adjustRightInd w:val="0"/>
        <w:spacing w:after="0" w:line="360" w:lineRule="auto"/>
        <w:jc w:val="both"/>
        <w:rPr>
          <w:rFonts w:ascii="Palatino Linotype" w:hAnsi="Palatino Linotype" w:cs="Arial"/>
          <w:sz w:val="24"/>
          <w:szCs w:val="24"/>
        </w:rPr>
      </w:pPr>
      <w:r w:rsidRPr="001E318A">
        <w:rPr>
          <w:rFonts w:ascii="Palatino Linotype" w:hAnsi="Palatino Linotype" w:cs="Arial"/>
          <w:sz w:val="24"/>
          <w:szCs w:val="24"/>
        </w:rPr>
        <w:lastRenderedPageBreak/>
        <w:t>En primer término es necesario hacer alusión a las solicitudes de información ya que de ellas deriva por un lado al procedimiento de acceso a la información ante el sujeto obligado, y por otro lado la materia sobre la que versara el recurso de revisión ante este Órgano Garante; se resalta la innegable necesidad de interpretar el texto de las solicitudes, porque no se podría entender el derecho de acceso a la información sin la existencia de solicitudes de información a la luz de su interpretación ya que ésta es la fuente de la materia objeto de la transparencia específica en cada recurso de revisión; es decir, no podemos establecer una materia o un tema como objeto de derecho de acceso a la información, si de la solicitud no se entiende o no se precisan temas o materias objetivas; por ello es de notoria importancia el trabajo de interpretación que se le dé a las solicitudes de información, ya que el sujeto obligado puede considerar una circunstancia en particular diversa a la que el particular objetivamente requiere.</w:t>
      </w:r>
    </w:p>
    <w:p w:rsidR="00011EFA" w:rsidRDefault="00011EFA" w:rsidP="00011EFA">
      <w:pPr>
        <w:pStyle w:val="Prrafodelista"/>
        <w:autoSpaceDE w:val="0"/>
        <w:autoSpaceDN w:val="0"/>
        <w:adjustRightInd w:val="0"/>
        <w:spacing w:line="360" w:lineRule="auto"/>
        <w:ind w:left="0"/>
        <w:jc w:val="both"/>
        <w:rPr>
          <w:rFonts w:ascii="Palatino Linotype" w:hAnsi="Palatino Linotype" w:cs="Arial"/>
        </w:rPr>
      </w:pPr>
    </w:p>
    <w:p w:rsidR="00011EFA" w:rsidRPr="001E318A" w:rsidRDefault="00011EFA" w:rsidP="00011EFA">
      <w:pPr>
        <w:pStyle w:val="Prrafodelista"/>
        <w:autoSpaceDE w:val="0"/>
        <w:autoSpaceDN w:val="0"/>
        <w:adjustRightInd w:val="0"/>
        <w:spacing w:line="360" w:lineRule="auto"/>
        <w:ind w:left="0"/>
        <w:jc w:val="both"/>
        <w:rPr>
          <w:rFonts w:ascii="Palatino Linotype" w:hAnsi="Palatino Linotype" w:cs="Arial"/>
        </w:rPr>
      </w:pPr>
      <w:r w:rsidRPr="001E318A">
        <w:rPr>
          <w:rFonts w:ascii="Palatino Linotype" w:hAnsi="Palatino Linotype" w:cs="Arial"/>
        </w:rPr>
        <w:t>Ya que el planteamiento del problema es de toral importancia, a efecto de determinar la intención o voluntad del recurrente a la luz de la interpretación de las solicitudes de información, y que puede generar de forma objetiva y material el sujeto obligado que se relacione con esa intención, respecto del presente asunto se realiza a continuación.</w:t>
      </w:r>
    </w:p>
    <w:p w:rsidR="00011EFA" w:rsidRPr="001E318A" w:rsidRDefault="00011EFA" w:rsidP="00011EFA">
      <w:pPr>
        <w:spacing w:after="0"/>
      </w:pPr>
    </w:p>
    <w:p w:rsidR="00011EFA" w:rsidRPr="001E318A" w:rsidRDefault="00011EFA" w:rsidP="00011EFA">
      <w:pPr>
        <w:tabs>
          <w:tab w:val="left" w:pos="709"/>
        </w:tabs>
        <w:spacing w:after="0" w:line="360" w:lineRule="auto"/>
        <w:jc w:val="both"/>
        <w:rPr>
          <w:rFonts w:ascii="Palatino Linotype" w:hAnsi="Palatino Linotype" w:cs="Arial"/>
          <w:sz w:val="24"/>
          <w:szCs w:val="24"/>
        </w:rPr>
      </w:pPr>
      <w:r w:rsidRPr="001E318A">
        <w:rPr>
          <w:rFonts w:ascii="Palatino Linotype" w:hAnsi="Palatino Linotype" w:cs="Arial"/>
          <w:sz w:val="24"/>
          <w:szCs w:val="24"/>
        </w:rPr>
        <w:t xml:space="preserve">La Ley de Transparencia de la entidad, en su artículo 192, contempla la figura jurídica del sobreseimiento, y específicamente en sus hipótesis inmersas en la fracción III, refieren que se sobreseerá el asunto cuando </w:t>
      </w:r>
      <w:r w:rsidRPr="001E318A">
        <w:rPr>
          <w:rFonts w:ascii="Palatino Linotype" w:hAnsi="Palatino Linotype" w:cs="Arial"/>
          <w:b/>
          <w:sz w:val="24"/>
          <w:szCs w:val="24"/>
        </w:rPr>
        <w:t>El Sujeto Obligado</w:t>
      </w:r>
      <w:r w:rsidRPr="001E318A">
        <w:rPr>
          <w:rFonts w:ascii="Palatino Linotype" w:hAnsi="Palatino Linotype" w:cs="Arial"/>
          <w:sz w:val="24"/>
          <w:szCs w:val="24"/>
        </w:rPr>
        <w:t xml:space="preserve"> responsable del acto lo modifique o revoque de tal manera que el recurso de revisión quede sin materia o </w:t>
      </w:r>
      <w:r w:rsidRPr="001E318A">
        <w:rPr>
          <w:rFonts w:ascii="Palatino Linotype" w:hAnsi="Palatino Linotype" w:cs="Arial"/>
          <w:sz w:val="24"/>
          <w:szCs w:val="24"/>
        </w:rPr>
        <w:lastRenderedPageBreak/>
        <w:t>admitido el recurso de revisión, aparezca alguna causal de improcedencia en los términos de la presente Ley.</w:t>
      </w:r>
    </w:p>
    <w:p w:rsidR="00011EFA" w:rsidRPr="00EC32EC" w:rsidRDefault="00011EFA" w:rsidP="00011EFA">
      <w:pPr>
        <w:pStyle w:val="Sinespaciado"/>
        <w:rPr>
          <w:rFonts w:ascii="Palatino Linotype" w:hAnsi="Palatino Linotype" w:cs="Arial"/>
        </w:rPr>
      </w:pPr>
    </w:p>
    <w:p w:rsidR="00011EFA" w:rsidRPr="001E318A" w:rsidRDefault="00011EFA" w:rsidP="00011EFA">
      <w:pPr>
        <w:tabs>
          <w:tab w:val="left" w:pos="709"/>
        </w:tabs>
        <w:spacing w:after="0" w:line="360" w:lineRule="auto"/>
        <w:jc w:val="both"/>
        <w:rPr>
          <w:rFonts w:ascii="Palatino Linotype" w:hAnsi="Palatino Linotype" w:cs="Arial"/>
          <w:sz w:val="24"/>
          <w:szCs w:val="24"/>
        </w:rPr>
      </w:pPr>
      <w:r w:rsidRPr="001E318A">
        <w:rPr>
          <w:rFonts w:ascii="Palatino Linotype" w:hAnsi="Palatino Linotype" w:cs="Arial"/>
          <w:sz w:val="24"/>
          <w:szCs w:val="24"/>
        </w:rPr>
        <w:t xml:space="preserve">Bajo esa línea, con la finalidad de determinar si se modificó o revocó el acto u omisión del </w:t>
      </w:r>
      <w:r w:rsidRPr="001E318A">
        <w:rPr>
          <w:rFonts w:ascii="Palatino Linotype" w:hAnsi="Palatino Linotype" w:cs="Arial"/>
          <w:b/>
          <w:sz w:val="24"/>
          <w:szCs w:val="24"/>
        </w:rPr>
        <w:t>Sujeto Obligado</w:t>
      </w:r>
      <w:r w:rsidRPr="001E318A">
        <w:rPr>
          <w:rFonts w:ascii="Palatino Linotype" w:hAnsi="Palatino Linotype" w:cs="Arial"/>
          <w:sz w:val="24"/>
          <w:szCs w:val="24"/>
        </w:rPr>
        <w:t>, para el efecto de que quede sin materia el recurso de revisión, es necesario realizar una valoración de la información remitida en informe justificado y determinar si dicha consecuencia se subsume en el presupuesto procesal que establece la fracción III, del artículo 192, de la Ley de Transparencia y Acceso a la Información Pública del Estado de México y Municipios, a efecto de generar certeza jurídica sobre la satisfacción del derecho de acceso a la información accionado por el particular, sirviendo para tales efectos las siguientes líneas argumentativas.</w:t>
      </w:r>
    </w:p>
    <w:p w:rsidR="00011EFA" w:rsidRDefault="00011EFA" w:rsidP="004D5494">
      <w:pPr>
        <w:spacing w:after="0" w:line="360" w:lineRule="auto"/>
        <w:jc w:val="both"/>
        <w:rPr>
          <w:rFonts w:ascii="Palatino Linotype" w:hAnsi="Palatino Linotype"/>
          <w:sz w:val="24"/>
          <w:szCs w:val="24"/>
        </w:rPr>
      </w:pPr>
    </w:p>
    <w:p w:rsidR="004D5494" w:rsidRPr="00AB4822" w:rsidRDefault="004D5494" w:rsidP="004D5494">
      <w:pPr>
        <w:spacing w:after="0" w:line="360" w:lineRule="auto"/>
        <w:jc w:val="both"/>
        <w:rPr>
          <w:rFonts w:ascii="Palatino Linotype" w:hAnsi="Palatino Linotype"/>
          <w:sz w:val="24"/>
          <w:szCs w:val="24"/>
        </w:rPr>
      </w:pPr>
      <w:r w:rsidRPr="00AB4822">
        <w:rPr>
          <w:rFonts w:ascii="Palatino Linotype" w:hAnsi="Palatino Linotype"/>
          <w:sz w:val="24"/>
          <w:szCs w:val="24"/>
        </w:rPr>
        <w:t>Ahora bien, se procede al análisis del presente recurso de revisión, así como al contenido íntegro de las actuaciones que obran en el expediente electrónico, para así estar en posibilidad este Órgano Colegiado de dictar el fallo correspondiente conforme a derecho, tomando en consideración los elementos aportados por las partes y apegándose en todo momento al principio de máxima publicidad consagrado en nuestra Constitución Federal, Local y demás leyes aplicables en la materia, así como en los tratados internacionales en los que el Estado Mexicano sea parte, en concordancia con el artículo 8</w:t>
      </w:r>
      <w:r w:rsidR="00E12FA8">
        <w:rPr>
          <w:rFonts w:ascii="Palatino Linotype" w:hAnsi="Palatino Linotype"/>
          <w:sz w:val="24"/>
          <w:szCs w:val="24"/>
        </w:rPr>
        <w:t>,</w:t>
      </w:r>
      <w:r w:rsidRPr="00AB4822">
        <w:rPr>
          <w:rFonts w:ascii="Palatino Linotype" w:hAnsi="Palatino Linotype"/>
          <w:sz w:val="24"/>
          <w:szCs w:val="24"/>
        </w:rPr>
        <w:t xml:space="preserve"> de la Ley de Transparencia local.</w:t>
      </w:r>
    </w:p>
    <w:p w:rsidR="00576276" w:rsidRPr="00C15E79" w:rsidRDefault="00576276" w:rsidP="00C15E79">
      <w:pPr>
        <w:pStyle w:val="Sinespaciado"/>
        <w:spacing w:line="360" w:lineRule="auto"/>
        <w:jc w:val="both"/>
        <w:rPr>
          <w:rFonts w:ascii="Palatino Linotype" w:hAnsi="Palatino Linotype"/>
        </w:rPr>
      </w:pPr>
    </w:p>
    <w:p w:rsidR="00770A58" w:rsidRDefault="00C15E79" w:rsidP="00C15E79">
      <w:pPr>
        <w:pStyle w:val="Sinespaciado"/>
        <w:spacing w:line="360" w:lineRule="auto"/>
        <w:jc w:val="both"/>
        <w:rPr>
          <w:rFonts w:ascii="Palatino Linotype" w:hAnsi="Palatino Linotype"/>
        </w:rPr>
      </w:pPr>
      <w:r w:rsidRPr="00C15E79">
        <w:rPr>
          <w:rFonts w:ascii="Palatino Linotype" w:hAnsi="Palatino Linotype"/>
        </w:rPr>
        <w:lastRenderedPageBreak/>
        <w:t xml:space="preserve">Con el propósito de resolver el presente medio de impugnación, es conveniente recordar que el </w:t>
      </w:r>
      <w:r w:rsidRPr="004D5494">
        <w:rPr>
          <w:rFonts w:ascii="Palatino Linotype" w:hAnsi="Palatino Linotype"/>
          <w:b/>
        </w:rPr>
        <w:t>Recurrente</w:t>
      </w:r>
      <w:r w:rsidRPr="00C15E79">
        <w:rPr>
          <w:rFonts w:ascii="Palatino Linotype" w:hAnsi="Palatino Linotype"/>
        </w:rPr>
        <w:t xml:space="preserve"> solicitó al </w:t>
      </w:r>
      <w:r w:rsidRPr="004D5494">
        <w:rPr>
          <w:rFonts w:ascii="Palatino Linotype" w:hAnsi="Palatino Linotype"/>
          <w:b/>
        </w:rPr>
        <w:t>Sujeto Obligado</w:t>
      </w:r>
      <w:r w:rsidRPr="00C15E79">
        <w:rPr>
          <w:rFonts w:ascii="Palatino Linotype" w:hAnsi="Palatino Linotype"/>
        </w:rPr>
        <w:t xml:space="preserve"> que se le proporcionara </w:t>
      </w:r>
      <w:r w:rsidR="00770A58">
        <w:rPr>
          <w:rFonts w:ascii="Palatino Linotype" w:hAnsi="Palatino Linotype"/>
        </w:rPr>
        <w:t>vía SAIMEX</w:t>
      </w:r>
      <w:r w:rsidR="00E12FA8">
        <w:rPr>
          <w:rFonts w:ascii="Palatino Linotype" w:hAnsi="Palatino Linotype"/>
        </w:rPr>
        <w:t>, la siguiente información</w:t>
      </w:r>
      <w:r w:rsidR="00770A58">
        <w:rPr>
          <w:rFonts w:ascii="Palatino Linotype" w:hAnsi="Palatino Linotype"/>
        </w:rPr>
        <w:t>:</w:t>
      </w:r>
    </w:p>
    <w:p w:rsidR="00261456" w:rsidRDefault="00261456" w:rsidP="00261456">
      <w:pPr>
        <w:pStyle w:val="Sinespaciado"/>
        <w:spacing w:line="360" w:lineRule="auto"/>
        <w:jc w:val="both"/>
        <w:rPr>
          <w:rFonts w:ascii="Palatino Linotype" w:hAnsi="Palatino Linotype"/>
        </w:rPr>
      </w:pPr>
    </w:p>
    <w:p w:rsidR="00E12FA8" w:rsidRDefault="00E12FA8" w:rsidP="00E12FA8">
      <w:pPr>
        <w:pStyle w:val="Sinespaciado"/>
        <w:numPr>
          <w:ilvl w:val="0"/>
          <w:numId w:val="6"/>
        </w:numPr>
        <w:spacing w:line="360" w:lineRule="auto"/>
        <w:jc w:val="both"/>
        <w:rPr>
          <w:rFonts w:ascii="Palatino Linotype" w:hAnsi="Palatino Linotype"/>
        </w:rPr>
      </w:pPr>
      <w:r>
        <w:rPr>
          <w:rFonts w:ascii="Palatino Linotype" w:hAnsi="Palatino Linotype"/>
        </w:rPr>
        <w:t>E</w:t>
      </w:r>
      <w:r w:rsidRPr="00E12FA8">
        <w:rPr>
          <w:rFonts w:ascii="Palatino Linotype" w:hAnsi="Palatino Linotype"/>
        </w:rPr>
        <w:t xml:space="preserve">l expediente de personal de la </w:t>
      </w:r>
      <w:r>
        <w:rPr>
          <w:rFonts w:ascii="Palatino Linotype" w:hAnsi="Palatino Linotype"/>
        </w:rPr>
        <w:t>C</w:t>
      </w:r>
      <w:r w:rsidRPr="00E12FA8">
        <w:rPr>
          <w:rFonts w:ascii="Palatino Linotype" w:hAnsi="Palatino Linotype"/>
        </w:rPr>
        <w:t xml:space="preserve">. Gabriela Nieto Cid del </w:t>
      </w:r>
      <w:r>
        <w:rPr>
          <w:rFonts w:ascii="Palatino Linotype" w:hAnsi="Palatino Linotype"/>
        </w:rPr>
        <w:t>P</w:t>
      </w:r>
      <w:r w:rsidRPr="00E12FA8">
        <w:rPr>
          <w:rFonts w:ascii="Palatino Linotype" w:hAnsi="Palatino Linotype"/>
        </w:rPr>
        <w:t xml:space="preserve">rado; ¿A partir de cuándo esta persona es jefa de departamento? </w:t>
      </w:r>
    </w:p>
    <w:p w:rsidR="00E12FA8" w:rsidRDefault="00E12FA8" w:rsidP="00E12FA8">
      <w:pPr>
        <w:pStyle w:val="Sinespaciado"/>
        <w:numPr>
          <w:ilvl w:val="0"/>
          <w:numId w:val="6"/>
        </w:numPr>
        <w:spacing w:line="360" w:lineRule="auto"/>
        <w:jc w:val="both"/>
        <w:rPr>
          <w:rFonts w:ascii="Palatino Linotype" w:hAnsi="Palatino Linotype"/>
        </w:rPr>
      </w:pPr>
      <w:r>
        <w:rPr>
          <w:rFonts w:ascii="Palatino Linotype" w:hAnsi="Palatino Linotype"/>
        </w:rPr>
        <w:t>P</w:t>
      </w:r>
      <w:r w:rsidRPr="00E12FA8">
        <w:rPr>
          <w:rFonts w:ascii="Palatino Linotype" w:hAnsi="Palatino Linotype"/>
        </w:rPr>
        <w:t>orqué aun sabiendo que la C. Norma Beatriz Loredo</w:t>
      </w:r>
      <w:r>
        <w:rPr>
          <w:rFonts w:ascii="Palatino Linotype" w:hAnsi="Palatino Linotype"/>
        </w:rPr>
        <w:t>,</w:t>
      </w:r>
      <w:r w:rsidRPr="00E12FA8">
        <w:rPr>
          <w:rFonts w:ascii="Palatino Linotype" w:hAnsi="Palatino Linotype"/>
        </w:rPr>
        <w:t xml:space="preserve"> se encuentra inhabilitada por siete años, fue contratada, y actualmente sabiendo de esa situación no se ha hecho nada para impedir que se siga violando la Ley de responsabilidades y el sistema anticorrupción. </w:t>
      </w:r>
    </w:p>
    <w:p w:rsidR="00E12FA8" w:rsidRDefault="00E12FA8" w:rsidP="00E12FA8">
      <w:pPr>
        <w:pStyle w:val="Sinespaciado"/>
        <w:numPr>
          <w:ilvl w:val="0"/>
          <w:numId w:val="6"/>
        </w:numPr>
        <w:spacing w:line="360" w:lineRule="auto"/>
        <w:jc w:val="both"/>
        <w:rPr>
          <w:rFonts w:ascii="Palatino Linotype" w:hAnsi="Palatino Linotype"/>
        </w:rPr>
      </w:pPr>
      <w:r>
        <w:rPr>
          <w:rFonts w:ascii="Palatino Linotype" w:hAnsi="Palatino Linotype"/>
        </w:rPr>
        <w:t>S</w:t>
      </w:r>
      <w:r w:rsidRPr="00E12FA8">
        <w:rPr>
          <w:rFonts w:ascii="Palatino Linotype" w:hAnsi="Palatino Linotype"/>
        </w:rPr>
        <w:t>olicito copia del documento o docu</w:t>
      </w:r>
      <w:r w:rsidR="00A655E4">
        <w:rPr>
          <w:rFonts w:ascii="Palatino Linotype" w:hAnsi="Palatino Linotype"/>
        </w:rPr>
        <w:t>mentos con los que el contralor</w:t>
      </w:r>
      <w:r w:rsidRPr="00E12FA8">
        <w:rPr>
          <w:rFonts w:ascii="Palatino Linotype" w:hAnsi="Palatino Linotype"/>
        </w:rPr>
        <w:t>, en este caso, ha dado cumplimiento a sus funciones para vigilar el correcto desempeño de las obligaciones de los trabajadores del INFOEM</w:t>
      </w:r>
      <w:r>
        <w:rPr>
          <w:rFonts w:ascii="Palatino Linotype" w:hAnsi="Palatino Linotype"/>
        </w:rPr>
        <w:t>.</w:t>
      </w:r>
    </w:p>
    <w:p w:rsidR="00A655E4" w:rsidRDefault="00E12FA8" w:rsidP="00E12FA8">
      <w:pPr>
        <w:pStyle w:val="Sinespaciado"/>
        <w:numPr>
          <w:ilvl w:val="0"/>
          <w:numId w:val="6"/>
        </w:numPr>
        <w:spacing w:line="360" w:lineRule="auto"/>
        <w:jc w:val="both"/>
        <w:rPr>
          <w:rFonts w:ascii="Palatino Linotype" w:hAnsi="Palatino Linotype"/>
        </w:rPr>
      </w:pPr>
      <w:r>
        <w:rPr>
          <w:rFonts w:ascii="Palatino Linotype" w:hAnsi="Palatino Linotype"/>
        </w:rPr>
        <w:t>C</w:t>
      </w:r>
      <w:r w:rsidRPr="00E12FA8">
        <w:rPr>
          <w:rFonts w:ascii="Palatino Linotype" w:hAnsi="Palatino Linotype"/>
        </w:rPr>
        <w:t xml:space="preserve">opia del documento con el que el contralor hizo del conocimiento de los comisionados y/o del </w:t>
      </w:r>
      <w:r w:rsidR="00A655E4" w:rsidRPr="00E12FA8">
        <w:rPr>
          <w:rFonts w:ascii="Palatino Linotype" w:hAnsi="Palatino Linotype"/>
        </w:rPr>
        <w:t>área</w:t>
      </w:r>
      <w:r w:rsidRPr="00E12FA8">
        <w:rPr>
          <w:rFonts w:ascii="Palatino Linotype" w:hAnsi="Palatino Linotype"/>
        </w:rPr>
        <w:t xml:space="preserve"> administrativa, sobre la inhabilitación de dicha persona y sobre el hecho de que aún sigue en funciones violentando todo el sistema anticorrupción del que el </w:t>
      </w:r>
      <w:r w:rsidR="00A655E4" w:rsidRPr="00E12FA8">
        <w:rPr>
          <w:rFonts w:ascii="Palatino Linotype" w:hAnsi="Palatino Linotype"/>
        </w:rPr>
        <w:t>INFOEM</w:t>
      </w:r>
      <w:r w:rsidR="00A655E4">
        <w:rPr>
          <w:rFonts w:ascii="Palatino Linotype" w:hAnsi="Palatino Linotype"/>
        </w:rPr>
        <w:t xml:space="preserve"> forma parte.</w:t>
      </w:r>
    </w:p>
    <w:p w:rsidR="00A655E4" w:rsidRDefault="00A655E4" w:rsidP="00E12FA8">
      <w:pPr>
        <w:pStyle w:val="Sinespaciado"/>
        <w:numPr>
          <w:ilvl w:val="0"/>
          <w:numId w:val="6"/>
        </w:numPr>
        <w:spacing w:line="360" w:lineRule="auto"/>
        <w:jc w:val="both"/>
        <w:rPr>
          <w:rFonts w:ascii="Palatino Linotype" w:hAnsi="Palatino Linotype"/>
        </w:rPr>
      </w:pPr>
      <w:r>
        <w:rPr>
          <w:rFonts w:ascii="Palatino Linotype" w:hAnsi="Palatino Linotype"/>
        </w:rPr>
        <w:t>Q</w:t>
      </w:r>
      <w:r w:rsidR="00E12FA8" w:rsidRPr="00E12FA8">
        <w:rPr>
          <w:rFonts w:ascii="Palatino Linotype" w:hAnsi="Palatino Linotype"/>
        </w:rPr>
        <w:t xml:space="preserve">uiero saber que ha hecho el contralor para sancionar el encubrimiento que los servidores </w:t>
      </w:r>
      <w:r w:rsidRPr="00E12FA8">
        <w:rPr>
          <w:rFonts w:ascii="Palatino Linotype" w:hAnsi="Palatino Linotype"/>
        </w:rPr>
        <w:t>públicos</w:t>
      </w:r>
      <w:r w:rsidR="00E12FA8" w:rsidRPr="00E12FA8">
        <w:rPr>
          <w:rFonts w:ascii="Palatino Linotype" w:hAnsi="Palatino Linotype"/>
        </w:rPr>
        <w:t xml:space="preserve"> del </w:t>
      </w:r>
      <w:r w:rsidRPr="00E12FA8">
        <w:rPr>
          <w:rFonts w:ascii="Palatino Linotype" w:hAnsi="Palatino Linotype"/>
        </w:rPr>
        <w:t>área</w:t>
      </w:r>
      <w:r w:rsidR="00E12FA8" w:rsidRPr="00E12FA8">
        <w:rPr>
          <w:rFonts w:ascii="Palatino Linotype" w:hAnsi="Palatino Linotype"/>
        </w:rPr>
        <w:t xml:space="preserve"> de administración han realizado para que la </w:t>
      </w:r>
      <w:r w:rsidRPr="00E12FA8">
        <w:rPr>
          <w:rFonts w:ascii="Palatino Linotype" w:hAnsi="Palatino Linotype"/>
        </w:rPr>
        <w:t>C. Norma Beatriz Loredo</w:t>
      </w:r>
      <w:r w:rsidR="00E12FA8" w:rsidRPr="00E12FA8">
        <w:rPr>
          <w:rFonts w:ascii="Palatino Linotype" w:hAnsi="Palatino Linotype"/>
        </w:rPr>
        <w:t xml:space="preserve"> siga trabajando en el </w:t>
      </w:r>
      <w:r w:rsidRPr="00E12FA8">
        <w:rPr>
          <w:rFonts w:ascii="Palatino Linotype" w:hAnsi="Palatino Linotype"/>
        </w:rPr>
        <w:t>INFOEM</w:t>
      </w:r>
      <w:r w:rsidR="00E12FA8" w:rsidRPr="00E12FA8">
        <w:rPr>
          <w:rFonts w:ascii="Palatino Linotype" w:hAnsi="Palatino Linotype"/>
        </w:rPr>
        <w:t xml:space="preserve"> a pesar de que en el registro de </w:t>
      </w:r>
      <w:r w:rsidRPr="00E12FA8">
        <w:rPr>
          <w:rFonts w:ascii="Palatino Linotype" w:hAnsi="Palatino Linotype"/>
        </w:rPr>
        <w:t>servidores</w:t>
      </w:r>
      <w:r w:rsidR="00E12FA8" w:rsidRPr="00E12FA8">
        <w:rPr>
          <w:rFonts w:ascii="Palatino Linotype" w:hAnsi="Palatino Linotype"/>
        </w:rPr>
        <w:t xml:space="preserve"> públicos sancionados de la </w:t>
      </w:r>
      <w:r w:rsidRPr="00E12FA8">
        <w:rPr>
          <w:rFonts w:ascii="Palatino Linotype" w:hAnsi="Palatino Linotype"/>
        </w:rPr>
        <w:t>Secretaría</w:t>
      </w:r>
      <w:r w:rsidR="00E12FA8" w:rsidRPr="00E12FA8">
        <w:rPr>
          <w:rFonts w:ascii="Palatino Linotype" w:hAnsi="Palatino Linotype"/>
        </w:rPr>
        <w:t xml:space="preserve"> de la </w:t>
      </w:r>
      <w:r>
        <w:rPr>
          <w:rFonts w:ascii="Palatino Linotype" w:hAnsi="Palatino Linotype"/>
        </w:rPr>
        <w:t>F</w:t>
      </w:r>
      <w:r w:rsidR="00E12FA8" w:rsidRPr="00E12FA8">
        <w:rPr>
          <w:rFonts w:ascii="Palatino Linotype" w:hAnsi="Palatino Linotype"/>
        </w:rPr>
        <w:t xml:space="preserve">unción </w:t>
      </w:r>
      <w:r>
        <w:rPr>
          <w:rFonts w:ascii="Palatino Linotype" w:hAnsi="Palatino Linotype"/>
        </w:rPr>
        <w:t>P</w:t>
      </w:r>
      <w:r w:rsidR="00E12FA8" w:rsidRPr="00E12FA8">
        <w:rPr>
          <w:rFonts w:ascii="Palatino Linotype" w:hAnsi="Palatino Linotype"/>
        </w:rPr>
        <w:t xml:space="preserve">ública aparece su sanción. </w:t>
      </w:r>
    </w:p>
    <w:p w:rsidR="00E12FA8" w:rsidRPr="00E12FA8" w:rsidRDefault="00A655E4" w:rsidP="00E12FA8">
      <w:pPr>
        <w:pStyle w:val="Sinespaciado"/>
        <w:numPr>
          <w:ilvl w:val="0"/>
          <w:numId w:val="6"/>
        </w:numPr>
        <w:spacing w:line="360" w:lineRule="auto"/>
        <w:jc w:val="both"/>
        <w:rPr>
          <w:rFonts w:ascii="Palatino Linotype" w:hAnsi="Palatino Linotype"/>
        </w:rPr>
      </w:pPr>
      <w:r>
        <w:rPr>
          <w:rFonts w:ascii="Palatino Linotype" w:hAnsi="Palatino Linotype"/>
        </w:rPr>
        <w:lastRenderedPageBreak/>
        <w:t>S</w:t>
      </w:r>
      <w:r w:rsidR="00E12FA8" w:rsidRPr="00E12FA8">
        <w:rPr>
          <w:rFonts w:ascii="Palatino Linotype" w:hAnsi="Palatino Linotype"/>
        </w:rPr>
        <w:t xml:space="preserve">olicito me informen si los comisionados </w:t>
      </w:r>
      <w:r w:rsidRPr="00E12FA8">
        <w:rPr>
          <w:rFonts w:ascii="Palatino Linotype" w:hAnsi="Palatino Linotype"/>
        </w:rPr>
        <w:t>están</w:t>
      </w:r>
      <w:r w:rsidR="00E12FA8" w:rsidRPr="00E12FA8">
        <w:rPr>
          <w:rFonts w:ascii="Palatino Linotype" w:hAnsi="Palatino Linotype"/>
        </w:rPr>
        <w:t xml:space="preserve"> enterados de esta situación y que han hecho para remediarla</w:t>
      </w:r>
      <w:r>
        <w:rPr>
          <w:rFonts w:ascii="Palatino Linotype" w:hAnsi="Palatino Linotype"/>
        </w:rPr>
        <w:t>.</w:t>
      </w:r>
    </w:p>
    <w:p w:rsidR="00C15E79" w:rsidRDefault="00C15E79" w:rsidP="00C15E79">
      <w:pPr>
        <w:pStyle w:val="Sinespaciado"/>
        <w:spacing w:line="360" w:lineRule="auto"/>
        <w:jc w:val="both"/>
        <w:rPr>
          <w:rFonts w:ascii="Palatino Linotype" w:hAnsi="Palatino Linotype"/>
        </w:rPr>
      </w:pPr>
    </w:p>
    <w:p w:rsidR="00D24750" w:rsidRDefault="00D24750" w:rsidP="00C15E79">
      <w:pPr>
        <w:pStyle w:val="Sinespaciado"/>
        <w:spacing w:line="360" w:lineRule="auto"/>
        <w:jc w:val="both"/>
        <w:rPr>
          <w:rFonts w:ascii="Palatino Linotype" w:hAnsi="Palatino Linotype"/>
        </w:rPr>
      </w:pPr>
      <w:r>
        <w:rPr>
          <w:rFonts w:ascii="Palatino Linotype" w:hAnsi="Palatino Linotype"/>
        </w:rPr>
        <w:t xml:space="preserve">A lo que el </w:t>
      </w:r>
      <w:r w:rsidRPr="00261456">
        <w:rPr>
          <w:rFonts w:ascii="Palatino Linotype" w:hAnsi="Palatino Linotype"/>
          <w:b/>
        </w:rPr>
        <w:t>Sujeto Obligado</w:t>
      </w:r>
      <w:r>
        <w:rPr>
          <w:rFonts w:ascii="Palatino Linotype" w:hAnsi="Palatino Linotype"/>
        </w:rPr>
        <w:t xml:space="preserve"> respondió mediante los archivos electrónicos denominados </w:t>
      </w:r>
      <w:r w:rsidRPr="00A655E4">
        <w:rPr>
          <w:rFonts w:ascii="Palatino Linotype" w:hAnsi="Palatino Linotype"/>
          <w:b/>
          <w:i/>
        </w:rPr>
        <w:t>“</w:t>
      </w:r>
      <w:r w:rsidR="00A655E4" w:rsidRPr="00A655E4">
        <w:rPr>
          <w:rFonts w:ascii="Palatino Linotype" w:hAnsi="Palatino Linotype"/>
          <w:b/>
          <w:i/>
        </w:rPr>
        <w:t>RESPUESTA.774.19.UT</w:t>
      </w:r>
      <w:r w:rsidRPr="00A655E4">
        <w:rPr>
          <w:rFonts w:ascii="Palatino Linotype" w:hAnsi="Palatino Linotype"/>
          <w:b/>
          <w:i/>
        </w:rPr>
        <w:t>”</w:t>
      </w:r>
      <w:r w:rsidR="00A655E4" w:rsidRPr="00A655E4">
        <w:rPr>
          <w:rFonts w:ascii="Palatino Linotype" w:hAnsi="Palatino Linotype"/>
        </w:rPr>
        <w:t>,</w:t>
      </w:r>
      <w:r w:rsidR="00A655E4">
        <w:rPr>
          <w:rFonts w:ascii="Palatino Linotype" w:hAnsi="Palatino Linotype"/>
          <w:b/>
        </w:rPr>
        <w:t xml:space="preserve"> </w:t>
      </w:r>
      <w:r w:rsidR="00A655E4" w:rsidRPr="00A655E4">
        <w:rPr>
          <w:rFonts w:ascii="Palatino Linotype" w:hAnsi="Palatino Linotype"/>
          <w:b/>
          <w:i/>
        </w:rPr>
        <w:t>“774.ciocv”</w:t>
      </w:r>
      <w:r w:rsidR="00A655E4" w:rsidRPr="00A655E4">
        <w:rPr>
          <w:rFonts w:ascii="Palatino Linotype" w:hAnsi="Palatino Linotype"/>
        </w:rPr>
        <w:t>,</w:t>
      </w:r>
      <w:r w:rsidR="00A655E4">
        <w:rPr>
          <w:rFonts w:ascii="Palatino Linotype" w:hAnsi="Palatino Linotype"/>
          <w:b/>
        </w:rPr>
        <w:t xml:space="preserve"> </w:t>
      </w:r>
      <w:r w:rsidR="00A655E4" w:rsidRPr="00A655E4">
        <w:rPr>
          <w:rFonts w:ascii="Palatino Linotype" w:hAnsi="Palatino Linotype"/>
          <w:b/>
          <w:i/>
        </w:rPr>
        <w:t>“774.daf”</w:t>
      </w:r>
      <w:r w:rsidR="00A655E4" w:rsidRPr="00A655E4">
        <w:rPr>
          <w:rFonts w:ascii="Palatino Linotype" w:hAnsi="Palatino Linotype"/>
        </w:rPr>
        <w:t>,</w:t>
      </w:r>
      <w:r w:rsidR="00A655E4">
        <w:rPr>
          <w:rFonts w:ascii="Palatino Linotype" w:hAnsi="Palatino Linotype"/>
          <w:b/>
        </w:rPr>
        <w:t xml:space="preserve"> </w:t>
      </w:r>
      <w:r w:rsidR="00A655E4" w:rsidRPr="00A655E4">
        <w:rPr>
          <w:rFonts w:ascii="Palatino Linotype" w:hAnsi="Palatino Linotype"/>
          <w:b/>
          <w:i/>
        </w:rPr>
        <w:t>“anexo.774.ciocv”</w:t>
      </w:r>
      <w:r>
        <w:rPr>
          <w:rFonts w:ascii="Palatino Linotype" w:hAnsi="Palatino Linotype"/>
        </w:rPr>
        <w:t xml:space="preserve"> y </w:t>
      </w:r>
      <w:r w:rsidRPr="00A655E4">
        <w:rPr>
          <w:rFonts w:ascii="Palatino Linotype" w:hAnsi="Palatino Linotype"/>
          <w:b/>
          <w:i/>
        </w:rPr>
        <w:t>“</w:t>
      </w:r>
      <w:r w:rsidR="00A655E4" w:rsidRPr="00A655E4">
        <w:rPr>
          <w:rFonts w:ascii="Palatino Linotype" w:hAnsi="Palatino Linotype"/>
          <w:b/>
          <w:i/>
        </w:rPr>
        <w:t>80a.ses.ext.C.T</w:t>
      </w:r>
      <w:r w:rsidRPr="00A655E4">
        <w:rPr>
          <w:rFonts w:ascii="Palatino Linotype" w:hAnsi="Palatino Linotype"/>
          <w:b/>
          <w:i/>
        </w:rPr>
        <w:t>”</w:t>
      </w:r>
      <w:r w:rsidR="00A655E4">
        <w:rPr>
          <w:rFonts w:ascii="Palatino Linotype" w:hAnsi="Palatino Linotype"/>
        </w:rPr>
        <w:t>;</w:t>
      </w:r>
      <w:r>
        <w:rPr>
          <w:rFonts w:ascii="Palatino Linotype" w:hAnsi="Palatino Linotype"/>
        </w:rPr>
        <w:t xml:space="preserve"> respectivamente. En dichos archivos se contiene la respuesta a la solicitud de información y consta de los siguientes escritos:</w:t>
      </w:r>
    </w:p>
    <w:p w:rsidR="00261456" w:rsidRDefault="003A023E" w:rsidP="00C15E79">
      <w:pPr>
        <w:pStyle w:val="Sinespaciado"/>
        <w:spacing w:line="360" w:lineRule="auto"/>
        <w:jc w:val="both"/>
        <w:rPr>
          <w:rFonts w:ascii="Palatino Linotype" w:hAnsi="Palatino Linotype"/>
          <w:noProof/>
          <w:lang w:eastAsia="es-MX"/>
        </w:rPr>
      </w:pPr>
      <w:r>
        <w:rPr>
          <w:rFonts w:ascii="Palatino Linotype" w:hAnsi="Palatino Linotype"/>
          <w:noProof/>
          <w:lang w:eastAsia="es-MX"/>
        </w:rPr>
        <mc:AlternateContent>
          <mc:Choice Requires="wps">
            <w:drawing>
              <wp:anchor distT="0" distB="0" distL="114300" distR="114300" simplePos="0" relativeHeight="251686912" behindDoc="0" locked="0" layoutInCell="1" allowOverlap="1">
                <wp:simplePos x="0" y="0"/>
                <wp:positionH relativeFrom="column">
                  <wp:posOffset>1242</wp:posOffset>
                </wp:positionH>
                <wp:positionV relativeFrom="paragraph">
                  <wp:posOffset>42076</wp:posOffset>
                </wp:positionV>
                <wp:extent cx="5788550" cy="5001370"/>
                <wp:effectExtent l="19050" t="19050" r="22225" b="27940"/>
                <wp:wrapNone/>
                <wp:docPr id="20" name="Conector recto 20"/>
                <wp:cNvGraphicFramePr/>
                <a:graphic xmlns:a="http://schemas.openxmlformats.org/drawingml/2006/main">
                  <a:graphicData uri="http://schemas.microsoft.com/office/word/2010/wordprocessingShape">
                    <wps:wsp>
                      <wps:cNvCnPr/>
                      <wps:spPr>
                        <a:xfrm>
                          <a:off x="0" y="0"/>
                          <a:ext cx="5788550" cy="500137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A49D42" id="Conector recto 20"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1pt,3.3pt" to="455.9pt,39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" strokecolor="#5b9bd5 [3204]" strokeweight="2.25pt">
                <v:stroke joinstyle="miter"/>
              </v:line>
            </w:pict>
          </mc:Fallback>
        </mc:AlternateContent>
      </w:r>
    </w:p>
    <w:p w:rsidR="00D24750" w:rsidRDefault="003030B4" w:rsidP="00C15E79">
      <w:pPr>
        <w:pStyle w:val="Sinespaciado"/>
        <w:spacing w:line="360" w:lineRule="auto"/>
        <w:jc w:val="both"/>
        <w:rPr>
          <w:rFonts w:ascii="Palatino Linotype" w:hAnsi="Palatino Linotype"/>
        </w:rPr>
      </w:pPr>
      <w:r>
        <w:rPr>
          <w:rFonts w:ascii="Palatino Linotype" w:hAnsi="Palatino Linotype"/>
          <w:noProof/>
          <w:lang w:eastAsia="es-MX"/>
        </w:rPr>
        <w:lastRenderedPageBreak/>
        <mc:AlternateContent>
          <mc:Choice Requires="wps">
            <w:drawing>
              <wp:anchor distT="0" distB="0" distL="114300" distR="114300" simplePos="0" relativeHeight="251681792" behindDoc="0" locked="0" layoutInCell="1" allowOverlap="1">
                <wp:simplePos x="0" y="0"/>
                <wp:positionH relativeFrom="column">
                  <wp:posOffset>1242</wp:posOffset>
                </wp:positionH>
                <wp:positionV relativeFrom="paragraph">
                  <wp:posOffset>3146646</wp:posOffset>
                </wp:positionV>
                <wp:extent cx="5414839" cy="1534602"/>
                <wp:effectExtent l="19050" t="19050" r="14605" b="27940"/>
                <wp:wrapNone/>
                <wp:docPr id="19" name="Rectángulo 19"/>
                <wp:cNvGraphicFramePr/>
                <a:graphic xmlns:a="http://schemas.openxmlformats.org/drawingml/2006/main">
                  <a:graphicData uri="http://schemas.microsoft.com/office/word/2010/wordprocessingShape">
                    <wps:wsp>
                      <wps:cNvSpPr/>
                      <wps:spPr>
                        <a:xfrm>
                          <a:off x="0" y="0"/>
                          <a:ext cx="5414839" cy="153460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BC32B7" id="Rectángulo 19" o:spid="_x0000_s1026" style="position:absolute;margin-left:.1pt;margin-top:247.75pt;width:426.35pt;height:120.8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" filled="f" strokecolor="red" strokeweight="2.25pt"/>
            </w:pict>
          </mc:Fallback>
        </mc:AlternateContent>
      </w:r>
      <w:r w:rsidRPr="003030B4">
        <w:rPr>
          <w:rFonts w:ascii="Palatino Linotype" w:hAnsi="Palatino Linotype"/>
          <w:noProof/>
          <w:lang w:eastAsia="es-MX"/>
        </w:rPr>
        <w:drawing>
          <wp:inline distT="0" distB="0" distL="0" distR="0">
            <wp:extent cx="5760720" cy="692319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6923193"/>
                    </a:xfrm>
                    <a:prstGeom prst="rect">
                      <a:avLst/>
                    </a:prstGeom>
                    <a:noFill/>
                    <a:ln>
                      <a:noFill/>
                    </a:ln>
                  </pic:spPr>
                </pic:pic>
              </a:graphicData>
            </a:graphic>
          </wp:inline>
        </w:drawing>
      </w:r>
    </w:p>
    <w:p w:rsidR="00261456" w:rsidRDefault="00261456" w:rsidP="00C15E79">
      <w:pPr>
        <w:pStyle w:val="Sinespaciado"/>
        <w:spacing w:line="360" w:lineRule="auto"/>
        <w:jc w:val="both"/>
        <w:rPr>
          <w:rFonts w:ascii="Palatino Linotype" w:hAnsi="Palatino Linotype"/>
        </w:rPr>
      </w:pPr>
    </w:p>
    <w:p w:rsidR="00261456" w:rsidRDefault="003030B4" w:rsidP="00C15E79">
      <w:pPr>
        <w:pStyle w:val="Sinespaciado"/>
        <w:spacing w:line="360" w:lineRule="auto"/>
        <w:jc w:val="both"/>
        <w:rPr>
          <w:rFonts w:ascii="Palatino Linotype" w:hAnsi="Palatino Linotype"/>
        </w:rPr>
      </w:pPr>
      <w:r>
        <w:rPr>
          <w:rFonts w:ascii="Palatino Linotype" w:hAnsi="Palatino Linotype"/>
          <w:noProof/>
          <w:lang w:eastAsia="es-MX"/>
        </w:rPr>
        <mc:AlternateContent>
          <mc:Choice Requires="wps">
            <w:drawing>
              <wp:anchor distT="0" distB="0" distL="114300" distR="114300" simplePos="0" relativeHeight="251682816" behindDoc="0" locked="0" layoutInCell="1" allowOverlap="1">
                <wp:simplePos x="0" y="0"/>
                <wp:positionH relativeFrom="column">
                  <wp:posOffset>1242</wp:posOffset>
                </wp:positionH>
                <wp:positionV relativeFrom="paragraph">
                  <wp:posOffset>3188528</wp:posOffset>
                </wp:positionV>
                <wp:extent cx="5660832" cy="1057027"/>
                <wp:effectExtent l="19050" t="19050" r="16510" b="10160"/>
                <wp:wrapNone/>
                <wp:docPr id="22" name="Rectángulo 22"/>
                <wp:cNvGraphicFramePr/>
                <a:graphic xmlns:a="http://schemas.openxmlformats.org/drawingml/2006/main">
                  <a:graphicData uri="http://schemas.microsoft.com/office/word/2010/wordprocessingShape">
                    <wps:wsp>
                      <wps:cNvSpPr/>
                      <wps:spPr>
                        <a:xfrm>
                          <a:off x="0" y="0"/>
                          <a:ext cx="5660832" cy="105702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87BDF" id="Rectángulo 22" o:spid="_x0000_s1026" style="position:absolute;margin-left:.1pt;margin-top:251.05pt;width:445.75pt;height:83.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" filled="f" strokecolor="red" strokeweight="2.25pt"/>
            </w:pict>
          </mc:Fallback>
        </mc:AlternateContent>
      </w:r>
      <w:r w:rsidRPr="003030B4">
        <w:rPr>
          <w:rFonts w:ascii="Palatino Linotype" w:hAnsi="Palatino Linotype"/>
          <w:noProof/>
          <w:lang w:eastAsia="es-MX"/>
        </w:rPr>
        <w:drawing>
          <wp:inline distT="0" distB="0" distL="0" distR="0">
            <wp:extent cx="5760720" cy="6174799"/>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6174799"/>
                    </a:xfrm>
                    <a:prstGeom prst="rect">
                      <a:avLst/>
                    </a:prstGeom>
                    <a:noFill/>
                    <a:ln>
                      <a:noFill/>
                    </a:ln>
                  </pic:spPr>
                </pic:pic>
              </a:graphicData>
            </a:graphic>
          </wp:inline>
        </w:drawing>
      </w:r>
    </w:p>
    <w:p w:rsidR="00261456" w:rsidRDefault="00261456" w:rsidP="00C15E79">
      <w:pPr>
        <w:pStyle w:val="Sinespaciado"/>
        <w:spacing w:line="360" w:lineRule="auto"/>
        <w:jc w:val="both"/>
        <w:rPr>
          <w:rFonts w:ascii="Palatino Linotype" w:hAnsi="Palatino Linotype"/>
        </w:rPr>
      </w:pPr>
    </w:p>
    <w:p w:rsidR="00D24750" w:rsidRDefault="003030B4" w:rsidP="00C15E79">
      <w:pPr>
        <w:pStyle w:val="Sinespaciado"/>
        <w:spacing w:line="360" w:lineRule="auto"/>
        <w:jc w:val="both"/>
        <w:rPr>
          <w:rFonts w:ascii="Palatino Linotype" w:hAnsi="Palatino Linotype"/>
        </w:rPr>
      </w:pPr>
      <w:r>
        <w:rPr>
          <w:rFonts w:ascii="Palatino Linotype" w:hAnsi="Palatino Linotype"/>
          <w:noProof/>
          <w:lang w:eastAsia="es-MX"/>
        </w:rPr>
        <w:lastRenderedPageBreak/>
        <mc:AlternateContent>
          <mc:Choice Requires="wps">
            <w:drawing>
              <wp:anchor distT="0" distB="0" distL="114300" distR="114300" simplePos="0" relativeHeight="251683840" behindDoc="0" locked="0" layoutInCell="1" allowOverlap="1">
                <wp:simplePos x="0" y="0"/>
                <wp:positionH relativeFrom="column">
                  <wp:posOffset>1242</wp:posOffset>
                </wp:positionH>
                <wp:positionV relativeFrom="paragraph">
                  <wp:posOffset>3997435</wp:posOffset>
                </wp:positionV>
                <wp:extent cx="5708430" cy="1884460"/>
                <wp:effectExtent l="19050" t="19050" r="26035" b="20955"/>
                <wp:wrapNone/>
                <wp:docPr id="30" name="Rectángulo 30"/>
                <wp:cNvGraphicFramePr/>
                <a:graphic xmlns:a="http://schemas.openxmlformats.org/drawingml/2006/main">
                  <a:graphicData uri="http://schemas.microsoft.com/office/word/2010/wordprocessingShape">
                    <wps:wsp>
                      <wps:cNvSpPr/>
                      <wps:spPr>
                        <a:xfrm>
                          <a:off x="0" y="0"/>
                          <a:ext cx="5708430" cy="18844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D6267A" id="Rectángulo 30" o:spid="_x0000_s1026" style="position:absolute;margin-left:.1pt;margin-top:314.75pt;width:449.5pt;height:148.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" filled="f" strokecolor="red" strokeweight="2.25pt"/>
            </w:pict>
          </mc:Fallback>
        </mc:AlternateContent>
      </w:r>
      <w:r w:rsidRPr="003030B4">
        <w:rPr>
          <w:rFonts w:ascii="Palatino Linotype" w:hAnsi="Palatino Linotype"/>
          <w:noProof/>
          <w:lang w:eastAsia="es-MX"/>
        </w:rPr>
        <w:drawing>
          <wp:inline distT="0" distB="0" distL="0" distR="0">
            <wp:extent cx="5760559" cy="705280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1673" cy="7054171"/>
                    </a:xfrm>
                    <a:prstGeom prst="rect">
                      <a:avLst/>
                    </a:prstGeom>
                    <a:noFill/>
                    <a:ln>
                      <a:noFill/>
                    </a:ln>
                  </pic:spPr>
                </pic:pic>
              </a:graphicData>
            </a:graphic>
          </wp:inline>
        </w:drawing>
      </w:r>
    </w:p>
    <w:p w:rsidR="00F0431C" w:rsidRDefault="00F0431C" w:rsidP="00F0431C">
      <w:pPr>
        <w:pStyle w:val="Sinespaciado"/>
        <w:spacing w:line="360" w:lineRule="auto"/>
        <w:jc w:val="both"/>
        <w:rPr>
          <w:rFonts w:ascii="Palatino Linotype" w:hAnsi="Palatino Linotype"/>
        </w:rPr>
      </w:pPr>
      <w:r>
        <w:rPr>
          <w:rFonts w:ascii="Palatino Linotype" w:hAnsi="Palatino Linotype"/>
        </w:rPr>
        <w:lastRenderedPageBreak/>
        <w:t>Ahora bien</w:t>
      </w:r>
      <w:r w:rsidRPr="008E1076">
        <w:rPr>
          <w:rFonts w:ascii="Palatino Linotype" w:hAnsi="Palatino Linotype"/>
        </w:rPr>
        <w:t>, es importante señalar que se omite el estudio de la naturaleza jurídica de la información públic</w:t>
      </w:r>
      <w:r>
        <w:rPr>
          <w:rFonts w:ascii="Palatino Linotype" w:hAnsi="Palatino Linotype"/>
        </w:rPr>
        <w:t>a solicitada, en virtud de que e</w:t>
      </w:r>
      <w:r w:rsidRPr="008E1076">
        <w:rPr>
          <w:rFonts w:ascii="Palatino Linotype" w:hAnsi="Palatino Linotype"/>
        </w:rPr>
        <w:t xml:space="preserve">l </w:t>
      </w:r>
      <w:r w:rsidRPr="00F0431C">
        <w:rPr>
          <w:rFonts w:ascii="Palatino Linotype" w:hAnsi="Palatino Linotype"/>
          <w:b/>
        </w:rPr>
        <w:t>Sujeto Obligado</w:t>
      </w:r>
      <w:r w:rsidRPr="008E1076">
        <w:rPr>
          <w:rFonts w:ascii="Palatino Linotype" w:hAnsi="Palatino Linotype"/>
        </w:rPr>
        <w:t xml:space="preserve"> en su respuesta </w:t>
      </w:r>
      <w:r>
        <w:rPr>
          <w:rFonts w:ascii="Palatino Linotype" w:hAnsi="Palatino Linotype"/>
        </w:rPr>
        <w:t>aceptó contar con la información solicitada, de lo que se deduce que, derivado de sus facultades y atribuciones, genera posee y</w:t>
      </w:r>
      <w:r w:rsidRPr="008E1076">
        <w:rPr>
          <w:rFonts w:ascii="Palatino Linotype" w:hAnsi="Palatino Linotype"/>
        </w:rPr>
        <w:t xml:space="preserve"> administra</w:t>
      </w:r>
      <w:r>
        <w:rPr>
          <w:rFonts w:ascii="Palatino Linotype" w:hAnsi="Palatino Linotype"/>
        </w:rPr>
        <w:t xml:space="preserve"> dicha información. </w:t>
      </w:r>
    </w:p>
    <w:p w:rsidR="00F0431C" w:rsidRPr="008E1076" w:rsidRDefault="00F0431C" w:rsidP="00F0431C">
      <w:pPr>
        <w:pStyle w:val="Sinespaciado"/>
        <w:spacing w:line="360" w:lineRule="auto"/>
        <w:jc w:val="both"/>
        <w:rPr>
          <w:rFonts w:ascii="Palatino Linotype" w:hAnsi="Palatino Linotype"/>
        </w:rPr>
      </w:pPr>
    </w:p>
    <w:p w:rsidR="00F0431C" w:rsidRDefault="00F0431C" w:rsidP="00F0431C">
      <w:pPr>
        <w:pStyle w:val="Sinespaciado"/>
        <w:spacing w:line="360" w:lineRule="auto"/>
        <w:jc w:val="both"/>
        <w:rPr>
          <w:rFonts w:ascii="Palatino Linotype" w:hAnsi="Palatino Linotype"/>
        </w:rPr>
      </w:pPr>
      <w:r w:rsidRPr="008E1076">
        <w:rPr>
          <w:rFonts w:ascii="Palatino Linotype" w:hAnsi="Palatino Linotype"/>
        </w:rPr>
        <w:t xml:space="preserve">De hecho el estudio de la naturaleza jurídica de la información pública solicitada, tiene por objeto determinar si ésta la genera, posee o administra </w:t>
      </w:r>
      <w:r>
        <w:rPr>
          <w:rFonts w:ascii="Palatino Linotype" w:hAnsi="Palatino Linotype"/>
        </w:rPr>
        <w:t>e</w:t>
      </w:r>
      <w:r w:rsidRPr="008E1076">
        <w:rPr>
          <w:rFonts w:ascii="Palatino Linotype" w:hAnsi="Palatino Linotype"/>
        </w:rPr>
        <w:t xml:space="preserve">l </w:t>
      </w:r>
      <w:r w:rsidRPr="00F0431C">
        <w:rPr>
          <w:rFonts w:ascii="Palatino Linotype" w:hAnsi="Palatino Linotype"/>
          <w:b/>
        </w:rPr>
        <w:t>Sujeto Obligado</w:t>
      </w:r>
      <w:r w:rsidRPr="008E1076">
        <w:rPr>
          <w:rFonts w:ascii="Palatino Linotype" w:hAnsi="Palatino Linotype"/>
        </w:rPr>
        <w:t>; sin embargo, en aquellos casos en que éste la asume, ello implica que la genera, posee o administra, por consiguiente</w:t>
      </w:r>
      <w:r>
        <w:rPr>
          <w:rFonts w:ascii="Palatino Linotype" w:hAnsi="Palatino Linotype"/>
        </w:rPr>
        <w:t>, a nada práctico conduce</w:t>
      </w:r>
      <w:r w:rsidRPr="008E1076">
        <w:rPr>
          <w:rFonts w:ascii="Palatino Linotype" w:hAnsi="Palatino Linotype"/>
        </w:rPr>
        <w:t xml:space="preserve"> su estudio, ya que se insiste la información pública solicitada, fue asumida por El Sujeto Obligado.</w:t>
      </w:r>
    </w:p>
    <w:p w:rsidR="00F0431C" w:rsidRPr="008E1076" w:rsidRDefault="00F0431C" w:rsidP="00F0431C">
      <w:pPr>
        <w:pStyle w:val="Sinespaciado"/>
        <w:spacing w:line="360" w:lineRule="auto"/>
        <w:jc w:val="both"/>
        <w:rPr>
          <w:rFonts w:ascii="Palatino Linotype" w:hAnsi="Palatino Linotype"/>
        </w:rPr>
      </w:pPr>
    </w:p>
    <w:p w:rsidR="00F0431C" w:rsidRPr="008E1076" w:rsidRDefault="00F0431C" w:rsidP="00F0431C">
      <w:pPr>
        <w:pStyle w:val="Sinespaciado"/>
        <w:spacing w:line="360" w:lineRule="auto"/>
        <w:jc w:val="both"/>
        <w:rPr>
          <w:rFonts w:ascii="Palatino Linotype" w:hAnsi="Palatino Linotype"/>
        </w:rPr>
      </w:pPr>
      <w:r>
        <w:rPr>
          <w:rFonts w:ascii="Palatino Linotype" w:hAnsi="Palatino Linotype"/>
        </w:rPr>
        <w:t>Por tanto</w:t>
      </w:r>
      <w:r w:rsidRPr="008E1076">
        <w:rPr>
          <w:rFonts w:ascii="Palatino Linotype" w:hAnsi="Palatino Linotype"/>
        </w:rPr>
        <w:t>, es importante señalar que el artículo 4, párrafo segundo de la Ley de Transparencia y Acceso a la Información Pública del Estado de México y Municipios, dispone</w:t>
      </w:r>
      <w:r>
        <w:rPr>
          <w:rFonts w:ascii="Palatino Linotype" w:hAnsi="Palatino Linotype"/>
        </w:rPr>
        <w:t xml:space="preserve"> lo siguiente</w:t>
      </w:r>
      <w:r w:rsidRPr="008E1076">
        <w:rPr>
          <w:rFonts w:ascii="Palatino Linotype" w:hAnsi="Palatino Linotype"/>
        </w:rPr>
        <w:t>:</w:t>
      </w:r>
    </w:p>
    <w:p w:rsidR="00F0431C" w:rsidRPr="008E1076" w:rsidRDefault="00F0431C" w:rsidP="00F0431C">
      <w:pPr>
        <w:pStyle w:val="Sinespaciado"/>
        <w:spacing w:line="360" w:lineRule="auto"/>
        <w:jc w:val="both"/>
        <w:rPr>
          <w:rFonts w:ascii="Palatino Linotype" w:hAnsi="Palatino Linotype"/>
        </w:rPr>
      </w:pPr>
    </w:p>
    <w:p w:rsidR="00F0431C" w:rsidRPr="00307C48" w:rsidRDefault="00F0431C" w:rsidP="00F0431C">
      <w:pPr>
        <w:pStyle w:val="Sinespaciado"/>
        <w:ind w:left="567" w:right="567"/>
        <w:jc w:val="both"/>
        <w:rPr>
          <w:rFonts w:ascii="Palatino Linotype" w:hAnsi="Palatino Linotype"/>
          <w:i/>
          <w:sz w:val="22"/>
        </w:rPr>
      </w:pPr>
      <w:r w:rsidRPr="00307C48">
        <w:rPr>
          <w:rFonts w:ascii="Palatino Linotype" w:hAnsi="Palatino Linotype"/>
          <w:i/>
          <w:sz w:val="22"/>
        </w:rPr>
        <w:t>“</w:t>
      </w:r>
      <w:r w:rsidRPr="00307C48">
        <w:rPr>
          <w:rFonts w:ascii="Palatino Linotype" w:hAnsi="Palatino Linotype"/>
          <w:b/>
          <w:i/>
          <w:sz w:val="22"/>
        </w:rPr>
        <w:t>Artículo 4.</w:t>
      </w:r>
      <w:r w:rsidRPr="00307C48">
        <w:rPr>
          <w:rFonts w:ascii="Palatino Linotype" w:hAnsi="Palatino Linotype"/>
          <w:i/>
          <w:sz w:val="22"/>
        </w:rPr>
        <w:t xml:space="preserve"> … </w:t>
      </w:r>
    </w:p>
    <w:p w:rsidR="00F0431C" w:rsidRPr="00307C48" w:rsidRDefault="00F0431C" w:rsidP="00F0431C">
      <w:pPr>
        <w:pStyle w:val="Sinespaciado"/>
        <w:ind w:left="567" w:right="567"/>
        <w:jc w:val="both"/>
        <w:rPr>
          <w:rFonts w:ascii="Palatino Linotype" w:hAnsi="Palatino Linotype"/>
          <w:i/>
          <w:sz w:val="22"/>
        </w:rPr>
      </w:pPr>
      <w:r w:rsidRPr="00307C48">
        <w:rPr>
          <w:rFonts w:ascii="Palatino Linotype" w:hAnsi="Palatino Linotype"/>
          <w:i/>
          <w:sz w:val="22"/>
        </w:rPr>
        <w:t xml:space="preserve"> </w:t>
      </w:r>
      <w:r w:rsidRPr="00307C48">
        <w:rPr>
          <w:rFonts w:ascii="Palatino Linotype" w:hAnsi="Palatino Linotype"/>
          <w:b/>
          <w:i/>
          <w:sz w:val="22"/>
          <w:u w:val="single"/>
        </w:rPr>
        <w:t>Toda la información generada, obtenida, adquirida, transformada, administrada o en posesión de los sujetos obligados es pública y accesible de manera permanente a cualquier persona</w:t>
      </w:r>
      <w:r w:rsidRPr="00307C48">
        <w:rPr>
          <w:rFonts w:ascii="Palatino Linotype" w:hAnsi="Palatino Linotype"/>
          <w:i/>
          <w:sz w:val="22"/>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w:t>
      </w:r>
      <w:r w:rsidRPr="00307C48">
        <w:rPr>
          <w:rFonts w:ascii="Palatino Linotype" w:hAnsi="Palatino Linotype"/>
          <w:b/>
          <w:i/>
          <w:sz w:val="22"/>
          <w:u w:val="single"/>
        </w:rPr>
        <w:t>Solo podrá ser clasificada excepcionalmente como reservada temporalmente por razones de interés público, en los términos de las causas legítimas y estrictamente necesarias previstas por esta Ley</w:t>
      </w:r>
      <w:r w:rsidRPr="00307C48">
        <w:rPr>
          <w:rFonts w:ascii="Palatino Linotype" w:hAnsi="Palatino Linotype"/>
          <w:i/>
          <w:sz w:val="22"/>
        </w:rPr>
        <w:t>.</w:t>
      </w:r>
    </w:p>
    <w:p w:rsidR="00F0431C" w:rsidRPr="00307C48" w:rsidRDefault="00F0431C" w:rsidP="00F0431C">
      <w:pPr>
        <w:pStyle w:val="Sinespaciado"/>
        <w:ind w:left="567" w:right="567"/>
        <w:jc w:val="both"/>
        <w:rPr>
          <w:rFonts w:ascii="Palatino Linotype" w:hAnsi="Palatino Linotype"/>
          <w:i/>
          <w:sz w:val="22"/>
        </w:rPr>
      </w:pPr>
      <w:r w:rsidRPr="00307C48">
        <w:rPr>
          <w:rFonts w:ascii="Palatino Linotype" w:hAnsi="Palatino Linotype"/>
          <w:i/>
          <w:sz w:val="22"/>
        </w:rPr>
        <w:t>( ...)”</w:t>
      </w:r>
    </w:p>
    <w:p w:rsidR="00F0431C" w:rsidRPr="008E1076" w:rsidRDefault="00F0431C" w:rsidP="00F0431C">
      <w:pPr>
        <w:pStyle w:val="Sinespaciado"/>
        <w:spacing w:line="360" w:lineRule="auto"/>
        <w:jc w:val="both"/>
        <w:rPr>
          <w:rFonts w:ascii="Palatino Linotype" w:hAnsi="Palatino Linotype"/>
        </w:rPr>
      </w:pPr>
    </w:p>
    <w:p w:rsidR="00F0431C" w:rsidRDefault="00F0431C" w:rsidP="00F0431C">
      <w:pPr>
        <w:pStyle w:val="Sinespaciado"/>
        <w:spacing w:line="360" w:lineRule="auto"/>
        <w:jc w:val="both"/>
        <w:rPr>
          <w:rFonts w:ascii="Palatino Linotype" w:hAnsi="Palatino Linotype"/>
        </w:rPr>
      </w:pPr>
      <w:r>
        <w:rPr>
          <w:rFonts w:ascii="Palatino Linotype" w:hAnsi="Palatino Linotype"/>
        </w:rPr>
        <w:lastRenderedPageBreak/>
        <w:t>De lo anterior se desprende</w:t>
      </w:r>
      <w:r w:rsidRPr="008E1076">
        <w:rPr>
          <w:rFonts w:ascii="Palatino Linotype" w:hAnsi="Palatino Linotype"/>
        </w:rPr>
        <w:t xml:space="preserve"> que la información generada, obtenida, adquirida, transmitida, administrada o en posesión de los Sujetos Obligados, será accesible de manera permanente a cualquier persona, privilegiando el principio de máxi</w:t>
      </w:r>
      <w:r>
        <w:rPr>
          <w:rFonts w:ascii="Palatino Linotype" w:hAnsi="Palatino Linotype"/>
        </w:rPr>
        <w:t>ma publicidad de la información; sin embargo, ésta también es susceptible de ser clasificada como reservada siempre que existan razones de interés público, en los términos de la Ley citada.</w:t>
      </w:r>
    </w:p>
    <w:p w:rsidR="00F0431C" w:rsidRDefault="00F0431C" w:rsidP="00F0431C">
      <w:pPr>
        <w:pStyle w:val="Sinespaciado"/>
        <w:spacing w:line="360" w:lineRule="auto"/>
        <w:jc w:val="both"/>
        <w:rPr>
          <w:rFonts w:ascii="Palatino Linotype" w:hAnsi="Palatino Linotype"/>
        </w:rPr>
      </w:pPr>
    </w:p>
    <w:p w:rsidR="00F0431C" w:rsidRDefault="00F0431C" w:rsidP="00F0431C">
      <w:pPr>
        <w:pStyle w:val="Sinespaciado"/>
        <w:spacing w:line="360" w:lineRule="auto"/>
        <w:jc w:val="both"/>
        <w:rPr>
          <w:rFonts w:ascii="Palatino Linotype" w:hAnsi="Palatino Linotype"/>
        </w:rPr>
      </w:pPr>
      <w:r>
        <w:rPr>
          <w:rFonts w:ascii="Palatino Linotype" w:hAnsi="Palatino Linotype"/>
        </w:rPr>
        <w:t>Asimismo</w:t>
      </w:r>
      <w:r w:rsidRPr="00B759E7">
        <w:rPr>
          <w:rFonts w:ascii="Palatino Linotype" w:hAnsi="Palatino Linotype"/>
        </w:rPr>
        <w:t xml:space="preserve">, es de recalcar que toda vez que existe un pronunciamiento por parte del </w:t>
      </w:r>
      <w:r w:rsidRPr="005B498B">
        <w:rPr>
          <w:rFonts w:ascii="Palatino Linotype" w:hAnsi="Palatino Linotype"/>
          <w:b/>
        </w:rPr>
        <w:t>Sujeto Obligado</w:t>
      </w:r>
      <w:r>
        <w:rPr>
          <w:rFonts w:ascii="Palatino Linotype" w:hAnsi="Palatino Linotype"/>
        </w:rPr>
        <w:t xml:space="preserve"> respecto al estado que guarda la información solicitada por el </w:t>
      </w:r>
      <w:r w:rsidRPr="005B498B">
        <w:rPr>
          <w:rFonts w:ascii="Palatino Linotype" w:hAnsi="Palatino Linotype"/>
          <w:b/>
        </w:rPr>
        <w:t>Recurrente</w:t>
      </w:r>
      <w:r w:rsidRPr="00B759E7">
        <w:rPr>
          <w:rFonts w:ascii="Palatino Linotype" w:hAnsi="Palatino Linotype"/>
        </w:rPr>
        <w:t>, este Órgano Garante estima conveniente señalar que no está facultado para manifestarse sobre la veracidad de la información proporcionada, ya que no existe precepto legal alguna en la Ley de la Materia que permita, vía recurso de revisión, que se pronuncia al respecto. Por analogía, sirve de apoyo a lo anterior el Criterio 31-10 emitido por el entonces Instituto Federal de Accesos a la Información y Protección de Datos, que a la letra establece</w:t>
      </w:r>
      <w:r>
        <w:rPr>
          <w:rFonts w:ascii="Palatino Linotype" w:hAnsi="Palatino Linotype"/>
        </w:rPr>
        <w:t xml:space="preserve"> lo siguiente:</w:t>
      </w:r>
    </w:p>
    <w:p w:rsidR="00F0431C" w:rsidRPr="00B759E7" w:rsidRDefault="00F0431C" w:rsidP="00F0431C">
      <w:pPr>
        <w:pStyle w:val="Sinespaciado"/>
        <w:spacing w:line="360" w:lineRule="auto"/>
        <w:jc w:val="both"/>
        <w:rPr>
          <w:rFonts w:ascii="Palatino Linotype" w:hAnsi="Palatino Linotype"/>
        </w:rPr>
      </w:pPr>
    </w:p>
    <w:p w:rsidR="00F0431C" w:rsidRPr="00307C48" w:rsidRDefault="00F0431C" w:rsidP="00F0431C">
      <w:pPr>
        <w:pStyle w:val="Sinespaciado"/>
        <w:ind w:left="567" w:right="567"/>
        <w:jc w:val="both"/>
        <w:rPr>
          <w:rFonts w:ascii="Palatino Linotype" w:hAnsi="Palatino Linotype"/>
          <w:i/>
          <w:sz w:val="22"/>
        </w:rPr>
      </w:pPr>
      <w:r w:rsidRPr="00307C48">
        <w:rPr>
          <w:rFonts w:ascii="Palatino Linotype" w:hAnsi="Palatino Linotype"/>
          <w:i/>
          <w:sz w:val="22"/>
        </w:rPr>
        <w:t>“</w:t>
      </w:r>
      <w:r w:rsidRPr="00307C48">
        <w:rPr>
          <w:rFonts w:ascii="Palatino Linotype" w:hAnsi="Palatino Linotype"/>
          <w:b/>
          <w:i/>
          <w:sz w:val="22"/>
          <w:u w:val="single"/>
        </w:rPr>
        <w:t>El Instituto Federal de Acceso a la Información y Protección de Datos no cuenta con facultades para pronunciarse respecto de la veracidad de los documentos proporcionados por los sujetos obligados.</w:t>
      </w:r>
      <w:r w:rsidRPr="00307C48">
        <w:rPr>
          <w:rFonts w:ascii="Palatino Linotype" w:hAnsi="Palatino Linotype"/>
          <w:i/>
          <w:sz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Accesos a la Información Pública Gubernamental no se prevé una </w:t>
      </w:r>
      <w:r w:rsidRPr="00307C48">
        <w:rPr>
          <w:rFonts w:ascii="Palatino Linotype" w:hAnsi="Palatino Linotype"/>
          <w:i/>
          <w:sz w:val="22"/>
        </w:rPr>
        <w:lastRenderedPageBreak/>
        <w:t>causal que permita al Instituto Federal de Acceso a la Información y Protección de Datos conocer, vía recurso de revisión, al respecto.”</w:t>
      </w:r>
    </w:p>
    <w:p w:rsidR="00F0431C" w:rsidRDefault="00F0431C" w:rsidP="00F0431C">
      <w:pPr>
        <w:pStyle w:val="Sinespaciado"/>
        <w:spacing w:line="360" w:lineRule="auto"/>
        <w:jc w:val="both"/>
        <w:rPr>
          <w:rFonts w:ascii="Palatino Linotype" w:hAnsi="Palatino Linotype"/>
        </w:rPr>
      </w:pPr>
    </w:p>
    <w:p w:rsidR="00F0431C" w:rsidRDefault="00F0431C" w:rsidP="00F0431C">
      <w:pPr>
        <w:pStyle w:val="Sinespaciado"/>
        <w:spacing w:line="360" w:lineRule="auto"/>
        <w:jc w:val="both"/>
        <w:rPr>
          <w:rFonts w:ascii="Palatino Linotype" w:hAnsi="Palatino Linotype"/>
        </w:rPr>
      </w:pPr>
      <w:r>
        <w:rPr>
          <w:rFonts w:ascii="Palatino Linotype" w:hAnsi="Palatino Linotype"/>
        </w:rPr>
        <w:t xml:space="preserve">En consecuencia, este Órgano Garante considera que, toda vez que </w:t>
      </w:r>
      <w:r w:rsidR="00621F3D">
        <w:rPr>
          <w:rFonts w:ascii="Palatino Linotype" w:hAnsi="Palatino Linotype"/>
        </w:rPr>
        <w:t>la información solicitada</w:t>
      </w:r>
      <w:r>
        <w:rPr>
          <w:rFonts w:ascii="Palatino Linotype" w:hAnsi="Palatino Linotype"/>
        </w:rPr>
        <w:t xml:space="preserve"> por el </w:t>
      </w:r>
      <w:r w:rsidRPr="00F0431C">
        <w:rPr>
          <w:rFonts w:ascii="Palatino Linotype" w:hAnsi="Palatino Linotype"/>
          <w:b/>
        </w:rPr>
        <w:t>Recurrente</w:t>
      </w:r>
      <w:r>
        <w:rPr>
          <w:rFonts w:ascii="Palatino Linotype" w:hAnsi="Palatino Linotype"/>
        </w:rPr>
        <w:t xml:space="preserve"> aún se encuentran en investigación (trámite), </w:t>
      </w:r>
      <w:r w:rsidR="00621F3D">
        <w:rPr>
          <w:rFonts w:ascii="Palatino Linotype" w:hAnsi="Palatino Linotype"/>
        </w:rPr>
        <w:t xml:space="preserve">por lo que </w:t>
      </w:r>
      <w:r>
        <w:rPr>
          <w:rFonts w:ascii="Palatino Linotype" w:hAnsi="Palatino Linotype"/>
        </w:rPr>
        <w:t xml:space="preserve">es correcta su clasificación como información </w:t>
      </w:r>
      <w:r w:rsidR="00621F3D" w:rsidRPr="00621F3D">
        <w:rPr>
          <w:rFonts w:ascii="Palatino Linotype" w:hAnsi="Palatino Linotype"/>
          <w:b/>
        </w:rPr>
        <w:t>RESERVADA</w:t>
      </w:r>
      <w:r w:rsidR="00621F3D">
        <w:rPr>
          <w:rFonts w:ascii="Palatino Linotype" w:hAnsi="Palatino Linotype"/>
        </w:rPr>
        <w:t>,</w:t>
      </w:r>
      <w:r>
        <w:rPr>
          <w:rFonts w:ascii="Palatino Linotype" w:hAnsi="Palatino Linotype"/>
        </w:rPr>
        <w:t xml:space="preserve"> de acuerdo a lo establecido en los artículos 91 y 140, fracción VI, de la Ley de Transparencia Estatal, que a la letra dicen lo siguiente:</w:t>
      </w:r>
    </w:p>
    <w:p w:rsidR="00F0431C" w:rsidRPr="00F0431C" w:rsidRDefault="00F0431C" w:rsidP="00F0431C">
      <w:pPr>
        <w:pStyle w:val="Sinespaciado"/>
        <w:spacing w:line="360" w:lineRule="auto"/>
        <w:jc w:val="both"/>
        <w:rPr>
          <w:rFonts w:ascii="Palatino Linotype" w:hAnsi="Palatino Linotype"/>
          <w:sz w:val="18"/>
        </w:rPr>
      </w:pPr>
    </w:p>
    <w:p w:rsidR="00F0431C" w:rsidRPr="00307C48" w:rsidRDefault="00F0431C" w:rsidP="00F0431C">
      <w:pPr>
        <w:pStyle w:val="Sinespaciado"/>
        <w:ind w:left="567" w:right="567"/>
        <w:jc w:val="both"/>
        <w:rPr>
          <w:rFonts w:ascii="Palatino Linotype" w:hAnsi="Palatino Linotype"/>
          <w:i/>
          <w:sz w:val="22"/>
        </w:rPr>
      </w:pPr>
      <w:r w:rsidRPr="00307C48">
        <w:rPr>
          <w:rFonts w:ascii="Palatino Linotype" w:hAnsi="Palatino Linotype"/>
          <w:b/>
          <w:i/>
          <w:sz w:val="22"/>
        </w:rPr>
        <w:t>Artículo 91.</w:t>
      </w:r>
      <w:r w:rsidRPr="00307C48">
        <w:rPr>
          <w:rFonts w:ascii="Palatino Linotype" w:hAnsi="Palatino Linotype"/>
          <w:i/>
          <w:sz w:val="22"/>
        </w:rPr>
        <w:t xml:space="preserve"> </w:t>
      </w:r>
      <w:r w:rsidRPr="00307C48">
        <w:rPr>
          <w:rFonts w:ascii="Palatino Linotype" w:hAnsi="Palatino Linotype"/>
          <w:b/>
          <w:i/>
          <w:sz w:val="22"/>
          <w:u w:val="single"/>
        </w:rPr>
        <w:t>El acceso a la información pública será restringido excepcionalmente, cuando ésta sea clasificada como reservada</w:t>
      </w:r>
      <w:r w:rsidRPr="00307C48">
        <w:rPr>
          <w:rFonts w:ascii="Palatino Linotype" w:hAnsi="Palatino Linotype"/>
          <w:i/>
          <w:sz w:val="22"/>
        </w:rPr>
        <w:t xml:space="preserve"> o confidencial.</w:t>
      </w:r>
    </w:p>
    <w:p w:rsidR="00F0431C" w:rsidRPr="00307C48" w:rsidRDefault="00F0431C" w:rsidP="00F0431C">
      <w:pPr>
        <w:pStyle w:val="Sinespaciado"/>
        <w:ind w:left="567" w:right="567"/>
        <w:jc w:val="both"/>
        <w:rPr>
          <w:rFonts w:ascii="Palatino Linotype" w:hAnsi="Palatino Linotype"/>
          <w:i/>
          <w:sz w:val="22"/>
        </w:rPr>
      </w:pPr>
    </w:p>
    <w:p w:rsidR="00F0431C" w:rsidRPr="00307C48" w:rsidRDefault="00F0431C" w:rsidP="00F0431C">
      <w:pPr>
        <w:pStyle w:val="Sinespaciado"/>
        <w:ind w:left="567" w:right="567"/>
        <w:jc w:val="both"/>
        <w:rPr>
          <w:rFonts w:ascii="Palatino Linotype" w:hAnsi="Palatino Linotype"/>
          <w:i/>
          <w:sz w:val="22"/>
        </w:rPr>
      </w:pPr>
      <w:r w:rsidRPr="00307C48">
        <w:rPr>
          <w:rFonts w:ascii="Palatino Linotype" w:hAnsi="Palatino Linotype"/>
          <w:b/>
          <w:i/>
          <w:sz w:val="22"/>
        </w:rPr>
        <w:t>Artículo 140.</w:t>
      </w:r>
      <w:r w:rsidRPr="00307C48">
        <w:rPr>
          <w:rFonts w:ascii="Palatino Linotype" w:hAnsi="Palatino Linotype"/>
          <w:i/>
          <w:sz w:val="22"/>
        </w:rPr>
        <w:t xml:space="preserve"> </w:t>
      </w:r>
      <w:r w:rsidRPr="00307C48">
        <w:rPr>
          <w:rFonts w:ascii="Palatino Linotype" w:hAnsi="Palatino Linotype"/>
          <w:b/>
          <w:i/>
          <w:sz w:val="22"/>
          <w:u w:val="single"/>
        </w:rPr>
        <w:t>El acceso a la información pública será restringido excepcionalmente, cuando por razones de interés público, ésta sea clasificada como reservada, conforme a los criterios siguientes:</w:t>
      </w:r>
    </w:p>
    <w:p w:rsidR="00F0431C" w:rsidRPr="00307C48" w:rsidRDefault="00F0431C" w:rsidP="00F0431C">
      <w:pPr>
        <w:pStyle w:val="Sinespaciado"/>
        <w:ind w:left="567" w:right="567"/>
        <w:jc w:val="both"/>
        <w:rPr>
          <w:rFonts w:ascii="Palatino Linotype" w:hAnsi="Palatino Linotype"/>
          <w:i/>
          <w:sz w:val="22"/>
        </w:rPr>
      </w:pPr>
      <w:r w:rsidRPr="00307C48">
        <w:rPr>
          <w:rFonts w:ascii="Palatino Linotype" w:hAnsi="Palatino Linotype"/>
          <w:i/>
          <w:sz w:val="22"/>
        </w:rPr>
        <w:t xml:space="preserve">(…) </w:t>
      </w:r>
    </w:p>
    <w:p w:rsidR="00F0431C" w:rsidRPr="00307C48" w:rsidRDefault="00F0431C" w:rsidP="00F0431C">
      <w:pPr>
        <w:pStyle w:val="Sinespaciado"/>
        <w:ind w:left="567" w:right="567"/>
        <w:jc w:val="both"/>
        <w:rPr>
          <w:rFonts w:ascii="Palatino Linotype" w:hAnsi="Palatino Linotype"/>
          <w:i/>
          <w:sz w:val="22"/>
        </w:rPr>
      </w:pPr>
      <w:r w:rsidRPr="00307C48">
        <w:rPr>
          <w:rFonts w:ascii="Palatino Linotype" w:hAnsi="Palatino Linotype"/>
          <w:b/>
          <w:i/>
          <w:sz w:val="22"/>
        </w:rPr>
        <w:t>VI.</w:t>
      </w:r>
      <w:r w:rsidRPr="00307C48">
        <w:rPr>
          <w:rFonts w:ascii="Palatino Linotype" w:hAnsi="Palatino Linotype"/>
          <w:i/>
          <w:sz w:val="22"/>
        </w:rPr>
        <w:t xml:space="preserve"> Pueda causar daño u obstruya la prevención o persecución de los delitos, altere el proceso de investigación de las carpetas de investigación, </w:t>
      </w:r>
      <w:r w:rsidRPr="00307C48">
        <w:rPr>
          <w:rFonts w:ascii="Palatino Linotype" w:hAnsi="Palatino Linotype"/>
          <w:b/>
          <w:i/>
          <w:sz w:val="22"/>
          <w:u w:val="single"/>
        </w:rPr>
        <w:t>afecte o vulnere la conducción o los derechos del debido proceso en los procedimientos judiciales o administrativos, incluidos los de quejas, denuncias, inconformidades, responsabilidades administrativas y resarcitorias en tanto no hayan quedado firmes</w:t>
      </w:r>
      <w:r w:rsidRPr="00307C48">
        <w:rPr>
          <w:rFonts w:ascii="Palatino Linotype" w:hAnsi="Palatino Linotype"/>
          <w:i/>
          <w:sz w:val="22"/>
        </w:rPr>
        <w:t xml:space="preserve"> o afecte la administración de justicia o la seguridad de un denunciante, querellante o testigo, así como sus familias, en los términos de las disposiciones jurídicas aplicables;</w:t>
      </w:r>
    </w:p>
    <w:p w:rsidR="00F0431C" w:rsidRDefault="00F0431C" w:rsidP="00C15E79">
      <w:pPr>
        <w:pStyle w:val="Sinespaciado"/>
        <w:spacing w:line="360" w:lineRule="auto"/>
        <w:jc w:val="both"/>
        <w:rPr>
          <w:rFonts w:ascii="Palatino Linotype" w:hAnsi="Palatino Linotype"/>
        </w:rPr>
      </w:pPr>
    </w:p>
    <w:p w:rsidR="00D24750" w:rsidRDefault="008D5BE1" w:rsidP="00C15E79">
      <w:pPr>
        <w:pStyle w:val="Sinespaciado"/>
        <w:spacing w:line="360" w:lineRule="auto"/>
        <w:jc w:val="both"/>
        <w:rPr>
          <w:rFonts w:ascii="Palatino Linotype" w:hAnsi="Palatino Linotype"/>
        </w:rPr>
      </w:pPr>
      <w:r>
        <w:rPr>
          <w:rFonts w:ascii="Palatino Linotype" w:hAnsi="Palatino Linotype"/>
        </w:rPr>
        <w:t xml:space="preserve">De la lectura </w:t>
      </w:r>
      <w:r w:rsidR="00B216FE">
        <w:rPr>
          <w:rFonts w:ascii="Palatino Linotype" w:hAnsi="Palatino Linotype"/>
        </w:rPr>
        <w:t>a la respuesta</w:t>
      </w:r>
      <w:r w:rsidR="008B44EB">
        <w:rPr>
          <w:rFonts w:ascii="Palatino Linotype" w:hAnsi="Palatino Linotype"/>
        </w:rPr>
        <w:t xml:space="preserve"> dada por el </w:t>
      </w:r>
      <w:r w:rsidR="008B44EB" w:rsidRPr="00B216FE">
        <w:rPr>
          <w:rFonts w:ascii="Palatino Linotype" w:hAnsi="Palatino Linotype"/>
          <w:b/>
        </w:rPr>
        <w:t>Sujeto Obligado</w:t>
      </w:r>
      <w:r w:rsidR="003E5922">
        <w:rPr>
          <w:rFonts w:ascii="Palatino Linotype" w:hAnsi="Palatino Linotype"/>
        </w:rPr>
        <w:t>,</w:t>
      </w:r>
      <w:r w:rsidR="008B44EB">
        <w:rPr>
          <w:rFonts w:ascii="Palatino Linotype" w:hAnsi="Palatino Linotype"/>
        </w:rPr>
        <w:t xml:space="preserve"> se </w:t>
      </w:r>
      <w:r w:rsidR="003E5922">
        <w:rPr>
          <w:rFonts w:ascii="Palatino Linotype" w:hAnsi="Palatino Linotype"/>
        </w:rPr>
        <w:t>desglosa</w:t>
      </w:r>
      <w:r w:rsidR="008B44EB">
        <w:rPr>
          <w:rFonts w:ascii="Palatino Linotype" w:hAnsi="Palatino Linotype"/>
        </w:rPr>
        <w:t xml:space="preserve"> que </w:t>
      </w:r>
      <w:r w:rsidR="007A551B">
        <w:rPr>
          <w:rFonts w:ascii="Palatino Linotype" w:hAnsi="Palatino Linotype"/>
        </w:rPr>
        <w:t xml:space="preserve">los expedientes de las servidoras públicas descritas en la solicitud de información  </w:t>
      </w:r>
      <w:r w:rsidR="007A551B" w:rsidRPr="007A551B">
        <w:rPr>
          <w:rFonts w:ascii="Palatino Linotype" w:hAnsi="Palatino Linotype"/>
          <w:b/>
        </w:rPr>
        <w:t>00774/INFOEM/IP/2019</w:t>
      </w:r>
      <w:r w:rsidR="00B216FE">
        <w:rPr>
          <w:rFonts w:ascii="Palatino Linotype" w:hAnsi="Palatino Linotype"/>
        </w:rPr>
        <w:t>, se encuentra</w:t>
      </w:r>
      <w:r w:rsidR="007A551B">
        <w:rPr>
          <w:rFonts w:ascii="Palatino Linotype" w:hAnsi="Palatino Linotype"/>
        </w:rPr>
        <w:t>n</w:t>
      </w:r>
      <w:r w:rsidR="008B44EB">
        <w:rPr>
          <w:rFonts w:ascii="Palatino Linotype" w:hAnsi="Palatino Linotype"/>
        </w:rPr>
        <w:t xml:space="preserve"> </w:t>
      </w:r>
      <w:r w:rsidR="00B216FE">
        <w:rPr>
          <w:rFonts w:ascii="Palatino Linotype" w:hAnsi="Palatino Linotype"/>
        </w:rPr>
        <w:t xml:space="preserve">en </w:t>
      </w:r>
      <w:r w:rsidR="007A551B">
        <w:rPr>
          <w:rFonts w:ascii="Palatino Linotype" w:hAnsi="Palatino Linotype"/>
        </w:rPr>
        <w:t>procedimiento de investigación por parte de la Contraloría Interna del Sujeto Obligado</w:t>
      </w:r>
      <w:r w:rsidR="00B216FE">
        <w:rPr>
          <w:rFonts w:ascii="Palatino Linotype" w:hAnsi="Palatino Linotype"/>
        </w:rPr>
        <w:t>.</w:t>
      </w:r>
    </w:p>
    <w:p w:rsidR="00B216FE" w:rsidRDefault="00B216FE" w:rsidP="00C15E79">
      <w:pPr>
        <w:pStyle w:val="Sinespaciado"/>
        <w:spacing w:line="360" w:lineRule="auto"/>
        <w:jc w:val="both"/>
        <w:rPr>
          <w:rFonts w:ascii="Palatino Linotype" w:hAnsi="Palatino Linotype"/>
        </w:rPr>
      </w:pPr>
    </w:p>
    <w:p w:rsidR="00F0431C" w:rsidRPr="007A551B" w:rsidRDefault="00F0431C" w:rsidP="007A551B">
      <w:pPr>
        <w:spacing w:after="0" w:line="360" w:lineRule="auto"/>
        <w:jc w:val="both"/>
        <w:rPr>
          <w:rFonts w:ascii="Palatino Linotype" w:hAnsi="Palatino Linotype" w:cs="Arial"/>
          <w:sz w:val="24"/>
        </w:rPr>
      </w:pPr>
      <w:r>
        <w:rPr>
          <w:rFonts w:ascii="Palatino Linotype" w:hAnsi="Palatino Linotype" w:cs="Arial"/>
          <w:sz w:val="24"/>
        </w:rPr>
        <w:lastRenderedPageBreak/>
        <w:t>L</w:t>
      </w:r>
      <w:r w:rsidR="00672390" w:rsidRPr="00672390">
        <w:rPr>
          <w:rFonts w:ascii="Palatino Linotype" w:hAnsi="Palatino Linotype" w:cs="Arial"/>
          <w:sz w:val="24"/>
        </w:rPr>
        <w:t>o anterior, se desprende que el</w:t>
      </w:r>
      <w:r w:rsidR="00672390" w:rsidRPr="00672390">
        <w:rPr>
          <w:rFonts w:ascii="Palatino Linotype" w:hAnsi="Palatino Linotype" w:cs="Arial"/>
          <w:b/>
          <w:sz w:val="24"/>
        </w:rPr>
        <w:t xml:space="preserve"> Sujeto Obligado</w:t>
      </w:r>
      <w:r w:rsidR="00672390" w:rsidRPr="00672390">
        <w:rPr>
          <w:rFonts w:ascii="Palatino Linotype" w:hAnsi="Palatino Linotype" w:cs="Arial"/>
          <w:sz w:val="24"/>
        </w:rPr>
        <w:t>, determinó que la información requerida encuadra en los supuestos del artículo 140</w:t>
      </w:r>
      <w:r w:rsidR="007A551B">
        <w:rPr>
          <w:rFonts w:ascii="Palatino Linotype" w:hAnsi="Palatino Linotype" w:cs="Arial"/>
          <w:sz w:val="24"/>
        </w:rPr>
        <w:t>,</w:t>
      </w:r>
      <w:r w:rsidR="00672390" w:rsidRPr="00672390">
        <w:rPr>
          <w:rFonts w:ascii="Palatino Linotype" w:hAnsi="Palatino Linotype" w:cs="Arial"/>
          <w:sz w:val="24"/>
        </w:rPr>
        <w:t xml:space="preserve"> fracción V</w:t>
      </w:r>
      <w:r>
        <w:rPr>
          <w:rFonts w:ascii="Palatino Linotype" w:hAnsi="Palatino Linotype" w:cs="Arial"/>
          <w:sz w:val="24"/>
        </w:rPr>
        <w:t>I</w:t>
      </w:r>
      <w:r w:rsidR="00672390" w:rsidRPr="00672390">
        <w:rPr>
          <w:rFonts w:ascii="Palatino Linotype" w:hAnsi="Palatino Linotype" w:cs="Arial"/>
          <w:sz w:val="24"/>
        </w:rPr>
        <w:t>, de la Ley de Transparencia y Acceso a la Información Pública del Estado de México y Municipios</w:t>
      </w:r>
      <w:r>
        <w:rPr>
          <w:rFonts w:ascii="Palatino Linotype" w:hAnsi="Palatino Linotype" w:cs="Arial"/>
          <w:sz w:val="24"/>
        </w:rPr>
        <w:t>.</w:t>
      </w:r>
      <w:r w:rsidR="00672390" w:rsidRPr="00672390">
        <w:rPr>
          <w:rFonts w:ascii="Palatino Linotype" w:hAnsi="Palatino Linotype" w:cs="Arial"/>
          <w:sz w:val="24"/>
        </w:rPr>
        <w:t xml:space="preserve"> </w:t>
      </w:r>
    </w:p>
    <w:p w:rsidR="007A551B" w:rsidRDefault="007A551B" w:rsidP="007A551B">
      <w:pPr>
        <w:pStyle w:val="Prrafodelista"/>
        <w:spacing w:line="360" w:lineRule="auto"/>
        <w:ind w:left="0"/>
        <w:jc w:val="both"/>
        <w:rPr>
          <w:rFonts w:ascii="Palatino Linotype" w:hAnsi="Palatino Linotype" w:cs="Arial"/>
        </w:rPr>
      </w:pPr>
    </w:p>
    <w:p w:rsidR="007A551B" w:rsidRDefault="00672390" w:rsidP="007A551B">
      <w:pPr>
        <w:pStyle w:val="Prrafodelista"/>
        <w:spacing w:line="360" w:lineRule="auto"/>
        <w:ind w:left="0"/>
        <w:jc w:val="both"/>
        <w:rPr>
          <w:rFonts w:ascii="Palatino Linotype" w:hAnsi="Palatino Linotype"/>
        </w:rPr>
      </w:pPr>
      <w:r w:rsidRPr="009547C1">
        <w:rPr>
          <w:rFonts w:ascii="Palatino Linotype" w:hAnsi="Palatino Linotype" w:cs="Arial"/>
        </w:rPr>
        <w:t xml:space="preserve">Es así que, </w:t>
      </w:r>
      <w:r w:rsidRPr="009547C1">
        <w:rPr>
          <w:rFonts w:ascii="Palatino Linotype" w:eastAsia="Calibri" w:hAnsi="Palatino Linotype" w:cs="Arial"/>
        </w:rPr>
        <w:t xml:space="preserve">si bien es cierto </w:t>
      </w:r>
      <w:r w:rsidRPr="009547C1">
        <w:rPr>
          <w:rFonts w:ascii="Palatino Linotype" w:hAnsi="Palatino Linotype"/>
        </w:rPr>
        <w:t xml:space="preserve">el derecho de acceso a la información pública se satisface en aquellos casos en que se entregue el soporte documental en que conste la información requerida, también lo es que el </w:t>
      </w:r>
      <w:r w:rsidRPr="009547C1">
        <w:rPr>
          <w:rFonts w:ascii="Palatino Linotype" w:hAnsi="Palatino Linotype" w:cs="Arial"/>
        </w:rPr>
        <w:t xml:space="preserve">derecho de acceso a la información pública puede ser restringido cuando se trate de información </w:t>
      </w:r>
      <w:r w:rsidR="007A551B" w:rsidRPr="007A551B">
        <w:rPr>
          <w:rFonts w:ascii="Palatino Linotype" w:hAnsi="Palatino Linotype" w:cs="Arial"/>
        </w:rPr>
        <w:t xml:space="preserve">clasificada </w:t>
      </w:r>
      <w:r w:rsidRPr="009547C1">
        <w:rPr>
          <w:rFonts w:ascii="Palatino Linotype" w:hAnsi="Palatino Linotype" w:cs="Arial"/>
        </w:rPr>
        <w:t xml:space="preserve">como </w:t>
      </w:r>
      <w:r w:rsidR="007A551B" w:rsidRPr="007A551B">
        <w:rPr>
          <w:rFonts w:ascii="Palatino Linotype" w:hAnsi="Palatino Linotype" w:cs="Arial"/>
          <w:b/>
          <w:i/>
        </w:rPr>
        <w:t>RESERVADA</w:t>
      </w:r>
      <w:r w:rsidRPr="009547C1">
        <w:rPr>
          <w:rFonts w:ascii="Palatino Linotype" w:hAnsi="Palatino Linotype" w:cs="Arial"/>
        </w:rPr>
        <w:t xml:space="preserve">, delimitando una serie de hipótesis de hecho en las cuales descansa la posibilidad de reserva de información, por lo que dentro la información que generen, posean o administren los Sujetos Obligados, se considerará reservada cuando su </w:t>
      </w:r>
      <w:r w:rsidRPr="009547C1">
        <w:rPr>
          <w:rFonts w:ascii="Palatino Linotype" w:hAnsi="Palatino Linotype"/>
        </w:rPr>
        <w:t>divulgación obstruya o pueda causar un serio perjuicio a las actividades de fiscalización, verificación, inspección, comprobación y auditoría sobre el cumplimiento de las Leyes como lo es en el caso en particular.</w:t>
      </w:r>
    </w:p>
    <w:p w:rsidR="007A551B" w:rsidRDefault="007A551B" w:rsidP="007A551B">
      <w:pPr>
        <w:pStyle w:val="Prrafodelista"/>
        <w:spacing w:line="360" w:lineRule="auto"/>
        <w:ind w:left="0"/>
        <w:jc w:val="both"/>
        <w:rPr>
          <w:rFonts w:ascii="Palatino Linotype" w:hAnsi="Palatino Linotype"/>
        </w:rPr>
      </w:pPr>
    </w:p>
    <w:p w:rsidR="00672390" w:rsidRDefault="00672390" w:rsidP="007A551B">
      <w:pPr>
        <w:pStyle w:val="Prrafodelista"/>
        <w:spacing w:line="360" w:lineRule="auto"/>
        <w:ind w:left="0"/>
        <w:jc w:val="both"/>
        <w:rPr>
          <w:rFonts w:ascii="Palatino Linotype" w:hAnsi="Palatino Linotype" w:cs="Arial"/>
        </w:rPr>
      </w:pPr>
      <w:r w:rsidRPr="00672390">
        <w:rPr>
          <w:rFonts w:ascii="Palatino Linotype" w:hAnsi="Palatino Linotype" w:cs="Arial"/>
        </w:rPr>
        <w:t xml:space="preserve">Atento a ello, el </w:t>
      </w:r>
      <w:r w:rsidRPr="00672390">
        <w:rPr>
          <w:rFonts w:ascii="Palatino Linotype" w:hAnsi="Palatino Linotype" w:cs="Arial"/>
          <w:b/>
        </w:rPr>
        <w:t>Sujeto Obligado</w:t>
      </w:r>
      <w:r w:rsidRPr="00672390">
        <w:rPr>
          <w:rFonts w:ascii="Palatino Linotype" w:hAnsi="Palatino Linotype" w:cs="Arial"/>
        </w:rPr>
        <w:t xml:space="preserve">, realizó </w:t>
      </w:r>
      <w:r>
        <w:rPr>
          <w:rFonts w:ascii="Palatino Linotype" w:hAnsi="Palatino Linotype" w:cs="Arial"/>
        </w:rPr>
        <w:t>la</w:t>
      </w:r>
      <w:r w:rsidRPr="00672390">
        <w:rPr>
          <w:rFonts w:ascii="Palatino Linotype" w:hAnsi="Palatino Linotype" w:cs="Arial"/>
        </w:rPr>
        <w:t xml:space="preserve"> prueba de daño y precisó las razones por las cuales la apertura de la información generaría una afectación, para ello refirió que su divulgación representa un riesgo real, demostrable e identificable, además estableció que el perjuicio supera de momento el interés público general que pudiera existir sobre la información requerida; pues, podría obstruir las activ</w:t>
      </w:r>
      <w:r>
        <w:rPr>
          <w:rFonts w:ascii="Palatino Linotype" w:hAnsi="Palatino Linotype" w:cs="Arial"/>
        </w:rPr>
        <w:t>idades de investigación</w:t>
      </w:r>
      <w:r w:rsidRPr="00672390">
        <w:rPr>
          <w:rFonts w:ascii="Palatino Linotype" w:hAnsi="Palatino Linotype" w:cs="Arial"/>
        </w:rPr>
        <w:t xml:space="preserve"> desempeñadas por la Contraloría Interna de</w:t>
      </w:r>
      <w:r>
        <w:rPr>
          <w:rFonts w:ascii="Palatino Linotype" w:hAnsi="Palatino Linotype" w:cs="Arial"/>
        </w:rPr>
        <w:t xml:space="preserve">l </w:t>
      </w:r>
      <w:r w:rsidRPr="00672390">
        <w:rPr>
          <w:rFonts w:ascii="Palatino Linotype" w:hAnsi="Palatino Linotype" w:cs="Arial"/>
          <w:b/>
        </w:rPr>
        <w:t>Sujeto Obligado</w:t>
      </w:r>
      <w:r w:rsidRPr="00672390">
        <w:rPr>
          <w:rFonts w:ascii="Palatino Linotype" w:hAnsi="Palatino Linotype" w:cs="Arial"/>
        </w:rPr>
        <w:t>, con lo que se pondría en riesgo el resultado de la inspección q</w:t>
      </w:r>
      <w:r w:rsidR="007A551B">
        <w:rPr>
          <w:rFonts w:ascii="Palatino Linotype" w:hAnsi="Palatino Linotype" w:cs="Arial"/>
        </w:rPr>
        <w:t xml:space="preserve">ue se lleva a cabo, derivada de </w:t>
      </w:r>
      <w:r w:rsidR="007A551B">
        <w:rPr>
          <w:rFonts w:ascii="Palatino Linotype" w:hAnsi="Palatino Linotype" w:cs="Arial"/>
        </w:rPr>
        <w:lastRenderedPageBreak/>
        <w:t>los</w:t>
      </w:r>
      <w:r w:rsidRPr="00672390">
        <w:rPr>
          <w:rFonts w:ascii="Palatino Linotype" w:hAnsi="Palatino Linotype" w:cs="Arial"/>
        </w:rPr>
        <w:t xml:space="preserve"> </w:t>
      </w:r>
      <w:r>
        <w:rPr>
          <w:rFonts w:ascii="Palatino Linotype" w:hAnsi="Palatino Linotype" w:cs="Arial"/>
        </w:rPr>
        <w:t>procedimiento administrativo de investigación</w:t>
      </w:r>
      <w:r w:rsidR="007A551B">
        <w:rPr>
          <w:rFonts w:ascii="Palatino Linotype" w:hAnsi="Palatino Linotype" w:cs="Arial"/>
        </w:rPr>
        <w:t xml:space="preserve"> bajo el número de expediente</w:t>
      </w:r>
      <w:r>
        <w:rPr>
          <w:rFonts w:ascii="Palatino Linotype" w:hAnsi="Palatino Linotype" w:cs="Arial"/>
        </w:rPr>
        <w:t xml:space="preserve"> </w:t>
      </w:r>
      <w:r w:rsidR="007A551B" w:rsidRPr="007A551B">
        <w:rPr>
          <w:rFonts w:ascii="Palatino Linotype" w:hAnsi="Palatino Linotype" w:cs="Arial"/>
          <w:b/>
        </w:rPr>
        <w:t>CI-OCV/PI/061/2019</w:t>
      </w:r>
      <w:r w:rsidR="00210376">
        <w:rPr>
          <w:rFonts w:ascii="Palatino Linotype" w:hAnsi="Palatino Linotype" w:cs="Arial"/>
        </w:rPr>
        <w:t>.</w:t>
      </w:r>
    </w:p>
    <w:p w:rsidR="00133A1F" w:rsidRDefault="00133A1F" w:rsidP="00133A1F">
      <w:pPr>
        <w:pStyle w:val="Sinespaciado"/>
      </w:pPr>
    </w:p>
    <w:p w:rsidR="00133A1F" w:rsidRPr="00133A1F" w:rsidRDefault="00133A1F" w:rsidP="00133A1F">
      <w:pPr>
        <w:spacing w:line="360" w:lineRule="auto"/>
        <w:jc w:val="both"/>
        <w:rPr>
          <w:rFonts w:ascii="Palatino Linotype" w:hAnsi="Palatino Linotype"/>
          <w:sz w:val="24"/>
        </w:rPr>
      </w:pPr>
      <w:r w:rsidRPr="00133A1F">
        <w:rPr>
          <w:rFonts w:ascii="Palatino Linotype" w:hAnsi="Palatino Linotype"/>
          <w:sz w:val="24"/>
        </w:rPr>
        <w:t xml:space="preserve">Aunado a lo anterior, no se omite señalar el lineamiento Vigésimo </w:t>
      </w:r>
      <w:r w:rsidR="007A551B">
        <w:rPr>
          <w:rFonts w:ascii="Palatino Linotype" w:hAnsi="Palatino Linotype"/>
          <w:sz w:val="24"/>
        </w:rPr>
        <w:t>C</w:t>
      </w:r>
      <w:r w:rsidRPr="00133A1F">
        <w:rPr>
          <w:rFonts w:ascii="Palatino Linotype" w:hAnsi="Palatino Linotype"/>
          <w:sz w:val="24"/>
        </w:rPr>
        <w:t>uarto</w:t>
      </w:r>
      <w:r w:rsidR="007A551B">
        <w:rPr>
          <w:rFonts w:ascii="Palatino Linotype" w:hAnsi="Palatino Linotype"/>
          <w:sz w:val="24"/>
        </w:rPr>
        <w:t>,</w:t>
      </w:r>
      <w:r w:rsidRPr="00133A1F">
        <w:rPr>
          <w:rFonts w:ascii="Palatino Linotype" w:hAnsi="Palatino Linotype"/>
          <w:sz w:val="24"/>
        </w:rPr>
        <w:t xml:space="preserve"> de los Lineamientos </w:t>
      </w:r>
      <w:r w:rsidR="007A551B">
        <w:rPr>
          <w:rFonts w:ascii="Palatino Linotype" w:hAnsi="Palatino Linotype"/>
          <w:sz w:val="24"/>
        </w:rPr>
        <w:t>G</w:t>
      </w:r>
      <w:r w:rsidRPr="00133A1F">
        <w:rPr>
          <w:rFonts w:ascii="Palatino Linotype" w:hAnsi="Palatino Linotype"/>
          <w:sz w:val="24"/>
        </w:rPr>
        <w:t xml:space="preserve">enerales en materia de </w:t>
      </w:r>
      <w:r w:rsidR="007A551B">
        <w:rPr>
          <w:rFonts w:ascii="Palatino Linotype" w:hAnsi="Palatino Linotype"/>
          <w:sz w:val="24"/>
        </w:rPr>
        <w:t>C</w:t>
      </w:r>
      <w:r w:rsidRPr="00133A1F">
        <w:rPr>
          <w:rFonts w:ascii="Palatino Linotype" w:hAnsi="Palatino Linotype"/>
          <w:sz w:val="24"/>
        </w:rPr>
        <w:t xml:space="preserve">lasificación y </w:t>
      </w:r>
      <w:r w:rsidR="007A551B">
        <w:rPr>
          <w:rFonts w:ascii="Palatino Linotype" w:hAnsi="Palatino Linotype"/>
          <w:sz w:val="24"/>
        </w:rPr>
        <w:t>D</w:t>
      </w:r>
      <w:r w:rsidRPr="00133A1F">
        <w:rPr>
          <w:rFonts w:ascii="Palatino Linotype" w:hAnsi="Palatino Linotype"/>
          <w:sz w:val="24"/>
        </w:rPr>
        <w:t xml:space="preserve">esclasificación de la </w:t>
      </w:r>
      <w:r w:rsidR="007A551B">
        <w:rPr>
          <w:rFonts w:ascii="Palatino Linotype" w:hAnsi="Palatino Linotype"/>
          <w:sz w:val="24"/>
        </w:rPr>
        <w:t>I</w:t>
      </w:r>
      <w:r w:rsidRPr="00133A1F">
        <w:rPr>
          <w:rFonts w:ascii="Palatino Linotype" w:hAnsi="Palatino Linotype"/>
          <w:sz w:val="24"/>
        </w:rPr>
        <w:t>nformación, así como para la elaboración de versiones públicas, publicados en el Diario Oficial de la Federación el quince de abril de dos mil dieciséis, refiere lo siguiente:</w:t>
      </w:r>
    </w:p>
    <w:p w:rsidR="00133A1F" w:rsidRPr="00133A1F" w:rsidRDefault="00133A1F" w:rsidP="00133A1F">
      <w:pPr>
        <w:pStyle w:val="Sinespaciado"/>
        <w:rPr>
          <w:sz w:val="12"/>
        </w:rPr>
      </w:pPr>
    </w:p>
    <w:p w:rsidR="00133A1F" w:rsidRDefault="00133A1F" w:rsidP="007A551B">
      <w:pPr>
        <w:spacing w:after="0" w:line="240" w:lineRule="auto"/>
        <w:ind w:left="851" w:right="901"/>
        <w:jc w:val="both"/>
        <w:rPr>
          <w:rFonts w:ascii="Palatino Linotype" w:hAnsi="Palatino Linotype" w:cs="Arial"/>
          <w:i/>
        </w:rPr>
      </w:pPr>
      <w:r w:rsidRPr="009547C1">
        <w:rPr>
          <w:rFonts w:ascii="Palatino Linotype" w:hAnsi="Palatino Linotype" w:cs="Arial"/>
          <w:i/>
        </w:rPr>
        <w:t>“</w:t>
      </w:r>
      <w:r w:rsidRPr="009547C1">
        <w:rPr>
          <w:rFonts w:ascii="Palatino Linotype" w:hAnsi="Palatino Linotype" w:cs="Arial"/>
          <w:b/>
          <w:i/>
        </w:rPr>
        <w:t>Vigésimo cuarto.</w:t>
      </w:r>
      <w:r w:rsidRPr="009547C1">
        <w:rPr>
          <w:rFonts w:ascii="Palatino Linotype" w:hAnsi="Palatino Linotype" w:cs="Arial"/>
          <w:i/>
        </w:rPr>
        <w:t> De conformidad con el artículo 113, fracción VI de la Ley General, podrá considerarse como reservada, aquella información que obstruya las actividades de verificación, inspección y auditoría relativas al cumplimiento de las leyes, cuando se actualicen los siguientes elementos:</w:t>
      </w:r>
    </w:p>
    <w:p w:rsidR="007A551B" w:rsidRPr="009547C1" w:rsidRDefault="007A551B" w:rsidP="007A551B">
      <w:pPr>
        <w:spacing w:after="0" w:line="240" w:lineRule="auto"/>
        <w:ind w:left="851" w:right="901"/>
        <w:jc w:val="both"/>
        <w:rPr>
          <w:rFonts w:ascii="Palatino Linotype" w:hAnsi="Palatino Linotype" w:cs="Arial"/>
          <w:i/>
        </w:rPr>
      </w:pPr>
    </w:p>
    <w:p w:rsidR="00133A1F" w:rsidRPr="009547C1" w:rsidRDefault="00133A1F" w:rsidP="007A551B">
      <w:pPr>
        <w:spacing w:after="0" w:line="240" w:lineRule="auto"/>
        <w:ind w:left="851" w:right="901"/>
        <w:jc w:val="both"/>
        <w:rPr>
          <w:rFonts w:ascii="Palatino Linotype" w:hAnsi="Palatino Linotype" w:cs="Arial"/>
          <w:i/>
        </w:rPr>
      </w:pPr>
      <w:r w:rsidRPr="009547C1">
        <w:rPr>
          <w:rFonts w:ascii="Palatino Linotype" w:hAnsi="Palatino Linotype" w:cs="Arial"/>
          <w:i/>
        </w:rPr>
        <w:t>I.        La existencia de un procedimiento de verificación del cumplimiento de las leyes;</w:t>
      </w:r>
    </w:p>
    <w:p w:rsidR="00133A1F" w:rsidRPr="009547C1" w:rsidRDefault="00133A1F" w:rsidP="007A551B">
      <w:pPr>
        <w:spacing w:after="0" w:line="240" w:lineRule="auto"/>
        <w:ind w:left="851" w:right="901"/>
        <w:jc w:val="both"/>
        <w:rPr>
          <w:rFonts w:ascii="Palatino Linotype" w:hAnsi="Palatino Linotype" w:cs="Arial"/>
          <w:i/>
        </w:rPr>
      </w:pPr>
      <w:r w:rsidRPr="00621F3D">
        <w:rPr>
          <w:rFonts w:ascii="Palatino Linotype" w:hAnsi="Palatino Linotype" w:cs="Arial"/>
          <w:b/>
          <w:i/>
        </w:rPr>
        <w:t>II.       </w:t>
      </w:r>
      <w:r w:rsidRPr="00621F3D">
        <w:rPr>
          <w:rFonts w:ascii="Palatino Linotype" w:hAnsi="Palatino Linotype" w:cs="Arial"/>
          <w:b/>
          <w:i/>
          <w:u w:val="single"/>
        </w:rPr>
        <w:t>Que el procedimiento se encuentre en trámite</w:t>
      </w:r>
      <w:r w:rsidRPr="009547C1">
        <w:rPr>
          <w:rFonts w:ascii="Palatino Linotype" w:hAnsi="Palatino Linotype" w:cs="Arial"/>
          <w:i/>
        </w:rPr>
        <w:t>;</w:t>
      </w:r>
    </w:p>
    <w:p w:rsidR="00133A1F" w:rsidRPr="009547C1" w:rsidRDefault="00133A1F" w:rsidP="007A551B">
      <w:pPr>
        <w:spacing w:after="0" w:line="240" w:lineRule="auto"/>
        <w:ind w:left="851" w:right="901"/>
        <w:jc w:val="both"/>
        <w:rPr>
          <w:rFonts w:ascii="Palatino Linotype" w:hAnsi="Palatino Linotype" w:cs="Arial"/>
          <w:i/>
        </w:rPr>
      </w:pPr>
      <w:r w:rsidRPr="009547C1">
        <w:rPr>
          <w:rFonts w:ascii="Palatino Linotype" w:hAnsi="Palatino Linotype" w:cs="Arial"/>
          <w:i/>
        </w:rPr>
        <w:t>III.      La vinculación directa con las actividades que realiza la autoridad en el procedimiento de verificación del cumplimiento de las leyes, y</w:t>
      </w:r>
    </w:p>
    <w:p w:rsidR="00133A1F" w:rsidRPr="009547C1" w:rsidRDefault="00133A1F" w:rsidP="007A551B">
      <w:pPr>
        <w:spacing w:after="0" w:line="240" w:lineRule="auto"/>
        <w:ind w:left="851" w:right="901"/>
        <w:jc w:val="both"/>
        <w:rPr>
          <w:rFonts w:ascii="Palatino Linotype" w:hAnsi="Palatino Linotype"/>
          <w:i/>
        </w:rPr>
      </w:pPr>
      <w:r w:rsidRPr="009547C1">
        <w:rPr>
          <w:rFonts w:ascii="Palatino Linotype" w:hAnsi="Palatino Linotype" w:cs="Arial"/>
          <w:i/>
        </w:rPr>
        <w:t>IV.      Que la difusión de la información impida u obstaculice las actividades de inspección, supervisión o vigilancia que realicen las autoridades en el procedimiento de verificación del cumplimiento de las leyes.</w:t>
      </w:r>
      <w:r w:rsidRPr="009547C1">
        <w:rPr>
          <w:rFonts w:ascii="Palatino Linotype" w:hAnsi="Palatino Linotype"/>
          <w:i/>
        </w:rPr>
        <w:t>”(Sic)</w:t>
      </w:r>
    </w:p>
    <w:p w:rsidR="00133A1F" w:rsidRDefault="00133A1F" w:rsidP="00133A1F">
      <w:pPr>
        <w:pStyle w:val="Sinespaciado"/>
      </w:pPr>
    </w:p>
    <w:p w:rsidR="007A551B" w:rsidRPr="009547C1" w:rsidRDefault="007A551B" w:rsidP="00133A1F">
      <w:pPr>
        <w:pStyle w:val="Sinespaciado"/>
      </w:pPr>
    </w:p>
    <w:p w:rsidR="00133A1F" w:rsidRPr="00133A1F" w:rsidRDefault="00133A1F" w:rsidP="00133A1F">
      <w:pPr>
        <w:spacing w:line="360" w:lineRule="auto"/>
        <w:jc w:val="both"/>
        <w:rPr>
          <w:rFonts w:ascii="Palatino Linotype" w:hAnsi="Palatino Linotype"/>
          <w:sz w:val="24"/>
        </w:rPr>
      </w:pPr>
      <w:r w:rsidRPr="00133A1F">
        <w:rPr>
          <w:rFonts w:ascii="Palatino Linotype" w:hAnsi="Palatino Linotype"/>
          <w:sz w:val="24"/>
        </w:rPr>
        <w:t xml:space="preserve">De lo anterior, se puede advertir que </w:t>
      </w:r>
      <w:r>
        <w:rPr>
          <w:rFonts w:ascii="Palatino Linotype" w:hAnsi="Palatino Linotype"/>
          <w:sz w:val="24"/>
        </w:rPr>
        <w:t>el</w:t>
      </w:r>
      <w:r w:rsidRPr="00133A1F">
        <w:rPr>
          <w:rFonts w:ascii="Palatino Linotype" w:hAnsi="Palatino Linotype"/>
          <w:b/>
          <w:sz w:val="24"/>
        </w:rPr>
        <w:t xml:space="preserve"> Sujeto Obligado </w:t>
      </w:r>
      <w:r w:rsidRPr="00133A1F">
        <w:rPr>
          <w:rFonts w:ascii="Palatino Linotype" w:hAnsi="Palatino Linotype"/>
          <w:sz w:val="24"/>
        </w:rPr>
        <w:t xml:space="preserve">acreditó a través del Acuerdo de Clasificación de la Información los elementos establecidos en los lineamientos antes citados. </w:t>
      </w:r>
    </w:p>
    <w:p w:rsidR="00133A1F" w:rsidRPr="009547C1" w:rsidRDefault="00133A1F" w:rsidP="00133A1F">
      <w:pPr>
        <w:pStyle w:val="Sinespaciado"/>
      </w:pPr>
    </w:p>
    <w:p w:rsidR="00133A1F" w:rsidRPr="00133A1F" w:rsidRDefault="00133A1F" w:rsidP="00133A1F">
      <w:pPr>
        <w:spacing w:line="360" w:lineRule="auto"/>
        <w:jc w:val="both"/>
        <w:rPr>
          <w:rFonts w:ascii="Palatino Linotype" w:hAnsi="Palatino Linotype"/>
          <w:sz w:val="24"/>
        </w:rPr>
      </w:pPr>
      <w:r w:rsidRPr="008D6D3B">
        <w:rPr>
          <w:rFonts w:ascii="Palatino Linotype" w:hAnsi="Palatino Linotype" w:cs="Arial"/>
          <w:sz w:val="24"/>
          <w:lang w:val="es-ES_tradnl"/>
        </w:rPr>
        <w:t xml:space="preserve">Ahora bien, respecto a la </w:t>
      </w:r>
      <w:r w:rsidR="00844C87" w:rsidRPr="008D6D3B">
        <w:rPr>
          <w:rFonts w:ascii="Palatino Linotype" w:hAnsi="Palatino Linotype" w:cs="Arial"/>
          <w:b/>
          <w:i/>
          <w:sz w:val="24"/>
          <w:lang w:val="es-ES_tradnl"/>
        </w:rPr>
        <w:t xml:space="preserve">TEMPORALIDAD </w:t>
      </w:r>
      <w:r w:rsidRPr="008D6D3B">
        <w:rPr>
          <w:rFonts w:ascii="Palatino Linotype" w:hAnsi="Palatino Linotype" w:cs="Arial"/>
          <w:sz w:val="24"/>
          <w:lang w:val="es-ES_tradnl"/>
        </w:rPr>
        <w:t xml:space="preserve">de </w:t>
      </w:r>
      <w:r w:rsidR="00844C87" w:rsidRPr="008D6D3B">
        <w:rPr>
          <w:rFonts w:ascii="Palatino Linotype" w:hAnsi="Palatino Linotype" w:cs="Arial"/>
          <w:b/>
          <w:i/>
          <w:sz w:val="24"/>
          <w:lang w:val="es-ES_tradnl"/>
        </w:rPr>
        <w:t xml:space="preserve">RESERVA </w:t>
      </w:r>
      <w:r w:rsidRPr="008D6D3B">
        <w:rPr>
          <w:rFonts w:ascii="Palatino Linotype" w:hAnsi="Palatino Linotype" w:cs="Arial"/>
          <w:sz w:val="24"/>
          <w:lang w:val="es-ES_tradnl"/>
        </w:rPr>
        <w:t xml:space="preserve">de la información, es de señalar que </w:t>
      </w:r>
      <w:r w:rsidRPr="008D6D3B">
        <w:rPr>
          <w:rFonts w:ascii="Palatino Linotype" w:hAnsi="Palatino Linotype"/>
          <w:sz w:val="24"/>
        </w:rPr>
        <w:t>el artículo 125</w:t>
      </w:r>
      <w:r w:rsidR="00307C48" w:rsidRPr="008D6D3B">
        <w:rPr>
          <w:rFonts w:ascii="Palatino Linotype" w:hAnsi="Palatino Linotype"/>
          <w:sz w:val="24"/>
        </w:rPr>
        <w:t>,</w:t>
      </w:r>
      <w:r w:rsidRPr="008D6D3B">
        <w:rPr>
          <w:rFonts w:ascii="Palatino Linotype" w:hAnsi="Palatino Linotype"/>
          <w:sz w:val="24"/>
        </w:rPr>
        <w:t xml:space="preserve"> de la Ley de Transparencia y Acceso a la Información </w:t>
      </w:r>
      <w:r w:rsidRPr="008D6D3B">
        <w:rPr>
          <w:rFonts w:ascii="Palatino Linotype" w:hAnsi="Palatino Linotype"/>
          <w:sz w:val="24"/>
        </w:rPr>
        <w:lastRenderedPageBreak/>
        <w:t>Pública del Estado de México y Municipios y en el artículo 101</w:t>
      </w:r>
      <w:r w:rsidR="00621F3D" w:rsidRPr="008D6D3B">
        <w:rPr>
          <w:rFonts w:ascii="Palatino Linotype" w:hAnsi="Palatino Linotype"/>
          <w:sz w:val="24"/>
        </w:rPr>
        <w:t>,</w:t>
      </w:r>
      <w:r w:rsidRPr="008D6D3B">
        <w:rPr>
          <w:rFonts w:ascii="Palatino Linotype" w:hAnsi="Palatino Linotype"/>
          <w:sz w:val="24"/>
        </w:rPr>
        <w:t xml:space="preserve"> de la Ley General de Transparencia y Acceso a la Información Pública, contemplan que la información clasificada como reservada, podrá permanecer con tal carácter hasta por un periodo de cinco años, contados a partir de su clasificación, salvo que antes del cumplimiento del periodo de restricción, dejaran de existir los motivos de su reserva.</w:t>
      </w:r>
    </w:p>
    <w:p w:rsidR="00133A1F" w:rsidRPr="00133A1F" w:rsidRDefault="00133A1F" w:rsidP="00133A1F">
      <w:pPr>
        <w:pStyle w:val="Sinespaciado"/>
      </w:pPr>
    </w:p>
    <w:p w:rsidR="00133A1F" w:rsidRPr="009547C1" w:rsidRDefault="00133A1F" w:rsidP="00133A1F">
      <w:pPr>
        <w:pStyle w:val="Prrafodelista"/>
        <w:spacing w:line="360" w:lineRule="auto"/>
        <w:ind w:left="0"/>
        <w:jc w:val="both"/>
        <w:rPr>
          <w:rFonts w:ascii="Palatino Linotype" w:hAnsi="Palatino Linotype"/>
        </w:rPr>
      </w:pPr>
      <w:r w:rsidRPr="009547C1">
        <w:rPr>
          <w:rFonts w:ascii="Palatino Linotype" w:hAnsi="Palatino Linotype"/>
        </w:rPr>
        <w:t>Es así que,</w:t>
      </w:r>
      <w:r>
        <w:rPr>
          <w:rFonts w:ascii="Palatino Linotype" w:hAnsi="Palatino Linotype"/>
        </w:rPr>
        <w:t xml:space="preserve"> del análisis a</w:t>
      </w:r>
      <w:r w:rsidRPr="009547C1">
        <w:rPr>
          <w:rFonts w:ascii="Palatino Linotype" w:hAnsi="Palatino Linotype" w:cs="Arial"/>
        </w:rPr>
        <w:t>l</w:t>
      </w:r>
      <w:r>
        <w:rPr>
          <w:rFonts w:ascii="Palatino Linotype" w:hAnsi="Palatino Linotype" w:cs="Arial"/>
        </w:rPr>
        <w:t xml:space="preserve"> </w:t>
      </w:r>
      <w:r w:rsidRPr="00133A1F">
        <w:rPr>
          <w:rFonts w:ascii="Palatino Linotype" w:hAnsi="Palatino Linotype" w:cs="Arial"/>
          <w:b/>
        </w:rPr>
        <w:t xml:space="preserve">Acuerdo </w:t>
      </w:r>
      <w:r w:rsidR="008D6D3B">
        <w:rPr>
          <w:rFonts w:ascii="Palatino Linotype" w:hAnsi="Palatino Linotype" w:cs="Arial"/>
          <w:b/>
        </w:rPr>
        <w:t>ACT/INFOEM/EXT/COMT/80ª/2019/TERCERO</w:t>
      </w:r>
      <w:r w:rsidRPr="009547C1">
        <w:rPr>
          <w:rFonts w:ascii="Palatino Linotype" w:hAnsi="Palatino Linotype" w:cs="Arial"/>
        </w:rPr>
        <w:t xml:space="preserve">, de fecha </w:t>
      </w:r>
      <w:r w:rsidR="008D6D3B">
        <w:rPr>
          <w:rFonts w:ascii="Palatino Linotype" w:hAnsi="Palatino Linotype" w:cs="Arial"/>
        </w:rPr>
        <w:t>once de septiembre de dos mil diecinueve</w:t>
      </w:r>
      <w:r w:rsidRPr="009547C1">
        <w:rPr>
          <w:rFonts w:ascii="Palatino Linotype" w:hAnsi="Palatino Linotype" w:cs="Arial"/>
        </w:rPr>
        <w:t xml:space="preserve">, emitida por el Comité de Transparencia, cumple con lo referido en el plazo anterior, pues de la misma se advierte que el Comité de Transparencia, determinó clasificar como información </w:t>
      </w:r>
      <w:r w:rsidR="008D6D3B" w:rsidRPr="008D6D3B">
        <w:rPr>
          <w:rFonts w:ascii="Palatino Linotype" w:hAnsi="Palatino Linotype" w:cs="Arial"/>
          <w:b/>
        </w:rPr>
        <w:t>RESERVADA</w:t>
      </w:r>
      <w:r w:rsidRPr="009547C1">
        <w:rPr>
          <w:rFonts w:ascii="Palatino Linotype" w:hAnsi="Palatino Linotype" w:cs="Arial"/>
        </w:rPr>
        <w:t xml:space="preserve">, respecto de </w:t>
      </w:r>
      <w:r>
        <w:rPr>
          <w:rFonts w:ascii="Palatino Linotype" w:hAnsi="Palatino Linotype" w:cs="Arial"/>
        </w:rPr>
        <w:t xml:space="preserve">la documentación </w:t>
      </w:r>
      <w:r w:rsidR="008D6D3B">
        <w:rPr>
          <w:rFonts w:ascii="Palatino Linotype" w:hAnsi="Palatino Linotype" w:cs="Arial"/>
        </w:rPr>
        <w:t xml:space="preserve">del </w:t>
      </w:r>
      <w:r w:rsidR="008D6D3B" w:rsidRPr="008D6D3B">
        <w:rPr>
          <w:rFonts w:ascii="Palatino Linotype" w:hAnsi="Palatino Linotype" w:cs="Arial"/>
          <w:b/>
          <w:i/>
        </w:rPr>
        <w:t>Procedimiento de Investigación bajo el número de expediente CI-OCV/PI/061/2019</w:t>
      </w:r>
      <w:r w:rsidR="008D6D3B">
        <w:rPr>
          <w:rFonts w:ascii="Palatino Linotype" w:hAnsi="Palatino Linotype" w:cs="Arial"/>
        </w:rPr>
        <w:t xml:space="preserve">, propuesta por el Servidor Público Habilitado de la Controlaría Interna y Órgano de Control y Vigilancia del  </w:t>
      </w:r>
      <w:r w:rsidR="008D6D3B" w:rsidRPr="008D6D3B">
        <w:rPr>
          <w:rFonts w:ascii="Palatino Linotype" w:hAnsi="Palatino Linotype" w:cs="Arial"/>
        </w:rPr>
        <w:t>Instituto de Transparencia, Acceso a la Información Pública y Protección de Datos Personales del Estado de México y Municipios</w:t>
      </w:r>
      <w:r w:rsidRPr="009547C1">
        <w:rPr>
          <w:rFonts w:ascii="Palatino Linotype" w:hAnsi="Palatino Linotype" w:cs="Arial"/>
        </w:rPr>
        <w:t xml:space="preserve">, </w:t>
      </w:r>
      <w:r w:rsidRPr="008D6D3B">
        <w:rPr>
          <w:rFonts w:ascii="Palatino Linotype" w:hAnsi="Palatino Linotype" w:cs="Arial"/>
          <w:b/>
          <w:i/>
        </w:rPr>
        <w:t xml:space="preserve">por un periodo de </w:t>
      </w:r>
      <w:r w:rsidR="008D6D3B" w:rsidRPr="008D6D3B">
        <w:rPr>
          <w:rFonts w:ascii="Palatino Linotype" w:hAnsi="Palatino Linotype" w:cs="Arial"/>
          <w:b/>
          <w:i/>
        </w:rPr>
        <w:t>dos</w:t>
      </w:r>
      <w:r w:rsidRPr="008D6D3B">
        <w:rPr>
          <w:rFonts w:ascii="Palatino Linotype" w:hAnsi="Palatino Linotype" w:cs="Arial"/>
          <w:b/>
          <w:i/>
        </w:rPr>
        <w:t xml:space="preserve"> años</w:t>
      </w:r>
      <w:r w:rsidRPr="009547C1">
        <w:rPr>
          <w:rFonts w:ascii="Palatino Linotype" w:hAnsi="Palatino Linotype" w:cs="Arial"/>
        </w:rPr>
        <w:t xml:space="preserve">; atento a ello, dicho acuerdo, contiene todos los elementos que deben integrar </w:t>
      </w:r>
      <w:r w:rsidRPr="009547C1">
        <w:rPr>
          <w:rFonts w:ascii="Palatino Linotype" w:hAnsi="Palatino Linotype"/>
        </w:rPr>
        <w:t xml:space="preserve">el proceso de dicha clasificación. </w:t>
      </w:r>
    </w:p>
    <w:p w:rsidR="00133A1F" w:rsidRPr="009547C1" w:rsidRDefault="00133A1F" w:rsidP="00133A1F">
      <w:pPr>
        <w:pStyle w:val="Prrafodelista"/>
        <w:spacing w:line="360" w:lineRule="auto"/>
        <w:ind w:left="0"/>
        <w:jc w:val="both"/>
        <w:rPr>
          <w:rFonts w:ascii="Palatino Linotype" w:hAnsi="Palatino Linotype"/>
        </w:rPr>
      </w:pPr>
    </w:p>
    <w:p w:rsidR="00621F3D" w:rsidRDefault="00133A1F" w:rsidP="00621F3D">
      <w:pPr>
        <w:spacing w:after="0" w:line="360" w:lineRule="auto"/>
        <w:jc w:val="both"/>
        <w:rPr>
          <w:rFonts w:ascii="Palatino Linotype" w:hAnsi="Palatino Linotype" w:cs="Arial"/>
          <w:sz w:val="24"/>
          <w:lang w:val="es-ES_tradnl"/>
        </w:rPr>
      </w:pPr>
      <w:r w:rsidRPr="00133A1F">
        <w:rPr>
          <w:rFonts w:ascii="Palatino Linotype" w:hAnsi="Palatino Linotype" w:cs="Arial"/>
          <w:sz w:val="24"/>
        </w:rPr>
        <w:t xml:space="preserve">Sirve de sustento por analogía, el criterio 11/10 </w:t>
      </w:r>
      <w:r w:rsidRPr="00133A1F">
        <w:rPr>
          <w:rFonts w:ascii="Palatino Linotype" w:hAnsi="Palatino Linotype" w:cs="Arial"/>
          <w:sz w:val="24"/>
          <w:lang w:val="es-ES_tradnl"/>
        </w:rPr>
        <w:t xml:space="preserve">emitido por el entonces Instituto Federal de Acceso a la Información y Protección de Datos, ahora Instituto Nacional de Acceso a la Información y Protección de Datos, que enuncia lo siguiente: </w:t>
      </w:r>
    </w:p>
    <w:p w:rsidR="00621F3D" w:rsidRPr="00621F3D" w:rsidRDefault="00621F3D" w:rsidP="00621F3D">
      <w:pPr>
        <w:pStyle w:val="Sinespaciado"/>
        <w:rPr>
          <w:lang w:val="es-ES_tradnl"/>
        </w:rPr>
      </w:pPr>
    </w:p>
    <w:p w:rsidR="00133A1F" w:rsidRPr="009547C1" w:rsidRDefault="00133A1F" w:rsidP="00621F3D">
      <w:pPr>
        <w:spacing w:after="0"/>
        <w:ind w:left="851" w:right="901"/>
        <w:jc w:val="both"/>
        <w:rPr>
          <w:rFonts w:ascii="Palatino Linotype" w:hAnsi="Palatino Linotype" w:cs="Arial"/>
          <w:i/>
        </w:rPr>
      </w:pPr>
      <w:r w:rsidRPr="009547C1">
        <w:rPr>
          <w:rFonts w:ascii="Palatino Linotype" w:hAnsi="Palatino Linotype" w:cs="Arial"/>
          <w:i/>
        </w:rPr>
        <w:t>“</w:t>
      </w:r>
      <w:r w:rsidRPr="009547C1">
        <w:rPr>
          <w:rFonts w:ascii="Palatino Linotype" w:hAnsi="Palatino Linotype" w:cs="Arial"/>
          <w:b/>
          <w:i/>
        </w:rPr>
        <w:t xml:space="preserve">Al clasificar información con carácter de reservada es necesario, en todos los casos, fijar un plazo de reserva, por lo que la clasificación de </w:t>
      </w:r>
      <w:r w:rsidRPr="009547C1">
        <w:rPr>
          <w:rFonts w:ascii="Palatino Linotype" w:hAnsi="Palatino Linotype" w:cs="Arial"/>
          <w:b/>
          <w:i/>
        </w:rPr>
        <w:lastRenderedPageBreak/>
        <w:t>información por evento no resulta procedente.</w:t>
      </w:r>
      <w:r w:rsidRPr="009547C1">
        <w:rPr>
          <w:rFonts w:ascii="Palatino Linotype" w:hAnsi="Palatino Linotype" w:cs="Arial"/>
          <w:i/>
        </w:rPr>
        <w:t xml:space="preserve"> El artículo 15 de la Ley Federal de Transparencia y Acceso a la Información Pública Gubernamental establece que la información clasificada podrá permanecer con tal carácter hasta por un periodo de doce años, pudiendo desclasificarse cuando se extingan las causas que dieron origen a su clasificación o cuando haya transcurrido el periodo de reserva. Según se advierte, la Ley Federal de Transparencia y Acceso a la Información Pública Gubernamental no establece ningún caso de excepción que permita a las dependencias y entidades no establecer un plazo al clasificar información con el carácter de reservada, por el contrario, las constriñe a establecer un periodo de reserva que sirva a los particulares de referente para conocer el tiempo por el que, en principio, un documento o expediente permanecerá con tal carácter. En tal virtud, no resulta procedente la reserva de información por evento.</w:t>
      </w:r>
    </w:p>
    <w:p w:rsidR="00133A1F" w:rsidRPr="009547C1" w:rsidRDefault="00133A1F" w:rsidP="00307C48">
      <w:pPr>
        <w:pStyle w:val="Sinespaciado"/>
      </w:pPr>
    </w:p>
    <w:p w:rsidR="00133A1F" w:rsidRPr="009547C1" w:rsidRDefault="00133A1F" w:rsidP="00307C48">
      <w:pPr>
        <w:spacing w:after="0"/>
        <w:ind w:left="851" w:right="901"/>
        <w:jc w:val="both"/>
        <w:rPr>
          <w:rFonts w:ascii="Palatino Linotype" w:hAnsi="Palatino Linotype" w:cs="Arial"/>
          <w:b/>
          <w:i/>
        </w:rPr>
      </w:pPr>
      <w:r w:rsidRPr="009547C1">
        <w:rPr>
          <w:rFonts w:ascii="Palatino Linotype" w:hAnsi="Palatino Linotype" w:cs="Arial"/>
          <w:b/>
          <w:i/>
        </w:rPr>
        <w:t>Expedientes:</w:t>
      </w:r>
    </w:p>
    <w:p w:rsidR="00133A1F" w:rsidRPr="009547C1" w:rsidRDefault="00133A1F" w:rsidP="00307C48">
      <w:pPr>
        <w:spacing w:after="0"/>
        <w:ind w:left="851" w:right="901"/>
        <w:jc w:val="both"/>
        <w:rPr>
          <w:rFonts w:ascii="Palatino Linotype" w:hAnsi="Palatino Linotype" w:cs="Arial"/>
          <w:i/>
        </w:rPr>
      </w:pPr>
      <w:r w:rsidRPr="009547C1">
        <w:rPr>
          <w:rFonts w:ascii="Palatino Linotype" w:hAnsi="Palatino Linotype" w:cs="Arial"/>
          <w:i/>
        </w:rPr>
        <w:t>2180/08 Pemex Gas y Petroquímica Básica - Jacqueline Peschard Mariscal</w:t>
      </w:r>
    </w:p>
    <w:p w:rsidR="00133A1F" w:rsidRPr="009547C1" w:rsidRDefault="00133A1F" w:rsidP="00307C48">
      <w:pPr>
        <w:spacing w:after="0"/>
        <w:ind w:left="851" w:right="901"/>
        <w:jc w:val="both"/>
        <w:rPr>
          <w:rFonts w:ascii="Palatino Linotype" w:hAnsi="Palatino Linotype" w:cs="Arial"/>
          <w:i/>
        </w:rPr>
      </w:pPr>
      <w:r w:rsidRPr="009547C1">
        <w:rPr>
          <w:rFonts w:ascii="Palatino Linotype" w:hAnsi="Palatino Linotype" w:cs="Arial"/>
          <w:i/>
        </w:rPr>
        <w:t>3603/08 El Colegio de México, A.C. – Alonso Lujambio Irazábal</w:t>
      </w:r>
    </w:p>
    <w:p w:rsidR="00133A1F" w:rsidRPr="009547C1" w:rsidRDefault="00133A1F" w:rsidP="00307C48">
      <w:pPr>
        <w:spacing w:after="0"/>
        <w:ind w:left="851" w:right="901"/>
        <w:jc w:val="both"/>
        <w:rPr>
          <w:rFonts w:ascii="Palatino Linotype" w:hAnsi="Palatino Linotype" w:cs="Arial"/>
          <w:i/>
        </w:rPr>
      </w:pPr>
      <w:r w:rsidRPr="009547C1">
        <w:rPr>
          <w:rFonts w:ascii="Palatino Linotype" w:hAnsi="Palatino Linotype" w:cs="Arial"/>
          <w:i/>
        </w:rPr>
        <w:t>708/09  Secretaría de la Función Pública – María Marván Laborde</w:t>
      </w:r>
    </w:p>
    <w:p w:rsidR="00133A1F" w:rsidRPr="009547C1" w:rsidRDefault="00133A1F" w:rsidP="00307C48">
      <w:pPr>
        <w:spacing w:after="0"/>
        <w:ind w:left="851" w:right="901"/>
        <w:jc w:val="both"/>
        <w:rPr>
          <w:rFonts w:ascii="Palatino Linotype" w:hAnsi="Palatino Linotype" w:cs="Arial"/>
          <w:i/>
        </w:rPr>
      </w:pPr>
      <w:r w:rsidRPr="009547C1">
        <w:rPr>
          <w:rFonts w:ascii="Palatino Linotype" w:hAnsi="Palatino Linotype" w:cs="Arial"/>
          <w:i/>
        </w:rPr>
        <w:t>1355/09 Instituto Mexicano del Seguro Social – Jacqueline Peschard Mariscal</w:t>
      </w:r>
    </w:p>
    <w:p w:rsidR="00133A1F" w:rsidRPr="009547C1" w:rsidRDefault="00133A1F" w:rsidP="00307C48">
      <w:pPr>
        <w:spacing w:after="0" w:line="360" w:lineRule="auto"/>
        <w:ind w:left="851" w:right="901"/>
        <w:jc w:val="both"/>
        <w:rPr>
          <w:rFonts w:ascii="Palatino Linotype" w:hAnsi="Palatino Linotype" w:cs="Arial"/>
          <w:i/>
        </w:rPr>
      </w:pPr>
      <w:r w:rsidRPr="009547C1">
        <w:rPr>
          <w:rFonts w:ascii="Palatino Linotype" w:hAnsi="Palatino Linotype" w:cs="Arial"/>
          <w:i/>
        </w:rPr>
        <w:t>2290/09 Comisión Federal de Competencia – Juan Pablo Guerrero Amparán” (sic)</w:t>
      </w:r>
    </w:p>
    <w:p w:rsidR="00133A1F" w:rsidRPr="009547C1" w:rsidRDefault="00133A1F" w:rsidP="00133A1F">
      <w:pPr>
        <w:pStyle w:val="Sinespaciado"/>
      </w:pPr>
    </w:p>
    <w:p w:rsidR="00133A1F" w:rsidRPr="00672390" w:rsidRDefault="00133A1F" w:rsidP="00672390">
      <w:pPr>
        <w:spacing w:line="360" w:lineRule="auto"/>
        <w:jc w:val="both"/>
        <w:rPr>
          <w:rFonts w:ascii="Palatino Linotype" w:hAnsi="Palatino Linotype" w:cs="Arial"/>
          <w:sz w:val="24"/>
        </w:rPr>
      </w:pPr>
      <w:r w:rsidRPr="00133A1F">
        <w:rPr>
          <w:rFonts w:ascii="Palatino Linotype" w:hAnsi="Palatino Linotype"/>
          <w:sz w:val="24"/>
        </w:rPr>
        <w:t xml:space="preserve">Es así que, este Órgano Garante determina que </w:t>
      </w:r>
      <w:r w:rsidRPr="00133A1F">
        <w:rPr>
          <w:rFonts w:ascii="Palatino Linotype" w:hAnsi="Palatino Linotype" w:cs="Arial"/>
          <w:sz w:val="24"/>
        </w:rPr>
        <w:t xml:space="preserve">la resolución </w:t>
      </w:r>
      <w:r w:rsidR="00687952">
        <w:rPr>
          <w:rFonts w:ascii="Palatino Linotype" w:hAnsi="Palatino Linotype" w:cs="Arial"/>
          <w:sz w:val="24"/>
        </w:rPr>
        <w:t>en el</w:t>
      </w:r>
      <w:r w:rsidRPr="00133A1F">
        <w:rPr>
          <w:rFonts w:ascii="Palatino Linotype" w:hAnsi="Palatino Linotype" w:cs="Arial"/>
          <w:sz w:val="24"/>
        </w:rPr>
        <w:t xml:space="preserve"> </w:t>
      </w:r>
      <w:r w:rsidR="00687952" w:rsidRPr="00687952">
        <w:rPr>
          <w:rFonts w:ascii="Palatino Linotype" w:hAnsi="Palatino Linotype" w:cs="Arial"/>
          <w:sz w:val="24"/>
        </w:rPr>
        <w:t>Acuerdo ACT/INFOEM/EXT/COMT/80ª/2019/TERCERO, de fecha once de septiembre de dos mil diecinueve</w:t>
      </w:r>
      <w:r w:rsidRPr="00133A1F">
        <w:rPr>
          <w:rFonts w:ascii="Palatino Linotype" w:hAnsi="Palatino Linotype" w:cs="Arial"/>
          <w:sz w:val="24"/>
        </w:rPr>
        <w:t xml:space="preserve">, emitida por el Comité de Transparencia se encuentra debidamente fundada y </w:t>
      </w:r>
      <w:r w:rsidRPr="00133A1F">
        <w:rPr>
          <w:rFonts w:ascii="Palatino Linotype" w:hAnsi="Palatino Linotype" w:cs="Arial"/>
          <w:sz w:val="24"/>
          <w:lang w:eastAsia="es-MX"/>
        </w:rPr>
        <w:t xml:space="preserve">motivada, </w:t>
      </w:r>
      <w:r w:rsidRPr="00133A1F">
        <w:rPr>
          <w:rFonts w:ascii="Palatino Linotype" w:hAnsi="Palatino Linotype" w:cs="Arial"/>
          <w:color w:val="000000"/>
          <w:sz w:val="24"/>
        </w:rPr>
        <w:t xml:space="preserve">en términos de lo dispuesto en </w:t>
      </w:r>
      <w:r w:rsidRPr="00133A1F">
        <w:rPr>
          <w:rFonts w:ascii="Palatino Linotype" w:hAnsi="Palatino Linotype"/>
          <w:sz w:val="24"/>
        </w:rPr>
        <w:t>los artículos 128 y 129</w:t>
      </w:r>
      <w:r w:rsidR="009939B6">
        <w:rPr>
          <w:rFonts w:ascii="Palatino Linotype" w:hAnsi="Palatino Linotype"/>
          <w:sz w:val="24"/>
        </w:rPr>
        <w:t>,</w:t>
      </w:r>
      <w:r w:rsidRPr="00133A1F">
        <w:rPr>
          <w:rFonts w:ascii="Palatino Linotype" w:hAnsi="Palatino Linotype"/>
          <w:sz w:val="24"/>
        </w:rPr>
        <w:t xml:space="preserve"> de la Ley de Trasparencia y Acceso a la Información Pública del Estado de México y Municipios, </w:t>
      </w:r>
      <w:r w:rsidRPr="00133A1F">
        <w:rPr>
          <w:rFonts w:ascii="Palatino Linotype" w:hAnsi="Palatino Linotype" w:cs="Arial"/>
          <w:sz w:val="24"/>
        </w:rPr>
        <w:t xml:space="preserve">la resolución por medio de la cual </w:t>
      </w:r>
      <w:r>
        <w:rPr>
          <w:rFonts w:ascii="Palatino Linotype" w:hAnsi="Palatino Linotype" w:cs="Arial"/>
          <w:sz w:val="24"/>
        </w:rPr>
        <w:t>el</w:t>
      </w:r>
      <w:r w:rsidRPr="00133A1F">
        <w:rPr>
          <w:rFonts w:ascii="Palatino Linotype" w:hAnsi="Palatino Linotype" w:cs="Arial"/>
          <w:b/>
          <w:sz w:val="24"/>
        </w:rPr>
        <w:t xml:space="preserve"> Sujeto Obligado </w:t>
      </w:r>
      <w:r w:rsidRPr="00133A1F">
        <w:rPr>
          <w:rFonts w:ascii="Palatino Linotype" w:hAnsi="Palatino Linotype" w:cs="Arial"/>
          <w:sz w:val="24"/>
        </w:rPr>
        <w:t xml:space="preserve">determinó clasificar como información reservada la documentación </w:t>
      </w:r>
      <w:r>
        <w:rPr>
          <w:rFonts w:ascii="Palatino Linotype" w:hAnsi="Palatino Linotype" w:cs="Arial"/>
          <w:sz w:val="24"/>
        </w:rPr>
        <w:t>antes referida, la cual se encuentran relacionada con la solicitud de información</w:t>
      </w:r>
      <w:r w:rsidRPr="00133A1F">
        <w:rPr>
          <w:rFonts w:ascii="Palatino Linotype" w:hAnsi="Palatino Linotype" w:cs="Arial"/>
          <w:sz w:val="24"/>
        </w:rPr>
        <w:t>, motivo del presente estudio</w:t>
      </w:r>
      <w:r>
        <w:rPr>
          <w:rFonts w:ascii="Palatino Linotype" w:hAnsi="Palatino Linotype" w:cs="Arial"/>
          <w:sz w:val="24"/>
        </w:rPr>
        <w:t>.</w:t>
      </w:r>
    </w:p>
    <w:p w:rsidR="00672390" w:rsidRDefault="00672390" w:rsidP="00C15E79">
      <w:pPr>
        <w:pStyle w:val="Sinespaciado"/>
        <w:spacing w:line="360" w:lineRule="auto"/>
        <w:jc w:val="both"/>
        <w:rPr>
          <w:rFonts w:ascii="Palatino Linotype" w:hAnsi="Palatino Linotype"/>
        </w:rPr>
      </w:pPr>
    </w:p>
    <w:p w:rsidR="00687952" w:rsidRDefault="00BF1912" w:rsidP="00C15E79">
      <w:pPr>
        <w:pStyle w:val="Sinespaciado"/>
        <w:spacing w:line="360" w:lineRule="auto"/>
        <w:jc w:val="both"/>
        <w:rPr>
          <w:rFonts w:ascii="Palatino Linotype" w:hAnsi="Palatino Linotype"/>
        </w:rPr>
      </w:pPr>
      <w:r>
        <w:rPr>
          <w:rFonts w:ascii="Palatino Linotype" w:hAnsi="Palatino Linotype"/>
        </w:rPr>
        <w:lastRenderedPageBreak/>
        <w:t xml:space="preserve">Ante la respuesta del </w:t>
      </w:r>
      <w:r w:rsidRPr="00B216FE">
        <w:rPr>
          <w:rFonts w:ascii="Palatino Linotype" w:hAnsi="Palatino Linotype"/>
          <w:b/>
        </w:rPr>
        <w:t>Sujeto Obligado</w:t>
      </w:r>
      <w:r>
        <w:rPr>
          <w:rFonts w:ascii="Palatino Linotype" w:hAnsi="Palatino Linotype"/>
        </w:rPr>
        <w:t xml:space="preserve">, el </w:t>
      </w:r>
      <w:r w:rsidRPr="00B216FE">
        <w:rPr>
          <w:rFonts w:ascii="Palatino Linotype" w:hAnsi="Palatino Linotype"/>
          <w:b/>
        </w:rPr>
        <w:t>Recurrente</w:t>
      </w:r>
      <w:r>
        <w:rPr>
          <w:rFonts w:ascii="Palatino Linotype" w:hAnsi="Palatino Linotype"/>
        </w:rPr>
        <w:t xml:space="preserve"> interpuso el presente medio de impugnación argumentando como razones o motivos de inconformidad </w:t>
      </w:r>
      <w:r w:rsidR="00687952">
        <w:rPr>
          <w:rFonts w:ascii="Palatino Linotype" w:hAnsi="Palatino Linotype"/>
        </w:rPr>
        <w:t>lo siguiente:</w:t>
      </w:r>
    </w:p>
    <w:p w:rsidR="00687952" w:rsidRPr="00687952" w:rsidRDefault="00687952" w:rsidP="00687952">
      <w:pPr>
        <w:pStyle w:val="Sinespaciado"/>
      </w:pPr>
    </w:p>
    <w:p w:rsidR="00687952" w:rsidRDefault="00687952" w:rsidP="00687952">
      <w:pPr>
        <w:pStyle w:val="Sinespaciado"/>
        <w:spacing w:line="276" w:lineRule="auto"/>
        <w:jc w:val="both"/>
        <w:rPr>
          <w:rFonts w:ascii="Palatino Linotype" w:hAnsi="Palatino Linotype"/>
        </w:rPr>
      </w:pPr>
      <w:r w:rsidRPr="00687952">
        <w:rPr>
          <w:rFonts w:ascii="Palatino Linotype" w:hAnsi="Palatino Linotype"/>
          <w:i/>
          <w:sz w:val="22"/>
        </w:rPr>
        <w:t xml:space="preserve">“Interpongo Recurso de revisión por la respuesta otorgada a mi solicitud número 00774/INFOEM/IP/2019, porque no se me entrega la información y la respuesta que se me otorga, específicamente el acta donde se reserva la información carece de suficiente motivación y fundamentación, y se encuentra plagada de impresiciones jurídicas y de aplicación errónea de conceptos jurídicos básicos, de acuerdo con lo siguiente: No se realiza el análisis de mi solicitud de información, ya que el Contralor y el Comité de Información solo se limitan a manifestar que la solicitud forma parte de una investigación cuyo número y fecha de inicio ni siquiera mencionan, pretendiendo ignorar que la solicitud no se refiere a un solo rubro, sino que contiene varios aspectos que en ningún momento fueron analizados en lo individual, por ejemplo, desde cuando c. gabriela nieto cid del prado es jefa de departamento?, ¿informar ese dato afecta la investigación?, nunca lo dicen y mucho menos lo justifican Tampoco se analiza la solicitud en lo que se refiere al “documento con el que el contralor hizo del conocimiento de los comisionados y/o del area administrativa, sobre la inhabilitación de dicha persona y sobre el hecho de que aún sigue en funciones violentando todo el sistema anticorrupción del que el infoem forma parte…” Con la respuesta otorgada debo asumir que dicho documento sí existe?, o sea, el Contralor informó por escrito a los comisionados y/o al área administrativa sobre dicha inhabilitación y que dicho escrito consta en la investigación?. Si es así, estaremos atentos para consultar dicha información en el momento en que la arbitraria clasificación cese y analizar la posible existencia de alguna falta o delito para realizar las denuncias que correspondan. Cabe señalar que el dictamen del Comité carece de suficiente motivación y fundamentación, ya que solo citan generalidades y confunden o desconocen conceptos jurídicos básicos, lo cual salta a la vista, por ejemplo, en la parte de ponderación de los intereses en conflicto, donde confunden la garantía de legalidad con la administración de justicia, sustentándolas en los artículos 14 y 16 constitucionales, pero omiten precisar qué parte de estas disposiciones prevén dichos principios; afirman que las constancias que integran la investigación “solo atañen al universo de las partes y del juzgador”, ahora resulta que en el expediente de procedimiento de investigación que resuelven reservar, hay “partes” y que la autoridad investigadora es un “juzgador”; además que éste debe velar por el correcto equilibrio del “proceso”, Señores Comisionados, a qué partes, proceso y juzgador se refieren sus subordinados?, porque hasta donde alcanzo a entender, siguiendo la Ley de Responsabilidades y conceptos procesales básicos, la autoridad investigadora es simplemente una autoridad administrativa, no es Juez, y la Investigación es un procedimiento, no un proceso. Si los </w:t>
      </w:r>
      <w:r w:rsidRPr="00687952">
        <w:rPr>
          <w:rFonts w:ascii="Palatino Linotype" w:hAnsi="Palatino Linotype"/>
          <w:i/>
          <w:sz w:val="22"/>
        </w:rPr>
        <w:lastRenderedPageBreak/>
        <w:t>señores del Comité y de la Contraloría no saben ni entienden la diferencia de dichos conceptos, es explicable por que resuelven de esa manera. En el aparatado de Riesgo demostrable, para acreditar el supuesto riesgo utilizan como argumento que no se tiene la certeza del solicitante, lo cual violenta mi derecho humano de acceso a la información, ya que una de sus características es la opción del anonimato y al utilizar este derecho de los ciudadanos como pretexto para no entregar información, no solo se inhibe el derecho de acceso a la información, sino se violenta las disposiciones de la Ley y de la Constitución en materia de acceso a la información. En el apartado de Acreditación de modo tiempo y lugar del daño, aparte de la confusa redacción, se alcanza a inferir que toda la información solicitada se encuentra en la clasificación, sin molestarse en analizar cuál es toda la esa información solicitada. Además argumentan que se imposibilitaría la correcta aplicación de la justicia del juzgador contaminando su juicio deliberativo, insisto cual juzgador?, cual juicio deliberativo?, si solo se trata de una investigación a cargo de una autoridad administrativa. Por otra parte, el Comité de Información no justifica el periodo de reserva de dos años, es decir, no se razona porqué ese plazo y no otro. ¿Aparte del tiempo que ya tienen investigando, que no se sabe cuanto por que no lo dicen, la Contraloría necesita dos años más para culminar su investigación?, o cual es la razón de la reserva por ese tiempo, no lo dicen y mucho menos lo justifican. Es claro que la información que solicito se oculta para encubrir el ilícito actuar del instituto al haber contratado a una persona que se encuentra inhabilitada, y si no lo sabían en el momento de la contratación, por lo menos el Contralor lo sabe desde que se inició la investigación que dicen tener; sin embargo, lo oculta al no informar a sus superiores y no investigar, porqué dicha persona sigue laborando en el Infoem, vale la pena recordar que los artículos 62 y 65 de la Ley de Responsabilidades Administrativas del Estado de México y Municipios dicen: Artículo 62. Incurrirá en contratación indebida el servidor público que autorice cualquier tipo de contratación, así como la selección, nombramiento o designación, de quien se encuentre impedido por disposición legal o inhabilitado por resolución de autoridad competente para ocupar un empleo, cargo o comisión en el servicio público o inhabilitado para realizar contrataciones con los entes públicos, siempre que en el caso de las inhabilitaciones, al momento de la autorización, éstas se encuentren inscritas en el sistema nacional o estatal de servidores públicos y particulares sancionados de la plataforma digital nacional o estatal. Artículo 65. Incurrirá en encubrimiento el servidor público que cuando en el ejercicio de sus funciones llegare a advertir actos u omisiones que pudieren constituir faltas administrativas, realice deliberadamente alguna conducta para su ocultamiento. Hechos que desde este momento denuncio y espero que el Honorable Pleno del Infoem actúe en consecuencia.”</w:t>
      </w:r>
      <w:r w:rsidRPr="00687952">
        <w:rPr>
          <w:rFonts w:ascii="Palatino Linotype" w:hAnsi="Palatino Linotype"/>
          <w:sz w:val="22"/>
        </w:rPr>
        <w:t xml:space="preserve"> </w:t>
      </w:r>
      <w:r>
        <w:rPr>
          <w:rFonts w:ascii="Palatino Linotype" w:hAnsi="Palatino Linotype"/>
        </w:rPr>
        <w:t>(Sic).</w:t>
      </w:r>
    </w:p>
    <w:p w:rsidR="00687952" w:rsidRDefault="00687952" w:rsidP="00C15E79">
      <w:pPr>
        <w:pStyle w:val="Sinespaciado"/>
        <w:spacing w:line="360" w:lineRule="auto"/>
        <w:jc w:val="both"/>
        <w:rPr>
          <w:rFonts w:ascii="Palatino Linotype" w:hAnsi="Palatino Linotype"/>
        </w:rPr>
      </w:pPr>
    </w:p>
    <w:p w:rsidR="00D24750" w:rsidRDefault="00BF1912" w:rsidP="00C15E79">
      <w:pPr>
        <w:pStyle w:val="Sinespaciado"/>
        <w:spacing w:line="360" w:lineRule="auto"/>
        <w:jc w:val="both"/>
        <w:rPr>
          <w:rFonts w:ascii="Palatino Linotype" w:hAnsi="Palatino Linotype"/>
        </w:rPr>
      </w:pPr>
      <w:r>
        <w:rPr>
          <w:rFonts w:ascii="Palatino Linotype" w:hAnsi="Palatino Linotype"/>
        </w:rPr>
        <w:lastRenderedPageBreak/>
        <w:t xml:space="preserve">Por su parte, el </w:t>
      </w:r>
      <w:r w:rsidRPr="0032671F">
        <w:rPr>
          <w:rFonts w:ascii="Palatino Linotype" w:hAnsi="Palatino Linotype"/>
          <w:b/>
        </w:rPr>
        <w:t>Sujeto Obligado</w:t>
      </w:r>
      <w:r>
        <w:rPr>
          <w:rFonts w:ascii="Palatino Linotype" w:hAnsi="Palatino Linotype"/>
        </w:rPr>
        <w:t xml:space="preserve"> al presentar su Informe Justificado, </w:t>
      </w:r>
      <w:r w:rsidR="00D846E5">
        <w:rPr>
          <w:rFonts w:ascii="Palatino Linotype" w:hAnsi="Palatino Linotype"/>
        </w:rPr>
        <w:t xml:space="preserve">adjuntó </w:t>
      </w:r>
      <w:r w:rsidR="001E78C7">
        <w:rPr>
          <w:rFonts w:ascii="Palatino Linotype" w:hAnsi="Palatino Linotype"/>
        </w:rPr>
        <w:t xml:space="preserve">las refutaciones de los Servidores Públicos Habilitados de la Contraloría Interna y de la Dirección de Administración y Finanzas del INFOEM, a los motivos de inconformidad hechos valer por el ahora </w:t>
      </w:r>
      <w:r w:rsidR="001E78C7" w:rsidRPr="001E78C7">
        <w:rPr>
          <w:rFonts w:ascii="Palatino Linotype" w:hAnsi="Palatino Linotype"/>
          <w:b/>
        </w:rPr>
        <w:t>Recurrente</w:t>
      </w:r>
      <w:r w:rsidR="005531F4">
        <w:rPr>
          <w:rFonts w:ascii="Palatino Linotype" w:hAnsi="Palatino Linotype"/>
        </w:rPr>
        <w:t xml:space="preserve">, dando como motivo </w:t>
      </w:r>
      <w:r w:rsidR="005B498B">
        <w:rPr>
          <w:rFonts w:ascii="Palatino Linotype" w:hAnsi="Palatino Linotype"/>
        </w:rPr>
        <w:t xml:space="preserve">que el mencionado asunto </w:t>
      </w:r>
      <w:r w:rsidR="001E78C7" w:rsidRPr="001E78C7">
        <w:rPr>
          <w:rFonts w:ascii="Palatino Linotype" w:hAnsi="Palatino Linotype"/>
          <w:b/>
        </w:rPr>
        <w:t>no ha causado estado</w:t>
      </w:r>
      <w:r w:rsidR="005B498B">
        <w:rPr>
          <w:rFonts w:ascii="Palatino Linotype" w:hAnsi="Palatino Linotype"/>
        </w:rPr>
        <w:t>.</w:t>
      </w:r>
    </w:p>
    <w:p w:rsidR="005B498B" w:rsidRPr="0051208B" w:rsidRDefault="005B498B" w:rsidP="0051208B">
      <w:pPr>
        <w:pStyle w:val="Sinespaciado"/>
      </w:pPr>
    </w:p>
    <w:p w:rsidR="002556E6" w:rsidRDefault="002556E6" w:rsidP="00C15E79">
      <w:pPr>
        <w:pStyle w:val="Sinespaciado"/>
        <w:spacing w:line="360" w:lineRule="auto"/>
        <w:jc w:val="both"/>
        <w:rPr>
          <w:rFonts w:ascii="Palatino Linotype" w:hAnsi="Palatino Linotype"/>
        </w:rPr>
      </w:pPr>
      <w:r>
        <w:rPr>
          <w:rFonts w:ascii="Palatino Linotype" w:hAnsi="Palatino Linotype"/>
        </w:rPr>
        <w:t>Por lo anterior, este Instituto considera ne</w:t>
      </w:r>
      <w:r w:rsidR="005B498B">
        <w:rPr>
          <w:rFonts w:ascii="Palatino Linotype" w:hAnsi="Palatino Linotype"/>
        </w:rPr>
        <w:t>cesario la reproducción de dichos</w:t>
      </w:r>
      <w:r>
        <w:rPr>
          <w:rFonts w:ascii="Palatino Linotype" w:hAnsi="Palatino Linotype"/>
        </w:rPr>
        <w:t xml:space="preserve"> </w:t>
      </w:r>
      <w:r w:rsidR="005B498B">
        <w:rPr>
          <w:rFonts w:ascii="Palatino Linotype" w:hAnsi="Palatino Linotype"/>
        </w:rPr>
        <w:t xml:space="preserve">documentos </w:t>
      </w:r>
      <w:r>
        <w:rPr>
          <w:rFonts w:ascii="Palatino Linotype" w:hAnsi="Palatino Linotype"/>
        </w:rPr>
        <w:t>con el propósito de que quede constancia de lo que se acordó en la</w:t>
      </w:r>
      <w:r w:rsidR="005B498B">
        <w:rPr>
          <w:rFonts w:ascii="Palatino Linotype" w:hAnsi="Palatino Linotype"/>
        </w:rPr>
        <w:t xml:space="preserve"> </w:t>
      </w:r>
      <w:r w:rsidR="001E78C7">
        <w:rPr>
          <w:rFonts w:ascii="Palatino Linotype" w:hAnsi="Palatino Linotype"/>
        </w:rPr>
        <w:t>S</w:t>
      </w:r>
      <w:r w:rsidR="005B498B">
        <w:rPr>
          <w:rFonts w:ascii="Palatino Linotype" w:hAnsi="Palatino Linotype"/>
        </w:rPr>
        <w:t xml:space="preserve">esión </w:t>
      </w:r>
      <w:r w:rsidR="001E78C7">
        <w:rPr>
          <w:rFonts w:ascii="Palatino Linotype" w:hAnsi="Palatino Linotype"/>
        </w:rPr>
        <w:t>Extraordinaria</w:t>
      </w:r>
      <w:r>
        <w:rPr>
          <w:rFonts w:ascii="Palatino Linotype" w:hAnsi="Palatino Linotype"/>
        </w:rPr>
        <w:t xml:space="preserve"> referida</w:t>
      </w:r>
      <w:r w:rsidR="0051208B">
        <w:rPr>
          <w:rFonts w:ascii="Palatino Linotype" w:hAnsi="Palatino Linotype"/>
        </w:rPr>
        <w:t xml:space="preserve">, se insertan algunos extractos de dicho documento, originados  </w:t>
      </w:r>
      <w:r w:rsidR="001E78C7">
        <w:rPr>
          <w:rFonts w:ascii="Palatino Linotype" w:hAnsi="Palatino Linotype"/>
        </w:rPr>
        <w:t xml:space="preserve"> en la respuesta primigenia</w:t>
      </w:r>
      <w:r>
        <w:rPr>
          <w:rFonts w:ascii="Palatino Linotype" w:hAnsi="Palatino Linotype"/>
        </w:rPr>
        <w:t>:</w:t>
      </w:r>
    </w:p>
    <w:p w:rsidR="00D24750" w:rsidRDefault="0051208B" w:rsidP="002556E6">
      <w:pPr>
        <w:pStyle w:val="Sinespaciado"/>
        <w:spacing w:line="360" w:lineRule="auto"/>
        <w:jc w:val="center"/>
        <w:rPr>
          <w:rFonts w:ascii="Palatino Linotype" w:hAnsi="Palatino Linotype"/>
        </w:rPr>
      </w:pPr>
      <w:r>
        <w:rPr>
          <w:rFonts w:ascii="Palatino Linotype" w:hAnsi="Palatino Linotype"/>
          <w:noProof/>
          <w:lang w:eastAsia="es-MX"/>
        </w:rPr>
        <mc:AlternateContent>
          <mc:Choice Requires="wps">
            <w:drawing>
              <wp:anchor distT="0" distB="0" distL="114300" distR="114300" simplePos="0" relativeHeight="251685888" behindDoc="0" locked="0" layoutInCell="1" allowOverlap="1">
                <wp:simplePos x="0" y="0"/>
                <wp:positionH relativeFrom="column">
                  <wp:posOffset>2219656</wp:posOffset>
                </wp:positionH>
                <wp:positionV relativeFrom="paragraph">
                  <wp:posOffset>179898</wp:posOffset>
                </wp:positionV>
                <wp:extent cx="3474720" cy="715618"/>
                <wp:effectExtent l="19050" t="19050" r="11430" b="27940"/>
                <wp:wrapNone/>
                <wp:docPr id="7" name="Rectángulo 7"/>
                <wp:cNvGraphicFramePr/>
                <a:graphic xmlns:a="http://schemas.openxmlformats.org/drawingml/2006/main">
                  <a:graphicData uri="http://schemas.microsoft.com/office/word/2010/wordprocessingShape">
                    <wps:wsp>
                      <wps:cNvSpPr/>
                      <wps:spPr>
                        <a:xfrm>
                          <a:off x="0" y="0"/>
                          <a:ext cx="3474720" cy="71561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E36E57" id="Rectángulo 7" o:spid="_x0000_s1026" style="position:absolute;margin-left:174.8pt;margin-top:14.15pt;width:273.6pt;height:56.3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" filled="f" strokecolor="red" strokeweight="2.25pt"/>
            </w:pict>
          </mc:Fallback>
        </mc:AlternateContent>
      </w:r>
      <w:r w:rsidRPr="0051208B">
        <w:rPr>
          <w:rFonts w:ascii="Palatino Linotype" w:hAnsi="Palatino Linotype"/>
          <w:noProof/>
          <w:lang w:eastAsia="es-MX"/>
        </w:rPr>
        <w:drawing>
          <wp:inline distT="0" distB="0" distL="0" distR="0">
            <wp:extent cx="5755858" cy="4031312"/>
            <wp:effectExtent l="0" t="0" r="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816" b="2340"/>
                    <a:stretch/>
                  </pic:blipFill>
                  <pic:spPr bwMode="auto">
                    <a:xfrm>
                      <a:off x="0" y="0"/>
                      <a:ext cx="5771257" cy="4042097"/>
                    </a:xfrm>
                    <a:prstGeom prst="rect">
                      <a:avLst/>
                    </a:prstGeom>
                    <a:noFill/>
                    <a:ln>
                      <a:noFill/>
                    </a:ln>
                    <a:extLst>
                      <a:ext uri="{53640926-AAD7-44D8-BBD7-CCE9431645EC}">
                        <a14:shadowObscured xmlns:a14="http://schemas.microsoft.com/office/drawing/2010/main"/>
                      </a:ext>
                    </a:extLst>
                  </pic:spPr>
                </pic:pic>
              </a:graphicData>
            </a:graphic>
          </wp:inline>
        </w:drawing>
      </w:r>
    </w:p>
    <w:p w:rsidR="00D24750" w:rsidRDefault="0051208B" w:rsidP="002556E6">
      <w:pPr>
        <w:pStyle w:val="Sinespaciado"/>
        <w:spacing w:line="360" w:lineRule="auto"/>
        <w:jc w:val="center"/>
        <w:rPr>
          <w:rFonts w:ascii="Palatino Linotype" w:hAnsi="Palatino Linotype"/>
        </w:rPr>
      </w:pPr>
      <w:r>
        <w:rPr>
          <w:rFonts w:ascii="Palatino Linotype" w:hAnsi="Palatino Linotype"/>
          <w:noProof/>
          <w:lang w:eastAsia="es-MX"/>
        </w:rPr>
        <w:lastRenderedPageBreak/>
        <mc:AlternateContent>
          <mc:Choice Requires="wps">
            <w:drawing>
              <wp:anchor distT="0" distB="0" distL="114300" distR="114300" simplePos="0" relativeHeight="251684864" behindDoc="0" locked="0" layoutInCell="1" allowOverlap="1">
                <wp:simplePos x="0" y="0"/>
                <wp:positionH relativeFrom="column">
                  <wp:posOffset>56902</wp:posOffset>
                </wp:positionH>
                <wp:positionV relativeFrom="paragraph">
                  <wp:posOffset>125150</wp:posOffset>
                </wp:positionV>
                <wp:extent cx="5605669" cy="1486894"/>
                <wp:effectExtent l="19050" t="19050" r="14605" b="18415"/>
                <wp:wrapNone/>
                <wp:docPr id="6" name="Rectángulo 6"/>
                <wp:cNvGraphicFramePr/>
                <a:graphic xmlns:a="http://schemas.openxmlformats.org/drawingml/2006/main">
                  <a:graphicData uri="http://schemas.microsoft.com/office/word/2010/wordprocessingShape">
                    <wps:wsp>
                      <wps:cNvSpPr/>
                      <wps:spPr>
                        <a:xfrm>
                          <a:off x="0" y="0"/>
                          <a:ext cx="5605669" cy="148689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AFF791" id="Rectángulo 6" o:spid="_x0000_s1026" style="position:absolute;margin-left:4.5pt;margin-top:9.85pt;width:441.4pt;height:117.1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" filled="f" strokecolor="red" strokeweight="2.25pt"/>
            </w:pict>
          </mc:Fallback>
        </mc:AlternateContent>
      </w:r>
      <w:r w:rsidRPr="0051208B">
        <w:rPr>
          <w:rFonts w:ascii="Palatino Linotype" w:hAnsi="Palatino Linotype"/>
          <w:noProof/>
          <w:lang w:eastAsia="es-MX"/>
        </w:rPr>
        <w:drawing>
          <wp:inline distT="0" distB="0" distL="0" distR="0">
            <wp:extent cx="5760177" cy="1558456"/>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8764"/>
                    <a:stretch/>
                  </pic:blipFill>
                  <pic:spPr bwMode="auto">
                    <a:xfrm>
                      <a:off x="0" y="0"/>
                      <a:ext cx="5760720" cy="1558603"/>
                    </a:xfrm>
                    <a:prstGeom prst="rect">
                      <a:avLst/>
                    </a:prstGeom>
                    <a:noFill/>
                    <a:ln>
                      <a:noFill/>
                    </a:ln>
                    <a:extLst>
                      <a:ext uri="{53640926-AAD7-44D8-BBD7-CCE9431645EC}">
                        <a14:shadowObscured xmlns:a14="http://schemas.microsoft.com/office/drawing/2010/main"/>
                      </a:ext>
                    </a:extLst>
                  </pic:spPr>
                </pic:pic>
              </a:graphicData>
            </a:graphic>
          </wp:inline>
        </w:drawing>
      </w:r>
    </w:p>
    <w:p w:rsidR="002556E6" w:rsidRDefault="0051208B" w:rsidP="002556E6">
      <w:pPr>
        <w:pStyle w:val="Sinespaciado"/>
        <w:spacing w:line="360" w:lineRule="auto"/>
        <w:jc w:val="center"/>
        <w:rPr>
          <w:rFonts w:ascii="Palatino Linotype" w:hAnsi="Palatino Linotype"/>
        </w:rPr>
      </w:pPr>
      <w:r w:rsidRPr="0051208B">
        <w:rPr>
          <w:rFonts w:ascii="Palatino Linotype" w:hAnsi="Palatino Linotype"/>
          <w:noProof/>
          <w:lang w:eastAsia="es-MX"/>
        </w:rPr>
        <w:drawing>
          <wp:inline distT="0" distB="0" distL="0" distR="0">
            <wp:extent cx="5751120" cy="214685"/>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2106" b="35211"/>
                    <a:stretch/>
                  </pic:blipFill>
                  <pic:spPr bwMode="auto">
                    <a:xfrm>
                      <a:off x="0" y="0"/>
                      <a:ext cx="5760720" cy="215043"/>
                    </a:xfrm>
                    <a:prstGeom prst="rect">
                      <a:avLst/>
                    </a:prstGeom>
                    <a:noFill/>
                    <a:ln>
                      <a:noFill/>
                    </a:ln>
                    <a:extLst>
                      <a:ext uri="{53640926-AAD7-44D8-BBD7-CCE9431645EC}">
                        <a14:shadowObscured xmlns:a14="http://schemas.microsoft.com/office/drawing/2010/main"/>
                      </a:ext>
                    </a:extLst>
                  </pic:spPr>
                </pic:pic>
              </a:graphicData>
            </a:graphic>
          </wp:inline>
        </w:drawing>
      </w:r>
    </w:p>
    <w:p w:rsidR="00F0431C" w:rsidRDefault="0051208B" w:rsidP="002556E6">
      <w:pPr>
        <w:pStyle w:val="Sinespaciado"/>
        <w:spacing w:line="360" w:lineRule="auto"/>
        <w:jc w:val="center"/>
        <w:rPr>
          <w:rFonts w:ascii="Palatino Linotype" w:hAnsi="Palatino Linotype"/>
        </w:rPr>
      </w:pPr>
      <w:r w:rsidRPr="0051208B">
        <w:rPr>
          <w:rFonts w:ascii="Palatino Linotype" w:hAnsi="Palatino Linotype"/>
          <w:noProof/>
          <w:lang w:eastAsia="es-MX"/>
        </w:rPr>
        <w:drawing>
          <wp:inline distT="0" distB="0" distL="0" distR="0">
            <wp:extent cx="5757077" cy="46244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5906"/>
                    <a:stretch/>
                  </pic:blipFill>
                  <pic:spPr bwMode="auto">
                    <a:xfrm>
                      <a:off x="0" y="0"/>
                      <a:ext cx="5760720" cy="462738"/>
                    </a:xfrm>
                    <a:prstGeom prst="rect">
                      <a:avLst/>
                    </a:prstGeom>
                    <a:noFill/>
                    <a:ln>
                      <a:noFill/>
                    </a:ln>
                    <a:extLst>
                      <a:ext uri="{53640926-AAD7-44D8-BBD7-CCE9431645EC}">
                        <a14:shadowObscured xmlns:a14="http://schemas.microsoft.com/office/drawing/2010/main"/>
                      </a:ext>
                    </a:extLst>
                  </pic:spPr>
                </pic:pic>
              </a:graphicData>
            </a:graphic>
          </wp:inline>
        </w:drawing>
      </w:r>
    </w:p>
    <w:p w:rsidR="00F0431C" w:rsidRDefault="0051208B" w:rsidP="002556E6">
      <w:pPr>
        <w:pStyle w:val="Sinespaciado"/>
        <w:spacing w:line="360" w:lineRule="auto"/>
        <w:jc w:val="center"/>
        <w:rPr>
          <w:rFonts w:ascii="Palatino Linotype" w:hAnsi="Palatino Linotype"/>
        </w:rPr>
      </w:pPr>
      <w:r w:rsidRPr="0051208B">
        <w:rPr>
          <w:rFonts w:ascii="Palatino Linotype" w:hAnsi="Palatino Linotype"/>
          <w:noProof/>
          <w:lang w:eastAsia="es-MX"/>
        </w:rPr>
        <w:drawing>
          <wp:inline distT="0" distB="0" distL="0" distR="0">
            <wp:extent cx="5759376" cy="444477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5377"/>
                    <a:stretch/>
                  </pic:blipFill>
                  <pic:spPr bwMode="auto">
                    <a:xfrm>
                      <a:off x="0" y="0"/>
                      <a:ext cx="5768188" cy="4451580"/>
                    </a:xfrm>
                    <a:prstGeom prst="rect">
                      <a:avLst/>
                    </a:prstGeom>
                    <a:noFill/>
                    <a:ln>
                      <a:noFill/>
                    </a:ln>
                    <a:extLst>
                      <a:ext uri="{53640926-AAD7-44D8-BBD7-CCE9431645EC}">
                        <a14:shadowObscured xmlns:a14="http://schemas.microsoft.com/office/drawing/2010/main"/>
                      </a:ext>
                    </a:extLst>
                  </pic:spPr>
                </pic:pic>
              </a:graphicData>
            </a:graphic>
          </wp:inline>
        </w:drawing>
      </w:r>
    </w:p>
    <w:p w:rsidR="00F0431C" w:rsidRDefault="00F0431C" w:rsidP="002556E6">
      <w:pPr>
        <w:pStyle w:val="Sinespaciado"/>
        <w:spacing w:line="360" w:lineRule="auto"/>
        <w:jc w:val="center"/>
        <w:rPr>
          <w:rFonts w:ascii="Palatino Linotype" w:hAnsi="Palatino Linotype"/>
        </w:rPr>
      </w:pPr>
    </w:p>
    <w:p w:rsidR="00F0431C" w:rsidRDefault="00326EF6" w:rsidP="002556E6">
      <w:pPr>
        <w:pStyle w:val="Sinespaciado"/>
        <w:spacing w:line="360" w:lineRule="auto"/>
        <w:jc w:val="center"/>
        <w:rPr>
          <w:rFonts w:ascii="Palatino Linotype" w:hAnsi="Palatino Linotype"/>
        </w:rPr>
      </w:pPr>
      <w:r w:rsidRPr="00326EF6">
        <w:rPr>
          <w:rFonts w:ascii="Palatino Linotype" w:hAnsi="Palatino Linotype"/>
          <w:noProof/>
          <w:lang w:eastAsia="es-MX"/>
        </w:rPr>
        <w:drawing>
          <wp:inline distT="0" distB="0" distL="0" distR="0">
            <wp:extent cx="5760720" cy="6590005"/>
            <wp:effectExtent l="0" t="0" r="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6590005"/>
                    </a:xfrm>
                    <a:prstGeom prst="rect">
                      <a:avLst/>
                    </a:prstGeom>
                    <a:noFill/>
                    <a:ln>
                      <a:noFill/>
                    </a:ln>
                  </pic:spPr>
                </pic:pic>
              </a:graphicData>
            </a:graphic>
          </wp:inline>
        </w:drawing>
      </w:r>
    </w:p>
    <w:p w:rsidR="00F0431C" w:rsidRDefault="00326EF6" w:rsidP="00326EF6">
      <w:pPr>
        <w:pStyle w:val="Sinespaciado"/>
        <w:spacing w:line="360" w:lineRule="auto"/>
        <w:jc w:val="center"/>
        <w:rPr>
          <w:rFonts w:ascii="Palatino Linotype" w:hAnsi="Palatino Linotype"/>
        </w:rPr>
      </w:pPr>
      <w:r w:rsidRPr="00326EF6">
        <w:rPr>
          <w:rFonts w:ascii="Palatino Linotype" w:hAnsi="Palatino Linotype"/>
          <w:noProof/>
          <w:lang w:eastAsia="es-MX"/>
        </w:rPr>
        <w:lastRenderedPageBreak/>
        <w:drawing>
          <wp:inline distT="0" distB="0" distL="0" distR="0">
            <wp:extent cx="5760720" cy="6829877"/>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6829877"/>
                    </a:xfrm>
                    <a:prstGeom prst="rect">
                      <a:avLst/>
                    </a:prstGeom>
                    <a:noFill/>
                    <a:ln>
                      <a:noFill/>
                    </a:ln>
                  </pic:spPr>
                </pic:pic>
              </a:graphicData>
            </a:graphic>
          </wp:inline>
        </w:drawing>
      </w:r>
    </w:p>
    <w:p w:rsidR="00F0431C" w:rsidRDefault="00326EF6" w:rsidP="00326EF6">
      <w:pPr>
        <w:pStyle w:val="Sinespaciado"/>
        <w:spacing w:line="360" w:lineRule="auto"/>
        <w:jc w:val="center"/>
        <w:rPr>
          <w:rFonts w:ascii="Palatino Linotype" w:hAnsi="Palatino Linotype"/>
        </w:rPr>
      </w:pPr>
      <w:r w:rsidRPr="00326EF6">
        <w:rPr>
          <w:rFonts w:ascii="Palatino Linotype" w:hAnsi="Palatino Linotype"/>
          <w:noProof/>
          <w:lang w:eastAsia="es-MX"/>
        </w:rPr>
        <w:lastRenderedPageBreak/>
        <w:drawing>
          <wp:inline distT="0" distB="0" distL="0" distR="0">
            <wp:extent cx="5760720" cy="6814782"/>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6814782"/>
                    </a:xfrm>
                    <a:prstGeom prst="rect">
                      <a:avLst/>
                    </a:prstGeom>
                    <a:noFill/>
                    <a:ln>
                      <a:noFill/>
                    </a:ln>
                  </pic:spPr>
                </pic:pic>
              </a:graphicData>
            </a:graphic>
          </wp:inline>
        </w:drawing>
      </w:r>
    </w:p>
    <w:p w:rsidR="00F0431C" w:rsidRDefault="00326EF6" w:rsidP="002556E6">
      <w:pPr>
        <w:pStyle w:val="Sinespaciado"/>
        <w:spacing w:line="360" w:lineRule="auto"/>
        <w:jc w:val="center"/>
        <w:rPr>
          <w:rFonts w:ascii="Palatino Linotype" w:hAnsi="Palatino Linotype"/>
        </w:rPr>
      </w:pPr>
      <w:r w:rsidRPr="00326EF6">
        <w:rPr>
          <w:rFonts w:ascii="Palatino Linotype" w:hAnsi="Palatino Linotype"/>
          <w:noProof/>
          <w:lang w:eastAsia="es-MX"/>
        </w:rPr>
        <w:lastRenderedPageBreak/>
        <w:drawing>
          <wp:inline distT="0" distB="0" distL="0" distR="0">
            <wp:extent cx="5760720" cy="68601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6860100"/>
                    </a:xfrm>
                    <a:prstGeom prst="rect">
                      <a:avLst/>
                    </a:prstGeom>
                    <a:noFill/>
                    <a:ln>
                      <a:noFill/>
                    </a:ln>
                  </pic:spPr>
                </pic:pic>
              </a:graphicData>
            </a:graphic>
          </wp:inline>
        </w:drawing>
      </w:r>
    </w:p>
    <w:p w:rsidR="00F0431C" w:rsidRDefault="00F0431C" w:rsidP="002556E6">
      <w:pPr>
        <w:pStyle w:val="Sinespaciado"/>
        <w:spacing w:line="360" w:lineRule="auto"/>
        <w:jc w:val="center"/>
        <w:rPr>
          <w:rFonts w:ascii="Palatino Linotype" w:hAnsi="Palatino Linotype"/>
        </w:rPr>
      </w:pPr>
    </w:p>
    <w:p w:rsidR="00F0431C" w:rsidRDefault="00326EF6" w:rsidP="002556E6">
      <w:pPr>
        <w:pStyle w:val="Sinespaciado"/>
        <w:spacing w:line="360" w:lineRule="auto"/>
        <w:jc w:val="center"/>
        <w:rPr>
          <w:rFonts w:ascii="Palatino Linotype" w:hAnsi="Palatino Linotype"/>
        </w:rPr>
      </w:pPr>
      <w:r w:rsidRPr="00326EF6">
        <w:rPr>
          <w:rFonts w:ascii="Palatino Linotype" w:hAnsi="Palatino Linotype"/>
          <w:noProof/>
          <w:lang w:eastAsia="es-MX"/>
        </w:rPr>
        <w:drawing>
          <wp:inline distT="0" distB="0" distL="0" distR="0">
            <wp:extent cx="5760720" cy="6000691"/>
            <wp:effectExtent l="0" t="0" r="0"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6000691"/>
                    </a:xfrm>
                    <a:prstGeom prst="rect">
                      <a:avLst/>
                    </a:prstGeom>
                    <a:noFill/>
                    <a:ln>
                      <a:noFill/>
                    </a:ln>
                  </pic:spPr>
                </pic:pic>
              </a:graphicData>
            </a:graphic>
          </wp:inline>
        </w:drawing>
      </w:r>
    </w:p>
    <w:p w:rsidR="00326EF6" w:rsidRDefault="00326EF6" w:rsidP="002556E6">
      <w:pPr>
        <w:pStyle w:val="Sinespaciado"/>
        <w:spacing w:line="360" w:lineRule="auto"/>
        <w:jc w:val="center"/>
        <w:rPr>
          <w:rFonts w:ascii="Palatino Linotype" w:hAnsi="Palatino Linotype"/>
        </w:rPr>
      </w:pPr>
    </w:p>
    <w:p w:rsidR="00F0431C" w:rsidRDefault="00326EF6" w:rsidP="00326EF6">
      <w:pPr>
        <w:pStyle w:val="Sinespaciado"/>
        <w:spacing w:line="360" w:lineRule="auto"/>
        <w:jc w:val="center"/>
        <w:rPr>
          <w:rFonts w:ascii="Palatino Linotype" w:hAnsi="Palatino Linotype"/>
        </w:rPr>
      </w:pPr>
      <w:r w:rsidRPr="00326EF6">
        <w:rPr>
          <w:rFonts w:ascii="Palatino Linotype" w:hAnsi="Palatino Linotype"/>
          <w:noProof/>
          <w:lang w:eastAsia="es-MX"/>
        </w:rPr>
        <w:lastRenderedPageBreak/>
        <w:drawing>
          <wp:inline distT="0" distB="0" distL="0" distR="0">
            <wp:extent cx="5760720" cy="3942420"/>
            <wp:effectExtent l="0" t="0" r="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3942420"/>
                    </a:xfrm>
                    <a:prstGeom prst="rect">
                      <a:avLst/>
                    </a:prstGeom>
                    <a:noFill/>
                    <a:ln>
                      <a:noFill/>
                    </a:ln>
                  </pic:spPr>
                </pic:pic>
              </a:graphicData>
            </a:graphic>
          </wp:inline>
        </w:drawing>
      </w:r>
    </w:p>
    <w:p w:rsidR="00326EF6" w:rsidRPr="00C31412" w:rsidRDefault="00326EF6" w:rsidP="00C31412">
      <w:pPr>
        <w:pStyle w:val="Sinespaciado"/>
      </w:pPr>
    </w:p>
    <w:p w:rsidR="00307C48" w:rsidRPr="00C31412" w:rsidRDefault="008A2379" w:rsidP="00C31412">
      <w:pPr>
        <w:spacing w:after="0" w:line="360" w:lineRule="auto"/>
        <w:jc w:val="both"/>
        <w:rPr>
          <w:rFonts w:ascii="Palatino Linotype" w:hAnsi="Palatino Linotype" w:cs="Arial"/>
          <w:color w:val="000000"/>
          <w:sz w:val="24"/>
        </w:rPr>
      </w:pPr>
      <w:r w:rsidRPr="008A2379">
        <w:rPr>
          <w:rFonts w:ascii="Palatino Linotype" w:hAnsi="Palatino Linotype" w:cs="Arial"/>
          <w:sz w:val="24"/>
        </w:rPr>
        <w:t xml:space="preserve">Ahora bien, por cuanto hace las manifestaciones realizadas por el particular como razones o motivos de inconformidad, relacionadas con la reserva de la información; al respecto, </w:t>
      </w:r>
      <w:r w:rsidRPr="00C31412">
        <w:rPr>
          <w:rFonts w:ascii="Palatino Linotype" w:hAnsi="Palatino Linotype" w:cs="Arial"/>
          <w:sz w:val="24"/>
          <w:u w:val="single"/>
        </w:rPr>
        <w:t xml:space="preserve">es de señalar </w:t>
      </w:r>
      <w:r w:rsidRPr="00C31412">
        <w:rPr>
          <w:rFonts w:ascii="Palatino Linotype" w:hAnsi="Palatino Linotype" w:cs="Arial"/>
          <w:color w:val="000000"/>
          <w:sz w:val="24"/>
          <w:u w:val="single"/>
        </w:rPr>
        <w:t xml:space="preserve">que en el supuesto que dicha información sea requerida antes del término de </w:t>
      </w:r>
      <w:r w:rsidR="0051208B" w:rsidRPr="00C31412">
        <w:rPr>
          <w:rFonts w:ascii="Palatino Linotype" w:hAnsi="Palatino Linotype" w:cs="Arial"/>
          <w:color w:val="000000"/>
          <w:sz w:val="24"/>
          <w:u w:val="single"/>
        </w:rPr>
        <w:t>dos</w:t>
      </w:r>
      <w:r w:rsidRPr="00C31412">
        <w:rPr>
          <w:rFonts w:ascii="Palatino Linotype" w:hAnsi="Palatino Linotype" w:cs="Arial"/>
          <w:color w:val="000000"/>
          <w:sz w:val="24"/>
          <w:u w:val="single"/>
        </w:rPr>
        <w:t xml:space="preserve"> años, y en el supuesto de que ya no subsistan las causas que determinaron la clasificación de la información como reservada</w:t>
      </w:r>
      <w:r w:rsidRPr="008A2379">
        <w:rPr>
          <w:rFonts w:ascii="Palatino Linotype" w:hAnsi="Palatino Linotype" w:cs="Arial"/>
          <w:color w:val="000000"/>
          <w:sz w:val="24"/>
        </w:rPr>
        <w:t xml:space="preserve">, </w:t>
      </w:r>
      <w:r w:rsidRPr="00C31412">
        <w:rPr>
          <w:rFonts w:ascii="Palatino Linotype" w:hAnsi="Palatino Linotype" w:cs="Arial"/>
          <w:color w:val="000000"/>
          <w:sz w:val="24"/>
          <w:u w:val="single"/>
        </w:rPr>
        <w:t>el</w:t>
      </w:r>
      <w:r w:rsidRPr="00C31412">
        <w:rPr>
          <w:rFonts w:ascii="Palatino Linotype" w:hAnsi="Palatino Linotype" w:cs="Arial"/>
          <w:b/>
          <w:color w:val="000000"/>
          <w:sz w:val="24"/>
          <w:u w:val="single"/>
        </w:rPr>
        <w:t xml:space="preserve"> Sujeto Obligado </w:t>
      </w:r>
      <w:r w:rsidRPr="00C31412">
        <w:rPr>
          <w:rFonts w:ascii="Palatino Linotype" w:hAnsi="Palatino Linotype" w:cs="Arial"/>
          <w:color w:val="000000"/>
          <w:sz w:val="24"/>
          <w:u w:val="single"/>
        </w:rPr>
        <w:t>a través de su Comité de Transparencia, podrá desclasificar dicha información</w:t>
      </w:r>
      <w:r w:rsidRPr="008A2379">
        <w:rPr>
          <w:rFonts w:ascii="Palatino Linotype" w:hAnsi="Palatino Linotype" w:cs="Arial"/>
          <w:color w:val="000000"/>
          <w:sz w:val="24"/>
        </w:rPr>
        <w:t xml:space="preserve"> conforme a</w:t>
      </w:r>
      <w:r w:rsidRPr="008A2379">
        <w:rPr>
          <w:rFonts w:ascii="Palatino Linotype" w:hAnsi="Palatino Linotype" w:cs="Arial"/>
          <w:sz w:val="24"/>
        </w:rPr>
        <w:t xml:space="preserve"> los Lineamientos Décimo Quinto y Décimo Sexto, de los </w:t>
      </w:r>
      <w:r w:rsidRPr="008A2379">
        <w:rPr>
          <w:rFonts w:ascii="Palatino Linotype" w:hAnsi="Palatino Linotype"/>
          <w:sz w:val="24"/>
        </w:rPr>
        <w:t>Lineamientos Generales en Materia de Clasificación y Desclasificación de la Información, así como para la Elaboración de Versiones Públicas.</w:t>
      </w:r>
    </w:p>
    <w:p w:rsidR="00F0431C" w:rsidRDefault="008A2379" w:rsidP="00307C48">
      <w:pPr>
        <w:pStyle w:val="Sinespaciado"/>
        <w:spacing w:line="360" w:lineRule="auto"/>
        <w:jc w:val="both"/>
        <w:rPr>
          <w:rFonts w:ascii="Palatino Linotype" w:hAnsi="Palatino Linotype" w:cs="Arial"/>
          <w:lang w:eastAsia="es-MX"/>
        </w:rPr>
      </w:pPr>
      <w:r w:rsidRPr="009547C1">
        <w:rPr>
          <w:rFonts w:ascii="Palatino Linotype" w:hAnsi="Palatino Linotype" w:cs="Arial"/>
          <w:lang w:eastAsia="es-MX"/>
        </w:rPr>
        <w:lastRenderedPageBreak/>
        <w:t>Por último, lo proce</w:t>
      </w:r>
      <w:r>
        <w:rPr>
          <w:rFonts w:ascii="Palatino Linotype" w:hAnsi="Palatino Linotype" w:cs="Arial"/>
          <w:lang w:eastAsia="es-MX"/>
        </w:rPr>
        <w:t xml:space="preserve">dente es citar las funciones de la </w:t>
      </w:r>
      <w:r w:rsidR="00C31412" w:rsidRPr="00F256D1">
        <w:rPr>
          <w:rFonts w:ascii="Palatino Linotype" w:hAnsi="Palatino Linotype" w:cs="Arial"/>
          <w:i/>
          <w:lang w:eastAsia="es-MX"/>
        </w:rPr>
        <w:t>Dirección de Administración y Finanzas</w:t>
      </w:r>
      <w:r w:rsidR="00C31412">
        <w:rPr>
          <w:rFonts w:ascii="Palatino Linotype" w:hAnsi="Palatino Linotype" w:cs="Arial"/>
          <w:lang w:eastAsia="es-MX"/>
        </w:rPr>
        <w:t xml:space="preserve"> y de la </w:t>
      </w:r>
      <w:r w:rsidR="00C31412" w:rsidRPr="00F256D1">
        <w:rPr>
          <w:rFonts w:ascii="Palatino Linotype" w:hAnsi="Palatino Linotype" w:cs="Arial"/>
          <w:i/>
          <w:lang w:eastAsia="es-MX"/>
        </w:rPr>
        <w:t>Contraloría Interna y Órgano de Control y Vigilancia</w:t>
      </w:r>
      <w:r w:rsidR="00F256D1">
        <w:rPr>
          <w:rFonts w:ascii="Palatino Linotype" w:hAnsi="Palatino Linotype" w:cs="Arial"/>
          <w:lang w:eastAsia="es-MX"/>
        </w:rPr>
        <w:t xml:space="preserve"> del INFOEM</w:t>
      </w:r>
      <w:r>
        <w:rPr>
          <w:rFonts w:ascii="Palatino Linotype" w:hAnsi="Palatino Linotype" w:cs="Arial"/>
          <w:lang w:eastAsia="es-MX"/>
        </w:rPr>
        <w:t xml:space="preserve">, </w:t>
      </w:r>
      <w:r w:rsidRPr="008A2379">
        <w:rPr>
          <w:rFonts w:ascii="Palatino Linotype" w:hAnsi="Palatino Linotype" w:cs="Arial"/>
          <w:lang w:eastAsia="es-MX"/>
        </w:rPr>
        <w:t xml:space="preserve">a fin de dar certeza jurídica al particular, puesto que </w:t>
      </w:r>
      <w:r w:rsidR="00F256D1">
        <w:rPr>
          <w:rFonts w:ascii="Palatino Linotype" w:hAnsi="Palatino Linotype" w:cs="Arial"/>
          <w:lang w:eastAsia="es-MX"/>
        </w:rPr>
        <w:t>dichas Unidades Administrativas dieron</w:t>
      </w:r>
      <w:r w:rsidRPr="008A2379">
        <w:rPr>
          <w:rFonts w:ascii="Palatino Linotype" w:hAnsi="Palatino Linotype" w:cs="Arial"/>
          <w:lang w:eastAsia="es-MX"/>
        </w:rPr>
        <w:t xml:space="preserve"> respuesta a los requerimientos de</w:t>
      </w:r>
      <w:r>
        <w:rPr>
          <w:rFonts w:ascii="Palatino Linotype" w:hAnsi="Palatino Linotype" w:cs="Arial"/>
          <w:lang w:eastAsia="es-MX"/>
        </w:rPr>
        <w:t>l</w:t>
      </w:r>
      <w:r w:rsidRPr="008A2379">
        <w:rPr>
          <w:rFonts w:ascii="Palatino Linotype" w:hAnsi="Palatino Linotype" w:cs="Arial"/>
          <w:lang w:eastAsia="es-MX"/>
        </w:rPr>
        <w:t xml:space="preserve"> </w:t>
      </w:r>
      <w:r w:rsidRPr="008A2379">
        <w:rPr>
          <w:rFonts w:ascii="Palatino Linotype" w:hAnsi="Palatino Linotype" w:cs="Arial"/>
          <w:b/>
          <w:lang w:eastAsia="es-MX"/>
        </w:rPr>
        <w:t>Recurrente</w:t>
      </w:r>
      <w:r w:rsidRPr="008A2379">
        <w:rPr>
          <w:rFonts w:ascii="Palatino Linotype" w:hAnsi="Palatino Linotype" w:cs="Arial"/>
          <w:lang w:eastAsia="es-MX"/>
        </w:rPr>
        <w:t>, de las que se puede advertir lo siguiente:</w:t>
      </w:r>
    </w:p>
    <w:p w:rsidR="00F256D1" w:rsidRPr="00F256D1" w:rsidRDefault="00F256D1" w:rsidP="00F256D1">
      <w:pPr>
        <w:pStyle w:val="Sinespaciado"/>
      </w:pPr>
    </w:p>
    <w:p w:rsidR="00F256D1" w:rsidRPr="00250E64" w:rsidRDefault="00F256D1" w:rsidP="00250E64">
      <w:pPr>
        <w:pStyle w:val="Sinespaciado"/>
        <w:ind w:left="567" w:right="567"/>
        <w:jc w:val="center"/>
        <w:rPr>
          <w:rFonts w:ascii="Palatino Linotype" w:hAnsi="Palatino Linotype"/>
          <w:b/>
          <w:i/>
          <w:sz w:val="22"/>
          <w:szCs w:val="22"/>
        </w:rPr>
      </w:pPr>
      <w:r w:rsidRPr="00250E64">
        <w:rPr>
          <w:rFonts w:ascii="Palatino Linotype" w:hAnsi="Palatino Linotype"/>
          <w:b/>
          <w:i/>
          <w:sz w:val="22"/>
          <w:szCs w:val="22"/>
        </w:rPr>
        <w:t xml:space="preserve">Sección Décima Primera </w:t>
      </w:r>
    </w:p>
    <w:p w:rsidR="00F256D1" w:rsidRPr="00250E64" w:rsidRDefault="00F256D1" w:rsidP="00250E64">
      <w:pPr>
        <w:pStyle w:val="Sinespaciado"/>
        <w:ind w:left="567" w:right="567"/>
        <w:jc w:val="center"/>
        <w:rPr>
          <w:rFonts w:ascii="Palatino Linotype" w:hAnsi="Palatino Linotype"/>
          <w:b/>
          <w:i/>
          <w:sz w:val="22"/>
          <w:szCs w:val="22"/>
          <w:u w:val="single"/>
        </w:rPr>
      </w:pPr>
      <w:r w:rsidRPr="00250E64">
        <w:rPr>
          <w:rFonts w:ascii="Palatino Linotype" w:hAnsi="Palatino Linotype"/>
          <w:b/>
          <w:i/>
          <w:sz w:val="22"/>
          <w:szCs w:val="22"/>
          <w:u w:val="single"/>
        </w:rPr>
        <w:t>De la Dirección de Administración y Finanzas</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b/>
          <w:i/>
          <w:sz w:val="22"/>
          <w:szCs w:val="22"/>
        </w:rPr>
        <w:t xml:space="preserve">Artículo 25. </w:t>
      </w:r>
      <w:r w:rsidRPr="00250E64">
        <w:rPr>
          <w:rFonts w:ascii="Palatino Linotype" w:hAnsi="Palatino Linotype"/>
          <w:i/>
          <w:sz w:val="22"/>
          <w:szCs w:val="22"/>
        </w:rPr>
        <w:t>Corresponde a la Dirección de Administración y Finanzas ejercer las atribuciones siguientes:</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i/>
          <w:sz w:val="22"/>
          <w:szCs w:val="22"/>
        </w:rPr>
        <w:t>(…)</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b/>
          <w:i/>
          <w:sz w:val="22"/>
          <w:szCs w:val="22"/>
        </w:rPr>
        <w:t>XXII.</w:t>
      </w:r>
      <w:r w:rsidRPr="00250E64">
        <w:rPr>
          <w:rFonts w:ascii="Palatino Linotype" w:hAnsi="Palatino Linotype"/>
          <w:i/>
          <w:sz w:val="22"/>
          <w:szCs w:val="22"/>
        </w:rPr>
        <w:t xml:space="preserve"> Realizar las altas, bajas y modificaciones de las relaciones laborales de las y los servidores públicos adscritos al Instituto, de conformidad con la Ley de Trabajo de los Servidores Públicos del Estado y Municipios y normatividad aplicable, asimismo, emitir los reportes correspondientes al tabulador, plantilla de personal y nóminas; </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b/>
          <w:i/>
          <w:sz w:val="22"/>
          <w:szCs w:val="22"/>
        </w:rPr>
        <w:t>XXIII.</w:t>
      </w:r>
      <w:r w:rsidRPr="00250E64">
        <w:rPr>
          <w:rFonts w:ascii="Palatino Linotype" w:hAnsi="Palatino Linotype"/>
          <w:i/>
          <w:sz w:val="22"/>
          <w:szCs w:val="22"/>
        </w:rPr>
        <w:t xml:space="preserve"> Elaborar las normas de administración de personal, contratos o convenios que regulen las relaciones laborales del personal adscrito al Instituto, así como vigilar la aplicación de las mismas; </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b/>
          <w:i/>
          <w:sz w:val="22"/>
          <w:szCs w:val="22"/>
        </w:rPr>
        <w:t>XXIV.</w:t>
      </w:r>
      <w:r w:rsidRPr="00250E64">
        <w:rPr>
          <w:rFonts w:ascii="Palatino Linotype" w:hAnsi="Palatino Linotype"/>
          <w:i/>
          <w:sz w:val="22"/>
          <w:szCs w:val="22"/>
        </w:rPr>
        <w:t xml:space="preserve"> Aplicar las medidas disciplinarias al personal del Instituto que incurra en irregularidades o faltas de carácter laboral;</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i/>
          <w:sz w:val="22"/>
          <w:szCs w:val="22"/>
        </w:rPr>
        <w:t>(…)</w:t>
      </w:r>
    </w:p>
    <w:p w:rsidR="00F256D1" w:rsidRPr="00250E64" w:rsidRDefault="00F256D1" w:rsidP="00250E64">
      <w:pPr>
        <w:pStyle w:val="Sinespaciado"/>
        <w:ind w:left="567" w:right="567"/>
        <w:jc w:val="both"/>
        <w:rPr>
          <w:rFonts w:ascii="Palatino Linotype" w:hAnsi="Palatino Linotype"/>
          <w:i/>
          <w:sz w:val="22"/>
          <w:szCs w:val="22"/>
        </w:rPr>
      </w:pPr>
    </w:p>
    <w:p w:rsidR="00F256D1" w:rsidRPr="00250E64" w:rsidRDefault="00F256D1" w:rsidP="00250E64">
      <w:pPr>
        <w:pStyle w:val="Sinespaciado"/>
        <w:ind w:left="567" w:right="567"/>
        <w:jc w:val="center"/>
        <w:rPr>
          <w:rFonts w:ascii="Palatino Linotype" w:hAnsi="Palatino Linotype"/>
          <w:b/>
          <w:i/>
          <w:sz w:val="22"/>
          <w:szCs w:val="22"/>
        </w:rPr>
      </w:pPr>
      <w:r w:rsidRPr="00250E64">
        <w:rPr>
          <w:rFonts w:ascii="Palatino Linotype" w:hAnsi="Palatino Linotype"/>
          <w:b/>
          <w:i/>
          <w:sz w:val="22"/>
          <w:szCs w:val="22"/>
        </w:rPr>
        <w:t>Sección Décima Segunda</w:t>
      </w:r>
    </w:p>
    <w:p w:rsidR="00F256D1" w:rsidRPr="00250E64" w:rsidRDefault="00F256D1" w:rsidP="00250E64">
      <w:pPr>
        <w:pStyle w:val="Sinespaciado"/>
        <w:ind w:left="567" w:right="567"/>
        <w:jc w:val="center"/>
        <w:rPr>
          <w:rFonts w:ascii="Palatino Linotype" w:hAnsi="Palatino Linotype"/>
          <w:b/>
          <w:i/>
          <w:sz w:val="22"/>
          <w:szCs w:val="22"/>
          <w:u w:val="single"/>
        </w:rPr>
      </w:pPr>
      <w:r w:rsidRPr="00250E64">
        <w:rPr>
          <w:rFonts w:ascii="Palatino Linotype" w:hAnsi="Palatino Linotype"/>
          <w:b/>
          <w:i/>
          <w:sz w:val="22"/>
          <w:szCs w:val="22"/>
          <w:u w:val="single"/>
        </w:rPr>
        <w:t>De la Contraloría Interna y Órgano de Control y Vigilancia</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b/>
          <w:i/>
          <w:sz w:val="22"/>
          <w:szCs w:val="22"/>
        </w:rPr>
        <w:t>Artículo 26.</w:t>
      </w:r>
      <w:r w:rsidRPr="00250E64">
        <w:rPr>
          <w:rFonts w:ascii="Palatino Linotype" w:hAnsi="Palatino Linotype"/>
          <w:i/>
          <w:sz w:val="22"/>
          <w:szCs w:val="22"/>
        </w:rPr>
        <w:t xml:space="preserve"> La Contraloría Interna y Órgano de Control y Vigilancia ejercerá las atribuciones siguientes y se auxiliará de conformidad con la estructura de una autoridad investigadora, y una substanciadora y resolutora:</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i/>
          <w:sz w:val="22"/>
          <w:szCs w:val="22"/>
        </w:rPr>
        <w:t>(…)</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b/>
          <w:i/>
          <w:sz w:val="22"/>
          <w:szCs w:val="22"/>
        </w:rPr>
        <w:t>XVI.</w:t>
      </w:r>
      <w:r w:rsidRPr="00250E64">
        <w:rPr>
          <w:rFonts w:ascii="Palatino Linotype" w:hAnsi="Palatino Linotype"/>
          <w:i/>
          <w:sz w:val="22"/>
          <w:szCs w:val="22"/>
        </w:rPr>
        <w:t xml:space="preserve"> Instaurar procedimientos de investigación derivados de denuncias y actuaciones de oficio, por presunta responsabilidad administrativa; y en su caso, calificar la falta administrativa e instruir la emisión del Informe de Presunta Responsabilidad Administrativa; </w:t>
      </w:r>
    </w:p>
    <w:p w:rsidR="00F256D1" w:rsidRPr="00250E64" w:rsidRDefault="00F256D1" w:rsidP="00250E64">
      <w:pPr>
        <w:pStyle w:val="Sinespaciado"/>
        <w:ind w:left="567" w:right="567"/>
        <w:jc w:val="both"/>
        <w:rPr>
          <w:rFonts w:ascii="Palatino Linotype" w:hAnsi="Palatino Linotype"/>
          <w:i/>
          <w:sz w:val="22"/>
          <w:szCs w:val="22"/>
        </w:rPr>
      </w:pPr>
      <w:r w:rsidRPr="00250E64">
        <w:rPr>
          <w:rFonts w:ascii="Palatino Linotype" w:hAnsi="Palatino Linotype"/>
          <w:b/>
          <w:i/>
          <w:sz w:val="22"/>
          <w:szCs w:val="22"/>
        </w:rPr>
        <w:t>XVII.</w:t>
      </w:r>
      <w:r w:rsidRPr="00250E64">
        <w:rPr>
          <w:rFonts w:ascii="Palatino Linotype" w:hAnsi="Palatino Linotype"/>
          <w:i/>
          <w:sz w:val="22"/>
          <w:szCs w:val="22"/>
        </w:rPr>
        <w:t xml:space="preserve"> Remitir el Informe de Presunta Responsabilidad Administrativa al Tribunal de Justicia Administrativa, tratándose de faltas administrativas graves; </w:t>
      </w:r>
    </w:p>
    <w:p w:rsidR="00F256D1" w:rsidRPr="00250E64" w:rsidRDefault="0084009C" w:rsidP="00250E64">
      <w:pPr>
        <w:pStyle w:val="Sinespaciado"/>
        <w:ind w:left="567" w:right="567"/>
        <w:jc w:val="both"/>
        <w:rPr>
          <w:rFonts w:ascii="Palatino Linotype" w:hAnsi="Palatino Linotype"/>
          <w:i/>
          <w:sz w:val="22"/>
          <w:szCs w:val="22"/>
        </w:rPr>
      </w:pPr>
      <w:r>
        <w:rPr>
          <w:rFonts w:ascii="Palatino Linotype" w:hAnsi="Palatino Linotype"/>
          <w:noProof/>
          <w:lang w:eastAsia="es-MX"/>
        </w:rPr>
        <w:lastRenderedPageBreak/>
        <mc:AlternateContent>
          <mc:Choice Requires="wps">
            <w:drawing>
              <wp:anchor distT="0" distB="0" distL="114300" distR="114300" simplePos="0" relativeHeight="251680768" behindDoc="0" locked="0" layoutInCell="1" allowOverlap="1">
                <wp:simplePos x="0" y="0"/>
                <wp:positionH relativeFrom="column">
                  <wp:posOffset>-14605</wp:posOffset>
                </wp:positionH>
                <wp:positionV relativeFrom="paragraph">
                  <wp:posOffset>-152277776</wp:posOffset>
                </wp:positionV>
                <wp:extent cx="5652770" cy="6623050"/>
                <wp:effectExtent l="19050" t="19050" r="24130" b="25400"/>
                <wp:wrapNone/>
                <wp:docPr id="17" name="Conector recto 17"/>
                <wp:cNvGraphicFramePr/>
                <a:graphic xmlns:a="http://schemas.openxmlformats.org/drawingml/2006/main">
                  <a:graphicData uri="http://schemas.microsoft.com/office/word/2010/wordprocessingShape">
                    <wps:wsp>
                      <wps:cNvCnPr/>
                      <wps:spPr>
                        <a:xfrm>
                          <a:off x="0" y="0"/>
                          <a:ext cx="5652770" cy="662305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46080A" id="Conector recto 17"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11990.4pt" to="443.95pt,-114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" strokecolor="#5b9bd5 [3204]" strokeweight="2.25pt">
                <v:stroke joinstyle="miter"/>
              </v:line>
            </w:pict>
          </mc:Fallback>
        </mc:AlternateContent>
      </w:r>
      <w:r w:rsidR="00F256D1" w:rsidRPr="00250E64">
        <w:rPr>
          <w:rFonts w:ascii="Palatino Linotype" w:hAnsi="Palatino Linotype"/>
          <w:b/>
          <w:i/>
          <w:sz w:val="22"/>
          <w:szCs w:val="22"/>
        </w:rPr>
        <w:t>XVIII.</w:t>
      </w:r>
      <w:r w:rsidR="00F256D1" w:rsidRPr="00250E64">
        <w:rPr>
          <w:rFonts w:ascii="Palatino Linotype" w:hAnsi="Palatino Linotype"/>
          <w:i/>
          <w:sz w:val="22"/>
          <w:szCs w:val="22"/>
        </w:rPr>
        <w:t xml:space="preserve"> Aprobar la abstención de iniciar procedimiento de responsabilidad administrativa o de imponer sanciones, en los términos de la Ley de Responsabilidades; XIX. Sustanciar y resolver el procedimiento de responsabilidad administrativa de las faltas no graves y en su caso imponer las sanciones que correspondan;</w:t>
      </w:r>
    </w:p>
    <w:p w:rsidR="00250E64" w:rsidRPr="00250E64" w:rsidRDefault="00250E64" w:rsidP="00250E64">
      <w:pPr>
        <w:pStyle w:val="Sinespaciado"/>
        <w:ind w:left="567" w:right="567"/>
        <w:jc w:val="both"/>
        <w:rPr>
          <w:rFonts w:ascii="Palatino Linotype" w:hAnsi="Palatino Linotype"/>
          <w:i/>
          <w:sz w:val="22"/>
          <w:szCs w:val="22"/>
        </w:rPr>
      </w:pPr>
      <w:r w:rsidRPr="00250E64">
        <w:rPr>
          <w:rFonts w:ascii="Palatino Linotype" w:hAnsi="Palatino Linotype"/>
          <w:i/>
          <w:sz w:val="22"/>
          <w:szCs w:val="22"/>
        </w:rPr>
        <w:t>(…)</w:t>
      </w:r>
    </w:p>
    <w:p w:rsidR="00250E64" w:rsidRPr="00250E64" w:rsidRDefault="00250E64" w:rsidP="00250E64">
      <w:pPr>
        <w:pStyle w:val="Sinespaciado"/>
        <w:ind w:left="567" w:right="567"/>
        <w:jc w:val="both"/>
        <w:rPr>
          <w:rFonts w:ascii="Palatino Linotype" w:hAnsi="Palatino Linotype"/>
          <w:i/>
          <w:sz w:val="22"/>
          <w:szCs w:val="22"/>
        </w:rPr>
      </w:pPr>
      <w:r w:rsidRPr="00250E64">
        <w:rPr>
          <w:rFonts w:ascii="Palatino Linotype" w:hAnsi="Palatino Linotype"/>
          <w:b/>
          <w:i/>
          <w:sz w:val="22"/>
          <w:szCs w:val="22"/>
        </w:rPr>
        <w:t>XXIX.</w:t>
      </w:r>
      <w:r w:rsidRPr="00250E64">
        <w:rPr>
          <w:rFonts w:ascii="Palatino Linotype" w:hAnsi="Palatino Linotype"/>
          <w:i/>
          <w:sz w:val="22"/>
          <w:szCs w:val="22"/>
        </w:rPr>
        <w:t xml:space="preserve"> Registrar ante la Secretaría de la Contraloría del Gobierno del Estado de México, y ante instancias homólogas, las sanciones determinadas en los procedimientos administrativos a su cargo;</w:t>
      </w:r>
    </w:p>
    <w:p w:rsidR="00250E64" w:rsidRPr="00250E64" w:rsidRDefault="00250E64" w:rsidP="00250E64">
      <w:pPr>
        <w:pStyle w:val="Sinespaciado"/>
        <w:ind w:left="567" w:right="567"/>
        <w:jc w:val="both"/>
        <w:rPr>
          <w:rFonts w:ascii="Palatino Linotype" w:hAnsi="Palatino Linotype"/>
          <w:i/>
          <w:sz w:val="22"/>
          <w:szCs w:val="22"/>
        </w:rPr>
      </w:pPr>
      <w:r w:rsidRPr="00250E64">
        <w:rPr>
          <w:rFonts w:ascii="Palatino Linotype" w:hAnsi="Palatino Linotype"/>
          <w:i/>
          <w:sz w:val="22"/>
          <w:szCs w:val="22"/>
        </w:rPr>
        <w:t>(…)</w:t>
      </w:r>
    </w:p>
    <w:p w:rsidR="00C31412" w:rsidRDefault="00C31412" w:rsidP="008A2379">
      <w:pPr>
        <w:pStyle w:val="Sinespaciado"/>
        <w:spacing w:line="360" w:lineRule="auto"/>
        <w:jc w:val="both"/>
        <w:rPr>
          <w:rFonts w:ascii="Palatino Linotype" w:hAnsi="Palatino Linotype"/>
        </w:rPr>
      </w:pPr>
    </w:p>
    <w:p w:rsidR="005B7673" w:rsidRPr="005B7673" w:rsidRDefault="005B7673" w:rsidP="005B7673">
      <w:pPr>
        <w:spacing w:line="360" w:lineRule="auto"/>
        <w:jc w:val="both"/>
        <w:rPr>
          <w:rFonts w:ascii="Palatino Linotype" w:hAnsi="Palatino Linotype" w:cs="Arial"/>
          <w:sz w:val="24"/>
          <w:lang w:eastAsia="es-MX"/>
        </w:rPr>
      </w:pPr>
      <w:r w:rsidRPr="005B7673">
        <w:rPr>
          <w:rFonts w:ascii="Palatino Linotype" w:hAnsi="Palatino Linotype" w:cs="Arial"/>
          <w:sz w:val="24"/>
          <w:lang w:eastAsia="es-MX"/>
        </w:rPr>
        <w:t xml:space="preserve">De lo anterior, se desprenden funciones y atribuciones del </w:t>
      </w:r>
      <w:r w:rsidRPr="005B7673">
        <w:rPr>
          <w:rFonts w:ascii="Palatino Linotype" w:hAnsi="Palatino Linotype" w:cs="Arial"/>
          <w:b/>
          <w:sz w:val="24"/>
          <w:lang w:eastAsia="es-MX"/>
        </w:rPr>
        <w:t>Sujeto Obligado</w:t>
      </w:r>
      <w:r w:rsidRPr="005B7673">
        <w:rPr>
          <w:rFonts w:ascii="Palatino Linotype" w:hAnsi="Palatino Linotype" w:cs="Arial"/>
          <w:sz w:val="24"/>
          <w:lang w:eastAsia="es-MX"/>
        </w:rPr>
        <w:t xml:space="preserve"> r</w:t>
      </w:r>
      <w:r>
        <w:rPr>
          <w:rFonts w:ascii="Palatino Linotype" w:hAnsi="Palatino Linotype" w:cs="Arial"/>
          <w:sz w:val="24"/>
          <w:lang w:eastAsia="es-MX"/>
        </w:rPr>
        <w:t>elacionadas con la solicitud del</w:t>
      </w:r>
      <w:r w:rsidRPr="005B7673">
        <w:rPr>
          <w:rFonts w:ascii="Palatino Linotype" w:hAnsi="Palatino Linotype" w:cs="Arial"/>
          <w:b/>
          <w:sz w:val="24"/>
          <w:lang w:eastAsia="es-MX"/>
        </w:rPr>
        <w:t xml:space="preserve"> Recurrente</w:t>
      </w:r>
      <w:r w:rsidRPr="005B7673">
        <w:rPr>
          <w:rFonts w:ascii="Palatino Linotype" w:hAnsi="Palatino Linotype" w:cs="Arial"/>
          <w:sz w:val="24"/>
          <w:lang w:eastAsia="es-MX"/>
        </w:rPr>
        <w:t>,</w:t>
      </w:r>
      <w:r w:rsidRPr="005B7673">
        <w:rPr>
          <w:rFonts w:ascii="Palatino Linotype" w:hAnsi="Palatino Linotype" w:cs="Arial"/>
          <w:b/>
          <w:sz w:val="24"/>
          <w:lang w:eastAsia="es-MX"/>
        </w:rPr>
        <w:t xml:space="preserve"> </w:t>
      </w:r>
      <w:r w:rsidRPr="005B7673">
        <w:rPr>
          <w:rFonts w:ascii="Palatino Linotype" w:hAnsi="Palatino Linotype" w:cs="Arial"/>
          <w:sz w:val="24"/>
          <w:lang w:eastAsia="es-MX"/>
        </w:rPr>
        <w:t>toda vez que</w:t>
      </w:r>
      <w:r w:rsidRPr="005B7673">
        <w:rPr>
          <w:rFonts w:ascii="Palatino Linotype" w:hAnsi="Palatino Linotype" w:cs="Arial"/>
          <w:b/>
          <w:sz w:val="24"/>
          <w:lang w:eastAsia="es-MX"/>
        </w:rPr>
        <w:t xml:space="preserve"> </w:t>
      </w:r>
      <w:r w:rsidRPr="005B7673">
        <w:rPr>
          <w:rFonts w:ascii="Palatino Linotype" w:hAnsi="Palatino Linotype" w:cs="Arial"/>
          <w:sz w:val="24"/>
          <w:lang w:eastAsia="es-MX"/>
        </w:rPr>
        <w:t>se constriñen a aquellas actividades c</w:t>
      </w:r>
      <w:r>
        <w:rPr>
          <w:rFonts w:ascii="Palatino Linotype" w:hAnsi="Palatino Linotype" w:cs="Arial"/>
          <w:sz w:val="24"/>
          <w:lang w:eastAsia="es-MX"/>
        </w:rPr>
        <w:t xml:space="preserve">onsistentes en </w:t>
      </w:r>
      <w:r w:rsidR="00250E64" w:rsidRPr="00250E64">
        <w:rPr>
          <w:rFonts w:ascii="Palatino Linotype" w:hAnsi="Palatino Linotype" w:cs="Arial"/>
          <w:b/>
          <w:i/>
          <w:sz w:val="24"/>
          <w:lang w:eastAsia="es-MX"/>
        </w:rPr>
        <w:t>procedimientos de investigación derivados de denuncias y actuaciones de oficio, por presunta responsabilidad administrativa</w:t>
      </w:r>
      <w:r w:rsidRPr="005B7673">
        <w:rPr>
          <w:rFonts w:ascii="Palatino Linotype" w:hAnsi="Palatino Linotype" w:cs="Arial"/>
          <w:sz w:val="24"/>
          <w:lang w:eastAsia="es-MX"/>
        </w:rPr>
        <w:t>, con base en la normatividad, políticas y lineamientos establecidos en la materia, es decir, realiza por si o a través de las unidades administrativas que lo integran, actividades encaminadas al cumplimiento de los objetivos de</w:t>
      </w:r>
      <w:r w:rsidR="00250E64">
        <w:rPr>
          <w:rFonts w:ascii="Palatino Linotype" w:hAnsi="Palatino Linotype" w:cs="Arial"/>
          <w:sz w:val="24"/>
          <w:lang w:eastAsia="es-MX"/>
        </w:rPr>
        <w:t>l</w:t>
      </w:r>
      <w:r w:rsidRPr="005B7673">
        <w:rPr>
          <w:rFonts w:ascii="Palatino Linotype" w:hAnsi="Palatino Linotype" w:cs="Arial"/>
          <w:sz w:val="24"/>
          <w:lang w:eastAsia="es-MX"/>
        </w:rPr>
        <w:t xml:space="preserve"> </w:t>
      </w:r>
      <w:r w:rsidR="00250E64" w:rsidRPr="00250E64">
        <w:rPr>
          <w:rFonts w:ascii="Palatino Linotype" w:hAnsi="Palatino Linotype" w:cs="Arial"/>
          <w:sz w:val="24"/>
          <w:lang w:eastAsia="es-MX"/>
        </w:rPr>
        <w:t>Instituto de Transparencia, Acceso a la Información Pública y Protección de Datos Personales del Estado de México y Municipios</w:t>
      </w:r>
      <w:r w:rsidR="00250E64">
        <w:rPr>
          <w:rFonts w:ascii="Palatino Linotype" w:hAnsi="Palatino Linotype" w:cs="Arial"/>
          <w:sz w:val="24"/>
          <w:lang w:eastAsia="es-MX"/>
        </w:rPr>
        <w:t xml:space="preserve"> (INFOEM)</w:t>
      </w:r>
      <w:r w:rsidRPr="005B7673">
        <w:rPr>
          <w:rFonts w:ascii="Palatino Linotype" w:hAnsi="Palatino Linotype" w:cs="Arial"/>
          <w:sz w:val="24"/>
          <w:lang w:eastAsia="es-MX"/>
        </w:rPr>
        <w:t>; actualizándose con ello, lo dispuesto en el artículo en 162</w:t>
      </w:r>
      <w:r w:rsidR="00250E64">
        <w:rPr>
          <w:rFonts w:ascii="Palatino Linotype" w:hAnsi="Palatino Linotype" w:cs="Arial"/>
          <w:sz w:val="24"/>
          <w:lang w:eastAsia="es-MX"/>
        </w:rPr>
        <w:t>,</w:t>
      </w:r>
      <w:r w:rsidRPr="005B7673">
        <w:rPr>
          <w:rFonts w:ascii="Palatino Linotype" w:hAnsi="Palatino Linotype" w:cs="Arial"/>
          <w:sz w:val="24"/>
          <w:lang w:eastAsia="es-MX"/>
        </w:rPr>
        <w:t xml:space="preserve"> de la Ley de la materia, mismo que señala:</w:t>
      </w:r>
    </w:p>
    <w:p w:rsidR="005B7673" w:rsidRPr="005B7673" w:rsidRDefault="005B7673" w:rsidP="005B7673">
      <w:pPr>
        <w:pStyle w:val="Sinespaciado"/>
        <w:rPr>
          <w:sz w:val="16"/>
        </w:rPr>
      </w:pPr>
    </w:p>
    <w:p w:rsidR="005B7673" w:rsidRPr="009547C1" w:rsidRDefault="005B7673" w:rsidP="005B7673">
      <w:pPr>
        <w:ind w:left="709" w:right="757"/>
        <w:jc w:val="both"/>
        <w:rPr>
          <w:rFonts w:ascii="Palatino Linotype" w:hAnsi="Palatino Linotype" w:cs="Arial"/>
          <w:i/>
          <w:lang w:eastAsia="es-MX"/>
        </w:rPr>
      </w:pPr>
      <w:r w:rsidRPr="009547C1">
        <w:rPr>
          <w:rFonts w:ascii="Palatino Linotype" w:hAnsi="Palatino Linotype" w:cs="Arial"/>
          <w:i/>
          <w:lang w:eastAsia="es-MX"/>
        </w:rPr>
        <w:t xml:space="preserve"> “</w:t>
      </w:r>
      <w:r w:rsidRPr="009547C1">
        <w:rPr>
          <w:rFonts w:ascii="Palatino Linotype" w:hAnsi="Palatino Linotype" w:cs="Arial"/>
          <w:b/>
          <w:i/>
          <w:lang w:eastAsia="es-MX"/>
        </w:rPr>
        <w:t>Artículo 162</w:t>
      </w:r>
      <w:r w:rsidRPr="009547C1">
        <w:rPr>
          <w:rFonts w:ascii="Palatino Linotype" w:hAnsi="Palatino Linotype" w:cs="Arial"/>
          <w:i/>
          <w:lang w:eastAsia="es-MX"/>
        </w:rPr>
        <w:t xml:space="preserve">. Las unidades de transparencia deberán </w:t>
      </w:r>
      <w:r w:rsidRPr="005B7673">
        <w:rPr>
          <w:rFonts w:ascii="Palatino Linotype" w:hAnsi="Palatino Linotype" w:cs="Arial"/>
          <w:b/>
          <w:i/>
          <w:u w:val="single"/>
          <w:lang w:eastAsia="es-MX"/>
        </w:rPr>
        <w:t>garantizar que las solicitudes se turnen a todas las Áreas competentes</w:t>
      </w:r>
      <w:r w:rsidRPr="009547C1">
        <w:rPr>
          <w:rFonts w:ascii="Palatino Linotype" w:hAnsi="Palatino Linotype" w:cs="Arial"/>
          <w:i/>
          <w:lang w:eastAsia="es-MX"/>
        </w:rPr>
        <w:t xml:space="preserve"> que cuenten con la información o deban tenerla de acuerdo a sus facultades, competencias y funciones, con el objeto de que realicen una búsqueda exhaustiva y razonable de la información solicitada.”</w:t>
      </w:r>
    </w:p>
    <w:p w:rsidR="005B7673" w:rsidRPr="005B7673" w:rsidRDefault="005B7673" w:rsidP="005B7673">
      <w:pPr>
        <w:pStyle w:val="Sinespaciado"/>
        <w:rPr>
          <w:sz w:val="18"/>
        </w:rPr>
      </w:pPr>
    </w:p>
    <w:p w:rsidR="003A023E" w:rsidRDefault="003A023E" w:rsidP="00011EFA">
      <w:pPr>
        <w:spacing w:line="360" w:lineRule="auto"/>
        <w:jc w:val="both"/>
        <w:rPr>
          <w:rFonts w:ascii="Palatino Linotype" w:hAnsi="Palatino Linotype" w:cs="Arial"/>
          <w:sz w:val="24"/>
          <w:szCs w:val="24"/>
        </w:rPr>
      </w:pPr>
    </w:p>
    <w:p w:rsidR="00E940FC" w:rsidRDefault="003A023E" w:rsidP="003A023E">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sidRPr="00786631">
        <w:rPr>
          <w:rFonts w:ascii="Palatino Linotype" w:eastAsia="Calibri" w:hAnsi="Palatino Linotype" w:cs="Arial"/>
        </w:rPr>
        <w:lastRenderedPageBreak/>
        <w:t xml:space="preserve">Asimismo, es mediante alcance al informe Justificado, que </w:t>
      </w:r>
      <w:r w:rsidRPr="003A023E">
        <w:rPr>
          <w:rFonts w:ascii="Palatino Linotype" w:eastAsia="Calibri" w:hAnsi="Palatino Linotype" w:cs="Arial"/>
        </w:rPr>
        <w:t>el</w:t>
      </w:r>
      <w:r w:rsidRPr="00786631">
        <w:rPr>
          <w:rFonts w:ascii="Palatino Linotype" w:eastAsia="Calibri" w:hAnsi="Palatino Linotype" w:cs="Arial"/>
          <w:b/>
        </w:rPr>
        <w:t xml:space="preserve"> Sujeto Obligado</w:t>
      </w:r>
      <w:r w:rsidRPr="00786631">
        <w:rPr>
          <w:rFonts w:ascii="Palatino Linotype" w:eastAsia="Calibri" w:hAnsi="Palatino Linotype" w:cs="Arial"/>
        </w:rPr>
        <w:t xml:space="preserve"> remitió</w:t>
      </w:r>
      <w:r w:rsidR="00E940FC">
        <w:rPr>
          <w:rFonts w:ascii="Palatino Linotype" w:eastAsia="Calibri" w:hAnsi="Palatino Linotype" w:cs="Arial"/>
        </w:rPr>
        <w:t xml:space="preserve"> los archivos electrónicos denominados </w:t>
      </w:r>
      <w:r w:rsidR="00E940FC" w:rsidRPr="00E940FC">
        <w:rPr>
          <w:rFonts w:ascii="Palatino Linotype" w:eastAsia="Calibri" w:hAnsi="Palatino Linotype" w:cs="Arial"/>
          <w:i/>
        </w:rPr>
        <w:t>“124a.ses.ext.ct”</w:t>
      </w:r>
      <w:r w:rsidR="00E940FC">
        <w:rPr>
          <w:rFonts w:ascii="Palatino Linotype" w:eastAsia="Calibri" w:hAnsi="Palatino Linotype" w:cs="Arial"/>
        </w:rPr>
        <w:t xml:space="preserve">, </w:t>
      </w:r>
      <w:r w:rsidR="00E940FC" w:rsidRPr="00E940FC">
        <w:rPr>
          <w:rFonts w:ascii="Palatino Linotype" w:eastAsia="Calibri" w:hAnsi="Palatino Linotype" w:cs="Arial"/>
          <w:i/>
        </w:rPr>
        <w:t>“cuadro.774.daf”</w:t>
      </w:r>
      <w:r w:rsidR="00E940FC">
        <w:rPr>
          <w:rFonts w:ascii="Palatino Linotype" w:eastAsia="Calibri" w:hAnsi="Palatino Linotype" w:cs="Arial"/>
        </w:rPr>
        <w:t xml:space="preserve">, </w:t>
      </w:r>
      <w:r w:rsidR="00E940FC" w:rsidRPr="00E940FC">
        <w:rPr>
          <w:rFonts w:ascii="Palatino Linotype" w:eastAsia="Calibri" w:hAnsi="Palatino Linotype" w:cs="Arial"/>
          <w:i/>
        </w:rPr>
        <w:t>“Alcance.rec.rev.7485”</w:t>
      </w:r>
      <w:r w:rsidR="00E940FC">
        <w:rPr>
          <w:rFonts w:ascii="Palatino Linotype" w:eastAsia="Calibri" w:hAnsi="Palatino Linotype" w:cs="Arial"/>
        </w:rPr>
        <w:t xml:space="preserve"> y </w:t>
      </w:r>
      <w:r w:rsidR="00E940FC" w:rsidRPr="00E940FC">
        <w:rPr>
          <w:rFonts w:ascii="Palatino Linotype" w:eastAsia="Calibri" w:hAnsi="Palatino Linotype" w:cs="Arial"/>
          <w:i/>
        </w:rPr>
        <w:t>“Expediente Gabriela Nieto_Censurado (1)”</w:t>
      </w:r>
      <w:r w:rsidR="00E940FC">
        <w:rPr>
          <w:rFonts w:ascii="Palatino Linotype" w:eastAsia="Calibri" w:hAnsi="Palatino Linotype" w:cs="Arial"/>
        </w:rPr>
        <w:t>; los cuales contienen lo siguiente:</w:t>
      </w:r>
    </w:p>
    <w:p w:rsidR="00743EA9" w:rsidRDefault="00743EA9" w:rsidP="00DD0F06">
      <w:pPr>
        <w:pStyle w:val="Prrafodelista"/>
        <w:widowControl w:val="0"/>
        <w:numPr>
          <w:ilvl w:val="0"/>
          <w:numId w:val="8"/>
        </w:numPr>
        <w:tabs>
          <w:tab w:val="left" w:pos="1276"/>
        </w:tabs>
        <w:autoSpaceDE w:val="0"/>
        <w:autoSpaceDN w:val="0"/>
        <w:adjustRightInd w:val="0"/>
        <w:spacing w:line="360" w:lineRule="auto"/>
        <w:jc w:val="both"/>
        <w:rPr>
          <w:rFonts w:ascii="Palatino Linotype" w:eastAsia="Calibri" w:hAnsi="Palatino Linotype" w:cs="Arial"/>
        </w:rPr>
      </w:pPr>
      <w:r>
        <w:rPr>
          <w:rFonts w:ascii="Palatino Linotype" w:eastAsia="Calibri" w:hAnsi="Palatino Linotype" w:cs="Arial"/>
        </w:rPr>
        <w:t>Alcance al Recurso de Revisión número 07485/INFOEM/IP/RR/2019.</w:t>
      </w:r>
    </w:p>
    <w:p w:rsidR="00CF527A" w:rsidRDefault="00CF527A" w:rsidP="00DD0F06">
      <w:pPr>
        <w:pStyle w:val="Prrafodelista"/>
        <w:widowControl w:val="0"/>
        <w:numPr>
          <w:ilvl w:val="0"/>
          <w:numId w:val="8"/>
        </w:numPr>
        <w:tabs>
          <w:tab w:val="left" w:pos="1276"/>
        </w:tabs>
        <w:autoSpaceDE w:val="0"/>
        <w:autoSpaceDN w:val="0"/>
        <w:adjustRightInd w:val="0"/>
        <w:spacing w:line="360" w:lineRule="auto"/>
        <w:jc w:val="both"/>
        <w:rPr>
          <w:rFonts w:ascii="Palatino Linotype" w:eastAsia="Calibri" w:hAnsi="Palatino Linotype" w:cs="Arial"/>
        </w:rPr>
      </w:pPr>
      <w:r>
        <w:rPr>
          <w:rFonts w:ascii="Palatino Linotype" w:eastAsia="Calibri" w:hAnsi="Palatino Linotype" w:cs="Arial"/>
        </w:rPr>
        <w:t>Memorándum INFOEM/UT/488/2019, emitido por la Unidad de Trasparencia de fecha 27 de noviembre de 2019.</w:t>
      </w:r>
    </w:p>
    <w:p w:rsidR="00DD0F06" w:rsidRDefault="00CF527A" w:rsidP="00DD0F06">
      <w:pPr>
        <w:pStyle w:val="Prrafodelista"/>
        <w:widowControl w:val="0"/>
        <w:numPr>
          <w:ilvl w:val="0"/>
          <w:numId w:val="8"/>
        </w:numPr>
        <w:tabs>
          <w:tab w:val="left" w:pos="1276"/>
        </w:tabs>
        <w:autoSpaceDE w:val="0"/>
        <w:autoSpaceDN w:val="0"/>
        <w:adjustRightInd w:val="0"/>
        <w:spacing w:line="360" w:lineRule="auto"/>
        <w:jc w:val="both"/>
        <w:rPr>
          <w:rFonts w:ascii="Palatino Linotype" w:eastAsia="Calibri" w:hAnsi="Palatino Linotype" w:cs="Arial"/>
        </w:rPr>
      </w:pPr>
      <w:r>
        <w:rPr>
          <w:rFonts w:ascii="Palatino Linotype" w:eastAsia="Calibri" w:hAnsi="Palatino Linotype" w:cs="Arial"/>
        </w:rPr>
        <w:t>Acta de la Centésima Vigésima cuarta Sesión Extraordinaria del Comité de Transparencia, d</w:t>
      </w:r>
      <w:r w:rsidR="00DD0F06">
        <w:rPr>
          <w:rFonts w:ascii="Palatino Linotype" w:eastAsia="Calibri" w:hAnsi="Palatino Linotype" w:cs="Arial"/>
        </w:rPr>
        <w:t>e fecha 28 de noviembre de 2019; mediante la cual, aprobaron la desclasificación parcial de la información clasificada como RESERVADA, el Acuerdo número ACT/INFOEM/COMT/80ª/2019/TERCERO, emitido en la Octogésima Sesión Extraordinaria, de fecha 11 de septiembre de 2019; y se insertan algunos extractos de dicha Acta:</w:t>
      </w:r>
    </w:p>
    <w:p w:rsidR="00DD0F06" w:rsidRDefault="00DD0F06" w:rsidP="00DD0F06">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DD0F06">
        <w:rPr>
          <w:rFonts w:ascii="Palatino Linotype" w:eastAsia="Calibri" w:hAnsi="Palatino Linotype" w:cs="Arial"/>
          <w:noProof/>
          <w:lang w:eastAsia="es-MX"/>
        </w:rPr>
        <w:drawing>
          <wp:inline distT="0" distB="0" distL="0" distR="0">
            <wp:extent cx="5757056" cy="265573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7288" cy="2674294"/>
                    </a:xfrm>
                    <a:prstGeom prst="rect">
                      <a:avLst/>
                    </a:prstGeom>
                    <a:noFill/>
                    <a:ln>
                      <a:noFill/>
                    </a:ln>
                  </pic:spPr>
                </pic:pic>
              </a:graphicData>
            </a:graphic>
          </wp:inline>
        </w:drawing>
      </w:r>
    </w:p>
    <w:p w:rsidR="00DD0F06" w:rsidRDefault="00DD0F06" w:rsidP="00DD0F06">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DD0F06">
        <w:rPr>
          <w:rFonts w:ascii="Palatino Linotype" w:eastAsia="Calibri" w:hAnsi="Palatino Linotype" w:cs="Arial"/>
          <w:noProof/>
          <w:lang w:eastAsia="es-MX"/>
        </w:rPr>
        <w:lastRenderedPageBreak/>
        <w:drawing>
          <wp:inline distT="0" distB="0" distL="0" distR="0">
            <wp:extent cx="5760720" cy="7092826"/>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7092826"/>
                    </a:xfrm>
                    <a:prstGeom prst="rect">
                      <a:avLst/>
                    </a:prstGeom>
                    <a:noFill/>
                    <a:ln>
                      <a:noFill/>
                    </a:ln>
                  </pic:spPr>
                </pic:pic>
              </a:graphicData>
            </a:graphic>
          </wp:inline>
        </w:drawing>
      </w:r>
    </w:p>
    <w:p w:rsidR="00DD0F06" w:rsidRPr="00DD0F06" w:rsidRDefault="00DD0F06" w:rsidP="00DD0F06">
      <w:pPr>
        <w:widowControl w:val="0"/>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sidRPr="00DD0F06">
        <w:rPr>
          <w:rFonts w:ascii="Palatino Linotype" w:eastAsia="Calibri" w:hAnsi="Palatino Linotype" w:cs="Arial"/>
          <w:noProof/>
          <w:lang w:eastAsia="es-MX"/>
        </w:rPr>
        <w:lastRenderedPageBreak/>
        <w:drawing>
          <wp:inline distT="0" distB="0" distL="0" distR="0">
            <wp:extent cx="5760720" cy="5099677"/>
            <wp:effectExtent l="0" t="0" r="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5099677"/>
                    </a:xfrm>
                    <a:prstGeom prst="rect">
                      <a:avLst/>
                    </a:prstGeom>
                    <a:noFill/>
                    <a:ln>
                      <a:noFill/>
                    </a:ln>
                  </pic:spPr>
                </pic:pic>
              </a:graphicData>
            </a:graphic>
          </wp:inline>
        </w:drawing>
      </w:r>
    </w:p>
    <w:p w:rsidR="00E940FC" w:rsidRDefault="00CF527A" w:rsidP="00E940FC">
      <w:pPr>
        <w:pStyle w:val="Prrafodelista"/>
        <w:widowControl w:val="0"/>
        <w:numPr>
          <w:ilvl w:val="0"/>
          <w:numId w:val="8"/>
        </w:numPr>
        <w:tabs>
          <w:tab w:val="left" w:pos="1276"/>
        </w:tabs>
        <w:autoSpaceDE w:val="0"/>
        <w:autoSpaceDN w:val="0"/>
        <w:adjustRightInd w:val="0"/>
        <w:spacing w:before="240" w:after="100" w:afterAutospacing="1" w:line="360" w:lineRule="auto"/>
        <w:jc w:val="both"/>
        <w:rPr>
          <w:rFonts w:ascii="Palatino Linotype" w:eastAsia="Calibri" w:hAnsi="Palatino Linotype" w:cs="Arial"/>
        </w:rPr>
      </w:pPr>
      <w:r>
        <w:rPr>
          <w:rFonts w:ascii="Palatino Linotype" w:eastAsia="Calibri" w:hAnsi="Palatino Linotype" w:cs="Arial"/>
        </w:rPr>
        <w:t xml:space="preserve">Versión Pública del expediente de personal de la C. Gabriela Nieto Cid del Prado, Jefa de Departamento de Recursos Humanos, adscrita a la Dirección de Administración y Finanzas del INFOEM, desde el día 16 de enero del año 2014. </w:t>
      </w:r>
    </w:p>
    <w:p w:rsidR="0086254D" w:rsidRPr="00DD0F06" w:rsidRDefault="00DD0F06" w:rsidP="00DD0F06">
      <w:pPr>
        <w:pStyle w:val="Prrafodelista"/>
        <w:widowControl w:val="0"/>
        <w:tabs>
          <w:tab w:val="left" w:pos="1276"/>
        </w:tabs>
        <w:autoSpaceDE w:val="0"/>
        <w:autoSpaceDN w:val="0"/>
        <w:adjustRightInd w:val="0"/>
        <w:spacing w:before="240" w:after="100" w:afterAutospacing="1" w:line="360" w:lineRule="auto"/>
        <w:ind w:left="0"/>
        <w:jc w:val="both"/>
        <w:rPr>
          <w:rFonts w:ascii="Palatino Linotype" w:eastAsia="Calibri" w:hAnsi="Palatino Linotype" w:cs="Arial"/>
        </w:rPr>
      </w:pPr>
      <w:r>
        <w:rPr>
          <w:rFonts w:ascii="Palatino Linotype" w:eastAsia="Calibri" w:hAnsi="Palatino Linotype" w:cs="Arial"/>
        </w:rPr>
        <w:t xml:space="preserve">Cabe señalar que dichos archivos, serán notificados a la parte </w:t>
      </w:r>
      <w:r w:rsidRPr="00DD0F06">
        <w:rPr>
          <w:rFonts w:ascii="Palatino Linotype" w:eastAsia="Calibri" w:hAnsi="Palatino Linotype" w:cs="Arial"/>
          <w:b/>
        </w:rPr>
        <w:t>Recurrente</w:t>
      </w:r>
      <w:r>
        <w:rPr>
          <w:rFonts w:ascii="Palatino Linotype" w:eastAsia="Calibri" w:hAnsi="Palatino Linotype" w:cs="Arial"/>
        </w:rPr>
        <w:t xml:space="preserve"> al momento de emitir la presente resolución.</w:t>
      </w:r>
    </w:p>
    <w:p w:rsidR="00011EFA" w:rsidRPr="008537D1" w:rsidRDefault="00011EFA" w:rsidP="00011EFA">
      <w:pPr>
        <w:spacing w:line="360" w:lineRule="auto"/>
        <w:jc w:val="both"/>
        <w:rPr>
          <w:rFonts w:ascii="Palatino Linotype" w:eastAsia="Calibri" w:hAnsi="Palatino Linotype" w:cs="Arial"/>
          <w:sz w:val="24"/>
          <w:szCs w:val="24"/>
        </w:rPr>
      </w:pPr>
      <w:r w:rsidRPr="008537D1">
        <w:rPr>
          <w:rFonts w:ascii="Palatino Linotype" w:hAnsi="Palatino Linotype" w:cs="Arial"/>
          <w:sz w:val="24"/>
          <w:szCs w:val="24"/>
        </w:rPr>
        <w:lastRenderedPageBreak/>
        <w:t xml:space="preserve">En esa tesitura, de acuerdo a lo inmerso en el expediente que nos ocupa se advierte que </w:t>
      </w:r>
      <w:r w:rsidRPr="008537D1">
        <w:rPr>
          <w:rFonts w:ascii="Palatino Linotype" w:hAnsi="Palatino Linotype" w:cs="Arial"/>
          <w:b/>
          <w:sz w:val="24"/>
          <w:szCs w:val="24"/>
        </w:rPr>
        <w:t>El Sujeto Obligado</w:t>
      </w:r>
      <w:r w:rsidRPr="008537D1">
        <w:rPr>
          <w:rFonts w:ascii="Palatino Linotype" w:hAnsi="Palatino Linotype" w:cs="Arial"/>
          <w:sz w:val="24"/>
          <w:szCs w:val="24"/>
        </w:rPr>
        <w:t xml:space="preserve"> ha modificado el acto, remitiendo </w:t>
      </w:r>
      <w:r w:rsidRPr="008537D1">
        <w:rPr>
          <w:rFonts w:ascii="Palatino Linotype" w:hAnsi="Palatino Linotype" w:cs="Arial"/>
          <w:color w:val="000000" w:themeColor="text1"/>
          <w:sz w:val="24"/>
          <w:szCs w:val="24"/>
        </w:rPr>
        <w:t xml:space="preserve">la Información Complementaria y fundamentada con la </w:t>
      </w:r>
      <w:r w:rsidR="00722870">
        <w:rPr>
          <w:rFonts w:ascii="Palatino Linotype" w:eastAsia="Calibri" w:hAnsi="Palatino Linotype" w:cs="Arial"/>
          <w:b/>
          <w:i/>
          <w:sz w:val="24"/>
          <w:szCs w:val="24"/>
        </w:rPr>
        <w:t>fecha de ingreso de la C. Gabriela Nieto cid del Prado</w:t>
      </w:r>
      <w:r w:rsidRPr="001E318A">
        <w:rPr>
          <w:rFonts w:ascii="Palatino Linotype" w:hAnsi="Palatino Linotype" w:cs="Arial"/>
          <w:sz w:val="24"/>
          <w:szCs w:val="24"/>
        </w:rPr>
        <w:t>, como ya ha sido demostrado en los párrafos que anteceden.</w:t>
      </w:r>
    </w:p>
    <w:p w:rsidR="00011EFA" w:rsidRPr="001E318A" w:rsidRDefault="00011EFA" w:rsidP="00011EFA">
      <w:pPr>
        <w:pStyle w:val="Sinespaciado"/>
      </w:pPr>
    </w:p>
    <w:p w:rsidR="00011EFA" w:rsidRPr="001E318A" w:rsidRDefault="00011EFA" w:rsidP="00011EFA">
      <w:pPr>
        <w:autoSpaceDE w:val="0"/>
        <w:autoSpaceDN w:val="0"/>
        <w:adjustRightInd w:val="0"/>
        <w:spacing w:after="0" w:line="360" w:lineRule="auto"/>
        <w:jc w:val="both"/>
        <w:rPr>
          <w:rFonts w:ascii="Palatino Linotype" w:hAnsi="Palatino Linotype" w:cs="Arial"/>
          <w:sz w:val="24"/>
          <w:szCs w:val="24"/>
        </w:rPr>
      </w:pPr>
      <w:r w:rsidRPr="001E318A">
        <w:rPr>
          <w:rFonts w:ascii="Palatino Linotype" w:hAnsi="Palatino Linotype" w:cs="Arial"/>
          <w:sz w:val="24"/>
          <w:szCs w:val="24"/>
        </w:rPr>
        <w:t xml:space="preserve">Hasta lo aquí expuesto, se concluye que </w:t>
      </w:r>
      <w:r w:rsidRPr="001E318A">
        <w:rPr>
          <w:rFonts w:ascii="Palatino Linotype" w:hAnsi="Palatino Linotype" w:cs="Arial"/>
          <w:b/>
          <w:sz w:val="24"/>
          <w:szCs w:val="24"/>
        </w:rPr>
        <w:t>El Sujeto Obligado</w:t>
      </w:r>
      <w:r w:rsidRPr="001E318A">
        <w:rPr>
          <w:rFonts w:ascii="Palatino Linotype" w:hAnsi="Palatino Linotype" w:cs="Arial"/>
          <w:sz w:val="24"/>
          <w:szCs w:val="24"/>
        </w:rPr>
        <w:t xml:space="preserve"> satisfizo el derecho de acceso a la información mediante la respuesta primigenia y la modificación de la misma en su informe justificado, actualizándose la fracción III, del arábigo 192, de la Ley de Transparencia vigente en la entidad</w:t>
      </w:r>
      <w:r w:rsidRPr="001E318A">
        <w:rPr>
          <w:rFonts w:ascii="Palatino Linotype" w:hAnsi="Palatino Linotype"/>
          <w:sz w:val="24"/>
          <w:szCs w:val="24"/>
        </w:rPr>
        <w:t xml:space="preserve">, por darse por satisfechos los elementos que integran dicha hipótesis, </w:t>
      </w:r>
      <w:r w:rsidRPr="001E318A">
        <w:rPr>
          <w:rFonts w:ascii="Palatino Linotype" w:hAnsi="Palatino Linotype" w:cs="Arial"/>
          <w:sz w:val="24"/>
          <w:szCs w:val="24"/>
        </w:rPr>
        <w:t xml:space="preserve">a saber: </w:t>
      </w:r>
    </w:p>
    <w:p w:rsidR="00011EFA" w:rsidRPr="001E318A" w:rsidRDefault="00011EFA" w:rsidP="002E5EA6">
      <w:pPr>
        <w:pStyle w:val="Sinespaciado"/>
      </w:pPr>
    </w:p>
    <w:p w:rsidR="00011EFA" w:rsidRPr="001E318A" w:rsidRDefault="00011EFA" w:rsidP="00011EFA">
      <w:pPr>
        <w:pStyle w:val="Prrafodelista"/>
        <w:numPr>
          <w:ilvl w:val="0"/>
          <w:numId w:val="9"/>
        </w:numPr>
        <w:tabs>
          <w:tab w:val="left" w:pos="709"/>
        </w:tabs>
        <w:spacing w:line="360" w:lineRule="auto"/>
        <w:ind w:right="51"/>
        <w:jc w:val="both"/>
        <w:rPr>
          <w:rFonts w:ascii="Palatino Linotype" w:hAnsi="Palatino Linotype" w:cs="Arial"/>
        </w:rPr>
      </w:pPr>
      <w:r w:rsidRPr="001E318A">
        <w:rPr>
          <w:rFonts w:ascii="Palatino Linotype" w:hAnsi="Palatino Linotype" w:cs="Arial"/>
        </w:rPr>
        <w:t xml:space="preserve">El primero de ellos es que el </w:t>
      </w:r>
      <w:r w:rsidR="00DD0F06" w:rsidRPr="00DD0F06">
        <w:rPr>
          <w:rFonts w:ascii="Palatino Linotype" w:hAnsi="Palatino Linotype" w:cs="Arial"/>
          <w:b/>
        </w:rPr>
        <w:t>Sujeto Obligado</w:t>
      </w:r>
      <w:r w:rsidR="00DD0F06" w:rsidRPr="001E318A">
        <w:rPr>
          <w:rFonts w:ascii="Palatino Linotype" w:hAnsi="Palatino Linotype" w:cs="Arial"/>
        </w:rPr>
        <w:t xml:space="preserve"> </w:t>
      </w:r>
      <w:r w:rsidRPr="001E318A">
        <w:rPr>
          <w:rFonts w:ascii="Palatino Linotype" w:hAnsi="Palatino Linotype" w:cs="Arial"/>
        </w:rPr>
        <w:t xml:space="preserve">responsable del acto lo modifique o revoque, lo que se demuestra con las documentales en el </w:t>
      </w:r>
      <w:r w:rsidR="00722870">
        <w:rPr>
          <w:rFonts w:ascii="Palatino Linotype" w:hAnsi="Palatino Linotype" w:cs="Arial"/>
        </w:rPr>
        <w:t xml:space="preserve">alcance al </w:t>
      </w:r>
      <w:r w:rsidRPr="001E318A">
        <w:rPr>
          <w:rFonts w:ascii="Palatino Linotype" w:hAnsi="Palatino Linotype" w:cs="Arial"/>
        </w:rPr>
        <w:t xml:space="preserve">informe justificado de fecha </w:t>
      </w:r>
      <w:r w:rsidR="00DD0F06">
        <w:rPr>
          <w:rFonts w:ascii="Palatino Linotype" w:hAnsi="Palatino Linotype" w:cs="Arial"/>
          <w:b/>
        </w:rPr>
        <w:t>02 de diciembre de 2019</w:t>
      </w:r>
      <w:r w:rsidRPr="001E318A">
        <w:rPr>
          <w:rFonts w:ascii="Palatino Linotype" w:hAnsi="Palatino Linotype" w:cs="Arial"/>
        </w:rPr>
        <w:t>, el cual deviene de la autoridad quien emitió el acto impugnado.</w:t>
      </w:r>
    </w:p>
    <w:p w:rsidR="00011EFA" w:rsidRPr="001E318A" w:rsidRDefault="00011EFA" w:rsidP="00011EFA">
      <w:pPr>
        <w:pStyle w:val="Sinespaciado"/>
      </w:pPr>
    </w:p>
    <w:p w:rsidR="00011EFA" w:rsidRPr="00DD0F06" w:rsidRDefault="00011EFA" w:rsidP="00DD0F06">
      <w:pPr>
        <w:pStyle w:val="Prrafodelista"/>
        <w:numPr>
          <w:ilvl w:val="0"/>
          <w:numId w:val="9"/>
        </w:numPr>
        <w:spacing w:line="360" w:lineRule="auto"/>
        <w:ind w:right="51"/>
        <w:jc w:val="both"/>
        <w:rPr>
          <w:rFonts w:ascii="Palatino Linotype" w:hAnsi="Palatino Linotype"/>
        </w:rPr>
      </w:pPr>
      <w:r w:rsidRPr="001E318A">
        <w:rPr>
          <w:rFonts w:ascii="Palatino Linotype" w:hAnsi="Palatino Linotype" w:cs="Arial"/>
        </w:rPr>
        <w:t xml:space="preserve">Por lo que hace al segundo elemento inmerso en el numeral en comento, se requiere que el recurso de revisión se quede sin materia, lo cual se actualiza con las líneas argumentativas inmersas en el presente considerando, atendiendo a que la materia del recurso de revisión se hizo consistir en </w:t>
      </w:r>
      <w:r>
        <w:rPr>
          <w:rFonts w:ascii="Palatino Linotype" w:hAnsi="Palatino Linotype" w:cs="Arial"/>
        </w:rPr>
        <w:t>ampliar su respuesta primigenia, proporcionando nuevos elementos en el</w:t>
      </w:r>
      <w:r w:rsidR="00722870">
        <w:rPr>
          <w:rFonts w:ascii="Palatino Linotype" w:hAnsi="Palatino Linotype" w:cs="Arial"/>
        </w:rPr>
        <w:t xml:space="preserve"> alcance al</w:t>
      </w:r>
      <w:r>
        <w:rPr>
          <w:rFonts w:ascii="Palatino Linotype" w:hAnsi="Palatino Linotype" w:cs="Arial"/>
        </w:rPr>
        <w:t xml:space="preserve"> informe justificado</w:t>
      </w:r>
      <w:r w:rsidRPr="008537D1">
        <w:rPr>
          <w:rFonts w:ascii="Palatino Linotype" w:hAnsi="Palatino Linotype"/>
          <w:bCs/>
        </w:rPr>
        <w:t>;</w:t>
      </w:r>
      <w:r w:rsidRPr="008537D1">
        <w:rPr>
          <w:rFonts w:ascii="Palatino Linotype" w:hAnsi="Palatino Linotype" w:cs="Arial"/>
        </w:rPr>
        <w:t xml:space="preserve"> lo que se vio superado con las referencias electrónicas señaladas en el inciso anterior.</w:t>
      </w:r>
    </w:p>
    <w:p w:rsidR="00011EFA" w:rsidRDefault="00011EFA" w:rsidP="00011EFA">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sidRPr="001E318A">
        <w:rPr>
          <w:rFonts w:ascii="Palatino Linotype" w:hAnsi="Palatino Linotype" w:cs="Arial"/>
          <w:sz w:val="24"/>
        </w:rPr>
        <w:lastRenderedPageBreak/>
        <w:t xml:space="preserve">En conclusión, la ley de la materia establece </w:t>
      </w:r>
      <w:r w:rsidRPr="001E318A">
        <w:rPr>
          <w:rFonts w:ascii="Palatino Linotype" w:eastAsia="Times New Roman" w:hAnsi="Palatino Linotype" w:cs="Arial"/>
          <w:sz w:val="24"/>
          <w:szCs w:val="24"/>
          <w:lang w:val="es-ES" w:eastAsia="es-ES"/>
        </w:rPr>
        <w:t>en la fracción III, del artículo 192, de la Ley de Transparencia vigente en la entidad, que a la letra establecen:</w:t>
      </w:r>
    </w:p>
    <w:p w:rsidR="00722870" w:rsidRPr="008537D1" w:rsidRDefault="00722870" w:rsidP="002E5EA6">
      <w:pPr>
        <w:pStyle w:val="Sinespaciado"/>
        <w:rPr>
          <w:lang w:val="es-ES"/>
        </w:rPr>
      </w:pPr>
    </w:p>
    <w:p w:rsidR="00011EFA" w:rsidRPr="001E318A" w:rsidRDefault="00011EFA" w:rsidP="00011EFA">
      <w:pPr>
        <w:autoSpaceDE w:val="0"/>
        <w:autoSpaceDN w:val="0"/>
        <w:adjustRightInd w:val="0"/>
        <w:spacing w:after="0" w:line="240" w:lineRule="auto"/>
        <w:ind w:left="708"/>
        <w:jc w:val="both"/>
        <w:rPr>
          <w:rFonts w:ascii="Palatino Linotype" w:eastAsia="Times New Roman" w:hAnsi="Palatino Linotype" w:cs="Times New Roman"/>
          <w:i/>
          <w:szCs w:val="24"/>
          <w:lang w:val="es-ES" w:eastAsia="es-ES"/>
        </w:rPr>
      </w:pPr>
      <w:r w:rsidRPr="001E318A">
        <w:rPr>
          <w:rFonts w:ascii="Palatino Linotype" w:eastAsia="Times New Roman" w:hAnsi="Palatino Linotype" w:cs="Times New Roman"/>
          <w:b/>
          <w:i/>
          <w:szCs w:val="24"/>
          <w:lang w:val="es-ES" w:eastAsia="es-ES"/>
        </w:rPr>
        <w:t xml:space="preserve">“Artículo 192. </w:t>
      </w:r>
      <w:r w:rsidRPr="001E318A">
        <w:rPr>
          <w:rFonts w:ascii="Palatino Linotype" w:eastAsia="Times New Roman" w:hAnsi="Palatino Linotype" w:cs="Times New Roman"/>
          <w:b/>
          <w:i/>
          <w:szCs w:val="24"/>
          <w:u w:val="single"/>
          <w:lang w:val="es-ES" w:eastAsia="es-ES"/>
        </w:rPr>
        <w:t>El recurso será sobreseído, en todo o en parte, cuando una vez admitido, se actualicen alguno de los siguientes supuestos</w:t>
      </w:r>
      <w:r w:rsidRPr="001E318A">
        <w:rPr>
          <w:rFonts w:ascii="Palatino Linotype" w:eastAsia="Times New Roman" w:hAnsi="Palatino Linotype" w:cs="Times New Roman"/>
          <w:i/>
          <w:szCs w:val="24"/>
          <w:lang w:val="es-ES" w:eastAsia="es-ES"/>
        </w:rPr>
        <w:t>:</w:t>
      </w:r>
    </w:p>
    <w:p w:rsidR="00011EFA" w:rsidRPr="001E318A" w:rsidRDefault="00011EFA" w:rsidP="00011EFA">
      <w:pPr>
        <w:numPr>
          <w:ilvl w:val="0"/>
          <w:numId w:val="10"/>
        </w:numPr>
        <w:autoSpaceDE w:val="0"/>
        <w:autoSpaceDN w:val="0"/>
        <w:adjustRightInd w:val="0"/>
        <w:spacing w:after="0" w:line="240" w:lineRule="auto"/>
        <w:jc w:val="both"/>
        <w:rPr>
          <w:rFonts w:ascii="Palatino Linotype" w:eastAsia="Times New Roman" w:hAnsi="Palatino Linotype" w:cs="Times New Roman"/>
          <w:i/>
          <w:szCs w:val="24"/>
          <w:lang w:val="es-ES" w:eastAsia="es-ES"/>
        </w:rPr>
      </w:pPr>
      <w:r w:rsidRPr="001E318A">
        <w:rPr>
          <w:rFonts w:ascii="Palatino Linotype" w:eastAsia="Times New Roman" w:hAnsi="Palatino Linotype" w:cs="Times New Roman"/>
          <w:i/>
          <w:szCs w:val="24"/>
          <w:lang w:val="es-ES" w:eastAsia="es-ES"/>
        </w:rPr>
        <w:t xml:space="preserve">El recurrente se desista expresamente del recurso; </w:t>
      </w:r>
    </w:p>
    <w:p w:rsidR="00011EFA" w:rsidRPr="001E318A" w:rsidRDefault="00011EFA" w:rsidP="00011EFA">
      <w:pPr>
        <w:numPr>
          <w:ilvl w:val="0"/>
          <w:numId w:val="10"/>
        </w:numPr>
        <w:autoSpaceDE w:val="0"/>
        <w:autoSpaceDN w:val="0"/>
        <w:adjustRightInd w:val="0"/>
        <w:spacing w:after="0" w:line="240" w:lineRule="auto"/>
        <w:jc w:val="both"/>
        <w:rPr>
          <w:rFonts w:ascii="Palatino Linotype" w:eastAsia="Times New Roman" w:hAnsi="Palatino Linotype" w:cs="Arial"/>
          <w:i/>
          <w:szCs w:val="24"/>
          <w:lang w:val="es-ES" w:eastAsia="es-ES"/>
        </w:rPr>
      </w:pPr>
      <w:r w:rsidRPr="001E318A">
        <w:rPr>
          <w:rFonts w:ascii="Palatino Linotype" w:eastAsia="Times New Roman" w:hAnsi="Palatino Linotype" w:cs="Times New Roman"/>
          <w:i/>
          <w:szCs w:val="24"/>
          <w:lang w:val="es-ES" w:eastAsia="es-ES"/>
        </w:rPr>
        <w:t xml:space="preserve">El recurrente fallezca o, tratándose de personas jurídicas colectivas, se disuelva; </w:t>
      </w:r>
    </w:p>
    <w:p w:rsidR="00011EFA" w:rsidRPr="001E318A" w:rsidRDefault="00011EFA" w:rsidP="00011EFA">
      <w:pPr>
        <w:numPr>
          <w:ilvl w:val="0"/>
          <w:numId w:val="10"/>
        </w:numPr>
        <w:autoSpaceDE w:val="0"/>
        <w:autoSpaceDN w:val="0"/>
        <w:adjustRightInd w:val="0"/>
        <w:spacing w:after="0" w:line="240" w:lineRule="auto"/>
        <w:jc w:val="both"/>
        <w:rPr>
          <w:rFonts w:ascii="Palatino Linotype" w:eastAsia="Times New Roman" w:hAnsi="Palatino Linotype" w:cs="Arial"/>
          <w:i/>
          <w:szCs w:val="24"/>
          <w:lang w:val="es-ES" w:eastAsia="es-ES"/>
        </w:rPr>
      </w:pPr>
      <w:r w:rsidRPr="001E318A">
        <w:rPr>
          <w:rFonts w:ascii="Palatino Linotype" w:eastAsia="Times New Roman" w:hAnsi="Palatino Linotype" w:cs="Times New Roman"/>
          <w:b/>
          <w:i/>
          <w:szCs w:val="24"/>
          <w:u w:val="single"/>
          <w:lang w:val="es-ES" w:eastAsia="es-ES"/>
        </w:rPr>
        <w:t>El sujeto obligado responsable del acto lo modifique o revoque de tal manera que el recurso de revisión quede sin materia</w:t>
      </w:r>
      <w:r w:rsidRPr="001E318A">
        <w:rPr>
          <w:rFonts w:ascii="Palatino Linotype" w:eastAsia="Times New Roman" w:hAnsi="Palatino Linotype" w:cs="Times New Roman"/>
          <w:i/>
          <w:szCs w:val="24"/>
          <w:lang w:val="es-ES" w:eastAsia="es-ES"/>
        </w:rPr>
        <w:t xml:space="preserve">; </w:t>
      </w:r>
    </w:p>
    <w:p w:rsidR="00011EFA" w:rsidRPr="001E318A" w:rsidRDefault="00011EFA" w:rsidP="00011EFA">
      <w:pPr>
        <w:numPr>
          <w:ilvl w:val="0"/>
          <w:numId w:val="10"/>
        </w:numPr>
        <w:autoSpaceDE w:val="0"/>
        <w:autoSpaceDN w:val="0"/>
        <w:adjustRightInd w:val="0"/>
        <w:spacing w:after="0" w:line="240" w:lineRule="auto"/>
        <w:jc w:val="both"/>
        <w:rPr>
          <w:rFonts w:ascii="Palatino Linotype" w:eastAsia="Times New Roman" w:hAnsi="Palatino Linotype" w:cs="Arial"/>
          <w:i/>
          <w:szCs w:val="24"/>
          <w:lang w:val="es-ES" w:eastAsia="es-ES"/>
        </w:rPr>
      </w:pPr>
      <w:r w:rsidRPr="001E318A">
        <w:rPr>
          <w:rFonts w:ascii="Palatino Linotype" w:eastAsia="Times New Roman" w:hAnsi="Palatino Linotype" w:cs="Times New Roman"/>
          <w:i/>
          <w:szCs w:val="24"/>
          <w:lang w:val="es-ES" w:eastAsia="es-ES"/>
        </w:rPr>
        <w:t xml:space="preserve">Admitido el recurso de revisión, aparezca alguna causal de improcedencia en los términos de la presente Ley; y </w:t>
      </w:r>
    </w:p>
    <w:p w:rsidR="00011EFA" w:rsidRPr="001E318A" w:rsidRDefault="00011EFA" w:rsidP="00011EFA">
      <w:pPr>
        <w:numPr>
          <w:ilvl w:val="0"/>
          <w:numId w:val="10"/>
        </w:numPr>
        <w:autoSpaceDE w:val="0"/>
        <w:autoSpaceDN w:val="0"/>
        <w:adjustRightInd w:val="0"/>
        <w:spacing w:after="0" w:line="240" w:lineRule="auto"/>
        <w:jc w:val="both"/>
        <w:rPr>
          <w:rFonts w:ascii="Palatino Linotype" w:eastAsia="Times New Roman" w:hAnsi="Palatino Linotype" w:cs="Arial"/>
          <w:i/>
          <w:szCs w:val="24"/>
          <w:lang w:val="es-ES" w:eastAsia="es-ES"/>
        </w:rPr>
      </w:pPr>
      <w:r w:rsidRPr="001E318A">
        <w:rPr>
          <w:rFonts w:ascii="Palatino Linotype" w:eastAsia="Times New Roman" w:hAnsi="Palatino Linotype" w:cs="Times New Roman"/>
          <w:i/>
          <w:szCs w:val="24"/>
          <w:lang w:val="es-ES" w:eastAsia="es-ES"/>
        </w:rPr>
        <w:t>Cuando por cualquier motivo quede sin materia el recurso.”</w:t>
      </w:r>
    </w:p>
    <w:p w:rsidR="00011EFA" w:rsidRPr="001E318A" w:rsidRDefault="00011EFA" w:rsidP="00011EFA">
      <w:pPr>
        <w:rPr>
          <w:rFonts w:ascii="Palatino Linotype" w:hAnsi="Palatino Linotype"/>
          <w:sz w:val="24"/>
          <w:lang w:val="es-ES" w:eastAsia="es-ES"/>
        </w:rPr>
      </w:pPr>
    </w:p>
    <w:p w:rsidR="00011EFA" w:rsidRPr="001E318A" w:rsidRDefault="00011EFA" w:rsidP="00011EFA">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sidRPr="001E318A">
        <w:rPr>
          <w:rFonts w:ascii="Palatino Linotype" w:eastAsia="Times New Roman" w:hAnsi="Palatino Linotype" w:cs="Arial"/>
          <w:sz w:val="24"/>
          <w:szCs w:val="24"/>
          <w:lang w:val="es-ES" w:eastAsia="es-ES"/>
        </w:rPr>
        <w:t>Por lo que hace a los requisitos de procedencia del sobreseimiento en términos del artículo 192, de la Ley de Transparencia estatal se establece lo siguiente:</w:t>
      </w:r>
    </w:p>
    <w:p w:rsidR="00011EFA" w:rsidRPr="001E318A" w:rsidRDefault="00011EFA" w:rsidP="00011EFA">
      <w:pPr>
        <w:pStyle w:val="Sinespaciado"/>
        <w:rPr>
          <w:lang w:val="es-ES"/>
        </w:rPr>
      </w:pPr>
    </w:p>
    <w:p w:rsidR="00011EFA" w:rsidRPr="001E318A" w:rsidRDefault="00011EFA" w:rsidP="002E5EA6">
      <w:pPr>
        <w:numPr>
          <w:ilvl w:val="0"/>
          <w:numId w:val="11"/>
        </w:numPr>
        <w:autoSpaceDE w:val="0"/>
        <w:autoSpaceDN w:val="0"/>
        <w:adjustRightInd w:val="0"/>
        <w:spacing w:after="0" w:line="276" w:lineRule="auto"/>
        <w:ind w:left="851" w:right="850" w:firstLine="10"/>
        <w:jc w:val="both"/>
        <w:rPr>
          <w:rFonts w:ascii="Palatino Linotype" w:eastAsia="Times New Roman" w:hAnsi="Palatino Linotype" w:cs="Arial"/>
          <w:sz w:val="24"/>
          <w:szCs w:val="24"/>
          <w:lang w:val="es-ES" w:eastAsia="es-ES"/>
        </w:rPr>
      </w:pPr>
      <w:r w:rsidRPr="001E318A">
        <w:rPr>
          <w:rFonts w:ascii="Palatino Linotype" w:eastAsia="Times New Roman" w:hAnsi="Palatino Linotype" w:cs="Arial"/>
          <w:sz w:val="24"/>
          <w:szCs w:val="24"/>
          <w:lang w:val="es-ES" w:eastAsia="es-ES"/>
        </w:rPr>
        <w:t xml:space="preserve">Mediante acuerdo de fecha </w:t>
      </w:r>
      <w:r w:rsidR="00722870">
        <w:rPr>
          <w:rFonts w:ascii="Palatino Linotype" w:eastAsia="Times New Roman" w:hAnsi="Palatino Linotype" w:cs="Arial"/>
          <w:b/>
          <w:sz w:val="24"/>
          <w:szCs w:val="24"/>
          <w:lang w:val="es-ES" w:eastAsia="es-ES"/>
        </w:rPr>
        <w:t>veinticinco de septiembre</w:t>
      </w:r>
      <w:r w:rsidRPr="001E318A">
        <w:rPr>
          <w:rFonts w:ascii="Palatino Linotype" w:eastAsia="Times New Roman" w:hAnsi="Palatino Linotype" w:cs="Arial"/>
          <w:b/>
          <w:sz w:val="24"/>
          <w:szCs w:val="24"/>
          <w:lang w:val="es-ES" w:eastAsia="es-ES"/>
        </w:rPr>
        <w:t xml:space="preserve"> de dos mil diecinueve</w:t>
      </w:r>
      <w:r w:rsidRPr="001E318A">
        <w:rPr>
          <w:rFonts w:ascii="Palatino Linotype" w:eastAsia="Times New Roman" w:hAnsi="Palatino Linotype" w:cs="Arial"/>
          <w:sz w:val="24"/>
          <w:szCs w:val="24"/>
          <w:lang w:val="es-ES" w:eastAsia="es-ES"/>
        </w:rPr>
        <w:t xml:space="preserve">, la Comisionada </w:t>
      </w:r>
      <w:r w:rsidRPr="001E318A">
        <w:rPr>
          <w:rFonts w:ascii="Palatino Linotype" w:eastAsia="Times New Roman" w:hAnsi="Palatino Linotype" w:cs="Arial"/>
          <w:b/>
          <w:sz w:val="24"/>
          <w:szCs w:val="24"/>
          <w:lang w:val="es-ES" w:eastAsia="es-ES"/>
        </w:rPr>
        <w:t>Zulema Martínez Sánchez</w:t>
      </w:r>
      <w:r w:rsidRPr="001E318A">
        <w:rPr>
          <w:rFonts w:ascii="Palatino Linotype" w:eastAsia="Times New Roman" w:hAnsi="Palatino Linotype" w:cs="Arial"/>
          <w:sz w:val="24"/>
          <w:szCs w:val="24"/>
          <w:lang w:val="es-ES" w:eastAsia="es-ES"/>
        </w:rPr>
        <w:t>, admitió a trámite el recurso de revisión que nos ocupa</w:t>
      </w:r>
      <w:r w:rsidRPr="001E318A">
        <w:rPr>
          <w:rFonts w:ascii="Palatino Linotype" w:eastAsia="Times New Roman" w:hAnsi="Palatino Linotype" w:cs="Arial"/>
          <w:sz w:val="24"/>
          <w:szCs w:val="24"/>
          <w:lang w:eastAsia="es-ES"/>
        </w:rPr>
        <w:t>.</w:t>
      </w:r>
    </w:p>
    <w:p w:rsidR="00011EFA" w:rsidRPr="001E318A" w:rsidRDefault="00011EFA" w:rsidP="002E5EA6">
      <w:pPr>
        <w:pStyle w:val="Sinespaciado"/>
        <w:spacing w:line="276" w:lineRule="auto"/>
      </w:pPr>
    </w:p>
    <w:p w:rsidR="00011EFA" w:rsidRDefault="00011EFA" w:rsidP="002E5EA6">
      <w:pPr>
        <w:pStyle w:val="Prrafodelista"/>
        <w:numPr>
          <w:ilvl w:val="0"/>
          <w:numId w:val="11"/>
        </w:numPr>
        <w:autoSpaceDE w:val="0"/>
        <w:autoSpaceDN w:val="0"/>
        <w:adjustRightInd w:val="0"/>
        <w:spacing w:line="276" w:lineRule="auto"/>
        <w:ind w:left="851" w:right="850" w:firstLine="10"/>
        <w:jc w:val="both"/>
        <w:rPr>
          <w:rFonts w:ascii="Palatino Linotype" w:hAnsi="Palatino Linotype" w:cs="Arial"/>
        </w:rPr>
      </w:pPr>
      <w:r w:rsidRPr="001E318A">
        <w:rPr>
          <w:rFonts w:ascii="Palatino Linotype" w:hAnsi="Palatino Linotype" w:cs="Arial"/>
        </w:rPr>
        <w:t xml:space="preserve">Lo esgrimido por </w:t>
      </w:r>
      <w:r>
        <w:rPr>
          <w:rFonts w:ascii="Palatino Linotype" w:hAnsi="Palatino Linotype" w:cs="Arial"/>
        </w:rPr>
        <w:t>el particular</w:t>
      </w:r>
      <w:r w:rsidRPr="001E318A">
        <w:rPr>
          <w:rFonts w:ascii="Palatino Linotype" w:hAnsi="Palatino Linotype" w:cs="Arial"/>
        </w:rPr>
        <w:t xml:space="preserve"> dentro del recurso de revisión impugnado queda sin materia, toda vez que </w:t>
      </w:r>
      <w:r w:rsidRPr="001E318A">
        <w:rPr>
          <w:rFonts w:ascii="Palatino Linotype" w:hAnsi="Palatino Linotype" w:cs="Arial"/>
          <w:b/>
        </w:rPr>
        <w:t>El Sujeto Obligado</w:t>
      </w:r>
      <w:r w:rsidRPr="001E318A">
        <w:rPr>
          <w:rFonts w:ascii="Palatino Linotype" w:hAnsi="Palatino Linotype" w:cs="Arial"/>
        </w:rPr>
        <w:t xml:space="preserve"> colmó el derecho de acceso a la información de</w:t>
      </w:r>
      <w:r>
        <w:rPr>
          <w:rFonts w:ascii="Palatino Linotype" w:hAnsi="Palatino Linotype" w:cs="Arial"/>
        </w:rPr>
        <w:t>l</w:t>
      </w:r>
      <w:r w:rsidRPr="001E318A">
        <w:rPr>
          <w:rFonts w:ascii="Palatino Linotype" w:hAnsi="Palatino Linotype" w:cs="Arial"/>
        </w:rPr>
        <w:t xml:space="preserve"> </w:t>
      </w:r>
      <w:r w:rsidRPr="001E318A">
        <w:rPr>
          <w:rFonts w:ascii="Palatino Linotype" w:hAnsi="Palatino Linotype" w:cs="Arial"/>
          <w:b/>
        </w:rPr>
        <w:t>Recurrente</w:t>
      </w:r>
      <w:r w:rsidRPr="001E318A">
        <w:rPr>
          <w:rFonts w:ascii="Palatino Linotype" w:hAnsi="Palatino Linotype" w:cs="Arial"/>
        </w:rPr>
        <w:t>,</w:t>
      </w:r>
      <w:r w:rsidRPr="001E318A">
        <w:rPr>
          <w:rFonts w:ascii="Palatino Linotype" w:hAnsi="Palatino Linotype" w:cs="Arial"/>
          <w:b/>
        </w:rPr>
        <w:t xml:space="preserve"> </w:t>
      </w:r>
      <w:r w:rsidRPr="001E318A">
        <w:rPr>
          <w:rFonts w:ascii="Palatino Linotype" w:hAnsi="Palatino Linotype" w:cs="Arial"/>
        </w:rPr>
        <w:t xml:space="preserve">ello al modificar su respuesta primigenia, mediante la información remitida en su informe justificado, en fecha </w:t>
      </w:r>
      <w:r>
        <w:rPr>
          <w:rFonts w:ascii="Palatino Linotype" w:hAnsi="Palatino Linotype" w:cs="Arial"/>
          <w:b/>
        </w:rPr>
        <w:t>once de octubre</w:t>
      </w:r>
      <w:r w:rsidRPr="001E318A">
        <w:rPr>
          <w:rFonts w:ascii="Palatino Linotype" w:hAnsi="Palatino Linotype" w:cs="Arial"/>
          <w:b/>
        </w:rPr>
        <w:t xml:space="preserve"> de dos mil diecinueve</w:t>
      </w:r>
      <w:r w:rsidR="00722870">
        <w:rPr>
          <w:rFonts w:ascii="Palatino Linotype" w:hAnsi="Palatino Linotype" w:cs="Arial"/>
        </w:rPr>
        <w:t xml:space="preserve">, y el alcance al mismo, de fecha </w:t>
      </w:r>
      <w:r w:rsidR="002E5EA6">
        <w:rPr>
          <w:rFonts w:ascii="Palatino Linotype" w:hAnsi="Palatino Linotype" w:cs="Arial"/>
          <w:b/>
        </w:rPr>
        <w:t xml:space="preserve">dos de diciembre </w:t>
      </w:r>
      <w:r w:rsidR="00722870" w:rsidRPr="00722870">
        <w:rPr>
          <w:rFonts w:ascii="Palatino Linotype" w:hAnsi="Palatino Linotype" w:cs="Arial"/>
          <w:b/>
        </w:rPr>
        <w:t>del año en curso</w:t>
      </w:r>
      <w:r w:rsidR="00722870">
        <w:rPr>
          <w:rFonts w:ascii="Palatino Linotype" w:hAnsi="Palatino Linotype" w:cs="Arial"/>
        </w:rPr>
        <w:t>.</w:t>
      </w:r>
    </w:p>
    <w:p w:rsidR="002E5EA6" w:rsidRPr="002E5EA6" w:rsidRDefault="002E5EA6" w:rsidP="002E5EA6">
      <w:pPr>
        <w:pStyle w:val="Prrafodelista"/>
        <w:spacing w:line="276" w:lineRule="auto"/>
        <w:rPr>
          <w:rFonts w:ascii="Palatino Linotype" w:hAnsi="Palatino Linotype" w:cs="Arial"/>
        </w:rPr>
      </w:pPr>
    </w:p>
    <w:p w:rsidR="002E5EA6" w:rsidRPr="002E5EA6" w:rsidRDefault="002E5EA6" w:rsidP="002E5EA6">
      <w:pPr>
        <w:pStyle w:val="Prrafodelista"/>
        <w:autoSpaceDE w:val="0"/>
        <w:autoSpaceDN w:val="0"/>
        <w:adjustRightInd w:val="0"/>
        <w:spacing w:line="276" w:lineRule="auto"/>
        <w:ind w:left="861" w:right="850"/>
        <w:jc w:val="both"/>
        <w:rPr>
          <w:rFonts w:ascii="Palatino Linotype" w:hAnsi="Palatino Linotype" w:cs="Arial"/>
        </w:rPr>
      </w:pPr>
    </w:p>
    <w:p w:rsidR="00011EFA" w:rsidRPr="001E318A" w:rsidRDefault="00011EFA" w:rsidP="002E5EA6">
      <w:pPr>
        <w:numPr>
          <w:ilvl w:val="0"/>
          <w:numId w:val="11"/>
        </w:numPr>
        <w:autoSpaceDE w:val="0"/>
        <w:autoSpaceDN w:val="0"/>
        <w:adjustRightInd w:val="0"/>
        <w:spacing w:after="0" w:line="276" w:lineRule="auto"/>
        <w:ind w:left="851" w:right="850" w:firstLine="10"/>
        <w:jc w:val="both"/>
        <w:rPr>
          <w:rFonts w:ascii="Palatino Linotype" w:eastAsia="Times New Roman" w:hAnsi="Palatino Linotype" w:cs="Arial"/>
          <w:sz w:val="24"/>
          <w:szCs w:val="24"/>
          <w:lang w:val="es-ES" w:eastAsia="es-ES"/>
        </w:rPr>
      </w:pPr>
      <w:r w:rsidRPr="001E318A">
        <w:rPr>
          <w:rFonts w:ascii="Palatino Linotype" w:eastAsia="Times New Roman" w:hAnsi="Palatino Linotype" w:cs="Arial"/>
          <w:sz w:val="24"/>
          <w:szCs w:val="24"/>
          <w:lang w:val="es-ES" w:eastAsia="es-ES"/>
        </w:rPr>
        <w:lastRenderedPageBreak/>
        <w:t xml:space="preserve">El recurso </w:t>
      </w:r>
      <w:r w:rsidRPr="001E318A">
        <w:rPr>
          <w:rFonts w:ascii="Palatino Linotype" w:eastAsia="Times New Roman" w:hAnsi="Palatino Linotype" w:cs="Arial"/>
          <w:b/>
          <w:bCs/>
          <w:sz w:val="24"/>
          <w:szCs w:val="24"/>
          <w:lang w:val="es-ES" w:eastAsia="es-MX"/>
        </w:rPr>
        <w:t>0</w:t>
      </w:r>
      <w:r>
        <w:rPr>
          <w:rFonts w:ascii="Palatino Linotype" w:eastAsia="Times New Roman" w:hAnsi="Palatino Linotype" w:cs="Arial"/>
          <w:b/>
          <w:bCs/>
          <w:sz w:val="24"/>
          <w:szCs w:val="24"/>
          <w:lang w:val="es-ES" w:eastAsia="es-MX"/>
        </w:rPr>
        <w:t>7</w:t>
      </w:r>
      <w:r w:rsidR="00722870">
        <w:rPr>
          <w:rFonts w:ascii="Palatino Linotype" w:eastAsia="Times New Roman" w:hAnsi="Palatino Linotype" w:cs="Arial"/>
          <w:b/>
          <w:bCs/>
          <w:sz w:val="24"/>
          <w:szCs w:val="24"/>
          <w:lang w:val="es-ES" w:eastAsia="es-MX"/>
        </w:rPr>
        <w:t>485</w:t>
      </w:r>
      <w:r w:rsidRPr="001E318A">
        <w:rPr>
          <w:rFonts w:ascii="Palatino Linotype" w:eastAsia="Times New Roman" w:hAnsi="Palatino Linotype" w:cs="Arial"/>
          <w:b/>
          <w:bCs/>
          <w:sz w:val="24"/>
          <w:szCs w:val="24"/>
          <w:lang w:val="es-ES" w:eastAsia="es-MX"/>
        </w:rPr>
        <w:t>/INFOEM/IP/RR/2019</w:t>
      </w:r>
      <w:r w:rsidRPr="001E318A">
        <w:rPr>
          <w:rFonts w:ascii="Palatino Linotype" w:eastAsia="Times New Roman" w:hAnsi="Palatino Linotype" w:cs="Arial"/>
          <w:bCs/>
          <w:sz w:val="24"/>
          <w:szCs w:val="24"/>
          <w:lang w:val="es-ES" w:eastAsia="es-MX"/>
        </w:rPr>
        <w:t>,</w:t>
      </w:r>
      <w:r w:rsidRPr="001E318A">
        <w:rPr>
          <w:rFonts w:ascii="Palatino Linotype" w:eastAsia="Times New Roman" w:hAnsi="Palatino Linotype" w:cs="Arial"/>
          <w:sz w:val="24"/>
          <w:szCs w:val="24"/>
          <w:lang w:val="es-ES" w:eastAsia="es-ES"/>
        </w:rPr>
        <w:t xml:space="preserve"> no actualiza ninguna hipótesis de las inmersas en el numeral 179, de la Ley en materia vigente en la entidad.</w:t>
      </w:r>
    </w:p>
    <w:p w:rsidR="00011EFA" w:rsidRDefault="00011EFA" w:rsidP="00011EFA">
      <w:pPr>
        <w:autoSpaceDE w:val="0"/>
        <w:autoSpaceDN w:val="0"/>
        <w:adjustRightInd w:val="0"/>
        <w:spacing w:after="0" w:line="360" w:lineRule="auto"/>
        <w:jc w:val="both"/>
        <w:rPr>
          <w:rFonts w:ascii="Palatino Linotype" w:eastAsia="Times New Roman" w:hAnsi="Palatino Linotype" w:cs="Times New Roman"/>
          <w:sz w:val="24"/>
          <w:szCs w:val="24"/>
          <w:lang w:val="es-ES" w:eastAsia="es-ES"/>
        </w:rPr>
      </w:pPr>
    </w:p>
    <w:p w:rsidR="00011EFA" w:rsidRPr="001E318A" w:rsidRDefault="00011EFA" w:rsidP="00011EFA">
      <w:pPr>
        <w:autoSpaceDE w:val="0"/>
        <w:autoSpaceDN w:val="0"/>
        <w:adjustRightInd w:val="0"/>
        <w:spacing w:after="0" w:line="360" w:lineRule="auto"/>
        <w:jc w:val="both"/>
        <w:rPr>
          <w:rFonts w:ascii="Palatino Linotype" w:eastAsia="Times New Roman" w:hAnsi="Palatino Linotype" w:cs="Times New Roman"/>
          <w:sz w:val="24"/>
          <w:szCs w:val="24"/>
          <w:lang w:val="es-ES" w:eastAsia="es-ES"/>
        </w:rPr>
      </w:pPr>
      <w:r w:rsidRPr="001E318A">
        <w:rPr>
          <w:rFonts w:ascii="Palatino Linotype" w:eastAsia="Times New Roman" w:hAnsi="Palatino Linotype" w:cs="Times New Roman"/>
          <w:sz w:val="24"/>
          <w:szCs w:val="24"/>
          <w:lang w:val="es-ES" w:eastAsia="es-ES"/>
        </w:rPr>
        <w:t xml:space="preserve">Es importante resaltar a manera de analogía que la Suprema Corte de Justicia de la Nación mediante el número 2 de la Serie </w:t>
      </w:r>
      <w:r w:rsidRPr="001E318A">
        <w:rPr>
          <w:rFonts w:ascii="Palatino Linotype" w:eastAsia="Times New Roman" w:hAnsi="Palatino Linotype" w:cs="Times New Roman"/>
          <w:i/>
          <w:sz w:val="24"/>
          <w:szCs w:val="24"/>
          <w:lang w:val="es-ES" w:eastAsia="es-ES"/>
        </w:rPr>
        <w:t xml:space="preserve">Estudios Introductorios sobre el Juicio de Amparo </w:t>
      </w:r>
      <w:r w:rsidRPr="001E318A">
        <w:rPr>
          <w:rFonts w:ascii="Palatino Linotype" w:eastAsia="Times New Roman" w:hAnsi="Palatino Linotype" w:cs="Times New Roman"/>
          <w:sz w:val="24"/>
          <w:szCs w:val="24"/>
          <w:lang w:val="es-ES" w:eastAsia="es-ES"/>
        </w:rPr>
        <w:t xml:space="preserve">relativo a </w:t>
      </w:r>
      <w:r w:rsidRPr="001E318A">
        <w:rPr>
          <w:rFonts w:ascii="Palatino Linotype" w:eastAsia="Times New Roman" w:hAnsi="Palatino Linotype" w:cs="Times New Roman"/>
          <w:i/>
          <w:sz w:val="24"/>
          <w:szCs w:val="24"/>
          <w:lang w:val="es-ES" w:eastAsia="es-ES"/>
        </w:rPr>
        <w:t xml:space="preserve">LA IMPROCEDENCIA DE LA ACCIÓN DE AMPARO </w:t>
      </w:r>
      <w:r w:rsidRPr="001E318A">
        <w:rPr>
          <w:rFonts w:ascii="Palatino Linotype" w:eastAsia="Times New Roman" w:hAnsi="Palatino Linotype" w:cs="Times New Roman"/>
          <w:sz w:val="24"/>
          <w:szCs w:val="24"/>
          <w:lang w:val="es-ES" w:eastAsia="es-ES"/>
        </w:rPr>
        <w:t xml:space="preserve">definió a la improcedencia del amparo como la institución jurídica procesal en la que, al actualizarse ciertas circunstancias previstas en la Constitución Federal, en la Ley de Amparo o en la Jurisprudencia, el órgano jurisdiccional se ve impedido para analizar y resolver el fondo del asunto y que la causa de improcedencia puede tenerse por acreditada desde el momento en que se presenta la demanda de amparo, </w:t>
      </w:r>
      <w:r w:rsidRPr="001E318A">
        <w:rPr>
          <w:rFonts w:ascii="Palatino Linotype" w:eastAsia="Times New Roman" w:hAnsi="Palatino Linotype" w:cs="Times New Roman"/>
          <w:b/>
          <w:sz w:val="24"/>
          <w:szCs w:val="24"/>
          <w:u w:val="single"/>
          <w:lang w:val="es-ES" w:eastAsia="es-ES"/>
        </w:rPr>
        <w:t>lo que generará que la demanda sea desechada; o bien, después de admitida la demanda, lo que tendrá como consecuencia que se sobresea en el juicio.</w:t>
      </w:r>
    </w:p>
    <w:p w:rsidR="00011EFA" w:rsidRPr="00722870" w:rsidRDefault="00011EFA" w:rsidP="00011EFA">
      <w:pPr>
        <w:pStyle w:val="Sinespaciado"/>
        <w:rPr>
          <w:rFonts w:ascii="Palatino Linotype" w:hAnsi="Palatino Linotype"/>
        </w:rPr>
      </w:pPr>
    </w:p>
    <w:p w:rsidR="00011EFA" w:rsidRPr="001E318A" w:rsidRDefault="00011EFA" w:rsidP="00011EFA">
      <w:pPr>
        <w:pStyle w:val="Prrafodelista"/>
        <w:spacing w:line="360" w:lineRule="auto"/>
        <w:ind w:left="0" w:right="51"/>
        <w:jc w:val="both"/>
        <w:rPr>
          <w:rFonts w:ascii="Palatino Linotype" w:hAnsi="Palatino Linotype" w:cs="Arial"/>
          <w:bCs/>
          <w:lang w:eastAsia="es-MX"/>
        </w:rPr>
      </w:pPr>
      <w:r w:rsidRPr="001E318A">
        <w:rPr>
          <w:rFonts w:ascii="Palatino Linotype" w:hAnsi="Palatino Linotype" w:cs="Arial"/>
        </w:rPr>
        <w:t>En mérito de lo expuesto en líneas anteriores</w:t>
      </w:r>
      <w:r w:rsidRPr="001E318A">
        <w:rPr>
          <w:rFonts w:ascii="Palatino Linotype" w:hAnsi="Palatino Linotype"/>
          <w:noProof/>
          <w:lang w:eastAsia="es-MX"/>
        </w:rPr>
        <w:t xml:space="preserve">, resultan parcialmente procedentes los motivos de inconformidad que arguye </w:t>
      </w:r>
      <w:r>
        <w:rPr>
          <w:rFonts w:ascii="Palatino Linotype" w:hAnsi="Palatino Linotype"/>
          <w:b/>
          <w:noProof/>
          <w:lang w:eastAsia="es-MX"/>
        </w:rPr>
        <w:t>El</w:t>
      </w:r>
      <w:r w:rsidRPr="001E318A">
        <w:rPr>
          <w:rFonts w:ascii="Palatino Linotype" w:hAnsi="Palatino Linotype"/>
          <w:b/>
          <w:noProof/>
          <w:lang w:eastAsia="es-MX"/>
        </w:rPr>
        <w:t xml:space="preserve"> Recurrente</w:t>
      </w:r>
      <w:r w:rsidRPr="001E318A">
        <w:rPr>
          <w:rFonts w:ascii="Palatino Linotype" w:hAnsi="Palatino Linotype"/>
          <w:noProof/>
          <w:lang w:eastAsia="es-MX"/>
        </w:rPr>
        <w:t xml:space="preserve"> en su medio de impugnación que fue materia de estudio, </w:t>
      </w:r>
      <w:r w:rsidRPr="001E318A">
        <w:rPr>
          <w:rFonts w:ascii="Palatino Linotype" w:hAnsi="Palatino Linotype" w:cs="Arial"/>
        </w:rPr>
        <w:t xml:space="preserve">por ello con fundamento en el artículo 186, fracción I, en concordancia con el artículo 192, fracción III, de la Ley de Transparencia y Acceso a la Información Pública del Estado de México y Municipios, se </w:t>
      </w:r>
      <w:r w:rsidRPr="001E318A">
        <w:rPr>
          <w:rFonts w:ascii="Palatino Linotype" w:hAnsi="Palatino Linotype" w:cs="Arial"/>
          <w:b/>
        </w:rPr>
        <w:t>SOBRESEE</w:t>
      </w:r>
      <w:r w:rsidRPr="001E318A">
        <w:rPr>
          <w:rFonts w:ascii="Palatino Linotype" w:hAnsi="Palatino Linotype" w:cs="Arial"/>
        </w:rPr>
        <w:t xml:space="preserve"> el recurso de revisión </w:t>
      </w:r>
      <w:r w:rsidRPr="001E318A">
        <w:rPr>
          <w:rFonts w:ascii="Palatino Linotype" w:eastAsiaTheme="minorEastAsia" w:hAnsi="Palatino Linotype" w:cstheme="minorBidi"/>
          <w:b/>
          <w:lang w:val="es-ES_tradnl"/>
        </w:rPr>
        <w:t>0</w:t>
      </w:r>
      <w:r>
        <w:rPr>
          <w:rFonts w:ascii="Palatino Linotype" w:eastAsiaTheme="minorEastAsia" w:hAnsi="Palatino Linotype" w:cstheme="minorBidi"/>
          <w:b/>
          <w:lang w:val="es-ES_tradnl"/>
        </w:rPr>
        <w:t>7</w:t>
      </w:r>
      <w:r w:rsidR="00722870">
        <w:rPr>
          <w:rFonts w:ascii="Palatino Linotype" w:eastAsiaTheme="minorEastAsia" w:hAnsi="Palatino Linotype" w:cstheme="minorBidi"/>
          <w:b/>
          <w:lang w:val="es-ES_tradnl"/>
        </w:rPr>
        <w:t>48</w:t>
      </w:r>
      <w:r>
        <w:rPr>
          <w:rFonts w:ascii="Palatino Linotype" w:eastAsiaTheme="minorEastAsia" w:hAnsi="Palatino Linotype" w:cstheme="minorBidi"/>
          <w:b/>
          <w:lang w:val="es-ES_tradnl"/>
        </w:rPr>
        <w:t>5</w:t>
      </w:r>
      <w:r w:rsidRPr="001E318A">
        <w:rPr>
          <w:rFonts w:ascii="Palatino Linotype" w:eastAsiaTheme="minorEastAsia" w:hAnsi="Palatino Linotype" w:cstheme="minorBidi"/>
          <w:b/>
          <w:lang w:val="es-ES_tradnl"/>
        </w:rPr>
        <w:t>/INFOEM/IP/RR/2019</w:t>
      </w:r>
      <w:r w:rsidRPr="001E318A">
        <w:rPr>
          <w:rFonts w:ascii="Palatino Linotype" w:eastAsiaTheme="minorEastAsia" w:hAnsi="Palatino Linotype" w:cstheme="minorBidi"/>
          <w:lang w:val="es-ES_tradnl"/>
        </w:rPr>
        <w:t>,</w:t>
      </w:r>
      <w:r w:rsidRPr="001E318A">
        <w:rPr>
          <w:rFonts w:ascii="Palatino Linotype" w:eastAsiaTheme="minorEastAsia" w:hAnsi="Palatino Linotype" w:cstheme="minorBidi"/>
          <w:b/>
          <w:lang w:val="es-ES_tradnl"/>
        </w:rPr>
        <w:t xml:space="preserve"> </w:t>
      </w:r>
      <w:r w:rsidRPr="001E318A">
        <w:rPr>
          <w:rFonts w:ascii="Palatino Linotype" w:hAnsi="Palatino Linotype" w:cs="Arial"/>
          <w:bCs/>
          <w:lang w:eastAsia="es-MX"/>
        </w:rPr>
        <w:t>que ha sido materia del presente fallo.</w:t>
      </w:r>
    </w:p>
    <w:p w:rsidR="00011EFA" w:rsidRPr="001E318A" w:rsidRDefault="00011EFA" w:rsidP="00011EFA">
      <w:pPr>
        <w:pStyle w:val="Sinespaciado"/>
        <w:rPr>
          <w:rFonts w:ascii="Palatino Linotype" w:hAnsi="Palatino Linotype"/>
          <w:lang w:eastAsia="es-MX"/>
        </w:rPr>
      </w:pPr>
    </w:p>
    <w:p w:rsidR="00011EFA" w:rsidRPr="002E5EA6" w:rsidRDefault="00011EFA" w:rsidP="002E5EA6">
      <w:pPr>
        <w:tabs>
          <w:tab w:val="left" w:pos="8931"/>
        </w:tabs>
        <w:spacing w:after="0" w:line="360" w:lineRule="auto"/>
        <w:ind w:right="51"/>
        <w:jc w:val="both"/>
        <w:rPr>
          <w:rFonts w:ascii="Palatino Linotype" w:hAnsi="Palatino Linotype"/>
          <w:sz w:val="24"/>
          <w:szCs w:val="24"/>
        </w:rPr>
      </w:pPr>
      <w:r w:rsidRPr="001E318A">
        <w:rPr>
          <w:rFonts w:ascii="Palatino Linotype" w:hAnsi="Palatino Linotype"/>
          <w:sz w:val="24"/>
          <w:szCs w:val="24"/>
        </w:rPr>
        <w:t>Por lo antes expuesto y fundado es de resolverse y,</w:t>
      </w:r>
    </w:p>
    <w:p w:rsidR="002E5EA6" w:rsidRDefault="002E5EA6" w:rsidP="00011EFA">
      <w:pPr>
        <w:spacing w:after="0" w:line="360" w:lineRule="auto"/>
        <w:jc w:val="center"/>
        <w:rPr>
          <w:rFonts w:ascii="Palatino Linotype" w:eastAsia="Times New Roman" w:hAnsi="Palatino Linotype"/>
          <w:b/>
          <w:bCs/>
          <w:spacing w:val="60"/>
          <w:sz w:val="28"/>
          <w:lang w:val="es-ES_tradnl"/>
        </w:rPr>
      </w:pPr>
    </w:p>
    <w:p w:rsidR="00011EFA" w:rsidRPr="001E318A" w:rsidRDefault="00011EFA" w:rsidP="00011EFA">
      <w:pPr>
        <w:spacing w:after="0" w:line="360" w:lineRule="auto"/>
        <w:jc w:val="center"/>
        <w:rPr>
          <w:rFonts w:ascii="Palatino Linotype" w:eastAsia="Times New Roman" w:hAnsi="Palatino Linotype"/>
          <w:b/>
          <w:bCs/>
          <w:spacing w:val="60"/>
          <w:sz w:val="28"/>
          <w:lang w:val="es-ES_tradnl"/>
        </w:rPr>
      </w:pPr>
      <w:r w:rsidRPr="001E318A">
        <w:rPr>
          <w:rFonts w:ascii="Palatino Linotype" w:eastAsia="Times New Roman" w:hAnsi="Palatino Linotype"/>
          <w:b/>
          <w:bCs/>
          <w:spacing w:val="60"/>
          <w:sz w:val="28"/>
          <w:lang w:val="es-ES_tradnl"/>
        </w:rPr>
        <w:lastRenderedPageBreak/>
        <w:t>SE    RESUELVE</w:t>
      </w:r>
    </w:p>
    <w:p w:rsidR="00011EFA" w:rsidRPr="002E5EA6" w:rsidRDefault="00011EFA" w:rsidP="002E5EA6">
      <w:pPr>
        <w:pStyle w:val="Sinespaciado"/>
        <w:rPr>
          <w:sz w:val="12"/>
        </w:rPr>
      </w:pPr>
    </w:p>
    <w:p w:rsidR="00722870" w:rsidRDefault="00011EFA" w:rsidP="00722870">
      <w:pPr>
        <w:spacing w:after="0" w:line="360" w:lineRule="auto"/>
        <w:jc w:val="both"/>
        <w:rPr>
          <w:rFonts w:ascii="Palatino Linotype" w:eastAsiaTheme="minorEastAsia" w:hAnsi="Palatino Linotype"/>
          <w:sz w:val="24"/>
          <w:szCs w:val="24"/>
          <w:lang w:val="es-ES_tradnl"/>
        </w:rPr>
      </w:pPr>
      <w:r w:rsidRPr="001E318A">
        <w:rPr>
          <w:rFonts w:ascii="Palatino Linotype" w:eastAsia="Times New Roman" w:hAnsi="Palatino Linotype"/>
          <w:b/>
          <w:bCs/>
          <w:sz w:val="28"/>
          <w:lang w:eastAsia="es-MX"/>
        </w:rPr>
        <w:t>PRIMERO</w:t>
      </w:r>
      <w:r w:rsidRPr="001E318A">
        <w:rPr>
          <w:rFonts w:ascii="Palatino Linotype" w:eastAsia="Times New Roman" w:hAnsi="Palatino Linotype"/>
          <w:sz w:val="28"/>
          <w:lang w:eastAsia="es-MX"/>
        </w:rPr>
        <w:t xml:space="preserve">. </w:t>
      </w:r>
      <w:r w:rsidRPr="001E318A">
        <w:rPr>
          <w:rFonts w:ascii="Palatino Linotype" w:hAnsi="Palatino Linotype" w:cs="Arial"/>
          <w:sz w:val="24"/>
          <w:szCs w:val="24"/>
          <w:lang w:val="es-ES_tradnl"/>
        </w:rPr>
        <w:t xml:space="preserve">Se </w:t>
      </w:r>
      <w:r w:rsidRPr="001E318A">
        <w:rPr>
          <w:rFonts w:ascii="Palatino Linotype" w:hAnsi="Palatino Linotype" w:cs="Arial"/>
          <w:b/>
          <w:sz w:val="24"/>
          <w:szCs w:val="24"/>
          <w:lang w:val="es-ES_tradnl"/>
        </w:rPr>
        <w:t>SOBRESEE</w:t>
      </w:r>
      <w:r w:rsidRPr="001E318A">
        <w:rPr>
          <w:rFonts w:ascii="Palatino Linotype" w:hAnsi="Palatino Linotype" w:cs="Arial"/>
          <w:sz w:val="24"/>
          <w:szCs w:val="24"/>
          <w:lang w:val="es-ES_tradnl"/>
        </w:rPr>
        <w:t xml:space="preserve"> el recurso de revisión número </w:t>
      </w:r>
      <w:r w:rsidRPr="001E318A">
        <w:rPr>
          <w:rFonts w:ascii="Palatino Linotype" w:eastAsiaTheme="minorEastAsia" w:hAnsi="Palatino Linotype"/>
          <w:b/>
          <w:sz w:val="24"/>
          <w:szCs w:val="24"/>
          <w:lang w:val="es-ES_tradnl"/>
        </w:rPr>
        <w:t>0</w:t>
      </w:r>
      <w:r w:rsidR="00722870">
        <w:rPr>
          <w:rFonts w:ascii="Palatino Linotype" w:eastAsiaTheme="minorEastAsia" w:hAnsi="Palatino Linotype"/>
          <w:b/>
          <w:sz w:val="24"/>
          <w:szCs w:val="24"/>
          <w:lang w:val="es-ES_tradnl"/>
        </w:rPr>
        <w:t>748</w:t>
      </w:r>
      <w:r>
        <w:rPr>
          <w:rFonts w:ascii="Palatino Linotype" w:eastAsiaTheme="minorEastAsia" w:hAnsi="Palatino Linotype"/>
          <w:b/>
          <w:sz w:val="24"/>
          <w:szCs w:val="24"/>
          <w:lang w:val="es-ES_tradnl"/>
        </w:rPr>
        <w:t>5</w:t>
      </w:r>
      <w:r w:rsidRPr="001E318A">
        <w:rPr>
          <w:rFonts w:ascii="Palatino Linotype" w:eastAsiaTheme="minorEastAsia" w:hAnsi="Palatino Linotype"/>
          <w:b/>
          <w:sz w:val="24"/>
          <w:szCs w:val="24"/>
          <w:lang w:val="es-ES_tradnl"/>
        </w:rPr>
        <w:t>/INFOEM/IP/RR/2019</w:t>
      </w:r>
      <w:r w:rsidRPr="001E318A">
        <w:rPr>
          <w:rFonts w:ascii="Palatino Linotype" w:eastAsiaTheme="minorEastAsia" w:hAnsi="Palatino Linotype"/>
          <w:sz w:val="24"/>
          <w:szCs w:val="24"/>
          <w:lang w:val="es-ES_tradnl"/>
        </w:rPr>
        <w:t xml:space="preserve">, porque al modificar la respuesta el recurso quedó sin materia en términos del Considerando </w:t>
      </w:r>
      <w:r w:rsidRPr="001E318A">
        <w:rPr>
          <w:rFonts w:ascii="Palatino Linotype" w:eastAsiaTheme="minorEastAsia" w:hAnsi="Palatino Linotype"/>
          <w:b/>
          <w:sz w:val="24"/>
          <w:szCs w:val="24"/>
          <w:lang w:val="es-ES_tradnl"/>
        </w:rPr>
        <w:t xml:space="preserve">TERCERO </w:t>
      </w:r>
      <w:r w:rsidRPr="001E318A">
        <w:rPr>
          <w:rFonts w:ascii="Palatino Linotype" w:eastAsiaTheme="minorEastAsia" w:hAnsi="Palatino Linotype"/>
          <w:sz w:val="24"/>
          <w:szCs w:val="24"/>
          <w:lang w:val="es-ES_tradnl"/>
        </w:rPr>
        <w:t>de la presente resolución.</w:t>
      </w:r>
    </w:p>
    <w:p w:rsidR="00722870" w:rsidRPr="002E5EA6" w:rsidRDefault="00722870" w:rsidP="002E5EA6">
      <w:pPr>
        <w:pStyle w:val="Sinespaciado"/>
        <w:rPr>
          <w:sz w:val="18"/>
          <w:lang w:val="es-ES_tradnl"/>
        </w:rPr>
      </w:pPr>
    </w:p>
    <w:p w:rsidR="00011EFA" w:rsidRPr="00722870" w:rsidRDefault="00011EFA" w:rsidP="00722870">
      <w:pPr>
        <w:pStyle w:val="Textoindependiente"/>
        <w:spacing w:line="360" w:lineRule="auto"/>
        <w:jc w:val="both"/>
        <w:rPr>
          <w:rFonts w:ascii="Palatino Linotype" w:hAnsi="Palatino Linotype"/>
          <w:sz w:val="24"/>
          <w:szCs w:val="24"/>
        </w:rPr>
      </w:pPr>
      <w:r w:rsidRPr="001E318A">
        <w:rPr>
          <w:rFonts w:ascii="Palatino Linotype" w:hAnsi="Palatino Linotype"/>
          <w:b/>
          <w:sz w:val="28"/>
          <w:szCs w:val="24"/>
        </w:rPr>
        <w:t>SEGUNDO.</w:t>
      </w:r>
      <w:r w:rsidRPr="001E318A">
        <w:rPr>
          <w:rFonts w:ascii="Palatino Linotype" w:hAnsi="Palatino Linotype" w:cs="Arial"/>
          <w:sz w:val="28"/>
          <w:szCs w:val="24"/>
        </w:rPr>
        <w:t xml:space="preserve"> </w:t>
      </w:r>
      <w:r w:rsidRPr="001E318A">
        <w:rPr>
          <w:rFonts w:ascii="Palatino Linotype" w:hAnsi="Palatino Linotype"/>
          <w:b/>
          <w:sz w:val="24"/>
          <w:szCs w:val="24"/>
        </w:rPr>
        <w:t>NOTIFÍQUESE</w:t>
      </w:r>
      <w:r w:rsidRPr="001E318A">
        <w:rPr>
          <w:rFonts w:ascii="Palatino Linotype" w:hAnsi="Palatino Linotype"/>
          <w:sz w:val="24"/>
          <w:szCs w:val="24"/>
        </w:rPr>
        <w:t xml:space="preserve"> vía </w:t>
      </w:r>
      <w:r w:rsidRPr="001E318A">
        <w:rPr>
          <w:rFonts w:ascii="Palatino Linotype" w:hAnsi="Palatino Linotype"/>
          <w:b/>
          <w:sz w:val="24"/>
          <w:szCs w:val="24"/>
        </w:rPr>
        <w:t>SAIMEX</w:t>
      </w:r>
      <w:r w:rsidRPr="001E318A">
        <w:rPr>
          <w:rFonts w:ascii="Palatino Linotype" w:hAnsi="Palatino Linotype"/>
          <w:sz w:val="24"/>
          <w:szCs w:val="24"/>
        </w:rPr>
        <w:t xml:space="preserve">, la presente resolución al Titular de la Unidad de Transparencia del </w:t>
      </w:r>
      <w:r w:rsidRPr="001E318A">
        <w:rPr>
          <w:rFonts w:ascii="Palatino Linotype" w:hAnsi="Palatino Linotype"/>
          <w:b/>
          <w:sz w:val="24"/>
          <w:szCs w:val="24"/>
        </w:rPr>
        <w:t>Sujeto Obligado</w:t>
      </w:r>
      <w:r w:rsidRPr="001E318A">
        <w:rPr>
          <w:rFonts w:ascii="Palatino Linotype" w:hAnsi="Palatino Linotype"/>
          <w:sz w:val="24"/>
          <w:szCs w:val="24"/>
        </w:rPr>
        <w:t>.</w:t>
      </w:r>
    </w:p>
    <w:p w:rsidR="00722870" w:rsidRPr="002E5EA6" w:rsidRDefault="00722870" w:rsidP="002E5EA6">
      <w:pPr>
        <w:pStyle w:val="Sinespaciado"/>
        <w:rPr>
          <w:sz w:val="18"/>
        </w:rPr>
      </w:pPr>
    </w:p>
    <w:p w:rsidR="00011EFA" w:rsidRPr="001E318A" w:rsidRDefault="00011EFA" w:rsidP="00011EFA">
      <w:pPr>
        <w:pStyle w:val="Textoindependiente"/>
        <w:spacing w:line="360" w:lineRule="auto"/>
        <w:jc w:val="both"/>
        <w:rPr>
          <w:rFonts w:ascii="Palatino Linotype" w:hAnsi="Palatino Linotype"/>
          <w:sz w:val="24"/>
          <w:szCs w:val="24"/>
        </w:rPr>
      </w:pPr>
      <w:r w:rsidRPr="001E318A">
        <w:rPr>
          <w:rFonts w:ascii="Palatino Linotype" w:hAnsi="Palatino Linotype" w:cs="Arial"/>
          <w:b/>
          <w:sz w:val="28"/>
          <w:szCs w:val="24"/>
        </w:rPr>
        <w:t xml:space="preserve">TERCERO. </w:t>
      </w:r>
      <w:r w:rsidRPr="001E318A">
        <w:rPr>
          <w:rFonts w:ascii="Palatino Linotype" w:hAnsi="Palatino Linotype"/>
          <w:b/>
          <w:sz w:val="24"/>
          <w:szCs w:val="24"/>
        </w:rPr>
        <w:t>NOTIFÍQUESE</w:t>
      </w:r>
      <w:r w:rsidRPr="001E318A">
        <w:rPr>
          <w:rFonts w:ascii="Palatino Linotype" w:hAnsi="Palatino Linotype"/>
          <w:sz w:val="24"/>
          <w:szCs w:val="24"/>
        </w:rPr>
        <w:t xml:space="preserve"> a</w:t>
      </w:r>
      <w:r>
        <w:rPr>
          <w:rFonts w:ascii="Palatino Linotype" w:hAnsi="Palatino Linotype"/>
          <w:sz w:val="24"/>
          <w:szCs w:val="24"/>
        </w:rPr>
        <w:t>l</w:t>
      </w:r>
      <w:r w:rsidRPr="001E318A">
        <w:rPr>
          <w:rFonts w:ascii="Palatino Linotype" w:hAnsi="Palatino Linotype"/>
          <w:sz w:val="24"/>
          <w:szCs w:val="24"/>
        </w:rPr>
        <w:t xml:space="preserve"> </w:t>
      </w:r>
      <w:r w:rsidRPr="001E318A">
        <w:rPr>
          <w:rFonts w:ascii="Palatino Linotype" w:hAnsi="Palatino Linotype"/>
          <w:b/>
          <w:sz w:val="24"/>
          <w:szCs w:val="24"/>
        </w:rPr>
        <w:t xml:space="preserve">Recurrente </w:t>
      </w:r>
      <w:r w:rsidRPr="001E318A">
        <w:rPr>
          <w:rFonts w:ascii="Palatino Linotype" w:hAnsi="Palatino Linotype"/>
          <w:sz w:val="24"/>
          <w:szCs w:val="24"/>
        </w:rPr>
        <w:t>la presente resolución,</w:t>
      </w:r>
      <w:r w:rsidR="002E5EA6">
        <w:rPr>
          <w:rFonts w:ascii="Palatino Linotype" w:hAnsi="Palatino Linotype"/>
          <w:sz w:val="24"/>
          <w:szCs w:val="24"/>
        </w:rPr>
        <w:t xml:space="preserve"> así como el alcance al Informe Justificado</w:t>
      </w:r>
      <w:r w:rsidRPr="001E318A">
        <w:rPr>
          <w:rFonts w:ascii="Palatino Linotype" w:hAnsi="Palatino Linotype"/>
          <w:sz w:val="24"/>
          <w:szCs w:val="24"/>
        </w:rPr>
        <w:t xml:space="preserve"> y </w:t>
      </w:r>
      <w:r w:rsidRPr="001E318A">
        <w:rPr>
          <w:rFonts w:ascii="Palatino Linotype" w:hAnsi="Palatino Linotype" w:cs="Arial"/>
          <w:sz w:val="24"/>
          <w:szCs w:val="24"/>
        </w:rPr>
        <w:t>hágase</w:t>
      </w:r>
      <w:r w:rsidRPr="001E318A">
        <w:rPr>
          <w:rFonts w:ascii="Palatino Linotype" w:hAnsi="Palatino Linotype"/>
          <w:sz w:val="24"/>
          <w:szCs w:val="24"/>
        </w:rPr>
        <w:t xml:space="preserve"> de su conocimiento que en caso de que considere que le cause algún perjuicio la presente resolución, podrá promover el Juicio de Amparo en los términos de las leyes aplicables, de acuerdo a lo estipulado por el artículo 196, de la Ley de Transparencia y Acceso a la Información Pública del Estado de México y Municipios.</w:t>
      </w:r>
    </w:p>
    <w:p w:rsidR="00C15E79" w:rsidRPr="002E5EA6" w:rsidRDefault="00C15E79" w:rsidP="002E5EA6">
      <w:pPr>
        <w:pStyle w:val="Sinespaciado"/>
        <w:rPr>
          <w:sz w:val="16"/>
        </w:rPr>
      </w:pPr>
    </w:p>
    <w:p w:rsidR="00B76A01" w:rsidRDefault="00C15E79" w:rsidP="004C4D70">
      <w:pPr>
        <w:spacing w:after="0" w:line="360" w:lineRule="auto"/>
        <w:jc w:val="both"/>
        <w:rPr>
          <w:rFonts w:ascii="Palatino Linotype" w:hAnsi="Palatino Linotype" w:cs="Arial"/>
          <w:sz w:val="24"/>
          <w:szCs w:val="24"/>
        </w:rPr>
      </w:pPr>
      <w:r w:rsidRPr="00883E54">
        <w:rPr>
          <w:rFonts w:ascii="Palatino Linotype" w:hAnsi="Palatino Linotype" w:cs="Arial"/>
          <w:sz w:val="24"/>
          <w:szCs w:val="24"/>
        </w:rPr>
        <w:t>ASÍ LO RESUELVE, POR UNANIMIDAD DE VOTOS EL PLENO DEL</w:t>
      </w:r>
      <w:r w:rsidRPr="00883E54">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883E54">
        <w:rPr>
          <w:rFonts w:ascii="Palatino Linotype" w:hAnsi="Palatino Linotype" w:cs="Arial"/>
          <w:sz w:val="24"/>
          <w:szCs w:val="24"/>
        </w:rPr>
        <w:t>, CONFORMADO POR LOS COMISIONADOS ZULEMA MARTÍNEZ SÁNCHEZ, EVA ABAID YAPUR, JOSÉ GUADALUPE LUNA HERNÁNDEZ, JAVIER MARTÍNEZ CRUZ</w:t>
      </w:r>
      <w:r w:rsidR="00FD15BC">
        <w:rPr>
          <w:rFonts w:ascii="Palatino Linotype" w:hAnsi="Palatino Linotype" w:cs="Arial"/>
          <w:sz w:val="24"/>
          <w:szCs w:val="24"/>
        </w:rPr>
        <w:t xml:space="preserve"> Y LUIS GUSTAVO PARRA NORIEGA,</w:t>
      </w:r>
      <w:r w:rsidRPr="00883E54">
        <w:rPr>
          <w:rFonts w:ascii="Palatino Linotype" w:hAnsi="Palatino Linotype" w:cs="Arial"/>
          <w:sz w:val="24"/>
          <w:szCs w:val="24"/>
        </w:rPr>
        <w:t xml:space="preserve"> EN LA </w:t>
      </w:r>
      <w:r w:rsidR="00FD15BC" w:rsidRPr="00FD15BC">
        <w:rPr>
          <w:rFonts w:ascii="Palatino Linotype" w:hAnsi="Palatino Linotype" w:cs="Arial"/>
          <w:sz w:val="24"/>
          <w:szCs w:val="24"/>
          <w:highlight w:val="yellow"/>
        </w:rPr>
        <w:t xml:space="preserve">CUADRAGÉSIMA </w:t>
      </w:r>
      <w:r w:rsidR="002E5EA6">
        <w:rPr>
          <w:rFonts w:ascii="Palatino Linotype" w:hAnsi="Palatino Linotype" w:cs="Arial"/>
          <w:sz w:val="24"/>
          <w:szCs w:val="24"/>
          <w:highlight w:val="yellow"/>
        </w:rPr>
        <w:t>SEX</w:t>
      </w:r>
      <w:r w:rsidR="00011EFA">
        <w:rPr>
          <w:rFonts w:ascii="Palatino Linotype" w:hAnsi="Palatino Linotype" w:cs="Arial"/>
          <w:sz w:val="24"/>
          <w:szCs w:val="24"/>
          <w:highlight w:val="yellow"/>
        </w:rPr>
        <w:t>T</w:t>
      </w:r>
      <w:r w:rsidR="00FD15BC" w:rsidRPr="00FD15BC">
        <w:rPr>
          <w:rFonts w:ascii="Palatino Linotype" w:hAnsi="Palatino Linotype" w:cs="Arial"/>
          <w:sz w:val="24"/>
          <w:szCs w:val="24"/>
          <w:highlight w:val="yellow"/>
        </w:rPr>
        <w:t>A</w:t>
      </w:r>
      <w:r w:rsidR="00FF722D" w:rsidRPr="001A0CD0">
        <w:rPr>
          <w:rFonts w:ascii="Palatino Linotype" w:hAnsi="Palatino Linotype" w:cs="Arial"/>
          <w:sz w:val="24"/>
          <w:szCs w:val="24"/>
        </w:rPr>
        <w:t xml:space="preserve"> </w:t>
      </w:r>
      <w:r w:rsidRPr="001A0CD0">
        <w:rPr>
          <w:rFonts w:ascii="Palatino Linotype" w:hAnsi="Palatino Linotype" w:cs="Arial"/>
          <w:sz w:val="24"/>
          <w:szCs w:val="24"/>
        </w:rPr>
        <w:t xml:space="preserve">SESIÓN ORDINARIA CELEBRADA EL </w:t>
      </w:r>
      <w:r w:rsidR="002E5EA6" w:rsidRPr="002E5EA6">
        <w:rPr>
          <w:rFonts w:ascii="Palatino Linotype" w:hAnsi="Palatino Linotype" w:cs="Arial"/>
          <w:sz w:val="24"/>
          <w:szCs w:val="24"/>
          <w:highlight w:val="yellow"/>
        </w:rPr>
        <w:t>ONCE DE DICIEMBRE</w:t>
      </w:r>
      <w:r w:rsidRPr="001A0CD0">
        <w:rPr>
          <w:rFonts w:ascii="Palatino Linotype" w:hAnsi="Palatino Linotype" w:cs="Arial"/>
          <w:sz w:val="24"/>
          <w:szCs w:val="24"/>
        </w:rPr>
        <w:t xml:space="preserve"> DE DOS MIL DIECI</w:t>
      </w:r>
      <w:r w:rsidR="00FD15BC">
        <w:rPr>
          <w:rFonts w:ascii="Palatino Linotype" w:hAnsi="Palatino Linotype" w:cs="Arial"/>
          <w:sz w:val="24"/>
          <w:szCs w:val="24"/>
        </w:rPr>
        <w:t>NUEVE</w:t>
      </w:r>
      <w:r w:rsidRPr="00883E54">
        <w:rPr>
          <w:rFonts w:ascii="Palatino Linotype" w:hAnsi="Palatino Linotype" w:cs="Arial"/>
          <w:sz w:val="24"/>
          <w:szCs w:val="24"/>
        </w:rPr>
        <w:t>, ANTE EL SECRETARIO TÉCNICO DEL PLENO, ALEXIS TAPIA RAMÍR</w:t>
      </w:r>
      <w:r w:rsidR="002E5EA6">
        <w:rPr>
          <w:rFonts w:ascii="Palatino Linotype" w:hAnsi="Palatino Linotype" w:cs="Arial"/>
          <w:sz w:val="24"/>
          <w:szCs w:val="24"/>
        </w:rPr>
        <w:t>EZ.</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0"/>
      </w:tblGrid>
      <w:tr w:rsidR="007E1FC4" w:rsidRPr="007E1FC4" w:rsidTr="00A50DF7">
        <w:trPr>
          <w:jc w:val="center"/>
        </w:trPr>
        <w:tc>
          <w:tcPr>
            <w:tcW w:w="9062" w:type="dxa"/>
            <w:gridSpan w:val="2"/>
          </w:tcPr>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p>
          <w:p w:rsidR="005C55A3" w:rsidRPr="00250E64" w:rsidRDefault="005C55A3" w:rsidP="00A50DF7">
            <w:pPr>
              <w:pStyle w:val="Sinespaciado"/>
              <w:jc w:val="center"/>
              <w:rPr>
                <w:rFonts w:ascii="Palatino Linotype" w:hAnsi="Palatino Linotype"/>
                <w:b/>
                <w:sz w:val="20"/>
              </w:rPr>
            </w:pPr>
          </w:p>
          <w:p w:rsidR="00D846E5" w:rsidRPr="00250E64" w:rsidRDefault="00D846E5" w:rsidP="00A50DF7">
            <w:pPr>
              <w:pStyle w:val="Sinespaciado"/>
              <w:jc w:val="center"/>
              <w:rPr>
                <w:rFonts w:ascii="Palatino Linotype" w:hAnsi="Palatino Linotype"/>
                <w:b/>
                <w:sz w:val="16"/>
              </w:rPr>
            </w:pPr>
          </w:p>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r w:rsidRPr="007E1FC4">
              <w:rPr>
                <w:rFonts w:ascii="Palatino Linotype" w:hAnsi="Palatino Linotype"/>
                <w:b/>
              </w:rPr>
              <w:t>Zulema Martínez Sánchez</w:t>
            </w:r>
          </w:p>
          <w:p w:rsidR="005C55A3" w:rsidRDefault="005C55A3" w:rsidP="00A50DF7">
            <w:pPr>
              <w:pStyle w:val="Sinespaciado"/>
              <w:jc w:val="center"/>
              <w:rPr>
                <w:rFonts w:ascii="Palatino Linotype" w:hAnsi="Palatino Linotype"/>
              </w:rPr>
            </w:pPr>
            <w:r w:rsidRPr="007E1FC4">
              <w:rPr>
                <w:rFonts w:ascii="Palatino Linotype" w:hAnsi="Palatino Linotype"/>
              </w:rPr>
              <w:t>Comisionada Presidenta</w:t>
            </w:r>
          </w:p>
          <w:p w:rsidR="00FF722D" w:rsidRPr="00FF722D" w:rsidRDefault="00FF722D" w:rsidP="00A50DF7">
            <w:pPr>
              <w:pStyle w:val="Sinespaciado"/>
              <w:jc w:val="center"/>
              <w:rPr>
                <w:rFonts w:ascii="Palatino Linotype" w:hAnsi="Palatino Linotype"/>
                <w:b/>
              </w:rPr>
            </w:pPr>
            <w:r w:rsidRPr="00FF722D">
              <w:rPr>
                <w:rFonts w:ascii="Palatino Linotype" w:hAnsi="Palatino Linotype"/>
                <w:b/>
              </w:rPr>
              <w:t>(Rúbrica)</w:t>
            </w:r>
          </w:p>
          <w:p w:rsidR="005C55A3" w:rsidRPr="00A50DF7" w:rsidRDefault="005C55A3" w:rsidP="00A50DF7">
            <w:pPr>
              <w:pStyle w:val="Sinespaciado"/>
              <w:rPr>
                <w:rFonts w:ascii="Palatino Linotype" w:hAnsi="Palatino Linotype"/>
                <w:sz w:val="8"/>
              </w:rPr>
            </w:pPr>
            <w:r w:rsidRPr="00753A6A">
              <w:rPr>
                <w:rFonts w:ascii="Palatino Linotype" w:hAnsi="Palatino Linotype"/>
                <w:color w:val="FFFFFF" w:themeColor="background1"/>
              </w:rPr>
              <w:t>Rúbrica)</w:t>
            </w:r>
          </w:p>
        </w:tc>
      </w:tr>
      <w:tr w:rsidR="007E1FC4" w:rsidRPr="007E1FC4" w:rsidTr="00A50DF7">
        <w:trPr>
          <w:jc w:val="center"/>
        </w:trPr>
        <w:tc>
          <w:tcPr>
            <w:tcW w:w="4532" w:type="dxa"/>
          </w:tcPr>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p>
          <w:p w:rsidR="005C55A3" w:rsidRPr="007E1FC4" w:rsidRDefault="00C020D1" w:rsidP="00A50DF7">
            <w:pPr>
              <w:pStyle w:val="Sinespaciado"/>
              <w:jc w:val="center"/>
              <w:rPr>
                <w:rFonts w:ascii="Palatino Linotype" w:hAnsi="Palatino Linotype"/>
                <w:b/>
              </w:rPr>
            </w:pPr>
            <w:r w:rsidRPr="007E1FC4">
              <w:rPr>
                <w:rFonts w:ascii="Palatino Linotype" w:hAnsi="Palatino Linotype"/>
                <w:b/>
              </w:rPr>
              <w:t>Eva Ab</w:t>
            </w:r>
            <w:r w:rsidR="005C55A3" w:rsidRPr="007E1FC4">
              <w:rPr>
                <w:rFonts w:ascii="Palatino Linotype" w:hAnsi="Palatino Linotype"/>
                <w:b/>
              </w:rPr>
              <w:t>aid Yapur</w:t>
            </w:r>
          </w:p>
          <w:p w:rsidR="005C55A3" w:rsidRDefault="005C55A3" w:rsidP="00A50DF7">
            <w:pPr>
              <w:pStyle w:val="Sinespaciado"/>
              <w:jc w:val="center"/>
              <w:rPr>
                <w:rFonts w:ascii="Palatino Linotype" w:hAnsi="Palatino Linotype"/>
              </w:rPr>
            </w:pPr>
            <w:r w:rsidRPr="007E1FC4">
              <w:rPr>
                <w:rFonts w:ascii="Palatino Linotype" w:hAnsi="Palatino Linotype"/>
              </w:rPr>
              <w:t>Comisionada</w:t>
            </w:r>
          </w:p>
          <w:p w:rsidR="005C55A3" w:rsidRPr="00A50DF7" w:rsidRDefault="00FF722D" w:rsidP="00A50DF7">
            <w:pPr>
              <w:pStyle w:val="Sinespaciado"/>
              <w:jc w:val="center"/>
              <w:rPr>
                <w:rFonts w:ascii="Palatino Linotype" w:hAnsi="Palatino Linotype"/>
                <w:b/>
              </w:rPr>
            </w:pPr>
            <w:r w:rsidRPr="00FF722D">
              <w:rPr>
                <w:rFonts w:ascii="Palatino Linotype" w:hAnsi="Palatino Linotype"/>
                <w:b/>
              </w:rPr>
              <w:t>(Rúbrica)</w:t>
            </w:r>
          </w:p>
        </w:tc>
        <w:tc>
          <w:tcPr>
            <w:tcW w:w="4530" w:type="dxa"/>
          </w:tcPr>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r w:rsidRPr="007E1FC4">
              <w:rPr>
                <w:rFonts w:ascii="Palatino Linotype" w:hAnsi="Palatino Linotype"/>
                <w:b/>
              </w:rPr>
              <w:t>José Guadalupe Luna Hernández</w:t>
            </w:r>
          </w:p>
          <w:p w:rsidR="005C55A3" w:rsidRDefault="005C55A3" w:rsidP="00A50DF7">
            <w:pPr>
              <w:pStyle w:val="Sinespaciado"/>
              <w:jc w:val="center"/>
              <w:rPr>
                <w:rFonts w:ascii="Palatino Linotype" w:hAnsi="Palatino Linotype"/>
              </w:rPr>
            </w:pPr>
            <w:r w:rsidRPr="007E1FC4">
              <w:rPr>
                <w:rFonts w:ascii="Palatino Linotype" w:hAnsi="Palatino Linotype"/>
              </w:rPr>
              <w:t>Comisionado</w:t>
            </w:r>
          </w:p>
          <w:p w:rsidR="00FF722D" w:rsidRPr="00FF722D" w:rsidRDefault="00FF722D" w:rsidP="00A50DF7">
            <w:pPr>
              <w:pStyle w:val="Sinespaciado"/>
              <w:jc w:val="center"/>
              <w:rPr>
                <w:rFonts w:ascii="Palatino Linotype" w:hAnsi="Palatino Linotype"/>
                <w:b/>
              </w:rPr>
            </w:pPr>
            <w:r w:rsidRPr="00FF722D">
              <w:rPr>
                <w:rFonts w:ascii="Palatino Linotype" w:hAnsi="Palatino Linotype"/>
                <w:b/>
              </w:rPr>
              <w:t>(Rúbrica)</w:t>
            </w:r>
          </w:p>
          <w:p w:rsidR="005C55A3" w:rsidRPr="007E1FC4" w:rsidRDefault="005C55A3" w:rsidP="00A50DF7">
            <w:pPr>
              <w:pStyle w:val="Sinespaciado"/>
              <w:rPr>
                <w:rFonts w:ascii="Palatino Linotype" w:hAnsi="Palatino Linotype"/>
              </w:rPr>
            </w:pPr>
            <w:r w:rsidRPr="00753A6A">
              <w:rPr>
                <w:rFonts w:ascii="Palatino Linotype" w:hAnsi="Palatino Linotype"/>
                <w:color w:val="FFFFFF" w:themeColor="background1"/>
              </w:rPr>
              <w:t>(Rúbrica)</w:t>
            </w:r>
          </w:p>
        </w:tc>
      </w:tr>
      <w:tr w:rsidR="00A50DF7" w:rsidRPr="007E1FC4" w:rsidTr="00A50DF7">
        <w:trPr>
          <w:trHeight w:val="2223"/>
          <w:jc w:val="center"/>
        </w:trPr>
        <w:tc>
          <w:tcPr>
            <w:tcW w:w="4532" w:type="dxa"/>
          </w:tcPr>
          <w:p w:rsidR="00A50DF7" w:rsidRDefault="00A50DF7" w:rsidP="00A50DF7">
            <w:pPr>
              <w:pStyle w:val="Sinespaciado"/>
              <w:rPr>
                <w:rFonts w:ascii="Palatino Linotype" w:hAnsi="Palatino Linotype"/>
                <w:b/>
              </w:rPr>
            </w:pPr>
          </w:p>
          <w:p w:rsidR="00A50DF7" w:rsidRDefault="00A50DF7" w:rsidP="00A50DF7">
            <w:pPr>
              <w:pStyle w:val="Sinespaciado"/>
              <w:rPr>
                <w:rFonts w:ascii="Palatino Linotype" w:hAnsi="Palatino Linotype"/>
                <w:b/>
              </w:rPr>
            </w:pPr>
          </w:p>
          <w:p w:rsidR="00A50DF7" w:rsidRDefault="00A50DF7" w:rsidP="00A50DF7">
            <w:pPr>
              <w:pStyle w:val="Sinespaciado"/>
              <w:rPr>
                <w:rFonts w:ascii="Palatino Linotype" w:hAnsi="Palatino Linotype"/>
                <w:b/>
              </w:rPr>
            </w:pPr>
          </w:p>
          <w:p w:rsidR="00250E64" w:rsidRPr="007E1FC4" w:rsidRDefault="00250E64" w:rsidP="00A50DF7">
            <w:pPr>
              <w:pStyle w:val="Sinespaciado"/>
              <w:rPr>
                <w:rFonts w:ascii="Palatino Linotype" w:hAnsi="Palatino Linotype"/>
                <w:b/>
              </w:rPr>
            </w:pPr>
          </w:p>
          <w:p w:rsidR="00A50DF7" w:rsidRPr="007E1FC4" w:rsidRDefault="00A50DF7" w:rsidP="00A50DF7">
            <w:pPr>
              <w:pStyle w:val="Sinespaciado"/>
              <w:jc w:val="center"/>
              <w:rPr>
                <w:rFonts w:ascii="Palatino Linotype" w:hAnsi="Palatino Linotype"/>
                <w:b/>
              </w:rPr>
            </w:pPr>
          </w:p>
          <w:p w:rsidR="00A50DF7" w:rsidRPr="007E1FC4" w:rsidRDefault="00A50DF7" w:rsidP="00A50DF7">
            <w:pPr>
              <w:pStyle w:val="Sinespaciado"/>
              <w:jc w:val="center"/>
              <w:rPr>
                <w:rFonts w:ascii="Palatino Linotype" w:hAnsi="Palatino Linotype"/>
                <w:b/>
              </w:rPr>
            </w:pPr>
            <w:r w:rsidRPr="007E1FC4">
              <w:rPr>
                <w:rFonts w:ascii="Palatino Linotype" w:hAnsi="Palatino Linotype"/>
                <w:b/>
              </w:rPr>
              <w:t>Javier Martínez Cruz</w:t>
            </w:r>
          </w:p>
          <w:p w:rsidR="00A50DF7" w:rsidRDefault="00A50DF7" w:rsidP="00A50DF7">
            <w:pPr>
              <w:pStyle w:val="Sinespaciado"/>
              <w:jc w:val="center"/>
              <w:rPr>
                <w:rFonts w:ascii="Palatino Linotype" w:hAnsi="Palatino Linotype"/>
              </w:rPr>
            </w:pPr>
            <w:r w:rsidRPr="007E1FC4">
              <w:rPr>
                <w:rFonts w:ascii="Palatino Linotype" w:hAnsi="Palatino Linotype"/>
              </w:rPr>
              <w:t>Comisionado</w:t>
            </w:r>
          </w:p>
          <w:p w:rsidR="00A50DF7" w:rsidRPr="00FF722D" w:rsidRDefault="00A50DF7" w:rsidP="00A50DF7">
            <w:pPr>
              <w:pStyle w:val="Sinespaciado"/>
              <w:jc w:val="center"/>
              <w:rPr>
                <w:rFonts w:ascii="Palatino Linotype" w:hAnsi="Palatino Linotype"/>
                <w:b/>
              </w:rPr>
            </w:pPr>
            <w:r w:rsidRPr="00FF722D">
              <w:rPr>
                <w:rFonts w:ascii="Palatino Linotype" w:hAnsi="Palatino Linotype"/>
                <w:b/>
              </w:rPr>
              <w:t>(Rúbrica)</w:t>
            </w:r>
          </w:p>
          <w:p w:rsidR="00A50DF7" w:rsidRPr="007E1FC4" w:rsidRDefault="00A50DF7" w:rsidP="00A50DF7">
            <w:pPr>
              <w:pStyle w:val="Sinespaciado"/>
              <w:rPr>
                <w:rFonts w:ascii="Palatino Linotype" w:hAnsi="Palatino Linotype"/>
              </w:rPr>
            </w:pPr>
          </w:p>
        </w:tc>
        <w:tc>
          <w:tcPr>
            <w:tcW w:w="4530" w:type="dxa"/>
          </w:tcPr>
          <w:p w:rsidR="00A50DF7" w:rsidRDefault="00A50DF7" w:rsidP="00A50DF7">
            <w:pPr>
              <w:rPr>
                <w:rFonts w:ascii="Palatino Linotype" w:eastAsia="Times New Roman" w:hAnsi="Palatino Linotype" w:cs="Times New Roman"/>
                <w:sz w:val="24"/>
                <w:szCs w:val="24"/>
                <w:lang w:eastAsia="es-ES"/>
              </w:rPr>
            </w:pPr>
          </w:p>
          <w:p w:rsidR="00A50DF7" w:rsidRDefault="00A50DF7" w:rsidP="00A50DF7">
            <w:pPr>
              <w:pStyle w:val="Sinespaciado"/>
              <w:jc w:val="center"/>
              <w:rPr>
                <w:rFonts w:ascii="Palatino Linotype" w:hAnsi="Palatino Linotype"/>
                <w:b/>
              </w:rPr>
            </w:pPr>
          </w:p>
          <w:p w:rsidR="00A50DF7" w:rsidRDefault="00A50DF7" w:rsidP="00A50DF7">
            <w:pPr>
              <w:pStyle w:val="Sinespaciado"/>
              <w:jc w:val="center"/>
              <w:rPr>
                <w:rFonts w:ascii="Palatino Linotype" w:hAnsi="Palatino Linotype"/>
                <w:b/>
              </w:rPr>
            </w:pPr>
          </w:p>
          <w:p w:rsidR="00A50DF7" w:rsidRDefault="00A50DF7" w:rsidP="00A50DF7">
            <w:pPr>
              <w:pStyle w:val="Sinespaciado"/>
              <w:jc w:val="center"/>
              <w:rPr>
                <w:rFonts w:ascii="Palatino Linotype" w:hAnsi="Palatino Linotype"/>
                <w:b/>
              </w:rPr>
            </w:pPr>
          </w:p>
          <w:p w:rsidR="00250E64" w:rsidRDefault="00250E64" w:rsidP="00A50DF7">
            <w:pPr>
              <w:pStyle w:val="Sinespaciado"/>
              <w:jc w:val="center"/>
              <w:rPr>
                <w:rFonts w:ascii="Palatino Linotype" w:hAnsi="Palatino Linotype"/>
                <w:b/>
              </w:rPr>
            </w:pPr>
          </w:p>
          <w:p w:rsidR="00A50DF7" w:rsidRPr="007E1FC4" w:rsidRDefault="00A50DF7" w:rsidP="00A50DF7">
            <w:pPr>
              <w:pStyle w:val="Sinespaciado"/>
              <w:jc w:val="center"/>
              <w:rPr>
                <w:rFonts w:ascii="Palatino Linotype" w:hAnsi="Palatino Linotype"/>
                <w:b/>
              </w:rPr>
            </w:pPr>
            <w:r>
              <w:rPr>
                <w:rFonts w:ascii="Palatino Linotype" w:hAnsi="Palatino Linotype"/>
                <w:b/>
              </w:rPr>
              <w:t>Luis Gustavo Parra Noriega</w:t>
            </w:r>
          </w:p>
          <w:p w:rsidR="00A50DF7" w:rsidRDefault="00A50DF7" w:rsidP="00A50DF7">
            <w:pPr>
              <w:pStyle w:val="Sinespaciado"/>
              <w:jc w:val="center"/>
              <w:rPr>
                <w:rFonts w:ascii="Palatino Linotype" w:hAnsi="Palatino Linotype"/>
              </w:rPr>
            </w:pPr>
            <w:r w:rsidRPr="007E1FC4">
              <w:rPr>
                <w:rFonts w:ascii="Palatino Linotype" w:hAnsi="Palatino Linotype"/>
              </w:rPr>
              <w:t>Comisionado</w:t>
            </w:r>
          </w:p>
          <w:p w:rsidR="00A50DF7" w:rsidRPr="00FF722D" w:rsidRDefault="00A50DF7" w:rsidP="00A50DF7">
            <w:pPr>
              <w:pStyle w:val="Sinespaciado"/>
              <w:jc w:val="center"/>
              <w:rPr>
                <w:rFonts w:ascii="Palatino Linotype" w:hAnsi="Palatino Linotype"/>
                <w:b/>
              </w:rPr>
            </w:pPr>
            <w:r w:rsidRPr="00FF722D">
              <w:rPr>
                <w:rFonts w:ascii="Palatino Linotype" w:hAnsi="Palatino Linotype"/>
                <w:b/>
              </w:rPr>
              <w:t>(Rúbrica)</w:t>
            </w:r>
          </w:p>
          <w:p w:rsidR="00A50DF7" w:rsidRPr="007E1FC4" w:rsidRDefault="00A50DF7" w:rsidP="00A50DF7">
            <w:pPr>
              <w:pStyle w:val="Sinespaciado"/>
              <w:rPr>
                <w:rFonts w:ascii="Palatino Linotype" w:hAnsi="Palatino Linotype"/>
              </w:rPr>
            </w:pPr>
          </w:p>
        </w:tc>
      </w:tr>
      <w:tr w:rsidR="007E1FC4" w:rsidRPr="007E1FC4" w:rsidTr="00A50DF7">
        <w:trPr>
          <w:jc w:val="center"/>
        </w:trPr>
        <w:tc>
          <w:tcPr>
            <w:tcW w:w="9062" w:type="dxa"/>
            <w:gridSpan w:val="2"/>
          </w:tcPr>
          <w:p w:rsidR="005C55A3" w:rsidRPr="007E1FC4" w:rsidRDefault="005C55A3" w:rsidP="00A50DF7">
            <w:pPr>
              <w:pStyle w:val="Sinespaciado"/>
              <w:jc w:val="center"/>
              <w:rPr>
                <w:rFonts w:ascii="Palatino Linotype" w:hAnsi="Palatino Linotype"/>
                <w:b/>
              </w:rPr>
            </w:pPr>
          </w:p>
          <w:p w:rsidR="005C55A3" w:rsidRPr="007E1FC4" w:rsidRDefault="005C55A3" w:rsidP="00A50DF7">
            <w:pPr>
              <w:pStyle w:val="Sinespaciado"/>
              <w:jc w:val="center"/>
              <w:rPr>
                <w:rFonts w:ascii="Palatino Linotype" w:hAnsi="Palatino Linotype"/>
                <w:b/>
              </w:rPr>
            </w:pPr>
          </w:p>
          <w:p w:rsidR="005C55A3" w:rsidRPr="00D846E5" w:rsidRDefault="005C55A3" w:rsidP="00A50DF7">
            <w:pPr>
              <w:pStyle w:val="Sinespaciado"/>
              <w:jc w:val="center"/>
              <w:rPr>
                <w:rFonts w:ascii="Palatino Linotype" w:hAnsi="Palatino Linotype"/>
                <w:b/>
                <w:sz w:val="14"/>
              </w:rPr>
            </w:pPr>
          </w:p>
          <w:p w:rsidR="005C55A3" w:rsidRPr="007E1FC4" w:rsidRDefault="005C55A3" w:rsidP="00A50DF7">
            <w:pPr>
              <w:pStyle w:val="Sinespaciado"/>
              <w:jc w:val="center"/>
              <w:rPr>
                <w:rFonts w:ascii="Palatino Linotype" w:hAnsi="Palatino Linotype"/>
                <w:b/>
              </w:rPr>
            </w:pPr>
          </w:p>
          <w:p w:rsidR="005C55A3" w:rsidRPr="007E1FC4" w:rsidRDefault="0018355A" w:rsidP="00A50DF7">
            <w:pPr>
              <w:pStyle w:val="Sinespaciado"/>
              <w:jc w:val="center"/>
              <w:rPr>
                <w:rFonts w:ascii="Palatino Linotype" w:hAnsi="Palatino Linotype"/>
                <w:b/>
              </w:rPr>
            </w:pPr>
            <w:r>
              <w:rPr>
                <w:rFonts w:ascii="Palatino Linotype" w:hAnsi="Palatino Linotype"/>
                <w:b/>
              </w:rPr>
              <w:t>Alexis Tapia Ramírez</w:t>
            </w:r>
          </w:p>
          <w:p w:rsidR="005C55A3" w:rsidRDefault="007E1FC4" w:rsidP="00A50DF7">
            <w:pPr>
              <w:pStyle w:val="Sinespaciado"/>
              <w:jc w:val="center"/>
              <w:rPr>
                <w:rFonts w:ascii="Palatino Linotype" w:hAnsi="Palatino Linotype"/>
              </w:rPr>
            </w:pPr>
            <w:r>
              <w:rPr>
                <w:rFonts w:ascii="Palatino Linotype" w:hAnsi="Palatino Linotype"/>
              </w:rPr>
              <w:t>Secretario Técnico</w:t>
            </w:r>
            <w:r w:rsidR="005C55A3" w:rsidRPr="007E1FC4">
              <w:rPr>
                <w:rFonts w:ascii="Palatino Linotype" w:hAnsi="Palatino Linotype"/>
              </w:rPr>
              <w:t xml:space="preserve"> del Pleno</w:t>
            </w:r>
          </w:p>
          <w:p w:rsidR="005C55A3" w:rsidRPr="00FF722D" w:rsidRDefault="00FF722D" w:rsidP="00A50DF7">
            <w:pPr>
              <w:pStyle w:val="Sinespaciado"/>
              <w:jc w:val="center"/>
              <w:rPr>
                <w:rFonts w:ascii="Palatino Linotype" w:hAnsi="Palatino Linotype"/>
                <w:b/>
              </w:rPr>
            </w:pPr>
            <w:r w:rsidRPr="00FF722D">
              <w:rPr>
                <w:rFonts w:ascii="Palatino Linotype" w:hAnsi="Palatino Linotype"/>
                <w:b/>
              </w:rPr>
              <w:t>(Rúbrica)</w:t>
            </w:r>
            <w:r w:rsidR="005C55A3" w:rsidRPr="00753A6A">
              <w:rPr>
                <w:rFonts w:ascii="Palatino Linotype" w:hAnsi="Palatino Linotype"/>
                <w:color w:val="FFFFFF" w:themeColor="background1"/>
              </w:rPr>
              <w:t>)</w:t>
            </w:r>
          </w:p>
        </w:tc>
      </w:tr>
    </w:tbl>
    <w:p w:rsidR="00AE4AAC" w:rsidRPr="00A50DF7" w:rsidRDefault="00AE4AAC" w:rsidP="004A2AD2">
      <w:pPr>
        <w:spacing w:after="0" w:line="276" w:lineRule="auto"/>
        <w:jc w:val="both"/>
        <w:rPr>
          <w:rFonts w:ascii="Palatino Linotype" w:hAnsi="Palatino Linotype" w:cs="Arial"/>
          <w:sz w:val="4"/>
          <w:szCs w:val="24"/>
        </w:rPr>
      </w:pPr>
    </w:p>
    <w:p w:rsidR="00B76A01" w:rsidRPr="005C55A3" w:rsidRDefault="00B76A01" w:rsidP="00FD15BC">
      <w:pPr>
        <w:spacing w:after="0" w:line="240" w:lineRule="auto"/>
        <w:jc w:val="both"/>
        <w:rPr>
          <w:rFonts w:ascii="Palatino Linotype" w:hAnsi="Palatino Linotype" w:cs="Arial"/>
          <w:sz w:val="16"/>
          <w:szCs w:val="16"/>
        </w:rPr>
      </w:pPr>
      <w:r w:rsidRPr="005C55A3">
        <w:rPr>
          <w:rFonts w:ascii="Palatino Linotype" w:hAnsi="Palatino Linotype" w:cs="Arial"/>
          <w:sz w:val="16"/>
          <w:szCs w:val="16"/>
        </w:rPr>
        <w:t xml:space="preserve">Esta hoja corresponde a la resolución de fecha </w:t>
      </w:r>
      <w:r w:rsidR="002E5EA6" w:rsidRPr="002E5EA6">
        <w:rPr>
          <w:rFonts w:ascii="Palatino Linotype" w:hAnsi="Palatino Linotype" w:cs="Arial"/>
          <w:sz w:val="16"/>
          <w:szCs w:val="16"/>
          <w:highlight w:val="yellow"/>
        </w:rPr>
        <w:t>once de diciembre</w:t>
      </w:r>
      <w:r w:rsidR="00A50DF7">
        <w:rPr>
          <w:rFonts w:ascii="Palatino Linotype" w:hAnsi="Palatino Linotype" w:cs="Arial"/>
          <w:sz w:val="16"/>
          <w:szCs w:val="16"/>
        </w:rPr>
        <w:t xml:space="preserve"> de dos mil diecinueve</w:t>
      </w:r>
      <w:r w:rsidRPr="005C55A3">
        <w:rPr>
          <w:rFonts w:ascii="Palatino Linotype" w:hAnsi="Palatino Linotype" w:cs="Arial"/>
          <w:sz w:val="16"/>
          <w:szCs w:val="16"/>
        </w:rPr>
        <w:t xml:space="preserve">, emitida en </w:t>
      </w:r>
      <w:r w:rsidR="00FF722D">
        <w:rPr>
          <w:rFonts w:ascii="Palatino Linotype" w:hAnsi="Palatino Linotype" w:cs="Arial"/>
          <w:sz w:val="16"/>
          <w:szCs w:val="16"/>
        </w:rPr>
        <w:t>el</w:t>
      </w:r>
      <w:r w:rsidR="00D33D7A">
        <w:rPr>
          <w:rFonts w:ascii="Palatino Linotype" w:hAnsi="Palatino Linotype" w:cs="Arial"/>
          <w:sz w:val="16"/>
          <w:szCs w:val="16"/>
        </w:rPr>
        <w:t xml:space="preserve"> </w:t>
      </w:r>
      <w:r w:rsidRPr="005C55A3">
        <w:rPr>
          <w:rFonts w:ascii="Palatino Linotype" w:hAnsi="Palatino Linotype" w:cs="Arial"/>
          <w:sz w:val="16"/>
          <w:szCs w:val="16"/>
        </w:rPr>
        <w:t xml:space="preserve">recurso de revisión </w:t>
      </w:r>
      <w:r w:rsidR="00101930" w:rsidRPr="00FD15BC">
        <w:rPr>
          <w:rFonts w:ascii="Palatino Linotype" w:hAnsi="Palatino Linotype" w:cs="Arial"/>
          <w:b/>
          <w:sz w:val="16"/>
          <w:szCs w:val="16"/>
        </w:rPr>
        <w:t>0</w:t>
      </w:r>
      <w:r w:rsidR="00FD15BC">
        <w:rPr>
          <w:rFonts w:ascii="Palatino Linotype" w:hAnsi="Palatino Linotype" w:cs="Arial"/>
          <w:b/>
          <w:sz w:val="16"/>
          <w:szCs w:val="16"/>
        </w:rPr>
        <w:t>7485</w:t>
      </w:r>
      <w:r w:rsidR="00D33D7A" w:rsidRPr="00FD15BC">
        <w:rPr>
          <w:rFonts w:ascii="Palatino Linotype" w:hAnsi="Palatino Linotype" w:cs="Arial"/>
          <w:b/>
          <w:sz w:val="16"/>
          <w:szCs w:val="16"/>
        </w:rPr>
        <w:t>/INFOEM/I</w:t>
      </w:r>
      <w:r w:rsidR="00101930" w:rsidRPr="00FD15BC">
        <w:rPr>
          <w:rFonts w:ascii="Palatino Linotype" w:hAnsi="Palatino Linotype" w:cs="Arial"/>
          <w:b/>
          <w:sz w:val="16"/>
          <w:szCs w:val="16"/>
        </w:rPr>
        <w:t>P/RR/201</w:t>
      </w:r>
      <w:r w:rsidR="00FD15BC">
        <w:rPr>
          <w:rFonts w:ascii="Palatino Linotype" w:hAnsi="Palatino Linotype" w:cs="Arial"/>
          <w:b/>
          <w:sz w:val="16"/>
          <w:szCs w:val="16"/>
        </w:rPr>
        <w:t>9</w:t>
      </w:r>
      <w:r w:rsidR="00D33D7A">
        <w:rPr>
          <w:rFonts w:ascii="Palatino Linotype" w:hAnsi="Palatino Linotype" w:cs="Arial"/>
          <w:sz w:val="16"/>
          <w:szCs w:val="16"/>
        </w:rPr>
        <w:t>.</w:t>
      </w:r>
    </w:p>
    <w:p w:rsidR="007533A3" w:rsidRPr="005C55A3" w:rsidRDefault="00FF722D" w:rsidP="00FD15BC">
      <w:pPr>
        <w:spacing w:after="0" w:line="240" w:lineRule="auto"/>
        <w:jc w:val="both"/>
        <w:rPr>
          <w:rFonts w:ascii="Palatino Linotype" w:hAnsi="Palatino Linotype" w:cs="Arial"/>
          <w:sz w:val="16"/>
          <w:szCs w:val="16"/>
        </w:rPr>
      </w:pPr>
      <w:r>
        <w:rPr>
          <w:rFonts w:ascii="Palatino Linotype" w:hAnsi="Palatino Linotype" w:cs="Arial"/>
          <w:sz w:val="16"/>
          <w:szCs w:val="16"/>
        </w:rPr>
        <w:t>ZMS/OSAM/jasm</w:t>
      </w:r>
    </w:p>
    <w:sectPr w:rsidR="007533A3" w:rsidRPr="005C55A3" w:rsidSect="00671BE8">
      <w:headerReference w:type="default" r:id="rId27"/>
      <w:footerReference w:type="default" r:id="rId28"/>
      <w:headerReference w:type="first" r:id="rId29"/>
      <w:footerReference w:type="first" r:id="rId30"/>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6DEF" w:rsidRDefault="00946DEF" w:rsidP="001032D4">
      <w:pPr>
        <w:spacing w:after="0" w:line="240" w:lineRule="auto"/>
      </w:pPr>
      <w:r>
        <w:separator/>
      </w:r>
    </w:p>
  </w:endnote>
  <w:endnote w:type="continuationSeparator" w:id="0">
    <w:p w:rsidR="00946DEF" w:rsidRDefault="00946DEF" w:rsidP="001032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5D7B" w:rsidRPr="000B69FA" w:rsidRDefault="008C5D7B" w:rsidP="00671BE8">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837548">
      <w:rPr>
        <w:rFonts w:ascii="Palatino Linotype" w:hAnsi="Palatino Linotype"/>
        <w:bCs/>
        <w:noProof/>
        <w:sz w:val="20"/>
      </w:rPr>
      <w:t>45</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837548">
      <w:rPr>
        <w:rFonts w:ascii="Palatino Linotype" w:hAnsi="Palatino Linotype"/>
        <w:bCs/>
        <w:noProof/>
        <w:sz w:val="20"/>
      </w:rPr>
      <w:t>45</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5D7B" w:rsidRPr="000B69FA" w:rsidRDefault="008C5D7B" w:rsidP="00671BE8">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837548">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837548">
      <w:rPr>
        <w:rFonts w:ascii="Palatino Linotype" w:hAnsi="Palatino Linotype"/>
        <w:bCs/>
        <w:noProof/>
        <w:sz w:val="20"/>
      </w:rPr>
      <w:t>45</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6DEF" w:rsidRDefault="00946DEF" w:rsidP="001032D4">
      <w:pPr>
        <w:spacing w:after="0" w:line="240" w:lineRule="auto"/>
      </w:pPr>
      <w:r>
        <w:separator/>
      </w:r>
    </w:p>
  </w:footnote>
  <w:footnote w:type="continuationSeparator" w:id="0">
    <w:p w:rsidR="00946DEF" w:rsidRDefault="00946DEF" w:rsidP="001032D4">
      <w:pPr>
        <w:spacing w:after="0" w:line="240" w:lineRule="auto"/>
      </w:pPr>
      <w:r>
        <w:continuationSeparator/>
      </w:r>
    </w:p>
  </w:footnote>
  <w:footnote w:id="1">
    <w:p w:rsidR="00011EFA" w:rsidRPr="00911081" w:rsidRDefault="00011EFA" w:rsidP="00011EFA">
      <w:pPr>
        <w:jc w:val="both"/>
        <w:rPr>
          <w:rFonts w:ascii="Palatino Linotype" w:eastAsia="Times New Roman" w:hAnsi="Palatino Linotype"/>
          <w:b/>
          <w:bCs/>
          <w:i/>
          <w:sz w:val="16"/>
          <w:szCs w:val="16"/>
          <w:lang w:eastAsia="es-MX"/>
        </w:rPr>
      </w:pPr>
      <w:r>
        <w:rPr>
          <w:rStyle w:val="Refdenotaalpie"/>
        </w:rPr>
        <w:footnoteRef/>
      </w:r>
      <w:r>
        <w:t xml:space="preserve"> </w:t>
      </w:r>
      <w:r w:rsidRPr="00911081">
        <w:rPr>
          <w:rFonts w:ascii="Palatino Linotype" w:hAnsi="Palatino Linotype"/>
          <w:b/>
          <w:bCs/>
          <w:i/>
          <w:sz w:val="16"/>
          <w:szCs w:val="16"/>
        </w:rPr>
        <w:t>IMPROCEDENCIA Y SOBRESEIMIENTO EN EL JUICIO DE AMPARO. LAS CAUSAS PREVISTAS EN LOS ARTÍCULOS 73 Y 74 DE LA LEY DE LA MATERIA, RESPECTIVAMENTE, NO SON INCOMPATIBLES CON EL ARTÍCULO 25.1 DE LA CONVENCIÓN AMERICANA SOBRE DERECHOS HUMANOS.</w:t>
      </w:r>
    </w:p>
    <w:p w:rsidR="00011EFA" w:rsidRPr="00911081" w:rsidRDefault="00011EFA" w:rsidP="00011EFA">
      <w:pPr>
        <w:jc w:val="both"/>
        <w:rPr>
          <w:rFonts w:ascii="Palatino Linotype" w:hAnsi="Palatino Linotype"/>
          <w:i/>
          <w:sz w:val="16"/>
          <w:szCs w:val="16"/>
        </w:rPr>
      </w:pPr>
      <w:r w:rsidRPr="00911081">
        <w:rPr>
          <w:rFonts w:ascii="Palatino Linotype" w:hAnsi="Palatino Linotype"/>
          <w:i/>
          <w:sz w:val="16"/>
          <w:szCs w:val="16"/>
        </w:rPr>
        <w:t>Del examen de compatibilidad de los artículos</w:t>
      </w:r>
      <w:r w:rsidRPr="00911081">
        <w:rPr>
          <w:rStyle w:val="apple-converted-space"/>
          <w:rFonts w:ascii="Palatino Linotype" w:hAnsi="Palatino Linotype"/>
          <w:i/>
          <w:sz w:val="16"/>
          <w:szCs w:val="16"/>
        </w:rPr>
        <w:t> </w:t>
      </w:r>
      <w:hyperlink r:id="rId1" w:history="1">
        <w:r w:rsidRPr="00911081">
          <w:rPr>
            <w:rStyle w:val="Hipervnculo"/>
            <w:rFonts w:ascii="Palatino Linotype" w:hAnsi="Palatino Linotype"/>
            <w:i/>
            <w:sz w:val="16"/>
            <w:szCs w:val="16"/>
          </w:rPr>
          <w:t>73 y 74 de la Ley de Amparo</w:t>
        </w:r>
      </w:hyperlink>
      <w:r w:rsidRPr="00911081">
        <w:rPr>
          <w:rStyle w:val="apple-converted-space"/>
          <w:rFonts w:ascii="Palatino Linotype" w:hAnsi="Palatino Linotype"/>
          <w:i/>
          <w:sz w:val="16"/>
          <w:szCs w:val="16"/>
        </w:rPr>
        <w:t> </w:t>
      </w:r>
      <w:r w:rsidRPr="00911081">
        <w:rPr>
          <w:rFonts w:ascii="Palatino Linotype" w:hAnsi="Palatino Linotype"/>
          <w:i/>
          <w:sz w:val="16"/>
          <w:szCs w:val="16"/>
        </w:rPr>
        <w:t>con el artículo</w:t>
      </w:r>
      <w:r w:rsidRPr="00911081">
        <w:rPr>
          <w:rStyle w:val="apple-converted-space"/>
          <w:rFonts w:ascii="Palatino Linotype" w:hAnsi="Palatino Linotype"/>
          <w:i/>
          <w:sz w:val="16"/>
          <w:szCs w:val="16"/>
        </w:rPr>
        <w:t> </w:t>
      </w:r>
      <w:hyperlink r:id="rId2" w:history="1">
        <w:r w:rsidRPr="00911081">
          <w:rPr>
            <w:rStyle w:val="Hipervnculo"/>
            <w:rFonts w:ascii="Palatino Linotype" w:hAnsi="Palatino Linotype"/>
            <w:i/>
            <w:sz w:val="16"/>
            <w:szCs w:val="16"/>
          </w:rPr>
          <w:t>25.1 de la Convención Americana sobre Derechos Humanos</w:t>
        </w:r>
      </w:hyperlink>
      <w:r w:rsidRPr="00911081">
        <w:rPr>
          <w:rStyle w:val="apple-converted-space"/>
          <w:rFonts w:ascii="Palatino Linotype" w:hAnsi="Palatino Linotype"/>
          <w:i/>
          <w:sz w:val="16"/>
          <w:szCs w:val="16"/>
        </w:rPr>
        <w:t> </w:t>
      </w:r>
      <w:r w:rsidRPr="00911081">
        <w:rPr>
          <w:rFonts w:ascii="Palatino Linotype" w:hAnsi="Palatino Linotype"/>
          <w:b/>
          <w:i/>
          <w:sz w:val="16"/>
          <w:szCs w:val="16"/>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11081">
        <w:rPr>
          <w:rFonts w:ascii="Palatino Linotype" w:hAnsi="Palatino Linotype"/>
          <w:i/>
          <w:sz w:val="16"/>
          <w:szCs w:val="16"/>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5D7B" w:rsidRDefault="008C5D7B">
    <w:pPr>
      <w:pStyle w:val="Encabezado"/>
    </w:pPr>
  </w:p>
  <w:tbl>
    <w:tblPr>
      <w:tblW w:w="9219" w:type="dxa"/>
      <w:tblInd w:w="-5" w:type="dxa"/>
      <w:tblLayout w:type="fixed"/>
      <w:tblCellMar>
        <w:left w:w="70" w:type="dxa"/>
        <w:right w:w="70" w:type="dxa"/>
      </w:tblCellMar>
      <w:tblLook w:val="04A0" w:firstRow="1" w:lastRow="0" w:firstColumn="1" w:lastColumn="0" w:noHBand="0" w:noVBand="1"/>
    </w:tblPr>
    <w:tblGrid>
      <w:gridCol w:w="5392"/>
      <w:gridCol w:w="3827"/>
    </w:tblGrid>
    <w:tr w:rsidR="008C5D7B" w:rsidTr="00160BBE">
      <w:trPr>
        <w:trHeight w:val="227"/>
      </w:trPr>
      <w:tc>
        <w:tcPr>
          <w:tcW w:w="5392" w:type="dxa"/>
          <w:hideMark/>
        </w:tcPr>
        <w:p w:rsidR="008C5D7B" w:rsidRDefault="008C5D7B" w:rsidP="00A50DF7">
          <w:pPr>
            <w:spacing w:after="0" w:line="27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3827" w:type="dxa"/>
          <w:hideMark/>
        </w:tcPr>
        <w:p w:rsidR="008C5D7B" w:rsidRDefault="00160BBE" w:rsidP="00A50DF7">
          <w:pPr>
            <w:spacing w:after="0" w:line="276" w:lineRule="auto"/>
            <w:ind w:left="-75"/>
            <w:jc w:val="right"/>
            <w:rPr>
              <w:rFonts w:ascii="Palatino Linotype" w:hAnsi="Palatino Linotype" w:cs="Arial"/>
              <w:szCs w:val="20"/>
            </w:rPr>
          </w:pPr>
          <w:r>
            <w:rPr>
              <w:rFonts w:ascii="Palatino Linotype" w:hAnsi="Palatino Linotype" w:cs="Arial"/>
              <w:szCs w:val="20"/>
            </w:rPr>
            <w:t>07485</w:t>
          </w:r>
          <w:r w:rsidR="00DC1021">
            <w:rPr>
              <w:rFonts w:ascii="Palatino Linotype" w:hAnsi="Palatino Linotype" w:cs="Arial"/>
              <w:szCs w:val="20"/>
            </w:rPr>
            <w:t>/INFOEM/IP/RR/201</w:t>
          </w:r>
          <w:r>
            <w:rPr>
              <w:rFonts w:ascii="Palatino Linotype" w:hAnsi="Palatino Linotype" w:cs="Arial"/>
              <w:szCs w:val="20"/>
            </w:rPr>
            <w:t>9</w:t>
          </w:r>
        </w:p>
      </w:tc>
    </w:tr>
    <w:tr w:rsidR="008C5D7B" w:rsidTr="00160BBE">
      <w:trPr>
        <w:trHeight w:val="242"/>
      </w:trPr>
      <w:tc>
        <w:tcPr>
          <w:tcW w:w="5392" w:type="dxa"/>
          <w:hideMark/>
        </w:tcPr>
        <w:p w:rsidR="008C5D7B" w:rsidRDefault="008C5D7B" w:rsidP="00A50DF7">
          <w:pPr>
            <w:spacing w:after="0" w:line="27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3827" w:type="dxa"/>
          <w:hideMark/>
        </w:tcPr>
        <w:p w:rsidR="008C5D7B" w:rsidRDefault="00160BBE" w:rsidP="00A50DF7">
          <w:pPr>
            <w:spacing w:after="0" w:line="276" w:lineRule="auto"/>
            <w:ind w:left="-75" w:firstLine="567"/>
            <w:jc w:val="right"/>
            <w:rPr>
              <w:rFonts w:ascii="Palatino Linotype" w:hAnsi="Palatino Linotype" w:cs="Arial"/>
              <w:szCs w:val="20"/>
            </w:rPr>
          </w:pPr>
          <w:r w:rsidRPr="00160BBE">
            <w:rPr>
              <w:rFonts w:ascii="Palatino Linotype" w:hAnsi="Palatino Linotype" w:cs="Arial"/>
              <w:szCs w:val="20"/>
            </w:rPr>
            <w:t>Instituto de Transparencia, Acceso a la Información Pública y Protección de Datos Personales del Estado de México y Municipios</w:t>
          </w:r>
        </w:p>
      </w:tc>
    </w:tr>
    <w:tr w:rsidR="008C5D7B" w:rsidTr="00160BBE">
      <w:trPr>
        <w:trHeight w:val="342"/>
      </w:trPr>
      <w:tc>
        <w:tcPr>
          <w:tcW w:w="5392" w:type="dxa"/>
          <w:hideMark/>
        </w:tcPr>
        <w:p w:rsidR="008C5D7B" w:rsidRDefault="008C5D7B" w:rsidP="00A50DF7">
          <w:pPr>
            <w:tabs>
              <w:tab w:val="left" w:pos="4892"/>
            </w:tabs>
            <w:spacing w:after="0" w:line="27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3827" w:type="dxa"/>
          <w:hideMark/>
        </w:tcPr>
        <w:p w:rsidR="008C5D7B" w:rsidRDefault="008C5D7B" w:rsidP="00A50DF7">
          <w:pPr>
            <w:spacing w:after="0" w:line="276" w:lineRule="auto"/>
            <w:ind w:left="-75" w:firstLine="567"/>
            <w:jc w:val="right"/>
            <w:rPr>
              <w:rFonts w:ascii="Palatino Linotype" w:hAnsi="Palatino Linotype" w:cs="Arial"/>
              <w:szCs w:val="20"/>
            </w:rPr>
          </w:pPr>
          <w:r>
            <w:rPr>
              <w:rFonts w:ascii="Palatino Linotype" w:hAnsi="Palatino Linotype" w:cs="Arial"/>
              <w:szCs w:val="20"/>
            </w:rPr>
            <w:t>Zulema Martínez Sánchez</w:t>
          </w:r>
        </w:p>
      </w:tc>
    </w:tr>
  </w:tbl>
  <w:p w:rsidR="008C5D7B" w:rsidRDefault="008C5D7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219" w:type="dxa"/>
      <w:tblInd w:w="-5" w:type="dxa"/>
      <w:tblLayout w:type="fixed"/>
      <w:tblCellMar>
        <w:left w:w="70" w:type="dxa"/>
        <w:right w:w="70" w:type="dxa"/>
      </w:tblCellMar>
      <w:tblLook w:val="04A0" w:firstRow="1" w:lastRow="0" w:firstColumn="1" w:lastColumn="0" w:noHBand="0" w:noVBand="1"/>
    </w:tblPr>
    <w:tblGrid>
      <w:gridCol w:w="5392"/>
      <w:gridCol w:w="3827"/>
    </w:tblGrid>
    <w:tr w:rsidR="008C5D7B" w:rsidRPr="00633CD9" w:rsidTr="00160BBE">
      <w:trPr>
        <w:trHeight w:val="227"/>
      </w:trPr>
      <w:tc>
        <w:tcPr>
          <w:tcW w:w="5392" w:type="dxa"/>
          <w:hideMark/>
        </w:tcPr>
        <w:p w:rsidR="008C5D7B" w:rsidRDefault="008C5D7B" w:rsidP="00A50DF7">
          <w:pPr>
            <w:spacing w:after="0" w:line="27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3827" w:type="dxa"/>
          <w:hideMark/>
        </w:tcPr>
        <w:p w:rsidR="008C5D7B" w:rsidRPr="00B4142F" w:rsidRDefault="00160BBE" w:rsidP="00A50DF7">
          <w:pPr>
            <w:spacing w:after="0" w:line="276" w:lineRule="auto"/>
            <w:jc w:val="right"/>
            <w:rPr>
              <w:rFonts w:ascii="Palatino Linotype" w:hAnsi="Palatino Linotype" w:cs="Arial"/>
              <w:szCs w:val="20"/>
            </w:rPr>
          </w:pPr>
          <w:r>
            <w:rPr>
              <w:rFonts w:ascii="Palatino Linotype" w:hAnsi="Palatino Linotype" w:cs="Arial"/>
              <w:szCs w:val="20"/>
            </w:rPr>
            <w:t>07485</w:t>
          </w:r>
          <w:r w:rsidR="00DC1021">
            <w:rPr>
              <w:rFonts w:ascii="Palatino Linotype" w:hAnsi="Palatino Linotype" w:cs="Arial"/>
              <w:szCs w:val="20"/>
            </w:rPr>
            <w:t>/INFOEM/IP/RR/201</w:t>
          </w:r>
          <w:r>
            <w:rPr>
              <w:rFonts w:ascii="Palatino Linotype" w:hAnsi="Palatino Linotype" w:cs="Arial"/>
              <w:szCs w:val="20"/>
            </w:rPr>
            <w:t>9</w:t>
          </w:r>
        </w:p>
      </w:tc>
    </w:tr>
    <w:tr w:rsidR="008C5D7B" w:rsidRPr="00633CD9" w:rsidTr="00160BBE">
      <w:trPr>
        <w:trHeight w:val="196"/>
      </w:trPr>
      <w:tc>
        <w:tcPr>
          <w:tcW w:w="5392" w:type="dxa"/>
          <w:hideMark/>
        </w:tcPr>
        <w:p w:rsidR="008C5D7B" w:rsidRDefault="008C5D7B" w:rsidP="00A50DF7">
          <w:pPr>
            <w:spacing w:after="0" w:line="276" w:lineRule="auto"/>
            <w:ind w:right="204"/>
            <w:jc w:val="right"/>
            <w:rPr>
              <w:rFonts w:ascii="Palatino Linotype" w:hAnsi="Palatino Linotype" w:cs="Arial"/>
              <w:b/>
              <w:szCs w:val="20"/>
            </w:rPr>
          </w:pPr>
          <w:r>
            <w:rPr>
              <w:rFonts w:ascii="Palatino Linotype" w:hAnsi="Palatino Linotype" w:cs="Arial"/>
              <w:b/>
              <w:szCs w:val="20"/>
            </w:rPr>
            <w:t>Recurrente:</w:t>
          </w:r>
        </w:p>
      </w:tc>
      <w:tc>
        <w:tcPr>
          <w:tcW w:w="3827" w:type="dxa"/>
          <w:hideMark/>
        </w:tcPr>
        <w:p w:rsidR="008C5D7B" w:rsidRPr="00840752" w:rsidRDefault="00837548" w:rsidP="00A50DF7">
          <w:pPr>
            <w:spacing w:after="0" w:line="276" w:lineRule="auto"/>
            <w:ind w:firstLine="567"/>
            <w:jc w:val="right"/>
            <w:rPr>
              <w:rFonts w:ascii="Palatino Linotype" w:hAnsi="Palatino Linotype" w:cs="Arial"/>
              <w:szCs w:val="20"/>
            </w:rPr>
          </w:pPr>
          <w:r>
            <w:rPr>
              <w:rFonts w:ascii="Palatino Linotype" w:hAnsi="Palatino Linotype" w:cs="Arial"/>
              <w:szCs w:val="20"/>
            </w:rPr>
            <w:t>XXXXXXXXXXXXXXXXXXXX</w:t>
          </w:r>
          <w:r w:rsidR="008C5D7B">
            <w:rPr>
              <w:rFonts w:ascii="Palatino Linotype" w:hAnsi="Palatino Linotype" w:cs="Arial"/>
              <w:szCs w:val="20"/>
            </w:rPr>
            <w:t xml:space="preserve"> </w:t>
          </w:r>
        </w:p>
      </w:tc>
    </w:tr>
    <w:tr w:rsidR="008C5D7B" w:rsidRPr="00633CD9" w:rsidTr="00160BBE">
      <w:trPr>
        <w:trHeight w:val="242"/>
      </w:trPr>
      <w:tc>
        <w:tcPr>
          <w:tcW w:w="5392" w:type="dxa"/>
          <w:hideMark/>
        </w:tcPr>
        <w:p w:rsidR="008C5D7B" w:rsidRDefault="008C5D7B" w:rsidP="00A50DF7">
          <w:pPr>
            <w:spacing w:after="0" w:line="27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3827" w:type="dxa"/>
          <w:hideMark/>
        </w:tcPr>
        <w:p w:rsidR="00160BBE" w:rsidRDefault="00160BBE" w:rsidP="00A50DF7">
          <w:pPr>
            <w:spacing w:after="0" w:line="276" w:lineRule="auto"/>
            <w:ind w:firstLine="567"/>
            <w:jc w:val="right"/>
            <w:rPr>
              <w:rFonts w:ascii="Palatino Linotype" w:hAnsi="Palatino Linotype" w:cs="Arial"/>
              <w:szCs w:val="20"/>
            </w:rPr>
          </w:pPr>
          <w:r w:rsidRPr="00160BBE">
            <w:rPr>
              <w:rFonts w:ascii="Palatino Linotype" w:hAnsi="Palatino Linotype" w:cs="Arial"/>
              <w:szCs w:val="20"/>
            </w:rPr>
            <w:t xml:space="preserve">Instituto de Transparencia, Acceso a la Información Pública y Protección de Datos Personales del </w:t>
          </w:r>
        </w:p>
        <w:p w:rsidR="008C5D7B" w:rsidRDefault="00160BBE" w:rsidP="00A50DF7">
          <w:pPr>
            <w:spacing w:after="0" w:line="276" w:lineRule="auto"/>
            <w:ind w:firstLine="567"/>
            <w:jc w:val="right"/>
            <w:rPr>
              <w:rFonts w:ascii="Palatino Linotype" w:hAnsi="Palatino Linotype" w:cs="Arial"/>
              <w:szCs w:val="20"/>
            </w:rPr>
          </w:pPr>
          <w:r w:rsidRPr="00160BBE">
            <w:rPr>
              <w:rFonts w:ascii="Palatino Linotype" w:hAnsi="Palatino Linotype" w:cs="Arial"/>
              <w:szCs w:val="20"/>
            </w:rPr>
            <w:t>Estado de México y Municipios</w:t>
          </w:r>
        </w:p>
      </w:tc>
    </w:tr>
    <w:tr w:rsidR="008C5D7B" w:rsidTr="00160BBE">
      <w:trPr>
        <w:trHeight w:val="342"/>
      </w:trPr>
      <w:tc>
        <w:tcPr>
          <w:tcW w:w="5392" w:type="dxa"/>
          <w:hideMark/>
        </w:tcPr>
        <w:p w:rsidR="008C5D7B" w:rsidRDefault="008C5D7B" w:rsidP="00A50DF7">
          <w:pPr>
            <w:tabs>
              <w:tab w:val="left" w:pos="4892"/>
            </w:tabs>
            <w:spacing w:after="0" w:line="27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3827" w:type="dxa"/>
          <w:hideMark/>
        </w:tcPr>
        <w:p w:rsidR="008C5D7B" w:rsidRDefault="008C5D7B" w:rsidP="00A50DF7">
          <w:pPr>
            <w:spacing w:after="0" w:line="276" w:lineRule="auto"/>
            <w:ind w:firstLine="567"/>
            <w:jc w:val="right"/>
            <w:rPr>
              <w:rFonts w:ascii="Palatino Linotype" w:hAnsi="Palatino Linotype" w:cs="Arial"/>
              <w:szCs w:val="20"/>
            </w:rPr>
          </w:pPr>
          <w:r>
            <w:rPr>
              <w:rFonts w:ascii="Palatino Linotype" w:hAnsi="Palatino Linotype" w:cs="Arial"/>
              <w:szCs w:val="20"/>
            </w:rPr>
            <w:t>Zulema Martínez Sánchez</w:t>
          </w:r>
        </w:p>
      </w:tc>
    </w:tr>
  </w:tbl>
  <w:p w:rsidR="008C5D7B" w:rsidRDefault="008C5D7B" w:rsidP="00A50DF7">
    <w:pPr>
      <w:pStyle w:val="Encabezado"/>
      <w:spacing w:line="276"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E36AD"/>
    <w:multiLevelType w:val="hybridMultilevel"/>
    <w:tmpl w:val="8F0EA216"/>
    <w:lvl w:ilvl="0" w:tplc="080A0017">
      <w:start w:val="1"/>
      <w:numFmt w:val="lowerLetter"/>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1" w15:restartNumberingAfterBreak="0">
    <w:nsid w:val="28D8137E"/>
    <w:multiLevelType w:val="hybridMultilevel"/>
    <w:tmpl w:val="0D3877EE"/>
    <w:lvl w:ilvl="0" w:tplc="66C4DE98">
      <w:start w:val="1"/>
      <w:numFmt w:val="decimal"/>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32406E06"/>
    <w:multiLevelType w:val="hybridMultilevel"/>
    <w:tmpl w:val="BAE8FBF8"/>
    <w:lvl w:ilvl="0" w:tplc="F3EC5DB2">
      <w:start w:val="1"/>
      <w:numFmt w:val="decimal"/>
      <w:lvlText w:val="%1."/>
      <w:lvlJc w:val="left"/>
      <w:pPr>
        <w:ind w:left="2258" w:hanging="720"/>
      </w:pPr>
      <w:rPr>
        <w:rFonts w:hint="default"/>
        <w:b/>
      </w:rPr>
    </w:lvl>
    <w:lvl w:ilvl="1" w:tplc="080A0019" w:tentative="1">
      <w:start w:val="1"/>
      <w:numFmt w:val="lowerLetter"/>
      <w:lvlText w:val="%2."/>
      <w:lvlJc w:val="left"/>
      <w:pPr>
        <w:ind w:left="2210" w:hanging="360"/>
      </w:pPr>
    </w:lvl>
    <w:lvl w:ilvl="2" w:tplc="080A001B" w:tentative="1">
      <w:start w:val="1"/>
      <w:numFmt w:val="lowerRoman"/>
      <w:lvlText w:val="%3."/>
      <w:lvlJc w:val="right"/>
      <w:pPr>
        <w:ind w:left="2930" w:hanging="180"/>
      </w:pPr>
    </w:lvl>
    <w:lvl w:ilvl="3" w:tplc="080A000F" w:tentative="1">
      <w:start w:val="1"/>
      <w:numFmt w:val="decimal"/>
      <w:lvlText w:val="%4."/>
      <w:lvlJc w:val="left"/>
      <w:pPr>
        <w:ind w:left="3650" w:hanging="360"/>
      </w:pPr>
    </w:lvl>
    <w:lvl w:ilvl="4" w:tplc="080A0019" w:tentative="1">
      <w:start w:val="1"/>
      <w:numFmt w:val="lowerLetter"/>
      <w:lvlText w:val="%5."/>
      <w:lvlJc w:val="left"/>
      <w:pPr>
        <w:ind w:left="4370" w:hanging="360"/>
      </w:pPr>
    </w:lvl>
    <w:lvl w:ilvl="5" w:tplc="080A001B" w:tentative="1">
      <w:start w:val="1"/>
      <w:numFmt w:val="lowerRoman"/>
      <w:lvlText w:val="%6."/>
      <w:lvlJc w:val="right"/>
      <w:pPr>
        <w:ind w:left="5090" w:hanging="180"/>
      </w:pPr>
    </w:lvl>
    <w:lvl w:ilvl="6" w:tplc="080A000F" w:tentative="1">
      <w:start w:val="1"/>
      <w:numFmt w:val="decimal"/>
      <w:lvlText w:val="%7."/>
      <w:lvlJc w:val="left"/>
      <w:pPr>
        <w:ind w:left="5810" w:hanging="360"/>
      </w:pPr>
    </w:lvl>
    <w:lvl w:ilvl="7" w:tplc="080A0019" w:tentative="1">
      <w:start w:val="1"/>
      <w:numFmt w:val="lowerLetter"/>
      <w:lvlText w:val="%8."/>
      <w:lvlJc w:val="left"/>
      <w:pPr>
        <w:ind w:left="6530" w:hanging="360"/>
      </w:pPr>
    </w:lvl>
    <w:lvl w:ilvl="8" w:tplc="080A001B" w:tentative="1">
      <w:start w:val="1"/>
      <w:numFmt w:val="lowerRoman"/>
      <w:lvlText w:val="%9."/>
      <w:lvlJc w:val="right"/>
      <w:pPr>
        <w:ind w:left="7250" w:hanging="180"/>
      </w:pPr>
    </w:lvl>
  </w:abstractNum>
  <w:abstractNum w:abstractNumId="3" w15:restartNumberingAfterBreak="0">
    <w:nsid w:val="373530B1"/>
    <w:multiLevelType w:val="hybridMultilevel"/>
    <w:tmpl w:val="B6C4F5E0"/>
    <w:lvl w:ilvl="0" w:tplc="22AEF9CE">
      <w:start w:val="1"/>
      <w:numFmt w:val="upperRoman"/>
      <w:lvlText w:val="%1."/>
      <w:lvlJc w:val="left"/>
      <w:pPr>
        <w:ind w:left="1488" w:hanging="720"/>
      </w:pPr>
      <w:rPr>
        <w:rFonts w:hint="default"/>
        <w:b/>
      </w:rPr>
    </w:lvl>
    <w:lvl w:ilvl="1" w:tplc="080A0019" w:tentative="1">
      <w:start w:val="1"/>
      <w:numFmt w:val="lowerLetter"/>
      <w:lvlText w:val="%2."/>
      <w:lvlJc w:val="left"/>
      <w:pPr>
        <w:ind w:left="1848" w:hanging="360"/>
      </w:pPr>
    </w:lvl>
    <w:lvl w:ilvl="2" w:tplc="080A001B" w:tentative="1">
      <w:start w:val="1"/>
      <w:numFmt w:val="lowerRoman"/>
      <w:lvlText w:val="%3."/>
      <w:lvlJc w:val="right"/>
      <w:pPr>
        <w:ind w:left="2568" w:hanging="180"/>
      </w:pPr>
    </w:lvl>
    <w:lvl w:ilvl="3" w:tplc="080A000F" w:tentative="1">
      <w:start w:val="1"/>
      <w:numFmt w:val="decimal"/>
      <w:lvlText w:val="%4."/>
      <w:lvlJc w:val="left"/>
      <w:pPr>
        <w:ind w:left="3288" w:hanging="360"/>
      </w:pPr>
    </w:lvl>
    <w:lvl w:ilvl="4" w:tplc="080A0019" w:tentative="1">
      <w:start w:val="1"/>
      <w:numFmt w:val="lowerLetter"/>
      <w:lvlText w:val="%5."/>
      <w:lvlJc w:val="left"/>
      <w:pPr>
        <w:ind w:left="4008" w:hanging="360"/>
      </w:pPr>
    </w:lvl>
    <w:lvl w:ilvl="5" w:tplc="080A001B" w:tentative="1">
      <w:start w:val="1"/>
      <w:numFmt w:val="lowerRoman"/>
      <w:lvlText w:val="%6."/>
      <w:lvlJc w:val="right"/>
      <w:pPr>
        <w:ind w:left="4728" w:hanging="180"/>
      </w:pPr>
    </w:lvl>
    <w:lvl w:ilvl="6" w:tplc="080A000F" w:tentative="1">
      <w:start w:val="1"/>
      <w:numFmt w:val="decimal"/>
      <w:lvlText w:val="%7."/>
      <w:lvlJc w:val="left"/>
      <w:pPr>
        <w:ind w:left="5448" w:hanging="360"/>
      </w:pPr>
    </w:lvl>
    <w:lvl w:ilvl="7" w:tplc="080A0019" w:tentative="1">
      <w:start w:val="1"/>
      <w:numFmt w:val="lowerLetter"/>
      <w:lvlText w:val="%8."/>
      <w:lvlJc w:val="left"/>
      <w:pPr>
        <w:ind w:left="6168" w:hanging="360"/>
      </w:pPr>
    </w:lvl>
    <w:lvl w:ilvl="8" w:tplc="080A001B" w:tentative="1">
      <w:start w:val="1"/>
      <w:numFmt w:val="lowerRoman"/>
      <w:lvlText w:val="%9."/>
      <w:lvlJc w:val="right"/>
      <w:pPr>
        <w:ind w:left="6888" w:hanging="180"/>
      </w:pPr>
    </w:lvl>
  </w:abstractNum>
  <w:abstractNum w:abstractNumId="4" w15:restartNumberingAfterBreak="0">
    <w:nsid w:val="3A592CC4"/>
    <w:multiLevelType w:val="hybridMultilevel"/>
    <w:tmpl w:val="EE663EFA"/>
    <w:lvl w:ilvl="0" w:tplc="638EC840">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C315AEE"/>
    <w:multiLevelType w:val="hybridMultilevel"/>
    <w:tmpl w:val="6DD26876"/>
    <w:lvl w:ilvl="0" w:tplc="3E243D7E">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438D300A"/>
    <w:multiLevelType w:val="hybridMultilevel"/>
    <w:tmpl w:val="6B306944"/>
    <w:lvl w:ilvl="0" w:tplc="080A0017">
      <w:start w:val="1"/>
      <w:numFmt w:val="lowerLetter"/>
      <w:lvlText w:val="%1)"/>
      <w:lvlJc w:val="left"/>
      <w:pPr>
        <w:ind w:left="1571" w:hanging="360"/>
      </w:pPr>
      <w:rPr>
        <w:rFonts w:hint="default"/>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7" w15:restartNumberingAfterBreak="0">
    <w:nsid w:val="46072BA4"/>
    <w:multiLevelType w:val="hybridMultilevel"/>
    <w:tmpl w:val="B9E2C842"/>
    <w:lvl w:ilvl="0" w:tplc="080A0017">
      <w:start w:val="1"/>
      <w:numFmt w:val="lowerLetter"/>
      <w:lvlText w:val="%1)"/>
      <w:lvlJc w:val="left"/>
      <w:pPr>
        <w:ind w:left="780" w:hanging="360"/>
      </w:pPr>
      <w:rPr>
        <w:rFonts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8" w15:restartNumberingAfterBreak="0">
    <w:nsid w:val="51F97BAB"/>
    <w:multiLevelType w:val="hybridMultilevel"/>
    <w:tmpl w:val="58EE39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3036EA2"/>
    <w:multiLevelType w:val="hybridMultilevel"/>
    <w:tmpl w:val="C518DEB8"/>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D3E0EBE"/>
    <w:multiLevelType w:val="hybridMultilevel"/>
    <w:tmpl w:val="8C6EFEC6"/>
    <w:lvl w:ilvl="0" w:tplc="A6F0CDA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0"/>
  </w:num>
  <w:num w:numId="2">
    <w:abstractNumId w:val="6"/>
  </w:num>
  <w:num w:numId="3">
    <w:abstractNumId w:val="5"/>
  </w:num>
  <w:num w:numId="4">
    <w:abstractNumId w:val="8"/>
  </w:num>
  <w:num w:numId="5">
    <w:abstractNumId w:val="7"/>
  </w:num>
  <w:num w:numId="6">
    <w:abstractNumId w:val="1"/>
  </w:num>
  <w:num w:numId="7">
    <w:abstractNumId w:val="4"/>
  </w:num>
  <w:num w:numId="8">
    <w:abstractNumId w:val="9"/>
  </w:num>
  <w:num w:numId="9">
    <w:abstractNumId w:val="10"/>
  </w:num>
  <w:num w:numId="10">
    <w:abstractNumId w:val="3"/>
  </w:num>
  <w:num w:numId="11">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s-CO" w:vendorID="64" w:dllVersion="131078" w:nlCheck="1" w:checkStyle="1"/>
  <w:activeWritingStyle w:appName="MSWord" w:lang="en-US" w:vendorID="64" w:dllVersion="131078" w:nlCheck="1" w:checkStyle="1"/>
  <w:defaultTabStop w:val="709"/>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32D4"/>
    <w:rsid w:val="00000566"/>
    <w:rsid w:val="0000414F"/>
    <w:rsid w:val="000041EE"/>
    <w:rsid w:val="00005528"/>
    <w:rsid w:val="00005EC4"/>
    <w:rsid w:val="00007425"/>
    <w:rsid w:val="00010801"/>
    <w:rsid w:val="00010A91"/>
    <w:rsid w:val="00011EFA"/>
    <w:rsid w:val="00015427"/>
    <w:rsid w:val="000242A9"/>
    <w:rsid w:val="0002437E"/>
    <w:rsid w:val="00024E19"/>
    <w:rsid w:val="00025494"/>
    <w:rsid w:val="000257EC"/>
    <w:rsid w:val="00027645"/>
    <w:rsid w:val="00030AB1"/>
    <w:rsid w:val="00031554"/>
    <w:rsid w:val="00032100"/>
    <w:rsid w:val="0003605D"/>
    <w:rsid w:val="000403ED"/>
    <w:rsid w:val="00040B44"/>
    <w:rsid w:val="00044046"/>
    <w:rsid w:val="00056801"/>
    <w:rsid w:val="00057C69"/>
    <w:rsid w:val="00062B3B"/>
    <w:rsid w:val="000714F2"/>
    <w:rsid w:val="000731C6"/>
    <w:rsid w:val="000741FE"/>
    <w:rsid w:val="0008339D"/>
    <w:rsid w:val="000850CE"/>
    <w:rsid w:val="000865CC"/>
    <w:rsid w:val="00087DCC"/>
    <w:rsid w:val="000908E8"/>
    <w:rsid w:val="000912C3"/>
    <w:rsid w:val="0009312F"/>
    <w:rsid w:val="000937D2"/>
    <w:rsid w:val="00093F4C"/>
    <w:rsid w:val="000A1237"/>
    <w:rsid w:val="000A207D"/>
    <w:rsid w:val="000A5B86"/>
    <w:rsid w:val="000A5F6D"/>
    <w:rsid w:val="000B06EF"/>
    <w:rsid w:val="000B3104"/>
    <w:rsid w:val="000B518A"/>
    <w:rsid w:val="000B5E93"/>
    <w:rsid w:val="000B6E84"/>
    <w:rsid w:val="000B7DD9"/>
    <w:rsid w:val="000C225A"/>
    <w:rsid w:val="000C4113"/>
    <w:rsid w:val="000C5AC5"/>
    <w:rsid w:val="000D1230"/>
    <w:rsid w:val="000D1625"/>
    <w:rsid w:val="000D373B"/>
    <w:rsid w:val="000D4BBF"/>
    <w:rsid w:val="000D64AB"/>
    <w:rsid w:val="000E0763"/>
    <w:rsid w:val="000E0837"/>
    <w:rsid w:val="000E3A84"/>
    <w:rsid w:val="000E63BD"/>
    <w:rsid w:val="000F02B0"/>
    <w:rsid w:val="000F0394"/>
    <w:rsid w:val="000F19E1"/>
    <w:rsid w:val="000F4E10"/>
    <w:rsid w:val="000F6866"/>
    <w:rsid w:val="000F6C33"/>
    <w:rsid w:val="001006A4"/>
    <w:rsid w:val="00101930"/>
    <w:rsid w:val="0010282F"/>
    <w:rsid w:val="00102E10"/>
    <w:rsid w:val="001032D4"/>
    <w:rsid w:val="001056E8"/>
    <w:rsid w:val="00111D30"/>
    <w:rsid w:val="00113B6C"/>
    <w:rsid w:val="00114C21"/>
    <w:rsid w:val="00120D25"/>
    <w:rsid w:val="001226DA"/>
    <w:rsid w:val="001229B9"/>
    <w:rsid w:val="00123880"/>
    <w:rsid w:val="00123A68"/>
    <w:rsid w:val="00124A15"/>
    <w:rsid w:val="001273C5"/>
    <w:rsid w:val="001279DA"/>
    <w:rsid w:val="00132ED0"/>
    <w:rsid w:val="00133A1F"/>
    <w:rsid w:val="00134E8C"/>
    <w:rsid w:val="00136DE7"/>
    <w:rsid w:val="00150BA2"/>
    <w:rsid w:val="00152BFC"/>
    <w:rsid w:val="00160BBE"/>
    <w:rsid w:val="00161D97"/>
    <w:rsid w:val="001652D2"/>
    <w:rsid w:val="00167B37"/>
    <w:rsid w:val="00171621"/>
    <w:rsid w:val="00171982"/>
    <w:rsid w:val="00171DE6"/>
    <w:rsid w:val="00172834"/>
    <w:rsid w:val="00173448"/>
    <w:rsid w:val="00180293"/>
    <w:rsid w:val="0018355A"/>
    <w:rsid w:val="00184B5D"/>
    <w:rsid w:val="001906EA"/>
    <w:rsid w:val="0019658D"/>
    <w:rsid w:val="00196B79"/>
    <w:rsid w:val="001A0ADE"/>
    <w:rsid w:val="001A0CD0"/>
    <w:rsid w:val="001A1A7D"/>
    <w:rsid w:val="001A1FAA"/>
    <w:rsid w:val="001A304C"/>
    <w:rsid w:val="001A3473"/>
    <w:rsid w:val="001A3B4C"/>
    <w:rsid w:val="001A3E5C"/>
    <w:rsid w:val="001A4BF9"/>
    <w:rsid w:val="001A4E06"/>
    <w:rsid w:val="001A5FE8"/>
    <w:rsid w:val="001B1C26"/>
    <w:rsid w:val="001B4E71"/>
    <w:rsid w:val="001B5DA9"/>
    <w:rsid w:val="001B6B26"/>
    <w:rsid w:val="001B780A"/>
    <w:rsid w:val="001C03C2"/>
    <w:rsid w:val="001C2750"/>
    <w:rsid w:val="001C31E7"/>
    <w:rsid w:val="001C4ACC"/>
    <w:rsid w:val="001C4E64"/>
    <w:rsid w:val="001C5DDC"/>
    <w:rsid w:val="001C63D8"/>
    <w:rsid w:val="001D02D1"/>
    <w:rsid w:val="001D23EA"/>
    <w:rsid w:val="001D375C"/>
    <w:rsid w:val="001E004F"/>
    <w:rsid w:val="001E2EB6"/>
    <w:rsid w:val="001E7595"/>
    <w:rsid w:val="001E78C7"/>
    <w:rsid w:val="001E7EBF"/>
    <w:rsid w:val="001F1796"/>
    <w:rsid w:val="001F1DDC"/>
    <w:rsid w:val="001F230F"/>
    <w:rsid w:val="001F2F0C"/>
    <w:rsid w:val="001F53CB"/>
    <w:rsid w:val="002008C5"/>
    <w:rsid w:val="00201139"/>
    <w:rsid w:val="00201FAB"/>
    <w:rsid w:val="002034B3"/>
    <w:rsid w:val="00205415"/>
    <w:rsid w:val="00205665"/>
    <w:rsid w:val="00206F9E"/>
    <w:rsid w:val="00210376"/>
    <w:rsid w:val="00210BE0"/>
    <w:rsid w:val="00213256"/>
    <w:rsid w:val="0021581C"/>
    <w:rsid w:val="00215C47"/>
    <w:rsid w:val="002160F2"/>
    <w:rsid w:val="002167E1"/>
    <w:rsid w:val="002204F1"/>
    <w:rsid w:val="00223909"/>
    <w:rsid w:val="002257CE"/>
    <w:rsid w:val="00225A3D"/>
    <w:rsid w:val="0022659F"/>
    <w:rsid w:val="00230CF8"/>
    <w:rsid w:val="002322F3"/>
    <w:rsid w:val="0023252B"/>
    <w:rsid w:val="002335C4"/>
    <w:rsid w:val="00234144"/>
    <w:rsid w:val="00235CCF"/>
    <w:rsid w:val="00237247"/>
    <w:rsid w:val="00240213"/>
    <w:rsid w:val="00242081"/>
    <w:rsid w:val="002426B8"/>
    <w:rsid w:val="00244AA3"/>
    <w:rsid w:val="00245582"/>
    <w:rsid w:val="00250C08"/>
    <w:rsid w:val="00250E64"/>
    <w:rsid w:val="00251A78"/>
    <w:rsid w:val="00253AFC"/>
    <w:rsid w:val="00253F13"/>
    <w:rsid w:val="00254D5C"/>
    <w:rsid w:val="00254E16"/>
    <w:rsid w:val="00255356"/>
    <w:rsid w:val="002556E6"/>
    <w:rsid w:val="00255849"/>
    <w:rsid w:val="00261456"/>
    <w:rsid w:val="00262A50"/>
    <w:rsid w:val="0026420C"/>
    <w:rsid w:val="00266F95"/>
    <w:rsid w:val="00272F78"/>
    <w:rsid w:val="00274EDB"/>
    <w:rsid w:val="002819DE"/>
    <w:rsid w:val="00284FE1"/>
    <w:rsid w:val="00285B0A"/>
    <w:rsid w:val="00286A8B"/>
    <w:rsid w:val="00287B9A"/>
    <w:rsid w:val="00295743"/>
    <w:rsid w:val="00297564"/>
    <w:rsid w:val="002A6B47"/>
    <w:rsid w:val="002A7095"/>
    <w:rsid w:val="002B3BE7"/>
    <w:rsid w:val="002B4ADB"/>
    <w:rsid w:val="002B6AFE"/>
    <w:rsid w:val="002B759F"/>
    <w:rsid w:val="002C2D7A"/>
    <w:rsid w:val="002C4298"/>
    <w:rsid w:val="002C7DF8"/>
    <w:rsid w:val="002D1BB7"/>
    <w:rsid w:val="002D5206"/>
    <w:rsid w:val="002D6B7D"/>
    <w:rsid w:val="002E35AF"/>
    <w:rsid w:val="002E5EA6"/>
    <w:rsid w:val="002E694C"/>
    <w:rsid w:val="002F1B38"/>
    <w:rsid w:val="002F382F"/>
    <w:rsid w:val="002F4590"/>
    <w:rsid w:val="00300888"/>
    <w:rsid w:val="0030088F"/>
    <w:rsid w:val="00302130"/>
    <w:rsid w:val="003030B4"/>
    <w:rsid w:val="00303C8E"/>
    <w:rsid w:val="003044CD"/>
    <w:rsid w:val="00307C48"/>
    <w:rsid w:val="00311750"/>
    <w:rsid w:val="0031380C"/>
    <w:rsid w:val="0031682D"/>
    <w:rsid w:val="00317187"/>
    <w:rsid w:val="00317244"/>
    <w:rsid w:val="00320E95"/>
    <w:rsid w:val="00321C48"/>
    <w:rsid w:val="00321DE4"/>
    <w:rsid w:val="00321E4E"/>
    <w:rsid w:val="00323455"/>
    <w:rsid w:val="0032671F"/>
    <w:rsid w:val="00326EF6"/>
    <w:rsid w:val="00331B22"/>
    <w:rsid w:val="00331FBC"/>
    <w:rsid w:val="00334D21"/>
    <w:rsid w:val="00337293"/>
    <w:rsid w:val="003446A3"/>
    <w:rsid w:val="00344716"/>
    <w:rsid w:val="00347E2E"/>
    <w:rsid w:val="003505FF"/>
    <w:rsid w:val="0035104C"/>
    <w:rsid w:val="0035234D"/>
    <w:rsid w:val="0035263E"/>
    <w:rsid w:val="00353230"/>
    <w:rsid w:val="00357276"/>
    <w:rsid w:val="00357303"/>
    <w:rsid w:val="0036177C"/>
    <w:rsid w:val="00362D80"/>
    <w:rsid w:val="00363ACF"/>
    <w:rsid w:val="00367ABD"/>
    <w:rsid w:val="00371BDF"/>
    <w:rsid w:val="0037276E"/>
    <w:rsid w:val="00374093"/>
    <w:rsid w:val="00374812"/>
    <w:rsid w:val="003765D6"/>
    <w:rsid w:val="00384D1E"/>
    <w:rsid w:val="00385664"/>
    <w:rsid w:val="003857F2"/>
    <w:rsid w:val="0038625C"/>
    <w:rsid w:val="00386B35"/>
    <w:rsid w:val="003872BE"/>
    <w:rsid w:val="003876C9"/>
    <w:rsid w:val="00391A69"/>
    <w:rsid w:val="0039322C"/>
    <w:rsid w:val="00396BB4"/>
    <w:rsid w:val="003A023E"/>
    <w:rsid w:val="003A323F"/>
    <w:rsid w:val="003A356D"/>
    <w:rsid w:val="003A5879"/>
    <w:rsid w:val="003A5A10"/>
    <w:rsid w:val="003A5F05"/>
    <w:rsid w:val="003B205C"/>
    <w:rsid w:val="003B23E1"/>
    <w:rsid w:val="003B602E"/>
    <w:rsid w:val="003B64EF"/>
    <w:rsid w:val="003C0852"/>
    <w:rsid w:val="003C30CE"/>
    <w:rsid w:val="003C3183"/>
    <w:rsid w:val="003C5555"/>
    <w:rsid w:val="003C7094"/>
    <w:rsid w:val="003C7981"/>
    <w:rsid w:val="003D0F2A"/>
    <w:rsid w:val="003D6620"/>
    <w:rsid w:val="003E0924"/>
    <w:rsid w:val="003E171F"/>
    <w:rsid w:val="003E5922"/>
    <w:rsid w:val="003E6B88"/>
    <w:rsid w:val="003E742F"/>
    <w:rsid w:val="003F0566"/>
    <w:rsid w:val="003F0FAD"/>
    <w:rsid w:val="003F1BEE"/>
    <w:rsid w:val="003F2775"/>
    <w:rsid w:val="003F3AC5"/>
    <w:rsid w:val="003F50B6"/>
    <w:rsid w:val="0040240F"/>
    <w:rsid w:val="0040391F"/>
    <w:rsid w:val="00412975"/>
    <w:rsid w:val="004131E8"/>
    <w:rsid w:val="00413712"/>
    <w:rsid w:val="004159E2"/>
    <w:rsid w:val="004164D7"/>
    <w:rsid w:val="00416F83"/>
    <w:rsid w:val="00421F6E"/>
    <w:rsid w:val="00424587"/>
    <w:rsid w:val="004263FF"/>
    <w:rsid w:val="004267DA"/>
    <w:rsid w:val="004319FA"/>
    <w:rsid w:val="00432B26"/>
    <w:rsid w:val="00441BBA"/>
    <w:rsid w:val="00452BE0"/>
    <w:rsid w:val="0045429B"/>
    <w:rsid w:val="00454524"/>
    <w:rsid w:val="004555FA"/>
    <w:rsid w:val="00455636"/>
    <w:rsid w:val="004559BC"/>
    <w:rsid w:val="00463583"/>
    <w:rsid w:val="00463702"/>
    <w:rsid w:val="00463F47"/>
    <w:rsid w:val="00463F50"/>
    <w:rsid w:val="004669EA"/>
    <w:rsid w:val="00466D9E"/>
    <w:rsid w:val="004678FB"/>
    <w:rsid w:val="004826A3"/>
    <w:rsid w:val="00485278"/>
    <w:rsid w:val="00485DC8"/>
    <w:rsid w:val="00486085"/>
    <w:rsid w:val="00486356"/>
    <w:rsid w:val="00491FBF"/>
    <w:rsid w:val="0049418B"/>
    <w:rsid w:val="004942DC"/>
    <w:rsid w:val="004A0E54"/>
    <w:rsid w:val="004A0F47"/>
    <w:rsid w:val="004A1161"/>
    <w:rsid w:val="004A1165"/>
    <w:rsid w:val="004A2AD2"/>
    <w:rsid w:val="004A5A09"/>
    <w:rsid w:val="004A651D"/>
    <w:rsid w:val="004B1973"/>
    <w:rsid w:val="004B1F97"/>
    <w:rsid w:val="004B2911"/>
    <w:rsid w:val="004B4B0C"/>
    <w:rsid w:val="004B4E2F"/>
    <w:rsid w:val="004B6295"/>
    <w:rsid w:val="004B764B"/>
    <w:rsid w:val="004C1060"/>
    <w:rsid w:val="004C3292"/>
    <w:rsid w:val="004C3F15"/>
    <w:rsid w:val="004C41FB"/>
    <w:rsid w:val="004C4D70"/>
    <w:rsid w:val="004C5522"/>
    <w:rsid w:val="004C6CA5"/>
    <w:rsid w:val="004C7F35"/>
    <w:rsid w:val="004D0295"/>
    <w:rsid w:val="004D0DD3"/>
    <w:rsid w:val="004D138A"/>
    <w:rsid w:val="004D1F85"/>
    <w:rsid w:val="004D3921"/>
    <w:rsid w:val="004D5494"/>
    <w:rsid w:val="004D5EFA"/>
    <w:rsid w:val="004D7FFD"/>
    <w:rsid w:val="004E34D1"/>
    <w:rsid w:val="004E47BE"/>
    <w:rsid w:val="004E5864"/>
    <w:rsid w:val="004E6142"/>
    <w:rsid w:val="004E760A"/>
    <w:rsid w:val="004F3B37"/>
    <w:rsid w:val="004F65D5"/>
    <w:rsid w:val="004F78AF"/>
    <w:rsid w:val="005028CF"/>
    <w:rsid w:val="005058A5"/>
    <w:rsid w:val="005071AA"/>
    <w:rsid w:val="0051208B"/>
    <w:rsid w:val="00512C18"/>
    <w:rsid w:val="00512E56"/>
    <w:rsid w:val="00514740"/>
    <w:rsid w:val="0052002C"/>
    <w:rsid w:val="005208CA"/>
    <w:rsid w:val="0052294F"/>
    <w:rsid w:val="00522D3C"/>
    <w:rsid w:val="00526858"/>
    <w:rsid w:val="0053199B"/>
    <w:rsid w:val="00532884"/>
    <w:rsid w:val="00535D04"/>
    <w:rsid w:val="005365F2"/>
    <w:rsid w:val="005408D2"/>
    <w:rsid w:val="00541210"/>
    <w:rsid w:val="00541CE9"/>
    <w:rsid w:val="005453EA"/>
    <w:rsid w:val="005523B4"/>
    <w:rsid w:val="005531F4"/>
    <w:rsid w:val="00557292"/>
    <w:rsid w:val="00562AF5"/>
    <w:rsid w:val="00563C40"/>
    <w:rsid w:val="00563EE4"/>
    <w:rsid w:val="00565B86"/>
    <w:rsid w:val="00565EC8"/>
    <w:rsid w:val="005717ED"/>
    <w:rsid w:val="005748EB"/>
    <w:rsid w:val="00576276"/>
    <w:rsid w:val="00576A1A"/>
    <w:rsid w:val="00580D68"/>
    <w:rsid w:val="0058513F"/>
    <w:rsid w:val="00586008"/>
    <w:rsid w:val="005903D6"/>
    <w:rsid w:val="00590763"/>
    <w:rsid w:val="005924DB"/>
    <w:rsid w:val="005930AA"/>
    <w:rsid w:val="005940B0"/>
    <w:rsid w:val="005941BC"/>
    <w:rsid w:val="00594581"/>
    <w:rsid w:val="00594625"/>
    <w:rsid w:val="00594C15"/>
    <w:rsid w:val="0059637F"/>
    <w:rsid w:val="00597A42"/>
    <w:rsid w:val="005A36B6"/>
    <w:rsid w:val="005A4890"/>
    <w:rsid w:val="005A59E5"/>
    <w:rsid w:val="005A6167"/>
    <w:rsid w:val="005A72CE"/>
    <w:rsid w:val="005A7ECE"/>
    <w:rsid w:val="005B3877"/>
    <w:rsid w:val="005B498B"/>
    <w:rsid w:val="005B7673"/>
    <w:rsid w:val="005B7B72"/>
    <w:rsid w:val="005C040A"/>
    <w:rsid w:val="005C0595"/>
    <w:rsid w:val="005C0CAD"/>
    <w:rsid w:val="005C15A9"/>
    <w:rsid w:val="005C1787"/>
    <w:rsid w:val="005C3BA2"/>
    <w:rsid w:val="005C55A3"/>
    <w:rsid w:val="005C779A"/>
    <w:rsid w:val="005D10A4"/>
    <w:rsid w:val="005D27C6"/>
    <w:rsid w:val="005D52C0"/>
    <w:rsid w:val="005E2A08"/>
    <w:rsid w:val="005E2DE2"/>
    <w:rsid w:val="005E5B8A"/>
    <w:rsid w:val="005F4F97"/>
    <w:rsid w:val="006002B6"/>
    <w:rsid w:val="00600D3E"/>
    <w:rsid w:val="00603C48"/>
    <w:rsid w:val="00607DC6"/>
    <w:rsid w:val="00607E2B"/>
    <w:rsid w:val="00611306"/>
    <w:rsid w:val="0061172D"/>
    <w:rsid w:val="006170BC"/>
    <w:rsid w:val="0062067E"/>
    <w:rsid w:val="00621F3D"/>
    <w:rsid w:val="00622837"/>
    <w:rsid w:val="00623889"/>
    <w:rsid w:val="0063037D"/>
    <w:rsid w:val="00630BE5"/>
    <w:rsid w:val="0063194B"/>
    <w:rsid w:val="00631AB6"/>
    <w:rsid w:val="0063248B"/>
    <w:rsid w:val="00632574"/>
    <w:rsid w:val="006328D0"/>
    <w:rsid w:val="00633011"/>
    <w:rsid w:val="00633CD9"/>
    <w:rsid w:val="006359FD"/>
    <w:rsid w:val="00637782"/>
    <w:rsid w:val="00637B49"/>
    <w:rsid w:val="0064004B"/>
    <w:rsid w:val="0064202A"/>
    <w:rsid w:val="00644DE7"/>
    <w:rsid w:val="00645AC9"/>
    <w:rsid w:val="0065012C"/>
    <w:rsid w:val="0065261D"/>
    <w:rsid w:val="0065362B"/>
    <w:rsid w:val="00653E48"/>
    <w:rsid w:val="0066007D"/>
    <w:rsid w:val="006602FB"/>
    <w:rsid w:val="0066196D"/>
    <w:rsid w:val="00662639"/>
    <w:rsid w:val="006631D9"/>
    <w:rsid w:val="0066570E"/>
    <w:rsid w:val="006661EF"/>
    <w:rsid w:val="0067089A"/>
    <w:rsid w:val="006717C2"/>
    <w:rsid w:val="00671BE8"/>
    <w:rsid w:val="00672390"/>
    <w:rsid w:val="00674AF8"/>
    <w:rsid w:val="00674DFB"/>
    <w:rsid w:val="00685002"/>
    <w:rsid w:val="00685CAD"/>
    <w:rsid w:val="00687952"/>
    <w:rsid w:val="006935FD"/>
    <w:rsid w:val="00695F72"/>
    <w:rsid w:val="006A2057"/>
    <w:rsid w:val="006A2216"/>
    <w:rsid w:val="006A319E"/>
    <w:rsid w:val="006A3AFB"/>
    <w:rsid w:val="006A4B2F"/>
    <w:rsid w:val="006A5758"/>
    <w:rsid w:val="006B1ECF"/>
    <w:rsid w:val="006B226D"/>
    <w:rsid w:val="006B2FB8"/>
    <w:rsid w:val="006B4E05"/>
    <w:rsid w:val="006B5F69"/>
    <w:rsid w:val="006B65FE"/>
    <w:rsid w:val="006C201F"/>
    <w:rsid w:val="006C293B"/>
    <w:rsid w:val="006C5D23"/>
    <w:rsid w:val="006C7C21"/>
    <w:rsid w:val="006D380B"/>
    <w:rsid w:val="006D383B"/>
    <w:rsid w:val="006D58DF"/>
    <w:rsid w:val="006E1222"/>
    <w:rsid w:val="006E5383"/>
    <w:rsid w:val="006E5710"/>
    <w:rsid w:val="006E5947"/>
    <w:rsid w:val="006E615F"/>
    <w:rsid w:val="006F29EA"/>
    <w:rsid w:val="006F3C71"/>
    <w:rsid w:val="006F6967"/>
    <w:rsid w:val="00700E66"/>
    <w:rsid w:val="00703EA6"/>
    <w:rsid w:val="007046FB"/>
    <w:rsid w:val="007113F1"/>
    <w:rsid w:val="00711B3B"/>
    <w:rsid w:val="00720B5D"/>
    <w:rsid w:val="00722870"/>
    <w:rsid w:val="00723900"/>
    <w:rsid w:val="00723FDA"/>
    <w:rsid w:val="00727630"/>
    <w:rsid w:val="00731D67"/>
    <w:rsid w:val="007339CD"/>
    <w:rsid w:val="0073681A"/>
    <w:rsid w:val="00740B0E"/>
    <w:rsid w:val="00741CB8"/>
    <w:rsid w:val="007420EA"/>
    <w:rsid w:val="0074361B"/>
    <w:rsid w:val="00743EA9"/>
    <w:rsid w:val="00744159"/>
    <w:rsid w:val="007443B6"/>
    <w:rsid w:val="00744545"/>
    <w:rsid w:val="00744E15"/>
    <w:rsid w:val="00745059"/>
    <w:rsid w:val="0074509C"/>
    <w:rsid w:val="007476D3"/>
    <w:rsid w:val="00747C53"/>
    <w:rsid w:val="00750196"/>
    <w:rsid w:val="0075245F"/>
    <w:rsid w:val="00752640"/>
    <w:rsid w:val="007533A3"/>
    <w:rsid w:val="00753A6A"/>
    <w:rsid w:val="00754B9D"/>
    <w:rsid w:val="00754D93"/>
    <w:rsid w:val="0075610F"/>
    <w:rsid w:val="00756231"/>
    <w:rsid w:val="00756EE6"/>
    <w:rsid w:val="00757340"/>
    <w:rsid w:val="007627F1"/>
    <w:rsid w:val="00762837"/>
    <w:rsid w:val="0076293A"/>
    <w:rsid w:val="00763E64"/>
    <w:rsid w:val="00767539"/>
    <w:rsid w:val="007704E7"/>
    <w:rsid w:val="00770A58"/>
    <w:rsid w:val="00770E2E"/>
    <w:rsid w:val="00773B5B"/>
    <w:rsid w:val="00773C8E"/>
    <w:rsid w:val="00774B05"/>
    <w:rsid w:val="007751A7"/>
    <w:rsid w:val="00775A1A"/>
    <w:rsid w:val="00781F99"/>
    <w:rsid w:val="00783B14"/>
    <w:rsid w:val="00785AF0"/>
    <w:rsid w:val="00790F8A"/>
    <w:rsid w:val="0079518B"/>
    <w:rsid w:val="00795636"/>
    <w:rsid w:val="00795F59"/>
    <w:rsid w:val="007A08A0"/>
    <w:rsid w:val="007A0992"/>
    <w:rsid w:val="007A2B6A"/>
    <w:rsid w:val="007A38A3"/>
    <w:rsid w:val="007A40BB"/>
    <w:rsid w:val="007A433B"/>
    <w:rsid w:val="007A4B79"/>
    <w:rsid w:val="007A551B"/>
    <w:rsid w:val="007A64D7"/>
    <w:rsid w:val="007B028A"/>
    <w:rsid w:val="007B02F5"/>
    <w:rsid w:val="007B0970"/>
    <w:rsid w:val="007C0F23"/>
    <w:rsid w:val="007C20C0"/>
    <w:rsid w:val="007C24F5"/>
    <w:rsid w:val="007C2747"/>
    <w:rsid w:val="007C2AA3"/>
    <w:rsid w:val="007D352D"/>
    <w:rsid w:val="007D3991"/>
    <w:rsid w:val="007D3A66"/>
    <w:rsid w:val="007D3F3A"/>
    <w:rsid w:val="007D5D19"/>
    <w:rsid w:val="007D6256"/>
    <w:rsid w:val="007D6C37"/>
    <w:rsid w:val="007E0D1A"/>
    <w:rsid w:val="007E0D7B"/>
    <w:rsid w:val="007E1F61"/>
    <w:rsid w:val="007E1FC4"/>
    <w:rsid w:val="007E3E9C"/>
    <w:rsid w:val="007E4E00"/>
    <w:rsid w:val="007E6515"/>
    <w:rsid w:val="007E7384"/>
    <w:rsid w:val="007E7C08"/>
    <w:rsid w:val="007F23C4"/>
    <w:rsid w:val="007F5B58"/>
    <w:rsid w:val="007F5D11"/>
    <w:rsid w:val="007F7280"/>
    <w:rsid w:val="00800F02"/>
    <w:rsid w:val="00801ED4"/>
    <w:rsid w:val="00804B7E"/>
    <w:rsid w:val="00807285"/>
    <w:rsid w:val="008108BF"/>
    <w:rsid w:val="00812EA4"/>
    <w:rsid w:val="0081554A"/>
    <w:rsid w:val="00815825"/>
    <w:rsid w:val="00816703"/>
    <w:rsid w:val="00821626"/>
    <w:rsid w:val="00823577"/>
    <w:rsid w:val="00826AC5"/>
    <w:rsid w:val="00830FAD"/>
    <w:rsid w:val="008317F8"/>
    <w:rsid w:val="00831CBB"/>
    <w:rsid w:val="00832A32"/>
    <w:rsid w:val="00834ACA"/>
    <w:rsid w:val="00834F1F"/>
    <w:rsid w:val="008367E4"/>
    <w:rsid w:val="00837102"/>
    <w:rsid w:val="00837548"/>
    <w:rsid w:val="0084009C"/>
    <w:rsid w:val="00840752"/>
    <w:rsid w:val="00840EA1"/>
    <w:rsid w:val="00841874"/>
    <w:rsid w:val="00841939"/>
    <w:rsid w:val="00843D84"/>
    <w:rsid w:val="0084440E"/>
    <w:rsid w:val="00844C87"/>
    <w:rsid w:val="00845AEA"/>
    <w:rsid w:val="00846E81"/>
    <w:rsid w:val="00857427"/>
    <w:rsid w:val="00860637"/>
    <w:rsid w:val="00860D17"/>
    <w:rsid w:val="00861F86"/>
    <w:rsid w:val="008621C4"/>
    <w:rsid w:val="0086254D"/>
    <w:rsid w:val="008628B5"/>
    <w:rsid w:val="00862F75"/>
    <w:rsid w:val="0086361C"/>
    <w:rsid w:val="00863F80"/>
    <w:rsid w:val="008640CE"/>
    <w:rsid w:val="00864B7D"/>
    <w:rsid w:val="008650CA"/>
    <w:rsid w:val="008658AE"/>
    <w:rsid w:val="008726CB"/>
    <w:rsid w:val="00873149"/>
    <w:rsid w:val="00875CAA"/>
    <w:rsid w:val="0088647A"/>
    <w:rsid w:val="0088755C"/>
    <w:rsid w:val="00887C54"/>
    <w:rsid w:val="008907E1"/>
    <w:rsid w:val="00890F00"/>
    <w:rsid w:val="008A1604"/>
    <w:rsid w:val="008A1DCC"/>
    <w:rsid w:val="008A2379"/>
    <w:rsid w:val="008A5787"/>
    <w:rsid w:val="008A6BC2"/>
    <w:rsid w:val="008A6C34"/>
    <w:rsid w:val="008B03B8"/>
    <w:rsid w:val="008B1D63"/>
    <w:rsid w:val="008B2FC3"/>
    <w:rsid w:val="008B44EB"/>
    <w:rsid w:val="008B624D"/>
    <w:rsid w:val="008C26B8"/>
    <w:rsid w:val="008C28C9"/>
    <w:rsid w:val="008C3F21"/>
    <w:rsid w:val="008C5D7B"/>
    <w:rsid w:val="008C677C"/>
    <w:rsid w:val="008D02A1"/>
    <w:rsid w:val="008D2FEE"/>
    <w:rsid w:val="008D3779"/>
    <w:rsid w:val="008D405F"/>
    <w:rsid w:val="008D407D"/>
    <w:rsid w:val="008D4B42"/>
    <w:rsid w:val="008D5BE1"/>
    <w:rsid w:val="008D6D3B"/>
    <w:rsid w:val="008E0FEC"/>
    <w:rsid w:val="008E1076"/>
    <w:rsid w:val="008E7AEA"/>
    <w:rsid w:val="008F031E"/>
    <w:rsid w:val="008F0593"/>
    <w:rsid w:val="008F095B"/>
    <w:rsid w:val="008F1AB7"/>
    <w:rsid w:val="008F1B09"/>
    <w:rsid w:val="008F27BE"/>
    <w:rsid w:val="008F356E"/>
    <w:rsid w:val="008F524E"/>
    <w:rsid w:val="008F76B7"/>
    <w:rsid w:val="00900782"/>
    <w:rsid w:val="00901C66"/>
    <w:rsid w:val="00906FC0"/>
    <w:rsid w:val="00907C98"/>
    <w:rsid w:val="00910508"/>
    <w:rsid w:val="00910845"/>
    <w:rsid w:val="00911C68"/>
    <w:rsid w:val="00912026"/>
    <w:rsid w:val="00915ECE"/>
    <w:rsid w:val="009178E2"/>
    <w:rsid w:val="0092144D"/>
    <w:rsid w:val="00921639"/>
    <w:rsid w:val="0093174B"/>
    <w:rsid w:val="0093593C"/>
    <w:rsid w:val="00935E3B"/>
    <w:rsid w:val="00936108"/>
    <w:rsid w:val="00936412"/>
    <w:rsid w:val="00944098"/>
    <w:rsid w:val="00946DEF"/>
    <w:rsid w:val="00950C1A"/>
    <w:rsid w:val="00952C1C"/>
    <w:rsid w:val="00952EA2"/>
    <w:rsid w:val="0095437F"/>
    <w:rsid w:val="009543B9"/>
    <w:rsid w:val="0095609D"/>
    <w:rsid w:val="0095660C"/>
    <w:rsid w:val="00957EB0"/>
    <w:rsid w:val="00960A97"/>
    <w:rsid w:val="00965EDD"/>
    <w:rsid w:val="00965F90"/>
    <w:rsid w:val="00966D27"/>
    <w:rsid w:val="0097115D"/>
    <w:rsid w:val="009724D1"/>
    <w:rsid w:val="00974632"/>
    <w:rsid w:val="00977E6E"/>
    <w:rsid w:val="00982E16"/>
    <w:rsid w:val="00982F97"/>
    <w:rsid w:val="00983905"/>
    <w:rsid w:val="00983A5D"/>
    <w:rsid w:val="0098415F"/>
    <w:rsid w:val="00986056"/>
    <w:rsid w:val="00986FBB"/>
    <w:rsid w:val="00987E26"/>
    <w:rsid w:val="00993683"/>
    <w:rsid w:val="009939B6"/>
    <w:rsid w:val="009A2A3C"/>
    <w:rsid w:val="009A4E0C"/>
    <w:rsid w:val="009A4F7D"/>
    <w:rsid w:val="009A7538"/>
    <w:rsid w:val="009B1193"/>
    <w:rsid w:val="009B15E4"/>
    <w:rsid w:val="009B1F67"/>
    <w:rsid w:val="009B3BEE"/>
    <w:rsid w:val="009B4772"/>
    <w:rsid w:val="009B4C63"/>
    <w:rsid w:val="009C3B5B"/>
    <w:rsid w:val="009C4C37"/>
    <w:rsid w:val="009C773B"/>
    <w:rsid w:val="009D0717"/>
    <w:rsid w:val="009D0812"/>
    <w:rsid w:val="009D215A"/>
    <w:rsid w:val="009D2D85"/>
    <w:rsid w:val="009D4A90"/>
    <w:rsid w:val="009D4AA4"/>
    <w:rsid w:val="009D7B64"/>
    <w:rsid w:val="009E0985"/>
    <w:rsid w:val="009E1C06"/>
    <w:rsid w:val="009E4DED"/>
    <w:rsid w:val="009E6F58"/>
    <w:rsid w:val="009F0869"/>
    <w:rsid w:val="009F2484"/>
    <w:rsid w:val="00A012ED"/>
    <w:rsid w:val="00A01775"/>
    <w:rsid w:val="00A01A3A"/>
    <w:rsid w:val="00A01B12"/>
    <w:rsid w:val="00A050DB"/>
    <w:rsid w:val="00A05776"/>
    <w:rsid w:val="00A1500D"/>
    <w:rsid w:val="00A15113"/>
    <w:rsid w:val="00A17254"/>
    <w:rsid w:val="00A219E3"/>
    <w:rsid w:val="00A23BAD"/>
    <w:rsid w:val="00A23D15"/>
    <w:rsid w:val="00A243E7"/>
    <w:rsid w:val="00A250A6"/>
    <w:rsid w:val="00A26D4A"/>
    <w:rsid w:val="00A30548"/>
    <w:rsid w:val="00A30D6C"/>
    <w:rsid w:val="00A3180B"/>
    <w:rsid w:val="00A3395E"/>
    <w:rsid w:val="00A342CF"/>
    <w:rsid w:val="00A351B5"/>
    <w:rsid w:val="00A35220"/>
    <w:rsid w:val="00A35292"/>
    <w:rsid w:val="00A408A1"/>
    <w:rsid w:val="00A41856"/>
    <w:rsid w:val="00A43099"/>
    <w:rsid w:val="00A4320B"/>
    <w:rsid w:val="00A44106"/>
    <w:rsid w:val="00A451C4"/>
    <w:rsid w:val="00A461FD"/>
    <w:rsid w:val="00A4733A"/>
    <w:rsid w:val="00A47E9B"/>
    <w:rsid w:val="00A50DF7"/>
    <w:rsid w:val="00A55741"/>
    <w:rsid w:val="00A55AEC"/>
    <w:rsid w:val="00A62015"/>
    <w:rsid w:val="00A644F7"/>
    <w:rsid w:val="00A6550A"/>
    <w:rsid w:val="00A655E4"/>
    <w:rsid w:val="00A66711"/>
    <w:rsid w:val="00A7008B"/>
    <w:rsid w:val="00A71B69"/>
    <w:rsid w:val="00A724E9"/>
    <w:rsid w:val="00A73998"/>
    <w:rsid w:val="00A77CF8"/>
    <w:rsid w:val="00A81CA3"/>
    <w:rsid w:val="00A841BF"/>
    <w:rsid w:val="00A84C9D"/>
    <w:rsid w:val="00A858CC"/>
    <w:rsid w:val="00A85C8D"/>
    <w:rsid w:val="00A8696F"/>
    <w:rsid w:val="00A92CFB"/>
    <w:rsid w:val="00A93514"/>
    <w:rsid w:val="00A943CC"/>
    <w:rsid w:val="00A96023"/>
    <w:rsid w:val="00A977B5"/>
    <w:rsid w:val="00AA0690"/>
    <w:rsid w:val="00AA08CA"/>
    <w:rsid w:val="00AA0EB7"/>
    <w:rsid w:val="00AA0EDF"/>
    <w:rsid w:val="00AA3D9E"/>
    <w:rsid w:val="00AA3F81"/>
    <w:rsid w:val="00AB1C94"/>
    <w:rsid w:val="00AB34C8"/>
    <w:rsid w:val="00AB6699"/>
    <w:rsid w:val="00AC4FA2"/>
    <w:rsid w:val="00AD1220"/>
    <w:rsid w:val="00AD163C"/>
    <w:rsid w:val="00AD1B80"/>
    <w:rsid w:val="00AD3DE2"/>
    <w:rsid w:val="00AD5074"/>
    <w:rsid w:val="00AD53E2"/>
    <w:rsid w:val="00AD6026"/>
    <w:rsid w:val="00AD7A0B"/>
    <w:rsid w:val="00AE11F5"/>
    <w:rsid w:val="00AE1678"/>
    <w:rsid w:val="00AE2A0E"/>
    <w:rsid w:val="00AE3156"/>
    <w:rsid w:val="00AE4AAC"/>
    <w:rsid w:val="00AE50A0"/>
    <w:rsid w:val="00AE5DC3"/>
    <w:rsid w:val="00AE74C8"/>
    <w:rsid w:val="00AF4480"/>
    <w:rsid w:val="00AF7FC9"/>
    <w:rsid w:val="00B02590"/>
    <w:rsid w:val="00B04A74"/>
    <w:rsid w:val="00B0588A"/>
    <w:rsid w:val="00B10DD6"/>
    <w:rsid w:val="00B11090"/>
    <w:rsid w:val="00B1182C"/>
    <w:rsid w:val="00B12F22"/>
    <w:rsid w:val="00B12FE8"/>
    <w:rsid w:val="00B14A14"/>
    <w:rsid w:val="00B14C11"/>
    <w:rsid w:val="00B15098"/>
    <w:rsid w:val="00B150D6"/>
    <w:rsid w:val="00B216FE"/>
    <w:rsid w:val="00B2186B"/>
    <w:rsid w:val="00B227E7"/>
    <w:rsid w:val="00B23BE7"/>
    <w:rsid w:val="00B2554D"/>
    <w:rsid w:val="00B25E6E"/>
    <w:rsid w:val="00B27BFF"/>
    <w:rsid w:val="00B3049B"/>
    <w:rsid w:val="00B33353"/>
    <w:rsid w:val="00B3492A"/>
    <w:rsid w:val="00B34B5D"/>
    <w:rsid w:val="00B36C33"/>
    <w:rsid w:val="00B40818"/>
    <w:rsid w:val="00B50FC1"/>
    <w:rsid w:val="00B52DFF"/>
    <w:rsid w:val="00B55222"/>
    <w:rsid w:val="00B62946"/>
    <w:rsid w:val="00B63DA3"/>
    <w:rsid w:val="00B651C8"/>
    <w:rsid w:val="00B70C05"/>
    <w:rsid w:val="00B70C0F"/>
    <w:rsid w:val="00B70D7A"/>
    <w:rsid w:val="00B7463C"/>
    <w:rsid w:val="00B7509B"/>
    <w:rsid w:val="00B7525F"/>
    <w:rsid w:val="00B75413"/>
    <w:rsid w:val="00B759E7"/>
    <w:rsid w:val="00B76A01"/>
    <w:rsid w:val="00B80D9C"/>
    <w:rsid w:val="00B81BEF"/>
    <w:rsid w:val="00B82A61"/>
    <w:rsid w:val="00B85B4D"/>
    <w:rsid w:val="00B91A6F"/>
    <w:rsid w:val="00B9216B"/>
    <w:rsid w:val="00B95987"/>
    <w:rsid w:val="00B9632D"/>
    <w:rsid w:val="00B96F3D"/>
    <w:rsid w:val="00BA0E62"/>
    <w:rsid w:val="00BA420F"/>
    <w:rsid w:val="00BA4429"/>
    <w:rsid w:val="00BA67F4"/>
    <w:rsid w:val="00BA7CB7"/>
    <w:rsid w:val="00BB54DC"/>
    <w:rsid w:val="00BB5BD7"/>
    <w:rsid w:val="00BB7EE5"/>
    <w:rsid w:val="00BC4717"/>
    <w:rsid w:val="00BC5819"/>
    <w:rsid w:val="00BC61CD"/>
    <w:rsid w:val="00BD0998"/>
    <w:rsid w:val="00BD16EB"/>
    <w:rsid w:val="00BD2F95"/>
    <w:rsid w:val="00BD4F76"/>
    <w:rsid w:val="00BD55A9"/>
    <w:rsid w:val="00BD5710"/>
    <w:rsid w:val="00BD6A89"/>
    <w:rsid w:val="00BE0A7C"/>
    <w:rsid w:val="00BE23AD"/>
    <w:rsid w:val="00BE2C64"/>
    <w:rsid w:val="00BE3112"/>
    <w:rsid w:val="00BE5543"/>
    <w:rsid w:val="00BF1912"/>
    <w:rsid w:val="00BF3360"/>
    <w:rsid w:val="00BF3DC2"/>
    <w:rsid w:val="00BF4C3C"/>
    <w:rsid w:val="00BF729D"/>
    <w:rsid w:val="00C0080F"/>
    <w:rsid w:val="00C01C26"/>
    <w:rsid w:val="00C020D1"/>
    <w:rsid w:val="00C13378"/>
    <w:rsid w:val="00C14EFC"/>
    <w:rsid w:val="00C15E79"/>
    <w:rsid w:val="00C165D1"/>
    <w:rsid w:val="00C17AD5"/>
    <w:rsid w:val="00C2062E"/>
    <w:rsid w:val="00C20D17"/>
    <w:rsid w:val="00C23ABA"/>
    <w:rsid w:val="00C25E3A"/>
    <w:rsid w:val="00C30160"/>
    <w:rsid w:val="00C302CB"/>
    <w:rsid w:val="00C31412"/>
    <w:rsid w:val="00C31628"/>
    <w:rsid w:val="00C3514F"/>
    <w:rsid w:val="00C356B0"/>
    <w:rsid w:val="00C35978"/>
    <w:rsid w:val="00C359CF"/>
    <w:rsid w:val="00C36FFC"/>
    <w:rsid w:val="00C3717A"/>
    <w:rsid w:val="00C4080F"/>
    <w:rsid w:val="00C43CF3"/>
    <w:rsid w:val="00C46496"/>
    <w:rsid w:val="00C47D20"/>
    <w:rsid w:val="00C52AD4"/>
    <w:rsid w:val="00C537D6"/>
    <w:rsid w:val="00C5461E"/>
    <w:rsid w:val="00C552A1"/>
    <w:rsid w:val="00C55BF7"/>
    <w:rsid w:val="00C616FE"/>
    <w:rsid w:val="00C62834"/>
    <w:rsid w:val="00C64E2E"/>
    <w:rsid w:val="00C67AE8"/>
    <w:rsid w:val="00C7239A"/>
    <w:rsid w:val="00C737D1"/>
    <w:rsid w:val="00C74584"/>
    <w:rsid w:val="00C829F6"/>
    <w:rsid w:val="00C84E35"/>
    <w:rsid w:val="00C86956"/>
    <w:rsid w:val="00C952DC"/>
    <w:rsid w:val="00CA1FA4"/>
    <w:rsid w:val="00CA2772"/>
    <w:rsid w:val="00CA2D15"/>
    <w:rsid w:val="00CA2EB4"/>
    <w:rsid w:val="00CA3FD1"/>
    <w:rsid w:val="00CA54D0"/>
    <w:rsid w:val="00CA7A98"/>
    <w:rsid w:val="00CB03E0"/>
    <w:rsid w:val="00CB0E89"/>
    <w:rsid w:val="00CB28CB"/>
    <w:rsid w:val="00CB3576"/>
    <w:rsid w:val="00CB5ECF"/>
    <w:rsid w:val="00CC0393"/>
    <w:rsid w:val="00CC2BDB"/>
    <w:rsid w:val="00CC3253"/>
    <w:rsid w:val="00CC6A18"/>
    <w:rsid w:val="00CC6D07"/>
    <w:rsid w:val="00CD0BF0"/>
    <w:rsid w:val="00CD37A6"/>
    <w:rsid w:val="00CD6EEA"/>
    <w:rsid w:val="00CF0626"/>
    <w:rsid w:val="00CF3873"/>
    <w:rsid w:val="00CF3C8B"/>
    <w:rsid w:val="00CF40BB"/>
    <w:rsid w:val="00CF43D9"/>
    <w:rsid w:val="00CF527A"/>
    <w:rsid w:val="00CF78B5"/>
    <w:rsid w:val="00D04B33"/>
    <w:rsid w:val="00D10FE1"/>
    <w:rsid w:val="00D11DF6"/>
    <w:rsid w:val="00D137AD"/>
    <w:rsid w:val="00D1607D"/>
    <w:rsid w:val="00D17135"/>
    <w:rsid w:val="00D21517"/>
    <w:rsid w:val="00D24750"/>
    <w:rsid w:val="00D24BB4"/>
    <w:rsid w:val="00D327BD"/>
    <w:rsid w:val="00D33726"/>
    <w:rsid w:val="00D33D7A"/>
    <w:rsid w:val="00D34897"/>
    <w:rsid w:val="00D34977"/>
    <w:rsid w:val="00D378DC"/>
    <w:rsid w:val="00D4082C"/>
    <w:rsid w:val="00D4131F"/>
    <w:rsid w:val="00D41C04"/>
    <w:rsid w:val="00D42ACC"/>
    <w:rsid w:val="00D42E35"/>
    <w:rsid w:val="00D43B21"/>
    <w:rsid w:val="00D44004"/>
    <w:rsid w:val="00D45206"/>
    <w:rsid w:val="00D458F2"/>
    <w:rsid w:val="00D45CDC"/>
    <w:rsid w:val="00D52B17"/>
    <w:rsid w:val="00D560A0"/>
    <w:rsid w:val="00D61318"/>
    <w:rsid w:val="00D6406B"/>
    <w:rsid w:val="00D670CB"/>
    <w:rsid w:val="00D67968"/>
    <w:rsid w:val="00D70D50"/>
    <w:rsid w:val="00D71DD5"/>
    <w:rsid w:val="00D7304E"/>
    <w:rsid w:val="00D77ED8"/>
    <w:rsid w:val="00D80BE8"/>
    <w:rsid w:val="00D846E5"/>
    <w:rsid w:val="00D91E66"/>
    <w:rsid w:val="00D94015"/>
    <w:rsid w:val="00D94EEF"/>
    <w:rsid w:val="00D957AC"/>
    <w:rsid w:val="00DA1D06"/>
    <w:rsid w:val="00DA20DC"/>
    <w:rsid w:val="00DA2C46"/>
    <w:rsid w:val="00DA3207"/>
    <w:rsid w:val="00DA5EF1"/>
    <w:rsid w:val="00DB07B1"/>
    <w:rsid w:val="00DB1F49"/>
    <w:rsid w:val="00DB34A2"/>
    <w:rsid w:val="00DB415C"/>
    <w:rsid w:val="00DB6789"/>
    <w:rsid w:val="00DB6CDF"/>
    <w:rsid w:val="00DC1021"/>
    <w:rsid w:val="00DC14F4"/>
    <w:rsid w:val="00DC2E12"/>
    <w:rsid w:val="00DC3882"/>
    <w:rsid w:val="00DD01DB"/>
    <w:rsid w:val="00DD0855"/>
    <w:rsid w:val="00DD08B0"/>
    <w:rsid w:val="00DD0F06"/>
    <w:rsid w:val="00DD4CFA"/>
    <w:rsid w:val="00DD5D50"/>
    <w:rsid w:val="00DE032A"/>
    <w:rsid w:val="00DE0C91"/>
    <w:rsid w:val="00DE1F80"/>
    <w:rsid w:val="00DE2B53"/>
    <w:rsid w:val="00DE4A33"/>
    <w:rsid w:val="00DE5546"/>
    <w:rsid w:val="00DE643A"/>
    <w:rsid w:val="00DF1273"/>
    <w:rsid w:val="00DF452C"/>
    <w:rsid w:val="00DF61A6"/>
    <w:rsid w:val="00DF6924"/>
    <w:rsid w:val="00E00C30"/>
    <w:rsid w:val="00E0117F"/>
    <w:rsid w:val="00E03318"/>
    <w:rsid w:val="00E03EEA"/>
    <w:rsid w:val="00E12443"/>
    <w:rsid w:val="00E12B32"/>
    <w:rsid w:val="00E12FA8"/>
    <w:rsid w:val="00E14FF6"/>
    <w:rsid w:val="00E2275F"/>
    <w:rsid w:val="00E25A44"/>
    <w:rsid w:val="00E3309A"/>
    <w:rsid w:val="00E34617"/>
    <w:rsid w:val="00E3472B"/>
    <w:rsid w:val="00E34828"/>
    <w:rsid w:val="00E3531E"/>
    <w:rsid w:val="00E36FA9"/>
    <w:rsid w:val="00E37926"/>
    <w:rsid w:val="00E40C21"/>
    <w:rsid w:val="00E435CE"/>
    <w:rsid w:val="00E444F1"/>
    <w:rsid w:val="00E45CFB"/>
    <w:rsid w:val="00E46370"/>
    <w:rsid w:val="00E4713D"/>
    <w:rsid w:val="00E500E1"/>
    <w:rsid w:val="00E501B3"/>
    <w:rsid w:val="00E52269"/>
    <w:rsid w:val="00E52E49"/>
    <w:rsid w:val="00E54395"/>
    <w:rsid w:val="00E55396"/>
    <w:rsid w:val="00E5642D"/>
    <w:rsid w:val="00E61A72"/>
    <w:rsid w:val="00E6354D"/>
    <w:rsid w:val="00E64143"/>
    <w:rsid w:val="00E65AB9"/>
    <w:rsid w:val="00E7251A"/>
    <w:rsid w:val="00E72F7B"/>
    <w:rsid w:val="00E733EF"/>
    <w:rsid w:val="00E91D4E"/>
    <w:rsid w:val="00E9258F"/>
    <w:rsid w:val="00E940FC"/>
    <w:rsid w:val="00EA5464"/>
    <w:rsid w:val="00EA5993"/>
    <w:rsid w:val="00EB18DB"/>
    <w:rsid w:val="00EB2EA0"/>
    <w:rsid w:val="00EB3459"/>
    <w:rsid w:val="00EB3AB6"/>
    <w:rsid w:val="00EB5862"/>
    <w:rsid w:val="00EC09BF"/>
    <w:rsid w:val="00EC1B06"/>
    <w:rsid w:val="00EC390B"/>
    <w:rsid w:val="00EC4689"/>
    <w:rsid w:val="00EC5D5F"/>
    <w:rsid w:val="00EC6CD9"/>
    <w:rsid w:val="00EC72D1"/>
    <w:rsid w:val="00EC7AC8"/>
    <w:rsid w:val="00ED0189"/>
    <w:rsid w:val="00ED13C3"/>
    <w:rsid w:val="00ED3A3C"/>
    <w:rsid w:val="00EE376E"/>
    <w:rsid w:val="00EE41E4"/>
    <w:rsid w:val="00EE7B12"/>
    <w:rsid w:val="00EF0126"/>
    <w:rsid w:val="00EF2F5B"/>
    <w:rsid w:val="00EF3992"/>
    <w:rsid w:val="00EF67BE"/>
    <w:rsid w:val="00F00E9D"/>
    <w:rsid w:val="00F02612"/>
    <w:rsid w:val="00F0431C"/>
    <w:rsid w:val="00F06264"/>
    <w:rsid w:val="00F0640A"/>
    <w:rsid w:val="00F06C5A"/>
    <w:rsid w:val="00F102F3"/>
    <w:rsid w:val="00F11502"/>
    <w:rsid w:val="00F136C5"/>
    <w:rsid w:val="00F13B6E"/>
    <w:rsid w:val="00F13D95"/>
    <w:rsid w:val="00F2227A"/>
    <w:rsid w:val="00F234F0"/>
    <w:rsid w:val="00F248F2"/>
    <w:rsid w:val="00F249D3"/>
    <w:rsid w:val="00F256D1"/>
    <w:rsid w:val="00F31610"/>
    <w:rsid w:val="00F31788"/>
    <w:rsid w:val="00F42DE5"/>
    <w:rsid w:val="00F44BF6"/>
    <w:rsid w:val="00F456DE"/>
    <w:rsid w:val="00F46475"/>
    <w:rsid w:val="00F46C56"/>
    <w:rsid w:val="00F47234"/>
    <w:rsid w:val="00F52317"/>
    <w:rsid w:val="00F5531F"/>
    <w:rsid w:val="00F574EB"/>
    <w:rsid w:val="00F6354F"/>
    <w:rsid w:val="00F65FDA"/>
    <w:rsid w:val="00F66E00"/>
    <w:rsid w:val="00F6776D"/>
    <w:rsid w:val="00F70417"/>
    <w:rsid w:val="00F705CD"/>
    <w:rsid w:val="00F73CCA"/>
    <w:rsid w:val="00F741EA"/>
    <w:rsid w:val="00F75F35"/>
    <w:rsid w:val="00F76238"/>
    <w:rsid w:val="00F80022"/>
    <w:rsid w:val="00F8013A"/>
    <w:rsid w:val="00F80E80"/>
    <w:rsid w:val="00F813AB"/>
    <w:rsid w:val="00F83CD4"/>
    <w:rsid w:val="00F86DF3"/>
    <w:rsid w:val="00F9056E"/>
    <w:rsid w:val="00F93725"/>
    <w:rsid w:val="00F95E58"/>
    <w:rsid w:val="00F97E8E"/>
    <w:rsid w:val="00FA0FEA"/>
    <w:rsid w:val="00FA519A"/>
    <w:rsid w:val="00FB0D26"/>
    <w:rsid w:val="00FB1027"/>
    <w:rsid w:val="00FB10D2"/>
    <w:rsid w:val="00FB1726"/>
    <w:rsid w:val="00FB22F0"/>
    <w:rsid w:val="00FB3EC3"/>
    <w:rsid w:val="00FB5C59"/>
    <w:rsid w:val="00FC112B"/>
    <w:rsid w:val="00FC2284"/>
    <w:rsid w:val="00FC49B1"/>
    <w:rsid w:val="00FC6AB8"/>
    <w:rsid w:val="00FC7DD2"/>
    <w:rsid w:val="00FD0030"/>
    <w:rsid w:val="00FD143F"/>
    <w:rsid w:val="00FD15BC"/>
    <w:rsid w:val="00FD3432"/>
    <w:rsid w:val="00FD34DF"/>
    <w:rsid w:val="00FE25A1"/>
    <w:rsid w:val="00FE2C98"/>
    <w:rsid w:val="00FE3C39"/>
    <w:rsid w:val="00FE4048"/>
    <w:rsid w:val="00FE49AD"/>
    <w:rsid w:val="00FE511C"/>
    <w:rsid w:val="00FF030B"/>
    <w:rsid w:val="00FF3844"/>
    <w:rsid w:val="00FF3879"/>
    <w:rsid w:val="00FF4EB6"/>
    <w:rsid w:val="00FF722D"/>
    <w:rsid w:val="00FF75A0"/>
    <w:rsid w:val="00FF75B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AA6FCAF9-A780-4374-9377-1123F03AF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32D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032D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1032D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1032D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1032D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1032D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1032D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1032D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1032D4"/>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1032D4"/>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1032D4"/>
    <w:rPr>
      <w:vertAlign w:val="superscript"/>
    </w:rPr>
  </w:style>
  <w:style w:type="character" w:styleId="Hipervnculo">
    <w:name w:val="Hyperlink"/>
    <w:basedOn w:val="Fuentedeprrafopredeter"/>
    <w:uiPriority w:val="99"/>
    <w:unhideWhenUsed/>
    <w:rsid w:val="001032D4"/>
    <w:rPr>
      <w:color w:val="0563C1" w:themeColor="hyperlink"/>
      <w:u w:val="single"/>
    </w:rPr>
  </w:style>
  <w:style w:type="paragraph" w:styleId="Textosinformato">
    <w:name w:val="Plain Text"/>
    <w:basedOn w:val="Normal"/>
    <w:link w:val="TextosinformatoCar"/>
    <w:rsid w:val="00416F83"/>
    <w:pPr>
      <w:spacing w:after="0"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416F83"/>
    <w:rPr>
      <w:rFonts w:ascii="Courier New" w:eastAsia="Times New Roman" w:hAnsi="Courier New" w:cs="Times New Roman"/>
      <w:sz w:val="20"/>
      <w:szCs w:val="20"/>
      <w:lang w:val="es-ES" w:eastAsia="es-ES"/>
    </w:rPr>
  </w:style>
  <w:style w:type="paragraph" w:customStyle="1" w:styleId="Default">
    <w:name w:val="Default"/>
    <w:rsid w:val="00526858"/>
    <w:pPr>
      <w:autoSpaceDE w:val="0"/>
      <w:autoSpaceDN w:val="0"/>
      <w:adjustRightInd w:val="0"/>
      <w:spacing w:after="0" w:line="240" w:lineRule="auto"/>
    </w:pPr>
    <w:rPr>
      <w:rFonts w:ascii="Arial" w:hAnsi="Arial" w:cs="Arial"/>
      <w:color w:val="000000"/>
      <w:sz w:val="24"/>
      <w:szCs w:val="24"/>
    </w:rPr>
  </w:style>
  <w:style w:type="paragraph" w:styleId="Sinespaciado">
    <w:name w:val="No Spacing"/>
    <w:aliases w:val="Francesa"/>
    <w:link w:val="SinespaciadoCar"/>
    <w:uiPriority w:val="1"/>
    <w:qFormat/>
    <w:rsid w:val="00F70417"/>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F70417"/>
    <w:rPr>
      <w:b/>
      <w:bCs/>
    </w:rPr>
  </w:style>
  <w:style w:type="character" w:customStyle="1" w:styleId="SinespaciadoCar">
    <w:name w:val="Sin espaciado Car"/>
    <w:aliases w:val="Francesa Car"/>
    <w:link w:val="Sinespaciado"/>
    <w:uiPriority w:val="1"/>
    <w:locked/>
    <w:rsid w:val="00F70417"/>
    <w:rPr>
      <w:rFonts w:ascii="Times New Roman" w:eastAsia="Times New Roman" w:hAnsi="Times New Roman" w:cs="Times New Roman"/>
      <w:sz w:val="24"/>
      <w:szCs w:val="24"/>
      <w:lang w:eastAsia="es-ES"/>
    </w:rPr>
  </w:style>
  <w:style w:type="paragraph" w:styleId="Textoindependiente">
    <w:name w:val="Body Text"/>
    <w:basedOn w:val="Normal"/>
    <w:link w:val="TextoindependienteCar"/>
    <w:uiPriority w:val="1"/>
    <w:qFormat/>
    <w:rsid w:val="00AA0EB7"/>
    <w:pPr>
      <w:widowControl w:val="0"/>
      <w:spacing w:after="0" w:line="240" w:lineRule="auto"/>
      <w:ind w:left="20"/>
    </w:pPr>
    <w:rPr>
      <w:rFonts w:ascii="Times New Roman" w:eastAsia="Times New Roman" w:hAnsi="Times New Roman"/>
      <w:sz w:val="25"/>
      <w:szCs w:val="25"/>
      <w:lang w:val="en-US"/>
    </w:rPr>
  </w:style>
  <w:style w:type="character" w:customStyle="1" w:styleId="TextoindependienteCar">
    <w:name w:val="Texto independiente Car"/>
    <w:basedOn w:val="Fuentedeprrafopredeter"/>
    <w:link w:val="Textoindependiente"/>
    <w:uiPriority w:val="1"/>
    <w:rsid w:val="00AA0EB7"/>
    <w:rPr>
      <w:rFonts w:ascii="Times New Roman" w:eastAsia="Times New Roman" w:hAnsi="Times New Roman"/>
      <w:sz w:val="25"/>
      <w:szCs w:val="25"/>
      <w:lang w:val="en-US"/>
    </w:rPr>
  </w:style>
  <w:style w:type="paragraph" w:styleId="Textodeglobo">
    <w:name w:val="Balloon Text"/>
    <w:basedOn w:val="Normal"/>
    <w:link w:val="TextodegloboCar"/>
    <w:uiPriority w:val="99"/>
    <w:semiHidden/>
    <w:unhideWhenUsed/>
    <w:rsid w:val="009543B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43B9"/>
    <w:rPr>
      <w:rFonts w:ascii="Segoe UI" w:hAnsi="Segoe UI" w:cs="Segoe UI"/>
      <w:sz w:val="18"/>
      <w:szCs w:val="18"/>
    </w:rPr>
  </w:style>
  <w:style w:type="character" w:customStyle="1" w:styleId="lbl-encabezado-negro">
    <w:name w:val="lbl-encabezado-negro"/>
    <w:basedOn w:val="Fuentedeprrafopredeter"/>
    <w:rsid w:val="007533A3"/>
  </w:style>
  <w:style w:type="character" w:customStyle="1" w:styleId="red">
    <w:name w:val="red"/>
    <w:basedOn w:val="Fuentedeprrafopredeter"/>
    <w:rsid w:val="007533A3"/>
  </w:style>
  <w:style w:type="paragraph" w:customStyle="1" w:styleId="francesa">
    <w:name w:val="francesa"/>
    <w:basedOn w:val="Normal"/>
    <w:rsid w:val="007533A3"/>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CC03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0">
    <w:name w:val="Pa0"/>
    <w:basedOn w:val="Default"/>
    <w:next w:val="Default"/>
    <w:uiPriority w:val="99"/>
    <w:rsid w:val="0039322C"/>
    <w:pPr>
      <w:spacing w:line="221" w:lineRule="atLeast"/>
    </w:pPr>
    <w:rPr>
      <w:color w:val="auto"/>
    </w:rPr>
  </w:style>
  <w:style w:type="paragraph" w:customStyle="1" w:styleId="n2">
    <w:name w:val="n2"/>
    <w:basedOn w:val="Normal"/>
    <w:rsid w:val="0030088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300888"/>
    <w:rPr>
      <w:i/>
      <w:iCs/>
    </w:rPr>
  </w:style>
  <w:style w:type="paragraph" w:customStyle="1" w:styleId="j">
    <w:name w:val="j"/>
    <w:basedOn w:val="Normal"/>
    <w:rsid w:val="0030088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j2">
    <w:name w:val="j2"/>
    <w:basedOn w:val="Normal"/>
    <w:rsid w:val="0030088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o">
    <w:name w:val="o"/>
    <w:basedOn w:val="Normal"/>
    <w:rsid w:val="0030088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acep">
    <w:name w:val="n_acep"/>
    <w:basedOn w:val="Fuentedeprrafopredeter"/>
    <w:rsid w:val="00300888"/>
  </w:style>
  <w:style w:type="character" w:customStyle="1" w:styleId="h">
    <w:name w:val="h"/>
    <w:basedOn w:val="Fuentedeprrafopredeter"/>
    <w:rsid w:val="00300888"/>
  </w:style>
  <w:style w:type="character" w:customStyle="1" w:styleId="i1">
    <w:name w:val="i1"/>
    <w:basedOn w:val="Fuentedeprrafopredeter"/>
    <w:rsid w:val="003008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682561">
      <w:bodyDiv w:val="1"/>
      <w:marLeft w:val="0"/>
      <w:marRight w:val="0"/>
      <w:marTop w:val="0"/>
      <w:marBottom w:val="0"/>
      <w:divBdr>
        <w:top w:val="none" w:sz="0" w:space="0" w:color="auto"/>
        <w:left w:val="none" w:sz="0" w:space="0" w:color="auto"/>
        <w:bottom w:val="none" w:sz="0" w:space="0" w:color="auto"/>
        <w:right w:val="none" w:sz="0" w:space="0" w:color="auto"/>
      </w:divBdr>
    </w:div>
    <w:div w:id="50153554">
      <w:bodyDiv w:val="1"/>
      <w:marLeft w:val="0"/>
      <w:marRight w:val="0"/>
      <w:marTop w:val="0"/>
      <w:marBottom w:val="0"/>
      <w:divBdr>
        <w:top w:val="none" w:sz="0" w:space="0" w:color="auto"/>
        <w:left w:val="none" w:sz="0" w:space="0" w:color="auto"/>
        <w:bottom w:val="none" w:sz="0" w:space="0" w:color="auto"/>
        <w:right w:val="none" w:sz="0" w:space="0" w:color="auto"/>
      </w:divBdr>
      <w:divsChild>
        <w:div w:id="631252796">
          <w:marLeft w:val="0"/>
          <w:marRight w:val="0"/>
          <w:marTop w:val="240"/>
          <w:marBottom w:val="0"/>
          <w:divBdr>
            <w:top w:val="none" w:sz="0" w:space="0" w:color="auto"/>
            <w:left w:val="none" w:sz="0" w:space="0" w:color="auto"/>
            <w:bottom w:val="none" w:sz="0" w:space="0" w:color="auto"/>
            <w:right w:val="none" w:sz="0" w:space="0" w:color="auto"/>
          </w:divBdr>
        </w:div>
        <w:div w:id="701590599">
          <w:marLeft w:val="0"/>
          <w:marRight w:val="0"/>
          <w:marTop w:val="240"/>
          <w:marBottom w:val="0"/>
          <w:divBdr>
            <w:top w:val="none" w:sz="0" w:space="0" w:color="auto"/>
            <w:left w:val="none" w:sz="0" w:space="0" w:color="auto"/>
            <w:bottom w:val="none" w:sz="0" w:space="0" w:color="auto"/>
            <w:right w:val="none" w:sz="0" w:space="0" w:color="auto"/>
          </w:divBdr>
        </w:div>
        <w:div w:id="2117165696">
          <w:marLeft w:val="0"/>
          <w:marRight w:val="0"/>
          <w:marTop w:val="240"/>
          <w:marBottom w:val="0"/>
          <w:divBdr>
            <w:top w:val="none" w:sz="0" w:space="0" w:color="auto"/>
            <w:left w:val="none" w:sz="0" w:space="0" w:color="auto"/>
            <w:bottom w:val="none" w:sz="0" w:space="0" w:color="auto"/>
            <w:right w:val="none" w:sz="0" w:space="0" w:color="auto"/>
          </w:divBdr>
        </w:div>
        <w:div w:id="1628975234">
          <w:marLeft w:val="0"/>
          <w:marRight w:val="0"/>
          <w:marTop w:val="115"/>
          <w:marBottom w:val="0"/>
          <w:divBdr>
            <w:top w:val="none" w:sz="0" w:space="0" w:color="auto"/>
            <w:left w:val="none" w:sz="0" w:space="0" w:color="auto"/>
            <w:bottom w:val="none" w:sz="0" w:space="0" w:color="auto"/>
            <w:right w:val="none" w:sz="0" w:space="0" w:color="auto"/>
          </w:divBdr>
        </w:div>
        <w:div w:id="1864244103">
          <w:marLeft w:val="0"/>
          <w:marRight w:val="0"/>
          <w:marTop w:val="115"/>
          <w:marBottom w:val="0"/>
          <w:divBdr>
            <w:top w:val="none" w:sz="0" w:space="0" w:color="auto"/>
            <w:left w:val="none" w:sz="0" w:space="0" w:color="auto"/>
            <w:bottom w:val="none" w:sz="0" w:space="0" w:color="auto"/>
            <w:right w:val="none" w:sz="0" w:space="0" w:color="auto"/>
          </w:divBdr>
        </w:div>
        <w:div w:id="425078787">
          <w:marLeft w:val="0"/>
          <w:marRight w:val="0"/>
          <w:marTop w:val="115"/>
          <w:marBottom w:val="0"/>
          <w:divBdr>
            <w:top w:val="none" w:sz="0" w:space="0" w:color="auto"/>
            <w:left w:val="none" w:sz="0" w:space="0" w:color="auto"/>
            <w:bottom w:val="none" w:sz="0" w:space="0" w:color="auto"/>
            <w:right w:val="none" w:sz="0" w:space="0" w:color="auto"/>
          </w:divBdr>
        </w:div>
        <w:div w:id="11760157">
          <w:marLeft w:val="0"/>
          <w:marRight w:val="0"/>
          <w:marTop w:val="115"/>
          <w:marBottom w:val="0"/>
          <w:divBdr>
            <w:top w:val="none" w:sz="0" w:space="0" w:color="auto"/>
            <w:left w:val="none" w:sz="0" w:space="0" w:color="auto"/>
            <w:bottom w:val="none" w:sz="0" w:space="0" w:color="auto"/>
            <w:right w:val="none" w:sz="0" w:space="0" w:color="auto"/>
          </w:divBdr>
        </w:div>
        <w:div w:id="1669404562">
          <w:marLeft w:val="0"/>
          <w:marRight w:val="0"/>
          <w:marTop w:val="115"/>
          <w:marBottom w:val="0"/>
          <w:divBdr>
            <w:top w:val="none" w:sz="0" w:space="0" w:color="auto"/>
            <w:left w:val="none" w:sz="0" w:space="0" w:color="auto"/>
            <w:bottom w:val="none" w:sz="0" w:space="0" w:color="auto"/>
            <w:right w:val="none" w:sz="0" w:space="0" w:color="auto"/>
          </w:divBdr>
        </w:div>
        <w:div w:id="1194877085">
          <w:marLeft w:val="0"/>
          <w:marRight w:val="0"/>
          <w:marTop w:val="115"/>
          <w:marBottom w:val="0"/>
          <w:divBdr>
            <w:top w:val="none" w:sz="0" w:space="0" w:color="auto"/>
            <w:left w:val="none" w:sz="0" w:space="0" w:color="auto"/>
            <w:bottom w:val="none" w:sz="0" w:space="0" w:color="auto"/>
            <w:right w:val="none" w:sz="0" w:space="0" w:color="auto"/>
          </w:divBdr>
        </w:div>
        <w:div w:id="168300139">
          <w:marLeft w:val="0"/>
          <w:marRight w:val="0"/>
          <w:marTop w:val="115"/>
          <w:marBottom w:val="0"/>
          <w:divBdr>
            <w:top w:val="none" w:sz="0" w:space="0" w:color="auto"/>
            <w:left w:val="none" w:sz="0" w:space="0" w:color="auto"/>
            <w:bottom w:val="none" w:sz="0" w:space="0" w:color="auto"/>
            <w:right w:val="none" w:sz="0" w:space="0" w:color="auto"/>
          </w:divBdr>
        </w:div>
        <w:div w:id="452403666">
          <w:marLeft w:val="0"/>
          <w:marRight w:val="0"/>
          <w:marTop w:val="115"/>
          <w:marBottom w:val="0"/>
          <w:divBdr>
            <w:top w:val="none" w:sz="0" w:space="0" w:color="auto"/>
            <w:left w:val="none" w:sz="0" w:space="0" w:color="auto"/>
            <w:bottom w:val="none" w:sz="0" w:space="0" w:color="auto"/>
            <w:right w:val="none" w:sz="0" w:space="0" w:color="auto"/>
          </w:divBdr>
        </w:div>
        <w:div w:id="103042062">
          <w:marLeft w:val="547"/>
          <w:marRight w:val="0"/>
          <w:marTop w:val="77"/>
          <w:marBottom w:val="0"/>
          <w:divBdr>
            <w:top w:val="none" w:sz="0" w:space="0" w:color="auto"/>
            <w:left w:val="none" w:sz="0" w:space="0" w:color="auto"/>
            <w:bottom w:val="none" w:sz="0" w:space="0" w:color="auto"/>
            <w:right w:val="none" w:sz="0" w:space="0" w:color="auto"/>
          </w:divBdr>
        </w:div>
        <w:div w:id="1322078893">
          <w:marLeft w:val="547"/>
          <w:marRight w:val="0"/>
          <w:marTop w:val="77"/>
          <w:marBottom w:val="0"/>
          <w:divBdr>
            <w:top w:val="none" w:sz="0" w:space="0" w:color="auto"/>
            <w:left w:val="none" w:sz="0" w:space="0" w:color="auto"/>
            <w:bottom w:val="none" w:sz="0" w:space="0" w:color="auto"/>
            <w:right w:val="none" w:sz="0" w:space="0" w:color="auto"/>
          </w:divBdr>
        </w:div>
        <w:div w:id="1326862061">
          <w:marLeft w:val="547"/>
          <w:marRight w:val="0"/>
          <w:marTop w:val="77"/>
          <w:marBottom w:val="0"/>
          <w:divBdr>
            <w:top w:val="none" w:sz="0" w:space="0" w:color="auto"/>
            <w:left w:val="none" w:sz="0" w:space="0" w:color="auto"/>
            <w:bottom w:val="none" w:sz="0" w:space="0" w:color="auto"/>
            <w:right w:val="none" w:sz="0" w:space="0" w:color="auto"/>
          </w:divBdr>
        </w:div>
        <w:div w:id="188109339">
          <w:marLeft w:val="547"/>
          <w:marRight w:val="0"/>
          <w:marTop w:val="77"/>
          <w:marBottom w:val="0"/>
          <w:divBdr>
            <w:top w:val="none" w:sz="0" w:space="0" w:color="auto"/>
            <w:left w:val="none" w:sz="0" w:space="0" w:color="auto"/>
            <w:bottom w:val="none" w:sz="0" w:space="0" w:color="auto"/>
            <w:right w:val="none" w:sz="0" w:space="0" w:color="auto"/>
          </w:divBdr>
        </w:div>
        <w:div w:id="1962223236">
          <w:marLeft w:val="0"/>
          <w:marRight w:val="0"/>
          <w:marTop w:val="115"/>
          <w:marBottom w:val="0"/>
          <w:divBdr>
            <w:top w:val="none" w:sz="0" w:space="0" w:color="auto"/>
            <w:left w:val="none" w:sz="0" w:space="0" w:color="auto"/>
            <w:bottom w:val="none" w:sz="0" w:space="0" w:color="auto"/>
            <w:right w:val="none" w:sz="0" w:space="0" w:color="auto"/>
          </w:divBdr>
        </w:div>
        <w:div w:id="814687863">
          <w:marLeft w:val="547"/>
          <w:marRight w:val="0"/>
          <w:marTop w:val="77"/>
          <w:marBottom w:val="0"/>
          <w:divBdr>
            <w:top w:val="none" w:sz="0" w:space="0" w:color="auto"/>
            <w:left w:val="none" w:sz="0" w:space="0" w:color="auto"/>
            <w:bottom w:val="none" w:sz="0" w:space="0" w:color="auto"/>
            <w:right w:val="none" w:sz="0" w:space="0" w:color="auto"/>
          </w:divBdr>
        </w:div>
        <w:div w:id="1096902457">
          <w:marLeft w:val="547"/>
          <w:marRight w:val="0"/>
          <w:marTop w:val="77"/>
          <w:marBottom w:val="0"/>
          <w:divBdr>
            <w:top w:val="none" w:sz="0" w:space="0" w:color="auto"/>
            <w:left w:val="none" w:sz="0" w:space="0" w:color="auto"/>
            <w:bottom w:val="none" w:sz="0" w:space="0" w:color="auto"/>
            <w:right w:val="none" w:sz="0" w:space="0" w:color="auto"/>
          </w:divBdr>
        </w:div>
        <w:div w:id="726412578">
          <w:marLeft w:val="547"/>
          <w:marRight w:val="0"/>
          <w:marTop w:val="77"/>
          <w:marBottom w:val="0"/>
          <w:divBdr>
            <w:top w:val="none" w:sz="0" w:space="0" w:color="auto"/>
            <w:left w:val="none" w:sz="0" w:space="0" w:color="auto"/>
            <w:bottom w:val="none" w:sz="0" w:space="0" w:color="auto"/>
            <w:right w:val="none" w:sz="0" w:space="0" w:color="auto"/>
          </w:divBdr>
        </w:div>
      </w:divsChild>
    </w:div>
    <w:div w:id="66923024">
      <w:bodyDiv w:val="1"/>
      <w:marLeft w:val="0"/>
      <w:marRight w:val="0"/>
      <w:marTop w:val="0"/>
      <w:marBottom w:val="0"/>
      <w:divBdr>
        <w:top w:val="none" w:sz="0" w:space="0" w:color="auto"/>
        <w:left w:val="none" w:sz="0" w:space="0" w:color="auto"/>
        <w:bottom w:val="none" w:sz="0" w:space="0" w:color="auto"/>
        <w:right w:val="none" w:sz="0" w:space="0" w:color="auto"/>
      </w:divBdr>
    </w:div>
    <w:div w:id="72431967">
      <w:bodyDiv w:val="1"/>
      <w:marLeft w:val="0"/>
      <w:marRight w:val="0"/>
      <w:marTop w:val="0"/>
      <w:marBottom w:val="0"/>
      <w:divBdr>
        <w:top w:val="none" w:sz="0" w:space="0" w:color="auto"/>
        <w:left w:val="none" w:sz="0" w:space="0" w:color="auto"/>
        <w:bottom w:val="none" w:sz="0" w:space="0" w:color="auto"/>
        <w:right w:val="none" w:sz="0" w:space="0" w:color="auto"/>
      </w:divBdr>
    </w:div>
    <w:div w:id="103312958">
      <w:bodyDiv w:val="1"/>
      <w:marLeft w:val="0"/>
      <w:marRight w:val="0"/>
      <w:marTop w:val="0"/>
      <w:marBottom w:val="0"/>
      <w:divBdr>
        <w:top w:val="none" w:sz="0" w:space="0" w:color="auto"/>
        <w:left w:val="none" w:sz="0" w:space="0" w:color="auto"/>
        <w:bottom w:val="none" w:sz="0" w:space="0" w:color="auto"/>
        <w:right w:val="none" w:sz="0" w:space="0" w:color="auto"/>
      </w:divBdr>
      <w:divsChild>
        <w:div w:id="520709501">
          <w:marLeft w:val="0"/>
          <w:marRight w:val="0"/>
          <w:marTop w:val="0"/>
          <w:marBottom w:val="240"/>
          <w:divBdr>
            <w:top w:val="none" w:sz="0" w:space="0" w:color="auto"/>
            <w:left w:val="none" w:sz="0" w:space="0" w:color="auto"/>
            <w:bottom w:val="none" w:sz="0" w:space="0" w:color="auto"/>
            <w:right w:val="none" w:sz="0" w:space="0" w:color="auto"/>
          </w:divBdr>
        </w:div>
      </w:divsChild>
    </w:div>
    <w:div w:id="160856346">
      <w:bodyDiv w:val="1"/>
      <w:marLeft w:val="0"/>
      <w:marRight w:val="0"/>
      <w:marTop w:val="0"/>
      <w:marBottom w:val="0"/>
      <w:divBdr>
        <w:top w:val="none" w:sz="0" w:space="0" w:color="auto"/>
        <w:left w:val="none" w:sz="0" w:space="0" w:color="auto"/>
        <w:bottom w:val="none" w:sz="0" w:space="0" w:color="auto"/>
        <w:right w:val="none" w:sz="0" w:space="0" w:color="auto"/>
      </w:divBdr>
    </w:div>
    <w:div w:id="211036852">
      <w:bodyDiv w:val="1"/>
      <w:marLeft w:val="0"/>
      <w:marRight w:val="0"/>
      <w:marTop w:val="0"/>
      <w:marBottom w:val="0"/>
      <w:divBdr>
        <w:top w:val="none" w:sz="0" w:space="0" w:color="auto"/>
        <w:left w:val="none" w:sz="0" w:space="0" w:color="auto"/>
        <w:bottom w:val="none" w:sz="0" w:space="0" w:color="auto"/>
        <w:right w:val="none" w:sz="0" w:space="0" w:color="auto"/>
      </w:divBdr>
    </w:div>
    <w:div w:id="261374687">
      <w:bodyDiv w:val="1"/>
      <w:marLeft w:val="0"/>
      <w:marRight w:val="0"/>
      <w:marTop w:val="0"/>
      <w:marBottom w:val="0"/>
      <w:divBdr>
        <w:top w:val="none" w:sz="0" w:space="0" w:color="auto"/>
        <w:left w:val="none" w:sz="0" w:space="0" w:color="auto"/>
        <w:bottom w:val="none" w:sz="0" w:space="0" w:color="auto"/>
        <w:right w:val="none" w:sz="0" w:space="0" w:color="auto"/>
      </w:divBdr>
    </w:div>
    <w:div w:id="296617551">
      <w:bodyDiv w:val="1"/>
      <w:marLeft w:val="0"/>
      <w:marRight w:val="0"/>
      <w:marTop w:val="0"/>
      <w:marBottom w:val="0"/>
      <w:divBdr>
        <w:top w:val="none" w:sz="0" w:space="0" w:color="auto"/>
        <w:left w:val="none" w:sz="0" w:space="0" w:color="auto"/>
        <w:bottom w:val="none" w:sz="0" w:space="0" w:color="auto"/>
        <w:right w:val="none" w:sz="0" w:space="0" w:color="auto"/>
      </w:divBdr>
    </w:div>
    <w:div w:id="430516321">
      <w:bodyDiv w:val="1"/>
      <w:marLeft w:val="0"/>
      <w:marRight w:val="0"/>
      <w:marTop w:val="0"/>
      <w:marBottom w:val="0"/>
      <w:divBdr>
        <w:top w:val="none" w:sz="0" w:space="0" w:color="auto"/>
        <w:left w:val="none" w:sz="0" w:space="0" w:color="auto"/>
        <w:bottom w:val="none" w:sz="0" w:space="0" w:color="auto"/>
        <w:right w:val="none" w:sz="0" w:space="0" w:color="auto"/>
      </w:divBdr>
    </w:div>
    <w:div w:id="436020342">
      <w:bodyDiv w:val="1"/>
      <w:marLeft w:val="0"/>
      <w:marRight w:val="0"/>
      <w:marTop w:val="0"/>
      <w:marBottom w:val="0"/>
      <w:divBdr>
        <w:top w:val="none" w:sz="0" w:space="0" w:color="auto"/>
        <w:left w:val="none" w:sz="0" w:space="0" w:color="auto"/>
        <w:bottom w:val="none" w:sz="0" w:space="0" w:color="auto"/>
        <w:right w:val="none" w:sz="0" w:space="0" w:color="auto"/>
      </w:divBdr>
    </w:div>
    <w:div w:id="437723487">
      <w:bodyDiv w:val="1"/>
      <w:marLeft w:val="0"/>
      <w:marRight w:val="0"/>
      <w:marTop w:val="0"/>
      <w:marBottom w:val="0"/>
      <w:divBdr>
        <w:top w:val="none" w:sz="0" w:space="0" w:color="auto"/>
        <w:left w:val="none" w:sz="0" w:space="0" w:color="auto"/>
        <w:bottom w:val="none" w:sz="0" w:space="0" w:color="auto"/>
        <w:right w:val="none" w:sz="0" w:space="0" w:color="auto"/>
      </w:divBdr>
    </w:div>
    <w:div w:id="474494057">
      <w:bodyDiv w:val="1"/>
      <w:marLeft w:val="0"/>
      <w:marRight w:val="0"/>
      <w:marTop w:val="0"/>
      <w:marBottom w:val="0"/>
      <w:divBdr>
        <w:top w:val="none" w:sz="0" w:space="0" w:color="auto"/>
        <w:left w:val="none" w:sz="0" w:space="0" w:color="auto"/>
        <w:bottom w:val="none" w:sz="0" w:space="0" w:color="auto"/>
        <w:right w:val="none" w:sz="0" w:space="0" w:color="auto"/>
      </w:divBdr>
    </w:div>
    <w:div w:id="486895901">
      <w:bodyDiv w:val="1"/>
      <w:marLeft w:val="0"/>
      <w:marRight w:val="0"/>
      <w:marTop w:val="0"/>
      <w:marBottom w:val="0"/>
      <w:divBdr>
        <w:top w:val="none" w:sz="0" w:space="0" w:color="auto"/>
        <w:left w:val="none" w:sz="0" w:space="0" w:color="auto"/>
        <w:bottom w:val="none" w:sz="0" w:space="0" w:color="auto"/>
        <w:right w:val="none" w:sz="0" w:space="0" w:color="auto"/>
      </w:divBdr>
    </w:div>
    <w:div w:id="563683145">
      <w:bodyDiv w:val="1"/>
      <w:marLeft w:val="0"/>
      <w:marRight w:val="0"/>
      <w:marTop w:val="0"/>
      <w:marBottom w:val="0"/>
      <w:divBdr>
        <w:top w:val="none" w:sz="0" w:space="0" w:color="auto"/>
        <w:left w:val="none" w:sz="0" w:space="0" w:color="auto"/>
        <w:bottom w:val="none" w:sz="0" w:space="0" w:color="auto"/>
        <w:right w:val="none" w:sz="0" w:space="0" w:color="auto"/>
      </w:divBdr>
      <w:divsChild>
        <w:div w:id="1789157307">
          <w:marLeft w:val="0"/>
          <w:marRight w:val="0"/>
          <w:marTop w:val="0"/>
          <w:marBottom w:val="240"/>
          <w:divBdr>
            <w:top w:val="none" w:sz="0" w:space="0" w:color="auto"/>
            <w:left w:val="none" w:sz="0" w:space="0" w:color="auto"/>
            <w:bottom w:val="none" w:sz="0" w:space="0" w:color="auto"/>
            <w:right w:val="none" w:sz="0" w:space="0" w:color="auto"/>
          </w:divBdr>
        </w:div>
      </w:divsChild>
    </w:div>
    <w:div w:id="789401811">
      <w:bodyDiv w:val="1"/>
      <w:marLeft w:val="0"/>
      <w:marRight w:val="0"/>
      <w:marTop w:val="0"/>
      <w:marBottom w:val="0"/>
      <w:divBdr>
        <w:top w:val="none" w:sz="0" w:space="0" w:color="auto"/>
        <w:left w:val="none" w:sz="0" w:space="0" w:color="auto"/>
        <w:bottom w:val="none" w:sz="0" w:space="0" w:color="auto"/>
        <w:right w:val="none" w:sz="0" w:space="0" w:color="auto"/>
      </w:divBdr>
    </w:div>
    <w:div w:id="797453020">
      <w:bodyDiv w:val="1"/>
      <w:marLeft w:val="0"/>
      <w:marRight w:val="0"/>
      <w:marTop w:val="0"/>
      <w:marBottom w:val="0"/>
      <w:divBdr>
        <w:top w:val="none" w:sz="0" w:space="0" w:color="auto"/>
        <w:left w:val="none" w:sz="0" w:space="0" w:color="auto"/>
        <w:bottom w:val="none" w:sz="0" w:space="0" w:color="auto"/>
        <w:right w:val="none" w:sz="0" w:space="0" w:color="auto"/>
      </w:divBdr>
    </w:div>
    <w:div w:id="812216912">
      <w:bodyDiv w:val="1"/>
      <w:marLeft w:val="0"/>
      <w:marRight w:val="0"/>
      <w:marTop w:val="0"/>
      <w:marBottom w:val="0"/>
      <w:divBdr>
        <w:top w:val="none" w:sz="0" w:space="0" w:color="auto"/>
        <w:left w:val="none" w:sz="0" w:space="0" w:color="auto"/>
        <w:bottom w:val="none" w:sz="0" w:space="0" w:color="auto"/>
        <w:right w:val="none" w:sz="0" w:space="0" w:color="auto"/>
      </w:divBdr>
    </w:div>
    <w:div w:id="821120022">
      <w:bodyDiv w:val="1"/>
      <w:marLeft w:val="0"/>
      <w:marRight w:val="0"/>
      <w:marTop w:val="0"/>
      <w:marBottom w:val="0"/>
      <w:divBdr>
        <w:top w:val="none" w:sz="0" w:space="0" w:color="auto"/>
        <w:left w:val="none" w:sz="0" w:space="0" w:color="auto"/>
        <w:bottom w:val="none" w:sz="0" w:space="0" w:color="auto"/>
        <w:right w:val="none" w:sz="0" w:space="0" w:color="auto"/>
      </w:divBdr>
      <w:divsChild>
        <w:div w:id="313484386">
          <w:marLeft w:val="0"/>
          <w:marRight w:val="0"/>
          <w:marTop w:val="0"/>
          <w:marBottom w:val="0"/>
          <w:divBdr>
            <w:top w:val="none" w:sz="0" w:space="0" w:color="auto"/>
            <w:left w:val="none" w:sz="0" w:space="0" w:color="auto"/>
            <w:bottom w:val="none" w:sz="0" w:space="0" w:color="auto"/>
            <w:right w:val="none" w:sz="0" w:space="0" w:color="auto"/>
          </w:divBdr>
          <w:divsChild>
            <w:div w:id="1580168804">
              <w:marLeft w:val="0"/>
              <w:marRight w:val="0"/>
              <w:marTop w:val="0"/>
              <w:marBottom w:val="0"/>
              <w:divBdr>
                <w:top w:val="none" w:sz="0" w:space="0" w:color="auto"/>
                <w:left w:val="none" w:sz="0" w:space="0" w:color="auto"/>
                <w:bottom w:val="none" w:sz="0" w:space="0" w:color="auto"/>
                <w:right w:val="none" w:sz="0" w:space="0" w:color="auto"/>
              </w:divBdr>
            </w:div>
          </w:divsChild>
        </w:div>
        <w:div w:id="443813383">
          <w:marLeft w:val="0"/>
          <w:marRight w:val="0"/>
          <w:marTop w:val="0"/>
          <w:marBottom w:val="0"/>
          <w:divBdr>
            <w:top w:val="none" w:sz="0" w:space="0" w:color="auto"/>
            <w:left w:val="none" w:sz="0" w:space="0" w:color="auto"/>
            <w:bottom w:val="none" w:sz="0" w:space="0" w:color="auto"/>
            <w:right w:val="none" w:sz="0" w:space="0" w:color="auto"/>
          </w:divBdr>
          <w:divsChild>
            <w:div w:id="634723027">
              <w:marLeft w:val="0"/>
              <w:marRight w:val="0"/>
              <w:marTop w:val="0"/>
              <w:marBottom w:val="0"/>
              <w:divBdr>
                <w:top w:val="none" w:sz="0" w:space="0" w:color="auto"/>
                <w:left w:val="none" w:sz="0" w:space="0" w:color="auto"/>
                <w:bottom w:val="none" w:sz="0" w:space="0" w:color="auto"/>
                <w:right w:val="none" w:sz="0" w:space="0" w:color="auto"/>
              </w:divBdr>
            </w:div>
            <w:div w:id="294457122">
              <w:marLeft w:val="0"/>
              <w:marRight w:val="0"/>
              <w:marTop w:val="0"/>
              <w:marBottom w:val="0"/>
              <w:divBdr>
                <w:top w:val="none" w:sz="0" w:space="0" w:color="auto"/>
                <w:left w:val="none" w:sz="0" w:space="0" w:color="auto"/>
                <w:bottom w:val="none" w:sz="0" w:space="0" w:color="auto"/>
                <w:right w:val="none" w:sz="0" w:space="0" w:color="auto"/>
              </w:divBdr>
              <w:divsChild>
                <w:div w:id="74352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899675">
      <w:bodyDiv w:val="1"/>
      <w:marLeft w:val="0"/>
      <w:marRight w:val="0"/>
      <w:marTop w:val="0"/>
      <w:marBottom w:val="0"/>
      <w:divBdr>
        <w:top w:val="none" w:sz="0" w:space="0" w:color="auto"/>
        <w:left w:val="none" w:sz="0" w:space="0" w:color="auto"/>
        <w:bottom w:val="none" w:sz="0" w:space="0" w:color="auto"/>
        <w:right w:val="none" w:sz="0" w:space="0" w:color="auto"/>
      </w:divBdr>
    </w:div>
    <w:div w:id="1125392966">
      <w:bodyDiv w:val="1"/>
      <w:marLeft w:val="0"/>
      <w:marRight w:val="0"/>
      <w:marTop w:val="0"/>
      <w:marBottom w:val="0"/>
      <w:divBdr>
        <w:top w:val="none" w:sz="0" w:space="0" w:color="auto"/>
        <w:left w:val="none" w:sz="0" w:space="0" w:color="auto"/>
        <w:bottom w:val="none" w:sz="0" w:space="0" w:color="auto"/>
        <w:right w:val="none" w:sz="0" w:space="0" w:color="auto"/>
      </w:divBdr>
    </w:div>
    <w:div w:id="1165823331">
      <w:bodyDiv w:val="1"/>
      <w:marLeft w:val="0"/>
      <w:marRight w:val="0"/>
      <w:marTop w:val="0"/>
      <w:marBottom w:val="0"/>
      <w:divBdr>
        <w:top w:val="none" w:sz="0" w:space="0" w:color="auto"/>
        <w:left w:val="none" w:sz="0" w:space="0" w:color="auto"/>
        <w:bottom w:val="none" w:sz="0" w:space="0" w:color="auto"/>
        <w:right w:val="none" w:sz="0" w:space="0" w:color="auto"/>
      </w:divBdr>
      <w:divsChild>
        <w:div w:id="200627955">
          <w:marLeft w:val="0"/>
          <w:marRight w:val="0"/>
          <w:marTop w:val="0"/>
          <w:marBottom w:val="0"/>
          <w:divBdr>
            <w:top w:val="none" w:sz="0" w:space="0" w:color="auto"/>
            <w:left w:val="none" w:sz="0" w:space="0" w:color="auto"/>
            <w:bottom w:val="none" w:sz="0" w:space="0" w:color="auto"/>
            <w:right w:val="none" w:sz="0" w:space="0" w:color="auto"/>
          </w:divBdr>
          <w:divsChild>
            <w:div w:id="2144808036">
              <w:marLeft w:val="0"/>
              <w:marRight w:val="0"/>
              <w:marTop w:val="0"/>
              <w:marBottom w:val="0"/>
              <w:divBdr>
                <w:top w:val="none" w:sz="0" w:space="0" w:color="auto"/>
                <w:left w:val="none" w:sz="0" w:space="0" w:color="auto"/>
                <w:bottom w:val="none" w:sz="0" w:space="0" w:color="auto"/>
                <w:right w:val="none" w:sz="0" w:space="0" w:color="auto"/>
              </w:divBdr>
            </w:div>
            <w:div w:id="220530290">
              <w:marLeft w:val="0"/>
              <w:marRight w:val="0"/>
              <w:marTop w:val="0"/>
              <w:marBottom w:val="0"/>
              <w:divBdr>
                <w:top w:val="none" w:sz="0" w:space="0" w:color="auto"/>
                <w:left w:val="none" w:sz="0" w:space="0" w:color="auto"/>
                <w:bottom w:val="none" w:sz="0" w:space="0" w:color="auto"/>
                <w:right w:val="none" w:sz="0" w:space="0" w:color="auto"/>
              </w:divBdr>
              <w:divsChild>
                <w:div w:id="1497304672">
                  <w:marLeft w:val="0"/>
                  <w:marRight w:val="0"/>
                  <w:marTop w:val="0"/>
                  <w:marBottom w:val="0"/>
                  <w:divBdr>
                    <w:top w:val="none" w:sz="0" w:space="0" w:color="auto"/>
                    <w:left w:val="none" w:sz="0" w:space="0" w:color="auto"/>
                    <w:bottom w:val="none" w:sz="0" w:space="0" w:color="auto"/>
                    <w:right w:val="none" w:sz="0" w:space="0" w:color="auto"/>
                  </w:divBdr>
                  <w:divsChild>
                    <w:div w:id="1767723186">
                      <w:marLeft w:val="0"/>
                      <w:marRight w:val="0"/>
                      <w:marTop w:val="0"/>
                      <w:marBottom w:val="0"/>
                      <w:divBdr>
                        <w:top w:val="none" w:sz="0" w:space="0" w:color="auto"/>
                        <w:left w:val="none" w:sz="0" w:space="0" w:color="auto"/>
                        <w:bottom w:val="none" w:sz="0" w:space="0" w:color="auto"/>
                        <w:right w:val="none" w:sz="0" w:space="0" w:color="auto"/>
                      </w:divBdr>
                    </w:div>
                    <w:div w:id="1219826832">
                      <w:marLeft w:val="300"/>
                      <w:marRight w:val="0"/>
                      <w:marTop w:val="0"/>
                      <w:marBottom w:val="0"/>
                      <w:divBdr>
                        <w:top w:val="none" w:sz="0" w:space="0" w:color="auto"/>
                        <w:left w:val="none" w:sz="0" w:space="0" w:color="auto"/>
                        <w:bottom w:val="none" w:sz="0" w:space="0" w:color="auto"/>
                        <w:right w:val="none" w:sz="0" w:space="0" w:color="auto"/>
                      </w:divBdr>
                      <w:divsChild>
                        <w:div w:id="1889221238">
                          <w:marLeft w:val="0"/>
                          <w:marRight w:val="0"/>
                          <w:marTop w:val="0"/>
                          <w:marBottom w:val="0"/>
                          <w:divBdr>
                            <w:top w:val="none" w:sz="0" w:space="0" w:color="auto"/>
                            <w:left w:val="none" w:sz="0" w:space="0" w:color="auto"/>
                            <w:bottom w:val="none" w:sz="0" w:space="0" w:color="auto"/>
                            <w:right w:val="none" w:sz="0" w:space="0" w:color="auto"/>
                          </w:divBdr>
                          <w:divsChild>
                            <w:div w:id="1577738871">
                              <w:marLeft w:val="0"/>
                              <w:marRight w:val="0"/>
                              <w:marTop w:val="0"/>
                              <w:marBottom w:val="0"/>
                              <w:divBdr>
                                <w:top w:val="none" w:sz="0" w:space="0" w:color="auto"/>
                                <w:left w:val="none" w:sz="0" w:space="0" w:color="auto"/>
                                <w:bottom w:val="none" w:sz="0" w:space="0" w:color="auto"/>
                                <w:right w:val="none" w:sz="0" w:space="0" w:color="auto"/>
                              </w:divBdr>
                            </w:div>
                            <w:div w:id="466318386">
                              <w:marLeft w:val="0"/>
                              <w:marRight w:val="0"/>
                              <w:marTop w:val="0"/>
                              <w:marBottom w:val="0"/>
                              <w:divBdr>
                                <w:top w:val="none" w:sz="0" w:space="0" w:color="auto"/>
                                <w:left w:val="none" w:sz="0" w:space="0" w:color="auto"/>
                                <w:bottom w:val="none" w:sz="0" w:space="0" w:color="auto"/>
                                <w:right w:val="none" w:sz="0" w:space="0" w:color="auto"/>
                              </w:divBdr>
                            </w:div>
                            <w:div w:id="121893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2260629">
              <w:marLeft w:val="0"/>
              <w:marRight w:val="0"/>
              <w:marTop w:val="0"/>
              <w:marBottom w:val="0"/>
              <w:divBdr>
                <w:top w:val="none" w:sz="0" w:space="0" w:color="auto"/>
                <w:left w:val="none" w:sz="0" w:space="0" w:color="auto"/>
                <w:bottom w:val="none" w:sz="0" w:space="0" w:color="auto"/>
                <w:right w:val="none" w:sz="0" w:space="0" w:color="auto"/>
              </w:divBdr>
              <w:divsChild>
                <w:div w:id="27221856">
                  <w:marLeft w:val="0"/>
                  <w:marRight w:val="0"/>
                  <w:marTop w:val="0"/>
                  <w:marBottom w:val="0"/>
                  <w:divBdr>
                    <w:top w:val="none" w:sz="0" w:space="0" w:color="auto"/>
                    <w:left w:val="none" w:sz="0" w:space="0" w:color="auto"/>
                    <w:bottom w:val="none" w:sz="0" w:space="0" w:color="auto"/>
                    <w:right w:val="none" w:sz="0" w:space="0" w:color="auto"/>
                  </w:divBdr>
                  <w:divsChild>
                    <w:div w:id="1062409494">
                      <w:marLeft w:val="0"/>
                      <w:marRight w:val="0"/>
                      <w:marTop w:val="0"/>
                      <w:marBottom w:val="0"/>
                      <w:divBdr>
                        <w:top w:val="none" w:sz="0" w:space="0" w:color="auto"/>
                        <w:left w:val="none" w:sz="0" w:space="0" w:color="auto"/>
                        <w:bottom w:val="none" w:sz="0" w:space="0" w:color="auto"/>
                        <w:right w:val="none" w:sz="0" w:space="0" w:color="auto"/>
                      </w:divBdr>
                    </w:div>
                    <w:div w:id="1982879627">
                      <w:marLeft w:val="300"/>
                      <w:marRight w:val="0"/>
                      <w:marTop w:val="0"/>
                      <w:marBottom w:val="0"/>
                      <w:divBdr>
                        <w:top w:val="none" w:sz="0" w:space="0" w:color="auto"/>
                        <w:left w:val="none" w:sz="0" w:space="0" w:color="auto"/>
                        <w:bottom w:val="none" w:sz="0" w:space="0" w:color="auto"/>
                        <w:right w:val="none" w:sz="0" w:space="0" w:color="auto"/>
                      </w:divBdr>
                      <w:divsChild>
                        <w:div w:id="1236938581">
                          <w:marLeft w:val="0"/>
                          <w:marRight w:val="0"/>
                          <w:marTop w:val="0"/>
                          <w:marBottom w:val="0"/>
                          <w:divBdr>
                            <w:top w:val="none" w:sz="0" w:space="0" w:color="auto"/>
                            <w:left w:val="none" w:sz="0" w:space="0" w:color="auto"/>
                            <w:bottom w:val="none" w:sz="0" w:space="0" w:color="auto"/>
                            <w:right w:val="none" w:sz="0" w:space="0" w:color="auto"/>
                          </w:divBdr>
                          <w:divsChild>
                            <w:div w:id="1798529246">
                              <w:marLeft w:val="0"/>
                              <w:marRight w:val="0"/>
                              <w:marTop w:val="0"/>
                              <w:marBottom w:val="0"/>
                              <w:divBdr>
                                <w:top w:val="none" w:sz="0" w:space="0" w:color="auto"/>
                                <w:left w:val="none" w:sz="0" w:space="0" w:color="auto"/>
                                <w:bottom w:val="none" w:sz="0" w:space="0" w:color="auto"/>
                                <w:right w:val="none" w:sz="0" w:space="0" w:color="auto"/>
                              </w:divBdr>
                            </w:div>
                            <w:div w:id="99137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1090451">
      <w:bodyDiv w:val="1"/>
      <w:marLeft w:val="0"/>
      <w:marRight w:val="0"/>
      <w:marTop w:val="0"/>
      <w:marBottom w:val="0"/>
      <w:divBdr>
        <w:top w:val="none" w:sz="0" w:space="0" w:color="auto"/>
        <w:left w:val="none" w:sz="0" w:space="0" w:color="auto"/>
        <w:bottom w:val="none" w:sz="0" w:space="0" w:color="auto"/>
        <w:right w:val="none" w:sz="0" w:space="0" w:color="auto"/>
      </w:divBdr>
    </w:div>
    <w:div w:id="1294752531">
      <w:bodyDiv w:val="1"/>
      <w:marLeft w:val="0"/>
      <w:marRight w:val="0"/>
      <w:marTop w:val="0"/>
      <w:marBottom w:val="0"/>
      <w:divBdr>
        <w:top w:val="none" w:sz="0" w:space="0" w:color="auto"/>
        <w:left w:val="none" w:sz="0" w:space="0" w:color="auto"/>
        <w:bottom w:val="none" w:sz="0" w:space="0" w:color="auto"/>
        <w:right w:val="none" w:sz="0" w:space="0" w:color="auto"/>
      </w:divBdr>
    </w:div>
    <w:div w:id="1304391537">
      <w:bodyDiv w:val="1"/>
      <w:marLeft w:val="0"/>
      <w:marRight w:val="0"/>
      <w:marTop w:val="0"/>
      <w:marBottom w:val="0"/>
      <w:divBdr>
        <w:top w:val="none" w:sz="0" w:space="0" w:color="auto"/>
        <w:left w:val="none" w:sz="0" w:space="0" w:color="auto"/>
        <w:bottom w:val="none" w:sz="0" w:space="0" w:color="auto"/>
        <w:right w:val="none" w:sz="0" w:space="0" w:color="auto"/>
      </w:divBdr>
    </w:div>
    <w:div w:id="1311013157">
      <w:bodyDiv w:val="1"/>
      <w:marLeft w:val="0"/>
      <w:marRight w:val="0"/>
      <w:marTop w:val="0"/>
      <w:marBottom w:val="0"/>
      <w:divBdr>
        <w:top w:val="none" w:sz="0" w:space="0" w:color="auto"/>
        <w:left w:val="none" w:sz="0" w:space="0" w:color="auto"/>
        <w:bottom w:val="none" w:sz="0" w:space="0" w:color="auto"/>
        <w:right w:val="none" w:sz="0" w:space="0" w:color="auto"/>
      </w:divBdr>
    </w:div>
    <w:div w:id="1335258531">
      <w:bodyDiv w:val="1"/>
      <w:marLeft w:val="0"/>
      <w:marRight w:val="0"/>
      <w:marTop w:val="0"/>
      <w:marBottom w:val="0"/>
      <w:divBdr>
        <w:top w:val="none" w:sz="0" w:space="0" w:color="auto"/>
        <w:left w:val="none" w:sz="0" w:space="0" w:color="auto"/>
        <w:bottom w:val="none" w:sz="0" w:space="0" w:color="auto"/>
        <w:right w:val="none" w:sz="0" w:space="0" w:color="auto"/>
      </w:divBdr>
    </w:div>
    <w:div w:id="1365399982">
      <w:bodyDiv w:val="1"/>
      <w:marLeft w:val="0"/>
      <w:marRight w:val="0"/>
      <w:marTop w:val="0"/>
      <w:marBottom w:val="0"/>
      <w:divBdr>
        <w:top w:val="none" w:sz="0" w:space="0" w:color="auto"/>
        <w:left w:val="none" w:sz="0" w:space="0" w:color="auto"/>
        <w:bottom w:val="none" w:sz="0" w:space="0" w:color="auto"/>
        <w:right w:val="none" w:sz="0" w:space="0" w:color="auto"/>
      </w:divBdr>
    </w:div>
    <w:div w:id="1380058135">
      <w:bodyDiv w:val="1"/>
      <w:marLeft w:val="0"/>
      <w:marRight w:val="0"/>
      <w:marTop w:val="0"/>
      <w:marBottom w:val="0"/>
      <w:divBdr>
        <w:top w:val="none" w:sz="0" w:space="0" w:color="auto"/>
        <w:left w:val="none" w:sz="0" w:space="0" w:color="auto"/>
        <w:bottom w:val="none" w:sz="0" w:space="0" w:color="auto"/>
        <w:right w:val="none" w:sz="0" w:space="0" w:color="auto"/>
      </w:divBdr>
    </w:div>
    <w:div w:id="1428771688">
      <w:bodyDiv w:val="1"/>
      <w:marLeft w:val="0"/>
      <w:marRight w:val="0"/>
      <w:marTop w:val="0"/>
      <w:marBottom w:val="0"/>
      <w:divBdr>
        <w:top w:val="none" w:sz="0" w:space="0" w:color="auto"/>
        <w:left w:val="none" w:sz="0" w:space="0" w:color="auto"/>
        <w:bottom w:val="none" w:sz="0" w:space="0" w:color="auto"/>
        <w:right w:val="none" w:sz="0" w:space="0" w:color="auto"/>
      </w:divBdr>
    </w:div>
    <w:div w:id="1442528674">
      <w:bodyDiv w:val="1"/>
      <w:marLeft w:val="0"/>
      <w:marRight w:val="0"/>
      <w:marTop w:val="0"/>
      <w:marBottom w:val="0"/>
      <w:divBdr>
        <w:top w:val="none" w:sz="0" w:space="0" w:color="auto"/>
        <w:left w:val="none" w:sz="0" w:space="0" w:color="auto"/>
        <w:bottom w:val="none" w:sz="0" w:space="0" w:color="auto"/>
        <w:right w:val="none" w:sz="0" w:space="0" w:color="auto"/>
      </w:divBdr>
    </w:div>
    <w:div w:id="1460535344">
      <w:bodyDiv w:val="1"/>
      <w:marLeft w:val="0"/>
      <w:marRight w:val="0"/>
      <w:marTop w:val="0"/>
      <w:marBottom w:val="0"/>
      <w:divBdr>
        <w:top w:val="none" w:sz="0" w:space="0" w:color="auto"/>
        <w:left w:val="none" w:sz="0" w:space="0" w:color="auto"/>
        <w:bottom w:val="none" w:sz="0" w:space="0" w:color="auto"/>
        <w:right w:val="none" w:sz="0" w:space="0" w:color="auto"/>
      </w:divBdr>
    </w:div>
    <w:div w:id="1519200587">
      <w:bodyDiv w:val="1"/>
      <w:marLeft w:val="0"/>
      <w:marRight w:val="0"/>
      <w:marTop w:val="0"/>
      <w:marBottom w:val="0"/>
      <w:divBdr>
        <w:top w:val="none" w:sz="0" w:space="0" w:color="auto"/>
        <w:left w:val="none" w:sz="0" w:space="0" w:color="auto"/>
        <w:bottom w:val="none" w:sz="0" w:space="0" w:color="auto"/>
        <w:right w:val="none" w:sz="0" w:space="0" w:color="auto"/>
      </w:divBdr>
    </w:div>
    <w:div w:id="1678920815">
      <w:bodyDiv w:val="1"/>
      <w:marLeft w:val="0"/>
      <w:marRight w:val="0"/>
      <w:marTop w:val="0"/>
      <w:marBottom w:val="0"/>
      <w:divBdr>
        <w:top w:val="none" w:sz="0" w:space="0" w:color="auto"/>
        <w:left w:val="none" w:sz="0" w:space="0" w:color="auto"/>
        <w:bottom w:val="none" w:sz="0" w:space="0" w:color="auto"/>
        <w:right w:val="none" w:sz="0" w:space="0" w:color="auto"/>
      </w:divBdr>
    </w:div>
    <w:div w:id="1861427164">
      <w:bodyDiv w:val="1"/>
      <w:marLeft w:val="0"/>
      <w:marRight w:val="0"/>
      <w:marTop w:val="0"/>
      <w:marBottom w:val="0"/>
      <w:divBdr>
        <w:top w:val="none" w:sz="0" w:space="0" w:color="auto"/>
        <w:left w:val="none" w:sz="0" w:space="0" w:color="auto"/>
        <w:bottom w:val="none" w:sz="0" w:space="0" w:color="auto"/>
        <w:right w:val="none" w:sz="0" w:space="0" w:color="auto"/>
      </w:divBdr>
    </w:div>
    <w:div w:id="1946645882">
      <w:bodyDiv w:val="1"/>
      <w:marLeft w:val="0"/>
      <w:marRight w:val="0"/>
      <w:marTop w:val="0"/>
      <w:marBottom w:val="0"/>
      <w:divBdr>
        <w:top w:val="none" w:sz="0" w:space="0" w:color="auto"/>
        <w:left w:val="none" w:sz="0" w:space="0" w:color="auto"/>
        <w:bottom w:val="none" w:sz="0" w:space="0" w:color="auto"/>
        <w:right w:val="none" w:sz="0" w:space="0" w:color="auto"/>
      </w:divBdr>
      <w:divsChild>
        <w:div w:id="494415882">
          <w:marLeft w:val="0"/>
          <w:marRight w:val="0"/>
          <w:marTop w:val="0"/>
          <w:marBottom w:val="0"/>
          <w:divBdr>
            <w:top w:val="none" w:sz="0" w:space="0" w:color="auto"/>
            <w:left w:val="none" w:sz="0" w:space="0" w:color="auto"/>
            <w:bottom w:val="none" w:sz="0" w:space="0" w:color="auto"/>
            <w:right w:val="none" w:sz="0" w:space="0" w:color="auto"/>
          </w:divBdr>
          <w:divsChild>
            <w:div w:id="1701972840">
              <w:marLeft w:val="0"/>
              <w:marRight w:val="0"/>
              <w:marTop w:val="0"/>
              <w:marBottom w:val="0"/>
              <w:divBdr>
                <w:top w:val="none" w:sz="0" w:space="0" w:color="auto"/>
                <w:left w:val="none" w:sz="0" w:space="0" w:color="auto"/>
                <w:bottom w:val="none" w:sz="0" w:space="0" w:color="auto"/>
                <w:right w:val="none" w:sz="0" w:space="0" w:color="auto"/>
              </w:divBdr>
            </w:div>
          </w:divsChild>
        </w:div>
        <w:div w:id="661852711">
          <w:marLeft w:val="0"/>
          <w:marRight w:val="0"/>
          <w:marTop w:val="0"/>
          <w:marBottom w:val="0"/>
          <w:divBdr>
            <w:top w:val="none" w:sz="0" w:space="0" w:color="auto"/>
            <w:left w:val="none" w:sz="0" w:space="0" w:color="auto"/>
            <w:bottom w:val="none" w:sz="0" w:space="0" w:color="auto"/>
            <w:right w:val="none" w:sz="0" w:space="0" w:color="auto"/>
          </w:divBdr>
          <w:divsChild>
            <w:div w:id="1943297110">
              <w:marLeft w:val="0"/>
              <w:marRight w:val="0"/>
              <w:marTop w:val="0"/>
              <w:marBottom w:val="0"/>
              <w:divBdr>
                <w:top w:val="none" w:sz="0" w:space="0" w:color="auto"/>
                <w:left w:val="none" w:sz="0" w:space="0" w:color="auto"/>
                <w:bottom w:val="none" w:sz="0" w:space="0" w:color="auto"/>
                <w:right w:val="none" w:sz="0" w:space="0" w:color="auto"/>
              </w:divBdr>
            </w:div>
            <w:div w:id="1400636791">
              <w:marLeft w:val="0"/>
              <w:marRight w:val="0"/>
              <w:marTop w:val="0"/>
              <w:marBottom w:val="0"/>
              <w:divBdr>
                <w:top w:val="none" w:sz="0" w:space="0" w:color="auto"/>
                <w:left w:val="none" w:sz="0" w:space="0" w:color="auto"/>
                <w:bottom w:val="none" w:sz="0" w:space="0" w:color="auto"/>
                <w:right w:val="none" w:sz="0" w:space="0" w:color="auto"/>
              </w:divBdr>
              <w:divsChild>
                <w:div w:id="203410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918658">
      <w:bodyDiv w:val="1"/>
      <w:marLeft w:val="0"/>
      <w:marRight w:val="0"/>
      <w:marTop w:val="0"/>
      <w:marBottom w:val="0"/>
      <w:divBdr>
        <w:top w:val="none" w:sz="0" w:space="0" w:color="auto"/>
        <w:left w:val="none" w:sz="0" w:space="0" w:color="auto"/>
        <w:bottom w:val="none" w:sz="0" w:space="0" w:color="auto"/>
        <w:right w:val="none" w:sz="0" w:space="0" w:color="auto"/>
      </w:divBdr>
    </w:div>
    <w:div w:id="2103142699">
      <w:bodyDiv w:val="1"/>
      <w:marLeft w:val="0"/>
      <w:marRight w:val="0"/>
      <w:marTop w:val="0"/>
      <w:marBottom w:val="0"/>
      <w:divBdr>
        <w:top w:val="none" w:sz="0" w:space="0" w:color="auto"/>
        <w:left w:val="none" w:sz="0" w:space="0" w:color="auto"/>
        <w:bottom w:val="none" w:sz="0" w:space="0" w:color="auto"/>
        <w:right w:val="none" w:sz="0" w:space="0" w:color="auto"/>
      </w:divBdr>
      <w:divsChild>
        <w:div w:id="914242848">
          <w:marLeft w:val="0"/>
          <w:marRight w:val="0"/>
          <w:marTop w:val="0"/>
          <w:marBottom w:val="0"/>
          <w:divBdr>
            <w:top w:val="none" w:sz="0" w:space="0" w:color="auto"/>
            <w:left w:val="none" w:sz="0" w:space="0" w:color="auto"/>
            <w:bottom w:val="none" w:sz="0" w:space="0" w:color="auto"/>
            <w:right w:val="none" w:sz="0" w:space="0" w:color="auto"/>
          </w:divBdr>
          <w:divsChild>
            <w:div w:id="992760964">
              <w:marLeft w:val="0"/>
              <w:marRight w:val="0"/>
              <w:marTop w:val="0"/>
              <w:marBottom w:val="0"/>
              <w:divBdr>
                <w:top w:val="none" w:sz="0" w:space="0" w:color="auto"/>
                <w:left w:val="none" w:sz="0" w:space="0" w:color="auto"/>
                <w:bottom w:val="none" w:sz="0" w:space="0" w:color="auto"/>
                <w:right w:val="none" w:sz="0" w:space="0" w:color="auto"/>
              </w:divBdr>
            </w:div>
            <w:div w:id="610286741">
              <w:marLeft w:val="0"/>
              <w:marRight w:val="0"/>
              <w:marTop w:val="0"/>
              <w:marBottom w:val="0"/>
              <w:divBdr>
                <w:top w:val="none" w:sz="0" w:space="0" w:color="auto"/>
                <w:left w:val="none" w:sz="0" w:space="0" w:color="auto"/>
                <w:bottom w:val="none" w:sz="0" w:space="0" w:color="auto"/>
                <w:right w:val="none" w:sz="0" w:space="0" w:color="auto"/>
              </w:divBdr>
              <w:divsChild>
                <w:div w:id="18897130">
                  <w:marLeft w:val="0"/>
                  <w:marRight w:val="0"/>
                  <w:marTop w:val="0"/>
                  <w:marBottom w:val="0"/>
                  <w:divBdr>
                    <w:top w:val="none" w:sz="0" w:space="0" w:color="auto"/>
                    <w:left w:val="none" w:sz="0" w:space="0" w:color="auto"/>
                    <w:bottom w:val="none" w:sz="0" w:space="0" w:color="auto"/>
                    <w:right w:val="none" w:sz="0" w:space="0" w:color="auto"/>
                  </w:divBdr>
                  <w:divsChild>
                    <w:div w:id="1167357284">
                      <w:marLeft w:val="0"/>
                      <w:marRight w:val="0"/>
                      <w:marTop w:val="0"/>
                      <w:marBottom w:val="0"/>
                      <w:divBdr>
                        <w:top w:val="none" w:sz="0" w:space="0" w:color="auto"/>
                        <w:left w:val="none" w:sz="0" w:space="0" w:color="auto"/>
                        <w:bottom w:val="none" w:sz="0" w:space="0" w:color="auto"/>
                        <w:right w:val="none" w:sz="0" w:space="0" w:color="auto"/>
                      </w:divBdr>
                    </w:div>
                    <w:div w:id="1506359276">
                      <w:marLeft w:val="300"/>
                      <w:marRight w:val="0"/>
                      <w:marTop w:val="0"/>
                      <w:marBottom w:val="0"/>
                      <w:divBdr>
                        <w:top w:val="none" w:sz="0" w:space="0" w:color="auto"/>
                        <w:left w:val="none" w:sz="0" w:space="0" w:color="auto"/>
                        <w:bottom w:val="none" w:sz="0" w:space="0" w:color="auto"/>
                        <w:right w:val="none" w:sz="0" w:space="0" w:color="auto"/>
                      </w:divBdr>
                      <w:divsChild>
                        <w:div w:id="1432703504">
                          <w:marLeft w:val="0"/>
                          <w:marRight w:val="0"/>
                          <w:marTop w:val="0"/>
                          <w:marBottom w:val="0"/>
                          <w:divBdr>
                            <w:top w:val="none" w:sz="0" w:space="0" w:color="auto"/>
                            <w:left w:val="none" w:sz="0" w:space="0" w:color="auto"/>
                            <w:bottom w:val="none" w:sz="0" w:space="0" w:color="auto"/>
                            <w:right w:val="none" w:sz="0" w:space="0" w:color="auto"/>
                          </w:divBdr>
                          <w:divsChild>
                            <w:div w:id="590546905">
                              <w:marLeft w:val="0"/>
                              <w:marRight w:val="0"/>
                              <w:marTop w:val="0"/>
                              <w:marBottom w:val="0"/>
                              <w:divBdr>
                                <w:top w:val="none" w:sz="0" w:space="0" w:color="auto"/>
                                <w:left w:val="none" w:sz="0" w:space="0" w:color="auto"/>
                                <w:bottom w:val="none" w:sz="0" w:space="0" w:color="auto"/>
                                <w:right w:val="none" w:sz="0" w:space="0" w:color="auto"/>
                              </w:divBdr>
                            </w:div>
                            <w:div w:id="12689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142661">
              <w:marLeft w:val="0"/>
              <w:marRight w:val="0"/>
              <w:marTop w:val="0"/>
              <w:marBottom w:val="0"/>
              <w:divBdr>
                <w:top w:val="none" w:sz="0" w:space="0" w:color="auto"/>
                <w:left w:val="none" w:sz="0" w:space="0" w:color="auto"/>
                <w:bottom w:val="none" w:sz="0" w:space="0" w:color="auto"/>
                <w:right w:val="none" w:sz="0" w:space="0" w:color="auto"/>
              </w:divBdr>
              <w:divsChild>
                <w:div w:id="1357653729">
                  <w:marLeft w:val="0"/>
                  <w:marRight w:val="0"/>
                  <w:marTop w:val="0"/>
                  <w:marBottom w:val="0"/>
                  <w:divBdr>
                    <w:top w:val="none" w:sz="0" w:space="0" w:color="auto"/>
                    <w:left w:val="none" w:sz="0" w:space="0" w:color="auto"/>
                    <w:bottom w:val="none" w:sz="0" w:space="0" w:color="auto"/>
                    <w:right w:val="none" w:sz="0" w:space="0" w:color="auto"/>
                  </w:divBdr>
                  <w:divsChild>
                    <w:div w:id="1190988162">
                      <w:marLeft w:val="0"/>
                      <w:marRight w:val="0"/>
                      <w:marTop w:val="0"/>
                      <w:marBottom w:val="0"/>
                      <w:divBdr>
                        <w:top w:val="none" w:sz="0" w:space="0" w:color="auto"/>
                        <w:left w:val="none" w:sz="0" w:space="0" w:color="auto"/>
                        <w:bottom w:val="none" w:sz="0" w:space="0" w:color="auto"/>
                        <w:right w:val="none" w:sz="0" w:space="0" w:color="auto"/>
                      </w:divBdr>
                    </w:div>
                    <w:div w:id="428742393">
                      <w:marLeft w:val="300"/>
                      <w:marRight w:val="0"/>
                      <w:marTop w:val="0"/>
                      <w:marBottom w:val="0"/>
                      <w:divBdr>
                        <w:top w:val="none" w:sz="0" w:space="0" w:color="auto"/>
                        <w:left w:val="none" w:sz="0" w:space="0" w:color="auto"/>
                        <w:bottom w:val="none" w:sz="0" w:space="0" w:color="auto"/>
                        <w:right w:val="none" w:sz="0" w:space="0" w:color="auto"/>
                      </w:divBdr>
                      <w:divsChild>
                        <w:div w:id="1631127797">
                          <w:marLeft w:val="0"/>
                          <w:marRight w:val="0"/>
                          <w:marTop w:val="0"/>
                          <w:marBottom w:val="0"/>
                          <w:divBdr>
                            <w:top w:val="none" w:sz="0" w:space="0" w:color="auto"/>
                            <w:left w:val="none" w:sz="0" w:space="0" w:color="auto"/>
                            <w:bottom w:val="none" w:sz="0" w:space="0" w:color="auto"/>
                            <w:right w:val="none" w:sz="0" w:space="0" w:color="auto"/>
                          </w:divBdr>
                          <w:divsChild>
                            <w:div w:id="1154644308">
                              <w:marLeft w:val="0"/>
                              <w:marRight w:val="0"/>
                              <w:marTop w:val="0"/>
                              <w:marBottom w:val="0"/>
                              <w:divBdr>
                                <w:top w:val="none" w:sz="0" w:space="0" w:color="auto"/>
                                <w:left w:val="none" w:sz="0" w:space="0" w:color="auto"/>
                                <w:bottom w:val="none" w:sz="0" w:space="0" w:color="auto"/>
                                <w:right w:val="none" w:sz="0" w:space="0" w:color="auto"/>
                              </w:divBdr>
                            </w:div>
                            <w:div w:id="8792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3527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header" Target="header1.xml"/><Relationship Id="rId30"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AC35D3-C1F5-472B-8AFA-478267E902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8001</Words>
  <Characters>44009</Characters>
  <Application>Microsoft Office Word</Application>
  <DocSecurity>0</DocSecurity>
  <Lines>366</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51907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Tapia</dc:creator>
  <cp:keywords/>
  <dc:description/>
  <cp:lastModifiedBy>diana jimenez</cp:lastModifiedBy>
  <cp:revision>2</cp:revision>
  <cp:lastPrinted>2018-03-13T18:26:00Z</cp:lastPrinted>
  <dcterms:created xsi:type="dcterms:W3CDTF">2020-04-16T03:45:00Z</dcterms:created>
  <dcterms:modified xsi:type="dcterms:W3CDTF">2020-04-16T03:45:00Z</dcterms:modified>
</cp:coreProperties>
</file>