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3B6632" w:rsidP="0014447C">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R</w:t>
      </w:r>
      <w:r w:rsidR="007E2E80" w:rsidRPr="00C35F18">
        <w:rPr>
          <w:rFonts w:ascii="Palatino Linotype" w:hAnsi="Palatino Linotype"/>
          <w:sz w:val="24"/>
          <w:szCs w:val="24"/>
          <w:lang w:eastAsia="es-MX"/>
        </w:rPr>
        <w:t xml:space="preserve">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a</w:t>
      </w:r>
      <w:r w:rsidR="00C50B3E">
        <w:rPr>
          <w:rFonts w:ascii="Palatino Linotype" w:hAnsi="Palatino Linotype"/>
          <w:sz w:val="24"/>
          <w:szCs w:val="24"/>
          <w:lang w:eastAsia="es-MX"/>
        </w:rPr>
        <w:t xml:space="preserve"> </w:t>
      </w:r>
      <w:r w:rsidR="002C36FD" w:rsidRPr="002C36FD">
        <w:rPr>
          <w:rFonts w:ascii="Palatino Linotype" w:hAnsi="Palatino Linotype"/>
          <w:sz w:val="24"/>
          <w:szCs w:val="24"/>
          <w:lang w:eastAsia="es-MX"/>
        </w:rPr>
        <w:t>seis de febrero de dos mil veinte</w:t>
      </w:r>
      <w:r w:rsidR="005D517E">
        <w:rPr>
          <w:rFonts w:ascii="Palatino Linotype" w:hAnsi="Palatino Linotype"/>
          <w:sz w:val="24"/>
          <w:szCs w:val="24"/>
          <w:lang w:eastAsia="es-MX"/>
        </w:rPr>
        <w:t xml:space="preserve">. </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993CE2">
        <w:rPr>
          <w:rFonts w:ascii="Palatino Linotype" w:hAnsi="Palatino Linotype"/>
          <w:b/>
          <w:bCs/>
          <w:sz w:val="24"/>
          <w:szCs w:val="24"/>
          <w:lang w:eastAsia="es-MX"/>
        </w:rPr>
        <w:t xml:space="preserve"> 08615</w:t>
      </w:r>
      <w:r w:rsidR="00224F85">
        <w:rPr>
          <w:rFonts w:ascii="Palatino Linotype" w:hAnsi="Palatino Linotype"/>
          <w:b/>
          <w:bCs/>
          <w:sz w:val="24"/>
          <w:szCs w:val="24"/>
          <w:lang w:eastAsia="es-MX"/>
        </w:rPr>
        <w:t>/</w:t>
      </w:r>
      <w:r w:rsidR="0009709A" w:rsidRPr="0009709A">
        <w:rPr>
          <w:rFonts w:ascii="Palatino Linotype" w:hAnsi="Palatino Linotype"/>
          <w:b/>
          <w:bCs/>
          <w:sz w:val="24"/>
          <w:szCs w:val="24"/>
          <w:lang w:eastAsia="es-MX"/>
        </w:rPr>
        <w:t>INFOEM/IP/RR/2019</w:t>
      </w:r>
      <w:r w:rsidR="003C3124">
        <w:rPr>
          <w:rFonts w:ascii="Palatino Linotype" w:hAnsi="Palatino Linotype"/>
          <w:sz w:val="24"/>
          <w:szCs w:val="24"/>
        </w:rPr>
        <w:t>, interpuest</w:t>
      </w:r>
      <w:r w:rsidR="00DF7C87">
        <w:rPr>
          <w:rFonts w:ascii="Palatino Linotype" w:hAnsi="Palatino Linotype"/>
          <w:sz w:val="24"/>
          <w:szCs w:val="24"/>
        </w:rPr>
        <w:t>o por XXXXXXXXXXX</w:t>
      </w:r>
      <w:r w:rsidR="00824C59">
        <w:rPr>
          <w:rFonts w:ascii="Palatino Linotype" w:hAnsi="Palatino Linotype"/>
          <w:b/>
          <w:sz w:val="24"/>
          <w:szCs w:val="24"/>
        </w:rPr>
        <w:t xml:space="preserve"> </w:t>
      </w:r>
      <w:r w:rsidRPr="00C35F18">
        <w:rPr>
          <w:rFonts w:ascii="Palatino Linotype" w:hAnsi="Palatino Linotype"/>
          <w:sz w:val="24"/>
          <w:szCs w:val="24"/>
        </w:rPr>
        <w:t xml:space="preserve">en lo sucesivo </w:t>
      </w:r>
      <w:r w:rsidR="00BB26EE">
        <w:rPr>
          <w:rFonts w:ascii="Palatino Linotype" w:hAnsi="Palatino Linotype"/>
          <w:b/>
          <w:sz w:val="24"/>
          <w:szCs w:val="24"/>
        </w:rPr>
        <w:t>El Recurrente</w:t>
      </w:r>
      <w:r w:rsidR="00A84971">
        <w:rPr>
          <w:rFonts w:ascii="Palatino Linotype" w:hAnsi="Palatino Linotype"/>
          <w:sz w:val="24"/>
          <w:szCs w:val="24"/>
        </w:rPr>
        <w:t>, en contra de la</w:t>
      </w:r>
      <w:r w:rsidR="00993CE2">
        <w:rPr>
          <w:rFonts w:ascii="Palatino Linotype" w:hAnsi="Palatino Linotype"/>
          <w:sz w:val="24"/>
          <w:szCs w:val="24"/>
        </w:rPr>
        <w:t xml:space="preserve"> </w:t>
      </w:r>
      <w:r w:rsidRPr="00216B8D">
        <w:rPr>
          <w:rFonts w:ascii="Palatino Linotype" w:hAnsi="Palatino Linotype"/>
          <w:sz w:val="24"/>
          <w:szCs w:val="24"/>
        </w:rPr>
        <w:t>respuesta de</w:t>
      </w:r>
      <w:r w:rsidR="009151CF">
        <w:rPr>
          <w:rFonts w:ascii="Palatino Linotype" w:hAnsi="Palatino Linotype"/>
          <w:sz w:val="24"/>
          <w:szCs w:val="24"/>
        </w:rPr>
        <w:t>l</w:t>
      </w:r>
      <w:r w:rsidR="00E95C59">
        <w:rPr>
          <w:rFonts w:ascii="Palatino Linotype" w:hAnsi="Palatino Linotype"/>
          <w:sz w:val="24"/>
          <w:szCs w:val="24"/>
        </w:rPr>
        <w:t xml:space="preserve"> </w:t>
      </w:r>
      <w:r w:rsidR="00993CE2" w:rsidRPr="00993CE2">
        <w:rPr>
          <w:rFonts w:ascii="Palatino Linotype" w:hAnsi="Palatino Linotype" w:cs="Arial"/>
          <w:b/>
          <w:sz w:val="24"/>
          <w:szCs w:val="24"/>
        </w:rPr>
        <w:t>Ayuntamiento de Ixtlahuaca</w:t>
      </w:r>
      <w:r w:rsidRPr="00216B8D">
        <w:rPr>
          <w:rFonts w:ascii="Palatino Linotype" w:hAnsi="Palatino Linotype"/>
          <w:sz w:val="24"/>
          <w:szCs w:val="24"/>
        </w:rPr>
        <w:t>, en lo subsecuente</w:t>
      </w:r>
      <w:r w:rsidR="00FD55D4">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E93283">
        <w:rPr>
          <w:rFonts w:ascii="Palatino Linotype" w:hAnsi="Palatino Linotype"/>
          <w:sz w:val="24"/>
          <w:szCs w:val="24"/>
        </w:rPr>
        <w:t>veintiuno de octubre</w:t>
      </w:r>
      <w:r w:rsidR="00555F06">
        <w:rPr>
          <w:rFonts w:ascii="Palatino Linotype" w:hAnsi="Palatino Linotype"/>
          <w:sz w:val="24"/>
          <w:szCs w:val="24"/>
        </w:rPr>
        <w:t xml:space="preserve"> de dos mil diecinueve, </w:t>
      </w:r>
      <w:r w:rsidR="00BB26EE">
        <w:rPr>
          <w:rFonts w:ascii="Palatino Linotype" w:hAnsi="Palatino Linotype"/>
          <w:sz w:val="24"/>
          <w:szCs w:val="24"/>
        </w:rPr>
        <w:t>El Recurrente</w:t>
      </w:r>
      <w:r w:rsidRPr="00C35F18">
        <w:rPr>
          <w:rFonts w:ascii="Palatino Linotype" w:hAnsi="Palatino Linotype"/>
          <w:sz w:val="24"/>
          <w:szCs w:val="24"/>
        </w:rPr>
        <w:t>,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5E3F88">
        <w:rPr>
          <w:rFonts w:ascii="Palatino Linotype" w:hAnsi="Palatino Linotype"/>
          <w:b/>
          <w:sz w:val="24"/>
          <w:szCs w:val="24"/>
        </w:rPr>
        <w:t xml:space="preserve"> </w:t>
      </w:r>
      <w:r w:rsidR="006C6BC7" w:rsidRPr="006C6BC7">
        <w:rPr>
          <w:rFonts w:ascii="Palatino Linotype" w:hAnsi="Palatino Linotype"/>
          <w:b/>
          <w:sz w:val="24"/>
          <w:szCs w:val="24"/>
        </w:rPr>
        <w:t xml:space="preserve"> </w:t>
      </w:r>
      <w:r w:rsidR="00993CE2" w:rsidRPr="00993CE2">
        <w:rPr>
          <w:rFonts w:ascii="Palatino Linotype" w:hAnsi="Palatino Linotype"/>
          <w:b/>
          <w:sz w:val="24"/>
          <w:szCs w:val="24"/>
        </w:rPr>
        <w:t xml:space="preserve"> 00164/IXTLAHUA/IP/2019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3B6632" w:rsidRDefault="00C35F18" w:rsidP="005157A8">
      <w:pPr>
        <w:rPr>
          <w:sz w:val="20"/>
        </w:rPr>
      </w:pPr>
    </w:p>
    <w:p w:rsidR="007E2E80" w:rsidRPr="00FD55D4"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FD55D4">
        <w:rPr>
          <w:rFonts w:ascii="Palatino Linotype" w:eastAsia="Times New Roman" w:hAnsi="Palatino Linotype" w:cs="Times New Roman"/>
          <w:i/>
          <w:sz w:val="24"/>
          <w:szCs w:val="24"/>
          <w:lang w:val="es-ES_tradnl" w:eastAsia="es-ES"/>
        </w:rPr>
        <w:t>“</w:t>
      </w:r>
      <w:r w:rsidR="00993CE2" w:rsidRPr="00993CE2">
        <w:rPr>
          <w:rFonts w:ascii="Palatino Linotype" w:eastAsia="Times New Roman" w:hAnsi="Palatino Linotype" w:cs="Times New Roman"/>
          <w:i/>
          <w:sz w:val="24"/>
          <w:szCs w:val="24"/>
          <w:lang w:val="es-ES_tradnl" w:eastAsia="es-ES"/>
        </w:rPr>
        <w:t>de los recursos federales recibidos este año se les solicita as facturas contratos de los bienes comprados rentados para seguridad incluidas patrullas radios uniformes , así como de recursos locales</w:t>
      </w:r>
      <w:r w:rsidRPr="00FD55D4">
        <w:rPr>
          <w:rFonts w:ascii="Palatino Linotype" w:eastAsia="Times New Roman" w:hAnsi="Palatino Linotype" w:cs="Times New Roman"/>
          <w:i/>
          <w:lang w:val="es-ES_tradnl" w:eastAsia="es-ES"/>
        </w:rPr>
        <w:t>” [Sic]</w:t>
      </w:r>
    </w:p>
    <w:p w:rsidR="0016423B" w:rsidRPr="003B6632" w:rsidRDefault="0016423B" w:rsidP="0014447C">
      <w:pPr>
        <w:pStyle w:val="Sinespaciado"/>
        <w:spacing w:line="360" w:lineRule="auto"/>
        <w:jc w:val="both"/>
        <w:rPr>
          <w:rFonts w:ascii="Palatino Linotype" w:eastAsia="Times New Roman" w:hAnsi="Palatino Linotype" w:cs="Times New Roman"/>
          <w:i/>
          <w:sz w:val="14"/>
          <w:lang w:val="es-ES_tradnl" w:eastAsia="es-ES"/>
        </w:rPr>
      </w:pPr>
    </w:p>
    <w:p w:rsidR="0085433C" w:rsidRDefault="0085433C"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8F1579">
        <w:rPr>
          <w:rFonts w:ascii="Palatino Linotype" w:eastAsia="Times New Roman" w:hAnsi="Palatino Linotype" w:cs="Times New Roman"/>
          <w:b/>
          <w:sz w:val="24"/>
          <w:szCs w:val="24"/>
          <w:lang w:val="es-ES_tradnl" w:eastAsia="es-ES"/>
        </w:rPr>
        <w:t xml:space="preserve"> A través del SAIMEX.</w:t>
      </w:r>
    </w:p>
    <w:p w:rsidR="00E93283" w:rsidRDefault="00E93283" w:rsidP="0014447C">
      <w:pPr>
        <w:pStyle w:val="Sinespaciado"/>
        <w:spacing w:line="360" w:lineRule="auto"/>
        <w:jc w:val="both"/>
        <w:rPr>
          <w:rFonts w:ascii="Palatino Linotype" w:eastAsia="Times New Roman" w:hAnsi="Palatino Linotype" w:cs="Times New Roman"/>
          <w:b/>
          <w:sz w:val="24"/>
          <w:szCs w:val="24"/>
          <w:lang w:val="es-ES_tradnl" w:eastAsia="es-ES"/>
        </w:rPr>
      </w:pPr>
    </w:p>
    <w:p w:rsidR="0000238F" w:rsidRPr="002B52D6" w:rsidRDefault="002B52D6" w:rsidP="0014447C">
      <w:pPr>
        <w:pStyle w:val="Sinespaciado"/>
        <w:spacing w:line="360" w:lineRule="auto"/>
        <w:jc w:val="both"/>
        <w:rPr>
          <w:rFonts w:ascii="Palatino Linotype" w:hAnsi="Palatino Linotype"/>
          <w:b/>
          <w:sz w:val="26"/>
          <w:szCs w:val="26"/>
        </w:rPr>
      </w:pPr>
      <w:r w:rsidRPr="002B52D6">
        <w:rPr>
          <w:rFonts w:ascii="Palatino Linotype" w:hAnsi="Palatino Linotype"/>
          <w:b/>
          <w:sz w:val="26"/>
          <w:szCs w:val="26"/>
        </w:rPr>
        <w:lastRenderedPageBreak/>
        <w:t>SEGUNDO</w:t>
      </w:r>
      <w:r w:rsidR="007E2E80" w:rsidRPr="002B52D6">
        <w:rPr>
          <w:rFonts w:ascii="Palatino Linotype" w:hAnsi="Palatino Linotype"/>
          <w:b/>
          <w:sz w:val="26"/>
          <w:szCs w:val="26"/>
        </w:rPr>
        <w:t xml:space="preserve">. </w:t>
      </w:r>
      <w:r w:rsidR="00DA21DB" w:rsidRPr="002B52D6">
        <w:rPr>
          <w:rFonts w:ascii="Palatino Linotype" w:hAnsi="Palatino Linotype"/>
          <w:b/>
          <w:sz w:val="26"/>
          <w:szCs w:val="26"/>
        </w:rPr>
        <w:t>De la</w:t>
      </w:r>
      <w:r w:rsidR="006C6BC7">
        <w:rPr>
          <w:rFonts w:ascii="Palatino Linotype" w:hAnsi="Palatino Linotype"/>
          <w:b/>
          <w:sz w:val="26"/>
          <w:szCs w:val="26"/>
        </w:rPr>
        <w:t xml:space="preserve"> </w:t>
      </w:r>
      <w:r w:rsidR="00993CE2">
        <w:rPr>
          <w:rFonts w:ascii="Palatino Linotype" w:hAnsi="Palatino Linotype"/>
          <w:b/>
          <w:sz w:val="26"/>
          <w:szCs w:val="26"/>
        </w:rPr>
        <w:t>respuesta a la solicitud de información</w:t>
      </w:r>
      <w:r w:rsidR="007E2E80" w:rsidRPr="002B52D6">
        <w:rPr>
          <w:rFonts w:ascii="Palatino Linotype" w:hAnsi="Palatino Linotype"/>
          <w:b/>
          <w:sz w:val="26"/>
          <w:szCs w:val="26"/>
        </w:rPr>
        <w:t>.</w:t>
      </w:r>
    </w:p>
    <w:p w:rsidR="0000238F" w:rsidRPr="009978AF" w:rsidRDefault="0000238F" w:rsidP="0014447C">
      <w:pPr>
        <w:pStyle w:val="Sinespaciado"/>
        <w:spacing w:line="360" w:lineRule="auto"/>
        <w:jc w:val="both"/>
        <w:rPr>
          <w:rFonts w:ascii="Palatino Linotype" w:hAnsi="Palatino Linotype"/>
          <w:b/>
          <w:sz w:val="12"/>
          <w:szCs w:val="26"/>
        </w:rPr>
      </w:pPr>
    </w:p>
    <w:p w:rsidR="00993CE2" w:rsidRDefault="008D4796" w:rsidP="008D4796">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Pr>
          <w:rFonts w:ascii="Palatino Linotype" w:hAnsi="Palatino Linotype"/>
          <w:sz w:val="24"/>
        </w:rPr>
        <w:t>e electrónico SAIMEX, se observa</w:t>
      </w:r>
      <w:r w:rsidRPr="00C35F18">
        <w:rPr>
          <w:rFonts w:ascii="Palatino Linotype" w:hAnsi="Palatino Linotype"/>
          <w:sz w:val="24"/>
        </w:rPr>
        <w:t xml:space="preserve"> que</w:t>
      </w:r>
      <w:r w:rsidR="00993CE2">
        <w:rPr>
          <w:rFonts w:ascii="Palatino Linotype" w:hAnsi="Palatino Linotype"/>
          <w:sz w:val="24"/>
        </w:rPr>
        <w:t xml:space="preserve"> en fecha once de noviembre de dos mil diecinueve </w:t>
      </w:r>
      <w:r w:rsidRPr="00C35F18">
        <w:rPr>
          <w:rFonts w:ascii="Palatino Linotype" w:hAnsi="Palatino Linotype"/>
          <w:sz w:val="24"/>
        </w:rPr>
        <w:t>el Sujeto Obligado</w:t>
      </w:r>
      <w:r w:rsidR="006C6BC7">
        <w:rPr>
          <w:rFonts w:ascii="Palatino Linotype" w:hAnsi="Palatino Linotype"/>
          <w:sz w:val="24"/>
        </w:rPr>
        <w:t xml:space="preserve"> </w:t>
      </w:r>
      <w:r w:rsidR="00993CE2">
        <w:rPr>
          <w:rFonts w:ascii="Palatino Linotype" w:hAnsi="Palatino Linotype"/>
          <w:sz w:val="24"/>
        </w:rPr>
        <w:t>proporcionó la respuesta a la solicitud de información en los siguientes términos:</w:t>
      </w:r>
    </w:p>
    <w:p w:rsidR="00251C6D" w:rsidRDefault="00251C6D" w:rsidP="009653D2">
      <w:pPr>
        <w:pStyle w:val="Sinespaciado"/>
        <w:spacing w:line="360" w:lineRule="auto"/>
        <w:jc w:val="both"/>
        <w:rPr>
          <w:rFonts w:ascii="Palatino Linotype" w:hAnsi="Palatino Linotype"/>
          <w:sz w:val="24"/>
          <w:szCs w:val="26"/>
        </w:rPr>
      </w:pPr>
      <w:bookmarkStart w:id="0" w:name="_GoBack"/>
      <w:bookmarkEnd w:id="0"/>
    </w:p>
    <w:p w:rsidR="00DF7C87" w:rsidRPr="001963D1" w:rsidRDefault="00DF7C87" w:rsidP="009653D2">
      <w:pPr>
        <w:pStyle w:val="Sinespaciado"/>
        <w:spacing w:line="360" w:lineRule="auto"/>
        <w:jc w:val="both"/>
        <w:rPr>
          <w:rFonts w:ascii="Palatino Linotype" w:hAnsi="Palatino Linotype"/>
          <w:sz w:val="24"/>
          <w:szCs w:val="26"/>
        </w:rPr>
      </w:pPr>
      <w:r>
        <w:rPr>
          <w:rFonts w:ascii="Palatino Linotype" w:hAnsi="Palatino Linotype"/>
          <w:noProof/>
          <w:sz w:val="24"/>
          <w:szCs w:val="26"/>
          <w:lang w:eastAsia="es-MX"/>
        </w:rPr>
        <w:drawing>
          <wp:inline distT="0" distB="0" distL="0" distR="0">
            <wp:extent cx="5719445" cy="27367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26659" b="25447"/>
                    <a:stretch/>
                  </pic:blipFill>
                  <pic:spPr bwMode="auto">
                    <a:xfrm>
                      <a:off x="0" y="0"/>
                      <a:ext cx="5741941" cy="2747479"/>
                    </a:xfrm>
                    <a:prstGeom prst="rect">
                      <a:avLst/>
                    </a:prstGeom>
                    <a:noFill/>
                    <a:ln>
                      <a:noFill/>
                    </a:ln>
                    <a:extLst>
                      <a:ext uri="{53640926-AAD7-44D8-BBD7-CCE9431645EC}">
                        <a14:shadowObscured xmlns:a14="http://schemas.microsoft.com/office/drawing/2010/main"/>
                      </a:ext>
                    </a:extLst>
                  </pic:spPr>
                </pic:pic>
              </a:graphicData>
            </a:graphic>
          </wp:inline>
        </w:drawing>
      </w:r>
    </w:p>
    <w:p w:rsidR="00993CE2" w:rsidRDefault="00993CE2" w:rsidP="0014447C">
      <w:pPr>
        <w:pStyle w:val="Sinespaciado"/>
        <w:spacing w:line="360" w:lineRule="auto"/>
        <w:jc w:val="both"/>
        <w:rPr>
          <w:rFonts w:ascii="Palatino Linotype" w:hAnsi="Palatino Linotype"/>
          <w:b/>
          <w:sz w:val="26"/>
          <w:szCs w:val="26"/>
        </w:rPr>
      </w:pPr>
    </w:p>
    <w:p w:rsidR="007E2E80" w:rsidRPr="002B52D6"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2B52D6">
        <w:rPr>
          <w:rFonts w:ascii="Palatino Linotype" w:hAnsi="Palatino Linotype"/>
          <w:b/>
          <w:sz w:val="26"/>
          <w:szCs w:val="26"/>
        </w:rPr>
        <w:t>. Del recurso de revisión.</w:t>
      </w:r>
    </w:p>
    <w:p w:rsidR="009978AF" w:rsidRPr="009978AF" w:rsidRDefault="009978AF" w:rsidP="0014447C">
      <w:pPr>
        <w:pStyle w:val="Sinespaciado"/>
        <w:spacing w:line="360" w:lineRule="auto"/>
        <w:jc w:val="both"/>
        <w:rPr>
          <w:rFonts w:ascii="Palatino Linotype" w:hAnsi="Palatino Linotype"/>
          <w:b/>
          <w:sz w:val="12"/>
          <w:szCs w:val="26"/>
        </w:rPr>
      </w:pPr>
    </w:p>
    <w:p w:rsidR="007E2E80" w:rsidRPr="00D04234" w:rsidRDefault="007E2E80" w:rsidP="00323D3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A84971">
        <w:rPr>
          <w:rFonts w:ascii="Palatino Linotype" w:hAnsi="Palatino Linotype"/>
          <w:sz w:val="24"/>
          <w:szCs w:val="24"/>
        </w:rPr>
        <w:t xml:space="preserve"> </w:t>
      </w:r>
      <w:r w:rsidR="003C042D">
        <w:rPr>
          <w:rFonts w:ascii="Palatino Linotype" w:hAnsi="Palatino Linotype"/>
          <w:sz w:val="24"/>
          <w:szCs w:val="24"/>
        </w:rPr>
        <w:t xml:space="preserve">respuesta </w:t>
      </w:r>
      <w:r w:rsidR="00D04234">
        <w:rPr>
          <w:rFonts w:ascii="Palatino Linotype" w:hAnsi="Palatino Linotype"/>
          <w:sz w:val="24"/>
          <w:szCs w:val="24"/>
        </w:rPr>
        <w:t xml:space="preserve">por </w:t>
      </w:r>
      <w:r w:rsidR="003C042D">
        <w:rPr>
          <w:rFonts w:ascii="Palatino Linotype" w:hAnsi="Palatino Linotype"/>
          <w:sz w:val="24"/>
          <w:szCs w:val="24"/>
        </w:rPr>
        <w:t>parte d</w:t>
      </w:r>
      <w:r w:rsidR="00D04234">
        <w:rPr>
          <w:rFonts w:ascii="Palatino Linotype" w:hAnsi="Palatino Linotype"/>
          <w:sz w:val="24"/>
          <w:szCs w:val="24"/>
        </w:rPr>
        <w:t>el Sujeto O</w:t>
      </w:r>
      <w:r w:rsidRPr="00D04234">
        <w:rPr>
          <w:rFonts w:ascii="Palatino Linotype" w:hAnsi="Palatino Linotype"/>
          <w:sz w:val="24"/>
          <w:szCs w:val="24"/>
        </w:rPr>
        <w:t xml:space="preserve">bligado, </w:t>
      </w:r>
      <w:r w:rsidR="00BB26EE">
        <w:rPr>
          <w:rFonts w:ascii="Palatino Linotype" w:hAnsi="Palatino Linotype"/>
          <w:sz w:val="24"/>
          <w:szCs w:val="24"/>
        </w:rPr>
        <w:t>El Recurrente</w:t>
      </w:r>
      <w:r w:rsidRPr="00D04234">
        <w:rPr>
          <w:rFonts w:ascii="Palatino Linotype" w:hAnsi="Palatino Linotype"/>
          <w:sz w:val="24"/>
          <w:szCs w:val="24"/>
        </w:rPr>
        <w:t xml:space="preserv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856EC9">
        <w:rPr>
          <w:rFonts w:ascii="Palatino Linotype" w:hAnsi="Palatino Linotype"/>
          <w:sz w:val="24"/>
          <w:szCs w:val="24"/>
        </w:rPr>
        <w:t>doce</w:t>
      </w:r>
      <w:r w:rsidR="00565DD9">
        <w:rPr>
          <w:rFonts w:ascii="Palatino Linotype" w:hAnsi="Palatino Linotype"/>
          <w:sz w:val="24"/>
          <w:szCs w:val="24"/>
        </w:rPr>
        <w:t xml:space="preserve"> de noviembre</w:t>
      </w:r>
      <w:r w:rsidR="009E47BC">
        <w:rPr>
          <w:rFonts w:ascii="Palatino Linotype" w:hAnsi="Palatino Linotype"/>
          <w:sz w:val="24"/>
          <w:szCs w:val="24"/>
        </w:rPr>
        <w:t xml:space="preserve"> </w:t>
      </w:r>
      <w:r w:rsidR="00041664">
        <w:rPr>
          <w:rFonts w:ascii="Palatino Linotype" w:hAnsi="Palatino Linotype"/>
          <w:sz w:val="24"/>
          <w:szCs w:val="24"/>
        </w:rPr>
        <w:t>de dos mil diecinueve</w:t>
      </w:r>
      <w:r w:rsidR="00E57465">
        <w:rPr>
          <w:rFonts w:ascii="Palatino Linotype" w:hAnsi="Palatino Linotype"/>
          <w:sz w:val="24"/>
          <w:szCs w:val="24"/>
        </w:rPr>
        <w:t>,</w:t>
      </w:r>
      <w:r w:rsidR="00323D35">
        <w:rPr>
          <w:rFonts w:ascii="Palatino Linotype" w:hAnsi="Palatino Linotype"/>
          <w:sz w:val="24"/>
          <w:szCs w:val="24"/>
        </w:rPr>
        <w:t xml:space="preserve"> </w:t>
      </w:r>
      <w:r w:rsidR="00852DE6">
        <w:rPr>
          <w:rFonts w:ascii="Palatino Linotype" w:hAnsi="Palatino Linotype"/>
          <w:sz w:val="24"/>
          <w:szCs w:val="24"/>
        </w:rPr>
        <w:t>el 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75676A">
        <w:rPr>
          <w:rFonts w:ascii="Palatino Linotype" w:hAnsi="Palatino Linotype"/>
          <w:b/>
          <w:bCs/>
          <w:sz w:val="24"/>
          <w:szCs w:val="24"/>
          <w:lang w:eastAsia="es-MX"/>
        </w:rPr>
        <w:t>0</w:t>
      </w:r>
      <w:r w:rsidR="00856EC9">
        <w:rPr>
          <w:rFonts w:ascii="Palatino Linotype" w:hAnsi="Palatino Linotype"/>
          <w:b/>
          <w:bCs/>
          <w:sz w:val="24"/>
          <w:szCs w:val="24"/>
          <w:lang w:eastAsia="es-MX"/>
        </w:rPr>
        <w:t>8615</w:t>
      </w:r>
      <w:r w:rsidR="00E57465">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F24AE4" w:rsidRDefault="00F24AE4" w:rsidP="00232FBB">
      <w:pPr>
        <w:pStyle w:val="Sinespaciado"/>
      </w:pP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CC343F" w:rsidRPr="00CC343F" w:rsidRDefault="007E2E80" w:rsidP="00CC343F">
      <w:pPr>
        <w:spacing w:line="240" w:lineRule="auto"/>
        <w:ind w:left="851" w:right="850"/>
        <w:jc w:val="both"/>
        <w:rPr>
          <w:rFonts w:ascii="Palatino Linotype" w:hAnsi="Palatino Linotype" w:cs="Arial"/>
          <w:i/>
          <w:sz w:val="24"/>
        </w:rPr>
      </w:pPr>
      <w:r w:rsidRPr="00D46905">
        <w:rPr>
          <w:rFonts w:ascii="Palatino Linotype" w:hAnsi="Palatino Linotype" w:cs="Arial"/>
          <w:i/>
          <w:sz w:val="24"/>
        </w:rPr>
        <w:lastRenderedPageBreak/>
        <w:t>“</w:t>
      </w:r>
      <w:r w:rsidR="00856EC9" w:rsidRPr="00856EC9">
        <w:rPr>
          <w:rFonts w:ascii="Palatino Linotype" w:hAnsi="Palatino Linotype" w:cs="Arial"/>
          <w:i/>
          <w:sz w:val="24"/>
        </w:rPr>
        <w:t>no entrego todo lo solicitado , texta indebidamente el numero de bienes comprados y oculta contrato de patrullas</w:t>
      </w:r>
      <w:r w:rsidR="006A3A54" w:rsidRPr="00D46905">
        <w:rPr>
          <w:rFonts w:ascii="Palatino Linotype" w:hAnsi="Palatino Linotype" w:cs="Arial"/>
          <w:i/>
          <w:sz w:val="24"/>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D46905" w:rsidRDefault="007E2E80" w:rsidP="0014447C">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66013E" w:rsidRPr="0066013E">
        <w:rPr>
          <w:rFonts w:ascii="Palatino Linotype" w:hAnsi="Palatino Linotype" w:cs="Arial"/>
          <w:i/>
          <w:sz w:val="24"/>
        </w:rPr>
        <w:t>el monto solo de recursos federales no esta todo</w:t>
      </w:r>
      <w:r w:rsidR="006A3A54" w:rsidRPr="00D46905">
        <w:rPr>
          <w:rFonts w:ascii="Palatino Linotype" w:hAnsi="Palatino Linotype" w:cs="Arial"/>
          <w:i/>
          <w:sz w:val="24"/>
        </w:rPr>
        <w:t>” (Sic)</w:t>
      </w:r>
    </w:p>
    <w:p w:rsidR="00BE6D77" w:rsidRDefault="00BE6D77" w:rsidP="004657BE">
      <w:pPr>
        <w:pStyle w:val="Sinespaciado"/>
        <w:spacing w:line="360" w:lineRule="auto"/>
        <w:jc w:val="both"/>
        <w:rPr>
          <w:rFonts w:ascii="Palatino Linotype" w:hAnsi="Palatino Linotype"/>
          <w:sz w:val="24"/>
          <w:szCs w:val="24"/>
        </w:rPr>
      </w:pPr>
    </w:p>
    <w:p w:rsidR="007E2E80" w:rsidRDefault="00E57465"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4657BE">
        <w:rPr>
          <w:rFonts w:ascii="Palatino Linotype" w:hAnsi="Palatino Linotype"/>
          <w:b/>
          <w:sz w:val="26"/>
          <w:szCs w:val="26"/>
        </w:rPr>
        <w:t xml:space="preserve">.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9978AF" w:rsidRPr="009978AF" w:rsidRDefault="009978AF" w:rsidP="004657BE">
      <w:pPr>
        <w:pStyle w:val="Sinespaciado"/>
        <w:spacing w:line="360" w:lineRule="auto"/>
        <w:jc w:val="both"/>
        <w:rPr>
          <w:rFonts w:ascii="Palatino Linotype" w:hAnsi="Palatino Linotype"/>
          <w:b/>
          <w:sz w:val="12"/>
          <w:szCs w:val="26"/>
        </w:rPr>
      </w:pP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w:t>
      </w:r>
      <w:r w:rsidR="00971417" w:rsidRPr="004657BE">
        <w:rPr>
          <w:rFonts w:ascii="Palatino Linotype" w:hAnsi="Palatino Linotype"/>
          <w:sz w:val="24"/>
          <w:szCs w:val="24"/>
        </w:rPr>
        <w:t xml:space="preserve">ios, del cual recayó acuerdo de admisión en fecha </w:t>
      </w:r>
      <w:r w:rsidR="009947FA">
        <w:rPr>
          <w:rFonts w:ascii="Palatino Linotype" w:hAnsi="Palatino Linotype"/>
          <w:sz w:val="24"/>
          <w:szCs w:val="24"/>
        </w:rPr>
        <w:t>diecinueve de noviembre</w:t>
      </w:r>
      <w:r w:rsidR="00CC343F">
        <w:rPr>
          <w:rFonts w:ascii="Palatino Linotype" w:hAnsi="Palatino Linotype"/>
          <w:sz w:val="24"/>
          <w:szCs w:val="24"/>
        </w:rPr>
        <w:t xml:space="preserve"> </w:t>
      </w:r>
      <w:r w:rsidR="000E7C0A" w:rsidRPr="004657BE">
        <w:rPr>
          <w:rFonts w:ascii="Palatino Linotype" w:hAnsi="Palatino Linotype"/>
          <w:sz w:val="24"/>
          <w:szCs w:val="24"/>
        </w:rPr>
        <w:t xml:space="preserve">de dos mil </w:t>
      </w:r>
      <w:r w:rsidR="00E57465">
        <w:rPr>
          <w:rFonts w:ascii="Palatino Linotype" w:hAnsi="Palatino Linotype"/>
          <w:sz w:val="24"/>
          <w:szCs w:val="24"/>
        </w:rPr>
        <w:t>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Default="00BE6D77" w:rsidP="004657BE">
      <w:pPr>
        <w:pStyle w:val="Sinespaciado"/>
        <w:spacing w:line="360" w:lineRule="auto"/>
        <w:jc w:val="both"/>
        <w:rPr>
          <w:rFonts w:ascii="Palatino Linotype" w:hAnsi="Palatino Linotype"/>
          <w:sz w:val="24"/>
          <w:szCs w:val="24"/>
        </w:rPr>
      </w:pPr>
    </w:p>
    <w:p w:rsidR="007E2E80"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7E2E80" w:rsidRPr="0014447C">
        <w:rPr>
          <w:rFonts w:ascii="Palatino Linotype" w:hAnsi="Palatino Linotype"/>
          <w:b/>
          <w:sz w:val="26"/>
          <w:szCs w:val="26"/>
        </w:rPr>
        <w:t>. De la etapa de instrucción.</w:t>
      </w:r>
    </w:p>
    <w:p w:rsidR="009978AF" w:rsidRPr="009978AF" w:rsidRDefault="009978AF" w:rsidP="0014447C">
      <w:pPr>
        <w:pStyle w:val="Sinespaciado"/>
        <w:spacing w:line="360" w:lineRule="auto"/>
        <w:jc w:val="both"/>
        <w:rPr>
          <w:rFonts w:ascii="Palatino Linotype" w:hAnsi="Palatino Linotype"/>
          <w:b/>
          <w:sz w:val="12"/>
          <w:szCs w:val="26"/>
        </w:rPr>
      </w:pPr>
    </w:p>
    <w:p w:rsidR="00B40B6C" w:rsidRDefault="00B40B6C" w:rsidP="00B40B6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Pr>
          <w:rFonts w:ascii="Palatino Linotype" w:hAnsi="Palatino Linotype"/>
          <w:sz w:val="24"/>
          <w:szCs w:val="24"/>
        </w:rPr>
        <w:t>El</w:t>
      </w:r>
      <w:r w:rsidRPr="0014447C">
        <w:rPr>
          <w:rFonts w:ascii="Palatino Linotype" w:hAnsi="Palatino Linotype"/>
          <w:sz w:val="24"/>
          <w:szCs w:val="24"/>
        </w:rPr>
        <w:t xml:space="preserve"> Recurrente</w:t>
      </w:r>
      <w:r w:rsidR="00E64589">
        <w:rPr>
          <w:rFonts w:ascii="Palatino Linotype" w:hAnsi="Palatino Linotype"/>
          <w:sz w:val="24"/>
          <w:szCs w:val="24"/>
        </w:rPr>
        <w:t xml:space="preserve"> </w:t>
      </w:r>
      <w:r w:rsidR="00971417">
        <w:rPr>
          <w:rFonts w:ascii="Palatino Linotype" w:hAnsi="Palatino Linotype"/>
          <w:sz w:val="24"/>
          <w:szCs w:val="24"/>
        </w:rPr>
        <w:t xml:space="preserve">no </w:t>
      </w:r>
      <w:r w:rsidRPr="0014447C">
        <w:rPr>
          <w:rFonts w:ascii="Palatino Linotype" w:hAnsi="Palatino Linotype"/>
          <w:sz w:val="24"/>
          <w:szCs w:val="24"/>
        </w:rPr>
        <w:t>realizó manifestaciones</w:t>
      </w:r>
      <w:r w:rsidR="00E13349">
        <w:rPr>
          <w:rFonts w:ascii="Palatino Linotype" w:hAnsi="Palatino Linotype"/>
          <w:sz w:val="24"/>
          <w:szCs w:val="24"/>
        </w:rPr>
        <w:t xml:space="preserve"> que a su derecho convinieran</w:t>
      </w:r>
      <w:r w:rsidRPr="0014447C">
        <w:rPr>
          <w:rFonts w:ascii="Palatino Linotype" w:hAnsi="Palatino Linotype"/>
          <w:sz w:val="24"/>
          <w:szCs w:val="24"/>
        </w:rPr>
        <w:t xml:space="preserve">. </w:t>
      </w:r>
      <w:r w:rsidR="00E64589">
        <w:rPr>
          <w:rFonts w:ascii="Palatino Linotype" w:hAnsi="Palatino Linotype"/>
          <w:sz w:val="24"/>
          <w:szCs w:val="24"/>
        </w:rPr>
        <w:t>Por su parte el Sujeto Obligado</w:t>
      </w:r>
      <w:r w:rsidR="00251C6D">
        <w:rPr>
          <w:rFonts w:ascii="Palatino Linotype" w:hAnsi="Palatino Linotype"/>
          <w:sz w:val="24"/>
          <w:szCs w:val="24"/>
        </w:rPr>
        <w:t xml:space="preserve"> adjuntó al saimex </w:t>
      </w:r>
      <w:r w:rsidR="00C900EA">
        <w:rPr>
          <w:rFonts w:ascii="Palatino Linotype" w:hAnsi="Palatino Linotype"/>
          <w:sz w:val="24"/>
          <w:szCs w:val="24"/>
        </w:rPr>
        <w:t>el informe justificado correspondiente</w:t>
      </w:r>
      <w:r w:rsidR="00251C6D">
        <w:rPr>
          <w:rFonts w:ascii="Palatino Linotype" w:hAnsi="Palatino Linotype"/>
          <w:sz w:val="24"/>
          <w:szCs w:val="24"/>
        </w:rPr>
        <w:t>, documento que será objeto de estudio en lo subsecuente.</w:t>
      </w:r>
    </w:p>
    <w:p w:rsidR="00CE207D" w:rsidRDefault="006E16FF"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 </w:t>
      </w:r>
    </w:p>
    <w:p w:rsidR="00323D35" w:rsidRPr="00CE207D"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423C27" w:rsidRPr="0014447C">
        <w:rPr>
          <w:rFonts w:ascii="Palatino Linotype" w:hAnsi="Palatino Linotype"/>
          <w:b/>
          <w:sz w:val="26"/>
          <w:szCs w:val="26"/>
        </w:rPr>
        <w:t>. Del cierre de instrucción.</w:t>
      </w:r>
      <w:r w:rsidR="00423C27" w:rsidRPr="0014447C">
        <w:rPr>
          <w:rFonts w:ascii="Palatino Linotype" w:hAnsi="Palatino Linotype"/>
          <w:b/>
          <w:sz w:val="26"/>
          <w:szCs w:val="26"/>
        </w:rPr>
        <w:tab/>
      </w:r>
    </w:p>
    <w:p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251C6D">
        <w:rPr>
          <w:rFonts w:ascii="Palatino Linotype" w:hAnsi="Palatino Linotype"/>
          <w:sz w:val="24"/>
          <w:szCs w:val="24"/>
        </w:rPr>
        <w:t xml:space="preserve">dieciséis </w:t>
      </w:r>
      <w:r w:rsidR="00F420B7">
        <w:rPr>
          <w:rFonts w:ascii="Palatino Linotype" w:hAnsi="Palatino Linotype"/>
          <w:sz w:val="24"/>
          <w:szCs w:val="24"/>
        </w:rPr>
        <w:t>de enero</w:t>
      </w:r>
      <w:r w:rsidR="00CC343F">
        <w:rPr>
          <w:rFonts w:ascii="Palatino Linotype" w:hAnsi="Palatino Linotype"/>
          <w:sz w:val="24"/>
          <w:szCs w:val="24"/>
        </w:rPr>
        <w:t xml:space="preserve"> </w:t>
      </w:r>
      <w:r w:rsidR="00EB5002">
        <w:rPr>
          <w:rFonts w:ascii="Palatino Linotype" w:hAnsi="Palatino Linotype"/>
          <w:sz w:val="24"/>
          <w:szCs w:val="24"/>
        </w:rPr>
        <w:t xml:space="preserve">de </w:t>
      </w:r>
      <w:r w:rsidR="00705D1C">
        <w:rPr>
          <w:rFonts w:ascii="Palatino Linotype" w:hAnsi="Palatino Linotype"/>
          <w:sz w:val="24"/>
          <w:szCs w:val="24"/>
        </w:rPr>
        <w:t xml:space="preserve">dos mil </w:t>
      </w:r>
      <w:r w:rsidR="00F420B7">
        <w:rPr>
          <w:rFonts w:ascii="Palatino Linotype" w:hAnsi="Palatino Linotype"/>
          <w:sz w:val="24"/>
          <w:szCs w:val="24"/>
        </w:rPr>
        <w:t>veinte</w:t>
      </w:r>
      <w:r w:rsidRPr="0014447C">
        <w:rPr>
          <w:rFonts w:ascii="Palatino Linotype" w:hAnsi="Palatino Linotype"/>
          <w:sz w:val="24"/>
          <w:szCs w:val="24"/>
        </w:rPr>
        <w:t xml:space="preserve">, en términos del artículo 185 Fracción VI de la </w:t>
      </w:r>
      <w:r w:rsidRPr="0014447C">
        <w:rPr>
          <w:rFonts w:ascii="Palatino Linotype" w:hAnsi="Palatino Linotype"/>
          <w:sz w:val="24"/>
          <w:szCs w:val="24"/>
        </w:rPr>
        <w:lastRenderedPageBreak/>
        <w:t>Ley de Transparencia y Acceso a la Información Pública del Estado de México y Municipios, iniciando el término legal para dictar resolución definitiva del asunto.</w:t>
      </w:r>
    </w:p>
    <w:p w:rsidR="00CE207D" w:rsidRDefault="00CE207D" w:rsidP="0014447C">
      <w:pPr>
        <w:pStyle w:val="Sinespaciado"/>
        <w:spacing w:line="360" w:lineRule="auto"/>
        <w:jc w:val="both"/>
        <w:rPr>
          <w:rFonts w:ascii="Palatino Linotype" w:hAnsi="Palatino Linotype"/>
          <w:sz w:val="24"/>
          <w:szCs w:val="24"/>
        </w:rPr>
      </w:pPr>
    </w:p>
    <w:p w:rsidR="00915450" w:rsidRPr="009026F3" w:rsidRDefault="00D77749" w:rsidP="00915450">
      <w:pPr>
        <w:spacing w:line="360" w:lineRule="auto"/>
        <w:jc w:val="both"/>
        <w:rPr>
          <w:rFonts w:ascii="Palatino Linotype" w:hAnsi="Palatino Linotype" w:cs="Arial"/>
          <w:b/>
          <w:sz w:val="24"/>
          <w:szCs w:val="24"/>
        </w:rPr>
      </w:pPr>
      <w:r w:rsidRPr="009026F3">
        <w:rPr>
          <w:rFonts w:ascii="Palatino Linotype" w:hAnsi="Palatino Linotype" w:cs="Arial"/>
          <w:b/>
          <w:sz w:val="26"/>
          <w:szCs w:val="26"/>
        </w:rPr>
        <w:t>S</w:t>
      </w:r>
      <w:r w:rsidR="009978AF" w:rsidRPr="009026F3">
        <w:rPr>
          <w:rFonts w:ascii="Palatino Linotype" w:hAnsi="Palatino Linotype" w:cs="Arial"/>
          <w:b/>
          <w:sz w:val="26"/>
          <w:szCs w:val="26"/>
        </w:rPr>
        <w:t>É</w:t>
      </w:r>
      <w:r w:rsidRPr="009026F3">
        <w:rPr>
          <w:rFonts w:ascii="Palatino Linotype" w:hAnsi="Palatino Linotype" w:cs="Arial"/>
          <w:b/>
          <w:sz w:val="26"/>
          <w:szCs w:val="26"/>
        </w:rPr>
        <w:t>PTI</w:t>
      </w:r>
      <w:r w:rsidR="009978AF" w:rsidRPr="009026F3">
        <w:rPr>
          <w:rFonts w:ascii="Palatino Linotype" w:hAnsi="Palatino Linotype" w:cs="Arial"/>
          <w:b/>
          <w:sz w:val="26"/>
          <w:szCs w:val="26"/>
        </w:rPr>
        <w:t>MO</w:t>
      </w:r>
      <w:r w:rsidR="00915450" w:rsidRPr="009026F3">
        <w:rPr>
          <w:rFonts w:ascii="Palatino Linotype" w:hAnsi="Palatino Linotype" w:cs="Arial"/>
          <w:b/>
          <w:sz w:val="26"/>
          <w:szCs w:val="26"/>
        </w:rPr>
        <w:t>. De la ampliación del término para resolver</w:t>
      </w:r>
      <w:r w:rsidR="00915450" w:rsidRPr="009026F3">
        <w:rPr>
          <w:rFonts w:ascii="Palatino Linotype" w:hAnsi="Palatino Linotype" w:cs="Arial"/>
          <w:b/>
          <w:sz w:val="24"/>
          <w:szCs w:val="24"/>
        </w:rPr>
        <w:t>.</w:t>
      </w:r>
    </w:p>
    <w:p w:rsidR="00915450" w:rsidRDefault="00915450" w:rsidP="00915450">
      <w:pPr>
        <w:spacing w:line="360" w:lineRule="auto"/>
        <w:jc w:val="both"/>
        <w:rPr>
          <w:rFonts w:ascii="Palatino Linotype" w:hAnsi="Palatino Linotype" w:cs="Arial"/>
          <w:sz w:val="24"/>
          <w:szCs w:val="24"/>
        </w:rPr>
      </w:pPr>
      <w:r w:rsidRPr="009026F3">
        <w:rPr>
          <w:rFonts w:ascii="Palatino Linotype" w:hAnsi="Palatino Linotype" w:cs="Arial"/>
          <w:sz w:val="24"/>
          <w:szCs w:val="24"/>
        </w:rPr>
        <w:t xml:space="preserve">En fecha </w:t>
      </w:r>
      <w:r w:rsidR="00C900EA">
        <w:rPr>
          <w:rFonts w:ascii="Palatino Linotype" w:hAnsi="Palatino Linotype" w:cs="Arial"/>
          <w:sz w:val="24"/>
          <w:szCs w:val="24"/>
        </w:rPr>
        <w:t>diecisiete</w:t>
      </w:r>
      <w:r w:rsidR="00251C6D">
        <w:rPr>
          <w:rFonts w:ascii="Palatino Linotype" w:hAnsi="Palatino Linotype" w:cs="Arial"/>
          <w:sz w:val="24"/>
          <w:szCs w:val="24"/>
        </w:rPr>
        <w:t xml:space="preserve"> </w:t>
      </w:r>
      <w:r w:rsidR="00B754FD">
        <w:rPr>
          <w:rFonts w:ascii="Palatino Linotype" w:hAnsi="Palatino Linotype" w:cs="Arial"/>
          <w:sz w:val="24"/>
          <w:szCs w:val="24"/>
        </w:rPr>
        <w:t>de enero</w:t>
      </w:r>
      <w:r w:rsidR="005D5E76">
        <w:rPr>
          <w:rFonts w:ascii="Palatino Linotype" w:hAnsi="Palatino Linotype" w:cs="Arial"/>
          <w:sz w:val="24"/>
          <w:szCs w:val="24"/>
        </w:rPr>
        <w:t xml:space="preserve"> </w:t>
      </w:r>
      <w:r w:rsidR="00251C6D">
        <w:rPr>
          <w:rFonts w:ascii="Palatino Linotype" w:hAnsi="Palatino Linotype" w:cs="Arial"/>
          <w:sz w:val="24"/>
          <w:szCs w:val="24"/>
        </w:rPr>
        <w:t>de dos mil veinte</w:t>
      </w:r>
      <w:r w:rsidRPr="009026F3">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85EAA" w:rsidRDefault="00485EAA" w:rsidP="00485EAA">
      <w:pPr>
        <w:pStyle w:val="Sinespaciado"/>
      </w:pPr>
    </w:p>
    <w:p w:rsidR="000E28C7" w:rsidRDefault="000E28C7" w:rsidP="00485EAA">
      <w:pPr>
        <w:pStyle w:val="Sinespaciado"/>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0E631B" w:rsidRPr="00971417" w:rsidRDefault="000E631B" w:rsidP="00485EAA">
      <w:pPr>
        <w:pStyle w:val="Sinespaciado"/>
        <w:rPr>
          <w:sz w:val="8"/>
        </w:rPr>
      </w:pPr>
    </w:p>
    <w:p w:rsidR="00E64589" w:rsidRDefault="00E64589" w:rsidP="00971417"/>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21396E"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BB26EE">
        <w:rPr>
          <w:rFonts w:ascii="Palatino Linotype" w:hAnsi="Palatino Linotype"/>
          <w:sz w:val="24"/>
          <w:szCs w:val="24"/>
        </w:rPr>
        <w:t>El Recurrente</w:t>
      </w:r>
      <w:r w:rsidRPr="0014447C">
        <w:rPr>
          <w:rFonts w:ascii="Palatino Linotype" w:hAnsi="Palatino Linotype"/>
          <w:sz w:val="24"/>
          <w:szCs w:val="24"/>
        </w:rPr>
        <w:t xml:space="preserve"> conforme a lo dispuesto en los artículos 6, apartado A, fracción IV de la Constitución Política de los Estados Unidos Mexicanos, 5, párrafos vigésimo segundo</w:t>
      </w:r>
      <w:r w:rsidR="001D11F7">
        <w:rPr>
          <w:rFonts w:ascii="Palatino Linotype" w:hAnsi="Palatino Linotype"/>
          <w:sz w:val="24"/>
          <w:szCs w:val="24"/>
        </w:rPr>
        <w:t xml:space="preserve">, </w:t>
      </w:r>
      <w:r w:rsidR="00485EAA" w:rsidRPr="0014447C">
        <w:rPr>
          <w:rFonts w:ascii="Palatino Linotype" w:hAnsi="Palatino Linotype"/>
          <w:sz w:val="24"/>
          <w:szCs w:val="24"/>
        </w:rPr>
        <w:t xml:space="preserve">vigésimo </w:t>
      </w:r>
      <w:r w:rsidR="001D11F7">
        <w:rPr>
          <w:rFonts w:ascii="Palatino Linotype" w:hAnsi="Palatino Linotype"/>
          <w:sz w:val="24"/>
          <w:szCs w:val="24"/>
        </w:rPr>
        <w:t>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w:t>
      </w:r>
      <w:r w:rsidR="006E2615">
        <w:rPr>
          <w:rFonts w:ascii="Palatino Linotype" w:hAnsi="Palatino Linotype"/>
          <w:sz w:val="24"/>
          <w:szCs w:val="24"/>
        </w:rPr>
        <w:t>VI</w:t>
      </w:r>
      <w:r w:rsidRPr="0014447C">
        <w:rPr>
          <w:rFonts w:ascii="Palatino Linotype" w:hAnsi="Palatino Linotype"/>
          <w:sz w:val="24"/>
          <w:szCs w:val="24"/>
        </w:rPr>
        <w:t>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251C6D" w:rsidRPr="00937BFA" w:rsidRDefault="00251C6D" w:rsidP="0014447C">
      <w:pPr>
        <w:pStyle w:val="Sinespaciado"/>
        <w:spacing w:line="360" w:lineRule="auto"/>
        <w:jc w:val="both"/>
        <w:rPr>
          <w:rFonts w:ascii="Palatino Linotype" w:hAnsi="Palatino Linotype"/>
          <w:sz w:val="24"/>
          <w:szCs w:val="24"/>
        </w:rPr>
      </w:pPr>
    </w:p>
    <w:p w:rsidR="007E2E80" w:rsidRPr="0014447C" w:rsidRDefault="00937BFA" w:rsidP="0014447C">
      <w:pPr>
        <w:pStyle w:val="Sinespaciado"/>
        <w:spacing w:line="360" w:lineRule="auto"/>
        <w:jc w:val="both"/>
        <w:rPr>
          <w:rFonts w:ascii="Palatino Linotype" w:hAnsi="Palatino Linotype"/>
          <w:b/>
          <w:sz w:val="26"/>
          <w:szCs w:val="26"/>
        </w:rPr>
      </w:pPr>
      <w:r>
        <w:rPr>
          <w:rFonts w:ascii="Palatino Linotype" w:hAnsi="Palatino Linotype"/>
          <w:sz w:val="20"/>
          <w:szCs w:val="24"/>
        </w:rPr>
        <w:t xml:space="preserve"> </w:t>
      </w:r>
      <w:r w:rsidR="007E2E80" w:rsidRPr="0014447C">
        <w:rPr>
          <w:rFonts w:ascii="Palatino Linotype" w:hAnsi="Palatino Linotype"/>
          <w:b/>
          <w:sz w:val="26"/>
          <w:szCs w:val="26"/>
        </w:rPr>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34F75" w:rsidRDefault="00334F75" w:rsidP="00705D1C">
      <w:pPr>
        <w:pStyle w:val="Sinespaciado"/>
        <w:spacing w:line="360" w:lineRule="auto"/>
        <w:jc w:val="both"/>
        <w:rPr>
          <w:rFonts w:ascii="Palatino Linotype" w:hAnsi="Palatino Linotype"/>
          <w:b/>
          <w:sz w:val="26"/>
          <w:szCs w:val="26"/>
        </w:rPr>
      </w:pPr>
    </w:p>
    <w:p w:rsidR="00B754FD" w:rsidRDefault="00B754FD" w:rsidP="00B754FD">
      <w:pPr>
        <w:pStyle w:val="Sinespaciado"/>
        <w:spacing w:line="360" w:lineRule="auto"/>
        <w:jc w:val="both"/>
        <w:rPr>
          <w:rFonts w:ascii="Palatino Linotype" w:hAnsi="Palatino Linotype"/>
          <w:b/>
          <w:sz w:val="26"/>
          <w:szCs w:val="26"/>
        </w:rPr>
      </w:pPr>
      <w:r>
        <w:rPr>
          <w:rFonts w:ascii="Palatino Linotype" w:hAnsi="Palatino Linotype"/>
          <w:b/>
          <w:sz w:val="26"/>
          <w:szCs w:val="26"/>
        </w:rPr>
        <w:t>TERCERO. Previo y especial pronunciamiento.</w:t>
      </w:r>
    </w:p>
    <w:p w:rsidR="00B754FD" w:rsidRDefault="00B754FD" w:rsidP="00B754FD">
      <w:pPr>
        <w:pStyle w:val="Sinespaciado"/>
        <w:spacing w:line="360" w:lineRule="auto"/>
        <w:jc w:val="both"/>
        <w:rPr>
          <w:rFonts w:ascii="Palatino Linotype" w:hAnsi="Palatino Linotype"/>
          <w:sz w:val="24"/>
          <w:szCs w:val="24"/>
          <w:lang w:val="es-ES"/>
        </w:rPr>
      </w:pPr>
      <w:r w:rsidRPr="00890DBD">
        <w:rPr>
          <w:rFonts w:ascii="Palatino Linotype" w:hAnsi="Palatino Linotype"/>
          <w:sz w:val="24"/>
          <w:szCs w:val="24"/>
          <w:lang w:val="es-ES"/>
        </w:rPr>
        <w:t xml:space="preserve">El Recurso de Revisión en estudio contiene los elementos normativos de validez exigidos en la Ley de Transparencia y </w:t>
      </w:r>
      <w:r w:rsidRPr="00890DBD">
        <w:rPr>
          <w:rFonts w:ascii="Palatino Linotype" w:hAnsi="Palatino Linotype"/>
          <w:sz w:val="24"/>
          <w:szCs w:val="24"/>
          <w:lang w:val="es-ES_tradnl"/>
        </w:rPr>
        <w:t>Acceso a la Información Pública del Estado de México y Municipios</w:t>
      </w:r>
      <w:r w:rsidRPr="00890DBD">
        <w:rPr>
          <w:rFonts w:ascii="Palatino Linotype" w:hAnsi="Palatino Linotype"/>
          <w:sz w:val="24"/>
          <w:szCs w:val="24"/>
          <w:lang w:val="es-ES"/>
        </w:rPr>
        <w:t>, establecidos en el artículo 180 que enuncia:</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 xml:space="preserve">“Artículo 180. </w:t>
      </w:r>
      <w:r w:rsidRPr="00890DBD">
        <w:rPr>
          <w:rFonts w:ascii="Palatino Linotype" w:hAnsi="Palatino Linotype"/>
          <w:i/>
          <w:sz w:val="24"/>
          <w:szCs w:val="24"/>
          <w:lang w:val="es-ES"/>
        </w:rPr>
        <w:t>El recurso de revisión contendrá:</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 El sujeto obligado ante la cual se presentó la solicitud;</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II. El nombre del solicitante que recurre</w:t>
      </w:r>
      <w:r w:rsidRPr="00890DBD">
        <w:rPr>
          <w:rFonts w:ascii="Palatino Linotype" w:hAnsi="Palatino Linotype"/>
          <w:i/>
          <w:sz w:val="24"/>
          <w:szCs w:val="24"/>
          <w:lang w:val="es-ES"/>
        </w:rPr>
        <w:t xml:space="preserve"> o de su representante y, en su caso, del tercero interesado, así como la dirección o medio que señale para recibir notificaciones;</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III. El número de folio de respuesta de la solicitud de acceso;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IV. La fecha en que fue notificada la respuesta al solicitante o tuvo conocimiento del acto reclamado, o de presentación de la solicitud, en caso de falta de respuesta;</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 El acto que se recurre;</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lastRenderedPageBreak/>
        <w:t>VI. Las razones o motivos de inconformidad;</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VII. La copia de la respuesta que se impugna y, en su caso, de la notificación correspondiente, en el caso de respuesta de la solicitud; y</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VIII. Firma del recurrente, en su caso, cuando se presente por escrito, requisito sin el cual se dará trámite al recurso.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Adicionalmente, se podrán anexar las pruebas y demás elementos que considere procedentes someter a juicio del Instituto.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En ningún caso será necesario que el particular ratifique el recurso de revisión interpuesto.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En caso de que el recurso se interponga de manera electrónica no será indispensable que contengan los requisitos establecidos en las fracciones II</w:t>
      </w:r>
      <w:r w:rsidRPr="00890DBD">
        <w:rPr>
          <w:rFonts w:ascii="Palatino Linotype" w:hAnsi="Palatino Linotype"/>
          <w:i/>
          <w:sz w:val="24"/>
          <w:szCs w:val="24"/>
          <w:lang w:val="es-ES"/>
        </w:rPr>
        <w:t>, IV, VII y VIII.”</w:t>
      </w:r>
    </w:p>
    <w:p w:rsidR="00B754FD" w:rsidRPr="00311EE6" w:rsidRDefault="00B754FD" w:rsidP="00B754FD">
      <w:pPr>
        <w:pStyle w:val="Sinespaciado"/>
        <w:ind w:left="567" w:right="426"/>
        <w:jc w:val="both"/>
        <w:rPr>
          <w:rFonts w:ascii="Palatino Linotype" w:hAnsi="Palatino Linotype"/>
          <w:b/>
          <w:i/>
          <w:sz w:val="24"/>
          <w:szCs w:val="24"/>
          <w:lang w:val="es-ES"/>
        </w:rPr>
      </w:pPr>
      <w:r w:rsidRPr="00890DBD">
        <w:rPr>
          <w:rFonts w:ascii="Palatino Linotype" w:hAnsi="Palatino Linotype"/>
          <w:b/>
          <w:i/>
          <w:sz w:val="24"/>
          <w:szCs w:val="24"/>
          <w:lang w:val="es-ES"/>
        </w:rPr>
        <w:t>[Énfasis añadido]</w:t>
      </w:r>
    </w:p>
    <w:p w:rsidR="00B754FD" w:rsidRDefault="00B754FD" w:rsidP="00B754FD">
      <w:pPr>
        <w:pStyle w:val="Sinespaciado"/>
        <w:spacing w:line="360" w:lineRule="auto"/>
        <w:jc w:val="both"/>
        <w:rPr>
          <w:rFonts w:ascii="Palatino Linotype" w:hAnsi="Palatino Linotype"/>
          <w:sz w:val="24"/>
          <w:szCs w:val="24"/>
        </w:rPr>
      </w:pPr>
    </w:p>
    <w:p w:rsidR="00B754FD" w:rsidRDefault="00B754FD" w:rsidP="00B754FD">
      <w:pPr>
        <w:pStyle w:val="Sinespaciado"/>
        <w:spacing w:line="360" w:lineRule="auto"/>
        <w:jc w:val="both"/>
        <w:rPr>
          <w:rFonts w:ascii="Palatino Linotype" w:hAnsi="Palatino Linotype"/>
          <w:b/>
          <w:sz w:val="26"/>
          <w:szCs w:val="26"/>
        </w:rPr>
      </w:pPr>
      <w:r w:rsidRPr="00890DBD">
        <w:rPr>
          <w:rFonts w:ascii="Palatino Linotype" w:hAnsi="Palatino Linotype"/>
          <w:sz w:val="24"/>
          <w:szCs w:val="24"/>
        </w:rPr>
        <w:t xml:space="preserve">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w:t>
      </w:r>
      <w:r w:rsidRPr="00890DBD">
        <w:rPr>
          <w:rFonts w:ascii="Palatino Linotype" w:hAnsi="Palatino Linotype"/>
          <w:sz w:val="24"/>
          <w:szCs w:val="24"/>
        </w:rPr>
        <w:lastRenderedPageBreak/>
        <w:t>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r>
        <w:rPr>
          <w:rFonts w:ascii="Palatino Linotype" w:hAnsi="Palatino Linotype"/>
          <w:sz w:val="24"/>
          <w:szCs w:val="24"/>
        </w:rPr>
        <w:t>.</w:t>
      </w:r>
    </w:p>
    <w:p w:rsidR="00B754FD" w:rsidRDefault="00B754FD" w:rsidP="00705D1C">
      <w:pPr>
        <w:pStyle w:val="Sinespaciado"/>
        <w:spacing w:line="360" w:lineRule="auto"/>
        <w:jc w:val="both"/>
        <w:rPr>
          <w:rFonts w:ascii="Palatino Linotype" w:hAnsi="Palatino Linotype"/>
          <w:b/>
          <w:sz w:val="26"/>
          <w:szCs w:val="26"/>
        </w:rPr>
      </w:pPr>
    </w:p>
    <w:p w:rsidR="00705D1C" w:rsidRPr="0014447C" w:rsidRDefault="00B754FD"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B54F05" w:rsidRDefault="00B54F05" w:rsidP="00705D1C">
      <w:pPr>
        <w:pStyle w:val="Sinespaciado"/>
        <w:spacing w:line="360" w:lineRule="auto"/>
        <w:jc w:val="both"/>
        <w:rPr>
          <w:rFonts w:ascii="Palatino Linotype" w:hAnsi="Palatino Linotype"/>
          <w:sz w:val="24"/>
          <w:szCs w:val="24"/>
        </w:rPr>
      </w:pPr>
    </w:p>
    <w:p w:rsidR="007E2E80" w:rsidRPr="0014447C" w:rsidRDefault="00B754FD"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801391" w:rsidRPr="00B230B3" w:rsidRDefault="00801391" w:rsidP="00801391">
      <w:pPr>
        <w:pStyle w:val="Sinespaciado"/>
        <w:spacing w:line="360" w:lineRule="auto"/>
        <w:jc w:val="both"/>
        <w:rPr>
          <w:rFonts w:ascii="Palatino Linotype" w:hAnsi="Palatino Linotype"/>
          <w:sz w:val="24"/>
        </w:rPr>
      </w:pPr>
      <w:r w:rsidRPr="00B230B3">
        <w:rPr>
          <w:rFonts w:ascii="Palatino Linotype" w:hAnsi="Palatino Linotype"/>
          <w:sz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w:t>
      </w:r>
      <w:r w:rsidRPr="00B230B3">
        <w:rPr>
          <w:rFonts w:ascii="Palatino Linotype" w:hAnsi="Palatino Linotype"/>
          <w:sz w:val="24"/>
        </w:rPr>
        <w:lastRenderedPageBreak/>
        <w:t>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01391" w:rsidRPr="00B230B3" w:rsidRDefault="00801391" w:rsidP="00801391">
      <w:pPr>
        <w:pStyle w:val="Sinespaciado"/>
        <w:spacing w:line="360" w:lineRule="auto"/>
        <w:jc w:val="both"/>
        <w:rPr>
          <w:rFonts w:ascii="Palatino Linotype" w:hAnsi="Palatino Linotype"/>
          <w:sz w:val="24"/>
        </w:rPr>
      </w:pPr>
    </w:p>
    <w:p w:rsidR="00801391" w:rsidRPr="00B230B3" w:rsidRDefault="00801391" w:rsidP="00801391">
      <w:pPr>
        <w:pStyle w:val="Sinespaciado"/>
        <w:spacing w:line="360" w:lineRule="auto"/>
        <w:jc w:val="both"/>
        <w:rPr>
          <w:rFonts w:ascii="Palatino Linotype" w:hAnsi="Palatino Linotype"/>
          <w:color w:val="000000"/>
          <w:sz w:val="24"/>
        </w:rPr>
      </w:pPr>
      <w:r w:rsidRPr="00B230B3">
        <w:rPr>
          <w:rFonts w:ascii="Palatino Linotype" w:hAnsi="Palatino Linotype"/>
          <w:sz w:val="24"/>
        </w:rPr>
        <w:t xml:space="preserve">En primer lugar </w:t>
      </w:r>
      <w:r w:rsidRPr="00B230B3">
        <w:rPr>
          <w:rFonts w:ascii="Palatino Linotype" w:hAnsi="Palatino Linotype"/>
          <w:color w:val="000000"/>
          <w:sz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r>
        <w:rPr>
          <w:rFonts w:ascii="Palatino Linotype" w:hAnsi="Palatino Linotype"/>
          <w:color w:val="000000"/>
          <w:sz w:val="24"/>
        </w:rPr>
        <w:t>;</w:t>
      </w:r>
      <w:r w:rsidRPr="00B230B3">
        <w:rPr>
          <w:rFonts w:ascii="Palatino Linotype" w:hAnsi="Palatino Linotype"/>
          <w:color w:val="000000"/>
          <w:sz w:val="24"/>
        </w:rPr>
        <w:t xml:space="preserve"> </w:t>
      </w:r>
    </w:p>
    <w:p w:rsidR="00801391" w:rsidRPr="00407282" w:rsidRDefault="00801391" w:rsidP="00801391">
      <w:pPr>
        <w:pStyle w:val="Sinespaciado"/>
        <w:spacing w:line="360" w:lineRule="auto"/>
        <w:jc w:val="both"/>
        <w:rPr>
          <w:rFonts w:ascii="Palatino Linotype" w:hAnsi="Palatino Linotype"/>
          <w:color w:val="000000"/>
        </w:rPr>
      </w:pPr>
    </w:p>
    <w:p w:rsidR="00801391" w:rsidRPr="004E6B5B" w:rsidRDefault="00801391" w:rsidP="00801391">
      <w:pPr>
        <w:pStyle w:val="Sinespaciado"/>
        <w:ind w:left="567" w:right="567"/>
        <w:jc w:val="both"/>
        <w:rPr>
          <w:rFonts w:ascii="Palatino Linotype" w:hAnsi="Palatino Linotype"/>
          <w:b/>
          <w:i/>
        </w:rPr>
      </w:pPr>
      <w:r w:rsidRPr="004E6B5B">
        <w:rPr>
          <w:rFonts w:ascii="Palatino Linotype" w:hAnsi="Palatino Linotype"/>
          <w:b/>
          <w:i/>
        </w:rPr>
        <w:t>Artículo 6</w:t>
      </w:r>
    </w:p>
    <w:p w:rsidR="00801391" w:rsidRPr="004E6B5B" w:rsidRDefault="00801391" w:rsidP="00801391">
      <w:pPr>
        <w:pStyle w:val="Sinespaciado"/>
        <w:ind w:left="567" w:right="567"/>
        <w:jc w:val="both"/>
        <w:rPr>
          <w:rFonts w:ascii="Palatino Linotype" w:hAnsi="Palatino Linotype"/>
          <w:i/>
        </w:rPr>
      </w:pPr>
      <w:r w:rsidRPr="004E6B5B">
        <w:rPr>
          <w:rFonts w:ascii="Palatino Linotype" w:hAnsi="Palatino Linotype"/>
          <w:i/>
        </w:rPr>
        <w:t>…</w:t>
      </w:r>
    </w:p>
    <w:p w:rsidR="00801391" w:rsidRPr="004E6B5B" w:rsidRDefault="00801391" w:rsidP="00801391">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801391" w:rsidRPr="004E6B5B" w:rsidRDefault="00801391" w:rsidP="00801391">
      <w:pPr>
        <w:pStyle w:val="Sinespaciado"/>
        <w:ind w:left="567" w:right="567"/>
        <w:jc w:val="both"/>
        <w:rPr>
          <w:rFonts w:ascii="Palatino Linotype" w:hAnsi="Palatino Linotype"/>
          <w:i/>
        </w:rPr>
      </w:pPr>
    </w:p>
    <w:p w:rsidR="00801391" w:rsidRDefault="00801391" w:rsidP="00801391">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w:t>
      </w:r>
    </w:p>
    <w:p w:rsidR="00801391" w:rsidRDefault="00801391" w:rsidP="00801391">
      <w:pPr>
        <w:pStyle w:val="Sinespaciado"/>
        <w:numPr>
          <w:ilvl w:val="0"/>
          <w:numId w:val="14"/>
        </w:numPr>
        <w:ind w:left="993" w:right="567"/>
        <w:jc w:val="both"/>
        <w:rPr>
          <w:rFonts w:ascii="Palatino Linotype" w:hAnsi="Palatino Linotype"/>
          <w:i/>
        </w:rPr>
      </w:pPr>
      <w:r w:rsidRPr="004E6B5B">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w:t>
      </w:r>
      <w:r w:rsidRPr="004E6B5B">
        <w:rPr>
          <w:rFonts w:ascii="Palatino Linotype" w:hAnsi="Palatino Linotype"/>
          <w:i/>
        </w:rPr>
        <w:lastRenderedPageBreak/>
        <w:t>facultades, competencias o funciones, la ley determinará los supuestos específicos bajo los cuales procederá la declaración de inexistencia de la información.</w:t>
      </w:r>
    </w:p>
    <w:p w:rsidR="00801391" w:rsidRPr="00407282" w:rsidRDefault="00801391" w:rsidP="00801391">
      <w:pPr>
        <w:pStyle w:val="Sinespaciado"/>
        <w:spacing w:line="360" w:lineRule="auto"/>
        <w:jc w:val="both"/>
        <w:rPr>
          <w:rFonts w:ascii="Palatino Linotype" w:hAnsi="Palatino Linotype"/>
        </w:rPr>
      </w:pPr>
    </w:p>
    <w:p w:rsidR="00801391" w:rsidRPr="00407282" w:rsidRDefault="00801391" w:rsidP="00801391">
      <w:pPr>
        <w:pStyle w:val="Sinespaciado"/>
        <w:spacing w:line="360" w:lineRule="auto"/>
        <w:jc w:val="both"/>
        <w:rPr>
          <w:rFonts w:ascii="Palatino Linotype" w:hAnsi="Palatino Linotype" w:cs="Arial"/>
        </w:rPr>
      </w:pPr>
      <w:r w:rsidRPr="00B230B3">
        <w:rPr>
          <w:rFonts w:ascii="Palatino Linotype" w:hAnsi="Palatino Linotype" w:cs="Arial"/>
          <w:sz w:val="24"/>
        </w:rPr>
        <w:t xml:space="preserve">Ahora bien, en atención a lo dispuesto por los artículos 3, fracción XI y 12 </w:t>
      </w:r>
      <w:r w:rsidRPr="00B230B3">
        <w:rPr>
          <w:rFonts w:ascii="Palatino Linotype" w:hAnsi="Palatino Linotype" w:cs="Arial"/>
          <w:bCs/>
          <w:sz w:val="24"/>
        </w:rPr>
        <w:t>de la Ley de Transparencia y Acceso a la Información Pública del Estado de México y Municipios</w:t>
      </w:r>
      <w:r w:rsidRPr="00B230B3">
        <w:rPr>
          <w:rFonts w:ascii="Palatino Linotype" w:hAnsi="Palatino Linotype" w:cs="Arial"/>
          <w:sz w:val="24"/>
        </w:rPr>
        <w:t>, los cuales son del tenor literal siguiente</w:t>
      </w:r>
      <w:r w:rsidRPr="00407282">
        <w:rPr>
          <w:rFonts w:ascii="Palatino Linotype" w:hAnsi="Palatino Linotype" w:cs="Arial"/>
        </w:rPr>
        <w:t>:</w:t>
      </w:r>
    </w:p>
    <w:p w:rsidR="00801391" w:rsidRPr="00407282" w:rsidRDefault="00801391" w:rsidP="00801391">
      <w:pPr>
        <w:pStyle w:val="Sinespaciado"/>
        <w:ind w:left="567" w:right="567"/>
        <w:jc w:val="both"/>
        <w:rPr>
          <w:rFonts w:ascii="Palatino Linotype" w:hAnsi="Palatino Linotype"/>
        </w:rPr>
      </w:pP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i/>
        </w:rPr>
        <w:t>…</w:t>
      </w: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801391" w:rsidRPr="006376FA" w:rsidRDefault="00801391" w:rsidP="00801391">
      <w:pPr>
        <w:pStyle w:val="Sinespaciado"/>
        <w:ind w:left="567" w:right="567"/>
        <w:jc w:val="both"/>
        <w:rPr>
          <w:rFonts w:ascii="Palatino Linotype" w:hAnsi="Palatino Linotype"/>
          <w:i/>
        </w:rPr>
      </w:pPr>
    </w:p>
    <w:p w:rsidR="00801391" w:rsidRPr="006376FA" w:rsidRDefault="00801391" w:rsidP="00801391">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01391" w:rsidRPr="006376FA" w:rsidRDefault="00801391" w:rsidP="00801391">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01391" w:rsidRPr="006376FA" w:rsidRDefault="00801391" w:rsidP="00801391">
      <w:pPr>
        <w:pStyle w:val="Sinespaciado"/>
        <w:ind w:left="567" w:right="567"/>
        <w:jc w:val="both"/>
        <w:rPr>
          <w:rFonts w:ascii="Palatino Linotype" w:hAnsi="Palatino Linotype"/>
          <w:bCs/>
          <w:i/>
        </w:rPr>
      </w:pPr>
    </w:p>
    <w:p w:rsidR="00801391" w:rsidRPr="006376FA" w:rsidRDefault="00801391" w:rsidP="00801391">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801391" w:rsidRPr="006376FA" w:rsidRDefault="00801391" w:rsidP="00801391">
      <w:pPr>
        <w:pStyle w:val="Sinespaciado"/>
        <w:ind w:left="567" w:right="567"/>
        <w:jc w:val="both"/>
        <w:rPr>
          <w:rFonts w:ascii="Palatino Linotype" w:hAnsi="Palatino Linotype"/>
          <w:i/>
        </w:rPr>
      </w:pP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01391" w:rsidRPr="006376FA" w:rsidRDefault="00801391" w:rsidP="00801391">
      <w:pPr>
        <w:pStyle w:val="Sinespaciado"/>
        <w:ind w:left="567" w:right="567"/>
        <w:jc w:val="both"/>
        <w:rPr>
          <w:rFonts w:ascii="Palatino Linotype" w:hAnsi="Palatino Linotype"/>
          <w:i/>
        </w:rPr>
      </w:pPr>
    </w:p>
    <w:p w:rsidR="00801391" w:rsidRPr="004E6B5B" w:rsidRDefault="00801391" w:rsidP="00801391">
      <w:pPr>
        <w:pStyle w:val="Sinespaciado"/>
        <w:ind w:left="567" w:right="567"/>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801391" w:rsidRPr="00407282" w:rsidRDefault="00801391" w:rsidP="00801391">
      <w:pPr>
        <w:pStyle w:val="Sinespaciado"/>
        <w:spacing w:line="360" w:lineRule="auto"/>
        <w:jc w:val="both"/>
        <w:rPr>
          <w:rFonts w:ascii="Palatino Linotype" w:hAnsi="Palatino Linotype"/>
        </w:rPr>
      </w:pPr>
    </w:p>
    <w:p w:rsidR="00801391" w:rsidRDefault="00801391" w:rsidP="00801391">
      <w:pPr>
        <w:pStyle w:val="Sinespaciado"/>
        <w:spacing w:line="360" w:lineRule="auto"/>
        <w:jc w:val="both"/>
        <w:rPr>
          <w:rFonts w:ascii="Palatino Linotype" w:hAnsi="Palatino Linotype" w:cs="Arial"/>
          <w:sz w:val="24"/>
        </w:rPr>
      </w:pPr>
      <w:r w:rsidRPr="001837DE">
        <w:rPr>
          <w:rFonts w:ascii="Palatino Linotype" w:hAnsi="Palatino Linotype" w:cs="Arial"/>
          <w:sz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01391" w:rsidRDefault="00801391" w:rsidP="00801391">
      <w:pPr>
        <w:pStyle w:val="Sinespaciado"/>
      </w:pPr>
    </w:p>
    <w:p w:rsidR="00B754FD" w:rsidRPr="008A5B06" w:rsidRDefault="00B754FD" w:rsidP="00B754FD">
      <w:pPr>
        <w:pStyle w:val="Sinespaciado"/>
        <w:spacing w:line="360" w:lineRule="auto"/>
        <w:jc w:val="both"/>
        <w:rPr>
          <w:rFonts w:ascii="Palatino Linotype" w:hAnsi="Palatino Linotype" w:cs="Arial"/>
          <w:sz w:val="24"/>
        </w:rPr>
      </w:pPr>
      <w:r w:rsidRPr="008A5B06">
        <w:rPr>
          <w:rFonts w:ascii="Palatino Linotype" w:hAnsi="Palatino Linotype" w:cs="Arial"/>
          <w:sz w:val="24"/>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rsidR="00B754FD" w:rsidRPr="008A5B06" w:rsidRDefault="00B754FD" w:rsidP="00B754FD">
      <w:pPr>
        <w:pStyle w:val="Sinespaciado"/>
        <w:spacing w:line="360" w:lineRule="auto"/>
        <w:jc w:val="both"/>
        <w:rPr>
          <w:rFonts w:ascii="Palatino Linotype" w:hAnsi="Palatino Linotype" w:cs="Arial"/>
          <w:sz w:val="24"/>
        </w:rPr>
      </w:pPr>
    </w:p>
    <w:p w:rsidR="00B754FD" w:rsidRPr="008A5B06" w:rsidRDefault="00B754FD" w:rsidP="00B754FD">
      <w:pPr>
        <w:pStyle w:val="Sinespaciado"/>
        <w:spacing w:line="360" w:lineRule="auto"/>
        <w:jc w:val="both"/>
        <w:rPr>
          <w:rFonts w:ascii="Palatino Linotype" w:hAnsi="Palatino Linotype" w:cs="Arial"/>
          <w:sz w:val="24"/>
        </w:rPr>
      </w:pPr>
      <w:r w:rsidRPr="008A5B06">
        <w:rPr>
          <w:rFonts w:ascii="Palatino Linotype" w:hAnsi="Palatino Linotype" w:cs="Arial"/>
          <w:sz w:val="24"/>
        </w:rPr>
        <w:t xml:space="preserve">De ello resulta necesario admitir que en el momento en que un ciudadano solicita información a través de la Plataforma Nacional de Transparencia, respecto de un </w:t>
      </w:r>
      <w:r w:rsidRPr="008A5B06">
        <w:rPr>
          <w:rFonts w:ascii="Palatino Linotype" w:hAnsi="Palatino Linotype" w:cs="Arial"/>
          <w:sz w:val="24"/>
        </w:rPr>
        <w:lastRenderedPageBreak/>
        <w:t>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rsidR="00B754FD" w:rsidRPr="008A5B06" w:rsidRDefault="00B754FD" w:rsidP="00B754FD">
      <w:pPr>
        <w:pStyle w:val="Sinespaciado"/>
        <w:spacing w:line="360" w:lineRule="auto"/>
        <w:jc w:val="both"/>
        <w:rPr>
          <w:rFonts w:ascii="Palatino Linotype" w:hAnsi="Palatino Linotype" w:cs="Arial"/>
          <w:sz w:val="24"/>
        </w:rPr>
      </w:pPr>
    </w:p>
    <w:p w:rsidR="00B754FD" w:rsidRPr="00B754FD" w:rsidRDefault="00B754FD" w:rsidP="00B754FD">
      <w:pPr>
        <w:pStyle w:val="Sinespaciado"/>
        <w:spacing w:line="360" w:lineRule="auto"/>
        <w:jc w:val="both"/>
        <w:rPr>
          <w:rFonts w:ascii="Palatino Linotype" w:hAnsi="Palatino Linotype"/>
          <w:sz w:val="24"/>
          <w:szCs w:val="24"/>
          <w:lang w:eastAsia="es-MX"/>
        </w:rPr>
      </w:pPr>
      <w:r w:rsidRPr="00B754FD">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rsidR="00B754FD" w:rsidRDefault="00B754FD" w:rsidP="00801391">
      <w:pPr>
        <w:pStyle w:val="Sinespaciado"/>
        <w:spacing w:line="360" w:lineRule="auto"/>
        <w:jc w:val="both"/>
        <w:rPr>
          <w:rFonts w:ascii="Palatino Linotype" w:hAnsi="Palatino Linotype"/>
          <w:sz w:val="24"/>
          <w:szCs w:val="24"/>
          <w:lang w:eastAsia="es-MX"/>
        </w:rPr>
      </w:pPr>
    </w:p>
    <w:p w:rsidR="00801391" w:rsidRDefault="00801391" w:rsidP="00801391">
      <w:pPr>
        <w:pStyle w:val="Sinespaciado"/>
        <w:spacing w:line="360" w:lineRule="auto"/>
        <w:jc w:val="both"/>
        <w:rPr>
          <w:rFonts w:ascii="Palatino Linotype" w:hAnsi="Palatino Linotype"/>
          <w:sz w:val="24"/>
          <w:szCs w:val="24"/>
          <w:lang w:eastAsia="es-MX"/>
        </w:rPr>
      </w:pPr>
      <w:r w:rsidRPr="00B231BC">
        <w:rPr>
          <w:rFonts w:ascii="Palatino Linotype" w:hAnsi="Palatino Linotype"/>
          <w:sz w:val="24"/>
          <w:szCs w:val="24"/>
          <w:lang w:eastAsia="es-MX"/>
        </w:rPr>
        <w:t xml:space="preserve">En este sentido nuestro estudio versará en determinar si la información remitida mediante respuesta, colma el derecho de acceso a la información solicitado por </w:t>
      </w:r>
      <w:r>
        <w:rPr>
          <w:rFonts w:ascii="Palatino Linotype" w:hAnsi="Palatino Linotype"/>
          <w:b/>
          <w:sz w:val="24"/>
          <w:szCs w:val="24"/>
          <w:lang w:eastAsia="es-MX"/>
        </w:rPr>
        <w:t>El Recurrente</w:t>
      </w:r>
      <w:r w:rsidRPr="00B231BC">
        <w:rPr>
          <w:rFonts w:ascii="Palatino Linotype" w:hAnsi="Palatino Linotype"/>
          <w:sz w:val="24"/>
          <w:szCs w:val="24"/>
          <w:lang w:eastAsia="es-MX"/>
        </w:rPr>
        <w:t>, para ello analizaremos lo solicitado y la información proporcionada.</w:t>
      </w:r>
    </w:p>
    <w:p w:rsidR="00801391" w:rsidRDefault="00801391" w:rsidP="00801391">
      <w:pPr>
        <w:pStyle w:val="Prrafodelista"/>
        <w:autoSpaceDE w:val="0"/>
        <w:autoSpaceDN w:val="0"/>
        <w:adjustRightInd w:val="0"/>
        <w:spacing w:line="360" w:lineRule="auto"/>
        <w:ind w:left="0"/>
        <w:jc w:val="both"/>
        <w:rPr>
          <w:rFonts w:ascii="Palatino Linotype" w:hAnsi="Palatino Linotype" w:cs="Arial"/>
        </w:rPr>
      </w:pPr>
    </w:p>
    <w:p w:rsidR="00801391" w:rsidRDefault="00B32ABB" w:rsidP="00F0487D">
      <w:pPr>
        <w:pStyle w:val="Prrafodelista"/>
        <w:numPr>
          <w:ilvl w:val="0"/>
          <w:numId w:val="33"/>
        </w:numPr>
        <w:autoSpaceDE w:val="0"/>
        <w:autoSpaceDN w:val="0"/>
        <w:adjustRightInd w:val="0"/>
        <w:spacing w:line="360" w:lineRule="auto"/>
        <w:ind w:left="851" w:right="851" w:hanging="284"/>
        <w:jc w:val="both"/>
        <w:rPr>
          <w:rFonts w:ascii="Palatino Linotype" w:hAnsi="Palatino Linotype" w:cs="Arial"/>
        </w:rPr>
      </w:pPr>
      <w:r>
        <w:rPr>
          <w:rFonts w:ascii="Palatino Linotype" w:hAnsi="Palatino Linotype" w:cs="Arial"/>
        </w:rPr>
        <w:t>D</w:t>
      </w:r>
      <w:r w:rsidRPr="00B32ABB">
        <w:rPr>
          <w:rFonts w:ascii="Palatino Linotype" w:hAnsi="Palatino Linotype" w:cs="Arial"/>
        </w:rPr>
        <w:t>e los recursos federales</w:t>
      </w:r>
      <w:r>
        <w:rPr>
          <w:rFonts w:ascii="Palatino Linotype" w:hAnsi="Palatino Linotype" w:cs="Arial"/>
        </w:rPr>
        <w:t xml:space="preserve"> y estatales recibidos en 2019</w:t>
      </w:r>
      <w:r w:rsidRPr="00B32ABB">
        <w:rPr>
          <w:rFonts w:ascii="Palatino Linotype" w:hAnsi="Palatino Linotype" w:cs="Arial"/>
        </w:rPr>
        <w:t xml:space="preserve"> facturas</w:t>
      </w:r>
      <w:r w:rsidR="001A0461">
        <w:rPr>
          <w:rFonts w:ascii="Palatino Linotype" w:hAnsi="Palatino Linotype" w:cs="Arial"/>
        </w:rPr>
        <w:t xml:space="preserve"> y</w:t>
      </w:r>
      <w:r w:rsidRPr="00B32ABB">
        <w:rPr>
          <w:rFonts w:ascii="Palatino Linotype" w:hAnsi="Palatino Linotype" w:cs="Arial"/>
        </w:rPr>
        <w:t xml:space="preserve"> contratos de los bienes comprados</w:t>
      </w:r>
      <w:r w:rsidR="001A0461">
        <w:rPr>
          <w:rFonts w:ascii="Palatino Linotype" w:hAnsi="Palatino Linotype" w:cs="Arial"/>
        </w:rPr>
        <w:t xml:space="preserve"> y/o</w:t>
      </w:r>
      <w:r w:rsidR="00211739">
        <w:rPr>
          <w:rFonts w:ascii="Palatino Linotype" w:hAnsi="Palatino Linotype" w:cs="Arial"/>
        </w:rPr>
        <w:t xml:space="preserve"> arrendados</w:t>
      </w:r>
      <w:r w:rsidRPr="00B32ABB">
        <w:rPr>
          <w:rFonts w:ascii="Palatino Linotype" w:hAnsi="Palatino Linotype" w:cs="Arial"/>
        </w:rPr>
        <w:t xml:space="preserve"> para seguridad</w:t>
      </w:r>
      <w:r w:rsidR="00F0487D">
        <w:rPr>
          <w:rFonts w:ascii="Palatino Linotype" w:hAnsi="Palatino Linotype" w:cs="Arial"/>
        </w:rPr>
        <w:t>,</w:t>
      </w:r>
      <w:r w:rsidRPr="00B32ABB">
        <w:rPr>
          <w:rFonts w:ascii="Palatino Linotype" w:hAnsi="Palatino Linotype" w:cs="Arial"/>
        </w:rPr>
        <w:t xml:space="preserve"> incluidas patrullas</w:t>
      </w:r>
      <w:r w:rsidR="00F0487D">
        <w:rPr>
          <w:rFonts w:ascii="Palatino Linotype" w:hAnsi="Palatino Linotype" w:cs="Arial"/>
        </w:rPr>
        <w:t>, radios y uniformes.</w:t>
      </w:r>
    </w:p>
    <w:p w:rsidR="00801391" w:rsidRPr="009A3626" w:rsidRDefault="00801391" w:rsidP="00801391">
      <w:pPr>
        <w:pStyle w:val="Prrafodelista"/>
        <w:autoSpaceDE w:val="0"/>
        <w:autoSpaceDN w:val="0"/>
        <w:adjustRightInd w:val="0"/>
        <w:spacing w:line="360" w:lineRule="auto"/>
        <w:ind w:left="720"/>
        <w:jc w:val="both"/>
        <w:rPr>
          <w:rFonts w:ascii="Palatino Linotype" w:hAnsi="Palatino Linotype"/>
          <w:sz w:val="14"/>
        </w:rPr>
      </w:pPr>
    </w:p>
    <w:p w:rsidR="00801391"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En este sentido, es pertinente enfatizar lo que respecto al derecho de acceso a la información pública, refiere el artículo 6º de la Constitución Política de los Estados Unidos Mexicanos, que en su parte conducente señala:</w:t>
      </w:r>
    </w:p>
    <w:p w:rsidR="00801391" w:rsidRPr="00833B24" w:rsidRDefault="00801391" w:rsidP="00801391">
      <w:pPr>
        <w:pStyle w:val="Sinespaciado"/>
        <w:spacing w:line="360" w:lineRule="auto"/>
        <w:jc w:val="both"/>
        <w:rPr>
          <w:rFonts w:ascii="Palatino Linotype" w:hAnsi="Palatino Linotype"/>
          <w:sz w:val="24"/>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lastRenderedPageBreak/>
        <w:t>Artículo 6o.</w:t>
      </w:r>
      <w:r w:rsidRPr="006010FE">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rPr>
        <w:t>El derecho a la información será garantizado por el Estado.</w:t>
      </w:r>
      <w:r w:rsidRPr="006010FE">
        <w:rPr>
          <w:rFonts w:ascii="Palatino Linotype" w:hAnsi="Palatino Linotype"/>
          <w:i/>
        </w:rPr>
        <w:t xml:space="preserve"> </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Toda persona tiene derecho al libre acceso a información plural y oportuna, así como a buscar, recibir y difundir información e ideas de toda índole por cualquier medio de expresión.</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Para efectos de lo dispuesto en el presente artículo se observará lo siguiente:</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I. Toda la información en posesión de</w:t>
      </w:r>
      <w:r w:rsidRPr="006010FE">
        <w:rPr>
          <w:rFonts w:ascii="Palatino Linotype" w:hAnsi="Palatino Linotype"/>
          <w:i/>
        </w:rPr>
        <w:t xml:space="preserve"> </w:t>
      </w:r>
      <w:r w:rsidRPr="006010FE">
        <w:rPr>
          <w:rFonts w:ascii="Palatino Linotype" w:hAnsi="Palatino Linotype"/>
          <w:b/>
          <w:i/>
        </w:rPr>
        <w:t>cualquier autoridad</w:t>
      </w:r>
      <w:r w:rsidRPr="006010FE">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rPr>
        <w:t>en el ámbito federal, estatal y municipal, es pública</w:t>
      </w:r>
      <w:r w:rsidRPr="006010FE">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rPr>
        <w:t>Los sujetos obligados deberán documentar todo acto que derive del ejercicio de sus facultades, competencias o funciones</w:t>
      </w:r>
      <w:r w:rsidRPr="006010FE">
        <w:rPr>
          <w:rFonts w:ascii="Palatino Linotype" w:hAnsi="Palatino Linotype"/>
          <w:i/>
        </w:rPr>
        <w:t>, la ley determinará los supuestos específicos bajo los cuales procederá la declaración de inexistencia de la información.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 La información que se refiere a la vida privada y los datos personales será protegida en los términos y con las excepciones que fijen las leyes.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V. Los sujetos obligados deberán preservar sus documentos en archivos administrativos actualizados y publicarán, a través de los medios electrónicos disponibles</w:t>
      </w:r>
      <w:r w:rsidRPr="006010FE">
        <w:rPr>
          <w:rFonts w:ascii="Palatino Linotype" w:hAnsi="Palatino Linotype"/>
          <w:i/>
        </w:rPr>
        <w:t xml:space="preserve">, </w:t>
      </w:r>
      <w:r w:rsidRPr="006010FE">
        <w:rPr>
          <w:rFonts w:ascii="Palatino Linotype" w:hAnsi="Palatino Linotype"/>
          <w:b/>
          <w:i/>
        </w:rPr>
        <w:t xml:space="preserve">la información completa y actualizada sobre el ejercicio de los recursos públicos </w:t>
      </w:r>
      <w:r w:rsidRPr="006010FE">
        <w:rPr>
          <w:rFonts w:ascii="Palatino Linotype" w:hAnsi="Palatino Linotype"/>
          <w:i/>
        </w:rPr>
        <w:t>y los indicadores que permitan rendir cuenta del cumplimiento de sus objetivos y de los resultados obtenidos.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lastRenderedPageBreak/>
        <w:t>VI. Las leyes determinarán la manera en que los sujetos obligados deberán hacer pública la información relativa a los recursos públicos que entreguen a personas físicas o morales.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 La inobservancia a las disposiciones en materia de acceso a la información pública será sancionada en los términos que dispongan las leyes.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La ley establecerá aquella información que se considere reservada o confidencial.</w:t>
      </w:r>
    </w:p>
    <w:p w:rsidR="00801391" w:rsidRDefault="00801391" w:rsidP="00801391">
      <w:pPr>
        <w:pStyle w:val="Sinespaciado"/>
        <w:spacing w:line="360" w:lineRule="auto"/>
        <w:jc w:val="both"/>
        <w:rPr>
          <w:rFonts w:ascii="Palatino Linotype" w:hAnsi="Palatino Linotype"/>
          <w:sz w:val="24"/>
        </w:rPr>
      </w:pPr>
    </w:p>
    <w:p w:rsidR="00801391"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Por su parte, la Constitución Política del Estado Libre y Soberano de México, en su artículo 5°, dispone en su parte conducente, lo siguiente:</w:t>
      </w:r>
    </w:p>
    <w:p w:rsidR="00801391" w:rsidRPr="00833B24" w:rsidRDefault="00801391" w:rsidP="00801391">
      <w:pPr>
        <w:pStyle w:val="Sinespaciado"/>
        <w:spacing w:line="360" w:lineRule="auto"/>
        <w:jc w:val="both"/>
        <w:rPr>
          <w:rFonts w:ascii="Palatino Linotype" w:hAnsi="Palatino Linotype"/>
          <w:sz w:val="24"/>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801391" w:rsidRPr="006010FE" w:rsidRDefault="00801391" w:rsidP="00801391">
      <w:pPr>
        <w:pStyle w:val="Sinespaciado"/>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801391" w:rsidRPr="006010FE" w:rsidRDefault="00801391" w:rsidP="00801391">
      <w:pPr>
        <w:pStyle w:val="Sinespaciado"/>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6010FE">
        <w:rPr>
          <w:rFonts w:ascii="Palatino Linotype" w:hAnsi="Palatino Linotype"/>
          <w:i/>
        </w:rPr>
        <w:lastRenderedPageBreak/>
        <w:t>competencias o funciones, la ley determinará los supuestos específicos bajo los cuales procederá la declaración de inexistencia de la información.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01391" w:rsidRPr="006010FE" w:rsidRDefault="00801391" w:rsidP="00801391">
      <w:pPr>
        <w:pStyle w:val="Sinespaciado"/>
        <w:spacing w:line="360" w:lineRule="auto"/>
        <w:jc w:val="both"/>
        <w:rPr>
          <w:rFonts w:ascii="Palatino Linotype" w:hAnsi="Palatino Linotype"/>
        </w:rPr>
      </w:pPr>
    </w:p>
    <w:p w:rsidR="00801391" w:rsidRPr="00833B24"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En ese orden de ideas, la Ley de Transparencia y Acceso a la Información Pública del Estado de México y Municipios, prevé en su artículo 23, lo siguiente:</w:t>
      </w:r>
    </w:p>
    <w:p w:rsidR="00801391" w:rsidRPr="006010FE" w:rsidRDefault="00801391" w:rsidP="00801391">
      <w:pPr>
        <w:pStyle w:val="Sinespaciado"/>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lastRenderedPageBreak/>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 Los órganos autónomos;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801391" w:rsidRDefault="00801391" w:rsidP="00801391">
      <w:pPr>
        <w:pStyle w:val="Sinespaciado"/>
        <w:spacing w:line="360" w:lineRule="auto"/>
        <w:jc w:val="both"/>
        <w:rPr>
          <w:rFonts w:ascii="Palatino Linotype" w:hAnsi="Palatino Linotype"/>
          <w:sz w:val="24"/>
        </w:rPr>
      </w:pPr>
    </w:p>
    <w:p w:rsidR="00801391"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801391" w:rsidRPr="00833B24" w:rsidRDefault="00801391" w:rsidP="00801391">
      <w:pPr>
        <w:pStyle w:val="Sinespaciado"/>
        <w:spacing w:line="360" w:lineRule="auto"/>
        <w:jc w:val="both"/>
        <w:rPr>
          <w:rFonts w:ascii="Palatino Linotype" w:hAnsi="Palatino Linotype"/>
          <w:sz w:val="24"/>
        </w:rPr>
      </w:pPr>
    </w:p>
    <w:p w:rsidR="00801391" w:rsidRPr="00B20846" w:rsidRDefault="00801391" w:rsidP="00801391">
      <w:pPr>
        <w:tabs>
          <w:tab w:val="left" w:pos="7938"/>
        </w:tabs>
        <w:spacing w:line="360" w:lineRule="auto"/>
        <w:jc w:val="both"/>
        <w:rPr>
          <w:rFonts w:ascii="Palatino Linotype" w:hAnsi="Palatino Linotype" w:cs="Arial"/>
          <w:sz w:val="24"/>
        </w:rPr>
      </w:pPr>
      <w:r>
        <w:rPr>
          <w:rFonts w:ascii="Palatino Linotype" w:hAnsi="Palatino Linotype" w:cs="Arial"/>
          <w:sz w:val="24"/>
        </w:rPr>
        <w:t>En primer lugar es a bien referir que</w:t>
      </w:r>
      <w:r w:rsidRPr="00B20846">
        <w:rPr>
          <w:rFonts w:ascii="Palatino Linotype" w:hAnsi="Palatino Linotype" w:cs="Arial"/>
          <w:sz w:val="24"/>
        </w:rPr>
        <w:t xml:space="preserve"> la Titular de la Unidad de Transparencia es la encargada de dar atención a las solicitudes de información con fundamento en los artículos 50 y 53 fracciones II, V y VI  de la Ley de Transparencia y Acceso a la Información Pública del Estado de México y Municipios, t</w:t>
      </w:r>
      <w:r>
        <w:rPr>
          <w:rFonts w:ascii="Palatino Linotype" w:hAnsi="Palatino Linotype" w:cs="Arial"/>
          <w:sz w:val="24"/>
        </w:rPr>
        <w:t>ambién</w:t>
      </w:r>
      <w:r w:rsidRPr="00B20846">
        <w:rPr>
          <w:rFonts w:ascii="Palatino Linotype" w:hAnsi="Palatino Linotype" w:cs="Arial"/>
          <w:sz w:val="24"/>
        </w:rPr>
        <w:t xml:space="preserve"> que, dentro de sus propias funciones se encuentra la de tramitar ante las Áreas poseedoras de la información lo que se solicita, a efecto de entregarla al solicitante, de acuerdo a la </w:t>
      </w:r>
      <w:r w:rsidRPr="00B20846">
        <w:rPr>
          <w:rFonts w:ascii="Palatino Linotype" w:hAnsi="Palatino Linotype" w:cs="Arial"/>
          <w:sz w:val="24"/>
        </w:rPr>
        <w:lastRenderedPageBreak/>
        <w:t>forma en que la Unidad Administrativa correspondiente, la genere, recopile, administre, maneje, procese, archive o conserve, esto de conformidad con los artículos 51 y 53 fracción IV de la Ley en cita, que refieren:</w:t>
      </w:r>
    </w:p>
    <w:p w:rsidR="00801391" w:rsidRDefault="00801391" w:rsidP="00801391">
      <w:pPr>
        <w:tabs>
          <w:tab w:val="left" w:pos="709"/>
        </w:tabs>
        <w:ind w:left="851" w:right="760"/>
        <w:jc w:val="both"/>
        <w:rPr>
          <w:rFonts w:ascii="Palatino Linotype" w:hAnsi="Palatino Linotype" w:cs="Arial"/>
          <w:i/>
          <w:sz w:val="20"/>
          <w:szCs w:val="20"/>
          <w:lang w:eastAsia="es-MX"/>
        </w:rPr>
      </w:pPr>
    </w:p>
    <w:p w:rsidR="00801391" w:rsidRPr="00745E05" w:rsidRDefault="00801391" w:rsidP="00801391">
      <w:pPr>
        <w:tabs>
          <w:tab w:val="left" w:pos="709"/>
        </w:tabs>
        <w:ind w:left="851" w:right="760"/>
        <w:jc w:val="center"/>
        <w:rPr>
          <w:rFonts w:ascii="Palatino Linotype" w:hAnsi="Palatino Linotype" w:cs="Arial"/>
          <w:b/>
          <w:i/>
          <w:lang w:eastAsia="es-MX"/>
        </w:rPr>
      </w:pPr>
      <w:r w:rsidRPr="00745E05">
        <w:rPr>
          <w:rFonts w:ascii="Palatino Linotype" w:hAnsi="Palatino Linotype" w:cs="Arial"/>
          <w:b/>
          <w:i/>
        </w:rPr>
        <w:t>Ley de Transparencia y Acceso a la Información Pública del Estado de México y Municipios</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745E05">
        <w:rPr>
          <w:rFonts w:ascii="Palatino Linotype" w:hAnsi="Palatino Linotype" w:cs="Arial"/>
          <w:b/>
          <w:i/>
          <w:u w:val="single"/>
          <w:lang w:eastAsia="es-MX"/>
        </w:rPr>
        <w:t>Dicha Unidad será la encargada de tramitar internamente la solicitud de información</w:t>
      </w:r>
      <w:r w:rsidRPr="00745E05">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Artículo 53. Las Unidades de Transparencia tendrán las siguientes funciones:</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II. Recibir, tramitar y dar respuesta a las solicitudes de acceso a la información;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801391" w:rsidRPr="00745E05" w:rsidRDefault="00801391" w:rsidP="00801391">
      <w:pPr>
        <w:tabs>
          <w:tab w:val="left" w:pos="709"/>
        </w:tabs>
        <w:ind w:left="851" w:right="760"/>
        <w:jc w:val="both"/>
        <w:rPr>
          <w:rFonts w:ascii="Palatino Linotype" w:hAnsi="Palatino Linotype" w:cs="Arial"/>
          <w:b/>
          <w:i/>
          <w:u w:val="single"/>
          <w:lang w:eastAsia="es-MX"/>
        </w:rPr>
      </w:pPr>
      <w:r w:rsidRPr="00745E05">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V. Entregar, en su caso, a los particulares la información solicitada;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VI. Efectuar las notificaciones a los solicitantes;”</w:t>
      </w:r>
    </w:p>
    <w:p w:rsidR="00801391" w:rsidRPr="009E2F7A" w:rsidRDefault="00801391" w:rsidP="00801391">
      <w:pPr>
        <w:tabs>
          <w:tab w:val="left" w:pos="709"/>
        </w:tabs>
        <w:ind w:left="851" w:right="760"/>
        <w:jc w:val="both"/>
        <w:rPr>
          <w:rFonts w:ascii="Palatino Linotype" w:hAnsi="Palatino Linotype" w:cs="Arial"/>
          <w:i/>
          <w:sz w:val="6"/>
          <w:lang w:eastAsia="es-MX"/>
        </w:rPr>
      </w:pPr>
    </w:p>
    <w:p w:rsidR="00801391" w:rsidRDefault="00801391" w:rsidP="00801391">
      <w:pPr>
        <w:pStyle w:val="Sinespaciado"/>
        <w:spacing w:line="360" w:lineRule="auto"/>
        <w:jc w:val="both"/>
        <w:rPr>
          <w:rFonts w:ascii="Palatino Linotype" w:hAnsi="Palatino Linotype" w:cs="Arial"/>
          <w:sz w:val="24"/>
        </w:rPr>
      </w:pPr>
      <w:r w:rsidRPr="0028766C">
        <w:rPr>
          <w:rFonts w:ascii="Palatino Linotype" w:hAnsi="Palatino Linotype" w:cs="Arial"/>
          <w:sz w:val="24"/>
        </w:rPr>
        <w:t>Lo anterior es así ya que deriv</w:t>
      </w:r>
      <w:r>
        <w:rPr>
          <w:rFonts w:ascii="Palatino Linotype" w:hAnsi="Palatino Linotype" w:cs="Arial"/>
          <w:sz w:val="24"/>
        </w:rPr>
        <w:t xml:space="preserve">ado de la solicitud número </w:t>
      </w:r>
      <w:r w:rsidR="00211739" w:rsidRPr="00211739">
        <w:rPr>
          <w:rFonts w:ascii="Palatino Linotype" w:hAnsi="Palatino Linotype" w:cs="Arial"/>
          <w:sz w:val="24"/>
        </w:rPr>
        <w:t xml:space="preserve"> </w:t>
      </w:r>
      <w:r w:rsidR="00814DC4" w:rsidRPr="00814DC4">
        <w:rPr>
          <w:rFonts w:ascii="Palatino Linotype" w:hAnsi="Palatino Linotype" w:cs="Arial"/>
          <w:sz w:val="24"/>
        </w:rPr>
        <w:t>00164/IXTLAHUA/IP/2019</w:t>
      </w:r>
      <w:r w:rsidRPr="0028766C">
        <w:rPr>
          <w:rFonts w:ascii="Palatino Linotype" w:hAnsi="Palatino Linotype" w:cs="Arial"/>
          <w:sz w:val="24"/>
        </w:rPr>
        <w:t>, se a</w:t>
      </w:r>
      <w:r>
        <w:rPr>
          <w:rFonts w:ascii="Palatino Linotype" w:hAnsi="Palatino Linotype" w:cs="Arial"/>
          <w:sz w:val="24"/>
        </w:rPr>
        <w:t xml:space="preserve">precia en el sistema SAIMEX, que el Titular de la Unidad de Transparencia, </w:t>
      </w:r>
      <w:r w:rsidR="00772A72">
        <w:rPr>
          <w:rFonts w:ascii="Palatino Linotype" w:hAnsi="Palatino Linotype" w:cs="Arial"/>
          <w:sz w:val="24"/>
        </w:rPr>
        <w:t xml:space="preserve">no </w:t>
      </w:r>
      <w:r>
        <w:rPr>
          <w:rFonts w:ascii="Palatino Linotype" w:hAnsi="Palatino Linotype" w:cs="Arial"/>
          <w:sz w:val="24"/>
        </w:rPr>
        <w:lastRenderedPageBreak/>
        <w:t>tramitó ante la instancia del Ayuntamiento, que pudiera</w:t>
      </w:r>
      <w:r w:rsidRPr="0028766C">
        <w:rPr>
          <w:rFonts w:ascii="Palatino Linotype" w:hAnsi="Palatino Linotype" w:cs="Arial"/>
          <w:sz w:val="24"/>
        </w:rPr>
        <w:t xml:space="preserve"> tener lo sol</w:t>
      </w:r>
      <w:r>
        <w:rPr>
          <w:rFonts w:ascii="Palatino Linotype" w:hAnsi="Palatino Linotype" w:cs="Arial"/>
          <w:sz w:val="24"/>
        </w:rPr>
        <w:t>i</w:t>
      </w:r>
      <w:r w:rsidRPr="0028766C">
        <w:rPr>
          <w:rFonts w:ascii="Palatino Linotype" w:hAnsi="Palatino Linotype" w:cs="Arial"/>
          <w:sz w:val="24"/>
        </w:rPr>
        <w:t>citad</w:t>
      </w:r>
      <w:r>
        <w:rPr>
          <w:rFonts w:ascii="Palatino Linotype" w:hAnsi="Palatino Linotype" w:cs="Arial"/>
          <w:sz w:val="24"/>
        </w:rPr>
        <w:t xml:space="preserve">o (derivado de sus funciones) </w:t>
      </w:r>
      <w:r w:rsidR="000610EB">
        <w:rPr>
          <w:rFonts w:ascii="Palatino Linotype" w:hAnsi="Palatino Linotype" w:cs="Arial"/>
          <w:sz w:val="24"/>
        </w:rPr>
        <w:t>por el particular.</w:t>
      </w:r>
    </w:p>
    <w:p w:rsidR="00C171CF" w:rsidRDefault="00C171CF" w:rsidP="00C171CF">
      <w:pPr>
        <w:pStyle w:val="Sinespaciado"/>
        <w:spacing w:line="360" w:lineRule="auto"/>
        <w:jc w:val="both"/>
        <w:rPr>
          <w:rFonts w:ascii="Palatino Linotype" w:eastAsia="Times New Roman" w:hAnsi="Palatino Linotype" w:cs="Times New Roman"/>
          <w:sz w:val="24"/>
          <w:szCs w:val="24"/>
          <w:lang w:eastAsia="es-ES"/>
        </w:rPr>
      </w:pPr>
    </w:p>
    <w:p w:rsidR="00C171CF" w:rsidRDefault="00C171CF" w:rsidP="00C171CF">
      <w:pPr>
        <w:pStyle w:val="Sinespaciado"/>
        <w:spacing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Aunado a lo anterior, cabe resaltar que en </w:t>
      </w:r>
      <w:r w:rsidR="0043066D">
        <w:rPr>
          <w:rFonts w:ascii="Palatino Linotype" w:eastAsia="Times New Roman" w:hAnsi="Palatino Linotype" w:cs="Times New Roman"/>
          <w:sz w:val="24"/>
          <w:szCs w:val="24"/>
          <w:lang w:eastAsia="es-ES"/>
        </w:rPr>
        <w:t>la</w:t>
      </w:r>
      <w:r>
        <w:rPr>
          <w:rFonts w:ascii="Palatino Linotype" w:eastAsia="Times New Roman" w:hAnsi="Palatino Linotype" w:cs="Times New Roman"/>
          <w:sz w:val="24"/>
          <w:szCs w:val="24"/>
          <w:lang w:eastAsia="es-ES"/>
        </w:rPr>
        <w:t xml:space="preserve"> </w:t>
      </w:r>
      <w:r w:rsidR="00A15AAC">
        <w:rPr>
          <w:rFonts w:ascii="Palatino Linotype" w:eastAsia="Times New Roman" w:hAnsi="Palatino Linotype" w:cs="Times New Roman"/>
          <w:sz w:val="24"/>
          <w:szCs w:val="24"/>
          <w:lang w:eastAsia="es-ES"/>
        </w:rPr>
        <w:t xml:space="preserve">respuesta a la solicitud de información, el Sujeto Obligado adjuntó dos archivos electrónicos denominados </w:t>
      </w:r>
      <w:r w:rsidR="00781C42" w:rsidRPr="002C36FD">
        <w:rPr>
          <w:rFonts w:ascii="Palatino Linotype" w:eastAsia="Times New Roman" w:hAnsi="Palatino Linotype" w:cs="Times New Roman"/>
          <w:color w:val="000000" w:themeColor="text1"/>
          <w:sz w:val="24"/>
          <w:szCs w:val="24"/>
          <w:lang w:eastAsia="es-ES"/>
        </w:rPr>
        <w:t>“</w:t>
      </w:r>
      <w:hyperlink r:id="rId9" w:tgtFrame="_blank" w:history="1">
        <w:r w:rsidR="00781C42" w:rsidRPr="002C36FD">
          <w:rPr>
            <w:rStyle w:val="Hipervnculo"/>
            <w:rFonts w:ascii="Palatino Linotype" w:eastAsia="Times New Roman" w:hAnsi="Palatino Linotype" w:cs="Times New Roman"/>
            <w:b/>
            <w:bCs/>
            <w:color w:val="000000" w:themeColor="text1"/>
            <w:sz w:val="24"/>
            <w:szCs w:val="24"/>
            <w:lang w:eastAsia="es-ES"/>
          </w:rPr>
          <w:t>anexo 1.pdf</w:t>
        </w:r>
      </w:hyperlink>
      <w:r w:rsidR="00781C42" w:rsidRPr="002C36FD">
        <w:rPr>
          <w:rFonts w:ascii="Palatino Linotype" w:eastAsia="Times New Roman" w:hAnsi="Palatino Linotype" w:cs="Times New Roman"/>
          <w:color w:val="000000" w:themeColor="text1"/>
          <w:sz w:val="24"/>
          <w:szCs w:val="24"/>
          <w:lang w:eastAsia="es-ES"/>
        </w:rPr>
        <w:t xml:space="preserve">” y </w:t>
      </w:r>
      <w:r w:rsidR="00781C42" w:rsidRPr="002C36FD">
        <w:rPr>
          <w:rFonts w:ascii="Palatino Linotype" w:eastAsia="Times New Roman" w:hAnsi="Palatino Linotype" w:cs="Times New Roman"/>
          <w:b/>
          <w:bCs/>
          <w:color w:val="000000" w:themeColor="text1"/>
          <w:sz w:val="24"/>
          <w:szCs w:val="24"/>
          <w:lang w:eastAsia="es-ES"/>
        </w:rPr>
        <w:br/>
      </w:r>
      <w:r w:rsidR="00781C42" w:rsidRPr="002C36FD">
        <w:rPr>
          <w:rFonts w:ascii="Palatino Linotype" w:eastAsia="Times New Roman" w:hAnsi="Palatino Linotype" w:cs="Times New Roman"/>
          <w:color w:val="000000" w:themeColor="text1"/>
          <w:sz w:val="24"/>
          <w:szCs w:val="24"/>
          <w:lang w:eastAsia="es-ES"/>
        </w:rPr>
        <w:t>“</w:t>
      </w:r>
      <w:hyperlink r:id="rId10" w:tgtFrame="_blank" w:history="1">
        <w:r w:rsidR="00781C42" w:rsidRPr="002C36FD">
          <w:rPr>
            <w:rStyle w:val="Hipervnculo"/>
            <w:rFonts w:ascii="Palatino Linotype" w:eastAsia="Times New Roman" w:hAnsi="Palatino Linotype" w:cs="Times New Roman"/>
            <w:b/>
            <w:bCs/>
            <w:color w:val="000000" w:themeColor="text1"/>
            <w:sz w:val="24"/>
            <w:szCs w:val="24"/>
            <w:lang w:eastAsia="es-ES"/>
          </w:rPr>
          <w:t>ANEXO 2 ACTA.pdf</w:t>
        </w:r>
      </w:hyperlink>
      <w:r w:rsidR="00781C42" w:rsidRPr="002C36FD">
        <w:rPr>
          <w:rFonts w:ascii="Palatino Linotype" w:eastAsia="Times New Roman" w:hAnsi="Palatino Linotype" w:cs="Times New Roman"/>
          <w:color w:val="000000" w:themeColor="text1"/>
          <w:sz w:val="24"/>
          <w:szCs w:val="24"/>
          <w:lang w:eastAsia="es-ES"/>
        </w:rPr>
        <w:t xml:space="preserve">” los </w:t>
      </w:r>
      <w:r w:rsidR="00781C42">
        <w:rPr>
          <w:rFonts w:ascii="Palatino Linotype" w:eastAsia="Times New Roman" w:hAnsi="Palatino Linotype" w:cs="Times New Roman"/>
          <w:sz w:val="24"/>
          <w:szCs w:val="24"/>
          <w:lang w:eastAsia="es-ES"/>
        </w:rPr>
        <w:t>cuales contienen diversos documentos acerca de la información solicitada por el particular; sirve de sustento la siguiente imagen ilustrativa:</w:t>
      </w:r>
    </w:p>
    <w:p w:rsidR="00781C42" w:rsidRDefault="002C36FD" w:rsidP="00C171CF">
      <w:pPr>
        <w:pStyle w:val="Sinespaciado"/>
        <w:spacing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17144</wp:posOffset>
                </wp:positionH>
                <wp:positionV relativeFrom="paragraph">
                  <wp:posOffset>59638</wp:posOffset>
                </wp:positionV>
                <wp:extent cx="5552237" cy="5040173"/>
                <wp:effectExtent l="0" t="0" r="29845" b="27305"/>
                <wp:wrapNone/>
                <wp:docPr id="2" name="Conector recto 2"/>
                <wp:cNvGraphicFramePr/>
                <a:graphic xmlns:a="http://schemas.openxmlformats.org/drawingml/2006/main">
                  <a:graphicData uri="http://schemas.microsoft.com/office/word/2010/wordprocessingShape">
                    <wps:wsp>
                      <wps:cNvCnPr/>
                      <wps:spPr>
                        <a:xfrm>
                          <a:off x="0" y="0"/>
                          <a:ext cx="5552237" cy="50401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CCCE10"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5pt,4.7pt" to="438.55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" strokecolor="black [3200]" strokeweight=".5pt">
                <v:stroke joinstyle="miter"/>
              </v:line>
            </w:pict>
          </mc:Fallback>
        </mc:AlternateContent>
      </w:r>
    </w:p>
    <w:p w:rsidR="00935E58" w:rsidRDefault="00935E58" w:rsidP="00C171CF">
      <w:pPr>
        <w:pStyle w:val="Sinespaciado"/>
        <w:spacing w:line="360" w:lineRule="auto"/>
        <w:jc w:val="both"/>
        <w:rPr>
          <w:rFonts w:ascii="Palatino Linotype" w:hAnsi="Palatino Linotype" w:cs="Arial"/>
          <w:sz w:val="24"/>
        </w:rPr>
      </w:pPr>
      <w:r>
        <w:rPr>
          <w:noProof/>
          <w:lang w:eastAsia="es-MX"/>
        </w:rPr>
        <w:lastRenderedPageBreak/>
        <w:drawing>
          <wp:inline distT="0" distB="0" distL="0" distR="0" wp14:anchorId="3534D1B3" wp14:editId="1F6DCE23">
            <wp:extent cx="5715000" cy="7334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71" t="12540" r="53981" b="6250"/>
                    <a:stretch/>
                  </pic:blipFill>
                  <pic:spPr bwMode="auto">
                    <a:xfrm>
                      <a:off x="0" y="0"/>
                      <a:ext cx="5715000" cy="7334250"/>
                    </a:xfrm>
                    <a:prstGeom prst="rect">
                      <a:avLst/>
                    </a:prstGeom>
                    <a:ln>
                      <a:noFill/>
                    </a:ln>
                    <a:extLst>
                      <a:ext uri="{53640926-AAD7-44D8-BBD7-CCE9431645EC}">
                        <a14:shadowObscured xmlns:a14="http://schemas.microsoft.com/office/drawing/2010/main"/>
                      </a:ext>
                    </a:extLst>
                  </pic:spPr>
                </pic:pic>
              </a:graphicData>
            </a:graphic>
          </wp:inline>
        </w:drawing>
      </w:r>
    </w:p>
    <w:p w:rsidR="00211739" w:rsidRDefault="00211739" w:rsidP="00684D1A">
      <w:pPr>
        <w:pStyle w:val="Sinespaciado"/>
      </w:pPr>
    </w:p>
    <w:p w:rsidR="00544D1C" w:rsidRDefault="00935E58" w:rsidP="00544D1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igual forma dicha autoridad remitió diversas facturas correspondientes a los contratos inmersos en la tabla que se observa en la imagen que antecede, en donde el </w:t>
      </w:r>
      <w:r w:rsidR="006517A0">
        <w:rPr>
          <w:rFonts w:ascii="Palatino Linotype" w:hAnsi="Palatino Linotype" w:cs="Arial"/>
          <w:sz w:val="24"/>
          <w:szCs w:val="24"/>
        </w:rPr>
        <w:t>recurso proporcionado para</w:t>
      </w:r>
      <w:r>
        <w:rPr>
          <w:rFonts w:ascii="Palatino Linotype" w:hAnsi="Palatino Linotype" w:cs="Arial"/>
          <w:sz w:val="24"/>
          <w:szCs w:val="24"/>
        </w:rPr>
        <w:t xml:space="preserve"> ejercer resulta ser del programa FORTASEG.</w:t>
      </w:r>
    </w:p>
    <w:p w:rsidR="00935E58" w:rsidRDefault="00935E58" w:rsidP="00544D1C">
      <w:pPr>
        <w:spacing w:after="0" w:line="360" w:lineRule="auto"/>
        <w:jc w:val="both"/>
        <w:rPr>
          <w:rFonts w:ascii="Palatino Linotype" w:hAnsi="Palatino Linotype" w:cs="Arial"/>
          <w:sz w:val="24"/>
          <w:szCs w:val="24"/>
        </w:rPr>
      </w:pPr>
    </w:p>
    <w:p w:rsidR="00935E58" w:rsidRDefault="006517A0" w:rsidP="00544D1C">
      <w:pPr>
        <w:spacing w:after="0" w:line="360" w:lineRule="auto"/>
        <w:jc w:val="both"/>
        <w:rPr>
          <w:rFonts w:ascii="Palatino Linotype" w:hAnsi="Palatino Linotype" w:cs="Arial"/>
          <w:sz w:val="24"/>
        </w:rPr>
      </w:pPr>
      <w:r>
        <w:rPr>
          <w:rFonts w:ascii="Palatino Linotype" w:hAnsi="Palatino Linotype" w:cs="Arial"/>
          <w:sz w:val="24"/>
        </w:rPr>
        <w:t>Asimismo cabe señalar que la información proporcionada fue remitida en una supuesta versión pública, sin embargo, si bien es cierto de la documentación remitida por el sujeto obligado puede ser obtenida parte de la información solicitada como lo es el monto erogado, el concepto de compra, entre otros, también lo es que el sujeto obligado censuro indebidamente ciertos datos que resultan de interés público y que deben dejarse a la vista de los particulares, como lo es la cantidad o unidades de bienes comprados o adquiridos.</w:t>
      </w:r>
    </w:p>
    <w:p w:rsidR="006517A0" w:rsidRDefault="006517A0" w:rsidP="00544D1C">
      <w:pPr>
        <w:spacing w:after="0" w:line="360" w:lineRule="auto"/>
        <w:jc w:val="both"/>
        <w:rPr>
          <w:rFonts w:ascii="Palatino Linotype" w:hAnsi="Palatino Linotype" w:cs="Arial"/>
          <w:sz w:val="24"/>
        </w:rPr>
      </w:pPr>
    </w:p>
    <w:p w:rsidR="006517A0" w:rsidRDefault="006517A0" w:rsidP="00544D1C">
      <w:pPr>
        <w:spacing w:after="0" w:line="360" w:lineRule="auto"/>
        <w:jc w:val="both"/>
        <w:rPr>
          <w:rFonts w:ascii="Palatino Linotype" w:hAnsi="Palatino Linotype" w:cs="Arial"/>
          <w:sz w:val="24"/>
        </w:rPr>
      </w:pPr>
      <w:r>
        <w:rPr>
          <w:rFonts w:ascii="Palatino Linotype" w:hAnsi="Palatino Linotype" w:cs="Arial"/>
          <w:sz w:val="24"/>
        </w:rPr>
        <w:t>Por lo anterior se considera que los documentos remitidos mediante la respuesta primigenia no satisfacen en su totalidad el derecho de acceso a la información del particular, ya que si bien remitió los contratos y facturas solicitadas, estos se encuentran indebidamente testados.</w:t>
      </w:r>
    </w:p>
    <w:p w:rsidR="006517A0" w:rsidRDefault="006517A0" w:rsidP="00544D1C">
      <w:pPr>
        <w:spacing w:after="0" w:line="360" w:lineRule="auto"/>
        <w:jc w:val="both"/>
        <w:rPr>
          <w:rFonts w:ascii="Palatino Linotype" w:hAnsi="Palatino Linotype" w:cs="Arial"/>
          <w:sz w:val="24"/>
        </w:rPr>
      </w:pPr>
    </w:p>
    <w:p w:rsidR="006517A0" w:rsidRDefault="006517A0" w:rsidP="00544D1C">
      <w:pPr>
        <w:spacing w:after="0" w:line="360" w:lineRule="auto"/>
        <w:jc w:val="both"/>
        <w:rPr>
          <w:rFonts w:ascii="Palatino Linotype" w:hAnsi="Palatino Linotype" w:cs="Arial"/>
          <w:sz w:val="24"/>
        </w:rPr>
      </w:pPr>
      <w:r>
        <w:rPr>
          <w:rFonts w:ascii="Palatino Linotype" w:hAnsi="Palatino Linotype" w:cs="Arial"/>
          <w:sz w:val="24"/>
        </w:rPr>
        <w:t xml:space="preserve">En ese mismo contexto cabe señalar que el sujeto obligado remitió en el archivo </w:t>
      </w:r>
      <w:r w:rsidR="003F38FC">
        <w:rPr>
          <w:rFonts w:ascii="Palatino Linotype" w:hAnsi="Palatino Linotype" w:cs="Arial"/>
          <w:sz w:val="24"/>
        </w:rPr>
        <w:t>denominado “</w:t>
      </w:r>
      <w:r w:rsidR="003F38FC" w:rsidRPr="003F38FC">
        <w:rPr>
          <w:rFonts w:ascii="Palatino Linotype" w:hAnsi="Palatino Linotype" w:cs="Arial"/>
          <w:sz w:val="24"/>
        </w:rPr>
        <w:t>ANEXO 2 ACTA.pdf</w:t>
      </w:r>
      <w:r w:rsidR="003F38FC">
        <w:rPr>
          <w:rFonts w:ascii="Palatino Linotype" w:hAnsi="Palatino Linotype" w:cs="Arial"/>
          <w:sz w:val="24"/>
        </w:rPr>
        <w:t xml:space="preserve">” </w:t>
      </w:r>
      <w:r w:rsidR="0080572D">
        <w:rPr>
          <w:rFonts w:ascii="Palatino Linotype" w:hAnsi="Palatino Linotype" w:cs="Arial"/>
          <w:sz w:val="24"/>
        </w:rPr>
        <w:t xml:space="preserve">el Sujeto Obligado remitió el acta de la trigésima cuarta sesión ordinaria del Comité de Trasparencia en donde se aprueba la versión pública de la información proporcionada, así como la clasificación de información reservada por cuanto hace a las características de los bienes, uniformes, vehículos, entre otros, para lo cual si bien se comparte la clasificación de las características </w:t>
      </w:r>
      <w:r w:rsidR="0080572D">
        <w:rPr>
          <w:rFonts w:ascii="Palatino Linotype" w:hAnsi="Palatino Linotype" w:cs="Arial"/>
          <w:sz w:val="24"/>
        </w:rPr>
        <w:lastRenderedPageBreak/>
        <w:t>específicas de los bienes, también cabe señalar que dichos acuerdos carecen de la debida fundamentación y motivaci</w:t>
      </w:r>
      <w:r w:rsidR="00F27DDE">
        <w:rPr>
          <w:rFonts w:ascii="Palatino Linotype" w:hAnsi="Palatino Linotype" w:cs="Arial"/>
          <w:sz w:val="24"/>
        </w:rPr>
        <w:t>ón.</w:t>
      </w:r>
    </w:p>
    <w:p w:rsidR="00F27DDE" w:rsidRDefault="00F27DDE" w:rsidP="00544D1C">
      <w:pPr>
        <w:spacing w:after="0" w:line="360" w:lineRule="auto"/>
        <w:jc w:val="both"/>
        <w:rPr>
          <w:rFonts w:ascii="Palatino Linotype" w:hAnsi="Palatino Linotype" w:cs="Arial"/>
          <w:sz w:val="24"/>
        </w:rPr>
      </w:pPr>
    </w:p>
    <w:p w:rsidR="00F27DDE" w:rsidRDefault="00F27DDE" w:rsidP="00544D1C">
      <w:pPr>
        <w:spacing w:after="0" w:line="360" w:lineRule="auto"/>
        <w:jc w:val="both"/>
        <w:rPr>
          <w:rFonts w:ascii="Palatino Linotype" w:hAnsi="Palatino Linotype" w:cs="Arial"/>
          <w:sz w:val="24"/>
        </w:rPr>
      </w:pPr>
      <w:r w:rsidRPr="00F27DDE">
        <w:rPr>
          <w:rFonts w:ascii="Palatino Linotype" w:hAnsi="Palatino Linotype" w:cs="Arial"/>
          <w:sz w:val="24"/>
        </w:rPr>
        <w:t>En ese orden de ideas es necesario señalar que en un caso concreto, no es suficiente solamente encuadrar el fundamento legal por medio del cual se clasifique como reservada la información peticionada, se necesita de realizar un análisis a detalle para poder determinar si la información reservada realmente resulta ser de trascendencia social que esta a su vez sobre pase el interés de la clasificación que se pretende llevar a cabo, ya que con base a lo establecido anteriormente, el sujeto obligado al presentar la acuerdo de reserva en referencia, solamente manifiesta que debido a que la queja a la que se hace referencia en la solicitud de información aún no ha causado estado resulta necesario reservar la información, manifestando de forma repetitiva dichos argumentos, sin embargo se insiste que para el caso de la información reservada, tal como lo marca el artículo 128 de la Ley de la materia, se deben señalar las razones, motivos o circunstancias especiales que llevaron al sujeto obligado a concluir que el caso concreto se ajusta a lo establecido en la norma, es decir no basta con que la autoridad solamente ajuste el hecho con la normatividad aplicable, ya que resulta incongruente que toda la información proporcionada verse en el mismo sentido, en la que solamente se cambie el orden de las palabras.</w:t>
      </w:r>
    </w:p>
    <w:p w:rsidR="00F27DDE" w:rsidRDefault="00F27DDE" w:rsidP="00544D1C">
      <w:pPr>
        <w:spacing w:after="0" w:line="360" w:lineRule="auto"/>
        <w:jc w:val="both"/>
        <w:rPr>
          <w:rFonts w:ascii="Palatino Linotype" w:hAnsi="Palatino Linotype" w:cs="Arial"/>
          <w:sz w:val="24"/>
        </w:rPr>
      </w:pPr>
    </w:p>
    <w:p w:rsidR="00F27DDE" w:rsidRDefault="00F27DDE" w:rsidP="00F27DDE">
      <w:pPr>
        <w:spacing w:after="0" w:line="360" w:lineRule="auto"/>
        <w:jc w:val="both"/>
        <w:rPr>
          <w:rFonts w:ascii="Palatino Linotype" w:hAnsi="Palatino Linotype" w:cs="Arial"/>
          <w:sz w:val="24"/>
          <w:szCs w:val="24"/>
        </w:rPr>
      </w:pPr>
      <w:r w:rsidRPr="00F27DDE">
        <w:rPr>
          <w:rFonts w:ascii="Palatino Linotype" w:hAnsi="Palatino Linotype" w:cs="Arial"/>
          <w:sz w:val="24"/>
        </w:rPr>
        <w:t>Por lo anterior, se considera que el sujeto obligado, deberá de realizar de nueva cuenta el debido acuerdo que sustente</w:t>
      </w:r>
      <w:r>
        <w:rPr>
          <w:rFonts w:ascii="Palatino Linotype" w:hAnsi="Palatino Linotype" w:cs="Arial"/>
          <w:sz w:val="24"/>
        </w:rPr>
        <w:t xml:space="preserve"> la clasificación de la información remitida, así como proporcionar de nueva cuenta la misma; </w:t>
      </w:r>
      <w:r>
        <w:rPr>
          <w:rFonts w:ascii="Palatino Linotype" w:hAnsi="Palatino Linotype" w:cs="Arial"/>
          <w:sz w:val="24"/>
          <w:szCs w:val="24"/>
        </w:rPr>
        <w:t xml:space="preserve">proporcionando debidamente lo que se conoce como “prueba de daño” que esta a su vez consiste en realizar un análisis </w:t>
      </w:r>
      <w:r>
        <w:rPr>
          <w:rFonts w:ascii="Palatino Linotype" w:hAnsi="Palatino Linotype" w:cs="Arial"/>
          <w:sz w:val="24"/>
          <w:szCs w:val="24"/>
        </w:rPr>
        <w:lastRenderedPageBreak/>
        <w:t>de cada caso, aplicando la prueba de daño respectiva, es decir no es posible realizarse sobre un expediente completo, sino de cada uno de los documentos que conforman dicho expediente.</w:t>
      </w:r>
    </w:p>
    <w:p w:rsidR="00F27DDE" w:rsidRPr="00F27DDE" w:rsidRDefault="00F27DDE" w:rsidP="00F27DDE">
      <w:pPr>
        <w:spacing w:after="0" w:line="360" w:lineRule="auto"/>
        <w:jc w:val="both"/>
        <w:rPr>
          <w:rFonts w:ascii="Palatino Linotype" w:hAnsi="Palatino Linotype" w:cs="Arial"/>
          <w:sz w:val="24"/>
        </w:rPr>
      </w:pPr>
    </w:p>
    <w:p w:rsidR="00F27DDE" w:rsidRDefault="00F27DDE" w:rsidP="00F27DDE">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Para aplicar la prueba de daño, se deberán de precisar las razones por las que la publicación de la información genera una afectación, justificando lo siguiente:</w:t>
      </w:r>
    </w:p>
    <w:p w:rsidR="00F27DDE" w:rsidRPr="00D4747E" w:rsidRDefault="00F27DDE" w:rsidP="00F27DDE">
      <w:pPr>
        <w:widowControl w:val="0"/>
        <w:autoSpaceDE w:val="0"/>
        <w:autoSpaceDN w:val="0"/>
        <w:adjustRightInd w:val="0"/>
        <w:spacing w:after="240" w:line="360" w:lineRule="auto"/>
        <w:ind w:left="851" w:right="850"/>
        <w:jc w:val="both"/>
        <w:rPr>
          <w:rFonts w:ascii="Palatino Linotype" w:hAnsi="Palatino Linotype" w:cs="Times"/>
          <w:color w:val="000000" w:themeColor="text1"/>
        </w:rPr>
      </w:pPr>
      <w:r w:rsidRPr="00D4747E">
        <w:rPr>
          <w:rFonts w:ascii="Palatino Linotype" w:hAnsi="Palatino Linotype" w:cs="Bookman Old Style"/>
          <w:bCs/>
          <w:color w:val="000000" w:themeColor="text1"/>
          <w:szCs w:val="26"/>
        </w:rPr>
        <w:t xml:space="preserve">I. </w:t>
      </w:r>
      <w:r w:rsidRPr="00D4747E">
        <w:rPr>
          <w:rFonts w:ascii="Palatino Linotype" w:hAnsi="Palatino Linotype" w:cs="Bookman Old Style"/>
          <w:color w:val="000000" w:themeColor="text1"/>
          <w:szCs w:val="26"/>
        </w:rPr>
        <w:t xml:space="preserve">La divulgación de la información representa un riesgo real, demostrable e identificable del perjuicio significativo al interés público o a la seguridad pública; </w:t>
      </w:r>
    </w:p>
    <w:p w:rsidR="00F27DDE" w:rsidRPr="00D4747E" w:rsidRDefault="00F27DDE" w:rsidP="00F27DDE">
      <w:pPr>
        <w:widowControl w:val="0"/>
        <w:autoSpaceDE w:val="0"/>
        <w:autoSpaceDN w:val="0"/>
        <w:adjustRightInd w:val="0"/>
        <w:spacing w:after="240" w:line="360" w:lineRule="auto"/>
        <w:ind w:left="851" w:right="850"/>
        <w:jc w:val="both"/>
        <w:rPr>
          <w:rFonts w:ascii="Palatino Linotype" w:hAnsi="Palatino Linotype" w:cs="Times"/>
          <w:color w:val="000000" w:themeColor="text1"/>
        </w:rPr>
      </w:pPr>
      <w:r w:rsidRPr="00D4747E">
        <w:rPr>
          <w:rFonts w:ascii="Palatino Linotype" w:hAnsi="Palatino Linotype" w:cs="Bookman Old Style"/>
          <w:bCs/>
          <w:color w:val="000000" w:themeColor="text1"/>
          <w:szCs w:val="26"/>
        </w:rPr>
        <w:t xml:space="preserve">II. </w:t>
      </w:r>
      <w:r w:rsidRPr="00D4747E">
        <w:rPr>
          <w:rFonts w:ascii="Palatino Linotype" w:hAnsi="Palatino Linotype" w:cs="Bookman Old Style"/>
          <w:color w:val="000000" w:themeColor="text1"/>
          <w:szCs w:val="26"/>
        </w:rPr>
        <w:t xml:space="preserve">El riesgo de perjuicio que supondría la divulgación supera el interés público general de que se difunda; y </w:t>
      </w:r>
    </w:p>
    <w:p w:rsidR="00F27DDE" w:rsidRPr="00D4747E" w:rsidRDefault="00F27DDE" w:rsidP="00F27DDE">
      <w:pPr>
        <w:widowControl w:val="0"/>
        <w:autoSpaceDE w:val="0"/>
        <w:autoSpaceDN w:val="0"/>
        <w:adjustRightInd w:val="0"/>
        <w:spacing w:after="240" w:line="360" w:lineRule="auto"/>
        <w:ind w:left="851" w:right="850"/>
        <w:jc w:val="both"/>
        <w:rPr>
          <w:rFonts w:ascii="Palatino Linotype" w:hAnsi="Palatino Linotype" w:cs="Times"/>
          <w:color w:val="000000" w:themeColor="text1"/>
        </w:rPr>
      </w:pPr>
      <w:r w:rsidRPr="00D4747E">
        <w:rPr>
          <w:rFonts w:ascii="Palatino Linotype" w:hAnsi="Palatino Linotype" w:cs="Bookman Old Style"/>
          <w:bCs/>
          <w:color w:val="000000" w:themeColor="text1"/>
          <w:szCs w:val="26"/>
        </w:rPr>
        <w:t xml:space="preserve">III. </w:t>
      </w:r>
      <w:r w:rsidRPr="00D4747E">
        <w:rPr>
          <w:rFonts w:ascii="Palatino Linotype" w:hAnsi="Palatino Linotype" w:cs="Bookman Old Style"/>
          <w:color w:val="000000" w:themeColor="text1"/>
          <w:szCs w:val="26"/>
        </w:rPr>
        <w:t xml:space="preserve">La limitación se adecua al principio de proporcionalidad y representa el medio menos restrictivo disponible para evitar el perjuicio. </w:t>
      </w:r>
    </w:p>
    <w:p w:rsidR="00F27DDE" w:rsidRPr="00B231BC" w:rsidRDefault="00F27DDE" w:rsidP="00544D1C">
      <w:pPr>
        <w:spacing w:after="0" w:line="360" w:lineRule="auto"/>
        <w:jc w:val="both"/>
        <w:rPr>
          <w:rFonts w:ascii="Palatino Linotype" w:hAnsi="Palatino Linotype" w:cs="Arial"/>
          <w:sz w:val="24"/>
        </w:rPr>
      </w:pPr>
    </w:p>
    <w:p w:rsidR="00F27DDE" w:rsidRDefault="00F27DDE" w:rsidP="008A2099">
      <w:pPr>
        <w:pStyle w:val="Prrafodelista"/>
        <w:spacing w:line="360" w:lineRule="auto"/>
        <w:ind w:left="0"/>
        <w:contextualSpacing/>
        <w:jc w:val="both"/>
        <w:rPr>
          <w:rFonts w:ascii="Palatino Linotype" w:eastAsia="Calibri" w:hAnsi="Palatino Linotype" w:cs="Arial"/>
          <w:lang w:eastAsia="es-MX"/>
        </w:rPr>
      </w:pPr>
      <w:r>
        <w:rPr>
          <w:rFonts w:ascii="Palatino Linotype" w:eastAsia="Calibri" w:hAnsi="Palatino Linotype" w:cs="Arial"/>
          <w:lang w:eastAsia="es-MX"/>
        </w:rPr>
        <w:t>De igual forma no pasa desapercibido por este Órgano Garante que el Sujeto Obligado omitió pronunciarse sobre los recursos estatales erogados por los conceptos solicitados, por lo tanto resulta dable que dicha autoridad se pronuncie al respecto y de ser el caso entregue la información correspondiente.</w:t>
      </w:r>
    </w:p>
    <w:p w:rsidR="00F27DDE" w:rsidRDefault="00F27DDE" w:rsidP="008A2099">
      <w:pPr>
        <w:pStyle w:val="Prrafodelista"/>
        <w:spacing w:line="360" w:lineRule="auto"/>
        <w:ind w:left="0"/>
        <w:contextualSpacing/>
        <w:jc w:val="both"/>
        <w:rPr>
          <w:rFonts w:ascii="Palatino Linotype" w:eastAsia="Calibri" w:hAnsi="Palatino Linotype" w:cs="Arial"/>
          <w:lang w:eastAsia="es-MX"/>
        </w:rPr>
      </w:pPr>
    </w:p>
    <w:p w:rsidR="008A2099" w:rsidRPr="00AD5ACD" w:rsidRDefault="008A2099" w:rsidP="008A2099">
      <w:pPr>
        <w:pStyle w:val="Prrafodelista"/>
        <w:spacing w:line="360" w:lineRule="auto"/>
        <w:ind w:left="0"/>
        <w:contextualSpacing/>
        <w:jc w:val="both"/>
        <w:rPr>
          <w:rFonts w:ascii="Palatino Linotype" w:hAnsi="Palatino Linotype"/>
        </w:rPr>
      </w:pPr>
      <w:r>
        <w:rPr>
          <w:rFonts w:ascii="Palatino Linotype" w:eastAsia="Calibri" w:hAnsi="Palatino Linotype" w:cs="Arial"/>
          <w:lang w:eastAsia="es-MX"/>
        </w:rPr>
        <w:t>Ahora bien, es</w:t>
      </w:r>
      <w:r w:rsidRPr="00AD5ACD">
        <w:rPr>
          <w:rFonts w:ascii="Palatino Linotype" w:hAnsi="Palatino Linotype"/>
        </w:rPr>
        <w:t xml:space="preserve"> pertinente señalar que el Sistema Nacional de Seguridad Pública otorga recursos federales a los Estados y Municipios, los cuales son destinados para un fin en específico, como la profesionalización del personal de seguridad pública; </w:t>
      </w:r>
      <w:r w:rsidRPr="00AD5ACD">
        <w:rPr>
          <w:rFonts w:ascii="Palatino Linotype" w:hAnsi="Palatino Linotype"/>
        </w:rPr>
        <w:lastRenderedPageBreak/>
        <w:t>así como, su equipamiento, construcción de infraestructura física entre otros, cuyo fin radica en fortalecer la misma; tal y como, lo refiere la página oficial del Secretariado Ejecutivo del Sistema Nacional de Seguridad Publica</w:t>
      </w:r>
      <w:r w:rsidRPr="00AD5ACD">
        <w:rPr>
          <w:rFonts w:ascii="Palatino Linotype" w:hAnsi="Palatino Linotype"/>
          <w:vertAlign w:val="superscript"/>
        </w:rPr>
        <w:footnoteReference w:id="2"/>
      </w:r>
      <w:r w:rsidRPr="00AD5ACD">
        <w:rPr>
          <w:rFonts w:ascii="Palatino Linotype" w:hAnsi="Palatino Linotype"/>
        </w:rPr>
        <w:t>. Así, estos recursos federales conforman el FASP y el FORTASEG.</w:t>
      </w:r>
    </w:p>
    <w:p w:rsidR="008A2099" w:rsidRPr="00291B9C"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szCs w:val="24"/>
        </w:rPr>
      </w:pPr>
      <w:r w:rsidRPr="00291B9C">
        <w:rPr>
          <w:rFonts w:ascii="Palatino Linotype" w:eastAsia="MS Mincho" w:hAnsi="Palatino Linotype" w:cs="Arial"/>
          <w:color w:val="000000"/>
          <w:sz w:val="24"/>
          <w:szCs w:val="24"/>
        </w:rPr>
        <w:t xml:space="preserve">Es este orden de ideas, el FASP, 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primeros diez meses del año a los Estados y a la Ciudad de México, de manera ágil y directa, como se transcribe a continuación: </w:t>
      </w:r>
    </w:p>
    <w:p w:rsidR="008A2099" w:rsidRPr="00AD5ACD" w:rsidRDefault="008A2099" w:rsidP="008A2099">
      <w:pPr>
        <w:tabs>
          <w:tab w:val="left" w:pos="426"/>
        </w:tabs>
        <w:spacing w:line="360" w:lineRule="auto"/>
        <w:jc w:val="center"/>
        <w:rPr>
          <w:rFonts w:ascii="Palatino Linotype" w:eastAsia="MS Mincho" w:hAnsi="Palatino Linotype" w:cs="Arial"/>
          <w:b/>
          <w:bCs/>
          <w:i/>
          <w:color w:val="000000"/>
        </w:rPr>
      </w:pPr>
      <w:r w:rsidRPr="00AD5ACD">
        <w:rPr>
          <w:rFonts w:ascii="Palatino Linotype" w:eastAsia="MS Mincho" w:hAnsi="Palatino Linotype" w:cs="Arial"/>
          <w:b/>
          <w:bCs/>
          <w:i/>
          <w:color w:val="000000"/>
        </w:rPr>
        <w:t>Ley de Coordinación Fiscal</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b/>
          <w:bCs/>
          <w:i/>
        </w:rPr>
        <w:t>“Artículo 44.-</w:t>
      </w:r>
      <w:r w:rsidRPr="00AD5ACD">
        <w:rPr>
          <w:rFonts w:ascii="Palatino Linotype" w:hAnsi="Palatino Linotype"/>
          <w:i/>
        </w:rPr>
        <w:t xml:space="preserve"> […]</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i/>
        </w:rPr>
        <w:t xml:space="preserve">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w:t>
      </w:r>
      <w:r w:rsidRPr="00AD5ACD">
        <w:rPr>
          <w:rFonts w:ascii="Palatino Linotype" w:hAnsi="Palatino Linotype"/>
          <w:i/>
        </w:rPr>
        <w:lastRenderedPageBreak/>
        <w:t>Oficial de la Federación a más tardar a los 30 días naturales siguientes a la publicación en dicho Diario del Presupuesto de Egresos de la Federación del ejercicio fiscal de que se trate.</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i/>
        </w:rPr>
        <w:t xml:space="preserve">[…] </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b/>
          <w:bCs/>
          <w:i/>
        </w:rPr>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w:t>
      </w:r>
      <w:r w:rsidRPr="00AD5ACD">
        <w:rPr>
          <w:rFonts w:ascii="Palatino Linotype" w:hAnsi="Palatino Linotype"/>
          <w:i/>
        </w:rPr>
        <w:t xml:space="preserve">;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hAnsi="Palatino Linotype"/>
          <w:b/>
          <w:bCs/>
          <w:i/>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AD5ACD">
        <w:rPr>
          <w:rFonts w:ascii="Palatino Linotype" w:hAnsi="Palatino Linotype"/>
          <w:i/>
        </w:rPr>
        <w:t xml:space="preserve"> Lo anterior, en términos de la Ley General de Contabilidad Gubernamental y conforme a los formatos aprobados por el Consejo Nacional de Armonización Contable.”</w:t>
      </w:r>
      <w:r w:rsidRPr="00AD5ACD">
        <w:rPr>
          <w:rFonts w:ascii="Palatino Linotype" w:hAnsi="Palatino Linotype"/>
          <w:b/>
          <w:i/>
        </w:rPr>
        <w:t>(Énfasis añadido)</w:t>
      </w:r>
    </w:p>
    <w:p w:rsidR="008A2099" w:rsidRPr="00291B9C"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szCs w:val="24"/>
        </w:rPr>
      </w:pPr>
      <w:r w:rsidRPr="00291B9C">
        <w:rPr>
          <w:rFonts w:ascii="Palatino Linotype" w:hAnsi="Palatino Linotype"/>
          <w:sz w:val="24"/>
          <w:szCs w:val="24"/>
        </w:rPr>
        <w:t xml:space="preserve">Expuesto </w:t>
      </w:r>
      <w:r w:rsidRPr="00291B9C">
        <w:rPr>
          <w:rFonts w:ascii="Palatino Linotype" w:eastAsia="MS Mincho" w:hAnsi="Palatino Linotype" w:cs="Arial"/>
          <w:color w:val="000000"/>
          <w:sz w:val="24"/>
          <w:szCs w:val="24"/>
        </w:rPr>
        <w:t xml:space="preserve">lo anterior se advierte que corresponde a la Secretaría de Hacienda y Crédito Público entregar a las Entidades Federativas el FASP, el cual se enterará mensualmente durante los primeros diez meses del año, de tal manera que los Estados y la Ciudad de México deberán </w:t>
      </w:r>
      <w:r w:rsidRPr="00291B9C">
        <w:rPr>
          <w:rFonts w:ascii="Palatino Linotype" w:eastAsia="MS Mincho" w:hAnsi="Palatino Linotype" w:cs="Arial"/>
          <w:b/>
          <w:bCs/>
          <w:color w:val="000000"/>
          <w:sz w:val="24"/>
          <w:szCs w:val="24"/>
        </w:rPr>
        <w:t xml:space="preserve">reportar trimestralmente </w:t>
      </w:r>
      <w:r w:rsidRPr="00291B9C">
        <w:rPr>
          <w:rFonts w:ascii="Palatino Linotype" w:eastAsia="MS Mincho" w:hAnsi="Palatino Linotype" w:cs="Arial"/>
          <w:color w:val="000000"/>
          <w:sz w:val="24"/>
          <w:szCs w:val="24"/>
        </w:rPr>
        <w:t>el ejercicio de los recursos del Fondo y el avance en el cumplimiento de las metas; así como, las modificaciones o adecuaciones realizadas a las asignaciones establecidas.</w:t>
      </w:r>
    </w:p>
    <w:p w:rsidR="008A2099" w:rsidRPr="00291B9C" w:rsidRDefault="008A2099" w:rsidP="008A2099">
      <w:pPr>
        <w:tabs>
          <w:tab w:val="left" w:pos="426"/>
        </w:tabs>
        <w:spacing w:before="100" w:beforeAutospacing="1" w:after="100" w:afterAutospacing="1" w:line="360" w:lineRule="auto"/>
        <w:jc w:val="both"/>
        <w:rPr>
          <w:rFonts w:ascii="Palatino Linotype" w:hAnsi="Palatino Linotype"/>
          <w:sz w:val="24"/>
          <w:szCs w:val="24"/>
        </w:rPr>
      </w:pPr>
      <w:r w:rsidRPr="00291B9C">
        <w:rPr>
          <w:rFonts w:ascii="Palatino Linotype" w:eastAsia="MS Mincho" w:hAnsi="Palatino Linotype" w:cs="Arial"/>
          <w:color w:val="000000"/>
          <w:sz w:val="24"/>
          <w:szCs w:val="24"/>
        </w:rPr>
        <w:t xml:space="preserve">Ahora bien, de conformidad con las cláusulas tercera y cuarta del </w:t>
      </w:r>
      <w:r w:rsidRPr="00291B9C">
        <w:rPr>
          <w:rFonts w:ascii="Palatino Linotype" w:hAnsi="Palatino Linotype"/>
          <w:sz w:val="24"/>
          <w:szCs w:val="24"/>
        </w:rPr>
        <w:t xml:space="preserve">Convenio de Coordinación que en el marco del Sistema Nacional de Seguridad Pública, celebran </w:t>
      </w:r>
      <w:r w:rsidRPr="00291B9C">
        <w:rPr>
          <w:rFonts w:ascii="Palatino Linotype" w:hAnsi="Palatino Linotype"/>
          <w:sz w:val="24"/>
          <w:szCs w:val="24"/>
        </w:rPr>
        <w:lastRenderedPageBreak/>
        <w:t>el Secretariado Ejecutivo del Sistema Nacional de Seguridad Pública y el Estado de México, relativo al Fondo de Aportaciones para la Seguridad Pública de los Estados y del Distrito Federal (FASP) 2019,</w:t>
      </w:r>
      <w:r w:rsidRPr="00291B9C">
        <w:rPr>
          <w:rFonts w:ascii="Palatino Linotype" w:eastAsia="MS Mincho" w:hAnsi="Palatino Linotype" w:cs="Arial"/>
          <w:color w:val="000000"/>
          <w:sz w:val="24"/>
          <w:szCs w:val="24"/>
          <w:vertAlign w:val="superscript"/>
        </w:rPr>
        <w:footnoteReference w:id="3"/>
      </w:r>
      <w:r w:rsidRPr="00291B9C">
        <w:rPr>
          <w:rFonts w:ascii="Palatino Linotype" w:hAnsi="Palatino Linotype"/>
          <w:sz w:val="24"/>
          <w:szCs w:val="24"/>
        </w:rPr>
        <w:t xml:space="preserve"> se advierte lo siguiente:</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w:t>
      </w:r>
      <w:r w:rsidRPr="00AD5ACD">
        <w:rPr>
          <w:rFonts w:ascii="Palatino Linotype" w:hAnsi="Palatino Linotype"/>
          <w:b/>
          <w:i/>
        </w:rPr>
        <w:t>TERCERA. COMPROMISOS DE “LA ENTIDAD FEDERATIVA</w:t>
      </w:r>
      <w:r w:rsidRPr="00AD5ACD">
        <w:rPr>
          <w:rFonts w:ascii="Palatino Linotype" w:hAnsi="Palatino Linotype"/>
          <w:i/>
        </w:rPr>
        <w:t xml:space="preserve">”.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 Cumplir con lo señalado en el artículo 7, fracción IX del Presupuesto de Egresos de la Federación para el Ejercicio Fiscal 2019, la normativa en materia presupuestaria; la “Ley General”; la Ley de Coordinación Fiscal; los Criterios Generales para la Administración y Ejercicio de los Recursos del Fondo de Aportaciones para la Seguridad Pública de los Estados y del Distrito Federal (FASP) y demás disposiciones aplicables.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II. </w:t>
      </w:r>
      <w:r w:rsidRPr="00AD5ACD">
        <w:rPr>
          <w:rFonts w:ascii="Palatino Linotype" w:hAnsi="Palatino Linotype"/>
          <w:b/>
          <w:i/>
        </w:rPr>
        <w:t>Establecer dos cuentas bancarias productivas específicas, una para la administración de los recursos federales del “FASP” con los rendimientos que generen y otra para la aportación de “LA ENTIDAD FEDERATIVA”, de conformidad con lo dispuesto en el artículo 69 de la Ley General de Contabilidad Gubernamental, para efectos de su fiscalización, los cuales no podrán ser transferidos a otras cuentas que no permitan identificar su aplicación, destino y rendimientos.</w:t>
      </w:r>
      <w:r w:rsidRPr="00AD5ACD">
        <w:rPr>
          <w:rFonts w:ascii="Palatino Linotype" w:hAnsi="Palatino Linotype"/>
          <w:i/>
        </w:rPr>
        <w:t xml:space="preserve">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III. Registrar los recursos que por el “FASP” reciba en su respectivo presupuesto y deberán distinguirse de los recursos aportados por “LA ENTIDAD FEDERATIVA”, e informar para efectos de la cuenta pública local, así como presentar los demás informes previstos en la legislación local y federal.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IV. Aplicar los recursos del “FASP” conforme al principio de anualidad previsto en el artículo 7, fracción IX, párrafo tercero del Presupuesto de Egresos de la Federación para el Ejercicio Fiscal 2019.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 De conformidad con el artículo 17 de la Ley de Disciplina Financiera de las Entidades Federativas y los Municipios, reintegrar a la Tesorería de la Federación a más tardar el 15 de enero de 2020, los recursos del “FASP” con los rendimientos financieros generados que al 31 de diciembre del ejercicio fiscal 2019, no hayan sido devengados por sus entes públicos o no estén comprometidos en los términos </w:t>
      </w:r>
      <w:r w:rsidRPr="00AD5ACD">
        <w:rPr>
          <w:rFonts w:ascii="Palatino Linotype" w:hAnsi="Palatino Linotype"/>
          <w:i/>
        </w:rPr>
        <w:lastRenderedPageBreak/>
        <w:t xml:space="preserve">previstos en el artículo 4, fracciones XIV y XV de la Ley General de Contabilidad Gubernamental, así como cubrir los pagos respectivos a más tardar durante el primer trimestre del ejercicio fiscal 2020, con los recursos del “FASP” que al 31 de diciembre del ejercicio fiscal 2019 se hayan comprometido o devengados pero que no hayan sido pagados, debiendo reintegrar los recursos remanentes a la Tesorería de la Federación a más tardar dentro de los 15 días naturales siguientes una vez cumplido el plazo referido.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VI. Ejercer los recursos del “FASP” y estatales para el cumplimiento de las metas convenidas en el Anexo Técnico, observando lo previsto en el artículo 45 de la Ley de Coordinación Fiscal y los Criterios Generales para la Administración y Ejercicio de los Recursos del Fondo de Aportaciones para la Seguridad Pública de los Estados y del Distrito Federal (FASP).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VII. Orientar las acciones del personal policial a la búsqueda de personas desaparecidas y no localizadas, y esclarecer los hechos, así como para prevenir, investigar, sancionar y erradicar los delitos en materia de desaparición forzada de personas y desaparición cometida por particulares, así como los delitos vinculados que establece la Ley General en Materia de Desaparición Forzada de Personas, Desaparición Cometida por Particulares y del Sistema Nacional de Búsqueda de Personas, en materia de su competencia atendiendo a lo dispuesto por los artículos 24 y 25 de dicho ordenamiento. VIII. Remitir al Centro Nacional de Prevención del Delito y Participación Ciudadana de “EL SECRETARIADO” el Programa de Prevención del Delito de Tortura, de conformidad con lo establecido por el artículo 62 de la Ley General para Prevenir, Investigar y Sancionar la Tortura y otros Tratos o Penas Crueles, Inhumanos o Degradantes.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IX. Desarrollar e implementar, en el ámbito de su competencia, Medidas de Prevención, así como investigar y sancionar las agresiones de las que sean objeto las personas defensoras de derechos humanos y periodistas, de conformidad con los artículos 34, 41 y 44 de la Ley para la Protección de Personas Defensoras de Derechos Humanos y Periodistas. </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i/>
        </w:rPr>
        <w:t xml:space="preserve">X. </w:t>
      </w:r>
      <w:r w:rsidRPr="00AD5ACD">
        <w:rPr>
          <w:rFonts w:ascii="Palatino Linotype" w:hAnsi="Palatino Linotype"/>
          <w:b/>
          <w:i/>
        </w:rPr>
        <w:t xml:space="preserve">Informar mensual y trimestralmente a “EL SECRETARIADO” a través de la Dirección General de Vinculación y Seguimiento </w:t>
      </w:r>
      <w:r w:rsidRPr="00AD5ACD">
        <w:rPr>
          <w:rFonts w:ascii="Palatino Linotype" w:hAnsi="Palatino Linotype"/>
          <w:i/>
        </w:rPr>
        <w:t xml:space="preserve">sobre las </w:t>
      </w:r>
      <w:r w:rsidRPr="00AD5ACD">
        <w:rPr>
          <w:rFonts w:ascii="Palatino Linotype" w:hAnsi="Palatino Linotype"/>
          <w:b/>
          <w:i/>
          <w:u w:val="single"/>
        </w:rPr>
        <w:t xml:space="preserve">acciones realizadas con base en el presente Convenio, así como los movimientos que presenten las cuentas bancarias específicas productivas, la situación en el ejercicio de los recursos y su destino, considerando el avance presupuestal </w:t>
      </w:r>
      <w:r w:rsidRPr="00AD5ACD">
        <w:rPr>
          <w:rFonts w:ascii="Palatino Linotype" w:hAnsi="Palatino Linotype"/>
          <w:b/>
          <w:i/>
          <w:u w:val="single"/>
        </w:rPr>
        <w:lastRenderedPageBreak/>
        <w:t>y de cumplimiento de metas por Programa y las acciones efectuadas con rendimientos financieros, diferenciando para tal efecto el gasto comprometido, devengado, ejercido y pagado</w:t>
      </w:r>
      <w:r w:rsidRPr="00AD5ACD">
        <w:rPr>
          <w:rFonts w:ascii="Palatino Linotype" w:hAnsi="Palatino Linotype"/>
          <w:i/>
        </w:rPr>
        <w:t xml:space="preserve">. </w:t>
      </w:r>
      <w:r w:rsidRPr="00AD5ACD">
        <w:rPr>
          <w:rFonts w:ascii="Palatino Linotype" w:hAnsi="Palatino Linotype"/>
          <w:b/>
          <w:i/>
        </w:rPr>
        <w:t>El Gobernador de “LA ENTIDAD FEDERATIVA” deberá designar a un Servidor Público con competencia y nivel de decisión, como responsable de verificar y proporcionar a “EL SECRETARIADO” los informes mensuales y trimestrales sobre los movimientos que presenten las cuentas bancarias productivas específicas del Financiamiento Conjunto, el ejercicio de los recursos y avance en el cumplimiento de los objetivos, metas, indicadores y porcentajes de inversión de los proyectos establecidos en el Anexo Técnico, así como el destino y resultados obtenidos de la aplicación de los recursos.</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i/>
        </w:rPr>
        <w:t xml:space="preserve">XI. Enviar adjunto a su informe trimestral, </w:t>
      </w:r>
      <w:r w:rsidRPr="00AD5ACD">
        <w:rPr>
          <w:rFonts w:ascii="Palatino Linotype" w:hAnsi="Palatino Linotype"/>
          <w:b/>
          <w:i/>
        </w:rPr>
        <w:t xml:space="preserve">copia de los estados de cuenta mensuales correspondiente a cada una de las cuentas informadas ante “EL SECRETARIADO”.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XII. Incorporar en el sistema de seguimiento que opere “EL SECRETARIADO”, la información conforme a los Criterios Generales para la Administración y Ejercicio de los Recursos del Fondo de Aportaciones para la Seguridad Pública de los Estados y del Distrito Federal (FASP).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XIII. Entregar a “EL SECRETARIADO” la información que solicite en los términos, plazos y formatos que al efecto establezca. </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i/>
        </w:rPr>
        <w:t xml:space="preserve">XIV. </w:t>
      </w:r>
      <w:r w:rsidRPr="00AD5ACD">
        <w:rPr>
          <w:rFonts w:ascii="Palatino Linotype" w:hAnsi="Palatino Linotype"/>
          <w:b/>
          <w:i/>
        </w:rPr>
        <w:t xml:space="preserve">Publicar en su página de Internet, el avance en el ejercicio de los recursos que le fueron asignados, para transparentar el ejercicio de los mismos, en términos de los artículos 48 de la Ley de Coordinación Fiscal y 77 de la Ley General de Contabilidad Gubernamental.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XV. Financiar con recursos propios las acciones no previstas en el artículo 45 de la Ley de Coordinación Fiscal.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XVI. Abstenerse de adquirir para el uso de sus instituciones policiales, uniformes o vehículos con colores, 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celebrada el 18 de diciembre de 2015; en caso contrario, se podrían </w:t>
      </w:r>
      <w:r w:rsidRPr="00AD5ACD">
        <w:rPr>
          <w:rFonts w:ascii="Palatino Linotype" w:hAnsi="Palatino Linotype"/>
          <w:i/>
        </w:rPr>
        <w:lastRenderedPageBreak/>
        <w:t xml:space="preserve">actualizar los supuestos previstos en el artículo 250 bis 1, fracciones II y IV del Código Penal Federal.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XVII.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 en cumplimiento al Acuerdo 09/XXXIX/15 del Consejo Nacional de Seguridad Pública. XVIII. De conformidad con lo dispuesto en los artículos 7, fracción X, de la “Ley General” y 40, fracción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VIII, de la Ley General para Prevenir y Sancionar los Delitos en Materia de Secuestro, Reglamentaria de la fracción XXI, del artículo 73 de la Constitución Política de los Estados Unidos Mexicanos, realizar cuando así se requiera, las acciones y operativos de manera conjunta con las Instituciones de Seguridad Pública federales y, en su caso, municipales, para el cumplimiento de los fines de la seguridad pública, en cuyo caso, se podrán firmar los convenios específicos conforme a las disposiciones aplicables.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XIX. Colaborar y participar en términos de la normativa aplicable, en operativos conjuntos con las autoridades competentes, y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XX. Apoyar a través del Secretariado Ejecutivo del Sistema Estatal de Seguridad Pública a “EL SECRETARIADO” en el desarrollo de las visitas y acciones de verificación sobre la aplicación de los recursos del “FASP”. </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b/>
          <w:i/>
        </w:rPr>
        <w:t>CUARTA.</w:t>
      </w:r>
      <w:r w:rsidRPr="00AD5ACD">
        <w:rPr>
          <w:rFonts w:ascii="Palatino Linotype" w:hAnsi="Palatino Linotype"/>
          <w:i/>
        </w:rPr>
        <w:t xml:space="preserve"> OPERACIÓN Y SEGUIMIENTO. Por parte de “EL SECRETARIADO”, el o la titular de la Dirección General de Vinculación y Seguimiento será el responsable de coordinar la operación y seguimiento del “FASP”. </w:t>
      </w:r>
      <w:r w:rsidRPr="00AD5ACD">
        <w:rPr>
          <w:rFonts w:ascii="Palatino Linotype" w:hAnsi="Palatino Linotype"/>
          <w:b/>
          <w:i/>
        </w:rPr>
        <w:t xml:space="preserve">Por parte de “LA ENTIDAD FEDERATIVA”, </w:t>
      </w:r>
      <w:r w:rsidRPr="00AD5ACD">
        <w:rPr>
          <w:rFonts w:ascii="Palatino Linotype" w:hAnsi="Palatino Linotype"/>
          <w:b/>
          <w:i/>
          <w:u w:val="single"/>
        </w:rPr>
        <w:t>el o la titular del Secretariado Ejecutivo del Sistema Estatal de Seguridad Pública</w:t>
      </w:r>
      <w:r w:rsidRPr="00AD5ACD">
        <w:rPr>
          <w:rFonts w:ascii="Palatino Linotype" w:hAnsi="Palatino Linotype"/>
          <w:b/>
          <w:i/>
        </w:rPr>
        <w:t xml:space="preserve">, será el responsable de los informes mensuales y trimestrales que se deban rendir a “EL SECRETARIADO” en términos de la fracción X de la cláusula Tercera de este Convenio.” </w:t>
      </w:r>
    </w:p>
    <w:p w:rsidR="008A2099" w:rsidRPr="00AD5ACD" w:rsidRDefault="008A2099" w:rsidP="008A2099">
      <w:pPr>
        <w:tabs>
          <w:tab w:val="left" w:pos="426"/>
        </w:tabs>
        <w:ind w:left="851" w:right="757"/>
        <w:jc w:val="both"/>
        <w:rPr>
          <w:rFonts w:ascii="Palatino Linotype" w:hAnsi="Palatino Linotype"/>
        </w:rPr>
      </w:pPr>
      <w:r w:rsidRPr="00AD5ACD">
        <w:rPr>
          <w:rFonts w:ascii="Palatino Linotype" w:hAnsi="Palatino Linotype"/>
        </w:rPr>
        <w:t>(Énfasis añadido)</w:t>
      </w:r>
    </w:p>
    <w:p w:rsidR="008A2099" w:rsidRPr="00291B9C" w:rsidRDefault="008A2099" w:rsidP="008A2099">
      <w:pPr>
        <w:tabs>
          <w:tab w:val="left" w:pos="426"/>
        </w:tabs>
        <w:spacing w:before="100" w:beforeAutospacing="1" w:after="100" w:afterAutospacing="1" w:line="360" w:lineRule="auto"/>
        <w:jc w:val="both"/>
        <w:rPr>
          <w:rFonts w:ascii="Palatino Linotype" w:hAnsi="Palatino Linotype"/>
          <w:sz w:val="24"/>
          <w:szCs w:val="24"/>
        </w:rPr>
      </w:pPr>
      <w:r w:rsidRPr="00291B9C">
        <w:rPr>
          <w:rFonts w:ascii="Palatino Linotype" w:hAnsi="Palatino Linotype"/>
          <w:sz w:val="24"/>
          <w:szCs w:val="24"/>
        </w:rPr>
        <w:t xml:space="preserve">Atento a lo anterior, se advierte que corresponde al titular del </w:t>
      </w:r>
      <w:r w:rsidRPr="00291B9C">
        <w:rPr>
          <w:rFonts w:ascii="Palatino Linotype" w:hAnsi="Palatino Linotype"/>
          <w:sz w:val="24"/>
          <w:szCs w:val="24"/>
          <w:u w:val="single"/>
        </w:rPr>
        <w:t>Secretariado Ejecutivo del Sistema Estatal de Seguridad Pública</w:t>
      </w:r>
      <w:r w:rsidRPr="00291B9C">
        <w:rPr>
          <w:rFonts w:ascii="Palatino Linotype" w:hAnsi="Palatino Linotype"/>
          <w:sz w:val="24"/>
          <w:szCs w:val="24"/>
        </w:rPr>
        <w:t xml:space="preserve">, informar mensual y trimestralmente al  </w:t>
      </w:r>
      <w:r w:rsidRPr="00291B9C">
        <w:rPr>
          <w:rFonts w:ascii="Palatino Linotype" w:hAnsi="Palatino Linotype"/>
          <w:sz w:val="24"/>
          <w:szCs w:val="24"/>
        </w:rPr>
        <w:lastRenderedPageBreak/>
        <w:t>Secretariado Nacional, a través de la Dirección General de Vinculación y Seguimiento</w:t>
      </w:r>
      <w:r w:rsidRPr="00291B9C">
        <w:rPr>
          <w:rFonts w:ascii="Palatino Linotype" w:hAnsi="Palatino Linotype"/>
          <w:i/>
          <w:sz w:val="24"/>
          <w:szCs w:val="24"/>
        </w:rPr>
        <w:t xml:space="preserve"> </w:t>
      </w:r>
      <w:r w:rsidRPr="00291B9C">
        <w:rPr>
          <w:rFonts w:ascii="Palatino Linotype" w:hAnsi="Palatino Linotype"/>
          <w:sz w:val="24"/>
          <w:szCs w:val="24"/>
        </w:rPr>
        <w:t>sobre las acciones realizadas;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p>
    <w:p w:rsidR="001D130D" w:rsidRDefault="008A2099" w:rsidP="008A2099">
      <w:pPr>
        <w:tabs>
          <w:tab w:val="left" w:pos="426"/>
        </w:tabs>
        <w:spacing w:before="100" w:beforeAutospacing="1" w:after="100" w:afterAutospacing="1" w:line="360" w:lineRule="auto"/>
        <w:jc w:val="both"/>
        <w:rPr>
          <w:rFonts w:ascii="Palatino Linotype" w:hAnsi="Palatino Linotype"/>
          <w:sz w:val="24"/>
        </w:rPr>
      </w:pPr>
      <w:r w:rsidRPr="001D130D">
        <w:rPr>
          <w:rFonts w:ascii="Palatino Linotype" w:hAnsi="Palatino Linotype"/>
          <w:sz w:val="24"/>
        </w:rPr>
        <w:t>Al respecto, se destaca que en los documentos normativos que rigen el funcionamiento y evaluación del FASP desde el año 2019, se advierten mecanismos de evaluación que implican la comprobación de los recursos otorgados</w:t>
      </w:r>
      <w:r w:rsidR="001D130D">
        <w:rPr>
          <w:rFonts w:ascii="Palatino Linotype" w:hAnsi="Palatino Linotype"/>
          <w:sz w:val="24"/>
        </w:rPr>
        <w:t>.</w:t>
      </w:r>
    </w:p>
    <w:p w:rsidR="008A2099" w:rsidRPr="001D130D" w:rsidRDefault="008A2099" w:rsidP="008A2099">
      <w:pPr>
        <w:tabs>
          <w:tab w:val="left" w:pos="426"/>
        </w:tabs>
        <w:spacing w:before="100" w:beforeAutospacing="1" w:after="100" w:afterAutospacing="1" w:line="360" w:lineRule="auto"/>
        <w:jc w:val="both"/>
        <w:rPr>
          <w:rFonts w:ascii="Palatino Linotype" w:hAnsi="Palatino Linotype"/>
          <w:sz w:val="24"/>
        </w:rPr>
      </w:pPr>
      <w:r w:rsidRPr="001D130D">
        <w:rPr>
          <w:rFonts w:ascii="Palatino Linotype" w:hAnsi="Palatino Linotype"/>
          <w:sz w:val="24"/>
        </w:rPr>
        <w:t>Ahora bien, en lo que respecta al FORTASEG</w:t>
      </w:r>
      <w:r w:rsidRPr="001D130D">
        <w:rPr>
          <w:rStyle w:val="Refdenotaalpie"/>
          <w:rFonts w:ascii="Palatino Linotype" w:hAnsi="Palatino Linotype"/>
          <w:sz w:val="24"/>
        </w:rPr>
        <w:footnoteReference w:id="4"/>
      </w:r>
      <w:r w:rsidRPr="001D130D">
        <w:rPr>
          <w:rFonts w:ascii="Palatino Linotype" w:hAnsi="Palatino Linotype"/>
          <w:sz w:val="24"/>
        </w:rPr>
        <w:t xml:space="preserve">, este es un subsidio que se otorga a los Municipios, y en su caso a los estados cuando éstos ejercen la función de seguridad pública en lugar de los primeros o coordinados con ellos. De acuerdo con los </w:t>
      </w:r>
      <w:r w:rsidRPr="001D130D">
        <w:rPr>
          <w:rFonts w:ascii="Palatino Linotype" w:hAnsi="Palatino Linotype"/>
          <w:bCs/>
          <w:sz w:val="24"/>
        </w:rPr>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w:t>
      </w:r>
      <w:r w:rsidRPr="001D130D">
        <w:rPr>
          <w:rFonts w:ascii="Palatino Linotype" w:hAnsi="Palatino Linotype"/>
          <w:sz w:val="24"/>
        </w:rPr>
        <w:t xml:space="preserve">, el objetivo del FORTASEG es apoyar el fortalecimiento del desempeño en materia de seguridad pública a los beneficiarios mediante la profesionalización, la certificación y el equipamiento de los elementos policiales de las instituciones de seguridad </w:t>
      </w:r>
      <w:r w:rsidRPr="001D130D">
        <w:rPr>
          <w:rFonts w:ascii="Palatino Linotype" w:hAnsi="Palatino Linotype"/>
          <w:sz w:val="24"/>
        </w:rPr>
        <w:lastRenderedPageBreak/>
        <w:t xml:space="preserve">pública, así como el fortalecimiento tecnológico, de equipo e infraestructura de las instituciones de seguridad pública. </w:t>
      </w:r>
    </w:p>
    <w:p w:rsidR="008A2099" w:rsidRPr="001D130D"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1D130D">
        <w:rPr>
          <w:rFonts w:ascii="Palatino Linotype" w:eastAsia="MS Mincho" w:hAnsi="Palatino Linotype" w:cs="Arial"/>
          <w:color w:val="000000"/>
          <w:sz w:val="24"/>
        </w:rPr>
        <w:t xml:space="preserve">De esta forma, los lineamientos antes mencionados, establecen que los recursos federales del FORTASEG no son regularizables, son parcialmente concursables y </w:t>
      </w:r>
      <w:r w:rsidRPr="001D130D">
        <w:rPr>
          <w:rFonts w:ascii="Palatino Linotype" w:eastAsia="MS Mincho" w:hAnsi="Palatino Linotype" w:cs="Arial"/>
          <w:b/>
          <w:bCs/>
          <w:color w:val="000000"/>
          <w:sz w:val="24"/>
        </w:rPr>
        <w:t xml:space="preserve">no pierden su carácter de federal al ser ministrados a los beneficiarios; </w:t>
      </w:r>
      <w:r w:rsidRPr="001D130D">
        <w:rPr>
          <w:rFonts w:ascii="Palatino Linotype" w:eastAsia="MS Mincho" w:hAnsi="Palatino Linotype" w:cs="Arial"/>
          <w:color w:val="000000"/>
          <w:sz w:val="24"/>
        </w:rPr>
        <w:t xml:space="preserve">por lo que, su </w:t>
      </w:r>
      <w:r w:rsidRPr="001D130D">
        <w:rPr>
          <w:rFonts w:ascii="Palatino Linotype" w:eastAsia="MS Mincho" w:hAnsi="Palatino Linotype" w:cs="Arial"/>
          <w:b/>
          <w:bCs/>
          <w:color w:val="000000"/>
          <w:sz w:val="24"/>
        </w:rPr>
        <w:t xml:space="preserve">administración, ejercicio, seguimiento, verificación y evaluación </w:t>
      </w:r>
      <w:r w:rsidRPr="001D130D">
        <w:rPr>
          <w:rFonts w:ascii="Palatino Linotype" w:eastAsia="MS Mincho" w:hAnsi="Palatino Linotype" w:cs="Arial"/>
          <w:color w:val="000000"/>
          <w:sz w:val="24"/>
        </w:rPr>
        <w:t xml:space="preserve">se sujetará a lo dispuesto por el Presupuesto de Egresos de la Federación para el Ejercicio Fiscal 2019, asimismo establece que cualquier comunicado relacionado con los recursos del FORTASEG que realicen los beneficiarios al Secretariado Ejecutivo, deberá estar dirigido a la </w:t>
      </w:r>
      <w:r w:rsidRPr="001D130D">
        <w:rPr>
          <w:rFonts w:ascii="Palatino Linotype" w:eastAsia="MS Mincho" w:hAnsi="Palatino Linotype" w:cs="Arial"/>
          <w:b/>
          <w:bCs/>
          <w:color w:val="000000"/>
          <w:sz w:val="24"/>
        </w:rPr>
        <w:t>Dirección de Vinculación y Seguimiento</w:t>
      </w:r>
      <w:r w:rsidRPr="001D130D">
        <w:rPr>
          <w:rFonts w:ascii="Palatino Linotype" w:eastAsia="MS Mincho" w:hAnsi="Palatino Linotype" w:cs="Arial"/>
          <w:color w:val="000000"/>
          <w:sz w:val="24"/>
        </w:rPr>
        <w:t xml:space="preserve">; así, los </w:t>
      </w:r>
      <w:r w:rsidRPr="001D130D">
        <w:rPr>
          <w:rFonts w:ascii="Palatino Linotype" w:eastAsia="MS Mincho" w:hAnsi="Palatino Linotype" w:cs="Arial"/>
          <w:b/>
          <w:bCs/>
          <w:color w:val="000000"/>
          <w:sz w:val="24"/>
        </w:rPr>
        <w:t xml:space="preserve">“beneficiarios” </w:t>
      </w:r>
      <w:r w:rsidRPr="001D130D">
        <w:rPr>
          <w:rFonts w:ascii="Palatino Linotype" w:eastAsia="MS Mincho" w:hAnsi="Palatino Linotype" w:cs="Arial"/>
          <w:color w:val="000000"/>
          <w:sz w:val="24"/>
        </w:rPr>
        <w:t xml:space="preserve">son los Municipios y alcaldías de la Ciudad de México y, en su caso, a las entidades federativas que ejerzan de manera directa o coordinada la función de seguridad pública en el ámbito municipal, que hayan sido seleccionados para acceder al FORTASEG. </w:t>
      </w:r>
    </w:p>
    <w:p w:rsidR="008A2099" w:rsidRPr="00D94981"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D94981">
        <w:rPr>
          <w:rFonts w:ascii="Palatino Linotype" w:eastAsia="MS Mincho" w:hAnsi="Palatino Linotype" w:cs="Arial"/>
          <w:color w:val="000000"/>
          <w:sz w:val="24"/>
        </w:rPr>
        <w:t>De la misma manera, los citados lineamientos establecen que los beneficiarios del FORTASEG, de acuerdo con su artículo 38 tendrán las siguientes obligaciones:</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“Artículo 38. Son obligaciones de los Beneficiarios del FORTASEG, las siguientes: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 Destinar los recursos del FORTASEG y de coparticipación para el cumplimiento de las metas convenidas, con base en lo establecido en los Lineamientos, los Convenios, Anexos Técnicos y demás normativa aplicable;</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II. Establecer cuentas bancarias productivas específicas generadoras de rendimientos financieros y abierta por los Beneficiarios para la administración de los recursos, debiendo ser independiente la cuenta bancaria productiva específica en la que se administran los recursos del FORTASEG y en la que se administran los </w:t>
      </w:r>
      <w:r w:rsidRPr="00AD5ACD">
        <w:rPr>
          <w:rFonts w:ascii="Palatino Linotype" w:eastAsia="MS Mincho" w:hAnsi="Palatino Linotype" w:cs="Arial"/>
          <w:i/>
          <w:color w:val="000000"/>
        </w:rPr>
        <w:lastRenderedPageBreak/>
        <w:t>recursos de coparticipación, no pudiendo ser consideradas como tales aquellas cuentas que representen riesgos para los recursos;</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III. Registrar los avances físico-financieros mensuales a través del Sistema que establezca el Secretariado Ejecutivo y presentar el informe trimestral a la Dirección General de Vinculación y Seguimiento, en un plazo no mayor a diez (10) días hábiles posteriores a la conclusión del trimestre correspondiente, conforme a los formatos de avance en la aplicación de los recursos del FORTASEG y de coparticipación que establezca el Secretariado Ejecutivo, debidamente suscritos por las autoridades competentes, los cuales contendrán como mínimo la información siguiente:</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a) Datos sobre los recursos del FORTASEG y de coparticipación comprometidos, devengados y pagados a la fecha de corte del periodo que corresponda, y</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b) Disponibilidad presupuestal y financiera del FORTASEG y de la coparticipación con la que cuenten a la fecha de corte del reporte.</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IV. Informar y acreditar a través del medio que establezca el Secretariado Ejecutivo, el cumplimiento de las metas convenidas y, en su caso, la recepción de recursos en especie en un plazo no mayor a diez (10) días hábiles;</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V. Atender en tiempo y forma las solicitudes de información que realice el Secretariado Ejecutivo sobre la administración y avances de los recursos del FORTASEG, así como permitir llevar a cabo las visitas y acciones de verificación sobre su aplicación que estime pertinentes, dando el acceso a equipo, material, información, registros y documentos requeridos para ejecutar el seguimiento de las acciones realizadas con el FORTASEG;</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VI. Cancelar la documentación comprobatoria original del gasto con la leyenda "Operado FORTASEG 2019", o como se establezca en las disposiciones locales, identificándose con el nombre de FORTASEG y reportarla al Secretariado Ejecutivo a través del Sistema establecido para este fin;</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VII. Acreditar, previo al ejercicio de los recursos, la propiedad legal del (de los) predio (s) de las acciones de infraestructura, así como obtener de la Dirección General de Apoyo Técnico del Secretariado Ejecutivo, la opinión favorable respecto del expediente técnico, mismos que deberán ser entregados al Secretariado Ejecutivo a </w:t>
      </w:r>
      <w:r w:rsidRPr="00AD5ACD">
        <w:rPr>
          <w:rFonts w:ascii="Palatino Linotype" w:eastAsia="MS Mincho" w:hAnsi="Palatino Linotype" w:cs="Arial"/>
          <w:i/>
          <w:color w:val="000000"/>
        </w:rPr>
        <w:lastRenderedPageBreak/>
        <w:t>más tardar el 30 de abril de 2019 para la opinión respectiva; en caso de que sean presentados con posterioridad a la fecha señalada, serán desechados;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b/>
          <w:bCs/>
          <w:i/>
          <w:color w:val="000000"/>
        </w:rPr>
        <w:t>VIII. Obtener de las Áreas Técnicas del Secretariado Ejecutivo, de conformidad con la normativa aplicable, los dictámenes, observaciones u opiniones técnicas que en su caso se requieran para la realización de las metas convenidas en los Anexos Técnicos</w:t>
      </w:r>
      <w:r w:rsidRPr="00AD5ACD">
        <w:rPr>
          <w:rFonts w:ascii="Palatino Linotype" w:eastAsia="MS Mincho" w:hAnsi="Palatino Linotype" w:cs="Arial"/>
          <w:i/>
          <w:color w:val="000000"/>
        </w:rPr>
        <w:t>. Las solicitudes de validación de cursos de capacitación deberán presentarse a más tardar el 15 de octubre de 2019; en caso de ser presentadas con posterioridad a la fecha señalada, serán desechadas por el área técnica. Los cursos que se realicen sin contar con dicha validación, no computarán en la acreditación del cumplimiento de metas;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IX. Cumplir con los Lineamientos Generales de Evaluación del Desempeño referidos en los artículos 43 y 49 de los Lineamientos, que para tal efecto emita la Dirección General de Planeación del Secretariado Ejecutivo;</w:t>
      </w:r>
    </w:p>
    <w:p w:rsidR="008A2099" w:rsidRPr="00AD5ACD" w:rsidRDefault="008A2099" w:rsidP="008A2099">
      <w:pPr>
        <w:tabs>
          <w:tab w:val="left" w:pos="567"/>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X. Informar por oficio al Secretariado Ejecutivo, el cambio que realice sobre la designación de la o el servidor público, enlace del FORTASEG;</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XI. Colaborar y participar en términos de la normativa aplicable, en operativos conjuntos con las autoridades competentes, y</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eastAsia="MS Mincho" w:hAnsi="Palatino Linotype" w:cs="Arial"/>
          <w:i/>
          <w:color w:val="000000"/>
        </w:rPr>
        <w:t>XII. Las demás establecidas en el Convenio, Anexo Técnico y las disposiciones aplicables.”</w:t>
      </w:r>
      <w:r w:rsidRPr="00AD5ACD">
        <w:rPr>
          <w:rFonts w:ascii="Palatino Linotype" w:hAnsi="Palatino Linotype"/>
          <w:b/>
          <w:i/>
        </w:rPr>
        <w:t xml:space="preserve"> </w:t>
      </w:r>
    </w:p>
    <w:p w:rsidR="008A2099" w:rsidRPr="00AD5ACD" w:rsidRDefault="008A2099" w:rsidP="008A2099">
      <w:pPr>
        <w:tabs>
          <w:tab w:val="left" w:pos="851"/>
        </w:tabs>
        <w:ind w:left="851" w:right="760"/>
        <w:jc w:val="both"/>
        <w:rPr>
          <w:rFonts w:ascii="Palatino Linotype" w:hAnsi="Palatino Linotype"/>
        </w:rPr>
      </w:pPr>
      <w:r w:rsidRPr="00AD5ACD">
        <w:rPr>
          <w:rFonts w:ascii="Palatino Linotype" w:hAnsi="Palatino Linotype"/>
        </w:rPr>
        <w:t>(Énfasis añadido)</w:t>
      </w:r>
    </w:p>
    <w:p w:rsidR="008A2099" w:rsidRPr="00181DE3" w:rsidRDefault="008A2099" w:rsidP="008A2099">
      <w:pPr>
        <w:tabs>
          <w:tab w:val="left" w:pos="851"/>
        </w:tabs>
        <w:spacing w:before="100" w:beforeAutospacing="1" w:after="100" w:afterAutospacing="1" w:line="360" w:lineRule="auto"/>
        <w:ind w:right="49"/>
        <w:jc w:val="both"/>
        <w:rPr>
          <w:rFonts w:ascii="Palatino Linotype" w:eastAsia="MS Mincho" w:hAnsi="Palatino Linotype" w:cs="Arial"/>
          <w:i/>
          <w:color w:val="000000"/>
          <w:sz w:val="24"/>
        </w:rPr>
      </w:pPr>
      <w:r w:rsidRPr="00181DE3">
        <w:rPr>
          <w:rFonts w:ascii="Palatino Linotype" w:eastAsia="MS Mincho" w:hAnsi="Palatino Linotype" w:cs="Arial"/>
          <w:color w:val="000000"/>
          <w:sz w:val="24"/>
        </w:rPr>
        <w:t xml:space="preserve">Hecho lo anterior, se indica que los beneficiarios son los encargados de reportar y presentar el informe trimestral a la Dirección General de Vinculación y Seguimiento, los avances y aplicación de los recursos del FORTASEG, los cuales contendrán la información relativa a los datos sobre los recursos devengados y pagados, así como su disponibilidad presupuestal y financiera con la que cuenten a la fecha del reporte, del mismo modo, informarán y acreditarán el cumplimiento de las metas convenidas, permitirán llevar a cabo las visitas y acciones de verificación sobre su </w:t>
      </w:r>
      <w:r w:rsidRPr="00181DE3">
        <w:rPr>
          <w:rFonts w:ascii="Palatino Linotype" w:eastAsia="MS Mincho" w:hAnsi="Palatino Linotype" w:cs="Arial"/>
          <w:color w:val="000000"/>
          <w:sz w:val="24"/>
        </w:rPr>
        <w:lastRenderedPageBreak/>
        <w:t xml:space="preserve">aplicación, dando acceso a equipo, material, información registro y documentos para ejecutar el seguimiento de las acciones realizadas con el FORTASEG. </w:t>
      </w:r>
    </w:p>
    <w:p w:rsidR="008A2099" w:rsidRPr="00181DE3"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181DE3">
        <w:rPr>
          <w:rFonts w:ascii="Palatino Linotype" w:eastAsia="MS Mincho" w:hAnsi="Palatino Linotype" w:cs="Arial"/>
          <w:color w:val="000000"/>
          <w:sz w:val="24"/>
        </w:rPr>
        <w:t>Por otra parte, las Entidades Federativas tienen las obligaciones conferidas en el artículo 39 de los Lineamientos en cita y consisten en las siguientes: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w:t>
      </w:r>
      <w:r w:rsidRPr="00AD5ACD">
        <w:rPr>
          <w:rFonts w:ascii="Palatino Linotype" w:eastAsia="MS Mincho" w:hAnsi="Palatino Linotype" w:cs="Arial"/>
          <w:b/>
          <w:i/>
          <w:color w:val="000000"/>
        </w:rPr>
        <w:t>Artículo 39.</w:t>
      </w:r>
      <w:r w:rsidRPr="00AD5ACD">
        <w:rPr>
          <w:rFonts w:ascii="Palatino Linotype" w:eastAsia="MS Mincho" w:hAnsi="Palatino Linotype" w:cs="Arial"/>
          <w:i/>
          <w:color w:val="000000"/>
        </w:rPr>
        <w:t xml:space="preserve"> Son obligaciones de las entidades federativas las siguientes: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 Entregar a la Dirección General de Vinculación y Seguimiento a más tardar el día de la concertación a que sean convocados sus municipios o alcaldías Beneficiarios, los documentos que a continuación se señalan:</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a) Carta original de la institución bancaria que acredite la apertura de una cuenta bancaria productiva específica para la recepción y administración de los recursos del "FORTASEG", la cual deberá contener como mínimo nombre del beneficiario, número de cuenta y Clave Bancaria Estandarizada (CLABE) con 18 posiciones;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b) Copia de la Cédula de Identificación Fiscal de la entidad federativa, expedida por el Servicio de Administración Tributaria;</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c) Constancia de domicilio fiscal, y</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d) Copia del oficio de designación o nombramiento de las o los servidores públicos responsables del manejo de la cuenta bancaria productiva específica.</w:t>
      </w:r>
    </w:p>
    <w:p w:rsidR="008A2099" w:rsidRPr="00AD5ACD" w:rsidRDefault="008A2099" w:rsidP="008A2099">
      <w:pPr>
        <w:tabs>
          <w:tab w:val="left" w:pos="567"/>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II. </w:t>
      </w:r>
      <w:r w:rsidRPr="00AD5ACD">
        <w:rPr>
          <w:rFonts w:ascii="Palatino Linotype" w:eastAsia="MS Mincho" w:hAnsi="Palatino Linotype" w:cs="Arial"/>
          <w:b/>
          <w:bCs/>
          <w:i/>
          <w:color w:val="000000"/>
        </w:rPr>
        <w:t>Transferir los recursos del FORTASEG correspondientes a los Beneficiarios</w:t>
      </w:r>
      <w:r w:rsidRPr="00AD5ACD">
        <w:rPr>
          <w:rFonts w:ascii="Palatino Linotype" w:eastAsia="MS Mincho" w:hAnsi="Palatino Linotype" w:cs="Arial"/>
          <w:i/>
          <w:color w:val="000000"/>
        </w:rPr>
        <w:t xml:space="preserve">, incluyendo los rendimientos financieros, en los términos de las disposiciones aplicables, en un plazo no mayor a cinco (5) días hábiles a partir de su recepción, </w:t>
      </w:r>
      <w:r w:rsidRPr="00AD5ACD">
        <w:rPr>
          <w:rFonts w:ascii="Palatino Linotype" w:eastAsia="MS Mincho" w:hAnsi="Palatino Linotype" w:cs="Arial"/>
          <w:b/>
          <w:bCs/>
          <w:i/>
          <w:color w:val="000000"/>
        </w:rPr>
        <w:t>debiendo entregar a la Dirección General de Vinculación y Seguimiento copia de los comprobantes de las transferencias, dentro del plazo de cinco (5) días hábiles siguientes a la transferencia</w:t>
      </w: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III. Coordinarse con los Beneficiarios y las áreas técnicas de la entidad federativa para la integración de la propuesta de inversión;</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IV. Remitir a la Dirección General de Vinculación y Seguimiento el recibo de ministraciones de los recursos del FORTASEG, en los términos que para tal efecto se establezcan;</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lastRenderedPageBreak/>
        <w:t>V. Dar cumplimiento a las obligaciones a las que se refiere el artículo 38 de los Lineamientos cuando sean Beneficiarios del FORTASEG, y</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eastAsia="MS Mincho" w:hAnsi="Palatino Linotype" w:cs="Arial"/>
          <w:i/>
          <w:color w:val="000000"/>
        </w:rPr>
        <w:t>VI. Las demás referidas en el Convenio, Anexo Técnico y las disposiciones aplicables.”</w:t>
      </w:r>
      <w:r w:rsidRPr="00AD5ACD">
        <w:rPr>
          <w:rFonts w:ascii="Palatino Linotype" w:hAnsi="Palatino Linotype"/>
          <w:b/>
          <w:i/>
        </w:rPr>
        <w:t xml:space="preserve"> </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hAnsi="Palatino Linotype"/>
          <w:b/>
          <w:i/>
        </w:rPr>
        <w:t>…</w:t>
      </w:r>
    </w:p>
    <w:p w:rsidR="008A2099" w:rsidRPr="00AD5ACD" w:rsidRDefault="008A2099" w:rsidP="008A2099">
      <w:pPr>
        <w:tabs>
          <w:tab w:val="left" w:pos="851"/>
        </w:tabs>
        <w:ind w:left="851" w:right="760"/>
        <w:jc w:val="both"/>
        <w:rPr>
          <w:rFonts w:ascii="Palatino Linotype" w:hAnsi="Palatino Linotype"/>
        </w:rPr>
      </w:pPr>
      <w:r w:rsidRPr="00AD5ACD">
        <w:rPr>
          <w:rFonts w:ascii="Palatino Linotype" w:hAnsi="Palatino Linotype"/>
        </w:rPr>
        <w:t>(Énfasis añadido)</w:t>
      </w:r>
    </w:p>
    <w:p w:rsidR="008A2099" w:rsidRPr="00AD5ACD"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rPr>
      </w:pPr>
      <w:r w:rsidRPr="00181DE3">
        <w:rPr>
          <w:rFonts w:ascii="Palatino Linotype" w:eastAsia="MS Mincho" w:hAnsi="Palatino Linotype" w:cs="Arial"/>
          <w:color w:val="000000"/>
          <w:sz w:val="24"/>
        </w:rPr>
        <w:t>Indicado lo anterior, se aprecia que las Entidades Federativas deben realizar la transferencia de los recursos del FORTASEG a los beneficiarios y entregar con ello los comprobantes de la misma, de igual forma, deberán remitir a la Dirección General de Vinculación y Seguimiento el recibo de ministraciones de los recursos</w:t>
      </w:r>
      <w:r w:rsidRPr="00AD5ACD">
        <w:rPr>
          <w:rFonts w:ascii="Palatino Linotype" w:eastAsia="MS Mincho" w:hAnsi="Palatino Linotype" w:cs="Arial"/>
          <w:color w:val="000000"/>
        </w:rPr>
        <w:t>.</w:t>
      </w:r>
    </w:p>
    <w:p w:rsidR="008A2099" w:rsidRPr="00181DE3"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181DE3">
        <w:rPr>
          <w:rFonts w:ascii="Palatino Linotype" w:eastAsia="MS Mincho" w:hAnsi="Palatino Linotype" w:cs="Arial"/>
          <w:color w:val="000000"/>
          <w:sz w:val="24"/>
        </w:rPr>
        <w:t>Aunado a lo anterior, el Convenio del Programa de Fortalecimiento para la Seguridad FORTASEG 2019</w:t>
      </w:r>
      <w:r w:rsidRPr="00181DE3">
        <w:rPr>
          <w:rFonts w:ascii="Palatino Linotype" w:eastAsia="MS Mincho" w:hAnsi="Palatino Linotype" w:cs="Arial"/>
          <w:color w:val="000000"/>
          <w:sz w:val="24"/>
          <w:vertAlign w:val="superscript"/>
        </w:rPr>
        <w:footnoteReference w:id="5"/>
      </w:r>
      <w:r w:rsidRPr="00181DE3">
        <w:rPr>
          <w:rFonts w:ascii="Palatino Linotype" w:eastAsia="MS Mincho" w:hAnsi="Palatino Linotype" w:cs="Arial"/>
          <w:color w:val="000000"/>
          <w:sz w:val="24"/>
        </w:rPr>
        <w:t xml:space="preserve"> celebrado por el Secretariado Ejecutivo del Sistema Nacional de Seguridad Pública, el Estado de México y los Municipios del Estado de México, establece que:</w:t>
      </w:r>
    </w:p>
    <w:p w:rsidR="008A2099" w:rsidRPr="00AD5ACD" w:rsidRDefault="008A2099" w:rsidP="008A2099">
      <w:pPr>
        <w:tabs>
          <w:tab w:val="left" w:pos="426"/>
        </w:tabs>
        <w:ind w:left="567" w:right="618"/>
        <w:jc w:val="center"/>
        <w:rPr>
          <w:rFonts w:ascii="Palatino Linotype" w:hAnsi="Palatino Linotype"/>
          <w:i/>
        </w:rPr>
      </w:pPr>
      <w:r w:rsidRPr="00AD5ACD">
        <w:rPr>
          <w:rFonts w:ascii="Palatino Linotype" w:hAnsi="Palatino Linotype"/>
          <w:i/>
        </w:rPr>
        <w:t>“CLÁUSULAS</w:t>
      </w:r>
    </w:p>
    <w:p w:rsidR="008A2099" w:rsidRPr="00AD5ACD" w:rsidRDefault="008A2099" w:rsidP="008A2099">
      <w:pPr>
        <w:tabs>
          <w:tab w:val="left" w:pos="851"/>
        </w:tabs>
        <w:ind w:left="851" w:right="757"/>
        <w:jc w:val="both"/>
        <w:rPr>
          <w:rFonts w:ascii="Palatino Linotype" w:hAnsi="Palatino Linotype"/>
          <w:b/>
          <w:bCs/>
          <w:i/>
        </w:rPr>
      </w:pPr>
      <w:r w:rsidRPr="00AD5ACD">
        <w:rPr>
          <w:rFonts w:ascii="Palatino Linotype" w:hAnsi="Palatino Linotype"/>
          <w:i/>
        </w:rPr>
        <w:t xml:space="preserve">PRIMERA. - OBJETO Y NATURALEZA DE LOS RECURSOS. </w:t>
      </w:r>
      <w:r w:rsidRPr="00AD5ACD">
        <w:rPr>
          <w:rFonts w:ascii="Palatino Linotype" w:hAnsi="Palatino Linotype"/>
          <w:b/>
          <w:bCs/>
          <w:i/>
        </w:rPr>
        <w:t xml:space="preserve">El presente “CONVENIO” tiene por objeto que “EL SECRETARIADO” transfiera recursos presupuestarios federales del “FORTASEG” a “LOS BENEFICIARIOS”, </w:t>
      </w:r>
      <w:r w:rsidRPr="00AD5ACD">
        <w:rPr>
          <w:rFonts w:ascii="Palatino Linotype" w:hAnsi="Palatino Linotype"/>
          <w:b/>
          <w:bCs/>
          <w:i/>
          <w:u w:val="single"/>
        </w:rPr>
        <w:t>por conducto de la Secretaría de Finanzas</w:t>
      </w:r>
      <w:r w:rsidRPr="00AD5ACD">
        <w:rPr>
          <w:rFonts w:ascii="Palatino Linotype" w:hAnsi="Palatino Linotype"/>
          <w:b/>
          <w:bCs/>
          <w:i/>
        </w:rPr>
        <w:t xml:space="preserve"> de “LA ENTIDAD FEDERATIVA”, con la finalidad de fortalecer el desempeño de sus funciones en materia de seguridad pública que realizan de manera directa “LOS BENEFICIARIOS”, conforme lo dispuesto por el artículo 8 del “PRESUPUESTO DE EGRESOS” y “LOS LINEAMIENTOS”</w:t>
      </w:r>
    </w:p>
    <w:p w:rsidR="008A2099" w:rsidRPr="00AD5ACD" w:rsidRDefault="008A2099" w:rsidP="008A2099">
      <w:pPr>
        <w:tabs>
          <w:tab w:val="left" w:pos="851"/>
        </w:tabs>
        <w:ind w:left="851" w:right="757"/>
        <w:jc w:val="both"/>
        <w:rPr>
          <w:rFonts w:ascii="Palatino Linotype" w:hAnsi="Palatino Linotype"/>
          <w:i/>
          <w:sz w:val="10"/>
          <w:szCs w:val="10"/>
        </w:rPr>
      </w:pPr>
    </w:p>
    <w:p w:rsidR="008A2099" w:rsidRPr="00AD5ACD" w:rsidRDefault="008A2099" w:rsidP="008A2099">
      <w:pPr>
        <w:tabs>
          <w:tab w:val="left" w:pos="851"/>
        </w:tabs>
        <w:ind w:left="851" w:right="757"/>
        <w:jc w:val="both"/>
        <w:rPr>
          <w:rFonts w:ascii="Palatino Linotype" w:hAnsi="Palatino Linotype"/>
          <w:i/>
        </w:rPr>
      </w:pPr>
      <w:r w:rsidRPr="00AD5ACD">
        <w:rPr>
          <w:rFonts w:ascii="Palatino Linotype" w:hAnsi="Palatino Linotype"/>
          <w:i/>
        </w:rPr>
        <w:lastRenderedPageBreak/>
        <w:t xml:space="preserve">Los recursos transferidos del “FORTASEG” no son regularizables, son parcialmente concursables y no pierden el carácter federal al ser transferidos y por ello “LA ENTIDAD FEDERATIVA” y “LOS BENEFICIARIOS” liberan a “EL SECRETARIADO” de la obligación de ministrarlos en ejercicios fiscales Miércoles 17 de abril de 2019 DIARIO OFICIAL (Primera Sección) subsecuentes, aún y cuando los requieran para complementar las acciones derivadas del presente “CONVENIO”, o para cubrir cualquier otro concepto vinculado con el objeto del mismo, conforme lo previsto en el “PRESUPUESTO DE EGRESOS”. </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TERCERA. - </w:t>
      </w:r>
      <w:r w:rsidRPr="00AD5ACD">
        <w:rPr>
          <w:rFonts w:ascii="Palatino Linotype" w:eastAsia="MS Mincho" w:hAnsi="Palatino Linotype" w:cs="Arial"/>
          <w:b/>
          <w:bCs/>
          <w:i/>
          <w:color w:val="000000"/>
        </w:rPr>
        <w:t>OBLIGACIONES DE “LOS BENEFICIARIOS”.</w:t>
      </w:r>
      <w:r w:rsidRPr="00AD5ACD">
        <w:rPr>
          <w:rFonts w:ascii="Palatino Linotype" w:eastAsia="MS Mincho" w:hAnsi="Palatino Linotype" w:cs="Arial"/>
          <w:i/>
          <w:color w:val="000000"/>
        </w:rPr>
        <w:t xml:space="preserve"> Además de las señaladas en “LOS LINEAMIENTOS”, tendrán las siguientes:</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eastAsia="MS Mincho" w:hAnsi="Palatino Linotype" w:cs="Arial"/>
          <w:b/>
          <w:bCs/>
          <w:i/>
          <w:color w:val="000000"/>
          <w:u w:val="single"/>
        </w:rPr>
      </w:pPr>
      <w:r w:rsidRPr="00AD5ACD">
        <w:rPr>
          <w:rFonts w:ascii="Palatino Linotype" w:eastAsia="MS Mincho" w:hAnsi="Palatino Linotype" w:cs="Arial"/>
          <w:i/>
          <w:color w:val="000000"/>
        </w:rPr>
        <w:t xml:space="preserve">I. </w:t>
      </w:r>
      <w:r w:rsidRPr="00AD5ACD">
        <w:rPr>
          <w:rFonts w:ascii="Palatino Linotype" w:eastAsia="MS Mincho" w:hAnsi="Palatino Linotype" w:cs="Arial"/>
          <w:b/>
          <w:bCs/>
          <w:i/>
          <w:color w:val="000000"/>
          <w:u w:val="single"/>
        </w:rPr>
        <w:t>Informar mensual y trimestralmente a</w:t>
      </w:r>
      <w:r w:rsidRPr="00AD5ACD">
        <w:rPr>
          <w:rFonts w:ascii="Palatino Linotype" w:eastAsia="MS Mincho" w:hAnsi="Palatino Linotype" w:cs="Arial"/>
          <w:b/>
          <w:bCs/>
          <w:i/>
          <w:color w:val="000000"/>
        </w:rPr>
        <w:t xml:space="preserve"> “EL SECRETARIADO” a través de la Dirección General de Vinculación y Seguimiento sobre las </w:t>
      </w:r>
      <w:r w:rsidRPr="00AD5ACD">
        <w:rPr>
          <w:rFonts w:ascii="Palatino Linotype" w:eastAsia="MS Mincho" w:hAnsi="Palatino Linotype" w:cs="Arial"/>
          <w:b/>
          <w:bCs/>
          <w:i/>
          <w:color w:val="000000"/>
          <w:u w:val="single"/>
        </w:rPr>
        <w:t>acciones realizadas</w:t>
      </w:r>
      <w:r w:rsidRPr="00AD5ACD">
        <w:rPr>
          <w:rFonts w:ascii="Palatino Linotype" w:eastAsia="MS Mincho" w:hAnsi="Palatino Linotype" w:cs="Arial"/>
          <w:b/>
          <w:bCs/>
          <w:i/>
          <w:color w:val="000000"/>
        </w:rPr>
        <w:t xml:space="preserve"> con base en el presente Convenio, así como </w:t>
      </w:r>
      <w:r w:rsidRPr="00AD5ACD">
        <w:rPr>
          <w:rFonts w:ascii="Palatino Linotype" w:eastAsia="MS Mincho" w:hAnsi="Palatino Linotype" w:cs="Arial"/>
          <w:b/>
          <w:bCs/>
          <w:i/>
          <w:color w:val="000000"/>
          <w:u w:val="single"/>
        </w:rPr>
        <w:t>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AD5ACD">
        <w:rPr>
          <w:rFonts w:ascii="Palatino Linotype" w:eastAsia="MS Mincho" w:hAnsi="Palatino Linotype" w:cs="Arial"/>
          <w:b/>
          <w:bCs/>
          <w:i/>
          <w:color w:val="000000"/>
        </w:rPr>
        <w:t xml:space="preserve">. </w:t>
      </w:r>
      <w:r w:rsidRPr="00AD5ACD">
        <w:rPr>
          <w:rFonts w:ascii="Palatino Linotype" w:eastAsia="MS Mincho" w:hAnsi="Palatino Linotype" w:cs="Arial"/>
          <w:b/>
          <w:i/>
          <w:color w:val="000000"/>
        </w:rPr>
        <w:t>Los Presidentes y las Presidentas Municipales de “LOS BENEFICIARIOS” deberán designar cada uno por oficio a un Servidor Público con competencia y nivel de decisión, como responsable</w:t>
      </w:r>
      <w:r w:rsidRPr="00AD5ACD">
        <w:rPr>
          <w:rFonts w:ascii="Palatino Linotype" w:eastAsia="MS Mincho" w:hAnsi="Palatino Linotype" w:cs="Arial"/>
          <w:i/>
          <w:color w:val="000000"/>
        </w:rPr>
        <w:t xml:space="preserve"> de </w:t>
      </w:r>
      <w:r w:rsidRPr="00AD5ACD">
        <w:rPr>
          <w:rFonts w:ascii="Palatino Linotype" w:eastAsia="MS Mincho" w:hAnsi="Palatino Linotype" w:cs="Arial"/>
          <w:b/>
          <w:bCs/>
          <w:i/>
          <w:color w:val="000000"/>
        </w:rPr>
        <w:t xml:space="preserve">proporcionar a “EL SECRETARIADO” </w:t>
      </w:r>
      <w:r w:rsidRPr="00AD5ACD">
        <w:rPr>
          <w:rFonts w:ascii="Palatino Linotype" w:eastAsia="MS Mincho" w:hAnsi="Palatino Linotype" w:cs="Arial"/>
          <w:b/>
          <w:bCs/>
          <w:i/>
          <w:color w:val="000000"/>
          <w:u w:val="single"/>
        </w:rPr>
        <w:t>los informes mensuales y trimestrales sobre los movimientos que presenten las cuentas bancarias productivas específicas, el ejercicio de los recursos y avance en el cumplimiento de los objetivos, metas, indicadores y porcentajes de inversión de los proyectos</w:t>
      </w:r>
      <w:r w:rsidRPr="00AD5ACD">
        <w:rPr>
          <w:rFonts w:ascii="Palatino Linotype" w:eastAsia="MS Mincho" w:hAnsi="Palatino Linotype" w:cs="Arial"/>
          <w:i/>
          <w:color w:val="000000"/>
        </w:rPr>
        <w:t xml:space="preserve"> establecidos en el Anexo Técnico respectivo del presente “CONVENIO”, así como </w:t>
      </w:r>
      <w:r w:rsidRPr="00AD5ACD">
        <w:rPr>
          <w:rFonts w:ascii="Palatino Linotype" w:eastAsia="MS Mincho" w:hAnsi="Palatino Linotype" w:cs="Arial"/>
          <w:b/>
          <w:bCs/>
          <w:i/>
          <w:color w:val="000000"/>
          <w:u w:val="single"/>
        </w:rPr>
        <w:t>el destino y resultados obtenidos de la aplicación de los recursos.</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J. </w:t>
      </w:r>
      <w:r w:rsidRPr="00AD5ACD">
        <w:rPr>
          <w:rFonts w:ascii="Palatino Linotype" w:eastAsia="MS Mincho" w:hAnsi="Palatino Linotype" w:cs="Arial"/>
          <w:b/>
          <w:bCs/>
          <w:i/>
          <w:color w:val="000000"/>
          <w:u w:val="single"/>
        </w:rPr>
        <w:t xml:space="preserve">Informar mensual y trimestralmente al Secretariado Ejecutivo del Sistema Estatal de Seguridad Pública </w:t>
      </w:r>
      <w:r w:rsidRPr="00AD5ACD">
        <w:rPr>
          <w:rFonts w:ascii="Palatino Linotype" w:eastAsia="MS Mincho" w:hAnsi="Palatino Linotype" w:cs="Arial"/>
          <w:b/>
          <w:bCs/>
          <w:i/>
          <w:color w:val="000000"/>
        </w:rPr>
        <w:t>de “LA ENTIDAD FEDERATIVA”, sobre las acciones realizadas con base en el presente “CONVENIO</w:t>
      </w: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lastRenderedPageBreak/>
        <w:t>L. Entregar a “EL SECRETARIADO” toda la información que solicite en los términos, plazos y formatos que al efecto establezca;</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hAnsi="Palatino Linotype"/>
          <w:i/>
        </w:rPr>
      </w:pPr>
      <w:r w:rsidRPr="00AD5ACD">
        <w:rPr>
          <w:rFonts w:ascii="Palatino Linotype" w:hAnsi="Palatino Linotype"/>
          <w:i/>
        </w:rPr>
        <w:t xml:space="preserve">CUARTA. - </w:t>
      </w:r>
      <w:r w:rsidRPr="00AD5ACD">
        <w:rPr>
          <w:rFonts w:ascii="Palatino Linotype" w:hAnsi="Palatino Linotype"/>
          <w:b/>
          <w:bCs/>
          <w:i/>
        </w:rPr>
        <w:t>OBLIGACIONES DE “LA ENTIDAD FEDERATIVA”.</w:t>
      </w:r>
      <w:r w:rsidRPr="00AD5ACD">
        <w:rPr>
          <w:rFonts w:ascii="Palatino Linotype" w:hAnsi="Palatino Linotype"/>
          <w:i/>
        </w:rPr>
        <w:t xml:space="preserve"> Además de las señaladas en “LOS LINEAMIENTOS” y otras previstas en los ordenamientos jurídicos aplicables, las siguientes: </w:t>
      </w:r>
    </w:p>
    <w:p w:rsidR="008A2099" w:rsidRPr="00AD5ACD" w:rsidRDefault="008A2099" w:rsidP="008A2099">
      <w:pPr>
        <w:tabs>
          <w:tab w:val="left" w:pos="851"/>
        </w:tabs>
        <w:ind w:left="851" w:right="757"/>
        <w:jc w:val="both"/>
        <w:rPr>
          <w:rFonts w:ascii="Palatino Linotype" w:hAnsi="Palatino Linotype"/>
          <w:i/>
        </w:rPr>
      </w:pPr>
      <w:r w:rsidRPr="00AD5ACD">
        <w:rPr>
          <w:rFonts w:ascii="Palatino Linotype" w:hAnsi="Palatino Linotype"/>
          <w:b/>
          <w:bCs/>
          <w:i/>
        </w:rPr>
        <w:t xml:space="preserve">A. </w:t>
      </w:r>
      <w:r w:rsidRPr="00AD5ACD">
        <w:rPr>
          <w:rFonts w:ascii="Palatino Linotype" w:hAnsi="Palatino Linotype"/>
          <w:b/>
          <w:bCs/>
          <w:i/>
          <w:u w:val="single"/>
        </w:rPr>
        <w:t>Establecer una cuenta bancaria productiva específica para la administración de los recursos del “FORTASEG</w:t>
      </w:r>
      <w:r w:rsidRPr="00AD5ACD">
        <w:rPr>
          <w:rFonts w:ascii="Palatino Linotype" w:hAnsi="Palatino Linotype"/>
          <w:b/>
          <w:bCs/>
          <w:i/>
        </w:rPr>
        <w:t>”</w:t>
      </w:r>
      <w:r w:rsidRPr="00AD5ACD">
        <w:rPr>
          <w:rFonts w:ascii="Palatino Linotype" w:hAnsi="Palatino Linotype"/>
          <w:i/>
        </w:rPr>
        <w:t>, de conformidad con lo dispuesto en el artículo 69 de la Ley General de Contabilidad Gubernamental;</w:t>
      </w:r>
    </w:p>
    <w:p w:rsidR="008A2099" w:rsidRPr="00AD5ACD" w:rsidRDefault="008A2099" w:rsidP="008A2099">
      <w:pPr>
        <w:tabs>
          <w:tab w:val="left" w:pos="851"/>
        </w:tabs>
        <w:ind w:left="851" w:right="757"/>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B. Entregar a “LOS BENEFICIARIOS” el monto total del “FORTASEG”, incluyendo sus rendimientos financieros, a más tardar dentro de los cinco días hábiles posteriores a que reciba los recursos de la Federación;</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1E71C5" w:rsidRDefault="008A2099" w:rsidP="008A2099">
      <w:pPr>
        <w:tabs>
          <w:tab w:val="left" w:pos="426"/>
        </w:tabs>
        <w:spacing w:before="100" w:beforeAutospacing="1" w:after="100" w:afterAutospacing="1" w:line="360" w:lineRule="auto"/>
        <w:jc w:val="both"/>
        <w:rPr>
          <w:rFonts w:ascii="Palatino Linotype" w:eastAsia="MS Mincho" w:hAnsi="Palatino Linotype" w:cs="Arial"/>
          <w:bCs/>
          <w:sz w:val="24"/>
          <w:szCs w:val="24"/>
        </w:rPr>
      </w:pPr>
      <w:r w:rsidRPr="001E71C5">
        <w:rPr>
          <w:rFonts w:ascii="Palatino Linotype" w:eastAsia="MS Mincho" w:hAnsi="Palatino Linotype" w:cs="Arial"/>
          <w:sz w:val="24"/>
          <w:szCs w:val="24"/>
        </w:rPr>
        <w:t xml:space="preserve">Expuesto lo anterior, se desprende que corresponde a la Secretaría de Finanzas entregar el monto destinado por parte del FORTASEG a cada beneficiario, </w:t>
      </w:r>
      <w:r w:rsidRPr="001E71C5">
        <w:rPr>
          <w:rFonts w:ascii="Palatino Linotype" w:eastAsia="MS Mincho" w:hAnsi="Palatino Linotype" w:cs="Arial"/>
          <w:bCs/>
          <w:sz w:val="24"/>
          <w:szCs w:val="24"/>
        </w:rPr>
        <w:t xml:space="preserve">siendo </w:t>
      </w:r>
      <w:r w:rsidRPr="001E71C5">
        <w:rPr>
          <w:rFonts w:ascii="Palatino Linotype" w:eastAsia="MS Mincho" w:hAnsi="Palatino Linotype" w:cs="Arial"/>
          <w:bCs/>
          <w:sz w:val="24"/>
          <w:szCs w:val="24"/>
          <w:u w:val="single"/>
        </w:rPr>
        <w:t>los municipios</w:t>
      </w:r>
      <w:r w:rsidRPr="001E71C5">
        <w:rPr>
          <w:rFonts w:ascii="Palatino Linotype" w:eastAsia="MS Mincho" w:hAnsi="Palatino Linotype" w:cs="Arial"/>
          <w:bCs/>
          <w:sz w:val="24"/>
          <w:szCs w:val="24"/>
        </w:rPr>
        <w:t xml:space="preserve"> los que deberán de informar y proporcionar al Secretariado toda la información relativa a la erogación y ejercicio de los recursos recibidos, de tal forma que </w:t>
      </w:r>
      <w:r w:rsidRPr="001E71C5">
        <w:rPr>
          <w:rFonts w:ascii="Palatino Linotype" w:eastAsia="MS Mincho" w:hAnsi="Palatino Linotype" w:cs="Arial"/>
          <w:b/>
          <w:bCs/>
          <w:sz w:val="24"/>
          <w:szCs w:val="24"/>
        </w:rPr>
        <w:t>EL SUJETO OBLIGADO</w:t>
      </w:r>
      <w:r w:rsidRPr="001E71C5">
        <w:rPr>
          <w:rFonts w:ascii="Palatino Linotype" w:eastAsia="MS Mincho" w:hAnsi="Palatino Linotype" w:cs="Arial"/>
          <w:bCs/>
          <w:sz w:val="24"/>
          <w:szCs w:val="24"/>
        </w:rPr>
        <w:t xml:space="preserve"> es competente para conocer de este programa, en cuanto a lo solicitado por el particular, </w:t>
      </w:r>
      <w:r w:rsidR="00B70B34">
        <w:rPr>
          <w:rFonts w:ascii="Palatino Linotype" w:eastAsia="MS Mincho" w:hAnsi="Palatino Linotype" w:cs="Arial"/>
          <w:bCs/>
          <w:sz w:val="24"/>
          <w:szCs w:val="24"/>
        </w:rPr>
        <w:t>tomando en cuenta la información remitida mediante la respuesta primigenia.</w:t>
      </w:r>
      <w:r w:rsidRPr="001E71C5">
        <w:rPr>
          <w:rFonts w:ascii="Palatino Linotype" w:eastAsia="MS Mincho" w:hAnsi="Palatino Linotype" w:cs="Arial"/>
          <w:bCs/>
          <w:sz w:val="24"/>
          <w:szCs w:val="24"/>
        </w:rPr>
        <w:t xml:space="preserve"> </w:t>
      </w:r>
    </w:p>
    <w:p w:rsidR="007E7086" w:rsidRPr="001E71C5" w:rsidRDefault="007E7086" w:rsidP="007E7086">
      <w:pPr>
        <w:spacing w:line="360" w:lineRule="auto"/>
        <w:jc w:val="both"/>
        <w:rPr>
          <w:rFonts w:ascii="Palatino Linotype" w:hAnsi="Palatino Linotype" w:cs="Arial"/>
          <w:sz w:val="24"/>
          <w:szCs w:val="24"/>
          <w:lang w:val="es-ES"/>
        </w:rPr>
      </w:pPr>
      <w:r w:rsidRPr="001E71C5">
        <w:rPr>
          <w:rFonts w:ascii="Palatino Linotype" w:hAnsi="Palatino Linotype"/>
          <w:sz w:val="24"/>
          <w:szCs w:val="24"/>
        </w:rPr>
        <w:t xml:space="preserve">Una vez dicho lo anterior, este Instituto advirtió que, respecto a la ejecución de los recursos </w:t>
      </w:r>
      <w:r w:rsidR="00D94981">
        <w:rPr>
          <w:rFonts w:ascii="Palatino Linotype" w:hAnsi="Palatino Linotype"/>
          <w:sz w:val="24"/>
          <w:szCs w:val="24"/>
        </w:rPr>
        <w:t>locales</w:t>
      </w:r>
      <w:r w:rsidRPr="001E71C5">
        <w:rPr>
          <w:rFonts w:ascii="Palatino Linotype" w:hAnsi="Palatino Linotype"/>
          <w:sz w:val="24"/>
          <w:szCs w:val="24"/>
        </w:rPr>
        <w:t xml:space="preserve"> destinados a la materia de seguridad, </w:t>
      </w:r>
      <w:r w:rsidRPr="001E71C5">
        <w:rPr>
          <w:rFonts w:ascii="Palatino Linotype" w:hAnsi="Palatino Linotype"/>
          <w:b/>
          <w:sz w:val="24"/>
          <w:szCs w:val="24"/>
        </w:rPr>
        <w:t>EL SUJETO OBLIGADO</w:t>
      </w:r>
      <w:r w:rsidRPr="001E71C5">
        <w:rPr>
          <w:rFonts w:ascii="Palatino Linotype" w:hAnsi="Palatino Linotype"/>
          <w:sz w:val="24"/>
          <w:szCs w:val="24"/>
        </w:rPr>
        <w:t xml:space="preserve">, no se pronunció al respecto en su respuesta proporcionada, razón por la cual, es importante </w:t>
      </w:r>
      <w:r w:rsidRPr="001E71C5">
        <w:rPr>
          <w:rFonts w:ascii="Palatino Linotype" w:hAnsi="Palatino Linotype" w:cs="Arial"/>
          <w:sz w:val="24"/>
          <w:szCs w:val="24"/>
          <w:lang w:val="es-ES"/>
        </w:rPr>
        <w:t>traer a contexto lo estipulado en los artículos 1, 2 y 3 de la Ley General de Contabilidad Gubernamental, que a la letra dice:</w:t>
      </w:r>
    </w:p>
    <w:p w:rsidR="007E7086" w:rsidRPr="00AD5ACD" w:rsidRDefault="007E7086" w:rsidP="007E7086">
      <w:pPr>
        <w:spacing w:line="360" w:lineRule="auto"/>
        <w:jc w:val="both"/>
        <w:rPr>
          <w:rFonts w:ascii="Palatino Linotype" w:hAnsi="Palatino Linotype" w:cs="Arial"/>
          <w:lang w:val="es-ES"/>
        </w:rPr>
      </w:pP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i/>
          <w:lang w:val="es-ES"/>
        </w:rPr>
        <w:lastRenderedPageBreak/>
        <w:t>“</w:t>
      </w:r>
      <w:r w:rsidRPr="00AD5ACD">
        <w:rPr>
          <w:rFonts w:ascii="Palatino Linotype" w:hAnsi="Palatino Linotype" w:cs="Arial"/>
          <w:b/>
          <w:i/>
          <w:lang w:val="es-ES"/>
        </w:rPr>
        <w:t>Artículo 1.-</w:t>
      </w:r>
      <w:r w:rsidRPr="00AD5ACD">
        <w:rPr>
          <w:rFonts w:ascii="Palatino Linotype" w:hAnsi="Palatino Linotype" w:cs="Arial"/>
          <w:i/>
          <w:lang w:val="es-ES"/>
        </w:rPr>
        <w:t xml:space="preserve"> </w:t>
      </w:r>
      <w:r w:rsidRPr="00AD5ACD">
        <w:rPr>
          <w:rFonts w:ascii="Palatino Linotype" w:hAnsi="Palatino Linotype" w:cs="Arial"/>
          <w:b/>
          <w:i/>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b/>
          <w:i/>
          <w:lang w:val="es-ES"/>
        </w:rPr>
        <w:t>La presente Ley es de observancia obligatoria para</w:t>
      </w:r>
      <w:r w:rsidRPr="00AD5ACD">
        <w:rPr>
          <w:rFonts w:ascii="Palatino Linotype" w:hAnsi="Palatino Linotype" w:cs="Arial"/>
          <w:i/>
          <w:lang w:val="es-ES"/>
        </w:rPr>
        <w:t xml:space="preserve"> los poderes Ejecutivo, Legislativo y Judicial de la Federación, los estados y el Distrito Federal; </w:t>
      </w:r>
      <w:r w:rsidRPr="00AD5ACD">
        <w:rPr>
          <w:rFonts w:ascii="Palatino Linotype" w:hAnsi="Palatino Linotype" w:cs="Arial"/>
          <w:b/>
          <w:i/>
          <w:lang w:val="es-ES"/>
        </w:rPr>
        <w:t>los ayuntamientos de los municipios</w:t>
      </w:r>
      <w:r w:rsidRPr="00AD5ACD">
        <w:rPr>
          <w:rFonts w:ascii="Palatino Linotype" w:hAnsi="Palatino Linotype" w:cs="Arial"/>
          <w:i/>
          <w:lang w:val="es-ES"/>
        </w:rPr>
        <w:t xml:space="preserve">; los órganos político administrativos de las demarcaciones territoriales del Distrito Federal; </w:t>
      </w:r>
      <w:r w:rsidRPr="00AD5ACD">
        <w:rPr>
          <w:rFonts w:ascii="Palatino Linotype" w:hAnsi="Palatino Linotype" w:cs="Arial"/>
          <w:b/>
          <w:i/>
          <w:lang w:val="es-ES"/>
        </w:rPr>
        <w:t>las entidades de la administración pública</w:t>
      </w:r>
      <w:r w:rsidRPr="00AD5ACD">
        <w:rPr>
          <w:rFonts w:ascii="Palatino Linotype" w:hAnsi="Palatino Linotype" w:cs="Arial"/>
          <w:i/>
          <w:lang w:val="es-ES"/>
        </w:rPr>
        <w:t xml:space="preserve"> paraestatal, ya sean federales, estatales o </w:t>
      </w:r>
      <w:r w:rsidRPr="00AD5ACD">
        <w:rPr>
          <w:rFonts w:ascii="Palatino Linotype" w:hAnsi="Palatino Linotype" w:cs="Arial"/>
          <w:b/>
          <w:i/>
          <w:lang w:val="es-ES"/>
        </w:rPr>
        <w:t>municipales</w:t>
      </w:r>
      <w:r w:rsidRPr="00AD5ACD">
        <w:rPr>
          <w:rFonts w:ascii="Palatino Linotype" w:hAnsi="Palatino Linotype" w:cs="Arial"/>
          <w:i/>
          <w:lang w:val="es-ES"/>
        </w:rPr>
        <w:t xml:space="preserve"> y los órganos autónomos federales y estatales.</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b/>
          <w:i/>
          <w:lang w:val="es-ES"/>
        </w:rPr>
        <w:t>Los gobiernos estatales deberán coordinarse con los municipales para que éstos armonicen su contabilidad con base en las disposiciones de esta Ley</w:t>
      </w:r>
      <w:r w:rsidRPr="00AD5ACD">
        <w:rPr>
          <w:rFonts w:ascii="Palatino Linotype" w:hAnsi="Palatino Linotype" w:cs="Arial"/>
          <w:i/>
          <w:lang w:val="es-ES"/>
        </w:rPr>
        <w:t>. El Gobierno del Distrito Federal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rsidR="007E7086" w:rsidRPr="00AD5ACD" w:rsidRDefault="007E7086" w:rsidP="007E7086">
      <w:pPr>
        <w:ind w:left="851" w:right="902"/>
        <w:jc w:val="both"/>
        <w:rPr>
          <w:rFonts w:ascii="Palatino Linotype" w:hAnsi="Palatino Linotype" w:cs="Arial"/>
          <w:b/>
          <w:i/>
          <w:lang w:val="es-ES"/>
        </w:rPr>
      </w:pPr>
      <w:r w:rsidRPr="00AD5ACD">
        <w:rPr>
          <w:rFonts w:ascii="Palatino Linotype" w:hAnsi="Palatino Linotype" w:cs="Arial"/>
          <w:b/>
          <w:i/>
          <w:lang w:val="es-ES"/>
        </w:rPr>
        <w:t>Artículo 2.-</w:t>
      </w:r>
      <w:r w:rsidRPr="00AD5ACD">
        <w:rPr>
          <w:rFonts w:ascii="Palatino Linotype" w:hAnsi="Palatino Linotype" w:cs="Arial"/>
          <w:i/>
          <w:lang w:val="es-ES"/>
        </w:rPr>
        <w:t xml:space="preserve"> </w:t>
      </w:r>
      <w:r w:rsidRPr="00AD5ACD">
        <w:rPr>
          <w:rFonts w:ascii="Palatino Linotype" w:hAnsi="Palatino Linotype" w:cs="Arial"/>
          <w:b/>
          <w:i/>
          <w:lang w:val="es-ES"/>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i/>
          <w:lang w:val="es-ES"/>
        </w:rPr>
        <w:t>Los entes públicos deberán seguir las mejores prácticas contables nacionales e internacionales en apoyo a las tareas de planeación financiera, control de recursos, análisis y fiscalización.</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b/>
          <w:i/>
          <w:lang w:val="es-ES"/>
        </w:rPr>
        <w:t>Artículo 3.-</w:t>
      </w:r>
      <w:r w:rsidRPr="00AD5ACD">
        <w:rPr>
          <w:rFonts w:ascii="Palatino Linotype" w:hAnsi="Palatino Linotype" w:cs="Arial"/>
          <w:i/>
          <w:lang w:val="es-ES"/>
        </w:rPr>
        <w:t xml:space="preserve"> </w:t>
      </w:r>
      <w:r w:rsidRPr="00AD5ACD">
        <w:rPr>
          <w:rFonts w:ascii="Palatino Linotype" w:hAnsi="Palatino Linotype" w:cs="Arial"/>
          <w:b/>
          <w:i/>
          <w:lang w:val="es-ES"/>
        </w:rPr>
        <w:t>La contabilidad gubernamental determinará la valuación del patrimonio del Estado y su expresión en los estados financieros</w:t>
      </w:r>
      <w:r w:rsidRPr="00AD5ACD">
        <w:rPr>
          <w:rFonts w:ascii="Palatino Linotype" w:hAnsi="Palatino Linotype" w:cs="Arial"/>
          <w:i/>
          <w:lang w:val="es-ES"/>
        </w:rPr>
        <w:t xml:space="preserve">.” </w:t>
      </w:r>
    </w:p>
    <w:p w:rsidR="007E7086" w:rsidRPr="00AD5ACD" w:rsidRDefault="007E7086" w:rsidP="007E7086">
      <w:pPr>
        <w:ind w:left="851" w:right="902"/>
        <w:jc w:val="both"/>
        <w:rPr>
          <w:rFonts w:ascii="Palatino Linotype" w:hAnsi="Palatino Linotype" w:cs="Arial"/>
          <w:b/>
          <w:i/>
          <w:lang w:val="es-ES"/>
        </w:rPr>
      </w:pPr>
      <w:r w:rsidRPr="00AD5ACD">
        <w:rPr>
          <w:rFonts w:ascii="Palatino Linotype" w:hAnsi="Palatino Linotype" w:cs="Arial"/>
          <w:b/>
          <w:i/>
          <w:lang w:val="es-ES"/>
        </w:rPr>
        <w:t>(Énfasis añadido)</w:t>
      </w:r>
      <w:r w:rsidRPr="00AD5ACD">
        <w:rPr>
          <w:rFonts w:ascii="Palatino Linotype" w:hAnsi="Palatino Linotype" w:cs="Arial"/>
          <w:b/>
          <w:i/>
          <w:lang w:val="es-ES"/>
        </w:rPr>
        <w:cr/>
      </w:r>
    </w:p>
    <w:p w:rsidR="007E7086" w:rsidRPr="001E71C5" w:rsidRDefault="007E7086" w:rsidP="007E7086">
      <w:pPr>
        <w:spacing w:line="360" w:lineRule="auto"/>
        <w:ind w:right="49"/>
        <w:jc w:val="both"/>
        <w:rPr>
          <w:rFonts w:ascii="Palatino Linotype" w:hAnsi="Palatino Linotype" w:cs="Arial"/>
          <w:sz w:val="24"/>
          <w:lang w:val="es-ES"/>
        </w:rPr>
      </w:pPr>
      <w:r w:rsidRPr="001E71C5">
        <w:rPr>
          <w:rFonts w:ascii="Palatino Linotype" w:hAnsi="Palatino Linotype" w:cs="Arial"/>
          <w:sz w:val="24"/>
          <w:lang w:val="es-ES"/>
        </w:rPr>
        <w:lastRenderedPageBreak/>
        <w:t xml:space="preserve">De la misma forma, este ordenamiento jurídico sustenta las bases para el  CLASIFICADOR POR OBJETO DEL GASTO (CAPÍTULO, CONCEPTO Y PARTIDA GENÉRICA), publicado en el Diario Oficial de la Federación el 9 de diciembre de 2009, el cual constituye un instrumento para una mejor identificación, mayor congruencia y generalidad a las partidas, el cual tiene la finalidad de establecer las bases para que los gobiernos: Federal, de las Entidades Federativas y Municipales, cumplan con las obligaciones que les impone el artículo cuarto transitorio de la Ley General de Contabilidad Gubernamental, consistente, en que </w:t>
      </w:r>
      <w:r w:rsidRPr="001E71C5">
        <w:rPr>
          <w:rFonts w:ascii="Palatino Linotype" w:eastAsiaTheme="minorEastAsia" w:hAnsi="Palatino Linotype"/>
          <w:sz w:val="24"/>
          <w:lang w:val="es-ES_tradnl"/>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1E71C5">
        <w:rPr>
          <w:rFonts w:ascii="Palatino Linotype" w:hAnsi="Palatino Linotype" w:cs="Arial"/>
          <w:sz w:val="24"/>
          <w:lang w:val="es-ES"/>
        </w:rPr>
        <w:t>. Lo anterior en el entendido de que los entes públicos de cada nivel de gobierno deberán realizar las acciones necesarias para cumplir con dichas obligaciones.</w:t>
      </w:r>
    </w:p>
    <w:p w:rsidR="007E7086" w:rsidRPr="001E71C5" w:rsidRDefault="007E7086" w:rsidP="007E7086">
      <w:pPr>
        <w:spacing w:line="360" w:lineRule="auto"/>
        <w:ind w:right="49"/>
        <w:jc w:val="both"/>
        <w:rPr>
          <w:rFonts w:ascii="Palatino Linotype" w:hAnsi="Palatino Linotype" w:cs="Arial"/>
          <w:sz w:val="24"/>
          <w:lang w:val="es-ES"/>
        </w:rPr>
      </w:pPr>
    </w:p>
    <w:p w:rsidR="007E7086" w:rsidRPr="001E71C5" w:rsidRDefault="007E7086" w:rsidP="007E7086">
      <w:pPr>
        <w:spacing w:line="360" w:lineRule="auto"/>
        <w:ind w:right="49"/>
        <w:jc w:val="both"/>
        <w:rPr>
          <w:rFonts w:ascii="Palatino Linotype" w:hAnsi="Palatino Linotype" w:cs="Arial"/>
          <w:sz w:val="24"/>
          <w:lang w:val="es-ES"/>
        </w:rPr>
      </w:pPr>
      <w:r w:rsidRPr="001E71C5">
        <w:rPr>
          <w:rFonts w:ascii="Palatino Linotype" w:hAnsi="Palatino Linotype" w:cs="Arial"/>
          <w:sz w:val="24"/>
          <w:lang w:val="es-ES"/>
        </w:rPr>
        <w:t>De esta manera, la estructura del Clasificador por Objeto del Gasto está diseñado con un nivel de desagregación que permite que sus cuentas faciliten el registro único de todas las transacciones con incidencia económica-financiera; es por ello, que la armonización se realiza al tercer dígito que corresponde a la partida genérica formándose la siguiente estructura:</w:t>
      </w:r>
    </w:p>
    <w:p w:rsidR="007E7086" w:rsidRPr="00AD5ACD" w:rsidRDefault="007E7086" w:rsidP="007E7086">
      <w:pPr>
        <w:spacing w:line="360" w:lineRule="auto"/>
        <w:ind w:right="49"/>
        <w:jc w:val="both"/>
        <w:rPr>
          <w:rFonts w:ascii="Palatino Linotype" w:hAnsi="Palatino Linotype" w:cs="Arial"/>
          <w:lang w:val="es-ES"/>
        </w:rPr>
      </w:pPr>
      <w:r w:rsidRPr="00AD5ACD">
        <w:rPr>
          <w:rFonts w:eastAsiaTheme="minorEastAsia"/>
          <w:noProof/>
          <w:sz w:val="20"/>
          <w:szCs w:val="20"/>
          <w:lang w:eastAsia="es-MX"/>
        </w:rPr>
        <mc:AlternateContent>
          <mc:Choice Requires="wps">
            <w:drawing>
              <wp:anchor distT="0" distB="0" distL="114300" distR="114300" simplePos="0" relativeHeight="251659264" behindDoc="0" locked="0" layoutInCell="1" allowOverlap="1" wp14:anchorId="62EDBD5E" wp14:editId="5586B216">
                <wp:simplePos x="0" y="0"/>
                <wp:positionH relativeFrom="column">
                  <wp:posOffset>2425065</wp:posOffset>
                </wp:positionH>
                <wp:positionV relativeFrom="paragraph">
                  <wp:posOffset>266700</wp:posOffset>
                </wp:positionV>
                <wp:extent cx="2389031" cy="590550"/>
                <wp:effectExtent l="57150" t="38100" r="68580" b="95250"/>
                <wp:wrapNone/>
                <wp:docPr id="9" name="Rectángulo 9"/>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667B" id="Rectángulo 9" o:spid="_x0000_s1026" style="position:absolute;margin-left:190.95pt;margin-top:21pt;width:188.1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CTdQJa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AD5ACD">
        <w:rPr>
          <w:rFonts w:eastAsiaTheme="minorEastAsia"/>
          <w:noProof/>
          <w:sz w:val="20"/>
          <w:szCs w:val="20"/>
          <w:lang w:eastAsia="es-MX"/>
        </w:rPr>
        <w:drawing>
          <wp:inline distT="0" distB="0" distL="0" distR="0" wp14:anchorId="2B6AE842" wp14:editId="3F5D05E4">
            <wp:extent cx="5761049" cy="1323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88" t="36171" r="34315" b="52961"/>
                    <a:stretch/>
                  </pic:blipFill>
                  <pic:spPr bwMode="auto">
                    <a:xfrm>
                      <a:off x="0" y="0"/>
                      <a:ext cx="5825540" cy="1338796"/>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1E71C5" w:rsidRDefault="007E7086" w:rsidP="007E7086">
      <w:pPr>
        <w:spacing w:line="360" w:lineRule="auto"/>
        <w:jc w:val="both"/>
        <w:rPr>
          <w:rFonts w:ascii="Palatino Linotype" w:hAnsi="Palatino Linotype" w:cs="Arial"/>
          <w:sz w:val="24"/>
          <w:u w:val="single"/>
          <w:lang w:val="es-ES"/>
        </w:rPr>
      </w:pPr>
      <w:r w:rsidRPr="001E71C5">
        <w:rPr>
          <w:rFonts w:ascii="Palatino Linotype" w:hAnsi="Palatino Linotype" w:cs="Arial"/>
          <w:sz w:val="24"/>
          <w:lang w:val="es-ES"/>
        </w:rPr>
        <w:lastRenderedPageBreak/>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capítulo y </w:t>
      </w:r>
      <w:r w:rsidRPr="001E71C5">
        <w:rPr>
          <w:rFonts w:ascii="Palatino Linotype" w:hAnsi="Palatino Linotype" w:cs="Arial"/>
          <w:b/>
          <w:i/>
          <w:sz w:val="24"/>
          <w:u w:val="single"/>
          <w:lang w:val="es-ES"/>
        </w:rPr>
        <w:t>la partida es el nivel de agregación más específico en el cual se describen las expresiones concretas y detalladas de los bienes y servicios que se adquieren y se compone de:</w:t>
      </w:r>
    </w:p>
    <w:p w:rsidR="007E7086" w:rsidRPr="001E71C5" w:rsidRDefault="007E7086" w:rsidP="007E7086">
      <w:pPr>
        <w:spacing w:line="360" w:lineRule="auto"/>
        <w:ind w:left="360"/>
        <w:jc w:val="both"/>
        <w:rPr>
          <w:rFonts w:ascii="Palatino Linotype" w:hAnsi="Palatino Linotype" w:cs="Arial"/>
          <w:b/>
          <w:sz w:val="24"/>
          <w:lang w:val="es-ES"/>
        </w:rPr>
      </w:pPr>
      <w:r w:rsidRPr="001E71C5">
        <w:rPr>
          <w:rFonts w:ascii="Palatino Linotype" w:hAnsi="Palatino Linotype" w:cs="Arial"/>
          <w:b/>
          <w:sz w:val="24"/>
          <w:lang w:val="es-ES"/>
        </w:rPr>
        <w:t>a) Partida Genérica</w:t>
      </w:r>
    </w:p>
    <w:p w:rsidR="007E7086" w:rsidRPr="001E71C5" w:rsidRDefault="007E7086" w:rsidP="007E7086">
      <w:pPr>
        <w:spacing w:line="360" w:lineRule="auto"/>
        <w:ind w:left="360"/>
        <w:jc w:val="both"/>
        <w:rPr>
          <w:rFonts w:ascii="Palatino Linotype" w:hAnsi="Palatino Linotype" w:cs="Arial"/>
          <w:b/>
          <w:sz w:val="24"/>
          <w:lang w:val="es-ES"/>
        </w:rPr>
      </w:pPr>
      <w:r w:rsidRPr="001E71C5">
        <w:rPr>
          <w:rFonts w:ascii="Palatino Linotype" w:hAnsi="Palatino Linotype" w:cs="Arial"/>
          <w:b/>
          <w:sz w:val="24"/>
          <w:lang w:val="es-ES"/>
        </w:rPr>
        <w:t>b) Partida Específica</w:t>
      </w: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b/>
          <w:i/>
          <w:sz w:val="24"/>
          <w:lang w:val="es-ES"/>
        </w:rPr>
        <w:t>La Partida Genérica</w:t>
      </w:r>
      <w:r w:rsidRPr="001E71C5">
        <w:rPr>
          <w:rFonts w:ascii="Palatino Linotype" w:hAnsi="Palatino Linotype" w:cs="Arial"/>
          <w:sz w:val="24"/>
          <w:lang w:val="es-ES"/>
        </w:rPr>
        <w:t xml:space="preserve"> se refiere al tercer dígito, el cual logrará la armonización a todos los niveles de gobierno.</w:t>
      </w: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b/>
          <w:i/>
          <w:sz w:val="24"/>
          <w:lang w:val="es-ES"/>
        </w:rPr>
        <w:t>La Partida Específica</w:t>
      </w:r>
      <w:r w:rsidRPr="001E71C5">
        <w:rPr>
          <w:rFonts w:ascii="Palatino Linotype" w:hAnsi="Palatino Linotype" w:cs="Arial"/>
          <w:sz w:val="24"/>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Pr="001E71C5">
        <w:rPr>
          <w:rFonts w:ascii="Palatino Linotype" w:hAnsi="Palatino Linotype" w:cs="Arial"/>
          <w:sz w:val="24"/>
          <w:lang w:val="es-ES"/>
        </w:rPr>
        <w:cr/>
      </w: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sz w:val="24"/>
          <w:lang w:val="es-ES"/>
        </w:rPr>
        <w:t>En este mismo orden de ideas, la Relación de Capítulos, Conceptos y Partidas Genéricas, en lo que interesa, son las siguientes:</w:t>
      </w:r>
    </w:p>
    <w:p w:rsidR="007E7086" w:rsidRPr="00AD5ACD" w:rsidRDefault="007E7086" w:rsidP="007E7086">
      <w:pPr>
        <w:spacing w:line="360" w:lineRule="auto"/>
        <w:jc w:val="both"/>
        <w:rPr>
          <w:rFonts w:ascii="Palatino Linotype" w:hAnsi="Palatino Linotype" w:cs="Arial"/>
          <w:lang w:val="es-ES"/>
        </w:rPr>
      </w:pPr>
      <w:r w:rsidRPr="00AD5ACD">
        <w:rPr>
          <w:rFonts w:ascii="Arial" w:eastAsiaTheme="minorEastAsia" w:hAnsi="Arial" w:cs="Arial"/>
          <w:noProof/>
          <w:sz w:val="18"/>
          <w:szCs w:val="18"/>
          <w:lang w:eastAsia="es-MX"/>
        </w:rPr>
        <w:lastRenderedPageBreak/>
        <mc:AlternateContent>
          <mc:Choice Requires="wps">
            <w:drawing>
              <wp:anchor distT="0" distB="0" distL="114300" distR="114300" simplePos="0" relativeHeight="251660288" behindDoc="0" locked="0" layoutInCell="1" allowOverlap="1" wp14:anchorId="6EB7D477" wp14:editId="1D5ED4DD">
                <wp:simplePos x="0" y="0"/>
                <wp:positionH relativeFrom="margin">
                  <wp:align>left</wp:align>
                </wp:positionH>
                <wp:positionV relativeFrom="paragraph">
                  <wp:posOffset>13335</wp:posOffset>
                </wp:positionV>
                <wp:extent cx="5638800" cy="133350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5638800" cy="1333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F525" id="Rectángulo 10" o:spid="_x0000_s1026" style="position:absolute;margin-left:0;margin-top:1.05pt;width:444pt;height:1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" filled="f" strokecolor="red" strokeweight="2.25pt">
                <v:shadow on="t" color="black" opacity="22937f" origin=",.5" offset="0,.63889mm"/>
                <w10:wrap anchorx="margin"/>
              </v:rect>
            </w:pict>
          </mc:Fallback>
        </mc:AlternateContent>
      </w:r>
      <w:r w:rsidRPr="00AD5ACD">
        <w:rPr>
          <w:noProof/>
          <w:lang w:eastAsia="es-MX"/>
        </w:rPr>
        <w:drawing>
          <wp:inline distT="0" distB="0" distL="0" distR="0" wp14:anchorId="5A18F109" wp14:editId="09E3BC71">
            <wp:extent cx="5819775" cy="1333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41" t="47359" r="61846" b="38639"/>
                    <a:stretch/>
                  </pic:blipFill>
                  <pic:spPr bwMode="auto">
                    <a:xfrm>
                      <a:off x="0" y="0"/>
                      <a:ext cx="5819775" cy="1333500"/>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AD5ACD" w:rsidRDefault="00B70B34" w:rsidP="007E7086">
      <w:pPr>
        <w:spacing w:line="360" w:lineRule="auto"/>
        <w:jc w:val="both"/>
        <w:rPr>
          <w:rFonts w:ascii="Palatino Linotype" w:hAnsi="Palatino Linotype" w:cs="Arial"/>
          <w:lang w:val="es-ES"/>
        </w:rPr>
      </w:pPr>
      <w:r>
        <w:rPr>
          <w:rFonts w:ascii="Arial" w:eastAsiaTheme="minorEastAsia" w:hAnsi="Arial" w:cs="Arial"/>
          <w:noProof/>
          <w:sz w:val="18"/>
          <w:szCs w:val="18"/>
          <w:lang w:eastAsia="es-MX"/>
        </w:rPr>
        <mc:AlternateContent>
          <mc:Choice Requires="wps">
            <w:drawing>
              <wp:anchor distT="0" distB="0" distL="114300" distR="114300" simplePos="0" relativeHeight="251667456" behindDoc="0" locked="0" layoutInCell="1" allowOverlap="1">
                <wp:simplePos x="0" y="0"/>
                <wp:positionH relativeFrom="column">
                  <wp:posOffset>24764</wp:posOffset>
                </wp:positionH>
                <wp:positionV relativeFrom="paragraph">
                  <wp:posOffset>2544444</wp:posOffset>
                </wp:positionV>
                <wp:extent cx="5591175" cy="347662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591175" cy="3476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254C0D" id="Conector recto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200.35pt" to="442.2pt,4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" strokecolor="black [3200]" strokeweight=".5pt">
                <v:stroke joinstyle="miter"/>
              </v:line>
            </w:pict>
          </mc:Fallback>
        </mc:AlternateContent>
      </w:r>
      <w:r w:rsidR="007E7086" w:rsidRPr="00AD5ACD">
        <w:rPr>
          <w:rFonts w:ascii="Arial" w:eastAsiaTheme="minorEastAsia" w:hAnsi="Arial" w:cs="Arial"/>
          <w:noProof/>
          <w:sz w:val="18"/>
          <w:szCs w:val="18"/>
          <w:lang w:eastAsia="es-MX"/>
        </w:rPr>
        <mc:AlternateContent>
          <mc:Choice Requires="wps">
            <w:drawing>
              <wp:anchor distT="0" distB="0" distL="114300" distR="114300" simplePos="0" relativeHeight="251661312" behindDoc="0" locked="0" layoutInCell="1" allowOverlap="1" wp14:anchorId="00C0EA2F" wp14:editId="03E4CA38">
                <wp:simplePos x="0" y="0"/>
                <wp:positionH relativeFrom="margin">
                  <wp:posOffset>432297</wp:posOffset>
                </wp:positionH>
                <wp:positionV relativeFrom="paragraph">
                  <wp:posOffset>1809363</wp:posOffset>
                </wp:positionV>
                <wp:extent cx="4543425" cy="42862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4543425"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BD04D" id="Rectángulo 17" o:spid="_x0000_s1026" style="position:absolute;margin-left:34.05pt;margin-top:142.45pt;width:357.7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" filled="f" strokecolor="red" strokeweight="1.5pt">
                <v:shadow on="t" color="black" opacity="22937f" origin=",.5" offset="0,.63889mm"/>
                <w10:wrap anchorx="margin"/>
              </v:rect>
            </w:pict>
          </mc:Fallback>
        </mc:AlternateContent>
      </w:r>
      <w:r w:rsidR="007E7086" w:rsidRPr="00AD5ACD">
        <w:rPr>
          <w:noProof/>
          <w:lang w:eastAsia="es-MX"/>
        </w:rPr>
        <w:drawing>
          <wp:inline distT="0" distB="0" distL="0" distR="0" wp14:anchorId="7B2E8236" wp14:editId="42463BF9">
            <wp:extent cx="5009322" cy="2170444"/>
            <wp:effectExtent l="0" t="0" r="127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196" t="25559" r="58215" b="49964"/>
                    <a:stretch/>
                  </pic:blipFill>
                  <pic:spPr bwMode="auto">
                    <a:xfrm>
                      <a:off x="0" y="0"/>
                      <a:ext cx="5026686" cy="2177967"/>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AD5ACD" w:rsidRDefault="007E7086" w:rsidP="007E7086">
      <w:pPr>
        <w:spacing w:line="360" w:lineRule="auto"/>
        <w:jc w:val="both"/>
        <w:rPr>
          <w:rFonts w:ascii="Palatino Linotype" w:hAnsi="Palatino Linotype" w:cs="Arial"/>
          <w:lang w:val="es-ES"/>
        </w:rPr>
      </w:pPr>
      <w:r w:rsidRPr="00AD5ACD">
        <w:rPr>
          <w:noProof/>
          <w:lang w:eastAsia="es-MX"/>
        </w:rPr>
        <w:lastRenderedPageBreak/>
        <mc:AlternateContent>
          <mc:Choice Requires="wps">
            <w:drawing>
              <wp:anchor distT="0" distB="0" distL="114300" distR="114300" simplePos="0" relativeHeight="251665408" behindDoc="0" locked="0" layoutInCell="1" allowOverlap="1" wp14:anchorId="1B779EB2" wp14:editId="570FC0F8">
                <wp:simplePos x="0" y="0"/>
                <wp:positionH relativeFrom="column">
                  <wp:posOffset>586739</wp:posOffset>
                </wp:positionH>
                <wp:positionV relativeFrom="paragraph">
                  <wp:posOffset>5105400</wp:posOffset>
                </wp:positionV>
                <wp:extent cx="5153025" cy="57150"/>
                <wp:effectExtent l="38100" t="38100" r="66675" b="95250"/>
                <wp:wrapNone/>
                <wp:docPr id="22" name="Conector recto 22"/>
                <wp:cNvGraphicFramePr/>
                <a:graphic xmlns:a="http://schemas.openxmlformats.org/drawingml/2006/main">
                  <a:graphicData uri="http://schemas.microsoft.com/office/word/2010/wordprocessingShape">
                    <wps:wsp>
                      <wps:cNvCnPr/>
                      <wps:spPr>
                        <a:xfrm>
                          <a:off x="0" y="0"/>
                          <a:ext cx="5153025" cy="57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3A012C" id="Conector recto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6.2pt,402pt" to="451.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" strokecolor="#5b9bd5 [3204]" strokeweight="1pt">
                <v:stroke joinstyle="miter"/>
              </v:line>
            </w:pict>
          </mc:Fallback>
        </mc:AlternateContent>
      </w:r>
      <w:r w:rsidRPr="00AD5ACD">
        <w:rPr>
          <w:noProof/>
          <w:lang w:eastAsia="es-MX"/>
        </w:rPr>
        <mc:AlternateContent>
          <mc:Choice Requires="wps">
            <w:drawing>
              <wp:anchor distT="0" distB="0" distL="114300" distR="114300" simplePos="0" relativeHeight="251664384" behindDoc="0" locked="0" layoutInCell="1" allowOverlap="1" wp14:anchorId="126ACDAD" wp14:editId="266128B0">
                <wp:simplePos x="0" y="0"/>
                <wp:positionH relativeFrom="column">
                  <wp:posOffset>1205865</wp:posOffset>
                </wp:positionH>
                <wp:positionV relativeFrom="paragraph">
                  <wp:posOffset>3095625</wp:posOffset>
                </wp:positionV>
                <wp:extent cx="4610100" cy="28575"/>
                <wp:effectExtent l="38100" t="38100" r="76200" b="85725"/>
                <wp:wrapNone/>
                <wp:docPr id="21" name="Conector recto 21"/>
                <wp:cNvGraphicFramePr/>
                <a:graphic xmlns:a="http://schemas.openxmlformats.org/drawingml/2006/main">
                  <a:graphicData uri="http://schemas.microsoft.com/office/word/2010/wordprocessingShape">
                    <wps:wsp>
                      <wps:cNvCnPr/>
                      <wps:spPr>
                        <a:xfrm>
                          <a:off x="0" y="0"/>
                          <a:ext cx="4610100"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39DCAA" id="Conector recto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4.95pt,243.75pt" to="457.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" strokecolor="#5b9bd5 [3204]" strokeweight="1pt">
                <v:stroke joinstyle="miter"/>
              </v:line>
            </w:pict>
          </mc:Fallback>
        </mc:AlternateContent>
      </w:r>
      <w:r w:rsidRPr="00AD5ACD">
        <w:rPr>
          <w:noProof/>
          <w:lang w:eastAsia="es-MX"/>
        </w:rPr>
        <mc:AlternateContent>
          <mc:Choice Requires="wps">
            <w:drawing>
              <wp:anchor distT="0" distB="0" distL="114300" distR="114300" simplePos="0" relativeHeight="251663360" behindDoc="0" locked="0" layoutInCell="1" allowOverlap="1" wp14:anchorId="78629C4F" wp14:editId="7A1381A0">
                <wp:simplePos x="0" y="0"/>
                <wp:positionH relativeFrom="margin">
                  <wp:align>right</wp:align>
                </wp:positionH>
                <wp:positionV relativeFrom="paragraph">
                  <wp:posOffset>857250</wp:posOffset>
                </wp:positionV>
                <wp:extent cx="4419600" cy="9525"/>
                <wp:effectExtent l="38100" t="38100" r="76200" b="85725"/>
                <wp:wrapNone/>
                <wp:docPr id="20" name="Conector recto 20"/>
                <wp:cNvGraphicFramePr/>
                <a:graphic xmlns:a="http://schemas.openxmlformats.org/drawingml/2006/main">
                  <a:graphicData uri="http://schemas.microsoft.com/office/word/2010/wordprocessingShape">
                    <wps:wsp>
                      <wps:cNvCnPr/>
                      <wps:spPr>
                        <a:xfrm flipV="1">
                          <a:off x="0" y="0"/>
                          <a:ext cx="44196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8E89D7" id="Conector recto 20" o:spid="_x0000_s1026" style="position:absolute;flip:y;z-index:251663360;visibility:visible;mso-wrap-style:square;mso-wrap-distance-left:9pt;mso-wrap-distance-top:0;mso-wrap-distance-right:9pt;mso-wrap-distance-bottom:0;mso-position-horizontal:right;mso-position-horizontal-relative:margin;mso-position-vertical:absolute;mso-position-vertical-relative:text" from="296.8pt,67.5pt" to="644.8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" strokecolor="#5b9bd5 [3204]" strokeweight="1pt">
                <v:stroke joinstyle="miter"/>
                <w10:wrap anchorx="margin"/>
              </v:line>
            </w:pict>
          </mc:Fallback>
        </mc:AlternateContent>
      </w:r>
      <w:r w:rsidRPr="00AD5ACD">
        <w:rPr>
          <w:noProof/>
          <w:lang w:eastAsia="es-MX"/>
        </w:rPr>
        <mc:AlternateContent>
          <mc:Choice Requires="wps">
            <w:drawing>
              <wp:anchor distT="0" distB="0" distL="114300" distR="114300" simplePos="0" relativeHeight="251662336" behindDoc="0" locked="0" layoutInCell="1" allowOverlap="1" wp14:anchorId="5960CBF0" wp14:editId="717C96EB">
                <wp:simplePos x="0" y="0"/>
                <wp:positionH relativeFrom="column">
                  <wp:posOffset>367664</wp:posOffset>
                </wp:positionH>
                <wp:positionV relativeFrom="paragraph">
                  <wp:posOffset>6410325</wp:posOffset>
                </wp:positionV>
                <wp:extent cx="2771775" cy="19050"/>
                <wp:effectExtent l="38100" t="38100" r="66675" b="95250"/>
                <wp:wrapNone/>
                <wp:docPr id="19" name="Conector recto 19"/>
                <wp:cNvGraphicFramePr/>
                <a:graphic xmlns:a="http://schemas.openxmlformats.org/drawingml/2006/main">
                  <a:graphicData uri="http://schemas.microsoft.com/office/word/2010/wordprocessingShape">
                    <wps:wsp>
                      <wps:cNvCnPr/>
                      <wps:spPr>
                        <a:xfrm flipV="1">
                          <a:off x="0" y="0"/>
                          <a:ext cx="2771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770B8F" id="Conector recto 1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8.95pt,504.75pt" to="247.2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" strokecolor="#5b9bd5 [3204]" strokeweight="1pt">
                <v:stroke joinstyle="miter"/>
              </v:line>
            </w:pict>
          </mc:Fallback>
        </mc:AlternateContent>
      </w:r>
      <w:r w:rsidRPr="00AD5ACD">
        <w:rPr>
          <w:noProof/>
          <w:lang w:eastAsia="es-MX"/>
        </w:rPr>
        <w:drawing>
          <wp:inline distT="0" distB="0" distL="0" distR="0" wp14:anchorId="53B6A251" wp14:editId="207DDB77">
            <wp:extent cx="5962650" cy="7115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54" t="14032" r="58393" b="25746"/>
                    <a:stretch/>
                  </pic:blipFill>
                  <pic:spPr bwMode="auto">
                    <a:xfrm>
                      <a:off x="0" y="0"/>
                      <a:ext cx="5962650" cy="7115175"/>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AD5ACD" w:rsidRDefault="007E7086" w:rsidP="007E7086">
      <w:pPr>
        <w:spacing w:after="101" w:line="240" w:lineRule="exact"/>
        <w:jc w:val="both"/>
        <w:rPr>
          <w:rFonts w:ascii="Arial" w:eastAsiaTheme="minorEastAsia" w:hAnsi="Arial" w:cs="Arial"/>
          <w:b/>
          <w:sz w:val="18"/>
          <w:szCs w:val="28"/>
        </w:rPr>
      </w:pP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sz w:val="24"/>
          <w:lang w:val="es-ES"/>
        </w:rPr>
        <w:lastRenderedPageBreak/>
        <w:t xml:space="preserve">En esta tesitura, es claro que </w:t>
      </w:r>
      <w:r w:rsidRPr="001E71C5">
        <w:rPr>
          <w:rFonts w:ascii="Palatino Linotype" w:hAnsi="Palatino Linotype" w:cs="Arial"/>
          <w:b/>
          <w:sz w:val="24"/>
          <w:lang w:val="es-ES"/>
        </w:rPr>
        <w:t>EL SUJETO OBLIGADO</w:t>
      </w:r>
      <w:r w:rsidRPr="001E71C5">
        <w:rPr>
          <w:rFonts w:ascii="Palatino Linotype" w:hAnsi="Palatino Linotype" w:cs="Arial"/>
          <w:sz w:val="24"/>
          <w:lang w:val="es-ES"/>
        </w:rPr>
        <w:t xml:space="preserve">, cuenta con varias partidas presupuestales específicas destinadas en materia de seguridad pública; de igual manera el DECRETO NÚMERO 17.- POR EL QUE SE APRUEBA EL PRESUPUESTO DE EGRESOS DEL GOBIERNO DEL ESTADO DE MÉXICO, PARA EL EJERCICIO FISCAL 2019, publicado en el Periódico Oficial del Estado de México,” Gaceta de Gobierno” en fecha 31 de diciembre de 2018, establece que el </w:t>
      </w:r>
      <w:r w:rsidRPr="001E71C5">
        <w:rPr>
          <w:rFonts w:ascii="Palatino Linotype" w:hAnsi="Palatino Linotype"/>
          <w:sz w:val="24"/>
        </w:rPr>
        <w:t>Presupuesto de Egresos del ejercicio fiscal 2019 está orientado a satisfacer las necesidades sociales de interés colectivo, atendiendo al Plan de Desarrollo del Estado de México vigente y se distribuye en distintos pilares, ejes transversales y fondos, contemplando el de la SEGURIDAD, tal como se advierte a continuación.</w:t>
      </w:r>
    </w:p>
    <w:p w:rsidR="00C433B2" w:rsidRPr="007E7086" w:rsidRDefault="007E7086" w:rsidP="007E7086">
      <w:pPr>
        <w:spacing w:line="360" w:lineRule="auto"/>
        <w:jc w:val="both"/>
        <w:rPr>
          <w:rFonts w:ascii="Palatino Linotype" w:hAnsi="Palatino Linotype"/>
        </w:rPr>
      </w:pPr>
      <w:r w:rsidRPr="00AD5ACD">
        <w:rPr>
          <w:noProof/>
          <w:lang w:eastAsia="es-MX"/>
        </w:rPr>
        <mc:AlternateContent>
          <mc:Choice Requires="wps">
            <w:drawing>
              <wp:anchor distT="0" distB="0" distL="114300" distR="114300" simplePos="0" relativeHeight="251666432" behindDoc="0" locked="0" layoutInCell="1" allowOverlap="1" wp14:anchorId="17591623" wp14:editId="4FB2EF24">
                <wp:simplePos x="0" y="0"/>
                <wp:positionH relativeFrom="column">
                  <wp:posOffset>729614</wp:posOffset>
                </wp:positionH>
                <wp:positionV relativeFrom="paragraph">
                  <wp:posOffset>2383790</wp:posOffset>
                </wp:positionV>
                <wp:extent cx="2009775" cy="19050"/>
                <wp:effectExtent l="38100" t="38100" r="66675" b="95250"/>
                <wp:wrapNone/>
                <wp:docPr id="24" name="Conector recto 24"/>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7C5D2B" id="Conector recto 2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7.45pt,187.7pt" to="215.7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" strokecolor="#5b9bd5 [3204]" strokeweight="1pt">
                <v:stroke joinstyle="miter"/>
              </v:line>
            </w:pict>
          </mc:Fallback>
        </mc:AlternateContent>
      </w:r>
      <w:r w:rsidRPr="00AD5ACD">
        <w:rPr>
          <w:noProof/>
          <w:lang w:eastAsia="es-MX"/>
        </w:rPr>
        <w:drawing>
          <wp:inline distT="0" distB="0" distL="0" distR="0" wp14:anchorId="1E8D1B49" wp14:editId="265C85E1">
            <wp:extent cx="5867400" cy="26193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260" t="18410" r="32409" b="68371"/>
                    <a:stretch/>
                  </pic:blipFill>
                  <pic:spPr bwMode="auto">
                    <a:xfrm>
                      <a:off x="0" y="0"/>
                      <a:ext cx="5867400" cy="2619375"/>
                    </a:xfrm>
                    <a:prstGeom prst="rect">
                      <a:avLst/>
                    </a:prstGeom>
                    <a:ln>
                      <a:noFill/>
                    </a:ln>
                    <a:extLst>
                      <a:ext uri="{53640926-AAD7-44D8-BBD7-CCE9431645EC}">
                        <a14:shadowObscured xmlns:a14="http://schemas.microsoft.com/office/drawing/2010/main"/>
                      </a:ext>
                    </a:extLst>
                  </pic:spPr>
                </pic:pic>
              </a:graphicData>
            </a:graphic>
          </wp:inline>
        </w:drawing>
      </w:r>
    </w:p>
    <w:p w:rsidR="004F1BFF" w:rsidRDefault="004F1BFF" w:rsidP="004F1BFF">
      <w:pPr>
        <w:spacing w:line="360" w:lineRule="auto"/>
        <w:jc w:val="both"/>
        <w:rPr>
          <w:rFonts w:ascii="Palatino Linotype" w:hAnsi="Palatino Linotype" w:cs="Arial"/>
          <w:sz w:val="24"/>
          <w:lang w:eastAsia="es-MX"/>
        </w:rPr>
      </w:pPr>
      <w:r w:rsidRPr="007930D8">
        <w:rPr>
          <w:rFonts w:ascii="Palatino Linotype" w:hAnsi="Palatino Linotype" w:cs="Arial"/>
          <w:sz w:val="24"/>
          <w:lang w:eastAsia="es-MX"/>
        </w:rPr>
        <w:t>Entonces, al tratarse de procedimientos adquisitivos, es importante dejar claro que la Ley de Contratación Pública del Estado de México y Municipios, tiene por objeto regular los actos relativos a la planeación, programación, presupuestación, ejecución y</w:t>
      </w:r>
      <w:r>
        <w:rPr>
          <w:rFonts w:ascii="Palatino Linotype" w:hAnsi="Palatino Linotype" w:cs="Arial"/>
          <w:sz w:val="24"/>
          <w:lang w:eastAsia="es-MX"/>
        </w:rPr>
        <w:t xml:space="preserve"> </w:t>
      </w:r>
      <w:r w:rsidRPr="007930D8">
        <w:rPr>
          <w:rFonts w:ascii="Palatino Linotype" w:hAnsi="Palatino Linotype" w:cs="Arial"/>
          <w:sz w:val="24"/>
          <w:lang w:eastAsia="es-MX"/>
        </w:rPr>
        <w:t xml:space="preserve">control de la adquisición, enajenación y arrendamiento de bienes, y la contratación </w:t>
      </w:r>
      <w:r w:rsidRPr="007930D8">
        <w:rPr>
          <w:rFonts w:ascii="Palatino Linotype" w:hAnsi="Palatino Linotype" w:cs="Arial"/>
          <w:sz w:val="24"/>
          <w:lang w:eastAsia="es-MX"/>
        </w:rPr>
        <w:lastRenderedPageBreak/>
        <w:t xml:space="preserve">de servicios de cualquier naturaleza, que realicen los Ayuntamientos de los Municipios del Estado. </w:t>
      </w:r>
    </w:p>
    <w:p w:rsidR="00D94981" w:rsidRDefault="00D94981" w:rsidP="004F1BFF">
      <w:pPr>
        <w:spacing w:line="360" w:lineRule="auto"/>
        <w:jc w:val="both"/>
        <w:rPr>
          <w:rFonts w:ascii="Palatino Linotype" w:hAnsi="Palatino Linotype" w:cs="Arial"/>
          <w:sz w:val="24"/>
          <w:lang w:eastAsia="es-MX"/>
        </w:rPr>
      </w:pPr>
    </w:p>
    <w:p w:rsidR="004F1BFF" w:rsidRDefault="004F1BFF" w:rsidP="004F1BFF">
      <w:pPr>
        <w:spacing w:line="360" w:lineRule="auto"/>
        <w:jc w:val="both"/>
        <w:rPr>
          <w:rFonts w:ascii="Palatino Linotype" w:hAnsi="Palatino Linotype" w:cs="Arial"/>
          <w:sz w:val="24"/>
          <w:lang w:eastAsia="es-MX"/>
        </w:rPr>
      </w:pPr>
      <w:r w:rsidRPr="007930D8">
        <w:rPr>
          <w:rFonts w:ascii="Palatino Linotype" w:hAnsi="Palatino Linotype" w:cs="Arial"/>
          <w:sz w:val="24"/>
          <w:lang w:eastAsia="es-MX"/>
        </w:rPr>
        <w:t>Así las cosas, tenemos que para la substanciación de los procedimientos de adquisiciones y servicios se integran comités los cuales son Órganos colegiados que tienen facultades de opinión, esto con la finalidad de auxiliar en este caso a los Ayuntamientos, para tomar una decisión, apegada al interés</w:t>
      </w:r>
      <w:r>
        <w:rPr>
          <w:rFonts w:ascii="Palatino Linotype" w:hAnsi="Palatino Linotype" w:cs="Arial"/>
          <w:sz w:val="24"/>
          <w:lang w:eastAsia="es-MX"/>
        </w:rPr>
        <w:t xml:space="preserve"> y beneficio público y social. </w:t>
      </w:r>
      <w:r w:rsidRPr="007930D8">
        <w:rPr>
          <w:rFonts w:ascii="Palatino Linotype" w:hAnsi="Palatino Linotype" w:cs="Arial"/>
          <w:sz w:val="24"/>
          <w:lang w:eastAsia="es-MX"/>
        </w:rPr>
        <w:t>Entre las funci</w:t>
      </w:r>
      <w:r>
        <w:rPr>
          <w:rFonts w:ascii="Palatino Linotype" w:hAnsi="Palatino Linotype" w:cs="Arial"/>
          <w:sz w:val="24"/>
          <w:lang w:eastAsia="es-MX"/>
        </w:rPr>
        <w:t>ones de los C</w:t>
      </w:r>
      <w:r w:rsidRPr="007930D8">
        <w:rPr>
          <w:rFonts w:ascii="Palatino Linotype" w:hAnsi="Palatino Linotype" w:cs="Arial"/>
          <w:sz w:val="24"/>
          <w:lang w:eastAsia="es-MX"/>
        </w:rPr>
        <w:t xml:space="preserve">omités de </w:t>
      </w:r>
      <w:r>
        <w:rPr>
          <w:rFonts w:ascii="Palatino Linotype" w:hAnsi="Palatino Linotype" w:cs="Arial"/>
          <w:sz w:val="24"/>
          <w:lang w:eastAsia="es-MX"/>
        </w:rPr>
        <w:t>A</w:t>
      </w:r>
      <w:r w:rsidRPr="007930D8">
        <w:rPr>
          <w:rFonts w:ascii="Palatino Linotype" w:hAnsi="Palatino Linotype" w:cs="Arial"/>
          <w:sz w:val="24"/>
          <w:lang w:eastAsia="es-MX"/>
        </w:rPr>
        <w:t xml:space="preserve">dquisiciones y de </w:t>
      </w:r>
      <w:r>
        <w:rPr>
          <w:rFonts w:ascii="Palatino Linotype" w:hAnsi="Palatino Linotype" w:cs="Arial"/>
          <w:sz w:val="24"/>
          <w:lang w:eastAsia="es-MX"/>
        </w:rPr>
        <w:t>S</w:t>
      </w:r>
      <w:r w:rsidRPr="007930D8">
        <w:rPr>
          <w:rFonts w:ascii="Palatino Linotype" w:hAnsi="Palatino Linotype" w:cs="Arial"/>
          <w:sz w:val="24"/>
          <w:lang w:eastAsia="es-MX"/>
        </w:rPr>
        <w:t xml:space="preserve">ervicios se encuentran las siguientes: </w:t>
      </w:r>
    </w:p>
    <w:p w:rsidR="00D94981" w:rsidRPr="007930D8" w:rsidRDefault="00D94981" w:rsidP="004F1BFF">
      <w:pPr>
        <w:spacing w:line="360" w:lineRule="auto"/>
        <w:jc w:val="both"/>
        <w:rPr>
          <w:rFonts w:ascii="Palatino Linotype" w:hAnsi="Palatino Linotype" w:cs="Arial"/>
          <w:sz w:val="24"/>
          <w:lang w:eastAsia="es-MX"/>
        </w:rPr>
      </w:pPr>
    </w:p>
    <w:p w:rsidR="004F1BFF" w:rsidRPr="007930D8" w:rsidRDefault="004F1BFF" w:rsidP="004F1BFF">
      <w:pPr>
        <w:spacing w:line="360" w:lineRule="auto"/>
        <w:ind w:right="757"/>
        <w:jc w:val="both"/>
        <w:rPr>
          <w:rFonts w:ascii="Palatino Linotype" w:hAnsi="Palatino Linotype" w:cs="Arial"/>
          <w:sz w:val="24"/>
          <w:lang w:eastAsia="es-MX"/>
        </w:rPr>
      </w:pPr>
      <w:r w:rsidRPr="007930D8">
        <w:rPr>
          <w:rFonts w:ascii="Palatino Linotype" w:hAnsi="Palatino Linotype" w:cs="Arial"/>
          <w:sz w:val="24"/>
          <w:lang w:eastAsia="es-MX"/>
        </w:rPr>
        <w:t>-Dictaminar sobre la procedencia de los casos de excepción al procedimi</w:t>
      </w:r>
      <w:r>
        <w:rPr>
          <w:rFonts w:ascii="Palatino Linotype" w:hAnsi="Palatino Linotype" w:cs="Arial"/>
          <w:sz w:val="24"/>
          <w:lang w:eastAsia="es-MX"/>
        </w:rPr>
        <w:t xml:space="preserve">ento </w:t>
      </w:r>
      <w:r w:rsidRPr="007930D8">
        <w:rPr>
          <w:rFonts w:ascii="Palatino Linotype" w:hAnsi="Palatino Linotype" w:cs="Arial"/>
          <w:sz w:val="24"/>
          <w:lang w:eastAsia="es-MX"/>
        </w:rPr>
        <w:t xml:space="preserve">de licitación pública. </w:t>
      </w:r>
    </w:p>
    <w:p w:rsidR="004F1BFF" w:rsidRPr="007930D8" w:rsidRDefault="004F1BFF" w:rsidP="004F1BFF">
      <w:pPr>
        <w:spacing w:line="360" w:lineRule="auto"/>
        <w:ind w:right="757"/>
        <w:jc w:val="both"/>
        <w:rPr>
          <w:rFonts w:ascii="Palatino Linotype" w:hAnsi="Palatino Linotype" w:cs="Arial"/>
          <w:sz w:val="24"/>
          <w:lang w:eastAsia="es-MX"/>
        </w:rPr>
      </w:pPr>
      <w:r w:rsidRPr="007930D8">
        <w:rPr>
          <w:rFonts w:ascii="Palatino Linotype" w:hAnsi="Palatino Linotype" w:cs="Arial"/>
          <w:sz w:val="24"/>
          <w:lang w:eastAsia="es-MX"/>
        </w:rPr>
        <w:t xml:space="preserve">-Participar en los procedimientos de licitación, invitación restringida y adjudicación directa, hasta dejarlos en estado de dictar el fallo correspondiente, incluidos los que tengan que desahogarse bajo la modalidad de subasta inversa. </w:t>
      </w:r>
    </w:p>
    <w:p w:rsidR="004F1BFF" w:rsidRDefault="004F1BFF" w:rsidP="004F1BFF">
      <w:pPr>
        <w:spacing w:line="360" w:lineRule="auto"/>
        <w:ind w:right="757"/>
        <w:jc w:val="both"/>
        <w:rPr>
          <w:rFonts w:ascii="Palatino Linotype" w:hAnsi="Palatino Linotype" w:cs="Arial"/>
          <w:sz w:val="24"/>
          <w:lang w:eastAsia="es-MX"/>
        </w:rPr>
      </w:pPr>
      <w:r w:rsidRPr="007930D8">
        <w:rPr>
          <w:rFonts w:ascii="Palatino Linotype" w:hAnsi="Palatino Linotype" w:cs="Arial"/>
          <w:sz w:val="24"/>
          <w:lang w:eastAsia="es-MX"/>
        </w:rPr>
        <w:t xml:space="preserve">-Emitir los dictámenes de adjudicación. </w:t>
      </w:r>
    </w:p>
    <w:p w:rsidR="004F1BFF" w:rsidRPr="007930D8" w:rsidRDefault="004F1BFF" w:rsidP="004F1BFF">
      <w:pPr>
        <w:pStyle w:val="Sinespaciado"/>
        <w:rPr>
          <w:lang w:eastAsia="es-MX"/>
        </w:rPr>
      </w:pPr>
      <w:r w:rsidRPr="007930D8">
        <w:rPr>
          <w:lang w:eastAsia="es-MX"/>
        </w:rPr>
        <w:t xml:space="preserve">  </w:t>
      </w:r>
    </w:p>
    <w:p w:rsidR="004F1BFF" w:rsidRPr="007930D8" w:rsidRDefault="004F1BFF" w:rsidP="004F1BFF">
      <w:pPr>
        <w:spacing w:line="360" w:lineRule="auto"/>
        <w:jc w:val="both"/>
        <w:rPr>
          <w:rFonts w:ascii="Palatino Linotype" w:hAnsi="Palatino Linotype" w:cs="Arial"/>
          <w:sz w:val="24"/>
          <w:lang w:eastAsia="es-MX"/>
        </w:rPr>
      </w:pPr>
      <w:r w:rsidRPr="007930D8">
        <w:rPr>
          <w:rFonts w:ascii="Palatino Linotype" w:hAnsi="Palatino Linotype" w:cs="Arial"/>
          <w:sz w:val="24"/>
          <w:lang w:eastAsia="es-MX"/>
        </w:rPr>
        <w:t>Por otro lado, tenemos que, por cada acto administrativo de esta naturaleza, se tendrá que dejar constancia de los actos, a efecto de que se le dé formalidad y sustento, todo ello conforme a derecho, como nos dice el artículo 39 de la Ley de Contratación que se señala a continuación:</w:t>
      </w:r>
    </w:p>
    <w:p w:rsidR="004F1BFF" w:rsidRPr="005B3050" w:rsidRDefault="004F1BFF" w:rsidP="004F1BFF">
      <w:pPr>
        <w:ind w:left="709" w:right="814"/>
        <w:jc w:val="both"/>
        <w:rPr>
          <w:rFonts w:ascii="Palatino Linotype" w:hAnsi="Palatino Linotype" w:cs="Arial"/>
          <w:i/>
          <w:lang w:eastAsia="es-MX"/>
        </w:rPr>
      </w:pPr>
      <w:r w:rsidRPr="005B3050">
        <w:rPr>
          <w:rFonts w:ascii="Palatino Linotype" w:hAnsi="Palatino Linotype" w:cs="Arial"/>
          <w:i/>
          <w:lang w:eastAsia="es-MX"/>
        </w:rPr>
        <w:lastRenderedPageBreak/>
        <w:t>“</w:t>
      </w:r>
      <w:r w:rsidRPr="005B3050">
        <w:rPr>
          <w:rFonts w:ascii="Palatino Linotype" w:hAnsi="Palatino Linotype" w:cs="Arial"/>
          <w:b/>
          <w:i/>
          <w:lang w:eastAsia="es-MX"/>
        </w:rPr>
        <w:t>Artículo 39</w:t>
      </w:r>
      <w:r w:rsidRPr="005B3050">
        <w:rPr>
          <w:rFonts w:ascii="Palatino Linotype" w:hAnsi="Palatino Linotype" w:cs="Arial"/>
          <w:i/>
          <w:lang w:eastAsia="es-MX"/>
        </w:rPr>
        <w:t xml:space="preserve">.- Para cada uno de los actos del procedimiento adquisitivo se levantará el acta respectiva, la cual será firmada por los participantes, sin que la falta de firma de alguno de ellos invalide su contenido y efectos.” </w:t>
      </w:r>
    </w:p>
    <w:p w:rsidR="004F1BFF" w:rsidRDefault="004F1BFF" w:rsidP="004F1BFF">
      <w:pPr>
        <w:pStyle w:val="Sinespaciado"/>
        <w:rPr>
          <w:lang w:eastAsia="es-MX"/>
        </w:rPr>
      </w:pPr>
    </w:p>
    <w:p w:rsidR="00D94981" w:rsidRDefault="00D94981" w:rsidP="004F1BFF">
      <w:pPr>
        <w:spacing w:line="360" w:lineRule="auto"/>
        <w:jc w:val="both"/>
        <w:rPr>
          <w:rFonts w:ascii="Palatino Linotype" w:hAnsi="Palatino Linotype" w:cs="Arial"/>
          <w:sz w:val="24"/>
          <w:lang w:eastAsia="es-MX"/>
        </w:rPr>
      </w:pPr>
    </w:p>
    <w:p w:rsidR="004F1BFF" w:rsidRDefault="004F1BFF" w:rsidP="004F1BFF">
      <w:pPr>
        <w:spacing w:line="360" w:lineRule="auto"/>
        <w:jc w:val="both"/>
        <w:rPr>
          <w:rFonts w:ascii="Palatino Linotype" w:hAnsi="Palatino Linotype" w:cs="Arial"/>
          <w:sz w:val="24"/>
          <w:lang w:eastAsia="es-MX"/>
        </w:rPr>
      </w:pPr>
      <w:r w:rsidRPr="00225A00">
        <w:rPr>
          <w:rFonts w:ascii="Palatino Linotype" w:hAnsi="Palatino Linotype" w:cs="Arial"/>
          <w:sz w:val="24"/>
          <w:lang w:eastAsia="es-MX"/>
        </w:rPr>
        <w:t xml:space="preserve">Por ello se advierte que </w:t>
      </w:r>
      <w:r w:rsidRPr="00225A00">
        <w:rPr>
          <w:rFonts w:ascii="Palatino Linotype" w:hAnsi="Palatino Linotype" w:cs="Arial"/>
          <w:b/>
          <w:sz w:val="24"/>
          <w:lang w:eastAsia="es-MX"/>
        </w:rPr>
        <w:t>EL SUJETO OBLIGADO</w:t>
      </w:r>
      <w:r w:rsidRPr="00225A00">
        <w:rPr>
          <w:rFonts w:ascii="Palatino Linotype" w:hAnsi="Palatino Linotype" w:cs="Arial"/>
          <w:sz w:val="24"/>
          <w:lang w:eastAsia="es-MX"/>
        </w:rPr>
        <w:t>, necesariamente debe contar con las actas y expedientes respectivos de las adquisiciones, que deben obrar en sus archivos y también en</w:t>
      </w:r>
      <w:r>
        <w:rPr>
          <w:rFonts w:ascii="Palatino Linotype" w:hAnsi="Palatino Linotype" w:cs="Arial"/>
          <w:sz w:val="24"/>
          <w:lang w:eastAsia="es-MX"/>
        </w:rPr>
        <w:t xml:space="preserve"> su sistema electrónico IPOMEX.</w:t>
      </w:r>
    </w:p>
    <w:p w:rsidR="004F1BFF" w:rsidRDefault="004F1BFF" w:rsidP="004F1BFF">
      <w:pPr>
        <w:pStyle w:val="Sinespaciado"/>
        <w:rPr>
          <w:lang w:eastAsia="es-MX"/>
        </w:rPr>
      </w:pPr>
    </w:p>
    <w:p w:rsidR="004F1BFF" w:rsidRPr="00FA5B39" w:rsidRDefault="004F1BFF" w:rsidP="004F1BFF">
      <w:pPr>
        <w:spacing w:line="360" w:lineRule="auto"/>
        <w:jc w:val="both"/>
        <w:rPr>
          <w:rFonts w:ascii="Palatino Linotype" w:hAnsi="Palatino Linotype" w:cs="Arial"/>
          <w:sz w:val="24"/>
          <w:lang w:eastAsia="es-MX"/>
        </w:rPr>
      </w:pPr>
      <w:r w:rsidRPr="00FA5B39">
        <w:rPr>
          <w:rFonts w:ascii="Palatino Linotype" w:hAnsi="Palatino Linotype" w:cs="Arial"/>
          <w:sz w:val="24"/>
          <w:lang w:eastAsia="es-MX"/>
        </w:rPr>
        <w:t>De lo antes precisado</w:t>
      </w:r>
      <w:r w:rsidRPr="00C734AD">
        <w:rPr>
          <w:rFonts w:ascii="Palatino Linotype" w:hAnsi="Palatino Linotype" w:cs="Arial"/>
          <w:sz w:val="24"/>
          <w:lang w:eastAsia="es-MX"/>
        </w:rPr>
        <w:t xml:space="preserve">, claramente se puede advertir que la unidad administrativa encargada de contar con la información relativa a adquisiciones, arrendamientos o servicios es la </w:t>
      </w:r>
      <w:r w:rsidR="00B72FBA" w:rsidRPr="00C734AD">
        <w:rPr>
          <w:rFonts w:ascii="Palatino Linotype" w:hAnsi="Palatino Linotype" w:cs="Arial"/>
          <w:sz w:val="24"/>
          <w:lang w:eastAsia="es-MX"/>
        </w:rPr>
        <w:t>Dirección General</w:t>
      </w:r>
      <w:r w:rsidRPr="00C734AD">
        <w:rPr>
          <w:rFonts w:ascii="Palatino Linotype" w:hAnsi="Palatino Linotype" w:cs="Arial"/>
          <w:sz w:val="24"/>
          <w:lang w:eastAsia="es-MX"/>
        </w:rPr>
        <w:t xml:space="preserve"> de Administración, </w:t>
      </w:r>
      <w:r w:rsidRPr="00FA5B39">
        <w:rPr>
          <w:rFonts w:ascii="Palatino Linotype" w:hAnsi="Palatino Linotype" w:cs="Arial"/>
          <w:sz w:val="24"/>
          <w:lang w:eastAsia="es-MX"/>
        </w:rPr>
        <w:t>la cual tiene dentro de sus facultades y obligaciones la conocer de la planeación, organización, programación y ejecución de los procedimientos de adquisiciones y servicios en sus diferentes modalidades y etapas (adjudicación directa, invitación restringida y licitación pública) tanto de bienes, arrendamientos o prestaciones de servicios, respectivamente.</w:t>
      </w:r>
    </w:p>
    <w:p w:rsidR="004F1BFF" w:rsidRPr="00FA5B39" w:rsidRDefault="004F1BFF" w:rsidP="004F1BFF">
      <w:pPr>
        <w:pStyle w:val="Sinespaciado"/>
        <w:rPr>
          <w:sz w:val="24"/>
          <w:lang w:eastAsia="es-MX"/>
        </w:rPr>
      </w:pPr>
    </w:p>
    <w:p w:rsidR="004F1BFF" w:rsidRPr="00FA5B39" w:rsidRDefault="004F1BFF" w:rsidP="004F1BFF">
      <w:pPr>
        <w:spacing w:line="360" w:lineRule="auto"/>
        <w:jc w:val="both"/>
        <w:rPr>
          <w:rFonts w:ascii="Palatino Linotype" w:hAnsi="Palatino Linotype" w:cs="Arial"/>
          <w:sz w:val="24"/>
          <w:lang w:eastAsia="es-MX"/>
        </w:rPr>
      </w:pPr>
      <w:r w:rsidRPr="00FA5B39">
        <w:rPr>
          <w:rFonts w:ascii="Palatino Linotype" w:hAnsi="Palatino Linotype" w:cs="Arial"/>
          <w:sz w:val="24"/>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sus fracciones XXIX y XXXII, que a la letra dice:</w:t>
      </w:r>
    </w:p>
    <w:p w:rsidR="004F1BFF" w:rsidRPr="005B3050" w:rsidRDefault="004F1BFF" w:rsidP="004F1BFF">
      <w:pPr>
        <w:spacing w:line="360" w:lineRule="auto"/>
        <w:jc w:val="both"/>
        <w:rPr>
          <w:rFonts w:ascii="Palatino Linotype" w:hAnsi="Palatino Linotype" w:cs="Arial"/>
          <w:lang w:eastAsia="es-MX"/>
        </w:rPr>
      </w:pPr>
    </w:p>
    <w:p w:rsidR="004F1BFF" w:rsidRPr="005B3050" w:rsidRDefault="004F1BFF" w:rsidP="004F1BFF">
      <w:pPr>
        <w:ind w:left="709" w:right="757"/>
        <w:jc w:val="both"/>
        <w:rPr>
          <w:rFonts w:ascii="Palatino Linotype" w:hAnsi="Palatino Linotype" w:cs="Arial"/>
          <w:i/>
          <w:lang w:eastAsia="es-MX"/>
        </w:rPr>
      </w:pPr>
      <w:r w:rsidRPr="005B3050">
        <w:rPr>
          <w:rFonts w:ascii="Palatino Linotype" w:hAnsi="Palatino Linotype" w:cs="Arial"/>
          <w:i/>
          <w:lang w:eastAsia="es-MX"/>
        </w:rPr>
        <w:t>“</w:t>
      </w:r>
      <w:r w:rsidRPr="005B3050">
        <w:rPr>
          <w:rFonts w:ascii="Palatino Linotype" w:hAnsi="Palatino Linotype" w:cs="Arial"/>
          <w:b/>
          <w:i/>
          <w:lang w:eastAsia="es-MX"/>
        </w:rPr>
        <w:t>Artículo 92</w:t>
      </w:r>
      <w:r w:rsidRPr="005B3050">
        <w:rPr>
          <w:rFonts w:ascii="Palatino Linotype" w:hAnsi="Palatino Linotype" w:cs="Arial"/>
          <w:i/>
          <w:lang w:eastAsia="es-MX"/>
        </w:rPr>
        <w:t xml:space="preserve">. Los sujetos obligados deberán poner a disposición del público de manera permanente y actualizada de forma sencilla, precisa y entendible, en los respectivos </w:t>
      </w:r>
      <w:r w:rsidRPr="005B3050">
        <w:rPr>
          <w:rFonts w:ascii="Palatino Linotype" w:hAnsi="Palatino Linotype" w:cs="Arial"/>
          <w:i/>
          <w:lang w:eastAsia="es-MX"/>
        </w:rPr>
        <w:lastRenderedPageBreak/>
        <w:t>medios electrónicos, de acuerdo con sus facultades, atribuciones, funciones u objeto social, según corresponda, la información, por lo menos, de los temas, documentos y políticas que a continuación se señalan:</w:t>
      </w:r>
    </w:p>
    <w:p w:rsidR="004F1BFF" w:rsidRPr="005B3050" w:rsidRDefault="004F1BFF" w:rsidP="004F1BFF">
      <w:pPr>
        <w:ind w:left="709" w:right="757"/>
        <w:jc w:val="both"/>
        <w:rPr>
          <w:rFonts w:ascii="Palatino Linotype" w:hAnsi="Palatino Linotype" w:cs="Arial"/>
          <w:i/>
          <w:lang w:eastAsia="es-MX"/>
        </w:rPr>
      </w:pPr>
      <w:r w:rsidRPr="005B3050">
        <w:rPr>
          <w:rFonts w:ascii="Palatino Linotype" w:hAnsi="Palatino Linotype" w:cs="Arial"/>
          <w:i/>
          <w:lang w:eastAsia="es-MX"/>
        </w:rPr>
        <w:t>(…)</w:t>
      </w:r>
    </w:p>
    <w:p w:rsidR="004F1BFF" w:rsidRPr="005B3050" w:rsidRDefault="004F1BFF" w:rsidP="004F1BFF">
      <w:pPr>
        <w:ind w:left="709" w:right="757"/>
        <w:jc w:val="both"/>
        <w:rPr>
          <w:rFonts w:ascii="Palatino Linotype" w:hAnsi="Palatino Linotype" w:cs="Arial"/>
          <w:i/>
          <w:lang w:eastAsia="es-MX"/>
        </w:rPr>
      </w:pPr>
      <w:r w:rsidRPr="005B3050">
        <w:rPr>
          <w:rFonts w:ascii="Palatino Linotype" w:hAnsi="Palatino Linotype" w:cs="Arial"/>
          <w:b/>
          <w:i/>
          <w:lang w:eastAsia="es-MX"/>
        </w:rPr>
        <w:t>XXIX.</w:t>
      </w:r>
      <w:r w:rsidRPr="005B3050">
        <w:rPr>
          <w:rFonts w:ascii="Palatino Linotype" w:hAnsi="Palatino Linotype" w:cs="Arial"/>
          <w:i/>
          <w:lang w:eastAsia="es-MX"/>
        </w:rPr>
        <w:t xml:space="preserve"> La información sobre los procesos y resultados sobre procedimientos de adjudicación directa, invitación restringida y licitación de cualquier naturaleza, incluyendo la versión pública del </w:t>
      </w:r>
      <w:r w:rsidRPr="005B3050">
        <w:rPr>
          <w:rFonts w:ascii="Palatino Linotype" w:hAnsi="Palatino Linotype" w:cs="Arial"/>
          <w:b/>
          <w:i/>
          <w:lang w:eastAsia="es-MX"/>
        </w:rPr>
        <w:t>expediente respectivo y de los contratos celebrados</w:t>
      </w:r>
      <w:r w:rsidRPr="005B3050">
        <w:rPr>
          <w:rFonts w:ascii="Palatino Linotype" w:hAnsi="Palatino Linotype" w:cs="Arial"/>
          <w:i/>
          <w:lang w:eastAsia="es-MX"/>
        </w:rPr>
        <w:t xml:space="preserve">, que deberán contener, por los menos, lo siguiente: </w:t>
      </w:r>
    </w:p>
    <w:p w:rsidR="004F1BFF" w:rsidRPr="005B3050" w:rsidRDefault="004F1BFF" w:rsidP="004F1BFF">
      <w:pPr>
        <w:pStyle w:val="Prrafodelista"/>
        <w:numPr>
          <w:ilvl w:val="0"/>
          <w:numId w:val="37"/>
        </w:numPr>
        <w:ind w:right="757"/>
        <w:jc w:val="both"/>
        <w:rPr>
          <w:rFonts w:ascii="Palatino Linotype" w:hAnsi="Palatino Linotype" w:cs="Arial"/>
          <w:i/>
          <w:sz w:val="22"/>
          <w:lang w:eastAsia="es-MX"/>
        </w:rPr>
      </w:pPr>
      <w:r w:rsidRPr="005B3050">
        <w:rPr>
          <w:rFonts w:ascii="Palatino Linotype" w:hAnsi="Palatino Linotype" w:cs="Arial"/>
          <w:i/>
          <w:sz w:val="22"/>
          <w:lang w:eastAsia="es-MX"/>
        </w:rPr>
        <w:t xml:space="preserve">De licitaciones públicas o procedimientos de invitación restringida: </w:t>
      </w:r>
    </w:p>
    <w:p w:rsidR="004F1BFF" w:rsidRPr="005B3050" w:rsidRDefault="004F1BFF" w:rsidP="004F1BFF">
      <w:pPr>
        <w:pStyle w:val="Prrafodelista"/>
        <w:ind w:left="1069" w:right="757"/>
        <w:jc w:val="both"/>
        <w:rPr>
          <w:rFonts w:ascii="Palatino Linotype" w:hAnsi="Palatino Linotype" w:cs="Arial"/>
          <w:i/>
          <w:sz w:val="22"/>
          <w:lang w:eastAsia="es-MX"/>
        </w:rPr>
      </w:pP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 La convocatoria o invitación emitida, así como los fundamentos legales aplicados para llevarla a cabo;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2) Los nombres de los participantes o invitados;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3) El nombre del ganador y las razones que lo justifican;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4) El área solicitante y la responsable de su ejecución; </w:t>
      </w:r>
    </w:p>
    <w:p w:rsidR="004F1BFF" w:rsidRPr="005B3050" w:rsidRDefault="004F1BFF" w:rsidP="004F1BFF">
      <w:pPr>
        <w:ind w:left="708" w:right="757" w:firstLine="708"/>
        <w:jc w:val="both"/>
        <w:rPr>
          <w:rFonts w:ascii="Palatino Linotype" w:hAnsi="Palatino Linotype" w:cs="Arial"/>
          <w:i/>
          <w:lang w:eastAsia="es-MX"/>
        </w:rPr>
      </w:pPr>
      <w:r w:rsidRPr="005B3050">
        <w:rPr>
          <w:rFonts w:ascii="Palatino Linotype" w:hAnsi="Palatino Linotype" w:cs="Arial"/>
          <w:i/>
          <w:lang w:eastAsia="es-MX"/>
        </w:rPr>
        <w:t xml:space="preserve">5) Las convocatorias e invitaciones emitidas;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6) Los dictámenes y fallo de adjudicación;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7) El contrato y, en su caso, sus anexos;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8) Los mecanismos de vigilancia y supervisión, incluyendo en su caso, los estudios de impacto urbano y ambiental, según corresponda;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9) La partida presupuestal, de conformidad con el clasificador por objeto del gasto, en el caso de ser aplicable;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10) Origen de los recursos especificando si son federales, estatales o municipales, así como el tipo de fondo de participación o aportación respectiva;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11) Los convenios modificatorios que, en su caso, sean firmados, precisando el objeto y la fecha de celebración;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12) Los informes de avance físico y financiero sobre las obras o servicios contratados;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lastRenderedPageBreak/>
        <w:t xml:space="preserve">13) El convenio de terminación; y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14) El finiquito. </w:t>
      </w:r>
    </w:p>
    <w:p w:rsidR="004F1BFF" w:rsidRPr="005B3050" w:rsidRDefault="004F1BFF" w:rsidP="004F1BFF">
      <w:pPr>
        <w:pStyle w:val="Prrafodelista"/>
        <w:numPr>
          <w:ilvl w:val="0"/>
          <w:numId w:val="37"/>
        </w:numPr>
        <w:ind w:right="757"/>
        <w:jc w:val="both"/>
        <w:rPr>
          <w:rFonts w:ascii="Palatino Linotype" w:hAnsi="Palatino Linotype" w:cs="Arial"/>
          <w:i/>
          <w:sz w:val="22"/>
          <w:lang w:eastAsia="es-MX"/>
        </w:rPr>
      </w:pPr>
      <w:r w:rsidRPr="005B3050">
        <w:rPr>
          <w:rFonts w:ascii="Palatino Linotype" w:hAnsi="Palatino Linotype" w:cs="Arial"/>
          <w:i/>
          <w:sz w:val="22"/>
          <w:lang w:eastAsia="es-MX"/>
        </w:rPr>
        <w:t xml:space="preserve">De las adjudicaciones directas: </w:t>
      </w:r>
    </w:p>
    <w:p w:rsidR="004F1BFF" w:rsidRPr="005B3050" w:rsidRDefault="004F1BFF" w:rsidP="004F1BFF">
      <w:pPr>
        <w:pStyle w:val="Prrafodelista"/>
        <w:ind w:left="1069" w:right="757"/>
        <w:jc w:val="both"/>
        <w:rPr>
          <w:rFonts w:ascii="Palatino Linotype" w:hAnsi="Palatino Linotype" w:cs="Arial"/>
          <w:i/>
          <w:sz w:val="22"/>
          <w:lang w:eastAsia="es-MX"/>
        </w:rPr>
      </w:pP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1) La propuesta enviada por el participante;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2) Los motivos y fundamentos legales aplicados para llevarla a cabo;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3) La autorización del ejercicio de la opción; </w:t>
      </w:r>
    </w:p>
    <w:p w:rsidR="004F1BFF" w:rsidRPr="005B3050" w:rsidRDefault="004F1BFF" w:rsidP="004F1BFF">
      <w:pPr>
        <w:ind w:left="1069" w:right="757"/>
        <w:jc w:val="both"/>
        <w:rPr>
          <w:rFonts w:ascii="Palatino Linotype" w:hAnsi="Palatino Linotype" w:cs="Arial"/>
          <w:i/>
          <w:lang w:eastAsia="es-MX"/>
        </w:rPr>
      </w:pPr>
      <w:r w:rsidRPr="005B3050">
        <w:rPr>
          <w:rFonts w:ascii="Palatino Linotype" w:hAnsi="Palatino Linotype" w:cs="Arial"/>
          <w:i/>
          <w:lang w:eastAsia="es-MX"/>
        </w:rPr>
        <w:t xml:space="preserve">4) En su caso, las cotizaciones consideradas, especificando los nombres de los proveedores y sus montos;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5) El nombre de la persona física o jurídica colectiva adjudicada;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6) La unidad administrativa solicitante y la responsable de su ejecución; </w:t>
      </w:r>
    </w:p>
    <w:p w:rsidR="004F1BFF" w:rsidRPr="005B3050" w:rsidRDefault="004F1BFF" w:rsidP="004F1BFF">
      <w:pPr>
        <w:ind w:left="1069" w:right="757"/>
        <w:jc w:val="both"/>
        <w:rPr>
          <w:rFonts w:ascii="Palatino Linotype" w:hAnsi="Palatino Linotype" w:cs="Arial"/>
          <w:i/>
          <w:lang w:eastAsia="es-MX"/>
        </w:rPr>
      </w:pPr>
      <w:r w:rsidRPr="005B3050">
        <w:rPr>
          <w:rFonts w:ascii="Palatino Linotype" w:hAnsi="Palatino Linotype" w:cs="Arial"/>
          <w:i/>
          <w:lang w:eastAsia="es-MX"/>
        </w:rPr>
        <w:t xml:space="preserve">7) El número, fecha, el monto del contrato y el plazo de entrega o de ejecución de los servicios u obra; </w:t>
      </w:r>
    </w:p>
    <w:p w:rsidR="004F1BFF" w:rsidRPr="005B3050" w:rsidRDefault="004F1BFF" w:rsidP="004F1BFF">
      <w:pPr>
        <w:ind w:left="1069" w:right="757"/>
        <w:jc w:val="both"/>
        <w:rPr>
          <w:rFonts w:ascii="Palatino Linotype" w:hAnsi="Palatino Linotype" w:cs="Arial"/>
          <w:i/>
          <w:lang w:eastAsia="es-MX"/>
        </w:rPr>
      </w:pPr>
      <w:r w:rsidRPr="005B3050">
        <w:rPr>
          <w:rFonts w:ascii="Palatino Linotype" w:hAnsi="Palatino Linotype" w:cs="Arial"/>
          <w:i/>
          <w:lang w:eastAsia="es-MX"/>
        </w:rPr>
        <w:t xml:space="preserve">8) Los mecanismos de vigilancia y supervisión, incluyendo, en su caso, los estudios de impacto urbano y ambiental, según corresponda;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9) Los informes de avance sobre las obras o servicios contratados;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10) El convenio de terminación; y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11) El finiquito.</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w:t>
      </w:r>
    </w:p>
    <w:p w:rsidR="004F1BFF" w:rsidRPr="005B3050" w:rsidRDefault="004F1BFF" w:rsidP="004F1BFF">
      <w:pPr>
        <w:ind w:left="709" w:right="757"/>
        <w:jc w:val="both"/>
        <w:rPr>
          <w:rFonts w:ascii="Palatino Linotype" w:hAnsi="Palatino Linotype" w:cs="Arial"/>
          <w:b/>
          <w:i/>
          <w:lang w:eastAsia="es-MX"/>
        </w:rPr>
      </w:pPr>
      <w:r w:rsidRPr="005B3050">
        <w:rPr>
          <w:rFonts w:ascii="Palatino Linotype" w:hAnsi="Palatino Linotype" w:cs="Arial"/>
          <w:b/>
          <w:i/>
          <w:lang w:eastAsia="es-MX"/>
        </w:rPr>
        <w:t>(Énfasis añadido)</w:t>
      </w:r>
    </w:p>
    <w:p w:rsidR="00544D1C" w:rsidRDefault="00544D1C" w:rsidP="00544D1C">
      <w:pPr>
        <w:pStyle w:val="Prrafodelista"/>
        <w:spacing w:line="360" w:lineRule="auto"/>
        <w:ind w:left="0"/>
        <w:contextualSpacing/>
        <w:jc w:val="both"/>
        <w:rPr>
          <w:rFonts w:ascii="Palatino Linotype" w:eastAsia="Calibri" w:hAnsi="Palatino Linotype" w:cs="Arial"/>
          <w:lang w:eastAsia="es-MX"/>
        </w:rPr>
      </w:pPr>
    </w:p>
    <w:p w:rsidR="00474BF0" w:rsidRPr="00F16A6A" w:rsidRDefault="00474BF0" w:rsidP="00474BF0">
      <w:pPr>
        <w:spacing w:line="360" w:lineRule="auto"/>
        <w:jc w:val="both"/>
        <w:rPr>
          <w:rFonts w:ascii="Palatino Linotype" w:hAnsi="Palatino Linotype" w:cs="Arial"/>
          <w:sz w:val="28"/>
          <w:szCs w:val="24"/>
        </w:rPr>
      </w:pPr>
      <w:r w:rsidRPr="00F16A6A">
        <w:rPr>
          <w:rFonts w:ascii="Palatino Linotype" w:hAnsi="Palatino Linotype" w:cs="Arial"/>
          <w:sz w:val="24"/>
          <w:lang w:eastAsia="es-MX"/>
        </w:rPr>
        <w:t xml:space="preserve">Sirven de sustento y base los artículos 35, 36, 37, 38 de la Ley de Contratación Pública del Estado de México y Municipios, que a la letra dice: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35.-</w:t>
      </w:r>
      <w:r w:rsidRPr="008B5610">
        <w:rPr>
          <w:rFonts w:ascii="Palatino Linotype" w:hAnsi="Palatino Linotype"/>
          <w:i/>
        </w:rPr>
        <w:t xml:space="preserve"> En los procedimientos de licitación pública se observará lo siguiente: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lastRenderedPageBreak/>
        <w:t xml:space="preserve">I. El acto de presentación y apertura de propuestas se llevará a cabo por el servidor público que designe la convocante, conforme al procedimiento que se establezca en el reglamento de esta Ley.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 El comité de adquisiciones y servicios evaluará y analizará las propuestas técnicas y económicas presentadas por los licitantes en el ámbito de las respectivas competencias de sus integrantes, y emitirá el dictamen de adjudicación.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IV. Las convocantes podrán modificar los plazos y términos establecidos en la convocatoria o en las bases de licitación, hasta cinco días hábiles anteriores a la fecha de la celebración del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 Las modificaciones no podrán limitar el número de licitantes, sustituir o variar sustancialmente los bienes o servicios convocados originalmente, ni adicionar otros distintos.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 Las modificaciones a la convocatoria o a las bases se harán del conocimiento de los interesados hasta tres días hábiles antes de la fecha señalada para 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VII. Se emitirá el fallo dentro de los 15 días hábiles siguientes a la publicación de la convocatoria. VIII. Los licitantes se podrán registrar hasta el día y la hora fijados para 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36.-</w:t>
      </w:r>
      <w:r w:rsidRPr="008B5610">
        <w:rPr>
          <w:rFonts w:ascii="Palatino Linotype" w:hAnsi="Palatino Linotype"/>
          <w:i/>
        </w:rPr>
        <w:t xml:space="preserve"> El acto de presentación y apertura de propuestas se celebrará de manera pública y en presencia de todos los oferentes, en la forma siguiente: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 Los licitantes presentarán, por escrito y en sobre cerrado por separado, sus propuestas técnica y económica, así como los demás documentos requeridos en las bases de la licitación.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 La apertura de propuestas podrá efectuarse cuando se haya presentado una propuesta cuando menos.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III. Se abrirán las propuestas técnicas, desechándose las que cuantitativamente no cumplan con cualquiera de los requisitos establecidos en las bases de licitación, </w:t>
      </w:r>
      <w:r w:rsidRPr="008B5610">
        <w:rPr>
          <w:rFonts w:ascii="Palatino Linotype" w:hAnsi="Palatino Linotype"/>
          <w:i/>
        </w:rPr>
        <w:lastRenderedPageBreak/>
        <w:t xml:space="preserve">poniéndolas a disposición del interesado conjuntamente con el sobre que contenga la propuesta económica.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IV. Se procederá a la apertura de las propuestas económicas de los licitantes cuyas propuestas técnicas fueron aceptadas cuantitativamente.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 Se desecharán las propuestas económicas que cuantitativamente no cumplan con cualquiera de los requisitos establecidos en las bases de la licitación, poniéndolas a disposición del interesado.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VII.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VIII. 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El reglamento de esta Ley establecerá los criterios para la evaluación de las propuestas, así como el procedimiento para los actos de presentación y apertura de propuestas y de fallo.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En este supuesto, la propuesta deberá ser firmada por el representante común que, para ese acto, haya sido designado por el grupo de personas, ya sea autógrafamente o por los medios de identificación electrónica autorizados por la Ley de Medios Electrónicos.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lastRenderedPageBreak/>
        <w:t xml:space="preserve">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37.-</w:t>
      </w:r>
      <w:r w:rsidRPr="008B5610">
        <w:rPr>
          <w:rFonts w:ascii="Palatino Linotype" w:hAnsi="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38.-</w:t>
      </w:r>
      <w:r w:rsidRPr="008B5610">
        <w:rPr>
          <w:rFonts w:ascii="Palatino Linotype" w:hAnsi="Palatino Linotype"/>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rsidR="00474BF0" w:rsidRPr="008B5610" w:rsidRDefault="00474BF0" w:rsidP="00474BF0">
      <w:pPr>
        <w:spacing w:line="276" w:lineRule="auto"/>
        <w:ind w:left="567" w:right="567"/>
        <w:jc w:val="both"/>
        <w:rPr>
          <w:rFonts w:ascii="Palatino Linotype" w:hAnsi="Palatino Linotype" w:cs="Arial"/>
          <w:i/>
          <w:sz w:val="24"/>
          <w:szCs w:val="24"/>
        </w:rPr>
      </w:pPr>
      <w:r w:rsidRPr="008B5610">
        <w:rPr>
          <w:rFonts w:ascii="Palatino Linotype" w:hAnsi="Palatino Linotype"/>
          <w:i/>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p>
    <w:p w:rsidR="00474BF0" w:rsidRDefault="00474BF0" w:rsidP="00474BF0">
      <w:pPr>
        <w:spacing w:line="360" w:lineRule="auto"/>
        <w:jc w:val="both"/>
        <w:rPr>
          <w:rFonts w:ascii="Palatino Linotype" w:hAnsi="Palatino Linotype" w:cs="Arial"/>
          <w:lang w:eastAsia="es-MX"/>
        </w:rPr>
      </w:pPr>
    </w:p>
    <w:p w:rsidR="00474BF0" w:rsidRDefault="00474BF0" w:rsidP="00474BF0">
      <w:pPr>
        <w:spacing w:line="360" w:lineRule="auto"/>
        <w:jc w:val="both"/>
        <w:rPr>
          <w:rFonts w:ascii="Palatino Linotype" w:hAnsi="Palatino Linotype" w:cs="Arial"/>
          <w:sz w:val="24"/>
          <w:szCs w:val="24"/>
        </w:rPr>
      </w:pPr>
      <w:r>
        <w:rPr>
          <w:rFonts w:ascii="Palatino Linotype" w:hAnsi="Palatino Linotype" w:cs="Arial"/>
          <w:sz w:val="24"/>
          <w:szCs w:val="24"/>
        </w:rPr>
        <w:t xml:space="preserve">De tales circunstancias </w:t>
      </w:r>
      <w:r w:rsidRPr="00765B1B">
        <w:rPr>
          <w:rFonts w:ascii="Palatino Linotype" w:hAnsi="Palatino Linotype" w:cs="Arial"/>
          <w:sz w:val="24"/>
          <w:lang w:eastAsia="es-MX"/>
        </w:rPr>
        <w:t xml:space="preserve">se aduce que, </w:t>
      </w:r>
      <w:r w:rsidRPr="00765B1B">
        <w:rPr>
          <w:rFonts w:ascii="Palatino Linotype" w:hAnsi="Palatino Linotype" w:cs="Arial"/>
          <w:b/>
          <w:sz w:val="24"/>
          <w:lang w:eastAsia="es-MX"/>
        </w:rPr>
        <w:t>EL SUJETO OBLIGADO</w:t>
      </w:r>
      <w:r w:rsidRPr="00765B1B">
        <w:rPr>
          <w:rFonts w:ascii="Palatino Linotype" w:hAnsi="Palatino Linotype" w:cs="Arial"/>
          <w:sz w:val="24"/>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w:t>
      </w:r>
      <w:r w:rsidRPr="00765B1B">
        <w:rPr>
          <w:rFonts w:ascii="Palatino Linotype" w:hAnsi="Palatino Linotype" w:cs="Arial"/>
          <w:sz w:val="24"/>
          <w:lang w:eastAsia="es-MX"/>
        </w:rPr>
        <w:lastRenderedPageBreak/>
        <w:t xml:space="preserve">recursos financieros de la misma naturaleza, por lo que se </w:t>
      </w:r>
      <w:r>
        <w:rPr>
          <w:rFonts w:ascii="Palatino Linotype" w:hAnsi="Palatino Linotype" w:cs="Arial"/>
          <w:sz w:val="24"/>
          <w:lang w:eastAsia="es-MX"/>
        </w:rPr>
        <w:t xml:space="preserve">considera procedente la entrega de la información faltante. </w:t>
      </w:r>
    </w:p>
    <w:p w:rsidR="00474BF0" w:rsidRDefault="00474BF0" w:rsidP="00474BF0">
      <w:pPr>
        <w:pStyle w:val="Sinespaciado"/>
      </w:pPr>
    </w:p>
    <w:p w:rsidR="00474BF0" w:rsidRPr="008A5D92" w:rsidRDefault="00474BF0" w:rsidP="00474BF0">
      <w:pPr>
        <w:spacing w:line="360" w:lineRule="auto"/>
        <w:ind w:right="49"/>
        <w:jc w:val="both"/>
        <w:rPr>
          <w:rFonts w:ascii="Palatino Linotype" w:hAnsi="Palatino Linotype"/>
          <w:sz w:val="24"/>
          <w:szCs w:val="24"/>
        </w:rPr>
      </w:pPr>
      <w:r w:rsidRPr="008A5D92">
        <w:rPr>
          <w:rFonts w:ascii="Palatino Linotype" w:hAnsi="Palatino Linotype" w:cs="Arial"/>
          <w:sz w:val="24"/>
          <w:szCs w:val="24"/>
        </w:rPr>
        <w:t>Todas estas observaciones se relacionan también con las facturas de los g</w:t>
      </w:r>
      <w:r>
        <w:rPr>
          <w:rFonts w:ascii="Palatino Linotype" w:hAnsi="Palatino Linotype" w:cs="Arial"/>
          <w:sz w:val="24"/>
          <w:szCs w:val="24"/>
        </w:rPr>
        <w:t>astos hechos, solicitados por El</w:t>
      </w:r>
      <w:r w:rsidRPr="008A5D92">
        <w:rPr>
          <w:rFonts w:ascii="Palatino Linotype" w:hAnsi="Palatino Linotype" w:cs="Arial"/>
          <w:sz w:val="24"/>
          <w:szCs w:val="24"/>
        </w:rPr>
        <w:t xml:space="preserve"> ahora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w:t>
      </w:r>
      <w:r w:rsidRPr="008A5D92">
        <w:rPr>
          <w:rFonts w:ascii="Palatino Linotype" w:hAnsi="Palatino Linotype"/>
          <w:sz w:val="24"/>
          <w:szCs w:val="24"/>
        </w:rPr>
        <w:t xml:space="preserve">es decir, la documentación comprobatoria de las erogaciones realizadas en ejercicio del presupuesto municipal, entendido éste como </w:t>
      </w:r>
      <w:r w:rsidRPr="008A5D92">
        <w:rPr>
          <w:rFonts w:ascii="Palatino Linotype" w:hAnsi="Palatino Linotype"/>
          <w:b/>
          <w:sz w:val="24"/>
          <w:szCs w:val="24"/>
        </w:rPr>
        <w:t>Presupuesto Ejercido</w:t>
      </w:r>
      <w:r w:rsidRPr="008A5D92">
        <w:rPr>
          <w:rFonts w:ascii="Palatino Linotype" w:hAnsi="Palatino Linotype"/>
          <w:sz w:val="24"/>
          <w:szCs w:val="24"/>
        </w:rPr>
        <w:t xml:space="preserve">, que según el Glosario de Términos más Usuales en la Administración Pública Federal de la Secretaría de Hacienda y Crédito Público se define como: </w:t>
      </w:r>
    </w:p>
    <w:p w:rsidR="00474BF0" w:rsidRPr="008A5D92" w:rsidRDefault="00474BF0" w:rsidP="00474BF0">
      <w:pPr>
        <w:spacing w:after="0" w:line="360" w:lineRule="auto"/>
        <w:ind w:left="851" w:right="900"/>
        <w:jc w:val="both"/>
        <w:rPr>
          <w:rFonts w:ascii="Palatino Linotype" w:hAnsi="Palatino Linotype"/>
          <w:i/>
          <w:sz w:val="16"/>
          <w:szCs w:val="16"/>
        </w:rPr>
      </w:pPr>
    </w:p>
    <w:p w:rsidR="00474BF0" w:rsidRPr="008A5D92" w:rsidRDefault="00474BF0" w:rsidP="00474BF0">
      <w:pPr>
        <w:spacing w:after="0" w:line="240" w:lineRule="auto"/>
        <w:ind w:left="851" w:right="900"/>
        <w:jc w:val="both"/>
        <w:rPr>
          <w:rFonts w:ascii="Palatino Linotype" w:hAnsi="Palatino Linotype"/>
          <w:i/>
        </w:rPr>
      </w:pPr>
      <w:r w:rsidRPr="008A5D92">
        <w:rPr>
          <w:rFonts w:ascii="Palatino Linotype" w:hAnsi="Palatino Linotype"/>
          <w:i/>
        </w:rPr>
        <w:t>“</w:t>
      </w:r>
      <w:r w:rsidRPr="008A5D92">
        <w:rPr>
          <w:rFonts w:ascii="Palatino Linotype" w:hAnsi="Palatino Linotype"/>
          <w:b/>
          <w:i/>
        </w:rPr>
        <w:t>PRESUPUESTO EJERCIDO</w:t>
      </w:r>
      <w:r w:rsidRPr="008A5D92">
        <w:rPr>
          <w:rFonts w:ascii="Palatino Linotype" w:hAnsi="Palatino Linotype"/>
          <w:i/>
        </w:rPr>
        <w:t>.</w:t>
      </w:r>
    </w:p>
    <w:p w:rsidR="00474BF0" w:rsidRPr="008A5D92" w:rsidRDefault="00474BF0" w:rsidP="00474BF0">
      <w:pPr>
        <w:spacing w:after="0" w:line="240" w:lineRule="auto"/>
        <w:ind w:left="851" w:right="900"/>
        <w:jc w:val="both"/>
        <w:rPr>
          <w:rFonts w:ascii="Palatino Linotype" w:hAnsi="Palatino Linotype"/>
          <w:i/>
        </w:rPr>
      </w:pPr>
      <w:r w:rsidRPr="008A5D92">
        <w:rPr>
          <w:rFonts w:ascii="Palatino Linotype" w:hAnsi="Palatino Linotype"/>
          <w:i/>
        </w:rPr>
        <w:t>Importe de las erogaciones realizadas respaldado por los documentos comprobatorios (</w:t>
      </w:r>
      <w:r w:rsidRPr="008A5D92">
        <w:rPr>
          <w:rFonts w:ascii="Palatino Linotype" w:hAnsi="Palatino Linotype"/>
          <w:i/>
          <w:u w:val="single"/>
        </w:rPr>
        <w:t>facturas</w:t>
      </w:r>
      <w:r w:rsidRPr="008A5D92">
        <w:rPr>
          <w:rFonts w:ascii="Palatino Linotype" w:hAnsi="Palatino Linotype"/>
          <w:i/>
        </w:rPr>
        <w:t>, notas, nominas, etc.) presentados a la dependencia o entidad una vez autorizadas para su pago, con cargo al presupuesto autorizado.”</w:t>
      </w:r>
    </w:p>
    <w:p w:rsidR="00474BF0" w:rsidRPr="008A5D92" w:rsidRDefault="00474BF0" w:rsidP="00474BF0">
      <w:pPr>
        <w:spacing w:after="0" w:line="360" w:lineRule="auto"/>
        <w:jc w:val="both"/>
        <w:rPr>
          <w:rFonts w:ascii="Palatino Linotype" w:hAnsi="Palatino Linotype" w:cs="Arial"/>
          <w:sz w:val="24"/>
        </w:rPr>
      </w:pPr>
    </w:p>
    <w:p w:rsidR="00474BF0" w:rsidRPr="008A5D92" w:rsidRDefault="00474BF0" w:rsidP="00474BF0">
      <w:pPr>
        <w:spacing w:after="0" w:line="360" w:lineRule="auto"/>
        <w:jc w:val="both"/>
        <w:rPr>
          <w:rFonts w:ascii="Palatino Linotype" w:eastAsia="Calibri" w:hAnsi="Palatino Linotype" w:cs="Arial"/>
          <w:sz w:val="24"/>
          <w:szCs w:val="24"/>
        </w:rPr>
      </w:pPr>
      <w:r w:rsidRPr="008A5D92">
        <w:rPr>
          <w:rFonts w:ascii="Palatino Linotype" w:eastAsia="Calibri" w:hAnsi="Palatino Linotype" w:cs="Arial"/>
          <w:sz w:val="24"/>
          <w:szCs w:val="24"/>
        </w:rPr>
        <w:t>Al respecto, cabe señalar que en términos del artículo 129, de la Constitución Política del Estado Libre y Soberano de México, l</w:t>
      </w:r>
      <w:r w:rsidRPr="008A5D92">
        <w:rPr>
          <w:rFonts w:ascii="Palatino Linotype" w:eastAsia="Calibri" w:hAnsi="Palatino Linotype" w:cs="Arial"/>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ello </w:t>
      </w:r>
      <w:r w:rsidRPr="008A5D92">
        <w:rPr>
          <w:rFonts w:ascii="Palatino Linotype" w:eastAsia="Calibri" w:hAnsi="Palatino Linotype" w:cs="Arial"/>
          <w:sz w:val="24"/>
          <w:szCs w:val="24"/>
        </w:rPr>
        <w:t xml:space="preserve">en el cumplimiento a los principios que rigen la función pública. </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r w:rsidRPr="008A5D92">
        <w:rPr>
          <w:rFonts w:ascii="Palatino Linotype" w:eastAsia="Calibri" w:hAnsi="Palatino Linotype" w:cs="Arial"/>
          <w:color w:val="000000"/>
          <w:sz w:val="24"/>
          <w:szCs w:val="24"/>
        </w:rPr>
        <w:t>Asimismo, dispone que todos los pagos se harán mediante orden escrita en la que se expresará la partida del presupuesto a cargo de la cual se realizan.</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p>
    <w:p w:rsidR="00474BF0"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r w:rsidRPr="008A5D92">
        <w:rPr>
          <w:rFonts w:ascii="Palatino Linotype" w:eastAsia="Calibri" w:hAnsi="Palatino Linotype" w:cs="Arial"/>
          <w:color w:val="000000"/>
          <w:sz w:val="24"/>
          <w:szCs w:val="24"/>
        </w:rPr>
        <w:t>Al mismo tiempo, los artículos 31, fracción XVIII y 95, fracciones I y IV, de la</w:t>
      </w:r>
      <w:r w:rsidRPr="008A5D92">
        <w:rPr>
          <w:rFonts w:ascii="Palatino Linotype" w:eastAsia="Calibri" w:hAnsi="Palatino Linotype" w:cs="Arial"/>
          <w:b/>
          <w:i/>
          <w:color w:val="000000"/>
          <w:sz w:val="24"/>
          <w:szCs w:val="24"/>
        </w:rPr>
        <w:t xml:space="preserve"> </w:t>
      </w:r>
      <w:r w:rsidRPr="008A5D92">
        <w:rPr>
          <w:rFonts w:ascii="Palatino Linotype" w:eastAsia="Calibri" w:hAnsi="Palatino Linotype" w:cs="Arial"/>
          <w:color w:val="000000"/>
          <w:sz w:val="24"/>
          <w:szCs w:val="24"/>
        </w:rPr>
        <w:t>Ley Orgánica Municipal del Estado de México prevén</w:t>
      </w:r>
      <w:r w:rsidRPr="008A5D92">
        <w:rPr>
          <w:rFonts w:ascii="Palatino Linotype" w:eastAsia="Calibri" w:hAnsi="Palatino Linotype" w:cs="Arial"/>
          <w:sz w:val="24"/>
          <w:szCs w:val="24"/>
        </w:rPr>
        <w:t xml:space="preserve"> que los ayuntamientos tienen la atribución de administrar libremente su hacienda y controlar la aplicación del </w:t>
      </w:r>
      <w:r w:rsidRPr="008A5D92">
        <w:rPr>
          <w:rFonts w:ascii="Palatino Linotype" w:eastAsia="Calibri" w:hAnsi="Palatino Linotype" w:cs="Arial"/>
          <w:sz w:val="24"/>
          <w:szCs w:val="24"/>
        </w:rPr>
        <w:lastRenderedPageBreak/>
        <w:t>presupuesto de egresos aprobado por dicho cuerpo colegiado, siendo atribución del Tesorero Municipal la de llevar los registros contables, financieros y administrativos de los ingresos, egresos e inventarios.</w:t>
      </w:r>
      <w:r w:rsidRPr="008A5D92">
        <w:rPr>
          <w:rFonts w:ascii="Palatino Linotype" w:eastAsia="Calibri" w:hAnsi="Palatino Linotype" w:cs="Arial"/>
          <w:color w:val="000000"/>
          <w:sz w:val="24"/>
          <w:szCs w:val="24"/>
        </w:rPr>
        <w:t xml:space="preserve"> </w:t>
      </w:r>
    </w:p>
    <w:p w:rsidR="00D94981" w:rsidRPr="008A5D92" w:rsidRDefault="00D94981" w:rsidP="00474BF0">
      <w:pPr>
        <w:autoSpaceDE w:val="0"/>
        <w:autoSpaceDN w:val="0"/>
        <w:adjustRightInd w:val="0"/>
        <w:spacing w:after="0" w:line="360" w:lineRule="auto"/>
        <w:jc w:val="both"/>
        <w:rPr>
          <w:rFonts w:ascii="Palatino Linotype" w:eastAsia="Calibri" w:hAnsi="Palatino Linotype" w:cs="Arial"/>
          <w:color w:val="000000"/>
          <w:sz w:val="24"/>
          <w:szCs w:val="24"/>
        </w:rPr>
      </w:pP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sz w:val="24"/>
          <w:szCs w:val="24"/>
        </w:rPr>
      </w:pPr>
      <w:r w:rsidRPr="008A5D92">
        <w:rPr>
          <w:rFonts w:ascii="Palatino Linotype" w:eastAsia="Calibri" w:hAnsi="Palatino Linotype" w:cs="Arial"/>
          <w:color w:val="000000"/>
          <w:sz w:val="24"/>
          <w:szCs w:val="24"/>
        </w:rPr>
        <w:t xml:space="preserve">Adicionalmente, es pertinente considerar lo dispuesto en los artículos </w:t>
      </w:r>
      <w:r w:rsidRPr="008A5D92">
        <w:rPr>
          <w:rFonts w:ascii="Palatino Linotype" w:eastAsia="Calibri" w:hAnsi="Palatino Linotype" w:cs="Arial"/>
          <w:sz w:val="24"/>
          <w:szCs w:val="24"/>
        </w:rPr>
        <w:t>342, 343, 344 y 345, del Código Financiero del Estado de México y Municipios, los cuales disponen, concretamente el sistema y las políticas que deben seguirse para llevar el registro contable y presupuestal de las operaciones financieras que llevan a cabo los Municipios del Estado de México; que el registro contable del efecto patrimonial y presupuestal de las operaciones financieras que realice el Municipio se realizará conforme al sistema y a las disposiciones que se aprueben en materia de planeación, programación, presupuestación, evaluación y contabilidad gubernamental.</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sz w:val="24"/>
          <w:szCs w:val="24"/>
        </w:rPr>
      </w:pPr>
    </w:p>
    <w:p w:rsidR="00474BF0" w:rsidRDefault="00474BF0" w:rsidP="00474BF0">
      <w:pPr>
        <w:autoSpaceDE w:val="0"/>
        <w:autoSpaceDN w:val="0"/>
        <w:adjustRightInd w:val="0"/>
        <w:spacing w:after="0" w:line="360" w:lineRule="auto"/>
        <w:jc w:val="both"/>
        <w:rPr>
          <w:rFonts w:ascii="Palatino Linotype" w:eastAsia="Calibri" w:hAnsi="Palatino Linotype" w:cs="Arial"/>
          <w:sz w:val="24"/>
          <w:szCs w:val="24"/>
        </w:rPr>
      </w:pPr>
      <w:r w:rsidRPr="008A5D92">
        <w:rPr>
          <w:rFonts w:ascii="Palatino Linotype" w:eastAsia="Calibri" w:hAnsi="Palatino Linotype" w:cs="Arial"/>
          <w:sz w:val="24"/>
          <w:szCs w:val="24"/>
        </w:rPr>
        <w:t>Asimismo, los preceptos legales citados señalan que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rsidR="00474BF0" w:rsidRPr="008A5D92" w:rsidRDefault="00474BF0" w:rsidP="00474BF0">
      <w:pPr>
        <w:pStyle w:val="Sinespaciado"/>
      </w:pPr>
    </w:p>
    <w:p w:rsidR="009D70C5"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r w:rsidRPr="008A5D92">
        <w:rPr>
          <w:rFonts w:ascii="Palatino Linotype" w:eastAsia="Calibri" w:hAnsi="Palatino Linotype" w:cs="Arial"/>
          <w:color w:val="000000"/>
          <w:sz w:val="24"/>
          <w:szCs w:val="24"/>
        </w:rPr>
        <w:t>Cabe destacar, que el ordenamiento legal en cita establece que todo registro contable y presupuestal deberá estar soportado con los documentos comprobatorios originales, como son las facturas,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w:t>
      </w:r>
      <w:r>
        <w:rPr>
          <w:rFonts w:ascii="Palatino Linotype" w:eastAsia="Calibri" w:hAnsi="Palatino Linotype" w:cs="Arial"/>
          <w:color w:val="000000"/>
          <w:sz w:val="24"/>
          <w:szCs w:val="24"/>
        </w:rPr>
        <w:t>l siguiente al que corresponda.</w:t>
      </w:r>
    </w:p>
    <w:p w:rsidR="00474BF0" w:rsidRPr="00474BF0"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p>
    <w:p w:rsidR="009D70C5" w:rsidRDefault="009D70C5" w:rsidP="009D70C5">
      <w:pPr>
        <w:spacing w:before="240" w:after="240" w:line="360" w:lineRule="auto"/>
        <w:jc w:val="both"/>
        <w:rPr>
          <w:rFonts w:ascii="Palatino Linotype" w:hAnsi="Palatino Linotype"/>
          <w:color w:val="000000" w:themeColor="text1"/>
          <w:sz w:val="24"/>
          <w:szCs w:val="24"/>
        </w:rPr>
      </w:pPr>
      <w:r w:rsidRPr="00960E17">
        <w:rPr>
          <w:rFonts w:ascii="Palatino Linotype" w:hAnsi="Palatino Linotype" w:cs="Arial"/>
          <w:color w:val="000000" w:themeColor="text1"/>
          <w:sz w:val="24"/>
        </w:rPr>
        <w:t xml:space="preserve">Por lo que </w:t>
      </w:r>
      <w:r w:rsidRPr="00960E17">
        <w:rPr>
          <w:rFonts w:ascii="Palatino Linotype" w:hAnsi="Palatino Linotype" w:cs="Arial"/>
          <w:color w:val="000000" w:themeColor="text1"/>
          <w:sz w:val="24"/>
          <w:szCs w:val="24"/>
        </w:rPr>
        <w:t xml:space="preserve">conviene recordar, que le compete a la </w:t>
      </w:r>
      <w:r w:rsidR="00422997">
        <w:rPr>
          <w:rFonts w:ascii="Palatino Linotype" w:hAnsi="Palatino Linotype"/>
          <w:color w:val="000000" w:themeColor="text1"/>
          <w:sz w:val="24"/>
          <w:szCs w:val="24"/>
        </w:rPr>
        <w:t>Dirección</w:t>
      </w:r>
      <w:r w:rsidRPr="00960E17">
        <w:rPr>
          <w:rFonts w:ascii="Palatino Linotype" w:hAnsi="Palatino Linotype"/>
          <w:color w:val="000000" w:themeColor="text1"/>
          <w:sz w:val="24"/>
          <w:szCs w:val="24"/>
        </w:rPr>
        <w:t xml:space="preserve"> de Seguridad </w:t>
      </w:r>
      <w:r w:rsidR="00C91B2C">
        <w:rPr>
          <w:rFonts w:ascii="Palatino Linotype" w:hAnsi="Palatino Linotype"/>
          <w:color w:val="000000" w:themeColor="text1"/>
          <w:sz w:val="24"/>
          <w:szCs w:val="24"/>
        </w:rPr>
        <w:t xml:space="preserve">Pública y Vialidad </w:t>
      </w:r>
      <w:r w:rsidRPr="00960E17">
        <w:rPr>
          <w:rFonts w:ascii="Palatino Linotype" w:hAnsi="Palatino Linotype" w:cs="Arial"/>
          <w:color w:val="000000" w:themeColor="text1"/>
          <w:sz w:val="24"/>
          <w:szCs w:val="24"/>
        </w:rPr>
        <w:t xml:space="preserve">la función de seguridad pública, a fin de </w:t>
      </w:r>
      <w:r w:rsidR="00C91B2C" w:rsidRPr="00C91B2C">
        <w:rPr>
          <w:rFonts w:ascii="Palatino Linotype" w:hAnsi="Palatino Linotype"/>
          <w:color w:val="000000" w:themeColor="text1"/>
          <w:sz w:val="24"/>
          <w:szCs w:val="24"/>
        </w:rPr>
        <w:t>garantizar el orden público y la paz social, así como la prevención social de la comisión de cualquier delito, inhibiendo las conductas antisociales, siempre con estricto apego y respeto de los derechos humanos y de las disposiciones jurídicas vigentes de carácter federal, estatal y municipal; de igual manera impulsando la cultura vial, controlando, organizando y ejecutando las actividades en dicha materia en las diversas vialidades de jurisdicción municipal, de conformidad con el Libro Octavo del Código Administrativo del Estado de México y demás disposiciones jurídicas aplicables.</w:t>
      </w:r>
    </w:p>
    <w:p w:rsidR="00F62CA1" w:rsidRPr="00F62CA1" w:rsidRDefault="00F62CA1" w:rsidP="009D70C5">
      <w:pPr>
        <w:spacing w:before="240" w:after="240" w:line="360" w:lineRule="auto"/>
        <w:jc w:val="both"/>
        <w:rPr>
          <w:rFonts w:ascii="Palatino Linotype" w:hAnsi="Palatino Linotype" w:cs="Arial"/>
          <w:color w:val="000000" w:themeColor="text1"/>
          <w:sz w:val="6"/>
        </w:rPr>
      </w:pPr>
    </w:p>
    <w:p w:rsidR="009D70C5" w:rsidRPr="004C0FAC" w:rsidRDefault="009D70C5" w:rsidP="009D70C5">
      <w:pPr>
        <w:spacing w:before="240" w:after="240" w:line="360" w:lineRule="auto"/>
        <w:jc w:val="both"/>
        <w:rPr>
          <w:rFonts w:ascii="Palatino Linotype" w:hAnsi="Palatino Linotype" w:cs="Arial"/>
          <w:color w:val="000000" w:themeColor="text1"/>
          <w:sz w:val="24"/>
        </w:rPr>
      </w:pPr>
      <w:r w:rsidRPr="004C0FAC">
        <w:rPr>
          <w:rFonts w:ascii="Palatino Linotype" w:hAnsi="Palatino Linotype" w:cs="Arial"/>
          <w:color w:val="000000" w:themeColor="text1"/>
          <w:sz w:val="24"/>
        </w:rPr>
        <w:t xml:space="preserve">Ahora bien, atendiendo el requerimiento de información y el marco normativo analizado, cabe decir que en términos del artículo 34 de la Ley que Regula el Uso de Tecnologías de la Información y Comunicación para la Seguridad Pública del Estado de México, toda la información recabada por las instituciones de seguridad pública se considera reservada cuando </w:t>
      </w:r>
      <w:r w:rsidRPr="004C0FAC">
        <w:rPr>
          <w:rFonts w:ascii="Palatino Linotype" w:hAnsi="Palatino Linotype" w:cs="Arial"/>
          <w:color w:val="000000" w:themeColor="text1"/>
          <w:sz w:val="24"/>
          <w:u w:val="single"/>
        </w:rPr>
        <w:t>su divulgación implique la revelación</w:t>
      </w:r>
      <w:r w:rsidRPr="00C641A8">
        <w:rPr>
          <w:rFonts w:ascii="Palatino Linotype" w:hAnsi="Palatino Linotype" w:cs="Arial"/>
          <w:color w:val="000000" w:themeColor="text1"/>
          <w:sz w:val="24"/>
        </w:rPr>
        <w:t xml:space="preserve"> </w:t>
      </w:r>
      <w:r w:rsidRPr="004C0FAC">
        <w:rPr>
          <w:rFonts w:ascii="Palatino Linotype" w:hAnsi="Palatino Linotype" w:cs="Arial"/>
          <w:color w:val="000000" w:themeColor="text1"/>
          <w:sz w:val="24"/>
        </w:rPr>
        <w:t xml:space="preserve">de normas, procedimientos, métodos, fuentes, </w:t>
      </w:r>
      <w:r w:rsidRPr="00C641A8">
        <w:rPr>
          <w:rFonts w:ascii="Palatino Linotype" w:hAnsi="Palatino Linotype" w:cs="Arial"/>
          <w:color w:val="000000" w:themeColor="text1"/>
          <w:sz w:val="24"/>
          <w:u w:val="single"/>
        </w:rPr>
        <w:t>especificaciones técnicas</w:t>
      </w:r>
      <w:r w:rsidRPr="004C0FAC">
        <w:rPr>
          <w:rFonts w:ascii="Palatino Linotype" w:hAnsi="Palatino Linotype" w:cs="Arial"/>
          <w:color w:val="000000" w:themeColor="text1"/>
          <w:sz w:val="24"/>
        </w:rPr>
        <w:t xml:space="preserve">, </w:t>
      </w:r>
      <w:r w:rsidRPr="004C0FAC">
        <w:rPr>
          <w:rFonts w:ascii="Palatino Linotype" w:hAnsi="Palatino Linotype" w:cs="Arial"/>
          <w:color w:val="000000" w:themeColor="text1"/>
          <w:sz w:val="24"/>
          <w:u w:val="single"/>
        </w:rPr>
        <w:t>sistemas, tecnología o equipos útiles para la prevención o el combate a la delincuencia o cuando se pueda actualizar o potenciar una amenaza a la seguridad pública</w:t>
      </w:r>
      <w:r w:rsidRPr="004C0FAC">
        <w:rPr>
          <w:rFonts w:ascii="Palatino Linotype" w:hAnsi="Palatino Linotype" w:cs="Arial"/>
          <w:color w:val="000000" w:themeColor="text1"/>
          <w:sz w:val="24"/>
        </w:rPr>
        <w:t xml:space="preserve">. </w:t>
      </w:r>
    </w:p>
    <w:p w:rsidR="009D70C5" w:rsidRDefault="009D70C5" w:rsidP="009D70C5">
      <w:pPr>
        <w:autoSpaceDE w:val="0"/>
        <w:autoSpaceDN w:val="0"/>
        <w:adjustRightInd w:val="0"/>
        <w:spacing w:before="240" w:after="240" w:line="360" w:lineRule="auto"/>
        <w:jc w:val="both"/>
        <w:rPr>
          <w:rFonts w:ascii="Palatino Linotype" w:hAnsi="Palatino Linotype" w:cs="Arial"/>
          <w:color w:val="000000" w:themeColor="text1"/>
          <w:sz w:val="24"/>
        </w:rPr>
      </w:pPr>
      <w:r w:rsidRPr="004C0FAC">
        <w:rPr>
          <w:rFonts w:ascii="Palatino Linotype" w:hAnsi="Palatino Linotype" w:cs="Arial"/>
          <w:color w:val="000000" w:themeColor="text1"/>
          <w:sz w:val="24"/>
        </w:rPr>
        <w:t xml:space="preserve">Bajo este contexto, si bien es cierto, es indispensable que la sociedad se haga conocedora de la información peticionada de origen, también lo es que existen casos excepcionales, en donde debe privilegiarse un bien tutelado mayor y en su caso clasificar información por cuestiones de interés público, como es la seguridad </w:t>
      </w:r>
      <w:r w:rsidRPr="004C0FAC">
        <w:rPr>
          <w:rFonts w:ascii="Palatino Linotype" w:hAnsi="Palatino Linotype" w:cs="Arial"/>
          <w:color w:val="000000" w:themeColor="text1"/>
          <w:sz w:val="24"/>
        </w:rPr>
        <w:lastRenderedPageBreak/>
        <w:t>pública</w:t>
      </w:r>
      <w:r w:rsidRPr="004C0FAC">
        <w:rPr>
          <w:rStyle w:val="Refdenotaalpie"/>
          <w:rFonts w:ascii="Palatino Linotype" w:hAnsi="Palatino Linotype" w:cs="Arial"/>
          <w:color w:val="000000" w:themeColor="text1"/>
          <w:sz w:val="24"/>
        </w:rPr>
        <w:footnoteReference w:id="6"/>
      </w:r>
      <w:r w:rsidRPr="004C0FAC">
        <w:rPr>
          <w:rFonts w:ascii="Palatino Linotype" w:hAnsi="Palatino Linotype" w:cs="Arial"/>
          <w:color w:val="000000" w:themeColor="text1"/>
          <w:sz w:val="24"/>
        </w:rPr>
        <w:t xml:space="preserve">, en consecuencia se actualiza lo previsto en el artículo 140 de la Ley de la Materia, puesto que de entregarse la información, podría comprometerse la seguridad pública, obstruirse la prevención o persecución de los delitos, o porque, el daño que puede producirse con la publicación de la información, puede ser mayor que el interés público de conocer la información. </w:t>
      </w:r>
    </w:p>
    <w:p w:rsidR="00D94981" w:rsidRPr="004C0FAC" w:rsidRDefault="00D94981" w:rsidP="009D70C5">
      <w:pPr>
        <w:autoSpaceDE w:val="0"/>
        <w:autoSpaceDN w:val="0"/>
        <w:adjustRightInd w:val="0"/>
        <w:spacing w:before="240" w:after="240" w:line="360" w:lineRule="auto"/>
        <w:jc w:val="both"/>
        <w:rPr>
          <w:rFonts w:ascii="Palatino Linotype" w:hAnsi="Palatino Linotype" w:cs="Arial"/>
          <w:color w:val="000000" w:themeColor="text1"/>
          <w:sz w:val="24"/>
        </w:rPr>
      </w:pPr>
    </w:p>
    <w:p w:rsidR="009D70C5" w:rsidRPr="004C0FAC" w:rsidRDefault="009D70C5" w:rsidP="009D70C5">
      <w:pPr>
        <w:autoSpaceDE w:val="0"/>
        <w:autoSpaceDN w:val="0"/>
        <w:adjustRightInd w:val="0"/>
        <w:spacing w:before="240" w:after="240" w:line="360" w:lineRule="auto"/>
        <w:jc w:val="both"/>
        <w:rPr>
          <w:rFonts w:ascii="Palatino Linotype" w:hAnsi="Palatino Linotype" w:cs="Arial"/>
          <w:color w:val="000000" w:themeColor="text1"/>
          <w:sz w:val="24"/>
        </w:rPr>
      </w:pPr>
      <w:r w:rsidRPr="004C0FAC">
        <w:rPr>
          <w:rFonts w:ascii="Palatino Linotype" w:hAnsi="Palatino Linotype" w:cs="Arial"/>
          <w:color w:val="000000" w:themeColor="text1"/>
          <w:sz w:val="24"/>
        </w:rPr>
        <w:t xml:space="preserve">A este respecto, de conformidad con los artículos 91 y 140, fracción I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w:t>
      </w:r>
      <w:r w:rsidRPr="004C0FAC">
        <w:rPr>
          <w:rFonts w:ascii="Palatino Linotype" w:hAnsi="Palatino Linotype" w:cs="Arial"/>
          <w:color w:val="000000" w:themeColor="text1"/>
          <w:sz w:val="24"/>
        </w:rPr>
        <w:lastRenderedPageBreak/>
        <w:t>información sea mayor que el interés público de conocerla. Sirve de apoyo a lo anterior los artículos de referencia que a continuación se señalan:</w:t>
      </w:r>
    </w:p>
    <w:p w:rsidR="009D70C5" w:rsidRPr="004C7647" w:rsidRDefault="009D70C5" w:rsidP="009D70C5">
      <w:pPr>
        <w:autoSpaceDE w:val="0"/>
        <w:autoSpaceDN w:val="0"/>
        <w:adjustRightInd w:val="0"/>
        <w:spacing w:after="120"/>
        <w:ind w:left="567" w:right="902"/>
        <w:jc w:val="both"/>
        <w:rPr>
          <w:rFonts w:ascii="Palatino Linotype" w:hAnsi="Palatino Linotype"/>
          <w:i/>
          <w:color w:val="000000" w:themeColor="text1"/>
          <w:szCs w:val="20"/>
        </w:rPr>
      </w:pPr>
      <w:r w:rsidRPr="004C7647">
        <w:rPr>
          <w:rFonts w:ascii="Palatino Linotype" w:hAnsi="Palatino Linotype"/>
          <w:i/>
          <w:color w:val="000000" w:themeColor="text1"/>
          <w:szCs w:val="20"/>
        </w:rPr>
        <w:t>“</w:t>
      </w:r>
      <w:r w:rsidRPr="004C7647">
        <w:rPr>
          <w:rFonts w:ascii="Palatino Linotype" w:hAnsi="Palatino Linotype"/>
          <w:b/>
          <w:i/>
          <w:color w:val="000000" w:themeColor="text1"/>
          <w:szCs w:val="20"/>
        </w:rPr>
        <w:t>Artículo 91.</w:t>
      </w:r>
      <w:r w:rsidRPr="004C7647">
        <w:rPr>
          <w:rFonts w:ascii="Palatino Linotype" w:hAnsi="Palatino Linotype"/>
          <w:i/>
          <w:color w:val="000000" w:themeColor="text1"/>
          <w:szCs w:val="20"/>
        </w:rPr>
        <w:t xml:space="preserve"> El acceso a la información pública será restringido excepcionalmente, cuando ésta sea clasificada como reservada o confidencial.</w:t>
      </w:r>
    </w:p>
    <w:p w:rsidR="009D70C5" w:rsidRPr="004C7647" w:rsidRDefault="009D70C5" w:rsidP="009D70C5">
      <w:pPr>
        <w:autoSpaceDE w:val="0"/>
        <w:autoSpaceDN w:val="0"/>
        <w:adjustRightInd w:val="0"/>
        <w:spacing w:after="120"/>
        <w:ind w:left="567" w:right="902"/>
        <w:jc w:val="both"/>
        <w:rPr>
          <w:rFonts w:ascii="Palatino Linotype" w:hAnsi="Palatino Linotype"/>
          <w:i/>
          <w:color w:val="000000" w:themeColor="text1"/>
          <w:szCs w:val="20"/>
        </w:rPr>
      </w:pPr>
      <w:r w:rsidRPr="004C7647">
        <w:rPr>
          <w:rFonts w:ascii="Palatino Linotype" w:hAnsi="Palatino Linotype"/>
          <w:b/>
          <w:i/>
          <w:color w:val="000000" w:themeColor="text1"/>
          <w:szCs w:val="20"/>
        </w:rPr>
        <w:t xml:space="preserve">Artículo 140. </w:t>
      </w:r>
      <w:r w:rsidRPr="004C7647">
        <w:rPr>
          <w:rFonts w:ascii="Palatino Linotype" w:hAnsi="Palatino Linotype"/>
          <w:i/>
          <w:color w:val="000000" w:themeColor="text1"/>
          <w:szCs w:val="20"/>
        </w:rPr>
        <w:t xml:space="preserve">El acceso a la información pública será restringido excepcionalmente, cuando por razones de interés público, ésta sea clasificada como reservada, conforme a los criterios siguientes: </w:t>
      </w:r>
    </w:p>
    <w:p w:rsidR="009D70C5" w:rsidRPr="004C7647" w:rsidRDefault="009D70C5" w:rsidP="009D70C5">
      <w:pPr>
        <w:autoSpaceDE w:val="0"/>
        <w:autoSpaceDN w:val="0"/>
        <w:adjustRightInd w:val="0"/>
        <w:spacing w:after="120"/>
        <w:ind w:left="567" w:right="902"/>
        <w:jc w:val="both"/>
        <w:rPr>
          <w:rFonts w:ascii="Palatino Linotype" w:hAnsi="Palatino Linotype"/>
          <w:i/>
          <w:color w:val="000000" w:themeColor="text1"/>
          <w:szCs w:val="20"/>
        </w:rPr>
      </w:pPr>
      <w:r w:rsidRPr="004C7647">
        <w:rPr>
          <w:rFonts w:ascii="Palatino Linotype" w:hAnsi="Palatino Linotype"/>
          <w:b/>
          <w:i/>
          <w:color w:val="000000" w:themeColor="text1"/>
          <w:szCs w:val="20"/>
        </w:rPr>
        <w:t>I.</w:t>
      </w:r>
      <w:r w:rsidRPr="004C7647">
        <w:rPr>
          <w:rFonts w:ascii="Palatino Linotype" w:hAnsi="Palatino Linotype"/>
          <w:i/>
          <w:color w:val="000000" w:themeColor="text1"/>
          <w:szCs w:val="20"/>
        </w:rPr>
        <w:t xml:space="preserve"> Comprometa la seguridad pública y cuente con un propósito genuino y un efecto demostrable;…” (Sic)</w:t>
      </w:r>
    </w:p>
    <w:p w:rsidR="009D70C5" w:rsidRDefault="009D70C5" w:rsidP="009D70C5">
      <w:pPr>
        <w:pStyle w:val="Sinespaciado"/>
      </w:pPr>
    </w:p>
    <w:p w:rsidR="009D70C5" w:rsidRPr="001C4BDC" w:rsidRDefault="009D70C5" w:rsidP="009D70C5">
      <w:pPr>
        <w:spacing w:after="240" w:line="360" w:lineRule="auto"/>
        <w:jc w:val="both"/>
        <w:rPr>
          <w:rFonts w:ascii="Palatino Linotype" w:hAnsi="Palatino Linotype" w:cs="Arial"/>
          <w:color w:val="000000" w:themeColor="text1"/>
          <w:sz w:val="24"/>
        </w:rPr>
      </w:pPr>
      <w:r w:rsidRPr="001C4BDC">
        <w:rPr>
          <w:rFonts w:ascii="Palatino Linotype" w:hAnsi="Palatino Linotype" w:cs="Arial"/>
          <w:color w:val="000000" w:themeColor="text1"/>
          <w:sz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9D70C5" w:rsidRDefault="009D70C5" w:rsidP="009D70C5">
      <w:pPr>
        <w:spacing w:after="240" w:line="360" w:lineRule="auto"/>
        <w:jc w:val="both"/>
        <w:rPr>
          <w:rFonts w:ascii="Palatino Linotype" w:hAnsi="Palatino Linotype" w:cs="Arial"/>
          <w:color w:val="000000" w:themeColor="text1"/>
          <w:sz w:val="24"/>
        </w:rPr>
      </w:pPr>
      <w:r w:rsidRPr="001C4BDC">
        <w:rPr>
          <w:rFonts w:ascii="Palatino Linotype" w:hAnsi="Palatino Linotype" w:cs="Arial"/>
          <w:color w:val="000000" w:themeColor="text1"/>
          <w:sz w:val="24"/>
        </w:rPr>
        <w:t>En el caso en particular, es necesario limitar la publicación de cierta información, ya que podría poner en riesgo la seguridad pública, de entregarse información que una institución tiene para prevenir y combatir la comisión de delitos. Debido a que su difusión, facilitaría a células delictivas el neutralizar las acciones, implementadas o por implementar, en materia de seguridad pública para la preservación del orden y la paz pública.</w:t>
      </w:r>
    </w:p>
    <w:p w:rsidR="00A868F5" w:rsidRPr="001C4BDC" w:rsidRDefault="00A868F5" w:rsidP="009D70C5">
      <w:pPr>
        <w:spacing w:after="240" w:line="360" w:lineRule="auto"/>
        <w:jc w:val="both"/>
        <w:rPr>
          <w:rFonts w:ascii="Palatino Linotype" w:hAnsi="Palatino Linotype" w:cs="Arial"/>
          <w:color w:val="000000" w:themeColor="text1"/>
          <w:sz w:val="24"/>
        </w:rPr>
      </w:pPr>
    </w:p>
    <w:p w:rsidR="009D70C5" w:rsidRPr="001C4BDC" w:rsidRDefault="009D70C5" w:rsidP="009D70C5">
      <w:pPr>
        <w:spacing w:before="240" w:after="240" w:line="360" w:lineRule="auto"/>
        <w:jc w:val="both"/>
        <w:rPr>
          <w:rFonts w:ascii="Palatino Linotype" w:hAnsi="Palatino Linotype"/>
          <w:color w:val="000000" w:themeColor="text1"/>
          <w:sz w:val="24"/>
        </w:rPr>
      </w:pPr>
      <w:r w:rsidRPr="001C4BDC">
        <w:rPr>
          <w:rFonts w:ascii="Palatino Linotype" w:hAnsi="Palatino Linotype" w:cs="Arial"/>
          <w:color w:val="000000" w:themeColor="text1"/>
          <w:sz w:val="24"/>
        </w:rPr>
        <w:t xml:space="preserve">En relación directa con lo anterior, cabe decir que en términos del Capítulo V de los Lineamientos Generales en Materia de Clasificación y Desclasificación de la Información, así como para la Elaboración de Versiones Públicas, es información </w:t>
      </w:r>
      <w:r w:rsidRPr="001C4BDC">
        <w:rPr>
          <w:rFonts w:ascii="Palatino Linotype" w:hAnsi="Palatino Linotype" w:cs="Arial"/>
          <w:color w:val="000000" w:themeColor="text1"/>
          <w:sz w:val="24"/>
        </w:rPr>
        <w:lastRenderedPageBreak/>
        <w:t>reservada, aquella que de difundirse actualice o potencialice un riesgo o amenaza a la seguridad nacional cuando, s</w:t>
      </w:r>
      <w:r w:rsidRPr="001C4BDC">
        <w:rPr>
          <w:rFonts w:ascii="Palatino Linotype" w:hAnsi="Palatino Linotype"/>
          <w:color w:val="000000" w:themeColor="text1"/>
          <w:sz w:val="24"/>
        </w:rPr>
        <w:t xml:space="preserve">e obstaculicen o bloqueen las actividades de inteligencia o contrainteligencia y cuando se </w:t>
      </w:r>
      <w:r w:rsidRPr="001C4BDC">
        <w:rPr>
          <w:rFonts w:ascii="Palatino Linotype" w:hAnsi="Palatino Linotype"/>
          <w:color w:val="000000" w:themeColor="text1"/>
          <w:sz w:val="24"/>
          <w:u w:val="single"/>
        </w:rPr>
        <w:t>revelen normas</w:t>
      </w:r>
      <w:r w:rsidRPr="001C4BDC">
        <w:rPr>
          <w:rFonts w:ascii="Palatino Linotype" w:hAnsi="Palatino Linotype"/>
          <w:color w:val="000000" w:themeColor="text1"/>
          <w:sz w:val="24"/>
        </w:rPr>
        <w:t xml:space="preserve">, procedimientos, métodos, fuentes, </w:t>
      </w:r>
      <w:r w:rsidRPr="00975521">
        <w:rPr>
          <w:rFonts w:ascii="Palatino Linotype" w:hAnsi="Palatino Linotype"/>
          <w:color w:val="000000" w:themeColor="text1"/>
          <w:sz w:val="24"/>
          <w:u w:val="single"/>
        </w:rPr>
        <w:t>especificaciones técnicas</w:t>
      </w:r>
      <w:r w:rsidRPr="001C4BDC">
        <w:rPr>
          <w:rFonts w:ascii="Palatino Linotype" w:hAnsi="Palatino Linotype"/>
          <w:color w:val="000000" w:themeColor="text1"/>
          <w:sz w:val="24"/>
        </w:rPr>
        <w:t xml:space="preserve">, </w:t>
      </w:r>
      <w:r w:rsidRPr="001C4BDC">
        <w:rPr>
          <w:rFonts w:ascii="Palatino Linotype" w:hAnsi="Palatino Linotype"/>
          <w:color w:val="000000" w:themeColor="text1"/>
          <w:sz w:val="24"/>
          <w:u w:val="single"/>
        </w:rPr>
        <w:t>tecnología o equipo que sean útiles para la generación de inteligencia para la seguridad nacional</w:t>
      </w:r>
      <w:r w:rsidRPr="001C4BDC">
        <w:rPr>
          <w:rFonts w:ascii="Palatino Linotype" w:hAnsi="Palatino Linotype"/>
          <w:color w:val="000000" w:themeColor="text1"/>
          <w:sz w:val="24"/>
        </w:rPr>
        <w:t>.</w:t>
      </w:r>
    </w:p>
    <w:p w:rsidR="009D70C5" w:rsidRPr="001C4BDC" w:rsidRDefault="009D70C5" w:rsidP="009D70C5">
      <w:pPr>
        <w:spacing w:before="240" w:after="240" w:line="360" w:lineRule="auto"/>
        <w:jc w:val="both"/>
        <w:rPr>
          <w:rFonts w:ascii="Palatino Linotype" w:hAnsi="Palatino Linotype" w:cs="Arial"/>
          <w:color w:val="000000" w:themeColor="text1"/>
          <w:sz w:val="24"/>
        </w:rPr>
      </w:pPr>
      <w:r w:rsidRPr="001C4BDC">
        <w:rPr>
          <w:rFonts w:ascii="Palatino Linotype" w:hAnsi="Palatino Linotype"/>
          <w:color w:val="000000" w:themeColor="text1"/>
          <w:sz w:val="24"/>
        </w:rPr>
        <w:t xml:space="preserve">No obstante, que en términos del último párrafo del numeral Décimo séptimo, de los Lineamientos en cuestión, podrá considerarse como reservada aquella que revele </w:t>
      </w:r>
      <w:r w:rsidRPr="00975521">
        <w:rPr>
          <w:rFonts w:ascii="Palatino Linotype" w:hAnsi="Palatino Linotype"/>
          <w:color w:val="000000" w:themeColor="text1"/>
          <w:sz w:val="24"/>
          <w:u w:val="single"/>
        </w:rPr>
        <w:t>d</w:t>
      </w:r>
      <w:r w:rsidRPr="001C4BDC">
        <w:rPr>
          <w:rFonts w:ascii="Palatino Linotype" w:hAnsi="Palatino Linotype"/>
          <w:color w:val="000000" w:themeColor="text1"/>
          <w:sz w:val="24"/>
          <w:u w:val="single"/>
        </w:rPr>
        <w:t>atos que pudieran ser aprovechados para conocer la capacidad de reacción de las instituciones encargadas de la seguridad nacional;</w:t>
      </w:r>
      <w:r w:rsidRPr="001C4BDC">
        <w:rPr>
          <w:rFonts w:ascii="Palatino Linotype" w:hAnsi="Palatino Linotype"/>
          <w:color w:val="000000" w:themeColor="text1"/>
          <w:sz w:val="24"/>
        </w:rPr>
        <w:t xml:space="preserve"> sus normas, procedimientos, métodos, fuentes, especificaciones técnicas, </w:t>
      </w:r>
      <w:r w:rsidRPr="001C4BDC">
        <w:rPr>
          <w:rFonts w:ascii="Palatino Linotype" w:hAnsi="Palatino Linotype"/>
          <w:color w:val="000000" w:themeColor="text1"/>
          <w:sz w:val="24"/>
          <w:u w:val="single"/>
        </w:rPr>
        <w:t>tecnología o equipo útiles a la generación de inteligencia para la Seguridad Nacional</w:t>
      </w:r>
      <w:r w:rsidRPr="001C4BDC">
        <w:rPr>
          <w:rFonts w:ascii="Palatino Linotype" w:hAnsi="Palatino Linotype"/>
          <w:color w:val="000000" w:themeColor="text1"/>
          <w:sz w:val="24"/>
        </w:rPr>
        <w:t>, sin importar la naturaleza o el origen de los documentos que la consignen.</w:t>
      </w:r>
    </w:p>
    <w:p w:rsidR="009D70C5" w:rsidRPr="001C4BDC" w:rsidRDefault="009D70C5" w:rsidP="009D70C5">
      <w:pPr>
        <w:spacing w:before="240" w:after="240" w:line="360" w:lineRule="auto"/>
        <w:jc w:val="both"/>
        <w:rPr>
          <w:rFonts w:ascii="Palatino Linotype" w:hAnsi="Palatino Linotype" w:cs="Arial"/>
          <w:color w:val="000000" w:themeColor="text1"/>
          <w:sz w:val="24"/>
        </w:rPr>
      </w:pPr>
      <w:r w:rsidRPr="001C4BDC">
        <w:rPr>
          <w:rFonts w:ascii="Palatino Linotype" w:hAnsi="Palatino Linotype" w:cs="Arial"/>
          <w:color w:val="000000" w:themeColor="text1"/>
          <w:sz w:val="24"/>
        </w:rPr>
        <w:t xml:space="preserve"> Se robustece lo anterior, con el criterio de jurisprudencia emitido por la suprema Corte de Justicia de la Nación, que es del texto y rubro siguiente:</w:t>
      </w:r>
    </w:p>
    <w:p w:rsidR="009D70C5" w:rsidRPr="001C4BDC" w:rsidRDefault="009D70C5" w:rsidP="009D70C5">
      <w:pPr>
        <w:spacing w:after="120"/>
        <w:ind w:left="851" w:right="900"/>
        <w:jc w:val="both"/>
        <w:rPr>
          <w:rFonts w:ascii="Palatino Linotype" w:hAnsi="Palatino Linotype" w:cs="Arial"/>
          <w:i/>
          <w:color w:val="000000" w:themeColor="text1"/>
          <w:sz w:val="20"/>
          <w:szCs w:val="20"/>
        </w:rPr>
      </w:pPr>
      <w:r w:rsidRPr="001C4BDC">
        <w:rPr>
          <w:rFonts w:ascii="Palatino Linotype" w:hAnsi="Palatino Linotype" w:cs="Arial"/>
          <w:b/>
          <w:i/>
          <w:color w:val="000000" w:themeColor="text1"/>
          <w:sz w:val="20"/>
          <w:szCs w:val="20"/>
        </w:rPr>
        <w:t>“INFORMACIÓN RESERVADA. LÍMITE AL DERECHO DE ACCESO A LA INFORMACIÓN (LEY FEDERAL DE TRANSPARENCIA Y ACCESO A LA INFORMACIÓN PÚBLICA GUBERNAMENTAL).*</w:t>
      </w:r>
      <w:r w:rsidRPr="001C4BDC">
        <w:rPr>
          <w:rFonts w:ascii="Palatino Linotype" w:hAnsi="Palatino Linotype" w:cs="Arial"/>
          <w:i/>
          <w:color w:val="000000" w:themeColor="text1"/>
          <w:sz w:val="20"/>
          <w:szCs w:val="20"/>
        </w:rPr>
        <w:t xml:space="preserve">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w:t>
      </w:r>
      <w:r w:rsidRPr="001C4BDC">
        <w:rPr>
          <w:rFonts w:ascii="Palatino Linotype" w:hAnsi="Palatino Linotype" w:cs="Arial"/>
          <w:i/>
          <w:color w:val="000000" w:themeColor="text1"/>
          <w:sz w:val="20"/>
          <w:szCs w:val="20"/>
        </w:rPr>
        <w:lastRenderedPageBreak/>
        <w:t>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4) poner en riesgo la vida, seguridad o salud de alguna persona; o 5) causar perjuicio al cumplimiento de las leyes, prevención o verificación de delitos,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2) secretos comercial, industrial, fiscal, bancario, fiduciario u otros; 3) averiguaciones previas;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rsidR="009D70C5" w:rsidRDefault="009D70C5" w:rsidP="009D70C5">
      <w:pPr>
        <w:spacing w:line="360" w:lineRule="auto"/>
        <w:jc w:val="both"/>
        <w:rPr>
          <w:rFonts w:ascii="Palatino Linotype" w:hAnsi="Palatino Linotype" w:cs="Arial"/>
          <w:color w:val="000000" w:themeColor="text1"/>
          <w:sz w:val="24"/>
        </w:rPr>
      </w:pPr>
    </w:p>
    <w:p w:rsidR="009D70C5" w:rsidRPr="0027490E" w:rsidRDefault="009D70C5" w:rsidP="009D70C5">
      <w:pPr>
        <w:tabs>
          <w:tab w:val="left" w:pos="709"/>
        </w:tabs>
        <w:spacing w:line="360" w:lineRule="auto"/>
        <w:jc w:val="both"/>
        <w:rPr>
          <w:rFonts w:ascii="Palatino Linotype" w:hAnsi="Palatino Linotype"/>
          <w:sz w:val="24"/>
          <w:szCs w:val="24"/>
        </w:rPr>
      </w:pPr>
      <w:r w:rsidRPr="0027490E">
        <w:rPr>
          <w:rFonts w:ascii="Palatino Linotype" w:hAnsi="Palatino Linotype" w:cs="Arial"/>
          <w:sz w:val="24"/>
          <w:szCs w:val="24"/>
          <w:lang w:eastAsia="es-MX"/>
        </w:rPr>
        <w:t xml:space="preserve">De los preceptos anteriores, se aduce que, </w:t>
      </w:r>
      <w:r w:rsidRPr="0027490E">
        <w:rPr>
          <w:rFonts w:ascii="Palatino Linotype" w:hAnsi="Palatino Linotype" w:cs="Arial"/>
          <w:b/>
          <w:sz w:val="24"/>
          <w:szCs w:val="24"/>
          <w:lang w:eastAsia="es-MX"/>
        </w:rPr>
        <w:t>EL SUJETO OBLIGADO</w:t>
      </w:r>
      <w:r w:rsidRPr="0027490E">
        <w:rPr>
          <w:rFonts w:ascii="Palatino Linotype" w:hAnsi="Palatino Linotype" w:cs="Arial"/>
          <w:sz w:val="24"/>
          <w:szCs w:val="24"/>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recursos financieros de la misma naturaleza, no pasa desapercibido que los </w:t>
      </w:r>
      <w:r w:rsidRPr="0027490E">
        <w:rPr>
          <w:rFonts w:ascii="Palatino Linotype" w:hAnsi="Palatino Linotype" w:cs="Arial"/>
          <w:sz w:val="24"/>
          <w:szCs w:val="24"/>
        </w:rPr>
        <w:t xml:space="preserve">Preceptos normativos disponen que la clasificación es el proceso mediante el cual el </w:t>
      </w:r>
      <w:r w:rsidRPr="0027490E">
        <w:rPr>
          <w:rFonts w:ascii="Palatino Linotype" w:hAnsi="Palatino Linotype" w:cs="Arial"/>
          <w:b/>
          <w:sz w:val="24"/>
          <w:szCs w:val="24"/>
        </w:rPr>
        <w:t xml:space="preserve">Sujeto Obligado </w:t>
      </w:r>
      <w:r w:rsidRPr="0027490E">
        <w:rPr>
          <w:rFonts w:ascii="Palatino Linotype" w:hAnsi="Palatino Linotype" w:cs="Arial"/>
          <w:sz w:val="24"/>
          <w:szCs w:val="24"/>
        </w:rPr>
        <w:t xml:space="preserve">deberá determinar que la información en su poder actualiza alguno de los supuestos de reserva de la información, al cual recae el acuerdo de clasificación de </w:t>
      </w:r>
      <w:r w:rsidRPr="0027490E">
        <w:rPr>
          <w:rFonts w:ascii="Palatino Linotype" w:hAnsi="Palatino Linotype" w:cs="Arial"/>
          <w:sz w:val="24"/>
          <w:szCs w:val="24"/>
        </w:rPr>
        <w:lastRenderedPageBreak/>
        <w:t>información reservada, en el que deberá determinar el plazo de reserva, que conformidad con la Ley en la Materia, podrá permanecer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por cinco años adicionales y por una sola vez, siempre y cuando justifiquen que subsistente las causas que dieron origen a su clasificación, mediante la aplicación de la prueba de daño</w:t>
      </w:r>
      <w:r w:rsidRPr="0027490E">
        <w:rPr>
          <w:rStyle w:val="Refdenotaalpie"/>
          <w:rFonts w:ascii="Palatino Linotype" w:hAnsi="Palatino Linotype" w:cs="Arial"/>
          <w:sz w:val="24"/>
          <w:szCs w:val="24"/>
        </w:rPr>
        <w:footnoteReference w:id="7"/>
      </w:r>
      <w:r w:rsidRPr="0027490E">
        <w:rPr>
          <w:rFonts w:ascii="Palatino Linotype" w:hAnsi="Palatino Linotype" w:cs="Arial"/>
          <w:sz w:val="24"/>
          <w:szCs w:val="24"/>
        </w:rPr>
        <w:t xml:space="preserve">, en la que se justificaran las razones, motivos o circunstancias especiales que lo llevaron a concluir que el caso concreto, se ajustó a los supuestos previstos en la normatividad como fundamento. </w:t>
      </w:r>
    </w:p>
    <w:p w:rsidR="009D70C5" w:rsidRPr="0027490E" w:rsidRDefault="009D70C5" w:rsidP="009D70C5">
      <w:pPr>
        <w:pStyle w:val="Sinespaciado"/>
        <w:rPr>
          <w:sz w:val="24"/>
          <w:szCs w:val="24"/>
          <w:lang w:eastAsia="es-MX"/>
        </w:rPr>
      </w:pPr>
    </w:p>
    <w:p w:rsidR="009D70C5" w:rsidRPr="0027490E" w:rsidRDefault="009D70C5" w:rsidP="009D70C5">
      <w:pPr>
        <w:spacing w:after="260" w:line="360" w:lineRule="auto"/>
        <w:ind w:right="-232"/>
        <w:jc w:val="both"/>
        <w:rPr>
          <w:rFonts w:ascii="Palatino Linotype" w:hAnsi="Palatino Linotype"/>
          <w:color w:val="000000"/>
          <w:sz w:val="24"/>
          <w:szCs w:val="24"/>
          <w:lang w:eastAsia="es-MX"/>
        </w:rPr>
      </w:pPr>
      <w:r w:rsidRPr="0027490E">
        <w:rPr>
          <w:rFonts w:ascii="Palatino Linotype" w:hAnsi="Palatino Linotype"/>
          <w:color w:val="000000"/>
          <w:sz w:val="24"/>
          <w:szCs w:val="24"/>
          <w:lang w:eastAsia="es-MX"/>
        </w:rPr>
        <w:t>Cobra aplicación la jurisprudencia de la novena época visible en el Semanario Judicial de la Federación y su Gaceta. Instancia: Tribunales Colegiados de Circuito. Tesis I.4o.A.J/43 (9a.) bajo el número de registro 175082 cuyo rubro y texto esgrime:</w:t>
      </w:r>
    </w:p>
    <w:p w:rsidR="009D70C5" w:rsidRPr="00C81EC9" w:rsidRDefault="009D70C5" w:rsidP="009D70C5">
      <w:pPr>
        <w:spacing w:after="120"/>
        <w:ind w:left="851" w:right="902"/>
        <w:jc w:val="both"/>
        <w:rPr>
          <w:rFonts w:ascii="Palatino Linotype" w:hAnsi="Palatino Linotype"/>
          <w:b/>
          <w:bCs/>
          <w:i/>
          <w:color w:val="000000"/>
          <w:sz w:val="20"/>
          <w:szCs w:val="20"/>
          <w:lang w:eastAsia="es-MX"/>
        </w:rPr>
      </w:pPr>
      <w:r w:rsidRPr="00C81EC9">
        <w:rPr>
          <w:rFonts w:ascii="Palatino Linotype" w:hAnsi="Palatino Linotype"/>
          <w:b/>
          <w:bCs/>
          <w:i/>
          <w:color w:val="000000"/>
          <w:sz w:val="20"/>
          <w:szCs w:val="20"/>
          <w:lang w:eastAsia="es-MX"/>
        </w:rPr>
        <w:t>FUNDAMENTACIÓN Y MOTIVACIÓN. EL ASPECTO FORMAL DE LA GARANTÍA Y SU FINALIDAD SE TRADUCEN EN EXPLICAR, JUSTIFICAR, POSIBILITAR LA DEFENSA Y COMUNICAR LA DECISIÓN.</w:t>
      </w:r>
    </w:p>
    <w:p w:rsidR="009D70C5" w:rsidRPr="00C81EC9" w:rsidRDefault="009D70C5" w:rsidP="009D70C5">
      <w:pPr>
        <w:spacing w:after="120"/>
        <w:ind w:left="851" w:right="902"/>
        <w:jc w:val="both"/>
        <w:rPr>
          <w:rFonts w:ascii="Palatino Linotype" w:hAnsi="Palatino Linotype"/>
          <w:i/>
          <w:color w:val="000000"/>
          <w:sz w:val="20"/>
          <w:szCs w:val="20"/>
          <w:lang w:eastAsia="es-MX"/>
        </w:rPr>
      </w:pPr>
      <w:r w:rsidRPr="00C81EC9">
        <w:rPr>
          <w:rFonts w:ascii="Palatino Linotype" w:hAnsi="Palatino Linotype"/>
          <w:i/>
          <w:color w:val="000000"/>
          <w:sz w:val="20"/>
          <w:szCs w:val="20"/>
          <w:lang w:eastAsia="es-MX"/>
        </w:rPr>
        <w:t>El contenido formal de la garantía de legalidad prevista en el artículo </w:t>
      </w:r>
      <w:hyperlink r:id="rId17" w:history="1">
        <w:r w:rsidRPr="00C81EC9">
          <w:rPr>
            <w:rFonts w:ascii="Palatino Linotype" w:hAnsi="Palatino Linotype"/>
            <w:i/>
            <w:sz w:val="20"/>
            <w:szCs w:val="20"/>
            <w:lang w:eastAsia="es-MX"/>
          </w:rPr>
          <w:t>16 constitucional</w:t>
        </w:r>
      </w:hyperlink>
      <w:r w:rsidRPr="00C81EC9">
        <w:rPr>
          <w:rFonts w:ascii="Palatino Linotype" w:hAnsi="Palatino Linotype"/>
          <w:i/>
          <w:color w:val="000000"/>
          <w:sz w:val="20"/>
          <w:szCs w:val="20"/>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w:t>
      </w:r>
      <w:r w:rsidRPr="00C81EC9">
        <w:rPr>
          <w:rFonts w:ascii="Palatino Linotype" w:hAnsi="Palatino Linotype"/>
          <w:i/>
          <w:color w:val="000000"/>
          <w:sz w:val="20"/>
          <w:szCs w:val="20"/>
          <w:lang w:eastAsia="es-MX"/>
        </w:rPr>
        <w:lastRenderedPageBreak/>
        <w:t>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color w:val="000000"/>
          <w:sz w:val="20"/>
          <w:szCs w:val="20"/>
          <w:lang w:eastAsia="es-MX"/>
        </w:rPr>
        <w:t>.”</w:t>
      </w:r>
    </w:p>
    <w:p w:rsidR="009D70C5" w:rsidRPr="004C6C07" w:rsidRDefault="009D70C5" w:rsidP="009D70C5">
      <w:pPr>
        <w:spacing w:before="240" w:after="240" w:line="360" w:lineRule="auto"/>
        <w:jc w:val="both"/>
        <w:rPr>
          <w:rFonts w:ascii="Palatino Linotype" w:hAnsi="Palatino Linotype" w:cs="Arial"/>
          <w:sz w:val="24"/>
          <w:szCs w:val="24"/>
        </w:rPr>
      </w:pPr>
      <w:r w:rsidRPr="004C6C07">
        <w:rPr>
          <w:rFonts w:ascii="Palatino Linotype" w:hAnsi="Palatino Linotype" w:cs="Arial"/>
          <w:sz w:val="24"/>
          <w:szCs w:val="24"/>
        </w:rPr>
        <w:t xml:space="preserve">La clasificación de la información se llevará a cabo en el momento que se reciba una solicitud de información, </w:t>
      </w:r>
      <w:r w:rsidRPr="004C6C07">
        <w:rPr>
          <w:rFonts w:ascii="Palatino Linotype" w:hAnsi="Palatino Linotype" w:cs="Arial"/>
          <w:b/>
          <w:sz w:val="24"/>
          <w:szCs w:val="24"/>
        </w:rPr>
        <w:t>cuando se determine mediante resolución de autoridad competente</w:t>
      </w:r>
      <w:r w:rsidRPr="004C6C07">
        <w:rPr>
          <w:rFonts w:ascii="Palatino Linotype" w:hAnsi="Palatino Linotype" w:cs="Arial"/>
          <w:sz w:val="24"/>
          <w:szCs w:val="24"/>
        </w:rPr>
        <w:t xml:space="preserve"> o bien, en la generación de versiones públicas para dar cumplimiento a las obligaciones de transparencias previstas en la Ley. </w:t>
      </w:r>
    </w:p>
    <w:p w:rsidR="009D70C5" w:rsidRPr="004C6C07" w:rsidRDefault="009D70C5" w:rsidP="009D70C5">
      <w:pPr>
        <w:spacing w:before="240" w:after="240" w:line="360" w:lineRule="auto"/>
        <w:jc w:val="both"/>
        <w:rPr>
          <w:rFonts w:ascii="Palatino Linotype" w:hAnsi="Palatino Linotype"/>
          <w:sz w:val="24"/>
          <w:szCs w:val="24"/>
        </w:rPr>
      </w:pPr>
      <w:r w:rsidRPr="004C6C07">
        <w:rPr>
          <w:rFonts w:ascii="Palatino Linotype" w:hAnsi="Palatino Linotype"/>
          <w:sz w:val="24"/>
          <w:szCs w:val="24"/>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rsidR="009D70C5" w:rsidRPr="004C6C07" w:rsidRDefault="009D70C5" w:rsidP="009D70C5">
      <w:pPr>
        <w:spacing w:before="240" w:after="240" w:line="360" w:lineRule="auto"/>
        <w:jc w:val="both"/>
        <w:rPr>
          <w:rFonts w:ascii="Palatino Linotype" w:hAnsi="Palatino Linotype" w:cs="Arial"/>
          <w:sz w:val="24"/>
          <w:szCs w:val="24"/>
        </w:rPr>
      </w:pPr>
      <w:r w:rsidRPr="004C6C07">
        <w:rPr>
          <w:rFonts w:ascii="Palatino Linotype" w:hAnsi="Palatino Linotype" w:cs="Arial"/>
          <w:sz w:val="24"/>
          <w:szCs w:val="24"/>
        </w:rPr>
        <w:t>En los casos en que la información solicitada por los particulares actualice algún supuesto de información reservada, le corresponde a los sujetos obligados la carga de la prueba para justificar la negativa de acceso a la información.</w:t>
      </w:r>
    </w:p>
    <w:p w:rsidR="009D70C5" w:rsidRDefault="009D70C5" w:rsidP="009D70C5">
      <w:pPr>
        <w:spacing w:line="360" w:lineRule="auto"/>
        <w:jc w:val="both"/>
        <w:rPr>
          <w:rFonts w:ascii="Palatino Linotype" w:hAnsi="Palatino Linotype" w:cs="Arial"/>
          <w:sz w:val="24"/>
          <w:szCs w:val="24"/>
          <w:lang w:eastAsia="es-MX"/>
        </w:rPr>
      </w:pPr>
      <w:r w:rsidRPr="004C6C07">
        <w:rPr>
          <w:rFonts w:ascii="Palatino Linotype" w:hAnsi="Palatino Linotype" w:cs="Arial"/>
          <w:sz w:val="24"/>
          <w:szCs w:val="24"/>
        </w:rPr>
        <w:t xml:space="preserve">En esa tesitura, se concluye que el </w:t>
      </w:r>
      <w:r w:rsidR="00050692" w:rsidRPr="00050692">
        <w:rPr>
          <w:rFonts w:ascii="Palatino Linotype" w:hAnsi="Palatino Linotype" w:cs="Arial"/>
          <w:sz w:val="24"/>
          <w:szCs w:val="24"/>
        </w:rPr>
        <w:t>Ayuntamiento de Ixtlahuaca</w:t>
      </w:r>
      <w:r w:rsidR="00A868F5">
        <w:rPr>
          <w:rFonts w:ascii="Palatino Linotype" w:hAnsi="Palatino Linotype" w:cs="Arial"/>
          <w:sz w:val="24"/>
          <w:szCs w:val="24"/>
        </w:rPr>
        <w:t xml:space="preserve"> </w:t>
      </w:r>
      <w:r w:rsidRPr="004C6C07">
        <w:rPr>
          <w:rFonts w:ascii="Palatino Linotype" w:hAnsi="Palatino Linotype" w:cs="Arial"/>
          <w:sz w:val="24"/>
          <w:szCs w:val="24"/>
        </w:rPr>
        <w:t xml:space="preserve">no satisfizo el derecho de acceso a la información del particular, </w:t>
      </w:r>
      <w:r w:rsidR="003F1052" w:rsidRPr="00B231BC">
        <w:rPr>
          <w:rFonts w:ascii="Palatino Linotype" w:hAnsi="Palatino Linotype" w:cs="Arial"/>
          <w:sz w:val="24"/>
          <w:szCs w:val="24"/>
        </w:rPr>
        <w:t>lo anterior en razón de que</w:t>
      </w:r>
      <w:r w:rsidR="00B70B34">
        <w:rPr>
          <w:rFonts w:ascii="Palatino Linotype" w:hAnsi="Palatino Linotype" w:cs="Arial"/>
          <w:sz w:val="24"/>
          <w:szCs w:val="24"/>
        </w:rPr>
        <w:t xml:space="preserve"> la información remitida en respuesta se encuentra testada de manera incorrecta, así mismo el Sujeto Obligado fue omiso en remitir la información referente a los recursos estatales</w:t>
      </w:r>
      <w:r w:rsidRPr="004C6C07">
        <w:rPr>
          <w:rFonts w:ascii="Palatino Linotype" w:hAnsi="Palatino Linotype" w:cs="Arial"/>
          <w:sz w:val="24"/>
          <w:szCs w:val="24"/>
        </w:rPr>
        <w:t>, por</w:t>
      </w:r>
      <w:r>
        <w:rPr>
          <w:rFonts w:ascii="Palatino Linotype" w:hAnsi="Palatino Linotype" w:cs="Arial"/>
          <w:sz w:val="24"/>
          <w:szCs w:val="24"/>
        </w:rPr>
        <w:t xml:space="preserve"> lo </w:t>
      </w:r>
      <w:r w:rsidRPr="004C6C07">
        <w:rPr>
          <w:rFonts w:ascii="Palatino Linotype" w:hAnsi="Palatino Linotype" w:cs="Arial"/>
          <w:sz w:val="24"/>
          <w:szCs w:val="24"/>
          <w:lang w:eastAsia="es-MX"/>
        </w:rPr>
        <w:lastRenderedPageBreak/>
        <w:t>que se considera procedente</w:t>
      </w:r>
      <w:r>
        <w:rPr>
          <w:rFonts w:ascii="Palatino Linotype" w:hAnsi="Palatino Linotype" w:cs="Arial"/>
          <w:sz w:val="24"/>
          <w:szCs w:val="24"/>
          <w:lang w:eastAsia="es-MX"/>
        </w:rPr>
        <w:t xml:space="preserve"> ordenar </w:t>
      </w:r>
      <w:r w:rsidR="00A868F5">
        <w:rPr>
          <w:rFonts w:ascii="Palatino Linotype" w:hAnsi="Palatino Linotype" w:cs="Arial"/>
          <w:sz w:val="24"/>
          <w:szCs w:val="24"/>
          <w:lang w:eastAsia="es-MX"/>
        </w:rPr>
        <w:t xml:space="preserve">a dicha autoridad atienda la solicitud de información </w:t>
      </w:r>
      <w:r>
        <w:rPr>
          <w:rFonts w:ascii="Palatino Linotype" w:hAnsi="Palatino Linotype" w:cs="Arial"/>
          <w:sz w:val="24"/>
          <w:szCs w:val="24"/>
          <w:lang w:eastAsia="es-MX"/>
        </w:rPr>
        <w:t xml:space="preserve">por el periodo comprendido del </w:t>
      </w:r>
      <w:r w:rsidR="003F1052">
        <w:rPr>
          <w:rFonts w:ascii="Palatino Linotype" w:hAnsi="Palatino Linotype" w:cs="Arial"/>
          <w:sz w:val="24"/>
          <w:szCs w:val="24"/>
        </w:rPr>
        <w:t>uno de enero</w:t>
      </w:r>
      <w:r>
        <w:rPr>
          <w:rFonts w:ascii="Palatino Linotype" w:hAnsi="Palatino Linotype" w:cs="Arial"/>
          <w:sz w:val="24"/>
          <w:szCs w:val="24"/>
        </w:rPr>
        <w:t xml:space="preserve"> al </w:t>
      </w:r>
      <w:r w:rsidR="003F1052">
        <w:rPr>
          <w:rFonts w:ascii="Palatino Linotype" w:hAnsi="Palatino Linotype" w:cs="Arial"/>
          <w:sz w:val="24"/>
          <w:szCs w:val="24"/>
        </w:rPr>
        <w:t>veintiuno de octubre de dos mil diecinueve</w:t>
      </w:r>
      <w:r>
        <w:rPr>
          <w:rFonts w:ascii="Palatino Linotype" w:hAnsi="Palatino Linotype" w:cs="Arial"/>
          <w:sz w:val="24"/>
          <w:szCs w:val="24"/>
          <w:lang w:eastAsia="es-MX"/>
        </w:rPr>
        <w:t xml:space="preserve"> para hacer entrega de la información correspondiente </w:t>
      </w:r>
      <w:r w:rsidR="008A2BF3">
        <w:rPr>
          <w:rFonts w:ascii="Palatino Linotype" w:hAnsi="Palatino Linotype" w:cs="Arial"/>
          <w:sz w:val="24"/>
          <w:szCs w:val="24"/>
          <w:lang w:eastAsia="es-MX"/>
        </w:rPr>
        <w:t>a l</w:t>
      </w:r>
      <w:r w:rsidR="008A2BF3" w:rsidRPr="008A2BF3">
        <w:rPr>
          <w:rFonts w:ascii="Palatino Linotype" w:hAnsi="Palatino Linotype" w:cs="Arial"/>
          <w:sz w:val="24"/>
          <w:szCs w:val="24"/>
          <w:lang w:eastAsia="es-MX"/>
        </w:rPr>
        <w:t xml:space="preserve">os contratos y facturas derivados de los bienes adquiridos y arrendados </w:t>
      </w:r>
      <w:r w:rsidR="00A868F5">
        <w:rPr>
          <w:rFonts w:ascii="Palatino Linotype" w:hAnsi="Palatino Linotype" w:cs="Arial"/>
          <w:sz w:val="24"/>
          <w:szCs w:val="24"/>
          <w:lang w:eastAsia="es-MX"/>
        </w:rPr>
        <w:t>con recursos federales y locales</w:t>
      </w:r>
      <w:r w:rsidR="008A2BF3" w:rsidRPr="008A2BF3">
        <w:rPr>
          <w:rFonts w:ascii="Palatino Linotype" w:hAnsi="Palatino Linotype" w:cs="Arial"/>
          <w:sz w:val="24"/>
          <w:szCs w:val="24"/>
          <w:lang w:eastAsia="es-MX"/>
        </w:rPr>
        <w:t xml:space="preserve"> e</w:t>
      </w:r>
      <w:r w:rsidR="008A2BF3">
        <w:rPr>
          <w:rFonts w:ascii="Palatino Linotype" w:hAnsi="Palatino Linotype" w:cs="Arial"/>
          <w:sz w:val="24"/>
          <w:szCs w:val="24"/>
          <w:lang w:eastAsia="es-MX"/>
        </w:rPr>
        <w:t>n materia de seguridad pública.</w:t>
      </w:r>
    </w:p>
    <w:p w:rsidR="0060166A" w:rsidRDefault="0060166A" w:rsidP="009D70C5">
      <w:pPr>
        <w:spacing w:line="360" w:lineRule="auto"/>
        <w:jc w:val="both"/>
        <w:rPr>
          <w:rFonts w:ascii="Palatino Linotype" w:hAnsi="Palatino Linotype" w:cs="Arial"/>
          <w:sz w:val="24"/>
          <w:szCs w:val="24"/>
          <w:lang w:eastAsia="es-MX"/>
        </w:rPr>
      </w:pPr>
    </w:p>
    <w:p w:rsidR="0060166A" w:rsidRPr="005107EA" w:rsidRDefault="0060166A" w:rsidP="0060166A">
      <w:pPr>
        <w:pStyle w:val="Sinespaciado"/>
        <w:numPr>
          <w:ilvl w:val="0"/>
          <w:numId w:val="38"/>
        </w:numPr>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60166A" w:rsidRPr="00477BC7" w:rsidRDefault="0060166A" w:rsidP="0060166A">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60166A" w:rsidRPr="00477BC7" w:rsidRDefault="0060166A" w:rsidP="0060166A">
      <w:pPr>
        <w:spacing w:after="0" w:line="360" w:lineRule="auto"/>
        <w:jc w:val="both"/>
        <w:rPr>
          <w:rFonts w:ascii="Palatino Linotype" w:eastAsia="Arial Unicode MS"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60166A" w:rsidRPr="00477BC7" w:rsidRDefault="0060166A" w:rsidP="0060166A">
      <w:pPr>
        <w:spacing w:after="0" w:line="360" w:lineRule="auto"/>
        <w:jc w:val="both"/>
        <w:rPr>
          <w:rFonts w:ascii="Palatino Linotype" w:eastAsia="Times New Roman" w:hAnsi="Palatino Linotype" w:cs="Times New Roman"/>
          <w:b/>
          <w:bCs/>
          <w:i/>
          <w:noProof/>
          <w:sz w:val="24"/>
          <w:szCs w:val="24"/>
          <w:lang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60166A" w:rsidRPr="00477BC7" w:rsidRDefault="0060166A" w:rsidP="0060166A">
      <w:pPr>
        <w:spacing w:after="0" w:line="240" w:lineRule="auto"/>
        <w:ind w:left="567" w:right="616"/>
        <w:jc w:val="both"/>
        <w:rPr>
          <w:rFonts w:ascii="Palatino Linotype" w:eastAsia="Times New Roman" w:hAnsi="Palatino Linotype" w:cs="Times New Roman"/>
          <w:sz w:val="24"/>
          <w:szCs w:val="24"/>
          <w:lang w:eastAsia="es-ES"/>
        </w:rPr>
      </w:pP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lastRenderedPageBreak/>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60166A" w:rsidRPr="00477BC7" w:rsidRDefault="0060166A" w:rsidP="0060166A">
      <w:pPr>
        <w:spacing w:after="0" w:line="360" w:lineRule="auto"/>
        <w:jc w:val="both"/>
        <w:rPr>
          <w:rFonts w:ascii="Palatino Linotype" w:eastAsia="Arial Unicode MS"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Default="0060166A" w:rsidP="0060166A">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477BC7">
        <w:rPr>
          <w:rFonts w:ascii="Palatino Linotype" w:eastAsia="Arial Unicode MS" w:hAnsi="Palatino Linotype" w:cs="Times New Roman"/>
          <w:sz w:val="24"/>
          <w:szCs w:val="24"/>
          <w:lang w:val="es-ES" w:eastAsia="es-ES"/>
        </w:rPr>
        <w:lastRenderedPageBreak/>
        <w:t xml:space="preserve">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60166A" w:rsidRPr="00477BC7" w:rsidRDefault="0060166A" w:rsidP="0060166A">
      <w:pPr>
        <w:spacing w:after="0" w:line="360" w:lineRule="auto"/>
        <w:jc w:val="both"/>
        <w:rPr>
          <w:rFonts w:ascii="Palatino Linotype" w:eastAsia="Arial Unicode MS"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w:t>
      </w:r>
      <w:r w:rsidRPr="00477BC7">
        <w:rPr>
          <w:rFonts w:ascii="Palatino Linotype" w:eastAsia="Times New Roman" w:hAnsi="Palatino Linotype" w:cs="Times New Roman"/>
          <w:sz w:val="24"/>
          <w:szCs w:val="24"/>
          <w:lang w:val="es-ES_tradnl" w:eastAsia="es-ES"/>
        </w:rPr>
        <w:lastRenderedPageBreak/>
        <w:t xml:space="preserve">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Default="0060166A" w:rsidP="0060166A">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60166A" w:rsidRPr="00477BC7" w:rsidRDefault="0060166A" w:rsidP="0060166A">
      <w:pPr>
        <w:spacing w:after="0" w:line="360" w:lineRule="auto"/>
        <w:jc w:val="both"/>
        <w:rPr>
          <w:rFonts w:ascii="Palatino Linotype" w:eastAsia="Times New Roman" w:hAnsi="Palatino Linotype" w:cs="Times New Roman"/>
          <w:sz w:val="24"/>
          <w:szCs w:val="24"/>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w:t>
      </w:r>
      <w:r w:rsidRPr="00477BC7">
        <w:rPr>
          <w:rFonts w:ascii="Palatino Linotype" w:eastAsia="Times New Roman" w:hAnsi="Palatino Linotype" w:cs="Times New Roman"/>
          <w:sz w:val="24"/>
          <w:szCs w:val="24"/>
          <w:lang w:val="es-ES" w:eastAsia="es-MX"/>
        </w:rPr>
        <w:lastRenderedPageBreak/>
        <w:t>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60166A" w:rsidRPr="00477BC7" w:rsidRDefault="0060166A" w:rsidP="0060166A">
      <w:pPr>
        <w:spacing w:after="0" w:line="360" w:lineRule="auto"/>
        <w:jc w:val="both"/>
        <w:rPr>
          <w:rFonts w:ascii="Palatino Linotype" w:eastAsia="Times New Roman" w:hAnsi="Palatino Linotype" w:cs="Times New Roman"/>
          <w:b/>
          <w:bCs/>
          <w:sz w:val="24"/>
          <w:szCs w:val="24"/>
          <w:lang w:val="es-ES"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 xml:space="preserve">constituye un dato personal, ya que tiene como finalidad registrar a cada una de las personas que </w:t>
      </w:r>
      <w:r w:rsidRPr="00477BC7">
        <w:rPr>
          <w:rFonts w:ascii="Palatino Linotype" w:eastAsia="Times New Roman" w:hAnsi="Palatino Linotype" w:cs="Times New Roman"/>
          <w:sz w:val="24"/>
          <w:szCs w:val="24"/>
          <w:lang w:val="es-ES" w:eastAsia="es-MX"/>
        </w:rPr>
        <w:lastRenderedPageBreak/>
        <w:t>integran la población del país, con los datos que permitan certificar y acreditar fehacientemente su identidad, la cual servirá para identificarla de manera individual.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60166A" w:rsidRPr="00477BC7" w:rsidRDefault="0060166A" w:rsidP="0060166A">
      <w:pPr>
        <w:spacing w:after="0" w:line="240" w:lineRule="auto"/>
        <w:ind w:left="709" w:right="757"/>
        <w:jc w:val="both"/>
        <w:rPr>
          <w:rFonts w:ascii="Palatino Linotype" w:eastAsia="Times New Roman" w:hAnsi="Palatino Linotype" w:cs="Arial"/>
          <w:i/>
          <w:szCs w:val="24"/>
          <w:lang w:val="es-ES" w:eastAsia="es-MX"/>
        </w:rPr>
      </w:pPr>
    </w:p>
    <w:p w:rsidR="0060166A" w:rsidRPr="00477BC7" w:rsidRDefault="0060166A" w:rsidP="0060166A">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rsidR="0060166A" w:rsidRPr="00477BC7" w:rsidRDefault="0060166A" w:rsidP="0060166A">
      <w:pPr>
        <w:spacing w:after="0" w:line="360" w:lineRule="auto"/>
        <w:jc w:val="both"/>
        <w:rPr>
          <w:rFonts w:ascii="Palatino Linotype" w:eastAsia="Times New Roman" w:hAnsi="Palatino Linotype" w:cs="Arial"/>
          <w:sz w:val="24"/>
          <w:szCs w:val="24"/>
          <w:lang w:val="es-ES" w:eastAsia="es-MX"/>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0166A" w:rsidRPr="00477BC7" w:rsidRDefault="0060166A" w:rsidP="0060166A">
      <w:pPr>
        <w:spacing w:after="0" w:line="240" w:lineRule="auto"/>
        <w:ind w:left="567" w:right="616"/>
        <w:jc w:val="both"/>
        <w:rPr>
          <w:rFonts w:ascii="Palatino Linotype" w:eastAsia="Times New Roman" w:hAnsi="Palatino Linotype" w:cs="Arial"/>
          <w:bCs/>
          <w:i/>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w:t>
      </w:r>
      <w:r w:rsidRPr="00477BC7">
        <w:rPr>
          <w:rFonts w:ascii="Palatino Linotype" w:eastAsia="Times New Roman" w:hAnsi="Palatino Linotype" w:cs="Times New Roman"/>
          <w:sz w:val="24"/>
          <w:szCs w:val="24"/>
          <w:lang w:val="es-ES" w:eastAsia="es-MX"/>
        </w:rPr>
        <w:lastRenderedPageBreak/>
        <w:t xml:space="preserve">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VI. Obligaciones a cargo del servidor público con las que haya consentido, derivadas de la adquisición o del uso de habitaciones consideradas como de interés social;</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p>
    <w:p w:rsidR="0060166A" w:rsidRPr="00477BC7" w:rsidRDefault="0060166A" w:rsidP="0060166A">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 xml:space="preserve">cuando clasifique un documento, ya sea en todo o en parte, debe atender lo dispuesto por la Ley de la materia, siendo </w:t>
      </w:r>
      <w:r w:rsidRPr="00477BC7">
        <w:rPr>
          <w:rFonts w:ascii="Palatino Linotype" w:eastAsia="Times New Roman" w:hAnsi="Palatino Linotype" w:cs="Times New Roman"/>
          <w:sz w:val="24"/>
          <w:szCs w:val="24"/>
          <w:lang w:eastAsia="es-MX"/>
        </w:rPr>
        <w:lastRenderedPageBreak/>
        <w:t>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p>
    <w:p w:rsidR="0060166A" w:rsidRPr="00477BC7" w:rsidRDefault="0060166A" w:rsidP="0060166A">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0166A" w:rsidRPr="00477BC7" w:rsidRDefault="0060166A" w:rsidP="0060166A">
      <w:pPr>
        <w:spacing w:after="0" w:line="360" w:lineRule="auto"/>
        <w:jc w:val="both"/>
        <w:rPr>
          <w:rFonts w:ascii="Palatino Linotype" w:eastAsia="Calibri"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w:t>
      </w:r>
      <w:r w:rsidRPr="00477BC7">
        <w:rPr>
          <w:rFonts w:ascii="Palatino Linotype" w:eastAsia="Times New Roman" w:hAnsi="Palatino Linotype" w:cs="Times New Roman"/>
          <w:sz w:val="24"/>
          <w:szCs w:val="24"/>
          <w:lang w:eastAsia="es-ES"/>
        </w:rPr>
        <w:lastRenderedPageBreak/>
        <w:t>y Desclasificación de la Información, así como para la elaboración de Versiones Públicas, que literalmente expresan:</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lastRenderedPageBreak/>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60166A" w:rsidRPr="00477BC7" w:rsidRDefault="0060166A" w:rsidP="0060166A">
      <w:pPr>
        <w:spacing w:after="0" w:line="360" w:lineRule="auto"/>
        <w:jc w:val="both"/>
        <w:rPr>
          <w:rFonts w:ascii="Palatino Linotype" w:eastAsia="Times New Roman" w:hAnsi="Palatino Linotype" w:cs="Arial"/>
          <w:i/>
          <w:sz w:val="24"/>
          <w:szCs w:val="24"/>
          <w:lang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segundo, las razones, motivos o circunstancias especiales que llevaron a la autoridad a </w:t>
      </w:r>
      <w:r w:rsidRPr="00477BC7">
        <w:rPr>
          <w:rFonts w:ascii="Palatino Linotype" w:eastAsia="Times New Roman" w:hAnsi="Palatino Linotype" w:cs="Times New Roman"/>
          <w:i/>
          <w:lang w:eastAsia="es-ES"/>
        </w:rPr>
        <w:lastRenderedPageBreak/>
        <w:t>concluir que el caso particular encuadra en el supuesto previsto por la norma legal invocada como fundamento.</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185A85"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A21B0D" w:rsidRDefault="00A21B0D" w:rsidP="008706DB">
      <w:pPr>
        <w:pStyle w:val="Textonotapie"/>
      </w:pPr>
    </w:p>
    <w:p w:rsidR="00787C6A" w:rsidRPr="007C5203" w:rsidRDefault="00787C6A" w:rsidP="00787C6A">
      <w:pPr>
        <w:autoSpaceDE w:val="0"/>
        <w:autoSpaceDN w:val="0"/>
        <w:adjustRightInd w:val="0"/>
        <w:spacing w:before="240" w:after="240" w:line="360" w:lineRule="auto"/>
        <w:jc w:val="both"/>
        <w:rPr>
          <w:rFonts w:ascii="Palatino Linotype" w:eastAsia="Calibri" w:hAnsi="Palatino Linotype" w:cs="Arial"/>
          <w:sz w:val="24"/>
        </w:rPr>
      </w:pPr>
      <w:r w:rsidRPr="007C5203">
        <w:rPr>
          <w:rFonts w:ascii="Palatino Linotype" w:eastAsia="Calibri" w:hAnsi="Palatino Linotype" w:cs="Arial"/>
          <w:sz w:val="24"/>
        </w:rPr>
        <w:t xml:space="preserve">Así, con </w:t>
      </w:r>
      <w:r w:rsidRPr="007C5203">
        <w:rPr>
          <w:rFonts w:ascii="Palatino Linotype" w:hAnsi="Palatino Linotype" w:cs="Arial"/>
          <w:sz w:val="24"/>
        </w:rPr>
        <w:t>fundamento</w:t>
      </w:r>
      <w:r w:rsidRPr="007C5203">
        <w:rPr>
          <w:rFonts w:ascii="Palatino Linotype" w:eastAsia="Calibri" w:hAnsi="Palatino Linotype" w:cs="Arial"/>
          <w:sz w:val="24"/>
        </w:rPr>
        <w:t xml:space="preserve"> en lo prescrito en los artículos 5 párrafos </w:t>
      </w:r>
      <w:r w:rsidRPr="007C5203">
        <w:rPr>
          <w:rFonts w:ascii="Palatino Linotype" w:hAnsi="Palatino Linotype"/>
          <w:sz w:val="24"/>
        </w:rPr>
        <w:t>vigésimo</w:t>
      </w:r>
      <w:r w:rsidR="00224F85">
        <w:rPr>
          <w:rFonts w:ascii="Palatino Linotype" w:hAnsi="Palatino Linotype"/>
          <w:sz w:val="24"/>
        </w:rPr>
        <w:t xml:space="preserve"> segundo</w:t>
      </w:r>
      <w:r w:rsidRPr="007C5203">
        <w:rPr>
          <w:rFonts w:ascii="Palatino Linotype" w:hAnsi="Palatino Linotype"/>
          <w:sz w:val="24"/>
        </w:rPr>
        <w:t xml:space="preserve">, vigésimo </w:t>
      </w:r>
      <w:r w:rsidR="00224F85">
        <w:rPr>
          <w:rFonts w:ascii="Palatino Linotype" w:hAnsi="Palatino Linotype"/>
          <w:sz w:val="24"/>
        </w:rPr>
        <w:t>tercero</w:t>
      </w:r>
      <w:r w:rsidRPr="007C5203">
        <w:rPr>
          <w:rFonts w:ascii="Palatino Linotype" w:hAnsi="Palatino Linotype"/>
          <w:sz w:val="24"/>
        </w:rPr>
        <w:t xml:space="preserve"> y vigésimo </w:t>
      </w:r>
      <w:r w:rsidR="00224F85">
        <w:rPr>
          <w:rFonts w:ascii="Palatino Linotype" w:hAnsi="Palatino Linotype"/>
          <w:sz w:val="24"/>
        </w:rPr>
        <w:t>cuarto</w:t>
      </w:r>
      <w:r w:rsidRPr="007C5203">
        <w:rPr>
          <w:rFonts w:ascii="Palatino Linotype" w:hAnsi="Palatino Linotype"/>
          <w:sz w:val="24"/>
        </w:rPr>
        <w:t>, fracciones IV y V</w:t>
      </w:r>
      <w:r w:rsidRPr="007C5203">
        <w:rPr>
          <w:rFonts w:ascii="Palatino Linotype" w:eastAsia="Calibri" w:hAnsi="Palatino Linotype" w:cs="Arial"/>
          <w:sz w:val="24"/>
        </w:rPr>
        <w:t xml:space="preserve"> de la Constitución Política del Estado Libre y Soberano de México; </w:t>
      </w:r>
      <w:r w:rsidRPr="007C5203">
        <w:rPr>
          <w:rFonts w:ascii="Palatino Linotype" w:hAnsi="Palatino Linotype"/>
          <w:sz w:val="24"/>
        </w:rPr>
        <w:t>2, fracción II, 9, 29, 36, fracciones I y II, 176, 178, 179, 181, 185, fracción I, 186 y 188</w:t>
      </w:r>
      <w:r w:rsidRPr="007C5203">
        <w:rPr>
          <w:rFonts w:ascii="Palatino Linotype" w:eastAsia="Calibri" w:hAnsi="Palatino Linotype" w:cs="Arial"/>
          <w:sz w:val="24"/>
        </w:rPr>
        <w:t xml:space="preserve"> de la Ley de Transparencia y Acceso a la Información Pública del Estado de México y Municipios, este Pleno:</w:t>
      </w:r>
    </w:p>
    <w:p w:rsidR="0034713F" w:rsidRPr="003D584C" w:rsidRDefault="0034713F" w:rsidP="0034713F">
      <w:pPr>
        <w:tabs>
          <w:tab w:val="left" w:pos="709"/>
        </w:tabs>
        <w:spacing w:before="240" w:line="360" w:lineRule="auto"/>
        <w:ind w:right="51"/>
        <w:jc w:val="both"/>
        <w:rPr>
          <w:rFonts w:ascii="Palatino Linotype" w:hAnsi="Palatino Linotype"/>
          <w:sz w:val="24"/>
          <w:szCs w:val="24"/>
        </w:rPr>
      </w:pPr>
      <w:r w:rsidRPr="003D584C">
        <w:rPr>
          <w:rFonts w:ascii="Palatino Linotype" w:hAnsi="Palatino Linotype"/>
          <w:sz w:val="24"/>
          <w:szCs w:val="24"/>
        </w:rPr>
        <w:t>Por lo antes expuesto y fundado es de resolverse y;</w:t>
      </w:r>
    </w:p>
    <w:p w:rsidR="00BB536F" w:rsidRPr="0066612D" w:rsidRDefault="00BB536F" w:rsidP="00C24FAE">
      <w:pPr>
        <w:pStyle w:val="Sinespaciado"/>
        <w:spacing w:line="360" w:lineRule="auto"/>
        <w:jc w:val="center"/>
        <w:rPr>
          <w:rFonts w:ascii="Palatino Linotype" w:hAnsi="Palatino Linotype"/>
          <w:b/>
          <w:bCs/>
          <w:spacing w:val="60"/>
          <w:sz w:val="14"/>
          <w:szCs w:val="28"/>
          <w:lang w:val="es-ES_tradnl"/>
        </w:rPr>
      </w:pPr>
    </w:p>
    <w:p w:rsidR="00C24FAE" w:rsidRDefault="00C24FAE" w:rsidP="00C24FAE">
      <w:pPr>
        <w:pStyle w:val="Sinespaciado"/>
        <w:spacing w:line="360" w:lineRule="auto"/>
        <w:jc w:val="center"/>
        <w:rPr>
          <w:rFonts w:ascii="Palatino Linotype" w:hAnsi="Palatino Linotype"/>
          <w:b/>
          <w:bCs/>
          <w:spacing w:val="60"/>
          <w:sz w:val="28"/>
          <w:szCs w:val="28"/>
          <w:lang w:val="es-ES_tradnl"/>
        </w:rPr>
      </w:pPr>
      <w:r w:rsidRPr="00203FF2">
        <w:rPr>
          <w:rFonts w:ascii="Palatino Linotype" w:hAnsi="Palatino Linotype"/>
          <w:b/>
          <w:bCs/>
          <w:spacing w:val="60"/>
          <w:sz w:val="28"/>
          <w:szCs w:val="28"/>
          <w:lang w:val="es-ES_tradnl"/>
        </w:rPr>
        <w:t>RESUELVE</w:t>
      </w:r>
    </w:p>
    <w:p w:rsidR="0060166A" w:rsidRDefault="0060166A" w:rsidP="0060166A">
      <w:pPr>
        <w:tabs>
          <w:tab w:val="left" w:pos="8647"/>
        </w:tabs>
        <w:spacing w:after="0" w:line="360" w:lineRule="auto"/>
        <w:ind w:right="51"/>
        <w:jc w:val="both"/>
        <w:rPr>
          <w:rFonts w:ascii="Palatino Linotype" w:hAnsi="Palatino Linotype" w:cs="Arial"/>
          <w:sz w:val="24"/>
          <w:szCs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050692" w:rsidRPr="00921CA9">
        <w:rPr>
          <w:rFonts w:ascii="Palatino Linotype" w:hAnsi="Palatino Linotype" w:cs="Arial"/>
          <w:sz w:val="24"/>
          <w:szCs w:val="24"/>
          <w:lang w:val="es-ES_tradnl"/>
        </w:rPr>
        <w:t xml:space="preserve">Se </w:t>
      </w:r>
      <w:r w:rsidR="00275FCA">
        <w:rPr>
          <w:rFonts w:ascii="Palatino Linotype" w:hAnsi="Palatino Linotype" w:cs="Arial"/>
          <w:b/>
          <w:sz w:val="24"/>
          <w:szCs w:val="24"/>
          <w:lang w:val="es-ES_tradnl"/>
        </w:rPr>
        <w:t>REVOCA</w:t>
      </w:r>
      <w:r w:rsidR="00050692" w:rsidRPr="00921CA9">
        <w:rPr>
          <w:rFonts w:ascii="Palatino Linotype" w:hAnsi="Palatino Linotype" w:cs="Arial"/>
          <w:sz w:val="24"/>
          <w:szCs w:val="24"/>
          <w:lang w:val="es-ES_tradnl"/>
        </w:rPr>
        <w:t xml:space="preserve"> </w:t>
      </w:r>
      <w:r w:rsidR="00050692" w:rsidRPr="00921CA9">
        <w:rPr>
          <w:rFonts w:ascii="Palatino Linotype" w:eastAsia="Arial Unicode MS" w:hAnsi="Palatino Linotype" w:cs="Arial"/>
          <w:sz w:val="24"/>
          <w:szCs w:val="24"/>
        </w:rPr>
        <w:t xml:space="preserve">la respuesta entregada por </w:t>
      </w:r>
      <w:r w:rsidR="00050692">
        <w:rPr>
          <w:rFonts w:ascii="Palatino Linotype" w:eastAsia="Arial Unicode MS" w:hAnsi="Palatino Linotype" w:cs="Arial"/>
          <w:b/>
          <w:sz w:val="24"/>
          <w:szCs w:val="24"/>
        </w:rPr>
        <w:t>E</w:t>
      </w:r>
      <w:r w:rsidR="00050692" w:rsidRPr="00921CA9">
        <w:rPr>
          <w:rFonts w:ascii="Palatino Linotype" w:eastAsia="Arial Unicode MS" w:hAnsi="Palatino Linotype" w:cs="Arial"/>
          <w:b/>
          <w:sz w:val="24"/>
          <w:szCs w:val="24"/>
        </w:rPr>
        <w:t xml:space="preserve">l Sujeto Obligado </w:t>
      </w:r>
      <w:r w:rsidR="00050692" w:rsidRPr="00921CA9">
        <w:rPr>
          <w:rFonts w:ascii="Palatino Linotype" w:eastAsia="Arial Unicode MS" w:hAnsi="Palatino Linotype" w:cs="Arial"/>
          <w:sz w:val="24"/>
          <w:szCs w:val="24"/>
        </w:rPr>
        <w:t>a la solicitud de información número</w:t>
      </w:r>
      <w:r w:rsidR="00050692" w:rsidRPr="00C24737">
        <w:rPr>
          <w:rFonts w:ascii="Palatino Linotype" w:hAnsi="Palatino Linotype" w:cs="Arial"/>
          <w:b/>
          <w:sz w:val="24"/>
        </w:rPr>
        <w:t xml:space="preserve">   </w:t>
      </w:r>
      <w:r w:rsidR="00050692" w:rsidRPr="00050692">
        <w:rPr>
          <w:rFonts w:ascii="Palatino Linotype" w:hAnsi="Palatino Linotype" w:cs="Arial"/>
          <w:b/>
          <w:sz w:val="24"/>
        </w:rPr>
        <w:t>00164/IXTLAHUA/IP/2019</w:t>
      </w:r>
      <w:r w:rsidR="00050692" w:rsidRPr="00921CA9">
        <w:rPr>
          <w:rFonts w:ascii="Palatino Linotype" w:eastAsia="Arial Unicode MS" w:hAnsi="Palatino Linotype" w:cs="Arial"/>
          <w:sz w:val="24"/>
          <w:szCs w:val="24"/>
        </w:rPr>
        <w:t xml:space="preserve">, por resultar </w:t>
      </w:r>
      <w:r w:rsidR="00050692">
        <w:rPr>
          <w:rFonts w:ascii="Palatino Linotype" w:eastAsia="Arial Unicode MS" w:hAnsi="Palatino Linotype" w:cs="Arial"/>
          <w:sz w:val="24"/>
          <w:szCs w:val="24"/>
        </w:rPr>
        <w:t xml:space="preserve">parcialmente </w:t>
      </w:r>
      <w:r w:rsidR="00050692" w:rsidRPr="00921CA9">
        <w:rPr>
          <w:rFonts w:ascii="Palatino Linotype" w:eastAsia="Arial Unicode MS" w:hAnsi="Palatino Linotype" w:cs="Arial"/>
          <w:sz w:val="24"/>
          <w:szCs w:val="24"/>
        </w:rPr>
        <w:t>fundados</w:t>
      </w:r>
      <w:r w:rsidR="00050692">
        <w:rPr>
          <w:rFonts w:ascii="Palatino Linotype" w:eastAsia="Arial Unicode MS" w:hAnsi="Palatino Linotype" w:cs="Arial"/>
          <w:sz w:val="24"/>
          <w:szCs w:val="24"/>
        </w:rPr>
        <w:t xml:space="preserve"> </w:t>
      </w:r>
      <w:r w:rsidR="00050692" w:rsidRPr="00921CA9">
        <w:rPr>
          <w:rFonts w:ascii="Palatino Linotype" w:eastAsia="Arial Unicode MS" w:hAnsi="Palatino Linotype" w:cs="Arial"/>
          <w:sz w:val="24"/>
          <w:szCs w:val="24"/>
        </w:rPr>
        <w:t xml:space="preserve">los motivos de inconformidad que arguye </w:t>
      </w:r>
      <w:r w:rsidR="00050692">
        <w:rPr>
          <w:rFonts w:ascii="Palatino Linotype" w:eastAsia="Arial Unicode MS" w:hAnsi="Palatino Linotype" w:cs="Arial"/>
          <w:b/>
          <w:sz w:val="24"/>
          <w:szCs w:val="24"/>
        </w:rPr>
        <w:t>el r</w:t>
      </w:r>
      <w:r w:rsidR="00050692" w:rsidRPr="00ED005B">
        <w:rPr>
          <w:rFonts w:ascii="Palatino Linotype" w:eastAsia="Arial Unicode MS" w:hAnsi="Palatino Linotype" w:cs="Arial"/>
          <w:b/>
          <w:sz w:val="24"/>
          <w:szCs w:val="24"/>
        </w:rPr>
        <w:t>ecurrente</w:t>
      </w:r>
      <w:r w:rsidR="00050692" w:rsidRPr="00921CA9">
        <w:rPr>
          <w:rFonts w:ascii="Palatino Linotype" w:eastAsia="Arial Unicode MS" w:hAnsi="Palatino Linotype" w:cs="Arial"/>
          <w:sz w:val="24"/>
          <w:szCs w:val="24"/>
        </w:rPr>
        <w:t>, en términos del</w:t>
      </w:r>
      <w:r w:rsidR="00050692" w:rsidRPr="00921CA9">
        <w:rPr>
          <w:rFonts w:ascii="Palatino Linotype" w:eastAsia="Arial Unicode MS" w:hAnsi="Palatino Linotype" w:cs="Arial"/>
          <w:b/>
          <w:sz w:val="24"/>
          <w:szCs w:val="24"/>
        </w:rPr>
        <w:t xml:space="preserve"> </w:t>
      </w:r>
      <w:r w:rsidR="00050692" w:rsidRPr="00412EBF">
        <w:rPr>
          <w:rFonts w:ascii="Palatino Linotype" w:hAnsi="Palatino Linotype" w:cs="Arial"/>
          <w:sz w:val="24"/>
          <w:szCs w:val="24"/>
        </w:rPr>
        <w:t>considerando</w:t>
      </w:r>
      <w:r w:rsidR="00050692">
        <w:rPr>
          <w:rFonts w:ascii="Palatino Linotype" w:hAnsi="Palatino Linotype" w:cs="Arial"/>
          <w:b/>
          <w:sz w:val="24"/>
          <w:szCs w:val="24"/>
        </w:rPr>
        <w:t xml:space="preserve"> quinto</w:t>
      </w:r>
      <w:r w:rsidR="00050692" w:rsidRPr="00921CA9">
        <w:rPr>
          <w:rFonts w:ascii="Palatino Linotype" w:hAnsi="Palatino Linotype" w:cs="Arial"/>
          <w:sz w:val="24"/>
          <w:szCs w:val="24"/>
        </w:rPr>
        <w:t xml:space="preserve"> de la presente resolución.</w:t>
      </w:r>
    </w:p>
    <w:p w:rsidR="0060166A" w:rsidRDefault="0060166A" w:rsidP="0060166A">
      <w:pPr>
        <w:spacing w:before="240" w:line="360" w:lineRule="auto"/>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sidR="00050692">
        <w:rPr>
          <w:rFonts w:ascii="Palatino Linotype" w:hAnsi="Palatino Linotype" w:cs="Arial"/>
          <w:sz w:val="24"/>
          <w:szCs w:val="24"/>
        </w:rPr>
        <w:t>haga entrega al recurrente,</w:t>
      </w:r>
      <w:r w:rsidR="00050692" w:rsidRPr="00BA3F2B">
        <w:rPr>
          <w:rFonts w:ascii="Palatino Linotype" w:hAnsi="Palatino Linotype" w:cs="Arial"/>
          <w:sz w:val="24"/>
          <w:szCs w:val="24"/>
        </w:rPr>
        <w:t xml:space="preserve"> </w:t>
      </w:r>
      <w:r w:rsidR="00050692">
        <w:rPr>
          <w:rFonts w:ascii="Palatino Linotype" w:hAnsi="Palatino Linotype" w:cs="Arial"/>
          <w:sz w:val="24"/>
          <w:szCs w:val="24"/>
        </w:rPr>
        <w:t xml:space="preserve">en términos de Considerando </w:t>
      </w:r>
      <w:r w:rsidR="00050692">
        <w:rPr>
          <w:rFonts w:ascii="Palatino Linotype" w:hAnsi="Palatino Linotype" w:cs="Arial"/>
          <w:b/>
          <w:sz w:val="24"/>
          <w:szCs w:val="24"/>
        </w:rPr>
        <w:t xml:space="preserve">quinto </w:t>
      </w:r>
      <w:r w:rsidR="00050692">
        <w:rPr>
          <w:rFonts w:ascii="Palatino Linotype" w:hAnsi="Palatino Linotype" w:cs="Arial"/>
          <w:sz w:val="24"/>
          <w:szCs w:val="24"/>
        </w:rPr>
        <w:t>de la presente resolución</w:t>
      </w:r>
      <w:r>
        <w:rPr>
          <w:rFonts w:ascii="Palatino Linotype" w:hAnsi="Palatino Linotype" w:cs="Arial"/>
          <w:sz w:val="24"/>
          <w:lang w:eastAsia="es-MX"/>
        </w:rPr>
        <w:t xml:space="preserve"> y haga entrega al recurrente, en versión pública, a través del SAIMEX</w:t>
      </w:r>
      <w:r w:rsidRPr="0060166A">
        <w:rPr>
          <w:rFonts w:ascii="Palatino Linotype" w:hAnsi="Palatino Linotype" w:cs="Arial"/>
          <w:sz w:val="24"/>
          <w:szCs w:val="24"/>
        </w:rPr>
        <w:t xml:space="preserve"> </w:t>
      </w:r>
      <w:r>
        <w:rPr>
          <w:rFonts w:ascii="Palatino Linotype" w:hAnsi="Palatino Linotype" w:cs="Arial"/>
          <w:sz w:val="24"/>
          <w:szCs w:val="24"/>
        </w:rPr>
        <w:t>y vía correo electrónico</w:t>
      </w:r>
      <w:r>
        <w:rPr>
          <w:rFonts w:ascii="Palatino Linotype" w:hAnsi="Palatino Linotype" w:cs="Arial"/>
          <w:sz w:val="24"/>
          <w:lang w:eastAsia="es-MX"/>
        </w:rPr>
        <w:t xml:space="preserve">, de </w:t>
      </w:r>
      <w:r w:rsidRPr="005558F4">
        <w:rPr>
          <w:rFonts w:ascii="Palatino Linotype" w:hAnsi="Palatino Linotype" w:cs="Arial"/>
          <w:sz w:val="24"/>
          <w:lang w:eastAsia="es-MX"/>
        </w:rPr>
        <w:t>lo siguiente</w:t>
      </w:r>
      <w:r>
        <w:rPr>
          <w:rFonts w:ascii="Palatino Linotype" w:hAnsi="Palatino Linotype" w:cs="Arial"/>
          <w:sz w:val="24"/>
          <w:lang w:eastAsia="es-MX"/>
        </w:rPr>
        <w:t>:</w:t>
      </w:r>
    </w:p>
    <w:p w:rsidR="00591189" w:rsidRPr="00655A88" w:rsidRDefault="00591189" w:rsidP="00316D23"/>
    <w:p w:rsidR="00087885" w:rsidRPr="00275FCA" w:rsidRDefault="00CA37A5" w:rsidP="00183E49">
      <w:pPr>
        <w:pStyle w:val="Prrafodelista"/>
        <w:numPr>
          <w:ilvl w:val="0"/>
          <w:numId w:val="27"/>
        </w:numPr>
        <w:tabs>
          <w:tab w:val="left" w:pos="8505"/>
        </w:tabs>
        <w:autoSpaceDE w:val="0"/>
        <w:autoSpaceDN w:val="0"/>
        <w:adjustRightInd w:val="0"/>
        <w:spacing w:before="240" w:line="360" w:lineRule="auto"/>
        <w:ind w:left="284" w:right="426" w:hanging="284"/>
        <w:jc w:val="both"/>
        <w:rPr>
          <w:rFonts w:ascii="Palatino Linotype" w:hAnsi="Palatino Linotype"/>
          <w:lang w:val="es-ES_tradnl"/>
        </w:rPr>
      </w:pPr>
      <w:r w:rsidRPr="00275FCA">
        <w:rPr>
          <w:rFonts w:ascii="Palatino Linotype" w:hAnsi="Palatino Linotype"/>
          <w:lang w:val="es-ES_tradnl"/>
        </w:rPr>
        <w:t xml:space="preserve">Los contratos y facturas </w:t>
      </w:r>
      <w:r w:rsidR="00264415" w:rsidRPr="00275FCA">
        <w:rPr>
          <w:rFonts w:ascii="Palatino Linotype" w:hAnsi="Palatino Linotype"/>
          <w:lang w:val="es-ES_tradnl"/>
        </w:rPr>
        <w:t>obtenidas</w:t>
      </w:r>
      <w:r w:rsidR="000D7B84" w:rsidRPr="00275FCA">
        <w:rPr>
          <w:rFonts w:ascii="Palatino Linotype" w:hAnsi="Palatino Linotype"/>
          <w:lang w:val="es-ES_tradnl"/>
        </w:rPr>
        <w:t xml:space="preserve"> por</w:t>
      </w:r>
      <w:r w:rsidR="00B246DA" w:rsidRPr="00275FCA">
        <w:rPr>
          <w:rFonts w:ascii="Palatino Linotype" w:hAnsi="Palatino Linotype"/>
          <w:lang w:val="es-ES_tradnl"/>
        </w:rPr>
        <w:t xml:space="preserve"> la compra o arrendamiento</w:t>
      </w:r>
      <w:r w:rsidR="00183E49" w:rsidRPr="00275FCA">
        <w:rPr>
          <w:rFonts w:ascii="Palatino Linotype" w:hAnsi="Palatino Linotype"/>
          <w:lang w:val="es-ES_tradnl"/>
        </w:rPr>
        <w:t xml:space="preserve"> de bienes </w:t>
      </w:r>
      <w:r w:rsidR="00C71AC8" w:rsidRPr="00275FCA">
        <w:rPr>
          <w:rFonts w:ascii="Palatino Linotype" w:hAnsi="Palatino Linotype"/>
          <w:lang w:val="es-ES_tradnl"/>
        </w:rPr>
        <w:t>en materia de seguridad, co</w:t>
      </w:r>
      <w:r w:rsidR="00FB3F2B" w:rsidRPr="00275FCA">
        <w:rPr>
          <w:rFonts w:ascii="Palatino Linotype" w:hAnsi="Palatino Linotype"/>
          <w:lang w:val="es-ES_tradnl"/>
        </w:rPr>
        <w:t>n recursos estatales</w:t>
      </w:r>
      <w:r w:rsidR="00C71AC8" w:rsidRPr="00275FCA">
        <w:rPr>
          <w:rFonts w:ascii="Palatino Linotype" w:hAnsi="Palatino Linotype"/>
          <w:lang w:val="es-ES_tradnl"/>
        </w:rPr>
        <w:t xml:space="preserve"> y federales por </w:t>
      </w:r>
      <w:r w:rsidR="000D7B84" w:rsidRPr="00275FCA">
        <w:rPr>
          <w:rFonts w:ascii="Palatino Linotype" w:hAnsi="Palatino Linotype"/>
          <w:lang w:val="es-ES_tradnl"/>
        </w:rPr>
        <w:t xml:space="preserve">el periodo comprendido del </w:t>
      </w:r>
      <w:r w:rsidR="00C71AC8" w:rsidRPr="00275FCA">
        <w:rPr>
          <w:rFonts w:ascii="Palatino Linotype" w:hAnsi="Palatino Linotype"/>
          <w:lang w:val="es-ES_tradnl"/>
        </w:rPr>
        <w:t>uno de enero al veintiuno de octubre</w:t>
      </w:r>
      <w:r w:rsidR="00B5796A" w:rsidRPr="00275FCA">
        <w:rPr>
          <w:rFonts w:ascii="Palatino Linotype" w:hAnsi="Palatino Linotype"/>
          <w:lang w:val="es-ES_tradnl"/>
        </w:rPr>
        <w:t xml:space="preserve"> de dos mil diecinueve. </w:t>
      </w:r>
    </w:p>
    <w:p w:rsidR="00D80A70" w:rsidRDefault="00D80A70" w:rsidP="00D80A70">
      <w:pPr>
        <w:pStyle w:val="Textonotapie"/>
        <w:rPr>
          <w:lang w:eastAsia="es-MX"/>
        </w:rPr>
      </w:pPr>
    </w:p>
    <w:p w:rsidR="00C71AC8" w:rsidRDefault="00C71AC8" w:rsidP="0066612D">
      <w:pPr>
        <w:pStyle w:val="Sinespaciado"/>
        <w:spacing w:line="360" w:lineRule="auto"/>
        <w:jc w:val="both"/>
        <w:rPr>
          <w:rFonts w:ascii="Palatino Linotype" w:hAnsi="Palatino Linotype" w:cs="Arial"/>
          <w:sz w:val="24"/>
        </w:rPr>
      </w:pPr>
    </w:p>
    <w:p w:rsidR="0066612D" w:rsidRPr="00183E49" w:rsidRDefault="0066612D" w:rsidP="0066612D">
      <w:pPr>
        <w:pStyle w:val="Sinespaciado"/>
        <w:spacing w:line="360" w:lineRule="auto"/>
        <w:jc w:val="both"/>
        <w:rPr>
          <w:rFonts w:ascii="Palatino Linotype" w:hAnsi="Palatino Linotype" w:cs="Arial"/>
          <w:i/>
          <w:sz w:val="24"/>
        </w:rPr>
      </w:pPr>
      <w:r w:rsidRPr="00183E49">
        <w:rPr>
          <w:rFonts w:ascii="Palatino Linotype" w:hAnsi="Palatino Linotype" w:cs="Arial"/>
          <w:i/>
          <w:sz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w:t>
      </w:r>
      <w:r w:rsidR="002D3426" w:rsidRPr="00183E49">
        <w:rPr>
          <w:rFonts w:ascii="Palatino Linotype" w:hAnsi="Palatino Linotype" w:cs="Arial"/>
          <w:i/>
          <w:sz w:val="24"/>
        </w:rPr>
        <w:t>e</w:t>
      </w:r>
      <w:r w:rsidR="00BB26EE" w:rsidRPr="00183E49">
        <w:rPr>
          <w:rFonts w:ascii="Palatino Linotype" w:hAnsi="Palatino Linotype" w:cs="Arial"/>
          <w:i/>
          <w:sz w:val="24"/>
        </w:rPr>
        <w:t>l Recurrente</w:t>
      </w:r>
      <w:r w:rsidRPr="00183E49">
        <w:rPr>
          <w:rFonts w:ascii="Palatino Linotype" w:hAnsi="Palatino Linotype" w:cs="Arial"/>
          <w:i/>
          <w:sz w:val="24"/>
        </w:rPr>
        <w:t>.</w:t>
      </w:r>
    </w:p>
    <w:p w:rsidR="0066612D" w:rsidRPr="0066612D" w:rsidRDefault="0066612D" w:rsidP="0066612D">
      <w:pPr>
        <w:pStyle w:val="Sinespaciado"/>
        <w:spacing w:line="360" w:lineRule="auto"/>
        <w:jc w:val="both"/>
        <w:rPr>
          <w:rFonts w:ascii="Palatino Linotype" w:hAnsi="Palatino Linotype"/>
          <w:sz w:val="16"/>
        </w:rPr>
      </w:pPr>
    </w:p>
    <w:p w:rsidR="00B636D7" w:rsidRDefault="00B636D7" w:rsidP="00B636D7">
      <w:pPr>
        <w:pStyle w:val="Sinespaciado"/>
      </w:pPr>
    </w:p>
    <w:p w:rsidR="00C24FAE" w:rsidRDefault="00C24FAE" w:rsidP="00C24FAE">
      <w:pPr>
        <w:pStyle w:val="Sinespaciado"/>
        <w:spacing w:line="360" w:lineRule="auto"/>
        <w:jc w:val="both"/>
        <w:rPr>
          <w:rFonts w:ascii="Palatino Linotype" w:hAnsi="Palatino Linotype"/>
          <w:sz w:val="24"/>
        </w:rPr>
      </w:pPr>
      <w:r w:rsidRPr="0060166A">
        <w:rPr>
          <w:rFonts w:ascii="Palatino Linotype" w:hAnsi="Palatino Linotype"/>
          <w:b/>
          <w:sz w:val="28"/>
        </w:rPr>
        <w:lastRenderedPageBreak/>
        <w:t>TERCERO.</w:t>
      </w:r>
      <w:r w:rsidRPr="00D22D43">
        <w:rPr>
          <w:rFonts w:ascii="Palatino Linotype" w:hAnsi="Palatino Linotype"/>
          <w:b/>
          <w:sz w:val="24"/>
        </w:rPr>
        <w:t xml:space="preserve"> NOTIFÍQUESE</w:t>
      </w:r>
      <w:r w:rsidRPr="00D22D43">
        <w:rPr>
          <w:rFonts w:ascii="Palatino Linotype" w:hAnsi="Palatino Linotype"/>
          <w:b/>
          <w:i/>
          <w:sz w:val="24"/>
        </w:rPr>
        <w:t xml:space="preserve"> </w:t>
      </w:r>
      <w:r w:rsidRPr="00D22D43">
        <w:rPr>
          <w:rFonts w:ascii="Palatino Linotype" w:hAnsi="Palatino Linotype"/>
          <w:sz w:val="24"/>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80A70" w:rsidRPr="00D22D43" w:rsidRDefault="00D80A70" w:rsidP="00C24FAE">
      <w:pPr>
        <w:pStyle w:val="Sinespaciado"/>
        <w:spacing w:line="360" w:lineRule="auto"/>
        <w:jc w:val="both"/>
        <w:rPr>
          <w:rFonts w:ascii="Palatino Linotype" w:hAnsi="Palatino Linotype"/>
          <w:sz w:val="24"/>
        </w:rPr>
      </w:pPr>
    </w:p>
    <w:p w:rsidR="00BB536F" w:rsidRDefault="00C24FAE" w:rsidP="00C24FAE">
      <w:pPr>
        <w:pStyle w:val="Sinespaciado"/>
        <w:spacing w:line="360" w:lineRule="auto"/>
        <w:jc w:val="both"/>
        <w:rPr>
          <w:rFonts w:ascii="Palatino Linotype" w:hAnsi="Palatino Linotype"/>
          <w:sz w:val="24"/>
        </w:rPr>
      </w:pPr>
      <w:r w:rsidRPr="0060166A">
        <w:rPr>
          <w:rFonts w:ascii="Palatino Linotype" w:hAnsi="Palatino Linotype"/>
          <w:b/>
          <w:sz w:val="28"/>
        </w:rPr>
        <w:t>CUARTO.</w:t>
      </w:r>
      <w:r w:rsidRPr="00D22D43">
        <w:rPr>
          <w:rFonts w:ascii="Palatino Linotype" w:hAnsi="Palatino Linotype"/>
          <w:b/>
          <w:sz w:val="24"/>
        </w:rPr>
        <w:t xml:space="preserve"> NOTIFÍQUESE</w:t>
      </w:r>
      <w:r w:rsidRPr="00D22D43">
        <w:rPr>
          <w:rFonts w:ascii="Palatino Linotype" w:hAnsi="Palatino Linotype"/>
          <w:sz w:val="24"/>
        </w:rPr>
        <w:t xml:space="preserve"> a</w:t>
      </w:r>
      <w:r w:rsidR="0039721A">
        <w:rPr>
          <w:rFonts w:ascii="Palatino Linotype" w:hAnsi="Palatino Linotype"/>
          <w:sz w:val="24"/>
        </w:rPr>
        <w:t xml:space="preserve"> </w:t>
      </w:r>
      <w:r w:rsidR="00BB26EE">
        <w:rPr>
          <w:rFonts w:ascii="Palatino Linotype" w:hAnsi="Palatino Linotype"/>
          <w:sz w:val="24"/>
        </w:rPr>
        <w:t>El Recurrente</w:t>
      </w:r>
      <w:r w:rsidRPr="00D22D43">
        <w:rPr>
          <w:rFonts w:ascii="Palatino Linotype" w:hAnsi="Palatino Linotype"/>
          <w:sz w:val="24"/>
        </w:rPr>
        <w:t xml:space="preserve"> la presente resolución</w:t>
      </w:r>
      <w:r w:rsidRPr="00D22D43">
        <w:rPr>
          <w:rFonts w:ascii="Palatino Linotype" w:hAnsi="Palatino Linotype"/>
          <w:b/>
          <w:sz w:val="24"/>
        </w:rPr>
        <w:t xml:space="preserve"> </w:t>
      </w:r>
      <w:r w:rsidR="0060166A">
        <w:rPr>
          <w:rFonts w:ascii="Palatino Linotype" w:hAnsi="Palatino Linotype"/>
          <w:sz w:val="24"/>
        </w:rPr>
        <w:t xml:space="preserve">a través del SAIMEX y por correo electrónico </w:t>
      </w:r>
      <w:r w:rsidRPr="00D22D43">
        <w:rPr>
          <w:rFonts w:ascii="Palatino Linotype" w:hAnsi="Palatino Linotype"/>
          <w:sz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60166A" w:rsidRPr="00D22D43" w:rsidRDefault="0060166A" w:rsidP="00C24FAE">
      <w:pPr>
        <w:pStyle w:val="Sinespaciado"/>
        <w:spacing w:line="360" w:lineRule="auto"/>
        <w:jc w:val="both"/>
        <w:rPr>
          <w:rFonts w:ascii="Palatino Linotype" w:hAnsi="Palatino Linotype"/>
          <w:sz w:val="24"/>
        </w:rPr>
      </w:pPr>
    </w:p>
    <w:p w:rsidR="0060166A" w:rsidRPr="002C36FD" w:rsidRDefault="007E2E80" w:rsidP="00B34950">
      <w:pPr>
        <w:pStyle w:val="Sinespaciado"/>
        <w:spacing w:line="360" w:lineRule="auto"/>
        <w:jc w:val="both"/>
        <w:rPr>
          <w:rFonts w:ascii="Palatino Linotype" w:hAnsi="Palatino Linotype"/>
          <w:sz w:val="24"/>
          <w:szCs w:val="24"/>
        </w:rPr>
      </w:pPr>
      <w:r w:rsidRPr="00D22D43">
        <w:rPr>
          <w:rFonts w:ascii="Palatino Linotype" w:hAnsi="Palatino Linotype"/>
          <w:sz w:val="24"/>
          <w:szCs w:val="24"/>
        </w:rPr>
        <w:t>ASÍ LO RESUELVE, PO</w:t>
      </w:r>
      <w:r w:rsidR="00F1770B" w:rsidRPr="00D22D43">
        <w:rPr>
          <w:rFonts w:ascii="Palatino Linotype" w:hAnsi="Palatino Linotype"/>
          <w:sz w:val="24"/>
          <w:szCs w:val="24"/>
        </w:rPr>
        <w:t>R UNANIMIDAD</w:t>
      </w:r>
      <w:r w:rsidRPr="00D22D43">
        <w:rPr>
          <w:rFonts w:ascii="Palatino Linotype" w:hAnsi="Palatino Linotype"/>
          <w:sz w:val="24"/>
          <w:szCs w:val="24"/>
        </w:rPr>
        <w:t xml:space="preserve"> DE VOTOS EL PLENO DEL</w:t>
      </w:r>
      <w:r w:rsidRPr="00D22D43">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D22D43">
        <w:rPr>
          <w:rFonts w:ascii="Palatino Linotype" w:hAnsi="Palatino Linotype"/>
          <w:sz w:val="24"/>
          <w:szCs w:val="24"/>
        </w:rPr>
        <w:t xml:space="preserve">, CONFORMADO POR LOS COMISIONADOS ZULEMA MARTÍNEZ SÁNCHEZ, </w:t>
      </w:r>
      <w:r w:rsidR="00216B8D" w:rsidRPr="00D22D43">
        <w:rPr>
          <w:rFonts w:ascii="Palatino Linotype" w:hAnsi="Palatino Linotype"/>
          <w:sz w:val="24"/>
          <w:szCs w:val="24"/>
        </w:rPr>
        <w:t>EVA ABAID YAPUR</w:t>
      </w:r>
      <w:r w:rsidR="004A51FF" w:rsidRPr="00D22D43">
        <w:rPr>
          <w:rFonts w:ascii="Palatino Linotype" w:hAnsi="Palatino Linotype"/>
          <w:sz w:val="24"/>
          <w:szCs w:val="24"/>
        </w:rPr>
        <w:t>,</w:t>
      </w:r>
      <w:r w:rsidR="00CF27C6" w:rsidRPr="00D22D43">
        <w:rPr>
          <w:rFonts w:ascii="Palatino Linotype" w:hAnsi="Palatino Linotype"/>
          <w:sz w:val="24"/>
          <w:szCs w:val="24"/>
        </w:rPr>
        <w:t xml:space="preserve"> </w:t>
      </w:r>
      <w:r w:rsidRPr="00D22D43">
        <w:rPr>
          <w:rFonts w:ascii="Palatino Linotype" w:hAnsi="Palatino Linotype"/>
          <w:sz w:val="24"/>
          <w:szCs w:val="24"/>
        </w:rPr>
        <w:t xml:space="preserve">JOSÉ GUADALUPE LUNA </w:t>
      </w:r>
      <w:r w:rsidR="00D57072" w:rsidRPr="00D22D43">
        <w:rPr>
          <w:rFonts w:ascii="Palatino Linotype" w:hAnsi="Palatino Linotype"/>
          <w:sz w:val="24"/>
          <w:szCs w:val="24"/>
        </w:rPr>
        <w:t>HERNÁNDEZ</w:t>
      </w:r>
      <w:r w:rsidR="00F91340" w:rsidRPr="00D22D43">
        <w:rPr>
          <w:rFonts w:ascii="Palatino Linotype" w:hAnsi="Palatino Linotype"/>
          <w:sz w:val="24"/>
          <w:szCs w:val="24"/>
        </w:rPr>
        <w:t xml:space="preserve">, JAVIER MARTÍNEZ CRUZ </w:t>
      </w:r>
      <w:r w:rsidR="00D57072" w:rsidRPr="00D22D43">
        <w:rPr>
          <w:rFonts w:ascii="Palatino Linotype" w:hAnsi="Palatino Linotype"/>
          <w:sz w:val="24"/>
          <w:szCs w:val="24"/>
        </w:rPr>
        <w:t>Y</w:t>
      </w:r>
      <w:r w:rsidR="00F91340" w:rsidRPr="00D22D43">
        <w:rPr>
          <w:rFonts w:ascii="Palatino Linotype" w:hAnsi="Palatino Linotype"/>
          <w:sz w:val="24"/>
          <w:szCs w:val="24"/>
        </w:rPr>
        <w:t xml:space="preserve"> LUIS GUSTAVO PARRA NORIEGA</w:t>
      </w:r>
      <w:r w:rsidRPr="00D22D43">
        <w:rPr>
          <w:rFonts w:ascii="Palatino Linotype" w:hAnsi="Palatino Linotype"/>
          <w:sz w:val="24"/>
          <w:szCs w:val="24"/>
        </w:rPr>
        <w:t xml:space="preserve">, EN LA </w:t>
      </w:r>
      <w:r w:rsidR="002C36FD">
        <w:rPr>
          <w:rFonts w:ascii="Palatino Linotype" w:hAnsi="Palatino Linotype"/>
          <w:sz w:val="24"/>
          <w:szCs w:val="24"/>
        </w:rPr>
        <w:t>CUARTA</w:t>
      </w:r>
      <w:r w:rsidR="00C16DEB">
        <w:rPr>
          <w:rFonts w:ascii="Palatino Linotype" w:hAnsi="Palatino Linotype"/>
          <w:sz w:val="24"/>
          <w:szCs w:val="24"/>
        </w:rPr>
        <w:t xml:space="preserve"> </w:t>
      </w:r>
      <w:r w:rsidR="00E755E5" w:rsidRPr="00D22D43">
        <w:rPr>
          <w:rFonts w:ascii="Palatino Linotype" w:hAnsi="Palatino Linotype"/>
          <w:sz w:val="24"/>
          <w:szCs w:val="24"/>
        </w:rPr>
        <w:t>SES</w:t>
      </w:r>
      <w:r w:rsidR="007C52F5" w:rsidRPr="00D22D43">
        <w:rPr>
          <w:rFonts w:ascii="Palatino Linotype" w:hAnsi="Palatino Linotype"/>
          <w:sz w:val="24"/>
          <w:szCs w:val="24"/>
        </w:rPr>
        <w:t xml:space="preserve">IÓN ORDINARIA CELEBRADA EL </w:t>
      </w:r>
      <w:r w:rsidR="002C36FD" w:rsidRPr="002C36FD">
        <w:rPr>
          <w:rFonts w:ascii="Palatino Linotype" w:hAnsi="Palatino Linotype"/>
          <w:sz w:val="24"/>
          <w:szCs w:val="24"/>
        </w:rPr>
        <w:t>SEIS DE FEBRERO DE DOS MIL VEINTE</w:t>
      </w:r>
      <w:r w:rsidRPr="00D22D43">
        <w:rPr>
          <w:rFonts w:ascii="Palatino Linotype" w:hAnsi="Palatino Linotype"/>
          <w:sz w:val="24"/>
          <w:szCs w:val="24"/>
        </w:rPr>
        <w:t xml:space="preserve">, ANTE </w:t>
      </w:r>
      <w:r w:rsidR="00F2343A" w:rsidRPr="00D22D43">
        <w:rPr>
          <w:rFonts w:ascii="Palatino Linotype" w:hAnsi="Palatino Linotype"/>
          <w:sz w:val="24"/>
          <w:szCs w:val="24"/>
        </w:rPr>
        <w:t>EL SECRETARIO TÉCNICO</w:t>
      </w:r>
      <w:r w:rsidRPr="00D22D43">
        <w:rPr>
          <w:rFonts w:ascii="Palatino Linotype" w:hAnsi="Palatino Linotype"/>
          <w:sz w:val="24"/>
          <w:szCs w:val="24"/>
        </w:rPr>
        <w:t xml:space="preserve"> DEL PLENO, </w:t>
      </w:r>
      <w:r w:rsidR="00F2343A" w:rsidRPr="00D22D43">
        <w:rPr>
          <w:rFonts w:ascii="Palatino Linotype" w:hAnsi="Palatino Linotype"/>
          <w:sz w:val="24"/>
          <w:szCs w:val="24"/>
        </w:rPr>
        <w:t>ALEXIS TAPIA RAMÍREZ</w:t>
      </w:r>
      <w:r w:rsidR="00BC3F29" w:rsidRPr="00D22D43">
        <w:rPr>
          <w:rFonts w:ascii="Palatino Linotype" w:hAnsi="Palatino Linotype"/>
          <w:sz w:val="24"/>
          <w:szCs w:val="24"/>
        </w:rPr>
        <w:t>.</w:t>
      </w:r>
      <w:r w:rsidR="00C16DEB">
        <w:rPr>
          <w:rFonts w:ascii="Palatino Linotype" w:hAnsi="Palatino Linotype"/>
          <w:sz w:val="24"/>
          <w:szCs w:val="24"/>
        </w:rPr>
        <w:t>------------------------------------------------</w:t>
      </w:r>
      <w:r w:rsidR="00D80A70">
        <w:rPr>
          <w:rFonts w:ascii="Palatino Linotype" w:hAnsi="Palatino Linotype"/>
          <w:sz w:val="24"/>
          <w:szCs w:val="24"/>
        </w:rPr>
        <w:t>-------------------------------------------------------------------------------------------</w:t>
      </w:r>
      <w:r w:rsidR="00843DFD">
        <w:rPr>
          <w:rFonts w:ascii="Palatino Linotype" w:hAnsi="Palatino Linotype"/>
          <w:sz w:val="24"/>
          <w:szCs w:val="24"/>
        </w:rPr>
        <w:t>-------------------------------</w:t>
      </w:r>
      <w:r w:rsidR="00D80A70">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465"/>
      </w:tblGrid>
      <w:tr w:rsidR="006149F1" w:rsidRPr="006149F1" w:rsidTr="00F91340">
        <w:tc>
          <w:tcPr>
            <w:tcW w:w="9062" w:type="dxa"/>
            <w:gridSpan w:val="2"/>
          </w:tcPr>
          <w:p w:rsidR="00AF0CFA" w:rsidRPr="006149F1" w:rsidRDefault="00AF0CFA" w:rsidP="00B73E6C">
            <w:pPr>
              <w:pStyle w:val="Sinespaciado"/>
              <w:tabs>
                <w:tab w:val="left" w:pos="5710"/>
              </w:tabs>
              <w:rPr>
                <w:rFonts w:ascii="Palatino Linotype" w:hAnsi="Palatino Linotype"/>
                <w:sz w:val="24"/>
                <w:szCs w:val="24"/>
              </w:rPr>
            </w:pPr>
          </w:p>
        </w:tc>
      </w:tr>
      <w:tr w:rsidR="00B73E6C" w:rsidRPr="0089501E" w:rsidTr="00142CC6">
        <w:tc>
          <w:tcPr>
            <w:tcW w:w="9062" w:type="dxa"/>
            <w:gridSpan w:val="2"/>
          </w:tcPr>
          <w:p w:rsidR="00D80A70" w:rsidRDefault="00D80A70"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Zulema Martínez Sánchez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 Presidenta</w:t>
            </w:r>
          </w:p>
          <w:p w:rsidR="00B73E6C" w:rsidRPr="0089501E" w:rsidRDefault="00B73E6C" w:rsidP="00142CC6">
            <w:pPr>
              <w:jc w:val="center"/>
              <w:rPr>
                <w:rFonts w:ascii="Palatino Linotype" w:hAnsi="Palatino Linotype"/>
                <w:b/>
                <w:sz w:val="24"/>
                <w:szCs w:val="24"/>
              </w:rPr>
            </w:pPr>
            <w:r w:rsidRPr="002F1CD7">
              <w:rPr>
                <w:rFonts w:ascii="Palatino Linotype" w:hAnsi="Palatino Linotype"/>
                <w:sz w:val="24"/>
                <w:szCs w:val="24"/>
              </w:rPr>
              <w:t>(</w:t>
            </w:r>
            <w:r w:rsidR="00576D36">
              <w:rPr>
                <w:rFonts w:ascii="Palatino Linotype" w:hAnsi="Palatino Linotype"/>
                <w:sz w:val="24"/>
                <w:szCs w:val="24"/>
              </w:rPr>
              <w:t>Rúbrica</w:t>
            </w:r>
            <w:r w:rsidRPr="0089501E">
              <w:rPr>
                <w:rFonts w:ascii="Palatino Linotype" w:hAnsi="Palatino Linotype"/>
                <w:b/>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Default="00B73E6C" w:rsidP="003153A1">
            <w:pPr>
              <w:rPr>
                <w:rFonts w:ascii="Palatino Linotype" w:hAnsi="Palatino Linotype"/>
                <w:b/>
                <w:sz w:val="24"/>
                <w:szCs w:val="24"/>
              </w:rPr>
            </w:pPr>
          </w:p>
          <w:p w:rsidR="003153A1" w:rsidRDefault="003153A1" w:rsidP="00142CC6">
            <w:pPr>
              <w:jc w:val="center"/>
              <w:rPr>
                <w:rFonts w:ascii="Palatino Linotype" w:hAnsi="Palatino Linotype"/>
                <w:b/>
                <w:sz w:val="24"/>
                <w:szCs w:val="24"/>
              </w:rPr>
            </w:pPr>
          </w:p>
          <w:p w:rsidR="003153A1" w:rsidRPr="0089501E" w:rsidRDefault="003153A1"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Eva Abaid Yapur</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w:t>
            </w:r>
          </w:p>
          <w:p w:rsidR="00B73E6C" w:rsidRPr="002F1CD7" w:rsidRDefault="005B36CD" w:rsidP="00142CC6">
            <w:pPr>
              <w:jc w:val="center"/>
              <w:rPr>
                <w:rFonts w:ascii="Palatino Linotype" w:hAnsi="Palatino Linotype"/>
                <w:sz w:val="24"/>
                <w:szCs w:val="24"/>
              </w:rPr>
            </w:pPr>
            <w:r>
              <w:rPr>
                <w:rFonts w:ascii="Palatino Linotype" w:hAnsi="Palatino Linotype"/>
                <w:sz w:val="24"/>
                <w:szCs w:val="24"/>
              </w:rPr>
              <w:t>(</w:t>
            </w:r>
            <w:r w:rsidR="00576D36">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Default="00B73E6C"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A1EA1" w:rsidP="00142CC6">
            <w:pPr>
              <w:jc w:val="center"/>
              <w:rPr>
                <w:rFonts w:ascii="Palatino Linotype" w:hAnsi="Palatino Linotype"/>
                <w:sz w:val="24"/>
                <w:szCs w:val="24"/>
              </w:rPr>
            </w:pPr>
            <w:r>
              <w:rPr>
                <w:rFonts w:ascii="Palatino Linotype" w:hAnsi="Palatino Linotype"/>
                <w:sz w:val="24"/>
                <w:szCs w:val="24"/>
              </w:rPr>
              <w:t>(</w:t>
            </w:r>
            <w:r w:rsidR="00576D36">
              <w:rPr>
                <w:rFonts w:ascii="Palatino Linotype" w:hAnsi="Palatino Linotype"/>
                <w:sz w:val="24"/>
                <w:szCs w:val="24"/>
              </w:rPr>
              <w:t>Rúbrica</w:t>
            </w:r>
            <w:r w:rsidR="00B73E6C" w:rsidRPr="002F1CD7">
              <w:rPr>
                <w:rFonts w:ascii="Palatino Linotype" w:hAnsi="Palatino Linotype"/>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Default="00B73E6C" w:rsidP="00142CC6">
            <w:pPr>
              <w:jc w:val="center"/>
              <w:rPr>
                <w:rFonts w:ascii="Palatino Linotype" w:hAnsi="Palatino Linotype"/>
                <w:b/>
                <w:sz w:val="24"/>
                <w:szCs w:val="24"/>
              </w:rPr>
            </w:pPr>
          </w:p>
          <w:p w:rsidR="00B73E6C" w:rsidRPr="0089501E" w:rsidRDefault="00B73E6C"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Javier Martínez Cruz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576D36"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Luis Gustavo Parra Noriega</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73E6C" w:rsidP="00142CC6">
            <w:pPr>
              <w:jc w:val="center"/>
              <w:rPr>
                <w:rFonts w:ascii="Palatino Linotype" w:hAnsi="Palatino Linotype"/>
                <w:sz w:val="24"/>
                <w:szCs w:val="24"/>
              </w:rPr>
            </w:pPr>
            <w:r w:rsidRPr="002F1CD7">
              <w:rPr>
                <w:rFonts w:ascii="Palatino Linotype" w:hAnsi="Palatino Linotype"/>
                <w:sz w:val="24"/>
                <w:szCs w:val="24"/>
              </w:rPr>
              <w:t>(</w:t>
            </w:r>
            <w:r w:rsidR="00576D36">
              <w:rPr>
                <w:rFonts w:ascii="Palatino Linotype" w:hAnsi="Palatino Linotype"/>
                <w:sz w:val="24"/>
                <w:szCs w:val="24"/>
              </w:rPr>
              <w:t>Rúbrica</w:t>
            </w:r>
            <w:r w:rsidRPr="002F1CD7">
              <w:rPr>
                <w:rFonts w:ascii="Palatino Linotype" w:hAnsi="Palatino Linotype"/>
                <w:sz w:val="24"/>
                <w:szCs w:val="24"/>
              </w:rPr>
              <w:t>).</w:t>
            </w:r>
          </w:p>
        </w:tc>
      </w:tr>
      <w:tr w:rsidR="00B73E6C" w:rsidRPr="0089501E" w:rsidTr="00142CC6">
        <w:tc>
          <w:tcPr>
            <w:tcW w:w="9062" w:type="dxa"/>
            <w:gridSpan w:val="2"/>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Default="00B73E6C" w:rsidP="00142CC6">
            <w:pPr>
              <w:rPr>
                <w:rFonts w:ascii="Palatino Linotype" w:hAnsi="Palatino Linotype"/>
                <w:b/>
                <w:sz w:val="28"/>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Alexis Tapia Ramírez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Secretario Técnico del Pleno</w:t>
            </w:r>
          </w:p>
          <w:p w:rsidR="0066612D" w:rsidRPr="0066612D" w:rsidRDefault="00B73E6C" w:rsidP="0066612D">
            <w:pPr>
              <w:jc w:val="center"/>
              <w:rPr>
                <w:rFonts w:ascii="Palatino Linotype" w:hAnsi="Palatino Linotype"/>
                <w:sz w:val="24"/>
                <w:szCs w:val="24"/>
              </w:rPr>
            </w:pPr>
            <w:r w:rsidRPr="002F1CD7">
              <w:rPr>
                <w:rFonts w:ascii="Palatino Linotype" w:hAnsi="Palatino Linotype"/>
                <w:sz w:val="24"/>
                <w:szCs w:val="24"/>
              </w:rPr>
              <w:t>(</w:t>
            </w:r>
            <w:r w:rsidR="00576D36">
              <w:rPr>
                <w:rFonts w:ascii="Palatino Linotype" w:hAnsi="Palatino Linotype"/>
                <w:sz w:val="24"/>
                <w:szCs w:val="24"/>
              </w:rPr>
              <w:t>Rúbrica</w:t>
            </w:r>
            <w:r w:rsidRPr="002F1CD7">
              <w:rPr>
                <w:rFonts w:ascii="Palatino Linotype" w:hAnsi="Palatino Linotype"/>
                <w:sz w:val="24"/>
                <w:szCs w:val="24"/>
              </w:rPr>
              <w:t>).</w:t>
            </w:r>
          </w:p>
          <w:p w:rsidR="006A58E4" w:rsidRPr="00B3452B" w:rsidRDefault="006A58E4" w:rsidP="005D517E">
            <w:pPr>
              <w:rPr>
                <w:rFonts w:ascii="Palatino Linotype" w:hAnsi="Palatino Linotype"/>
                <w:sz w:val="10"/>
                <w:szCs w:val="24"/>
              </w:rPr>
            </w:pPr>
          </w:p>
        </w:tc>
      </w:tr>
    </w:tbl>
    <w:p w:rsidR="0066612D" w:rsidRDefault="0066612D" w:rsidP="00B73E6C">
      <w:pPr>
        <w:spacing w:after="0" w:line="240" w:lineRule="auto"/>
        <w:jc w:val="both"/>
        <w:rPr>
          <w:rFonts w:ascii="Palatino Linotype" w:hAnsi="Palatino Linotype" w:cs="Arial"/>
          <w:sz w:val="18"/>
          <w:szCs w:val="16"/>
        </w:rPr>
      </w:pPr>
    </w:p>
    <w:p w:rsidR="007E2E80"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sidR="00C9078F">
        <w:rPr>
          <w:rFonts w:ascii="Palatino Linotype" w:hAnsi="Palatino Linotype" w:cs="Arial"/>
          <w:sz w:val="18"/>
          <w:szCs w:val="16"/>
        </w:rPr>
        <w:t>sponde a la r</w:t>
      </w:r>
      <w:r w:rsidR="00C16DEB">
        <w:rPr>
          <w:rFonts w:ascii="Palatino Linotype" w:hAnsi="Palatino Linotype" w:cs="Arial"/>
          <w:sz w:val="18"/>
          <w:szCs w:val="16"/>
        </w:rPr>
        <w:t xml:space="preserve">esolución de fecha </w:t>
      </w:r>
      <w:r w:rsidR="002C36FD" w:rsidRPr="002C36FD">
        <w:rPr>
          <w:rFonts w:ascii="Palatino Linotype" w:hAnsi="Palatino Linotype" w:cs="Arial"/>
          <w:sz w:val="18"/>
          <w:szCs w:val="16"/>
        </w:rPr>
        <w:t>seis de febrero de dos mil veinte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7C52F5">
        <w:rPr>
          <w:rFonts w:ascii="Palatino Linotype" w:hAnsi="Palatino Linotype" w:cs="Arial"/>
          <w:bCs/>
          <w:sz w:val="18"/>
          <w:szCs w:val="16"/>
          <w:lang w:eastAsia="es-MX"/>
        </w:rPr>
        <w:t>0</w:t>
      </w:r>
      <w:r w:rsidR="002C36FD">
        <w:rPr>
          <w:rFonts w:ascii="Palatino Linotype" w:hAnsi="Palatino Linotype" w:cs="Arial"/>
          <w:bCs/>
          <w:sz w:val="18"/>
          <w:szCs w:val="16"/>
          <w:lang w:eastAsia="es-MX"/>
        </w:rPr>
        <w:t>8615</w:t>
      </w:r>
      <w:r w:rsidRPr="00B73E6C">
        <w:rPr>
          <w:rFonts w:ascii="Palatino Linotype" w:hAnsi="Palatino Linotype" w:cs="Arial"/>
          <w:bCs/>
          <w:sz w:val="18"/>
          <w:szCs w:val="16"/>
          <w:lang w:eastAsia="es-MX"/>
        </w:rPr>
        <w:t>/INFOEM/IP/R</w:t>
      </w:r>
      <w:r w:rsidR="00F0032B">
        <w:rPr>
          <w:rFonts w:ascii="Palatino Linotype" w:hAnsi="Palatino Linotype" w:cs="Arial"/>
          <w:bCs/>
          <w:sz w:val="18"/>
          <w:szCs w:val="16"/>
          <w:lang w:eastAsia="es-MX"/>
        </w:rPr>
        <w:t>R/2019</w:t>
      </w:r>
      <w:r w:rsidR="0066612D">
        <w:rPr>
          <w:rFonts w:ascii="Palatino Linotype" w:hAnsi="Palatino Linotype" w:cs="Arial"/>
          <w:bCs/>
          <w:sz w:val="18"/>
          <w:szCs w:val="16"/>
          <w:lang w:eastAsia="es-MX"/>
        </w:rPr>
        <w:t xml:space="preserve">. </w:t>
      </w:r>
    </w:p>
    <w:p w:rsidR="007748CD" w:rsidRPr="007748CD" w:rsidRDefault="007748CD" w:rsidP="00B73E6C">
      <w:pPr>
        <w:spacing w:after="0" w:line="240" w:lineRule="auto"/>
        <w:jc w:val="both"/>
        <w:rPr>
          <w:rFonts w:ascii="Palatino Linotype" w:hAnsi="Palatino Linotype" w:cs="Arial"/>
          <w:bCs/>
          <w:sz w:val="18"/>
          <w:szCs w:val="16"/>
          <w:lang w:eastAsia="es-MX"/>
        </w:rPr>
      </w:pPr>
      <w:r>
        <w:rPr>
          <w:rFonts w:ascii="Palatino Linotype" w:hAnsi="Palatino Linotype" w:cs="Arial"/>
          <w:bCs/>
          <w:sz w:val="18"/>
          <w:szCs w:val="16"/>
          <w:lang w:eastAsia="es-MX"/>
        </w:rPr>
        <w:t>ZMS/OSAM/CDFE</w:t>
      </w:r>
    </w:p>
    <w:p w:rsidR="0051274A" w:rsidRPr="0066612D" w:rsidRDefault="0051274A" w:rsidP="00B73E6C">
      <w:pPr>
        <w:spacing w:after="0" w:line="240" w:lineRule="auto"/>
        <w:jc w:val="both"/>
        <w:rPr>
          <w:rFonts w:ascii="Palatino Linotype" w:hAnsi="Palatino Linotype" w:cs="Arial"/>
          <w:sz w:val="14"/>
          <w:szCs w:val="16"/>
        </w:rPr>
      </w:pPr>
    </w:p>
    <w:sectPr w:rsidR="0051274A" w:rsidRPr="0066612D" w:rsidSect="00552930">
      <w:headerReference w:type="default" r:id="rId18"/>
      <w:footerReference w:type="default" r:id="rId19"/>
      <w:headerReference w:type="first" r:id="rId20"/>
      <w:footerReference w:type="first" r:id="rId21"/>
      <w:pgSz w:w="12240" w:h="15840"/>
      <w:pgMar w:top="1417" w:right="1608"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819" w:rsidRDefault="00EF0819" w:rsidP="007E2E80">
      <w:pPr>
        <w:spacing w:after="0" w:line="240" w:lineRule="auto"/>
      </w:pPr>
      <w:r>
        <w:separator/>
      </w:r>
    </w:p>
  </w:endnote>
  <w:endnote w:type="continuationSeparator" w:id="0">
    <w:p w:rsidR="00EF0819" w:rsidRDefault="00EF0819"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6FD" w:rsidRPr="000B69FA" w:rsidRDefault="002C36FD"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7C87">
      <w:rPr>
        <w:rFonts w:ascii="Palatino Linotype" w:hAnsi="Palatino Linotype"/>
        <w:bCs/>
        <w:noProof/>
        <w:sz w:val="20"/>
      </w:rPr>
      <w:t>77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7C87">
      <w:rPr>
        <w:rFonts w:ascii="Palatino Linotype" w:hAnsi="Palatino Linotype"/>
        <w:bCs/>
        <w:noProof/>
        <w:sz w:val="20"/>
      </w:rPr>
      <w:t>77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6FD" w:rsidRPr="000B69FA" w:rsidRDefault="002C36FD"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7C8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7C87">
      <w:rPr>
        <w:rFonts w:ascii="Palatino Linotype" w:hAnsi="Palatino Linotype"/>
        <w:bCs/>
        <w:noProof/>
        <w:sz w:val="20"/>
      </w:rPr>
      <w:t>77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819" w:rsidRDefault="00EF0819" w:rsidP="007E2E80">
      <w:pPr>
        <w:spacing w:after="0" w:line="240" w:lineRule="auto"/>
      </w:pPr>
      <w:r>
        <w:separator/>
      </w:r>
    </w:p>
  </w:footnote>
  <w:footnote w:type="continuationSeparator" w:id="0">
    <w:p w:rsidR="00EF0819" w:rsidRDefault="00EF0819" w:rsidP="007E2E80">
      <w:pPr>
        <w:spacing w:after="0" w:line="240" w:lineRule="auto"/>
      </w:pPr>
      <w:r>
        <w:continuationSeparator/>
      </w:r>
    </w:p>
  </w:footnote>
  <w:footnote w:id="1">
    <w:p w:rsidR="002C36FD" w:rsidRPr="00615B4B" w:rsidRDefault="002C36FD"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2C36FD" w:rsidRPr="00615B4B" w:rsidRDefault="002C36FD"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C36FD" w:rsidRDefault="002C36FD" w:rsidP="008A2099">
      <w:pPr>
        <w:pStyle w:val="Textonotapie"/>
        <w:jc w:val="both"/>
      </w:pPr>
      <w:r>
        <w:rPr>
          <w:rStyle w:val="Refdenotaalpie"/>
        </w:rPr>
        <w:footnoteRef/>
      </w:r>
      <w:r w:rsidRPr="00BE0220">
        <w:rPr>
          <w:rFonts w:ascii="Palatino Linotype" w:hAnsi="Palatino Linotype"/>
        </w:rPr>
        <w:t xml:space="preserve"> Consultable en; </w:t>
      </w:r>
      <w:hyperlink r:id="rId3" w:history="1">
        <w:r w:rsidRPr="00BE0220">
          <w:rPr>
            <w:rStyle w:val="Hipervnculo"/>
            <w:rFonts w:ascii="Palatino Linotype" w:hAnsi="Palatino Linotype"/>
          </w:rPr>
          <w:t>https://www.gob.mx/sesnsp/acciones-y-programas/fondos-y-subsidios</w:t>
        </w:r>
      </w:hyperlink>
    </w:p>
  </w:footnote>
  <w:footnote w:id="3">
    <w:p w:rsidR="002C36FD" w:rsidRPr="00A75F35" w:rsidRDefault="002C36FD" w:rsidP="008A2099">
      <w:pPr>
        <w:pStyle w:val="Textonotapie"/>
        <w:rPr>
          <w:rFonts w:ascii="Palatino Linotype" w:hAnsi="Palatino Linotype"/>
          <w:sz w:val="16"/>
          <w:szCs w:val="16"/>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Pr>
          <w:rFonts w:ascii="Palatino Linotype" w:hAnsi="Palatino Linotype"/>
          <w:sz w:val="16"/>
          <w:szCs w:val="16"/>
        </w:rPr>
        <w:t xml:space="preserve">Disponible en la página electrónica: </w:t>
      </w:r>
      <w:r w:rsidRPr="00A75F35">
        <w:rPr>
          <w:rFonts w:ascii="Palatino Linotype" w:hAnsi="Palatino Linotype"/>
          <w:sz w:val="16"/>
          <w:szCs w:val="16"/>
        </w:rPr>
        <w:t>https://www.gob.mx/cms/uploads/attachment/file/455365/CONVENIO_FASP_2019-ESTADO_DE_M_XICO-19-04-19.pdf</w:t>
      </w:r>
    </w:p>
  </w:footnote>
  <w:footnote w:id="4">
    <w:p w:rsidR="002C36FD" w:rsidRDefault="002C36FD" w:rsidP="008A2099">
      <w:pPr>
        <w:pStyle w:val="Textonotapie"/>
        <w:jc w:val="both"/>
      </w:pPr>
      <w:r>
        <w:rPr>
          <w:rStyle w:val="Refdenotaalpie"/>
        </w:rPr>
        <w:footnoteRef/>
      </w:r>
      <w:r>
        <w:t xml:space="preserve"> </w:t>
      </w:r>
      <w:r w:rsidRPr="00823FCE">
        <w:rPr>
          <w:rFonts w:ascii="Palatino Linotype" w:hAnsi="Palatino Linotype"/>
        </w:rPr>
        <w:t>El Subsidio para la Seguridad en los Municipios (SUBSEMUN) se reestructuró y a partir del ejercicio 2016 se convierte en el Subsidio para el Fortalecimiento del desempeño en materia de Seguridad Pública (FORTASEG)</w:t>
      </w:r>
      <w:r>
        <w:rPr>
          <w:rFonts w:ascii="Palatino Linotype" w:hAnsi="Palatino Linotype"/>
        </w:rPr>
        <w:t>; así el segundo de los nombrados retoma los principios básicos del SUBSEMUN creado en 2008</w:t>
      </w:r>
      <w:r w:rsidRPr="00823FCE">
        <w:rPr>
          <w:rFonts w:ascii="Palatino Linotype" w:hAnsi="Palatino Linotype"/>
        </w:rPr>
        <w:t>.</w:t>
      </w:r>
    </w:p>
  </w:footnote>
  <w:footnote w:id="5">
    <w:p w:rsidR="002C36FD" w:rsidRDefault="002C36FD" w:rsidP="008A2099">
      <w:pPr>
        <w:pStyle w:val="Textonotapie"/>
        <w:jc w:val="both"/>
        <w:rPr>
          <w:rFonts w:ascii="Palatino Linotype" w:hAnsi="Palatino Linotype"/>
        </w:rPr>
      </w:pPr>
      <w:r w:rsidRPr="00F85572">
        <w:rPr>
          <w:rStyle w:val="Refdenotaalpie"/>
          <w:rFonts w:ascii="Palatino Linotype" w:hAnsi="Palatino Linotype"/>
        </w:rPr>
        <w:footnoteRef/>
      </w:r>
      <w:r w:rsidRPr="00F85572">
        <w:rPr>
          <w:rFonts w:ascii="Palatino Linotype" w:hAnsi="Palatino Linotype"/>
        </w:rPr>
        <w:t xml:space="preserve"> Consultable en</w:t>
      </w:r>
      <w:r>
        <w:rPr>
          <w:rFonts w:ascii="Palatino Linotype" w:hAnsi="Palatino Linotype"/>
        </w:rPr>
        <w:t>:</w:t>
      </w:r>
    </w:p>
    <w:p w:rsidR="002C36FD" w:rsidRPr="00F85572" w:rsidRDefault="002C36FD" w:rsidP="008A2099">
      <w:pPr>
        <w:pStyle w:val="Textonotapie"/>
        <w:jc w:val="both"/>
        <w:rPr>
          <w:rFonts w:ascii="Palatino Linotype" w:hAnsi="Palatino Linotype"/>
        </w:rPr>
      </w:pPr>
      <w:r w:rsidRPr="00F85572">
        <w:rPr>
          <w:rFonts w:ascii="Palatino Linotype" w:hAnsi="Palatino Linotype"/>
        </w:rPr>
        <w:t xml:space="preserve"> </w:t>
      </w:r>
      <w:hyperlink r:id="rId4" w:history="1">
        <w:r w:rsidRPr="00F85572">
          <w:rPr>
            <w:rStyle w:val="Hipervnculo"/>
            <w:rFonts w:ascii="Palatino Linotype" w:hAnsi="Palatino Linotype"/>
          </w:rPr>
          <w:t>https://www.gob.mx/cms/uploads/attachment/file/454683/CONVENIO_FORTASEG_2019-ESTADO_DE_M_XICO-17-04-19.pdf</w:t>
        </w:r>
      </w:hyperlink>
    </w:p>
  </w:footnote>
  <w:footnote w:id="6">
    <w:p w:rsidR="002C36FD" w:rsidRPr="00623229" w:rsidRDefault="002C36FD" w:rsidP="009D70C5">
      <w:pPr>
        <w:pStyle w:val="Textonotapie"/>
        <w:jc w:val="both"/>
        <w:rPr>
          <w:rFonts w:ascii="Palatino Linotype" w:hAnsi="Palatino Linotype"/>
          <w:i/>
          <w:sz w:val="16"/>
          <w:szCs w:val="16"/>
        </w:rPr>
      </w:pPr>
      <w:r>
        <w:rPr>
          <w:rStyle w:val="Refdenotaalpie"/>
        </w:rPr>
        <w:footnoteRef/>
      </w:r>
      <w:r>
        <w:t xml:space="preserve"> </w:t>
      </w:r>
      <w:r w:rsidRPr="00623229">
        <w:rPr>
          <w:rFonts w:ascii="Palatino Linotype" w:hAnsi="Palatino Linotype"/>
          <w:b/>
          <w:i/>
          <w:sz w:val="16"/>
          <w:szCs w:val="16"/>
        </w:rPr>
        <w:t xml:space="preserve">DERECHO A LA INFORMACIÓN. SU EJERCICIO SE ENCUENTRA LIMITADO TANTO POR LOS INTERESES NACIONALES Y DE LA SOCIEDAD, COMO POR LOS DERECHOS DE TERCEROS. </w:t>
      </w:r>
      <w:r w:rsidRPr="00623229">
        <w:rPr>
          <w:rFonts w:ascii="Palatino Linotype" w:hAnsi="Palatino Linotype"/>
          <w:i/>
          <w:sz w:val="16"/>
          <w:szCs w:val="16"/>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rsidR="002C36FD" w:rsidRDefault="002C36FD" w:rsidP="009D70C5">
      <w:pPr>
        <w:pStyle w:val="Textonotapie"/>
      </w:pPr>
    </w:p>
    <w:p w:rsidR="002C36FD" w:rsidRDefault="002C36FD" w:rsidP="009D70C5">
      <w:pPr>
        <w:pStyle w:val="Textonotapie"/>
      </w:pPr>
    </w:p>
    <w:p w:rsidR="002C36FD" w:rsidRDefault="002C36FD" w:rsidP="009D70C5">
      <w:pPr>
        <w:pStyle w:val="Textonotapie"/>
      </w:pPr>
    </w:p>
    <w:p w:rsidR="002C36FD" w:rsidRDefault="002C36FD" w:rsidP="009D70C5">
      <w:pPr>
        <w:pStyle w:val="Textonotapie"/>
      </w:pPr>
    </w:p>
    <w:p w:rsidR="002C36FD" w:rsidRDefault="002C36FD" w:rsidP="009D70C5">
      <w:pPr>
        <w:pStyle w:val="Textonotapie"/>
      </w:pPr>
    </w:p>
  </w:footnote>
  <w:footnote w:id="7">
    <w:p w:rsidR="002C36FD" w:rsidRPr="00E774D6" w:rsidRDefault="002C36FD" w:rsidP="009D70C5">
      <w:pPr>
        <w:pStyle w:val="Textonotapie"/>
        <w:jc w:val="both"/>
        <w:rPr>
          <w:rFonts w:ascii="Palatino Linotype" w:hAnsi="Palatino Linotype"/>
          <w:i/>
          <w:sz w:val="16"/>
          <w:szCs w:val="16"/>
        </w:rPr>
      </w:pPr>
      <w:r>
        <w:rPr>
          <w:rStyle w:val="Refdenotaalpie"/>
        </w:rPr>
        <w:footnoteRef/>
      </w:r>
      <w:r>
        <w:t xml:space="preserve"> </w:t>
      </w:r>
      <w:r w:rsidRPr="00E774D6">
        <w:rPr>
          <w:rFonts w:ascii="Palatino Linotype" w:hAnsi="Palatino Linotype"/>
          <w:i/>
          <w:sz w:val="16"/>
          <w:szCs w:val="16"/>
        </w:rPr>
        <w:t xml:space="preserve">Artículo 129. En la aplicación de la prueba de daño, el sujeto obligado deberá precisar las razones objetivas por las que la apertura de la información generaría una afectación, justificando que:  </w:t>
      </w:r>
    </w:p>
    <w:p w:rsidR="002C36FD" w:rsidRPr="00E774D6" w:rsidRDefault="002C36FD" w:rsidP="009D70C5">
      <w:pPr>
        <w:pStyle w:val="Textonotapie"/>
        <w:jc w:val="both"/>
        <w:rPr>
          <w:rFonts w:ascii="Palatino Linotype" w:hAnsi="Palatino Linotype"/>
          <w:i/>
          <w:sz w:val="16"/>
          <w:szCs w:val="16"/>
        </w:rPr>
      </w:pPr>
      <w:r w:rsidRPr="00E774D6">
        <w:rPr>
          <w:rFonts w:ascii="Palatino Linotype" w:hAnsi="Palatino Linotype"/>
          <w:i/>
          <w:sz w:val="16"/>
          <w:szCs w:val="16"/>
        </w:rPr>
        <w:t xml:space="preserve">I. La divulgación de la información representa un riesgo real, demostrable e identificable del perjuicio significativo al interés público o a la seguridad pública;  </w:t>
      </w:r>
    </w:p>
    <w:p w:rsidR="002C36FD" w:rsidRPr="00E774D6" w:rsidRDefault="002C36FD" w:rsidP="009D70C5">
      <w:pPr>
        <w:pStyle w:val="Textonotapie"/>
        <w:jc w:val="both"/>
        <w:rPr>
          <w:rFonts w:ascii="Palatino Linotype" w:hAnsi="Palatino Linotype"/>
          <w:i/>
          <w:sz w:val="16"/>
          <w:szCs w:val="16"/>
        </w:rPr>
      </w:pPr>
      <w:r w:rsidRPr="00E774D6">
        <w:rPr>
          <w:rFonts w:ascii="Palatino Linotype" w:hAnsi="Palatino Linotype"/>
          <w:i/>
          <w:sz w:val="16"/>
          <w:szCs w:val="16"/>
        </w:rPr>
        <w:t xml:space="preserve">II. El riesgo de perjuicio que supondría la divulgación supera el interés público general de que se difunda; y  </w:t>
      </w:r>
    </w:p>
    <w:p w:rsidR="002C36FD" w:rsidRPr="00E774D6" w:rsidRDefault="002C36FD" w:rsidP="009D70C5">
      <w:pPr>
        <w:pStyle w:val="Textonotapie"/>
        <w:jc w:val="both"/>
        <w:rPr>
          <w:rFonts w:ascii="Palatino Linotype" w:hAnsi="Palatino Linotype"/>
          <w:sz w:val="16"/>
          <w:szCs w:val="16"/>
        </w:rPr>
      </w:pPr>
      <w:r w:rsidRPr="00E774D6">
        <w:rPr>
          <w:rFonts w:ascii="Palatino Linotype" w:hAnsi="Palatino Linotype"/>
          <w:i/>
          <w:sz w:val="16"/>
          <w:szCs w:val="16"/>
        </w:rPr>
        <w:t>III. La limitación se adecua al principio de proporcionalidad y representa el medio menos restrictivo disponible representa el medio menos restrictivo disponible para evitar el perjuicio.</w:t>
      </w:r>
      <w:r>
        <w:rPr>
          <w:rFonts w:ascii="Palatino Linotype" w:hAnsi="Palatino Linotype"/>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6FD" w:rsidRDefault="002C36FD">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2C36FD" w:rsidTr="00182616">
      <w:trPr>
        <w:trHeight w:val="227"/>
      </w:trPr>
      <w:tc>
        <w:tcPr>
          <w:tcW w:w="5949" w:type="dxa"/>
          <w:hideMark/>
        </w:tcPr>
        <w:p w:rsidR="002C36FD" w:rsidRDefault="002C36FD"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2C36FD" w:rsidRDefault="002C36FD" w:rsidP="0043217C">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08615/INFOEM/IP/RR/2019</w:t>
          </w:r>
        </w:p>
      </w:tc>
    </w:tr>
    <w:tr w:rsidR="002C36FD" w:rsidTr="00182616">
      <w:trPr>
        <w:trHeight w:val="242"/>
      </w:trPr>
      <w:tc>
        <w:tcPr>
          <w:tcW w:w="5949" w:type="dxa"/>
          <w:hideMark/>
        </w:tcPr>
        <w:p w:rsidR="002C36FD" w:rsidRDefault="002C36FD"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2C36FD" w:rsidRDefault="002C36FD" w:rsidP="007E7086">
          <w:pPr>
            <w:spacing w:after="120" w:line="256" w:lineRule="auto"/>
            <w:ind w:left="72" w:right="214"/>
            <w:jc w:val="right"/>
            <w:rPr>
              <w:rFonts w:ascii="Palatino Linotype" w:hAnsi="Palatino Linotype" w:cs="Arial"/>
              <w:szCs w:val="20"/>
            </w:rPr>
          </w:pPr>
          <w:r w:rsidRPr="00993CE2">
            <w:rPr>
              <w:rFonts w:ascii="Palatino Linotype" w:hAnsi="Palatino Linotype" w:cs="Arial"/>
              <w:szCs w:val="20"/>
            </w:rPr>
            <w:t>Ayuntamiento de Ixtlahuaca</w:t>
          </w:r>
        </w:p>
      </w:tc>
    </w:tr>
    <w:tr w:rsidR="002C36FD" w:rsidTr="00182616">
      <w:trPr>
        <w:trHeight w:val="342"/>
      </w:trPr>
      <w:tc>
        <w:tcPr>
          <w:tcW w:w="5949" w:type="dxa"/>
          <w:hideMark/>
        </w:tcPr>
        <w:p w:rsidR="002C36FD" w:rsidRDefault="002C36FD"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2C36FD" w:rsidRDefault="002C36FD"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2C36FD" w:rsidRDefault="002C36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2C36FD" w:rsidTr="00182616">
      <w:trPr>
        <w:trHeight w:val="227"/>
      </w:trPr>
      <w:tc>
        <w:tcPr>
          <w:tcW w:w="5103" w:type="dxa"/>
          <w:hideMark/>
        </w:tcPr>
        <w:p w:rsidR="002C36FD" w:rsidRDefault="002C36FD"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2C36FD" w:rsidRPr="00B4142F" w:rsidRDefault="002C36FD"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08615</w:t>
          </w:r>
          <w:r w:rsidRPr="0009709A">
            <w:rPr>
              <w:rFonts w:ascii="Palatino Linotype" w:hAnsi="Palatino Linotype" w:cs="Arial"/>
              <w:bCs/>
              <w:sz w:val="24"/>
              <w:lang w:eastAsia="es-MX"/>
            </w:rPr>
            <w:t>/INFOEM/IP/RR/2019</w:t>
          </w:r>
        </w:p>
      </w:tc>
    </w:tr>
    <w:tr w:rsidR="002C36FD" w:rsidTr="00182616">
      <w:trPr>
        <w:trHeight w:val="196"/>
      </w:trPr>
      <w:tc>
        <w:tcPr>
          <w:tcW w:w="5103" w:type="dxa"/>
          <w:hideMark/>
        </w:tcPr>
        <w:p w:rsidR="002C36FD" w:rsidRDefault="002C36FD"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2C36FD" w:rsidRPr="00F06FED" w:rsidRDefault="00DF7C87" w:rsidP="000B4B3D">
          <w:pPr>
            <w:spacing w:after="120" w:line="256" w:lineRule="auto"/>
            <w:ind w:left="208" w:right="214"/>
            <w:jc w:val="right"/>
            <w:rPr>
              <w:rFonts w:ascii="Palatino Linotype" w:hAnsi="Palatino Linotype" w:cs="Arial"/>
            </w:rPr>
          </w:pPr>
          <w:r>
            <w:rPr>
              <w:rFonts w:ascii="Palatino Linotype" w:hAnsi="Palatino Linotype" w:cs="Arial"/>
            </w:rPr>
            <w:t>XXXXXXXXXXXXXXX</w:t>
          </w:r>
        </w:p>
      </w:tc>
    </w:tr>
    <w:tr w:rsidR="002C36FD" w:rsidTr="00182616">
      <w:trPr>
        <w:trHeight w:val="242"/>
      </w:trPr>
      <w:tc>
        <w:tcPr>
          <w:tcW w:w="5103" w:type="dxa"/>
          <w:hideMark/>
        </w:tcPr>
        <w:p w:rsidR="002C36FD" w:rsidRDefault="002C36FD"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2C36FD" w:rsidRDefault="002C36FD" w:rsidP="0016423B">
          <w:pPr>
            <w:spacing w:after="120" w:line="256" w:lineRule="auto"/>
            <w:ind w:left="208" w:right="214"/>
            <w:jc w:val="right"/>
            <w:rPr>
              <w:rFonts w:ascii="Palatino Linotype" w:hAnsi="Palatino Linotype" w:cs="Arial"/>
              <w:szCs w:val="20"/>
            </w:rPr>
          </w:pPr>
          <w:r w:rsidRPr="00993CE2">
            <w:rPr>
              <w:rFonts w:ascii="Palatino Linotype" w:hAnsi="Palatino Linotype" w:cs="Arial"/>
              <w:szCs w:val="20"/>
            </w:rPr>
            <w:t>Ayuntamiento de Ixtlahuaca</w:t>
          </w:r>
        </w:p>
      </w:tc>
    </w:tr>
    <w:tr w:rsidR="002C36FD" w:rsidTr="00182616">
      <w:trPr>
        <w:trHeight w:val="342"/>
      </w:trPr>
      <w:tc>
        <w:tcPr>
          <w:tcW w:w="5103" w:type="dxa"/>
          <w:hideMark/>
        </w:tcPr>
        <w:p w:rsidR="002C36FD" w:rsidRDefault="002C36FD"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2C36FD" w:rsidRDefault="002C36FD"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2C36FD" w:rsidRDefault="002C36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3A5C0C"/>
    <w:multiLevelType w:val="hybridMultilevel"/>
    <w:tmpl w:val="15E8E0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D32F1A"/>
    <w:multiLevelType w:val="hybridMultilevel"/>
    <w:tmpl w:val="6C4E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130EB"/>
    <w:multiLevelType w:val="hybridMultilevel"/>
    <w:tmpl w:val="A75AB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336490"/>
    <w:multiLevelType w:val="hybridMultilevel"/>
    <w:tmpl w:val="402A04A2"/>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23522B9B"/>
    <w:multiLevelType w:val="hybridMultilevel"/>
    <w:tmpl w:val="103C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AB3912"/>
    <w:multiLevelType w:val="hybridMultilevel"/>
    <w:tmpl w:val="57B40E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1D14F28"/>
    <w:multiLevelType w:val="hybridMultilevel"/>
    <w:tmpl w:val="1362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3">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3C2B17"/>
    <w:multiLevelType w:val="hybridMultilevel"/>
    <w:tmpl w:val="B5E8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9A674F7"/>
    <w:multiLevelType w:val="hybridMultilevel"/>
    <w:tmpl w:val="EEEC8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D3A56F6"/>
    <w:multiLevelType w:val="hybridMultilevel"/>
    <w:tmpl w:val="185860D0"/>
    <w:lvl w:ilvl="0" w:tplc="9D02E282">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0277A1E"/>
    <w:multiLevelType w:val="hybridMultilevel"/>
    <w:tmpl w:val="B978A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7B952C6"/>
    <w:multiLevelType w:val="hybridMultilevel"/>
    <w:tmpl w:val="47A4B11E"/>
    <w:lvl w:ilvl="0" w:tplc="AD34462A">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6">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11"/>
  </w:num>
  <w:num w:numId="3">
    <w:abstractNumId w:val="1"/>
  </w:num>
  <w:num w:numId="4">
    <w:abstractNumId w:val="36"/>
  </w:num>
  <w:num w:numId="5">
    <w:abstractNumId w:val="6"/>
  </w:num>
  <w:num w:numId="6">
    <w:abstractNumId w:val="4"/>
  </w:num>
  <w:num w:numId="7">
    <w:abstractNumId w:val="21"/>
  </w:num>
  <w:num w:numId="8">
    <w:abstractNumId w:val="20"/>
  </w:num>
  <w:num w:numId="9">
    <w:abstractNumId w:val="31"/>
  </w:num>
  <w:num w:numId="10">
    <w:abstractNumId w:val="10"/>
  </w:num>
  <w:num w:numId="11">
    <w:abstractNumId w:val="33"/>
  </w:num>
  <w:num w:numId="12">
    <w:abstractNumId w:val="24"/>
  </w:num>
  <w:num w:numId="13">
    <w:abstractNumId w:val="23"/>
  </w:num>
  <w:num w:numId="14">
    <w:abstractNumId w:val="16"/>
  </w:num>
  <w:num w:numId="15">
    <w:abstractNumId w:val="3"/>
  </w:num>
  <w:num w:numId="16">
    <w:abstractNumId w:val="17"/>
  </w:num>
  <w:num w:numId="17">
    <w:abstractNumId w:val="19"/>
  </w:num>
  <w:num w:numId="18">
    <w:abstractNumId w:val="25"/>
  </w:num>
  <w:num w:numId="19">
    <w:abstractNumId w:val="13"/>
  </w:num>
  <w:num w:numId="20">
    <w:abstractNumId w:val="18"/>
  </w:num>
  <w:num w:numId="21">
    <w:abstractNumId w:val="26"/>
  </w:num>
  <w:num w:numId="22">
    <w:abstractNumId w:val="29"/>
  </w:num>
  <w:num w:numId="23">
    <w:abstractNumId w:val="30"/>
  </w:num>
  <w:num w:numId="24">
    <w:abstractNumId w:val="9"/>
  </w:num>
  <w:num w:numId="25">
    <w:abstractNumId w:val="15"/>
  </w:num>
  <w:num w:numId="26">
    <w:abstractNumId w:val="8"/>
  </w:num>
  <w:num w:numId="27">
    <w:abstractNumId w:val="12"/>
  </w:num>
  <w:num w:numId="28">
    <w:abstractNumId w:val="28"/>
  </w:num>
  <w:num w:numId="29">
    <w:abstractNumId w:val="35"/>
  </w:num>
  <w:num w:numId="30">
    <w:abstractNumId w:val="14"/>
  </w:num>
  <w:num w:numId="31">
    <w:abstractNumId w:val="37"/>
  </w:num>
  <w:num w:numId="32">
    <w:abstractNumId w:val="2"/>
  </w:num>
  <w:num w:numId="33">
    <w:abstractNumId w:val="5"/>
  </w:num>
  <w:num w:numId="34">
    <w:abstractNumId w:val="27"/>
  </w:num>
  <w:num w:numId="35">
    <w:abstractNumId w:val="32"/>
  </w:num>
  <w:num w:numId="36">
    <w:abstractNumId w:val="34"/>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2CD"/>
    <w:rsid w:val="00000E9E"/>
    <w:rsid w:val="0000238F"/>
    <w:rsid w:val="000044B4"/>
    <w:rsid w:val="00005CC8"/>
    <w:rsid w:val="00011DF7"/>
    <w:rsid w:val="00012853"/>
    <w:rsid w:val="000146A2"/>
    <w:rsid w:val="00014D80"/>
    <w:rsid w:val="00015A5D"/>
    <w:rsid w:val="000204E1"/>
    <w:rsid w:val="00021D9A"/>
    <w:rsid w:val="00022E72"/>
    <w:rsid w:val="000230DF"/>
    <w:rsid w:val="000232F8"/>
    <w:rsid w:val="00023706"/>
    <w:rsid w:val="00024BC0"/>
    <w:rsid w:val="000276E0"/>
    <w:rsid w:val="00030F09"/>
    <w:rsid w:val="00032DBD"/>
    <w:rsid w:val="00033949"/>
    <w:rsid w:val="00033A37"/>
    <w:rsid w:val="000402BD"/>
    <w:rsid w:val="00041557"/>
    <w:rsid w:val="00041664"/>
    <w:rsid w:val="00043018"/>
    <w:rsid w:val="00044579"/>
    <w:rsid w:val="00044CF3"/>
    <w:rsid w:val="00050126"/>
    <w:rsid w:val="00050518"/>
    <w:rsid w:val="00050692"/>
    <w:rsid w:val="00050A9C"/>
    <w:rsid w:val="00051311"/>
    <w:rsid w:val="00053083"/>
    <w:rsid w:val="00053C9B"/>
    <w:rsid w:val="00054C50"/>
    <w:rsid w:val="00055FDB"/>
    <w:rsid w:val="000574F5"/>
    <w:rsid w:val="00057570"/>
    <w:rsid w:val="000576BF"/>
    <w:rsid w:val="00060115"/>
    <w:rsid w:val="000610EB"/>
    <w:rsid w:val="00061CDD"/>
    <w:rsid w:val="00061CE1"/>
    <w:rsid w:val="00062331"/>
    <w:rsid w:val="0006498F"/>
    <w:rsid w:val="000674FE"/>
    <w:rsid w:val="00070473"/>
    <w:rsid w:val="00070C7F"/>
    <w:rsid w:val="000723B9"/>
    <w:rsid w:val="0007328F"/>
    <w:rsid w:val="000732A0"/>
    <w:rsid w:val="000738E9"/>
    <w:rsid w:val="0008042E"/>
    <w:rsid w:val="00080536"/>
    <w:rsid w:val="00083F7E"/>
    <w:rsid w:val="000859BB"/>
    <w:rsid w:val="00087885"/>
    <w:rsid w:val="0008795C"/>
    <w:rsid w:val="00090705"/>
    <w:rsid w:val="00091583"/>
    <w:rsid w:val="00092805"/>
    <w:rsid w:val="00093E42"/>
    <w:rsid w:val="0009497C"/>
    <w:rsid w:val="00095218"/>
    <w:rsid w:val="00095D0C"/>
    <w:rsid w:val="00096DEA"/>
    <w:rsid w:val="0009709A"/>
    <w:rsid w:val="000A27C1"/>
    <w:rsid w:val="000A3303"/>
    <w:rsid w:val="000A6805"/>
    <w:rsid w:val="000A6898"/>
    <w:rsid w:val="000A773C"/>
    <w:rsid w:val="000A7F00"/>
    <w:rsid w:val="000B0E94"/>
    <w:rsid w:val="000B2868"/>
    <w:rsid w:val="000B45D8"/>
    <w:rsid w:val="000B4B3D"/>
    <w:rsid w:val="000B5D48"/>
    <w:rsid w:val="000C289A"/>
    <w:rsid w:val="000C3A0E"/>
    <w:rsid w:val="000C58B6"/>
    <w:rsid w:val="000C62B4"/>
    <w:rsid w:val="000C74AA"/>
    <w:rsid w:val="000D4772"/>
    <w:rsid w:val="000D47AB"/>
    <w:rsid w:val="000D6982"/>
    <w:rsid w:val="000D756B"/>
    <w:rsid w:val="000D7B84"/>
    <w:rsid w:val="000E28C7"/>
    <w:rsid w:val="000E2AE1"/>
    <w:rsid w:val="000E4C25"/>
    <w:rsid w:val="000E4C77"/>
    <w:rsid w:val="000E4E90"/>
    <w:rsid w:val="000E5159"/>
    <w:rsid w:val="000E58D0"/>
    <w:rsid w:val="000E631B"/>
    <w:rsid w:val="000E7C0A"/>
    <w:rsid w:val="000F0A72"/>
    <w:rsid w:val="000F199E"/>
    <w:rsid w:val="000F3722"/>
    <w:rsid w:val="000F4E60"/>
    <w:rsid w:val="000F76C0"/>
    <w:rsid w:val="00113858"/>
    <w:rsid w:val="00114418"/>
    <w:rsid w:val="00114C3C"/>
    <w:rsid w:val="00115F6D"/>
    <w:rsid w:val="00117C14"/>
    <w:rsid w:val="0012205A"/>
    <w:rsid w:val="00122CD0"/>
    <w:rsid w:val="0012508A"/>
    <w:rsid w:val="001269C0"/>
    <w:rsid w:val="00130ED1"/>
    <w:rsid w:val="00132E9F"/>
    <w:rsid w:val="001346D9"/>
    <w:rsid w:val="00135494"/>
    <w:rsid w:val="001365B8"/>
    <w:rsid w:val="00140AE4"/>
    <w:rsid w:val="00140C2F"/>
    <w:rsid w:val="0014191F"/>
    <w:rsid w:val="00142CC6"/>
    <w:rsid w:val="00142E05"/>
    <w:rsid w:val="00143581"/>
    <w:rsid w:val="00143AC6"/>
    <w:rsid w:val="0014447C"/>
    <w:rsid w:val="001510E8"/>
    <w:rsid w:val="00153BFD"/>
    <w:rsid w:val="00155083"/>
    <w:rsid w:val="001552E9"/>
    <w:rsid w:val="001576AC"/>
    <w:rsid w:val="00160E7E"/>
    <w:rsid w:val="00162176"/>
    <w:rsid w:val="0016288C"/>
    <w:rsid w:val="0016423B"/>
    <w:rsid w:val="00165929"/>
    <w:rsid w:val="00166046"/>
    <w:rsid w:val="00166623"/>
    <w:rsid w:val="00166FB7"/>
    <w:rsid w:val="00170C4A"/>
    <w:rsid w:val="001727E6"/>
    <w:rsid w:val="00172D37"/>
    <w:rsid w:val="00172F8F"/>
    <w:rsid w:val="00173299"/>
    <w:rsid w:val="00180F6B"/>
    <w:rsid w:val="00181DE3"/>
    <w:rsid w:val="00182616"/>
    <w:rsid w:val="00183E49"/>
    <w:rsid w:val="00186CFB"/>
    <w:rsid w:val="00195C69"/>
    <w:rsid w:val="001963D1"/>
    <w:rsid w:val="00196888"/>
    <w:rsid w:val="001976F7"/>
    <w:rsid w:val="001A0461"/>
    <w:rsid w:val="001A0EEE"/>
    <w:rsid w:val="001A17B9"/>
    <w:rsid w:val="001A19E9"/>
    <w:rsid w:val="001A1AC5"/>
    <w:rsid w:val="001A1DA5"/>
    <w:rsid w:val="001A4700"/>
    <w:rsid w:val="001A4B29"/>
    <w:rsid w:val="001B5DCE"/>
    <w:rsid w:val="001B6C19"/>
    <w:rsid w:val="001C0CE9"/>
    <w:rsid w:val="001C14F7"/>
    <w:rsid w:val="001C2DBA"/>
    <w:rsid w:val="001C3177"/>
    <w:rsid w:val="001C399D"/>
    <w:rsid w:val="001C3FB9"/>
    <w:rsid w:val="001C69FC"/>
    <w:rsid w:val="001C73A7"/>
    <w:rsid w:val="001C77F2"/>
    <w:rsid w:val="001D11F7"/>
    <w:rsid w:val="001D130D"/>
    <w:rsid w:val="001D2B28"/>
    <w:rsid w:val="001D39A1"/>
    <w:rsid w:val="001D6114"/>
    <w:rsid w:val="001D61D0"/>
    <w:rsid w:val="001E07AC"/>
    <w:rsid w:val="001E2E5E"/>
    <w:rsid w:val="001E4528"/>
    <w:rsid w:val="001E477F"/>
    <w:rsid w:val="001E4D4B"/>
    <w:rsid w:val="001E60B7"/>
    <w:rsid w:val="001E71C5"/>
    <w:rsid w:val="001E7E97"/>
    <w:rsid w:val="001F021C"/>
    <w:rsid w:val="001F5537"/>
    <w:rsid w:val="001F5577"/>
    <w:rsid w:val="001F59A0"/>
    <w:rsid w:val="001F5C55"/>
    <w:rsid w:val="001F6C27"/>
    <w:rsid w:val="00201358"/>
    <w:rsid w:val="00203FA5"/>
    <w:rsid w:val="00204B42"/>
    <w:rsid w:val="00205BF1"/>
    <w:rsid w:val="00207DA3"/>
    <w:rsid w:val="002108D8"/>
    <w:rsid w:val="00211473"/>
    <w:rsid w:val="00211739"/>
    <w:rsid w:val="00211A69"/>
    <w:rsid w:val="00212201"/>
    <w:rsid w:val="00212498"/>
    <w:rsid w:val="0021396E"/>
    <w:rsid w:val="00216B8D"/>
    <w:rsid w:val="00217027"/>
    <w:rsid w:val="00217517"/>
    <w:rsid w:val="002212BB"/>
    <w:rsid w:val="00221F0B"/>
    <w:rsid w:val="00222D17"/>
    <w:rsid w:val="00224F85"/>
    <w:rsid w:val="002252AD"/>
    <w:rsid w:val="00225A6A"/>
    <w:rsid w:val="00225AAE"/>
    <w:rsid w:val="00226483"/>
    <w:rsid w:val="00232FBB"/>
    <w:rsid w:val="00235B93"/>
    <w:rsid w:val="002366E1"/>
    <w:rsid w:val="002408C0"/>
    <w:rsid w:val="00241CD8"/>
    <w:rsid w:val="00242169"/>
    <w:rsid w:val="002450D9"/>
    <w:rsid w:val="002452C3"/>
    <w:rsid w:val="00246F65"/>
    <w:rsid w:val="0024709D"/>
    <w:rsid w:val="00247E1F"/>
    <w:rsid w:val="002517EC"/>
    <w:rsid w:val="00251C6D"/>
    <w:rsid w:val="00252BC8"/>
    <w:rsid w:val="00254523"/>
    <w:rsid w:val="002572CF"/>
    <w:rsid w:val="0026191D"/>
    <w:rsid w:val="00264415"/>
    <w:rsid w:val="00265E52"/>
    <w:rsid w:val="00267C45"/>
    <w:rsid w:val="00271762"/>
    <w:rsid w:val="002718DB"/>
    <w:rsid w:val="00271C39"/>
    <w:rsid w:val="00272111"/>
    <w:rsid w:val="00272609"/>
    <w:rsid w:val="00275C65"/>
    <w:rsid w:val="00275FCA"/>
    <w:rsid w:val="00276987"/>
    <w:rsid w:val="00276B33"/>
    <w:rsid w:val="00276E33"/>
    <w:rsid w:val="00276FFD"/>
    <w:rsid w:val="00277DCF"/>
    <w:rsid w:val="0028056B"/>
    <w:rsid w:val="002823D5"/>
    <w:rsid w:val="00283F65"/>
    <w:rsid w:val="002841C3"/>
    <w:rsid w:val="0028427C"/>
    <w:rsid w:val="0028471A"/>
    <w:rsid w:val="002847CC"/>
    <w:rsid w:val="0028585E"/>
    <w:rsid w:val="00285DFA"/>
    <w:rsid w:val="00287072"/>
    <w:rsid w:val="00287DCC"/>
    <w:rsid w:val="00290131"/>
    <w:rsid w:val="00290397"/>
    <w:rsid w:val="002910A3"/>
    <w:rsid w:val="00291B9C"/>
    <w:rsid w:val="00293511"/>
    <w:rsid w:val="00294480"/>
    <w:rsid w:val="00294C9B"/>
    <w:rsid w:val="00295186"/>
    <w:rsid w:val="002965A1"/>
    <w:rsid w:val="00296F49"/>
    <w:rsid w:val="00297B3F"/>
    <w:rsid w:val="002A08AC"/>
    <w:rsid w:val="002A08CD"/>
    <w:rsid w:val="002A10EC"/>
    <w:rsid w:val="002A1927"/>
    <w:rsid w:val="002A1FCC"/>
    <w:rsid w:val="002A26E0"/>
    <w:rsid w:val="002B1196"/>
    <w:rsid w:val="002B52D6"/>
    <w:rsid w:val="002B5B14"/>
    <w:rsid w:val="002C0C6A"/>
    <w:rsid w:val="002C1EF7"/>
    <w:rsid w:val="002C2A2E"/>
    <w:rsid w:val="002C2D19"/>
    <w:rsid w:val="002C36FD"/>
    <w:rsid w:val="002C45D8"/>
    <w:rsid w:val="002C47F3"/>
    <w:rsid w:val="002C4988"/>
    <w:rsid w:val="002C529C"/>
    <w:rsid w:val="002C566D"/>
    <w:rsid w:val="002D0152"/>
    <w:rsid w:val="002D3426"/>
    <w:rsid w:val="002D4743"/>
    <w:rsid w:val="002D477F"/>
    <w:rsid w:val="002D4991"/>
    <w:rsid w:val="002D4B7A"/>
    <w:rsid w:val="002D6110"/>
    <w:rsid w:val="002D7D51"/>
    <w:rsid w:val="002E22D8"/>
    <w:rsid w:val="002E2D4C"/>
    <w:rsid w:val="002E3A12"/>
    <w:rsid w:val="002E434B"/>
    <w:rsid w:val="002E49DD"/>
    <w:rsid w:val="002E6036"/>
    <w:rsid w:val="002F044A"/>
    <w:rsid w:val="002F160B"/>
    <w:rsid w:val="002F17FB"/>
    <w:rsid w:val="002F35AC"/>
    <w:rsid w:val="002F7D7F"/>
    <w:rsid w:val="003002D9"/>
    <w:rsid w:val="00301A01"/>
    <w:rsid w:val="00301FF8"/>
    <w:rsid w:val="003021C1"/>
    <w:rsid w:val="00303FAF"/>
    <w:rsid w:val="00304C91"/>
    <w:rsid w:val="00305B06"/>
    <w:rsid w:val="00307784"/>
    <w:rsid w:val="00307BF6"/>
    <w:rsid w:val="00310760"/>
    <w:rsid w:val="00311191"/>
    <w:rsid w:val="00312E7E"/>
    <w:rsid w:val="00314251"/>
    <w:rsid w:val="00314F7E"/>
    <w:rsid w:val="00315192"/>
    <w:rsid w:val="003153A1"/>
    <w:rsid w:val="00316005"/>
    <w:rsid w:val="00316D23"/>
    <w:rsid w:val="003209B8"/>
    <w:rsid w:val="003230BE"/>
    <w:rsid w:val="00323B11"/>
    <w:rsid w:val="00323D35"/>
    <w:rsid w:val="00325EE1"/>
    <w:rsid w:val="0032688B"/>
    <w:rsid w:val="00327932"/>
    <w:rsid w:val="00330554"/>
    <w:rsid w:val="00334F75"/>
    <w:rsid w:val="003369C9"/>
    <w:rsid w:val="00336EDF"/>
    <w:rsid w:val="00342959"/>
    <w:rsid w:val="00342987"/>
    <w:rsid w:val="003456A2"/>
    <w:rsid w:val="0034713F"/>
    <w:rsid w:val="003474E5"/>
    <w:rsid w:val="003500CC"/>
    <w:rsid w:val="0035493D"/>
    <w:rsid w:val="00354E5E"/>
    <w:rsid w:val="00356DEA"/>
    <w:rsid w:val="00363308"/>
    <w:rsid w:val="003653BC"/>
    <w:rsid w:val="00365ADF"/>
    <w:rsid w:val="00371710"/>
    <w:rsid w:val="00372399"/>
    <w:rsid w:val="00374450"/>
    <w:rsid w:val="00375FF5"/>
    <w:rsid w:val="00380922"/>
    <w:rsid w:val="0038385D"/>
    <w:rsid w:val="0038396D"/>
    <w:rsid w:val="0038529C"/>
    <w:rsid w:val="00386799"/>
    <w:rsid w:val="003908F4"/>
    <w:rsid w:val="003919AC"/>
    <w:rsid w:val="0039721A"/>
    <w:rsid w:val="003A13D2"/>
    <w:rsid w:val="003A3096"/>
    <w:rsid w:val="003A600D"/>
    <w:rsid w:val="003B123E"/>
    <w:rsid w:val="003B4AE6"/>
    <w:rsid w:val="003B64E2"/>
    <w:rsid w:val="003B6632"/>
    <w:rsid w:val="003B7C36"/>
    <w:rsid w:val="003C042D"/>
    <w:rsid w:val="003C3124"/>
    <w:rsid w:val="003C47FB"/>
    <w:rsid w:val="003C74AF"/>
    <w:rsid w:val="003D2672"/>
    <w:rsid w:val="003D3420"/>
    <w:rsid w:val="003D3A66"/>
    <w:rsid w:val="003D3D51"/>
    <w:rsid w:val="003D4B31"/>
    <w:rsid w:val="003D584C"/>
    <w:rsid w:val="003E037E"/>
    <w:rsid w:val="003E08B9"/>
    <w:rsid w:val="003F1052"/>
    <w:rsid w:val="003F13DA"/>
    <w:rsid w:val="003F14E6"/>
    <w:rsid w:val="003F38FC"/>
    <w:rsid w:val="003F5460"/>
    <w:rsid w:val="003F59F4"/>
    <w:rsid w:val="00400852"/>
    <w:rsid w:val="00404F9D"/>
    <w:rsid w:val="00406B61"/>
    <w:rsid w:val="00406E86"/>
    <w:rsid w:val="00407282"/>
    <w:rsid w:val="00407DEE"/>
    <w:rsid w:val="00410A41"/>
    <w:rsid w:val="004132B8"/>
    <w:rsid w:val="00414E53"/>
    <w:rsid w:val="00415BD4"/>
    <w:rsid w:val="00416378"/>
    <w:rsid w:val="004174D8"/>
    <w:rsid w:val="00417EBD"/>
    <w:rsid w:val="00417F17"/>
    <w:rsid w:val="00422997"/>
    <w:rsid w:val="00423281"/>
    <w:rsid w:val="00423C27"/>
    <w:rsid w:val="00425199"/>
    <w:rsid w:val="00426267"/>
    <w:rsid w:val="004267D1"/>
    <w:rsid w:val="0043066D"/>
    <w:rsid w:val="004307FD"/>
    <w:rsid w:val="00430DDB"/>
    <w:rsid w:val="004310DA"/>
    <w:rsid w:val="0043217C"/>
    <w:rsid w:val="00432F42"/>
    <w:rsid w:val="00435E52"/>
    <w:rsid w:val="00443826"/>
    <w:rsid w:val="00446D67"/>
    <w:rsid w:val="0045258F"/>
    <w:rsid w:val="0045270C"/>
    <w:rsid w:val="00452ABA"/>
    <w:rsid w:val="0045396C"/>
    <w:rsid w:val="004560B1"/>
    <w:rsid w:val="00456892"/>
    <w:rsid w:val="004571B5"/>
    <w:rsid w:val="004572BE"/>
    <w:rsid w:val="004601BF"/>
    <w:rsid w:val="0046044E"/>
    <w:rsid w:val="004617AE"/>
    <w:rsid w:val="004617C7"/>
    <w:rsid w:val="00463E3B"/>
    <w:rsid w:val="00464417"/>
    <w:rsid w:val="00464F74"/>
    <w:rsid w:val="004657BE"/>
    <w:rsid w:val="004715AF"/>
    <w:rsid w:val="00472666"/>
    <w:rsid w:val="00474BF0"/>
    <w:rsid w:val="00476E2C"/>
    <w:rsid w:val="00476E43"/>
    <w:rsid w:val="004807F7"/>
    <w:rsid w:val="004812BD"/>
    <w:rsid w:val="00481A59"/>
    <w:rsid w:val="00481A94"/>
    <w:rsid w:val="00482EF1"/>
    <w:rsid w:val="004830B5"/>
    <w:rsid w:val="004845BC"/>
    <w:rsid w:val="00484E47"/>
    <w:rsid w:val="00485EAA"/>
    <w:rsid w:val="00485FC8"/>
    <w:rsid w:val="00486336"/>
    <w:rsid w:val="00487B8B"/>
    <w:rsid w:val="0049054C"/>
    <w:rsid w:val="004912BB"/>
    <w:rsid w:val="004926F0"/>
    <w:rsid w:val="00492F91"/>
    <w:rsid w:val="00493364"/>
    <w:rsid w:val="004943EE"/>
    <w:rsid w:val="00494C99"/>
    <w:rsid w:val="00497B93"/>
    <w:rsid w:val="004A23F1"/>
    <w:rsid w:val="004A51FF"/>
    <w:rsid w:val="004B2391"/>
    <w:rsid w:val="004B2C63"/>
    <w:rsid w:val="004B4721"/>
    <w:rsid w:val="004B54FF"/>
    <w:rsid w:val="004C0E97"/>
    <w:rsid w:val="004C7E18"/>
    <w:rsid w:val="004D3C0F"/>
    <w:rsid w:val="004D5BAF"/>
    <w:rsid w:val="004D5D52"/>
    <w:rsid w:val="004E0222"/>
    <w:rsid w:val="004E257C"/>
    <w:rsid w:val="004E26A1"/>
    <w:rsid w:val="004E65C2"/>
    <w:rsid w:val="004F01E0"/>
    <w:rsid w:val="004F1BFF"/>
    <w:rsid w:val="004F43BE"/>
    <w:rsid w:val="004F483E"/>
    <w:rsid w:val="004F5D37"/>
    <w:rsid w:val="004F71B4"/>
    <w:rsid w:val="0050104C"/>
    <w:rsid w:val="00501F21"/>
    <w:rsid w:val="005023F4"/>
    <w:rsid w:val="005033CC"/>
    <w:rsid w:val="0050429A"/>
    <w:rsid w:val="00506A29"/>
    <w:rsid w:val="00506F77"/>
    <w:rsid w:val="00506FB4"/>
    <w:rsid w:val="00511073"/>
    <w:rsid w:val="0051274A"/>
    <w:rsid w:val="00512CDD"/>
    <w:rsid w:val="00514C3B"/>
    <w:rsid w:val="005157A8"/>
    <w:rsid w:val="00515EBB"/>
    <w:rsid w:val="00515F7A"/>
    <w:rsid w:val="00521F65"/>
    <w:rsid w:val="0052393E"/>
    <w:rsid w:val="00524986"/>
    <w:rsid w:val="005253F4"/>
    <w:rsid w:val="005261D7"/>
    <w:rsid w:val="0053251F"/>
    <w:rsid w:val="005328FB"/>
    <w:rsid w:val="00534481"/>
    <w:rsid w:val="00536E75"/>
    <w:rsid w:val="0053702D"/>
    <w:rsid w:val="00537419"/>
    <w:rsid w:val="00537D90"/>
    <w:rsid w:val="00541B0A"/>
    <w:rsid w:val="005421C7"/>
    <w:rsid w:val="005448FA"/>
    <w:rsid w:val="00544D1C"/>
    <w:rsid w:val="00545810"/>
    <w:rsid w:val="00545934"/>
    <w:rsid w:val="00552930"/>
    <w:rsid w:val="00554E8A"/>
    <w:rsid w:val="00555F06"/>
    <w:rsid w:val="00556787"/>
    <w:rsid w:val="00560AE0"/>
    <w:rsid w:val="0056175D"/>
    <w:rsid w:val="00565DD9"/>
    <w:rsid w:val="00566699"/>
    <w:rsid w:val="00567676"/>
    <w:rsid w:val="00567B3F"/>
    <w:rsid w:val="005703F1"/>
    <w:rsid w:val="00572DD6"/>
    <w:rsid w:val="00573035"/>
    <w:rsid w:val="00573298"/>
    <w:rsid w:val="005733EB"/>
    <w:rsid w:val="0057534D"/>
    <w:rsid w:val="00575721"/>
    <w:rsid w:val="00576514"/>
    <w:rsid w:val="00576D36"/>
    <w:rsid w:val="00577F37"/>
    <w:rsid w:val="005835E6"/>
    <w:rsid w:val="00583BDF"/>
    <w:rsid w:val="00583DD0"/>
    <w:rsid w:val="0058708E"/>
    <w:rsid w:val="00590126"/>
    <w:rsid w:val="00591178"/>
    <w:rsid w:val="00591189"/>
    <w:rsid w:val="00591988"/>
    <w:rsid w:val="00591CBF"/>
    <w:rsid w:val="005947A8"/>
    <w:rsid w:val="00594C38"/>
    <w:rsid w:val="00596856"/>
    <w:rsid w:val="005A10C4"/>
    <w:rsid w:val="005A1DE9"/>
    <w:rsid w:val="005A2A6F"/>
    <w:rsid w:val="005A35E2"/>
    <w:rsid w:val="005A6F55"/>
    <w:rsid w:val="005A7809"/>
    <w:rsid w:val="005B0930"/>
    <w:rsid w:val="005B1376"/>
    <w:rsid w:val="005B2A31"/>
    <w:rsid w:val="005B36CD"/>
    <w:rsid w:val="005B7E58"/>
    <w:rsid w:val="005C057C"/>
    <w:rsid w:val="005C35E3"/>
    <w:rsid w:val="005C76D5"/>
    <w:rsid w:val="005C7A28"/>
    <w:rsid w:val="005D02A8"/>
    <w:rsid w:val="005D517E"/>
    <w:rsid w:val="005D5E76"/>
    <w:rsid w:val="005D5EEB"/>
    <w:rsid w:val="005D6DC3"/>
    <w:rsid w:val="005E37FE"/>
    <w:rsid w:val="005E3F88"/>
    <w:rsid w:val="005E4317"/>
    <w:rsid w:val="005E6407"/>
    <w:rsid w:val="005E71BC"/>
    <w:rsid w:val="005F1019"/>
    <w:rsid w:val="005F198B"/>
    <w:rsid w:val="005F64FE"/>
    <w:rsid w:val="005F7DE3"/>
    <w:rsid w:val="00600D67"/>
    <w:rsid w:val="0060166A"/>
    <w:rsid w:val="00604A29"/>
    <w:rsid w:val="0060633A"/>
    <w:rsid w:val="006107F0"/>
    <w:rsid w:val="006149F1"/>
    <w:rsid w:val="00620FA6"/>
    <w:rsid w:val="0062128C"/>
    <w:rsid w:val="006246A5"/>
    <w:rsid w:val="00624A5D"/>
    <w:rsid w:val="00627396"/>
    <w:rsid w:val="00627F9C"/>
    <w:rsid w:val="00630480"/>
    <w:rsid w:val="00631F1B"/>
    <w:rsid w:val="00631FF9"/>
    <w:rsid w:val="00633C3F"/>
    <w:rsid w:val="00636BA0"/>
    <w:rsid w:val="0063768E"/>
    <w:rsid w:val="00640D07"/>
    <w:rsid w:val="00642541"/>
    <w:rsid w:val="006435B8"/>
    <w:rsid w:val="00644363"/>
    <w:rsid w:val="006446F7"/>
    <w:rsid w:val="00647B4C"/>
    <w:rsid w:val="006517A0"/>
    <w:rsid w:val="00653A91"/>
    <w:rsid w:val="00653F16"/>
    <w:rsid w:val="00655A88"/>
    <w:rsid w:val="00656C1C"/>
    <w:rsid w:val="0066013E"/>
    <w:rsid w:val="00661204"/>
    <w:rsid w:val="006616F1"/>
    <w:rsid w:val="00663B3E"/>
    <w:rsid w:val="0066610F"/>
    <w:rsid w:val="0066612D"/>
    <w:rsid w:val="00670A00"/>
    <w:rsid w:val="00673D7C"/>
    <w:rsid w:val="006748C2"/>
    <w:rsid w:val="006749FD"/>
    <w:rsid w:val="00674FA3"/>
    <w:rsid w:val="006761EE"/>
    <w:rsid w:val="00676C32"/>
    <w:rsid w:val="00680275"/>
    <w:rsid w:val="0068081F"/>
    <w:rsid w:val="00680D39"/>
    <w:rsid w:val="00684D1A"/>
    <w:rsid w:val="00686046"/>
    <w:rsid w:val="006875A3"/>
    <w:rsid w:val="00687A21"/>
    <w:rsid w:val="00690C13"/>
    <w:rsid w:val="0069391A"/>
    <w:rsid w:val="006956C7"/>
    <w:rsid w:val="00695967"/>
    <w:rsid w:val="0069776E"/>
    <w:rsid w:val="00697A63"/>
    <w:rsid w:val="006A0ADE"/>
    <w:rsid w:val="006A29C5"/>
    <w:rsid w:val="006A3A54"/>
    <w:rsid w:val="006A561E"/>
    <w:rsid w:val="006A58E4"/>
    <w:rsid w:val="006A5E38"/>
    <w:rsid w:val="006A7D48"/>
    <w:rsid w:val="006C0D71"/>
    <w:rsid w:val="006C1F26"/>
    <w:rsid w:val="006C5108"/>
    <w:rsid w:val="006C6176"/>
    <w:rsid w:val="006C6BC7"/>
    <w:rsid w:val="006D01DC"/>
    <w:rsid w:val="006D1136"/>
    <w:rsid w:val="006D1909"/>
    <w:rsid w:val="006D254A"/>
    <w:rsid w:val="006D4AD4"/>
    <w:rsid w:val="006D5EDF"/>
    <w:rsid w:val="006D780C"/>
    <w:rsid w:val="006E0601"/>
    <w:rsid w:val="006E16FF"/>
    <w:rsid w:val="006E2615"/>
    <w:rsid w:val="006E2D42"/>
    <w:rsid w:val="006E6394"/>
    <w:rsid w:val="006E6C81"/>
    <w:rsid w:val="006F08D7"/>
    <w:rsid w:val="006F18FD"/>
    <w:rsid w:val="006F2694"/>
    <w:rsid w:val="006F4A35"/>
    <w:rsid w:val="006F536C"/>
    <w:rsid w:val="006F657A"/>
    <w:rsid w:val="00702DB6"/>
    <w:rsid w:val="00705D1C"/>
    <w:rsid w:val="00706410"/>
    <w:rsid w:val="007073F8"/>
    <w:rsid w:val="007078D3"/>
    <w:rsid w:val="00711E37"/>
    <w:rsid w:val="0071210D"/>
    <w:rsid w:val="007122EF"/>
    <w:rsid w:val="0071313A"/>
    <w:rsid w:val="007149E2"/>
    <w:rsid w:val="0071623D"/>
    <w:rsid w:val="00720C22"/>
    <w:rsid w:val="007214F7"/>
    <w:rsid w:val="007218F2"/>
    <w:rsid w:val="00721EB9"/>
    <w:rsid w:val="00723B96"/>
    <w:rsid w:val="00723C1B"/>
    <w:rsid w:val="007256EA"/>
    <w:rsid w:val="007269AE"/>
    <w:rsid w:val="00727C51"/>
    <w:rsid w:val="00727F6F"/>
    <w:rsid w:val="00730B8A"/>
    <w:rsid w:val="00730DE0"/>
    <w:rsid w:val="00736AF9"/>
    <w:rsid w:val="0074093D"/>
    <w:rsid w:val="00741A50"/>
    <w:rsid w:val="00745032"/>
    <w:rsid w:val="007469C3"/>
    <w:rsid w:val="00746ED1"/>
    <w:rsid w:val="00754BDC"/>
    <w:rsid w:val="00755795"/>
    <w:rsid w:val="0075676A"/>
    <w:rsid w:val="007577D1"/>
    <w:rsid w:val="00763D73"/>
    <w:rsid w:val="007640C8"/>
    <w:rsid w:val="00766945"/>
    <w:rsid w:val="00766A13"/>
    <w:rsid w:val="00766A8A"/>
    <w:rsid w:val="007676AF"/>
    <w:rsid w:val="00770D7C"/>
    <w:rsid w:val="00771421"/>
    <w:rsid w:val="00772A72"/>
    <w:rsid w:val="00773727"/>
    <w:rsid w:val="007748CD"/>
    <w:rsid w:val="00775F8F"/>
    <w:rsid w:val="00776087"/>
    <w:rsid w:val="00781C42"/>
    <w:rsid w:val="007849B4"/>
    <w:rsid w:val="00785145"/>
    <w:rsid w:val="00786497"/>
    <w:rsid w:val="00787C6A"/>
    <w:rsid w:val="00790289"/>
    <w:rsid w:val="007924C3"/>
    <w:rsid w:val="00793014"/>
    <w:rsid w:val="00797BE3"/>
    <w:rsid w:val="007A0571"/>
    <w:rsid w:val="007A1F44"/>
    <w:rsid w:val="007A223B"/>
    <w:rsid w:val="007A3848"/>
    <w:rsid w:val="007A4E13"/>
    <w:rsid w:val="007A694D"/>
    <w:rsid w:val="007B0292"/>
    <w:rsid w:val="007B0E30"/>
    <w:rsid w:val="007B12EA"/>
    <w:rsid w:val="007B5C0B"/>
    <w:rsid w:val="007B6C26"/>
    <w:rsid w:val="007C0F61"/>
    <w:rsid w:val="007C2225"/>
    <w:rsid w:val="007C23A2"/>
    <w:rsid w:val="007C2757"/>
    <w:rsid w:val="007C2FDE"/>
    <w:rsid w:val="007C5203"/>
    <w:rsid w:val="007C52F5"/>
    <w:rsid w:val="007C58CF"/>
    <w:rsid w:val="007C5DC4"/>
    <w:rsid w:val="007C70A4"/>
    <w:rsid w:val="007D0339"/>
    <w:rsid w:val="007D0CFF"/>
    <w:rsid w:val="007D519C"/>
    <w:rsid w:val="007E24A6"/>
    <w:rsid w:val="007E2E80"/>
    <w:rsid w:val="007E3E1E"/>
    <w:rsid w:val="007E473B"/>
    <w:rsid w:val="007E7086"/>
    <w:rsid w:val="007F2256"/>
    <w:rsid w:val="007F282E"/>
    <w:rsid w:val="007F5267"/>
    <w:rsid w:val="007F7846"/>
    <w:rsid w:val="00801391"/>
    <w:rsid w:val="00803379"/>
    <w:rsid w:val="008041A7"/>
    <w:rsid w:val="0080536C"/>
    <w:rsid w:val="00805578"/>
    <w:rsid w:val="0080572D"/>
    <w:rsid w:val="008103B2"/>
    <w:rsid w:val="0081299A"/>
    <w:rsid w:val="008132B7"/>
    <w:rsid w:val="00814DC4"/>
    <w:rsid w:val="008152B2"/>
    <w:rsid w:val="00820B44"/>
    <w:rsid w:val="00821898"/>
    <w:rsid w:val="0082268A"/>
    <w:rsid w:val="00823454"/>
    <w:rsid w:val="00824894"/>
    <w:rsid w:val="00824C59"/>
    <w:rsid w:val="008307E5"/>
    <w:rsid w:val="00833B24"/>
    <w:rsid w:val="00834547"/>
    <w:rsid w:val="00837290"/>
    <w:rsid w:val="00843DFD"/>
    <w:rsid w:val="008455DC"/>
    <w:rsid w:val="0084762B"/>
    <w:rsid w:val="00847AD2"/>
    <w:rsid w:val="00852DE6"/>
    <w:rsid w:val="00852E83"/>
    <w:rsid w:val="00853CC3"/>
    <w:rsid w:val="00853E09"/>
    <w:rsid w:val="0085433C"/>
    <w:rsid w:val="0085458F"/>
    <w:rsid w:val="00856768"/>
    <w:rsid w:val="00856EC9"/>
    <w:rsid w:val="00864A61"/>
    <w:rsid w:val="00866F05"/>
    <w:rsid w:val="00867D56"/>
    <w:rsid w:val="00870064"/>
    <w:rsid w:val="008706DB"/>
    <w:rsid w:val="008725EE"/>
    <w:rsid w:val="008731D1"/>
    <w:rsid w:val="008758DC"/>
    <w:rsid w:val="00881FAB"/>
    <w:rsid w:val="00892543"/>
    <w:rsid w:val="008932C9"/>
    <w:rsid w:val="008937FD"/>
    <w:rsid w:val="008960D1"/>
    <w:rsid w:val="008976A8"/>
    <w:rsid w:val="0089781F"/>
    <w:rsid w:val="008A0964"/>
    <w:rsid w:val="008A105E"/>
    <w:rsid w:val="008A188B"/>
    <w:rsid w:val="008A1C19"/>
    <w:rsid w:val="008A2099"/>
    <w:rsid w:val="008A2BF3"/>
    <w:rsid w:val="008A3A93"/>
    <w:rsid w:val="008A3B21"/>
    <w:rsid w:val="008A5D82"/>
    <w:rsid w:val="008B048C"/>
    <w:rsid w:val="008B537A"/>
    <w:rsid w:val="008B5FA8"/>
    <w:rsid w:val="008B6631"/>
    <w:rsid w:val="008C0E72"/>
    <w:rsid w:val="008C0F70"/>
    <w:rsid w:val="008C351E"/>
    <w:rsid w:val="008C651F"/>
    <w:rsid w:val="008C6F50"/>
    <w:rsid w:val="008C7CEB"/>
    <w:rsid w:val="008C7E34"/>
    <w:rsid w:val="008D17A8"/>
    <w:rsid w:val="008D2C03"/>
    <w:rsid w:val="008D3CD1"/>
    <w:rsid w:val="008D4796"/>
    <w:rsid w:val="008D523F"/>
    <w:rsid w:val="008D6327"/>
    <w:rsid w:val="008D640A"/>
    <w:rsid w:val="008E3305"/>
    <w:rsid w:val="008E40C0"/>
    <w:rsid w:val="008E572E"/>
    <w:rsid w:val="008E63C2"/>
    <w:rsid w:val="008E6BC4"/>
    <w:rsid w:val="008E7171"/>
    <w:rsid w:val="008F0C26"/>
    <w:rsid w:val="008F1579"/>
    <w:rsid w:val="008F4D69"/>
    <w:rsid w:val="008F5C2F"/>
    <w:rsid w:val="008F7F12"/>
    <w:rsid w:val="00901429"/>
    <w:rsid w:val="009026F3"/>
    <w:rsid w:val="00903599"/>
    <w:rsid w:val="00905CE1"/>
    <w:rsid w:val="00906DC5"/>
    <w:rsid w:val="009151CF"/>
    <w:rsid w:val="00915450"/>
    <w:rsid w:val="00915A9C"/>
    <w:rsid w:val="00916463"/>
    <w:rsid w:val="009219F2"/>
    <w:rsid w:val="009245F6"/>
    <w:rsid w:val="0092645A"/>
    <w:rsid w:val="009269A2"/>
    <w:rsid w:val="009272C6"/>
    <w:rsid w:val="00930F68"/>
    <w:rsid w:val="0093185F"/>
    <w:rsid w:val="009339EC"/>
    <w:rsid w:val="00935E58"/>
    <w:rsid w:val="0093743A"/>
    <w:rsid w:val="00937BFA"/>
    <w:rsid w:val="00940069"/>
    <w:rsid w:val="0094138F"/>
    <w:rsid w:val="00942349"/>
    <w:rsid w:val="009436D4"/>
    <w:rsid w:val="00943B37"/>
    <w:rsid w:val="00954DC1"/>
    <w:rsid w:val="00955477"/>
    <w:rsid w:val="00960B59"/>
    <w:rsid w:val="00960D8F"/>
    <w:rsid w:val="0096284F"/>
    <w:rsid w:val="0096359D"/>
    <w:rsid w:val="00963E83"/>
    <w:rsid w:val="009643D1"/>
    <w:rsid w:val="00964774"/>
    <w:rsid w:val="009653D2"/>
    <w:rsid w:val="00967270"/>
    <w:rsid w:val="00967F63"/>
    <w:rsid w:val="00971417"/>
    <w:rsid w:val="00973200"/>
    <w:rsid w:val="0097416D"/>
    <w:rsid w:val="009759F9"/>
    <w:rsid w:val="0098096A"/>
    <w:rsid w:val="00983A8A"/>
    <w:rsid w:val="00983F37"/>
    <w:rsid w:val="00984CA8"/>
    <w:rsid w:val="009859B8"/>
    <w:rsid w:val="00986BC0"/>
    <w:rsid w:val="00991300"/>
    <w:rsid w:val="009930C2"/>
    <w:rsid w:val="00993CE2"/>
    <w:rsid w:val="00993DE1"/>
    <w:rsid w:val="009947FA"/>
    <w:rsid w:val="00994FE7"/>
    <w:rsid w:val="009978AF"/>
    <w:rsid w:val="009A1138"/>
    <w:rsid w:val="009A32F9"/>
    <w:rsid w:val="009A3626"/>
    <w:rsid w:val="009A5C57"/>
    <w:rsid w:val="009B0787"/>
    <w:rsid w:val="009B0881"/>
    <w:rsid w:val="009B1AC0"/>
    <w:rsid w:val="009B205B"/>
    <w:rsid w:val="009B3592"/>
    <w:rsid w:val="009B70C3"/>
    <w:rsid w:val="009C10B1"/>
    <w:rsid w:val="009C11A0"/>
    <w:rsid w:val="009C1EA2"/>
    <w:rsid w:val="009C3FC7"/>
    <w:rsid w:val="009C470F"/>
    <w:rsid w:val="009C4F59"/>
    <w:rsid w:val="009C7409"/>
    <w:rsid w:val="009D0FC6"/>
    <w:rsid w:val="009D56AA"/>
    <w:rsid w:val="009D5B73"/>
    <w:rsid w:val="009D70C5"/>
    <w:rsid w:val="009E0089"/>
    <w:rsid w:val="009E2F7A"/>
    <w:rsid w:val="009E396D"/>
    <w:rsid w:val="009E3CA4"/>
    <w:rsid w:val="009E47BC"/>
    <w:rsid w:val="009E4E76"/>
    <w:rsid w:val="009E5E62"/>
    <w:rsid w:val="009E68A4"/>
    <w:rsid w:val="009E6C27"/>
    <w:rsid w:val="009E723C"/>
    <w:rsid w:val="009F04C3"/>
    <w:rsid w:val="009F1D0A"/>
    <w:rsid w:val="009F42FF"/>
    <w:rsid w:val="009F7B22"/>
    <w:rsid w:val="00A004E7"/>
    <w:rsid w:val="00A01F59"/>
    <w:rsid w:val="00A0226A"/>
    <w:rsid w:val="00A06551"/>
    <w:rsid w:val="00A067A6"/>
    <w:rsid w:val="00A10000"/>
    <w:rsid w:val="00A10775"/>
    <w:rsid w:val="00A112EB"/>
    <w:rsid w:val="00A11DD2"/>
    <w:rsid w:val="00A11DDF"/>
    <w:rsid w:val="00A1283C"/>
    <w:rsid w:val="00A14A8A"/>
    <w:rsid w:val="00A14AF7"/>
    <w:rsid w:val="00A15AAC"/>
    <w:rsid w:val="00A2199B"/>
    <w:rsid w:val="00A21B0D"/>
    <w:rsid w:val="00A22469"/>
    <w:rsid w:val="00A24D32"/>
    <w:rsid w:val="00A2645E"/>
    <w:rsid w:val="00A26AC5"/>
    <w:rsid w:val="00A3134D"/>
    <w:rsid w:val="00A32E17"/>
    <w:rsid w:val="00A33158"/>
    <w:rsid w:val="00A33B3A"/>
    <w:rsid w:val="00A35B31"/>
    <w:rsid w:val="00A4214D"/>
    <w:rsid w:val="00A42E37"/>
    <w:rsid w:val="00A433B6"/>
    <w:rsid w:val="00A469D5"/>
    <w:rsid w:val="00A508AD"/>
    <w:rsid w:val="00A562CC"/>
    <w:rsid w:val="00A56706"/>
    <w:rsid w:val="00A62727"/>
    <w:rsid w:val="00A64034"/>
    <w:rsid w:val="00A64CA1"/>
    <w:rsid w:val="00A6567E"/>
    <w:rsid w:val="00A65C29"/>
    <w:rsid w:val="00A65D02"/>
    <w:rsid w:val="00A666CE"/>
    <w:rsid w:val="00A72E29"/>
    <w:rsid w:val="00A73E40"/>
    <w:rsid w:val="00A80597"/>
    <w:rsid w:val="00A84971"/>
    <w:rsid w:val="00A8643B"/>
    <w:rsid w:val="00A868F5"/>
    <w:rsid w:val="00A871F0"/>
    <w:rsid w:val="00A872EF"/>
    <w:rsid w:val="00A9172E"/>
    <w:rsid w:val="00A917B5"/>
    <w:rsid w:val="00A91A0B"/>
    <w:rsid w:val="00A94BF6"/>
    <w:rsid w:val="00A964E0"/>
    <w:rsid w:val="00AA0676"/>
    <w:rsid w:val="00AA3840"/>
    <w:rsid w:val="00AA4F9A"/>
    <w:rsid w:val="00AA5A0A"/>
    <w:rsid w:val="00AB0E97"/>
    <w:rsid w:val="00AB1AF3"/>
    <w:rsid w:val="00AB481C"/>
    <w:rsid w:val="00AB6FE4"/>
    <w:rsid w:val="00AC1567"/>
    <w:rsid w:val="00AC1EEC"/>
    <w:rsid w:val="00AC254A"/>
    <w:rsid w:val="00AC44F1"/>
    <w:rsid w:val="00AC6DF7"/>
    <w:rsid w:val="00AC7AEB"/>
    <w:rsid w:val="00AD00DF"/>
    <w:rsid w:val="00AD0168"/>
    <w:rsid w:val="00AD0C57"/>
    <w:rsid w:val="00AD3C94"/>
    <w:rsid w:val="00AD4AB1"/>
    <w:rsid w:val="00AD4FDB"/>
    <w:rsid w:val="00AE059D"/>
    <w:rsid w:val="00AE37C0"/>
    <w:rsid w:val="00AE526E"/>
    <w:rsid w:val="00AE658B"/>
    <w:rsid w:val="00AF0CFA"/>
    <w:rsid w:val="00AF163E"/>
    <w:rsid w:val="00AF1F1C"/>
    <w:rsid w:val="00AF5920"/>
    <w:rsid w:val="00AF719F"/>
    <w:rsid w:val="00B00A36"/>
    <w:rsid w:val="00B00ED3"/>
    <w:rsid w:val="00B070F5"/>
    <w:rsid w:val="00B10042"/>
    <w:rsid w:val="00B10DAE"/>
    <w:rsid w:val="00B12CBA"/>
    <w:rsid w:val="00B130AF"/>
    <w:rsid w:val="00B13B4A"/>
    <w:rsid w:val="00B15EE4"/>
    <w:rsid w:val="00B16CAC"/>
    <w:rsid w:val="00B240AC"/>
    <w:rsid w:val="00B245D7"/>
    <w:rsid w:val="00B246DA"/>
    <w:rsid w:val="00B24972"/>
    <w:rsid w:val="00B319B6"/>
    <w:rsid w:val="00B31ACE"/>
    <w:rsid w:val="00B32ABB"/>
    <w:rsid w:val="00B3452B"/>
    <w:rsid w:val="00B34950"/>
    <w:rsid w:val="00B352EF"/>
    <w:rsid w:val="00B36A29"/>
    <w:rsid w:val="00B40B6C"/>
    <w:rsid w:val="00B40D36"/>
    <w:rsid w:val="00B41407"/>
    <w:rsid w:val="00B43514"/>
    <w:rsid w:val="00B43E02"/>
    <w:rsid w:val="00B45D16"/>
    <w:rsid w:val="00B501B2"/>
    <w:rsid w:val="00B519E6"/>
    <w:rsid w:val="00B525C1"/>
    <w:rsid w:val="00B549E1"/>
    <w:rsid w:val="00B54F05"/>
    <w:rsid w:val="00B56587"/>
    <w:rsid w:val="00B5796A"/>
    <w:rsid w:val="00B636D7"/>
    <w:rsid w:val="00B64B28"/>
    <w:rsid w:val="00B65E1E"/>
    <w:rsid w:val="00B70B34"/>
    <w:rsid w:val="00B72FBA"/>
    <w:rsid w:val="00B73E6C"/>
    <w:rsid w:val="00B754FD"/>
    <w:rsid w:val="00B75842"/>
    <w:rsid w:val="00B77270"/>
    <w:rsid w:val="00B8332F"/>
    <w:rsid w:val="00B87778"/>
    <w:rsid w:val="00B93C5C"/>
    <w:rsid w:val="00B93F29"/>
    <w:rsid w:val="00B96B2B"/>
    <w:rsid w:val="00B97CAC"/>
    <w:rsid w:val="00BA1EA1"/>
    <w:rsid w:val="00BA69A0"/>
    <w:rsid w:val="00BB1950"/>
    <w:rsid w:val="00BB1D9B"/>
    <w:rsid w:val="00BB2359"/>
    <w:rsid w:val="00BB2580"/>
    <w:rsid w:val="00BB26EE"/>
    <w:rsid w:val="00BB4899"/>
    <w:rsid w:val="00BB536F"/>
    <w:rsid w:val="00BB5394"/>
    <w:rsid w:val="00BB5C52"/>
    <w:rsid w:val="00BC0628"/>
    <w:rsid w:val="00BC3F29"/>
    <w:rsid w:val="00BC64D4"/>
    <w:rsid w:val="00BC73C0"/>
    <w:rsid w:val="00BD05BB"/>
    <w:rsid w:val="00BD1DE7"/>
    <w:rsid w:val="00BD20DA"/>
    <w:rsid w:val="00BD311E"/>
    <w:rsid w:val="00BD3CE4"/>
    <w:rsid w:val="00BD71B0"/>
    <w:rsid w:val="00BE0094"/>
    <w:rsid w:val="00BE100C"/>
    <w:rsid w:val="00BE48F3"/>
    <w:rsid w:val="00BE6D77"/>
    <w:rsid w:val="00BE736E"/>
    <w:rsid w:val="00BF0AEC"/>
    <w:rsid w:val="00BF123B"/>
    <w:rsid w:val="00BF123D"/>
    <w:rsid w:val="00BF25FC"/>
    <w:rsid w:val="00BF3765"/>
    <w:rsid w:val="00BF3950"/>
    <w:rsid w:val="00BF5EE2"/>
    <w:rsid w:val="00BF69B1"/>
    <w:rsid w:val="00C0025C"/>
    <w:rsid w:val="00C005CD"/>
    <w:rsid w:val="00C06939"/>
    <w:rsid w:val="00C06E74"/>
    <w:rsid w:val="00C07D75"/>
    <w:rsid w:val="00C109FA"/>
    <w:rsid w:val="00C10AAE"/>
    <w:rsid w:val="00C115F4"/>
    <w:rsid w:val="00C16DEB"/>
    <w:rsid w:val="00C171CF"/>
    <w:rsid w:val="00C17644"/>
    <w:rsid w:val="00C17BFF"/>
    <w:rsid w:val="00C2107B"/>
    <w:rsid w:val="00C237EB"/>
    <w:rsid w:val="00C24D1D"/>
    <w:rsid w:val="00C24FAE"/>
    <w:rsid w:val="00C256B4"/>
    <w:rsid w:val="00C25822"/>
    <w:rsid w:val="00C25B89"/>
    <w:rsid w:val="00C277F4"/>
    <w:rsid w:val="00C34B47"/>
    <w:rsid w:val="00C35F18"/>
    <w:rsid w:val="00C37950"/>
    <w:rsid w:val="00C40345"/>
    <w:rsid w:val="00C40B89"/>
    <w:rsid w:val="00C41CC2"/>
    <w:rsid w:val="00C433B2"/>
    <w:rsid w:val="00C44868"/>
    <w:rsid w:val="00C47B36"/>
    <w:rsid w:val="00C47EEF"/>
    <w:rsid w:val="00C50B3E"/>
    <w:rsid w:val="00C51021"/>
    <w:rsid w:val="00C51304"/>
    <w:rsid w:val="00C522DB"/>
    <w:rsid w:val="00C55D8A"/>
    <w:rsid w:val="00C614A7"/>
    <w:rsid w:val="00C61E4B"/>
    <w:rsid w:val="00C6603E"/>
    <w:rsid w:val="00C66B27"/>
    <w:rsid w:val="00C66F1C"/>
    <w:rsid w:val="00C67122"/>
    <w:rsid w:val="00C67A59"/>
    <w:rsid w:val="00C71AC8"/>
    <w:rsid w:val="00C734AD"/>
    <w:rsid w:val="00C76838"/>
    <w:rsid w:val="00C82FCC"/>
    <w:rsid w:val="00C84206"/>
    <w:rsid w:val="00C8573E"/>
    <w:rsid w:val="00C865D8"/>
    <w:rsid w:val="00C900EA"/>
    <w:rsid w:val="00C9078F"/>
    <w:rsid w:val="00C90CE9"/>
    <w:rsid w:val="00C911DE"/>
    <w:rsid w:val="00C91B2C"/>
    <w:rsid w:val="00C921D5"/>
    <w:rsid w:val="00C95F13"/>
    <w:rsid w:val="00C96673"/>
    <w:rsid w:val="00CA2ED9"/>
    <w:rsid w:val="00CA37A5"/>
    <w:rsid w:val="00CA3DD3"/>
    <w:rsid w:val="00CA4F4C"/>
    <w:rsid w:val="00CA5E58"/>
    <w:rsid w:val="00CA5EC1"/>
    <w:rsid w:val="00CA6D10"/>
    <w:rsid w:val="00CA75F9"/>
    <w:rsid w:val="00CA7E4A"/>
    <w:rsid w:val="00CB3991"/>
    <w:rsid w:val="00CC0D1D"/>
    <w:rsid w:val="00CC343F"/>
    <w:rsid w:val="00CC643A"/>
    <w:rsid w:val="00CD013E"/>
    <w:rsid w:val="00CD5D9E"/>
    <w:rsid w:val="00CD62F2"/>
    <w:rsid w:val="00CE15C8"/>
    <w:rsid w:val="00CE207D"/>
    <w:rsid w:val="00CE3B3E"/>
    <w:rsid w:val="00CF27C6"/>
    <w:rsid w:val="00CF2AC1"/>
    <w:rsid w:val="00CF784A"/>
    <w:rsid w:val="00CF7E3D"/>
    <w:rsid w:val="00D00802"/>
    <w:rsid w:val="00D01B24"/>
    <w:rsid w:val="00D020E2"/>
    <w:rsid w:val="00D036F0"/>
    <w:rsid w:val="00D04234"/>
    <w:rsid w:val="00D0540D"/>
    <w:rsid w:val="00D0711D"/>
    <w:rsid w:val="00D13B83"/>
    <w:rsid w:val="00D14D51"/>
    <w:rsid w:val="00D14E3B"/>
    <w:rsid w:val="00D20DEA"/>
    <w:rsid w:val="00D22D43"/>
    <w:rsid w:val="00D23F11"/>
    <w:rsid w:val="00D24044"/>
    <w:rsid w:val="00D2480E"/>
    <w:rsid w:val="00D32449"/>
    <w:rsid w:val="00D32E6F"/>
    <w:rsid w:val="00D34693"/>
    <w:rsid w:val="00D35E9C"/>
    <w:rsid w:val="00D37494"/>
    <w:rsid w:val="00D44EA4"/>
    <w:rsid w:val="00D46905"/>
    <w:rsid w:val="00D46CA8"/>
    <w:rsid w:val="00D5329C"/>
    <w:rsid w:val="00D53F05"/>
    <w:rsid w:val="00D54636"/>
    <w:rsid w:val="00D54889"/>
    <w:rsid w:val="00D5656D"/>
    <w:rsid w:val="00D56685"/>
    <w:rsid w:val="00D5700E"/>
    <w:rsid w:val="00D57072"/>
    <w:rsid w:val="00D57A8D"/>
    <w:rsid w:val="00D60368"/>
    <w:rsid w:val="00D61A59"/>
    <w:rsid w:val="00D61A84"/>
    <w:rsid w:val="00D6260A"/>
    <w:rsid w:val="00D62AFD"/>
    <w:rsid w:val="00D62B87"/>
    <w:rsid w:val="00D633B6"/>
    <w:rsid w:val="00D64F6D"/>
    <w:rsid w:val="00D657FA"/>
    <w:rsid w:val="00D66A3E"/>
    <w:rsid w:val="00D70758"/>
    <w:rsid w:val="00D7119A"/>
    <w:rsid w:val="00D7194F"/>
    <w:rsid w:val="00D72130"/>
    <w:rsid w:val="00D72377"/>
    <w:rsid w:val="00D760EF"/>
    <w:rsid w:val="00D77749"/>
    <w:rsid w:val="00D77F62"/>
    <w:rsid w:val="00D80239"/>
    <w:rsid w:val="00D80A70"/>
    <w:rsid w:val="00D80E2D"/>
    <w:rsid w:val="00D82C3F"/>
    <w:rsid w:val="00D82E20"/>
    <w:rsid w:val="00D844B6"/>
    <w:rsid w:val="00D84B09"/>
    <w:rsid w:val="00D87205"/>
    <w:rsid w:val="00D906FA"/>
    <w:rsid w:val="00D94981"/>
    <w:rsid w:val="00D95AE1"/>
    <w:rsid w:val="00D96AAE"/>
    <w:rsid w:val="00DA05A6"/>
    <w:rsid w:val="00DA0E70"/>
    <w:rsid w:val="00DA1E7A"/>
    <w:rsid w:val="00DA21DB"/>
    <w:rsid w:val="00DA43C3"/>
    <w:rsid w:val="00DA5A00"/>
    <w:rsid w:val="00DA68B9"/>
    <w:rsid w:val="00DA6917"/>
    <w:rsid w:val="00DB5AFF"/>
    <w:rsid w:val="00DB5FF7"/>
    <w:rsid w:val="00DC0181"/>
    <w:rsid w:val="00DC0B20"/>
    <w:rsid w:val="00DC0CB0"/>
    <w:rsid w:val="00DC23FE"/>
    <w:rsid w:val="00DC3AA8"/>
    <w:rsid w:val="00DC4E35"/>
    <w:rsid w:val="00DC6BC8"/>
    <w:rsid w:val="00DC70E3"/>
    <w:rsid w:val="00DD0417"/>
    <w:rsid w:val="00DD13E2"/>
    <w:rsid w:val="00DD2781"/>
    <w:rsid w:val="00DD2D53"/>
    <w:rsid w:val="00DD4E88"/>
    <w:rsid w:val="00DD5971"/>
    <w:rsid w:val="00DD5DC9"/>
    <w:rsid w:val="00DD7A6B"/>
    <w:rsid w:val="00DE0583"/>
    <w:rsid w:val="00DE0587"/>
    <w:rsid w:val="00DE16E2"/>
    <w:rsid w:val="00DE46F1"/>
    <w:rsid w:val="00DE4E26"/>
    <w:rsid w:val="00DF007D"/>
    <w:rsid w:val="00DF0AF9"/>
    <w:rsid w:val="00DF1527"/>
    <w:rsid w:val="00DF1EC2"/>
    <w:rsid w:val="00DF2F2C"/>
    <w:rsid w:val="00DF3485"/>
    <w:rsid w:val="00DF51C8"/>
    <w:rsid w:val="00DF7654"/>
    <w:rsid w:val="00DF7C87"/>
    <w:rsid w:val="00E014FE"/>
    <w:rsid w:val="00E02C09"/>
    <w:rsid w:val="00E04063"/>
    <w:rsid w:val="00E06A75"/>
    <w:rsid w:val="00E07396"/>
    <w:rsid w:val="00E129A3"/>
    <w:rsid w:val="00E12C72"/>
    <w:rsid w:val="00E13349"/>
    <w:rsid w:val="00E1520C"/>
    <w:rsid w:val="00E23E06"/>
    <w:rsid w:val="00E25492"/>
    <w:rsid w:val="00E27533"/>
    <w:rsid w:val="00E31685"/>
    <w:rsid w:val="00E325CC"/>
    <w:rsid w:val="00E332DB"/>
    <w:rsid w:val="00E34126"/>
    <w:rsid w:val="00E343E9"/>
    <w:rsid w:val="00E37AA1"/>
    <w:rsid w:val="00E402C6"/>
    <w:rsid w:val="00E426C9"/>
    <w:rsid w:val="00E4596A"/>
    <w:rsid w:val="00E50EFF"/>
    <w:rsid w:val="00E50F4B"/>
    <w:rsid w:val="00E51947"/>
    <w:rsid w:val="00E51F9E"/>
    <w:rsid w:val="00E53096"/>
    <w:rsid w:val="00E56111"/>
    <w:rsid w:val="00E57465"/>
    <w:rsid w:val="00E60476"/>
    <w:rsid w:val="00E61468"/>
    <w:rsid w:val="00E64589"/>
    <w:rsid w:val="00E64D10"/>
    <w:rsid w:val="00E65AE8"/>
    <w:rsid w:val="00E6713D"/>
    <w:rsid w:val="00E67D15"/>
    <w:rsid w:val="00E70CAE"/>
    <w:rsid w:val="00E71151"/>
    <w:rsid w:val="00E726BA"/>
    <w:rsid w:val="00E755E5"/>
    <w:rsid w:val="00E80A76"/>
    <w:rsid w:val="00E80DE9"/>
    <w:rsid w:val="00E82A2C"/>
    <w:rsid w:val="00E83DA0"/>
    <w:rsid w:val="00E85324"/>
    <w:rsid w:val="00E86E79"/>
    <w:rsid w:val="00E93283"/>
    <w:rsid w:val="00E93579"/>
    <w:rsid w:val="00E95C59"/>
    <w:rsid w:val="00EA0886"/>
    <w:rsid w:val="00EA2502"/>
    <w:rsid w:val="00EA2AAB"/>
    <w:rsid w:val="00EA52D3"/>
    <w:rsid w:val="00EA6E72"/>
    <w:rsid w:val="00EA75CB"/>
    <w:rsid w:val="00EB2068"/>
    <w:rsid w:val="00EB2AB5"/>
    <w:rsid w:val="00EB5002"/>
    <w:rsid w:val="00EC1776"/>
    <w:rsid w:val="00EC3F2F"/>
    <w:rsid w:val="00EC4B6A"/>
    <w:rsid w:val="00EC5573"/>
    <w:rsid w:val="00EC693F"/>
    <w:rsid w:val="00ED0209"/>
    <w:rsid w:val="00ED154D"/>
    <w:rsid w:val="00ED3314"/>
    <w:rsid w:val="00ED4829"/>
    <w:rsid w:val="00ED5AF1"/>
    <w:rsid w:val="00ED60C2"/>
    <w:rsid w:val="00ED78F3"/>
    <w:rsid w:val="00ED7AA0"/>
    <w:rsid w:val="00EE03F5"/>
    <w:rsid w:val="00EE18AA"/>
    <w:rsid w:val="00EE2D96"/>
    <w:rsid w:val="00EE44C4"/>
    <w:rsid w:val="00EE4687"/>
    <w:rsid w:val="00EE5FEE"/>
    <w:rsid w:val="00EE6120"/>
    <w:rsid w:val="00EE7F60"/>
    <w:rsid w:val="00EF0819"/>
    <w:rsid w:val="00EF1E69"/>
    <w:rsid w:val="00EF2AED"/>
    <w:rsid w:val="00EF2FDC"/>
    <w:rsid w:val="00EF4D17"/>
    <w:rsid w:val="00EF536F"/>
    <w:rsid w:val="00EF5D86"/>
    <w:rsid w:val="00EF6B28"/>
    <w:rsid w:val="00F0032B"/>
    <w:rsid w:val="00F0487D"/>
    <w:rsid w:val="00F07DC2"/>
    <w:rsid w:val="00F105B3"/>
    <w:rsid w:val="00F10958"/>
    <w:rsid w:val="00F11BE6"/>
    <w:rsid w:val="00F1657E"/>
    <w:rsid w:val="00F1770B"/>
    <w:rsid w:val="00F20846"/>
    <w:rsid w:val="00F2178A"/>
    <w:rsid w:val="00F2279A"/>
    <w:rsid w:val="00F2343A"/>
    <w:rsid w:val="00F24AE4"/>
    <w:rsid w:val="00F271A3"/>
    <w:rsid w:val="00F27DDE"/>
    <w:rsid w:val="00F3417E"/>
    <w:rsid w:val="00F40E6B"/>
    <w:rsid w:val="00F420B7"/>
    <w:rsid w:val="00F420D8"/>
    <w:rsid w:val="00F421A5"/>
    <w:rsid w:val="00F44637"/>
    <w:rsid w:val="00F45389"/>
    <w:rsid w:val="00F46398"/>
    <w:rsid w:val="00F4708B"/>
    <w:rsid w:val="00F50BA7"/>
    <w:rsid w:val="00F50F19"/>
    <w:rsid w:val="00F53B53"/>
    <w:rsid w:val="00F53C2C"/>
    <w:rsid w:val="00F53CE0"/>
    <w:rsid w:val="00F5403D"/>
    <w:rsid w:val="00F55703"/>
    <w:rsid w:val="00F56ECE"/>
    <w:rsid w:val="00F62CA1"/>
    <w:rsid w:val="00F638A2"/>
    <w:rsid w:val="00F64B11"/>
    <w:rsid w:val="00F66892"/>
    <w:rsid w:val="00F66A72"/>
    <w:rsid w:val="00F71330"/>
    <w:rsid w:val="00F75846"/>
    <w:rsid w:val="00F7667E"/>
    <w:rsid w:val="00F81983"/>
    <w:rsid w:val="00F83F9F"/>
    <w:rsid w:val="00F84A02"/>
    <w:rsid w:val="00F8521C"/>
    <w:rsid w:val="00F85465"/>
    <w:rsid w:val="00F86466"/>
    <w:rsid w:val="00F8666D"/>
    <w:rsid w:val="00F877DA"/>
    <w:rsid w:val="00F91340"/>
    <w:rsid w:val="00F92B04"/>
    <w:rsid w:val="00F92D09"/>
    <w:rsid w:val="00F9346E"/>
    <w:rsid w:val="00FA0C70"/>
    <w:rsid w:val="00FA1E70"/>
    <w:rsid w:val="00FA47E2"/>
    <w:rsid w:val="00FA6C7F"/>
    <w:rsid w:val="00FA6D86"/>
    <w:rsid w:val="00FA6EC1"/>
    <w:rsid w:val="00FB2E25"/>
    <w:rsid w:val="00FB2F77"/>
    <w:rsid w:val="00FB3F2B"/>
    <w:rsid w:val="00FB43AB"/>
    <w:rsid w:val="00FB4B56"/>
    <w:rsid w:val="00FB55E9"/>
    <w:rsid w:val="00FC2003"/>
    <w:rsid w:val="00FC26E5"/>
    <w:rsid w:val="00FC4B13"/>
    <w:rsid w:val="00FC52F9"/>
    <w:rsid w:val="00FC7D8B"/>
    <w:rsid w:val="00FD0788"/>
    <w:rsid w:val="00FD0840"/>
    <w:rsid w:val="00FD0950"/>
    <w:rsid w:val="00FD1AEE"/>
    <w:rsid w:val="00FD23C6"/>
    <w:rsid w:val="00FD3A3C"/>
    <w:rsid w:val="00FD4EB1"/>
    <w:rsid w:val="00FD55D4"/>
    <w:rsid w:val="00FD7EE2"/>
    <w:rsid w:val="00FE6359"/>
    <w:rsid w:val="00FE6B22"/>
    <w:rsid w:val="00FE6D76"/>
    <w:rsid w:val="00FE7A66"/>
    <w:rsid w:val="00FF0836"/>
    <w:rsid w:val="00FF15F9"/>
    <w:rsid w:val="00FF2554"/>
    <w:rsid w:val="00FF42B9"/>
    <w:rsid w:val="00FF45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DB33BAA-404F-4B4A-950F-2470A349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76B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5">
    <w:name w:val="heading 5"/>
    <w:basedOn w:val="Normal"/>
    <w:next w:val="Normal"/>
    <w:link w:val="Ttulo5Car"/>
    <w:uiPriority w:val="9"/>
    <w:unhideWhenUsed/>
    <w:qFormat/>
    <w:rsid w:val="002E3A1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746ED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6ED1"/>
    <w:rPr>
      <w:sz w:val="20"/>
      <w:szCs w:val="20"/>
    </w:rPr>
  </w:style>
  <w:style w:type="character" w:styleId="Refdenotaalfinal">
    <w:name w:val="endnote reference"/>
    <w:basedOn w:val="Fuentedeprrafopredeter"/>
    <w:uiPriority w:val="99"/>
    <w:semiHidden/>
    <w:unhideWhenUsed/>
    <w:rsid w:val="00746ED1"/>
    <w:rPr>
      <w:vertAlign w:val="superscript"/>
    </w:rPr>
  </w:style>
  <w:style w:type="character" w:customStyle="1" w:styleId="TextonotapieCar1">
    <w:name w:val="Texto nota pie Car1"/>
    <w:uiPriority w:val="99"/>
    <w:rsid w:val="00AC6DF7"/>
    <w:rPr>
      <w:rFonts w:ascii="Times New Roman" w:eastAsia="Times New Roman" w:hAnsi="Times New Roman"/>
      <w:lang w:val="es-ES" w:eastAsia="es-ES"/>
    </w:rPr>
  </w:style>
  <w:style w:type="character" w:customStyle="1" w:styleId="Ttulo2Car">
    <w:name w:val="Título 2 Car"/>
    <w:basedOn w:val="Fuentedeprrafopredeter"/>
    <w:link w:val="Ttulo2"/>
    <w:uiPriority w:val="9"/>
    <w:rsid w:val="00276B33"/>
    <w:rPr>
      <w:rFonts w:asciiTheme="majorHAnsi" w:eastAsiaTheme="majorEastAsia" w:hAnsiTheme="majorHAnsi" w:cstheme="majorBidi"/>
      <w:color w:val="2E74B5" w:themeColor="accent1" w:themeShade="BF"/>
      <w:sz w:val="26"/>
      <w:szCs w:val="26"/>
    </w:rPr>
  </w:style>
  <w:style w:type="character" w:customStyle="1" w:styleId="Ttulo5Car">
    <w:name w:val="Título 5 Car"/>
    <w:basedOn w:val="Fuentedeprrafopredeter"/>
    <w:link w:val="Ttulo5"/>
    <w:uiPriority w:val="9"/>
    <w:rsid w:val="002E3A1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40457">
      <w:bodyDiv w:val="1"/>
      <w:marLeft w:val="0"/>
      <w:marRight w:val="0"/>
      <w:marTop w:val="0"/>
      <w:marBottom w:val="0"/>
      <w:divBdr>
        <w:top w:val="none" w:sz="0" w:space="0" w:color="auto"/>
        <w:left w:val="none" w:sz="0" w:space="0" w:color="auto"/>
        <w:bottom w:val="none" w:sz="0" w:space="0" w:color="auto"/>
        <w:right w:val="none" w:sz="0" w:space="0" w:color="auto"/>
      </w:divBdr>
    </w:div>
    <w:div w:id="112791051">
      <w:bodyDiv w:val="1"/>
      <w:marLeft w:val="0"/>
      <w:marRight w:val="0"/>
      <w:marTop w:val="0"/>
      <w:marBottom w:val="0"/>
      <w:divBdr>
        <w:top w:val="none" w:sz="0" w:space="0" w:color="auto"/>
        <w:left w:val="none" w:sz="0" w:space="0" w:color="auto"/>
        <w:bottom w:val="none" w:sz="0" w:space="0" w:color="auto"/>
        <w:right w:val="none" w:sz="0" w:space="0" w:color="auto"/>
      </w:divBdr>
    </w:div>
    <w:div w:id="188107975">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9933431">
      <w:bodyDiv w:val="1"/>
      <w:marLeft w:val="0"/>
      <w:marRight w:val="0"/>
      <w:marTop w:val="0"/>
      <w:marBottom w:val="0"/>
      <w:divBdr>
        <w:top w:val="none" w:sz="0" w:space="0" w:color="auto"/>
        <w:left w:val="none" w:sz="0" w:space="0" w:color="auto"/>
        <w:bottom w:val="none" w:sz="0" w:space="0" w:color="auto"/>
        <w:right w:val="none" w:sz="0" w:space="0" w:color="auto"/>
      </w:divBdr>
    </w:div>
    <w:div w:id="533152123">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4450615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862354942">
      <w:bodyDiv w:val="1"/>
      <w:marLeft w:val="0"/>
      <w:marRight w:val="0"/>
      <w:marTop w:val="0"/>
      <w:marBottom w:val="0"/>
      <w:divBdr>
        <w:top w:val="none" w:sz="0" w:space="0" w:color="auto"/>
        <w:left w:val="none" w:sz="0" w:space="0" w:color="auto"/>
        <w:bottom w:val="none" w:sz="0" w:space="0" w:color="auto"/>
        <w:right w:val="none" w:sz="0" w:space="0" w:color="auto"/>
      </w:divBdr>
    </w:div>
    <w:div w:id="869344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56929838">
      <w:bodyDiv w:val="1"/>
      <w:marLeft w:val="0"/>
      <w:marRight w:val="0"/>
      <w:marTop w:val="0"/>
      <w:marBottom w:val="0"/>
      <w:divBdr>
        <w:top w:val="none" w:sz="0" w:space="0" w:color="auto"/>
        <w:left w:val="none" w:sz="0" w:space="0" w:color="auto"/>
        <w:bottom w:val="none" w:sz="0" w:space="0" w:color="auto"/>
        <w:right w:val="none" w:sz="0" w:space="0" w:color="auto"/>
      </w:divBdr>
    </w:div>
    <w:div w:id="108156628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9812843">
      <w:bodyDiv w:val="1"/>
      <w:marLeft w:val="0"/>
      <w:marRight w:val="0"/>
      <w:marTop w:val="0"/>
      <w:marBottom w:val="0"/>
      <w:divBdr>
        <w:top w:val="none" w:sz="0" w:space="0" w:color="auto"/>
        <w:left w:val="none" w:sz="0" w:space="0" w:color="auto"/>
        <w:bottom w:val="none" w:sz="0" w:space="0" w:color="auto"/>
        <w:right w:val="none" w:sz="0" w:space="0" w:color="auto"/>
      </w:divBdr>
    </w:div>
    <w:div w:id="1120957219">
      <w:bodyDiv w:val="1"/>
      <w:marLeft w:val="0"/>
      <w:marRight w:val="0"/>
      <w:marTop w:val="0"/>
      <w:marBottom w:val="0"/>
      <w:divBdr>
        <w:top w:val="none" w:sz="0" w:space="0" w:color="auto"/>
        <w:left w:val="none" w:sz="0" w:space="0" w:color="auto"/>
        <w:bottom w:val="none" w:sz="0" w:space="0" w:color="auto"/>
        <w:right w:val="none" w:sz="0" w:space="0" w:color="auto"/>
      </w:divBdr>
    </w:div>
    <w:div w:id="1226405417">
      <w:bodyDiv w:val="1"/>
      <w:marLeft w:val="0"/>
      <w:marRight w:val="0"/>
      <w:marTop w:val="0"/>
      <w:marBottom w:val="0"/>
      <w:divBdr>
        <w:top w:val="none" w:sz="0" w:space="0" w:color="auto"/>
        <w:left w:val="none" w:sz="0" w:space="0" w:color="auto"/>
        <w:bottom w:val="none" w:sz="0" w:space="0" w:color="auto"/>
        <w:right w:val="none" w:sz="0" w:space="0" w:color="auto"/>
      </w:divBdr>
    </w:div>
    <w:div w:id="1251507066">
      <w:bodyDiv w:val="1"/>
      <w:marLeft w:val="0"/>
      <w:marRight w:val="0"/>
      <w:marTop w:val="0"/>
      <w:marBottom w:val="0"/>
      <w:divBdr>
        <w:top w:val="none" w:sz="0" w:space="0" w:color="auto"/>
        <w:left w:val="none" w:sz="0" w:space="0" w:color="auto"/>
        <w:bottom w:val="none" w:sz="0" w:space="0" w:color="auto"/>
        <w:right w:val="none" w:sz="0" w:space="0" w:color="auto"/>
      </w:divBdr>
    </w:div>
    <w:div w:id="1262647162">
      <w:bodyDiv w:val="1"/>
      <w:marLeft w:val="0"/>
      <w:marRight w:val="0"/>
      <w:marTop w:val="0"/>
      <w:marBottom w:val="0"/>
      <w:divBdr>
        <w:top w:val="none" w:sz="0" w:space="0" w:color="auto"/>
        <w:left w:val="none" w:sz="0" w:space="0" w:color="auto"/>
        <w:bottom w:val="none" w:sz="0" w:space="0" w:color="auto"/>
        <w:right w:val="none" w:sz="0" w:space="0" w:color="auto"/>
      </w:divBdr>
    </w:div>
    <w:div w:id="1338187483">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57652604">
      <w:bodyDiv w:val="1"/>
      <w:marLeft w:val="0"/>
      <w:marRight w:val="0"/>
      <w:marTop w:val="0"/>
      <w:marBottom w:val="0"/>
      <w:divBdr>
        <w:top w:val="none" w:sz="0" w:space="0" w:color="auto"/>
        <w:left w:val="none" w:sz="0" w:space="0" w:color="auto"/>
        <w:bottom w:val="none" w:sz="0" w:space="0" w:color="auto"/>
        <w:right w:val="none" w:sz="0" w:space="0" w:color="auto"/>
      </w:divBdr>
    </w:div>
    <w:div w:id="137318944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29353098">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26938882">
      <w:bodyDiv w:val="1"/>
      <w:marLeft w:val="0"/>
      <w:marRight w:val="0"/>
      <w:marTop w:val="0"/>
      <w:marBottom w:val="0"/>
      <w:divBdr>
        <w:top w:val="none" w:sz="0" w:space="0" w:color="auto"/>
        <w:left w:val="none" w:sz="0" w:space="0" w:color="auto"/>
        <w:bottom w:val="none" w:sz="0" w:space="0" w:color="auto"/>
        <w:right w:val="none" w:sz="0" w:space="0" w:color="auto"/>
      </w:divBdr>
    </w:div>
    <w:div w:id="1534271955">
      <w:bodyDiv w:val="1"/>
      <w:marLeft w:val="0"/>
      <w:marRight w:val="0"/>
      <w:marTop w:val="0"/>
      <w:marBottom w:val="0"/>
      <w:divBdr>
        <w:top w:val="none" w:sz="0" w:space="0" w:color="auto"/>
        <w:left w:val="none" w:sz="0" w:space="0" w:color="auto"/>
        <w:bottom w:val="none" w:sz="0" w:space="0" w:color="auto"/>
        <w:right w:val="none" w:sz="0" w:space="0" w:color="auto"/>
      </w:divBdr>
    </w:div>
    <w:div w:id="1548446004">
      <w:bodyDiv w:val="1"/>
      <w:marLeft w:val="0"/>
      <w:marRight w:val="0"/>
      <w:marTop w:val="0"/>
      <w:marBottom w:val="0"/>
      <w:divBdr>
        <w:top w:val="none" w:sz="0" w:space="0" w:color="auto"/>
        <w:left w:val="none" w:sz="0" w:space="0" w:color="auto"/>
        <w:bottom w:val="none" w:sz="0" w:space="0" w:color="auto"/>
        <w:right w:val="none" w:sz="0" w:space="0" w:color="auto"/>
      </w:divBdr>
    </w:div>
    <w:div w:id="1597403960">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740202661">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85603148">
      <w:bodyDiv w:val="1"/>
      <w:marLeft w:val="0"/>
      <w:marRight w:val="0"/>
      <w:marTop w:val="0"/>
      <w:marBottom w:val="0"/>
      <w:divBdr>
        <w:top w:val="none" w:sz="0" w:space="0" w:color="auto"/>
        <w:left w:val="none" w:sz="0" w:space="0" w:color="auto"/>
        <w:bottom w:val="none" w:sz="0" w:space="0" w:color="auto"/>
        <w:right w:val="none" w:sz="0" w:space="0" w:color="auto"/>
      </w:divBdr>
    </w:div>
    <w:div w:id="1976176309">
      <w:bodyDiv w:val="1"/>
      <w:marLeft w:val="0"/>
      <w:marRight w:val="0"/>
      <w:marTop w:val="0"/>
      <w:marBottom w:val="0"/>
      <w:divBdr>
        <w:top w:val="none" w:sz="0" w:space="0" w:color="auto"/>
        <w:left w:val="none" w:sz="0" w:space="0" w:color="auto"/>
        <w:bottom w:val="none" w:sz="0" w:space="0" w:color="auto"/>
        <w:right w:val="none" w:sz="0" w:space="0" w:color="auto"/>
      </w:divBdr>
    </w:div>
    <w:div w:id="2021201678">
      <w:bodyDiv w:val="1"/>
      <w:marLeft w:val="0"/>
      <w:marRight w:val="0"/>
      <w:marTop w:val="0"/>
      <w:marBottom w:val="0"/>
      <w:divBdr>
        <w:top w:val="none" w:sz="0" w:space="0" w:color="auto"/>
        <w:left w:val="none" w:sz="0" w:space="0" w:color="auto"/>
        <w:bottom w:val="none" w:sz="0" w:space="0" w:color="auto"/>
        <w:right w:val="none" w:sz="0" w:space="0" w:color="auto"/>
      </w:divBdr>
    </w:div>
    <w:div w:id="2057853014">
      <w:bodyDiv w:val="1"/>
      <w:marLeft w:val="0"/>
      <w:marRight w:val="0"/>
      <w:marTop w:val="0"/>
      <w:marBottom w:val="0"/>
      <w:divBdr>
        <w:top w:val="none" w:sz="0" w:space="0" w:color="auto"/>
        <w:left w:val="none" w:sz="0" w:space="0" w:color="auto"/>
        <w:bottom w:val="none" w:sz="0" w:space="0" w:color="auto"/>
        <w:right w:val="none" w:sz="0" w:space="0" w:color="auto"/>
      </w:divBdr>
    </w:div>
    <w:div w:id="208440271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087877784">
      <w:bodyDiv w:val="1"/>
      <w:marLeft w:val="0"/>
      <w:marRight w:val="0"/>
      <w:marTop w:val="0"/>
      <w:marBottom w:val="0"/>
      <w:divBdr>
        <w:top w:val="none" w:sz="0" w:space="0" w:color="auto"/>
        <w:left w:val="none" w:sz="0" w:space="0" w:color="auto"/>
        <w:bottom w:val="none" w:sz="0" w:space="0" w:color="auto"/>
        <w:right w:val="none" w:sz="0" w:space="0" w:color="auto"/>
      </w:divBdr>
    </w:div>
    <w:div w:id="20935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javascript:AbrirModal(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saimex.org.mx/saimex/solicitud/downloadAttach/825614.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825613.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sesnsp/acciones-y-programas/fondos-y-subsidio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gob.mx/cms/uploads/attachment/file/454683/CONVENIO_FORTASEG_2019-ESTADO_DE_M_XICO-17-04-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b:Tag>
    <b:SourceType>Book</b:SourceType>
    <b:Guid>{6EAB2B2F-8B66-49E0-9459-8058793262E3}</b:Guid>
    <b:Author>
      <b:Author>
        <b:NameList>
          <b:Person>
            <b:Last>Alfaro Jiménez</b:Last>
            <b:First>Victor</b:First>
            <b:Middle>Manuel</b:Middle>
          </b:Person>
        </b:NameList>
      </b:Author>
    </b:Author>
    <b:Title>GLOSARIO DE TERMINOS DE DERECHO FISCAL</b:Title>
    <b:RefOrder>1</b:RefOrder>
  </b:Source>
</b:Sources>
</file>

<file path=customXml/itemProps1.xml><?xml version="1.0" encoding="utf-8"?>
<ds:datastoreItem xmlns:ds="http://schemas.openxmlformats.org/officeDocument/2006/customXml" ds:itemID="{C3565988-AF9F-4187-B3C4-BF1216C10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19921</Words>
  <Characters>109569</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88463</cp:lastModifiedBy>
  <cp:revision>2</cp:revision>
  <cp:lastPrinted>2020-02-10T23:13:00Z</cp:lastPrinted>
  <dcterms:created xsi:type="dcterms:W3CDTF">2020-04-10T05:19:00Z</dcterms:created>
  <dcterms:modified xsi:type="dcterms:W3CDTF">2020-04-10T05:19:00Z</dcterms:modified>
</cp:coreProperties>
</file>