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7CD" w:rsidRDefault="009C77CD" w:rsidP="009C77CD">
      <w:pPr>
        <w:widowControl w:val="0"/>
        <w:spacing w:before="100" w:beforeAutospacing="1" w:after="100" w:afterAutospacing="1" w:line="360" w:lineRule="auto"/>
        <w:jc w:val="both"/>
        <w:rPr>
          <w:rFonts w:ascii="Palatino Linotype" w:eastAsia="Calibri" w:hAnsi="Palatino Linotype" w:cs="Arial"/>
          <w:b/>
          <w:color w:val="000000"/>
        </w:rPr>
      </w:pP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b/>
        </w:rPr>
        <w:t>QUE FORMULA LA COMISIONADA EVA ABAID YAPUR</w:t>
      </w:r>
      <w:r>
        <w:rPr>
          <w:rFonts w:ascii="Palatino Linotype" w:hAnsi="Palatino Linotype" w:cs="Arial"/>
          <w:b/>
        </w:rPr>
        <w:t>,</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9C743C">
        <w:rPr>
          <w:rFonts w:ascii="Palatino Linotype" w:hAnsi="Palatino Linotype" w:cs="Arial"/>
          <w:b/>
        </w:rPr>
        <w:t>TRIGÉSIMA SEXTA</w:t>
      </w:r>
      <w:r>
        <w:rPr>
          <w:rFonts w:ascii="Palatino Linotype" w:hAnsi="Palatino Linotype" w:cs="Arial"/>
          <w:b/>
        </w:rPr>
        <w:t xml:space="preserve"> </w:t>
      </w:r>
      <w:r w:rsidRPr="0073286C">
        <w:rPr>
          <w:rFonts w:ascii="Palatino Linotype" w:hAnsi="Palatino Linotype" w:cs="Arial"/>
          <w:b/>
        </w:rPr>
        <w:t xml:space="preserve">SESIÓN ORDINARIA DE </w:t>
      </w:r>
      <w:r w:rsidR="009C743C">
        <w:rPr>
          <w:rFonts w:ascii="Palatino Linotype" w:hAnsi="Palatino Linotype" w:cs="Arial"/>
          <w:b/>
        </w:rPr>
        <w:t>DOS DE OCTUBRE</w:t>
      </w:r>
      <w:r w:rsidR="00D762D7">
        <w:rPr>
          <w:rFonts w:ascii="Palatino Linotype" w:hAnsi="Palatino Linotype" w:cs="Arial"/>
          <w:b/>
        </w:rPr>
        <w:t xml:space="preserve"> </w:t>
      </w:r>
      <w:r>
        <w:rPr>
          <w:rFonts w:ascii="Palatino Linotype" w:hAnsi="Palatino Linotype" w:cs="Arial"/>
          <w:b/>
        </w:rPr>
        <w:t xml:space="preserve">DE DOS MIL </w:t>
      </w:r>
      <w:r w:rsidRPr="0073286C">
        <w:rPr>
          <w:rFonts w:ascii="Palatino Linotype" w:hAnsi="Palatino Linotype" w:cs="Arial"/>
          <w:b/>
        </w:rPr>
        <w:t>DIECI</w:t>
      </w:r>
      <w:r>
        <w:rPr>
          <w:rFonts w:ascii="Palatino Linotype" w:hAnsi="Palatino Linotype" w:cs="Arial"/>
          <w:b/>
        </w:rPr>
        <w:t>NUEVE,</w:t>
      </w:r>
      <w:r w:rsidRPr="0073286C">
        <w:rPr>
          <w:rFonts w:ascii="Palatino Linotype" w:hAnsi="Palatino Linotype" w:cs="Arial"/>
          <w:b/>
        </w:rPr>
        <w:t xml:space="preserve"> EN</w:t>
      </w:r>
      <w:r w:rsidR="00D762D7">
        <w:rPr>
          <w:rFonts w:ascii="Palatino Linotype" w:hAnsi="Palatino Linotype" w:cs="Arial"/>
          <w:b/>
        </w:rPr>
        <w:t xml:space="preserve"> </w:t>
      </w:r>
      <w:r w:rsidR="009C743C">
        <w:rPr>
          <w:rFonts w:ascii="Palatino Linotype" w:hAnsi="Palatino Linotype" w:cs="Arial"/>
          <w:b/>
        </w:rPr>
        <w:t>EL</w:t>
      </w:r>
      <w:r>
        <w:rPr>
          <w:rFonts w:ascii="Palatino Linotype" w:hAnsi="Palatino Linotype" w:cs="Arial"/>
          <w:b/>
        </w:rPr>
        <w:t xml:space="preserve"> </w:t>
      </w:r>
      <w:r w:rsidRPr="0073286C">
        <w:rPr>
          <w:rFonts w:ascii="Palatino Linotype" w:hAnsi="Palatino Linotype" w:cs="Arial"/>
          <w:b/>
        </w:rPr>
        <w:t>RECURSO DE REVISIÓN</w:t>
      </w:r>
      <w:r>
        <w:rPr>
          <w:rFonts w:ascii="Palatino Linotype" w:hAnsi="Palatino Linotype" w:cs="Arial"/>
          <w:b/>
        </w:rPr>
        <w:t xml:space="preserve"> </w:t>
      </w:r>
      <w:r w:rsidR="009C743C">
        <w:rPr>
          <w:rFonts w:ascii="Palatino Linotype" w:hAnsi="Palatino Linotype" w:cs="Arial"/>
          <w:b/>
          <w:bCs/>
        </w:rPr>
        <w:t>05819</w:t>
      </w:r>
      <w:r>
        <w:rPr>
          <w:rFonts w:ascii="Palatino Linotype" w:hAnsi="Palatino Linotype" w:cs="Arial"/>
          <w:b/>
          <w:bCs/>
        </w:rPr>
        <w:t>/INFOEM/IP/RR/2019.</w:t>
      </w:r>
    </w:p>
    <w:p w:rsidR="009C77CD" w:rsidRDefault="009C77CD" w:rsidP="009C77CD">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t>Con fundamento en lo dispuesto por el artículo 14</w:t>
      </w:r>
      <w:r>
        <w:rPr>
          <w:rFonts w:ascii="Palatino Linotype" w:hAnsi="Palatino Linotype" w:cs="Arial"/>
        </w:rPr>
        <w:t>,</w:t>
      </w:r>
      <w:r w:rsidRPr="0073286C">
        <w:rPr>
          <w:rFonts w:ascii="Palatino Linotype" w:hAnsi="Palatino Linotype" w:cs="Arial"/>
        </w:rPr>
        <w:t xml:space="preserve"> fracciones X y XI</w:t>
      </w:r>
      <w:r>
        <w:rPr>
          <w:rFonts w:ascii="Palatino Linotype" w:hAnsi="Palatino Linotype" w:cs="Arial"/>
        </w:rPr>
        <w:t>,</w:t>
      </w:r>
      <w:r w:rsidRPr="0073286C">
        <w:rPr>
          <w:rFonts w:ascii="Palatino Linotype" w:hAnsi="Palatino Linotype" w:cs="Arial"/>
        </w:rPr>
        <w:t xml:space="preserve"> del Reglamento Interior del Instituto de Transparencia, Acceso a la Información Pública y Protección de Datos Personales del Esta</w:t>
      </w:r>
      <w:r>
        <w:rPr>
          <w:rFonts w:ascii="Palatino Linotype" w:hAnsi="Palatino Linotype" w:cs="Arial"/>
        </w:rPr>
        <w:t>do de México y Municipios, la</w:t>
      </w:r>
      <w:r w:rsidRPr="0073286C">
        <w:rPr>
          <w:rFonts w:ascii="Palatino Linotype" w:hAnsi="Palatino Linotype" w:cs="Arial"/>
        </w:rPr>
        <w:t xml:space="preserve"> que suscribe</w:t>
      </w:r>
      <w:r w:rsidRPr="0073286C">
        <w:rPr>
          <w:rFonts w:ascii="Palatino Linotype" w:hAnsi="Palatino Linotype" w:cs="Arial"/>
          <w:b/>
          <w:lang w:val="es-ES_tradnl"/>
        </w:rPr>
        <w:t xml:space="preserve"> </w:t>
      </w:r>
      <w:r w:rsidRPr="0073286C">
        <w:rPr>
          <w:rFonts w:ascii="Palatino Linotype" w:hAnsi="Palatino Linotype" w:cs="Arial"/>
          <w:b/>
        </w:rPr>
        <w:t>EVA ABAID YAPUR</w:t>
      </w:r>
      <w:r w:rsidRPr="00834348">
        <w:rPr>
          <w:rFonts w:ascii="Palatino Linotype" w:hAnsi="Palatino Linotype" w:cs="Arial"/>
        </w:rPr>
        <w:t xml:space="preserve"> </w:t>
      </w:r>
      <w:r w:rsidRPr="0073286C">
        <w:rPr>
          <w:rFonts w:ascii="Palatino Linotype" w:hAnsi="Palatino Linotype" w:cs="Arial"/>
        </w:rPr>
        <w:t xml:space="preserve">emite </w:t>
      </w: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rPr>
        <w:t>respecto de la resolución dictada en</w:t>
      </w:r>
      <w:r w:rsidR="00D762D7">
        <w:rPr>
          <w:rFonts w:ascii="Palatino Linotype" w:hAnsi="Palatino Linotype" w:cs="Arial"/>
        </w:rPr>
        <w:t xml:space="preserve"> </w:t>
      </w:r>
      <w:r w:rsidR="009C743C">
        <w:rPr>
          <w:rFonts w:ascii="Palatino Linotype" w:hAnsi="Palatino Linotype" w:cs="Arial"/>
        </w:rPr>
        <w:t>el</w:t>
      </w:r>
      <w:r>
        <w:rPr>
          <w:rFonts w:ascii="Palatino Linotype" w:hAnsi="Palatino Linotype" w:cs="Arial"/>
        </w:rPr>
        <w:t xml:space="preserve"> recurso de revisión </w:t>
      </w:r>
      <w:r w:rsidR="009C743C">
        <w:rPr>
          <w:rFonts w:ascii="Palatino Linotype" w:hAnsi="Palatino Linotype" w:cs="Arial"/>
          <w:b/>
          <w:bCs/>
        </w:rPr>
        <w:t>05819/INFOEM/IP/RR/2019</w:t>
      </w:r>
      <w:r w:rsidRPr="0073286C">
        <w:rPr>
          <w:rFonts w:ascii="Palatino Linotype" w:hAnsi="Palatino Linotype" w:cs="Arial"/>
        </w:rPr>
        <w:t xml:space="preserve">, pronunciada por el Pleno de este Instituto ante el proyecto presentado por </w:t>
      </w:r>
      <w:r>
        <w:rPr>
          <w:rFonts w:ascii="Palatino Linotype" w:hAnsi="Palatino Linotype" w:cs="Arial"/>
        </w:rPr>
        <w:t>el</w:t>
      </w:r>
      <w:r w:rsidRPr="0073286C">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JAVIER MARTÍNEZ CRUZ</w:t>
      </w:r>
      <w:r w:rsidRPr="0073286C">
        <w:rPr>
          <w:rFonts w:ascii="Palatino Linotype" w:hAnsi="Palatino Linotype" w:cs="Arial"/>
        </w:rPr>
        <w:t>, que es del tenor siguiente</w:t>
      </w:r>
      <w:r>
        <w:rPr>
          <w:rFonts w:ascii="Palatino Linotype" w:hAnsi="Palatino Linotype" w:cs="Arial"/>
        </w:rPr>
        <w:t>.</w:t>
      </w:r>
    </w:p>
    <w:p w:rsidR="009C77CD" w:rsidRDefault="009C77CD" w:rsidP="009C77CD">
      <w:pPr>
        <w:spacing w:before="100" w:beforeAutospacing="1" w:after="100" w:afterAutospacing="1" w:line="360" w:lineRule="auto"/>
        <w:jc w:val="both"/>
        <w:rPr>
          <w:rFonts w:ascii="Palatino Linotype" w:hAnsi="Palatino Linotype"/>
        </w:rPr>
      </w:pPr>
      <w:r>
        <w:rPr>
          <w:rFonts w:ascii="Palatino Linotype" w:hAnsi="Palatino Linotype"/>
        </w:rPr>
        <w:t>La suscrita</w:t>
      </w:r>
      <w:r w:rsidRPr="0073286C">
        <w:rPr>
          <w:rFonts w:ascii="Palatino Linotype" w:hAnsi="Palatino Linotype"/>
        </w:rPr>
        <w:t xml:space="preserve"> </w:t>
      </w:r>
      <w:r>
        <w:rPr>
          <w:rFonts w:ascii="Palatino Linotype" w:hAnsi="Palatino Linotype"/>
        </w:rPr>
        <w:t xml:space="preserve">comparte esencialmente el sentido de la </w:t>
      </w:r>
      <w:r w:rsidRPr="0073286C">
        <w:rPr>
          <w:rFonts w:ascii="Palatino Linotype" w:hAnsi="Palatino Linotype"/>
        </w:rPr>
        <w:t xml:space="preserve">resolución </w:t>
      </w:r>
      <w:r>
        <w:rPr>
          <w:rFonts w:ascii="Palatino Linotype" w:hAnsi="Palatino Linotype"/>
        </w:rPr>
        <w:t xml:space="preserve">del </w:t>
      </w:r>
      <w:r w:rsidRPr="0073286C">
        <w:rPr>
          <w:rFonts w:ascii="Palatino Linotype" w:hAnsi="Palatino Linotype"/>
        </w:rPr>
        <w:t>recurs</w:t>
      </w:r>
      <w:r>
        <w:rPr>
          <w:rFonts w:ascii="Palatino Linotype" w:hAnsi="Palatino Linotype"/>
        </w:rPr>
        <w:t>o de revisión; empero, estimo</w:t>
      </w:r>
      <w:r w:rsidRPr="0073286C">
        <w:rPr>
          <w:rFonts w:ascii="Palatino Linotype" w:hAnsi="Palatino Linotype"/>
        </w:rPr>
        <w:t xml:space="preserve"> necesario precisar algunas consideraciones de hecho y de derecho, tocante a</w:t>
      </w:r>
      <w:r>
        <w:rPr>
          <w:rFonts w:ascii="Palatino Linotype" w:hAnsi="Palatino Linotype"/>
        </w:rPr>
        <w:t xml:space="preserve"> parte de </w:t>
      </w:r>
      <w:r w:rsidRPr="0073286C">
        <w:rPr>
          <w:rFonts w:ascii="Palatino Linotype" w:hAnsi="Palatino Linotype"/>
        </w:rPr>
        <w:t>l</w:t>
      </w:r>
      <w:r>
        <w:rPr>
          <w:rFonts w:ascii="Palatino Linotype" w:hAnsi="Palatino Linotype"/>
        </w:rPr>
        <w:t>o que se ordena.</w:t>
      </w:r>
    </w:p>
    <w:p w:rsidR="00D762D7" w:rsidRDefault="009C77CD" w:rsidP="009C77CD">
      <w:pPr>
        <w:spacing w:before="100" w:beforeAutospacing="1" w:after="100" w:afterAutospacing="1" w:line="360" w:lineRule="auto"/>
        <w:jc w:val="both"/>
        <w:rPr>
          <w:rFonts w:ascii="Palatino Linotype" w:hAnsi="Palatino Linotype"/>
        </w:rPr>
      </w:pPr>
      <w:r w:rsidRPr="0073286C">
        <w:rPr>
          <w:rFonts w:ascii="Palatino Linotype" w:hAnsi="Palatino Linotype"/>
        </w:rPr>
        <w:t xml:space="preserve">Al respecto, tal y como quedó debidamente asentado en la resolución materia del presente </w:t>
      </w:r>
      <w:r w:rsidR="00D762D7">
        <w:rPr>
          <w:rFonts w:ascii="Palatino Linotype" w:hAnsi="Palatino Linotype"/>
        </w:rPr>
        <w:t xml:space="preserve">voto, </w:t>
      </w:r>
      <w:r>
        <w:rPr>
          <w:rFonts w:ascii="Palatino Linotype" w:hAnsi="Palatino Linotype"/>
        </w:rPr>
        <w:t>l</w:t>
      </w:r>
      <w:r w:rsidR="00D762D7">
        <w:rPr>
          <w:rFonts w:ascii="Palatino Linotype" w:hAnsi="Palatino Linotype"/>
        </w:rPr>
        <w:t>a</w:t>
      </w:r>
      <w:r>
        <w:rPr>
          <w:rFonts w:ascii="Palatino Linotype" w:hAnsi="Palatino Linotype"/>
        </w:rPr>
        <w:t xml:space="preserve"> particular requirió del </w:t>
      </w:r>
      <w:r w:rsidR="009C743C">
        <w:rPr>
          <w:rFonts w:ascii="Palatino Linotype" w:hAnsi="Palatino Linotype" w:cs="Arial"/>
          <w:b/>
        </w:rPr>
        <w:t xml:space="preserve">Ayuntamiento de </w:t>
      </w:r>
      <w:proofErr w:type="spellStart"/>
      <w:r w:rsidR="009C743C">
        <w:rPr>
          <w:rFonts w:ascii="Palatino Linotype" w:hAnsi="Palatino Linotype" w:cs="Arial"/>
          <w:b/>
        </w:rPr>
        <w:t>Coyotepec</w:t>
      </w:r>
      <w:proofErr w:type="spellEnd"/>
      <w:r>
        <w:rPr>
          <w:rFonts w:ascii="Palatino Linotype" w:hAnsi="Palatino Linotype"/>
        </w:rPr>
        <w:t xml:space="preserve">, </w:t>
      </w:r>
      <w:r w:rsidR="009C743C">
        <w:rPr>
          <w:rFonts w:ascii="Palatino Linotype" w:hAnsi="Palatino Linotype"/>
        </w:rPr>
        <w:t>de</w:t>
      </w:r>
      <w:r w:rsidR="009C743C">
        <w:rPr>
          <w:rFonts w:ascii="Palatino Linotype" w:hAnsi="Palatino Linotype" w:cs="Arial"/>
        </w:rPr>
        <w:t xml:space="preserve"> los Servidores Públicos adscritos a su Jefatura de Catastro</w:t>
      </w:r>
      <w:r w:rsidR="009C743C">
        <w:rPr>
          <w:rFonts w:ascii="Palatino Linotype" w:hAnsi="Palatino Linotype"/>
        </w:rPr>
        <w:t xml:space="preserve"> </w:t>
      </w:r>
      <w:r w:rsidR="00D762D7">
        <w:rPr>
          <w:rFonts w:ascii="Palatino Linotype" w:hAnsi="Palatino Linotype"/>
        </w:rPr>
        <w:t xml:space="preserve">la información que se desagrega a continuación: </w:t>
      </w:r>
    </w:p>
    <w:p w:rsidR="009C743C" w:rsidRPr="009C743C" w:rsidRDefault="009C743C" w:rsidP="00C55670">
      <w:pPr>
        <w:pStyle w:val="Prrafodelista"/>
        <w:numPr>
          <w:ilvl w:val="0"/>
          <w:numId w:val="12"/>
        </w:numPr>
        <w:ind w:left="851" w:right="709"/>
        <w:contextualSpacing w:val="0"/>
        <w:jc w:val="both"/>
        <w:rPr>
          <w:rFonts w:ascii="Palatino Linotype" w:hAnsi="Palatino Linotype"/>
          <w:i/>
          <w:color w:val="000000"/>
          <w:sz w:val="22"/>
          <w:szCs w:val="22"/>
        </w:rPr>
      </w:pPr>
      <w:r w:rsidRPr="009C743C">
        <w:rPr>
          <w:rFonts w:ascii="Palatino Linotype" w:hAnsi="Palatino Linotype"/>
          <w:i/>
          <w:color w:val="000000"/>
          <w:sz w:val="22"/>
          <w:szCs w:val="22"/>
        </w:rPr>
        <w:lastRenderedPageBreak/>
        <w:t>Currículum vitae.</w:t>
      </w:r>
    </w:p>
    <w:p w:rsidR="009C743C" w:rsidRPr="009C743C" w:rsidRDefault="009C743C" w:rsidP="00C55670">
      <w:pPr>
        <w:pStyle w:val="Prrafodelista"/>
        <w:numPr>
          <w:ilvl w:val="0"/>
          <w:numId w:val="12"/>
        </w:numPr>
        <w:ind w:left="851" w:right="709"/>
        <w:contextualSpacing w:val="0"/>
        <w:jc w:val="both"/>
        <w:rPr>
          <w:rFonts w:ascii="Palatino Linotype" w:hAnsi="Palatino Linotype"/>
          <w:i/>
          <w:color w:val="000000"/>
          <w:sz w:val="22"/>
          <w:szCs w:val="22"/>
        </w:rPr>
      </w:pPr>
      <w:r w:rsidRPr="009C743C">
        <w:rPr>
          <w:rFonts w:ascii="Palatino Linotype" w:hAnsi="Palatino Linotype"/>
          <w:i/>
          <w:color w:val="000000"/>
          <w:sz w:val="22"/>
          <w:szCs w:val="22"/>
        </w:rPr>
        <w:t>Recibos de nómina de enero a mayo del dos mil diecinueve.</w:t>
      </w:r>
    </w:p>
    <w:p w:rsidR="009C743C" w:rsidRPr="009C743C" w:rsidRDefault="009C743C" w:rsidP="00C55670">
      <w:pPr>
        <w:pStyle w:val="Prrafodelista"/>
        <w:numPr>
          <w:ilvl w:val="0"/>
          <w:numId w:val="12"/>
        </w:numPr>
        <w:ind w:left="851" w:right="709"/>
        <w:contextualSpacing w:val="0"/>
        <w:jc w:val="both"/>
        <w:rPr>
          <w:rFonts w:ascii="Palatino Linotype" w:hAnsi="Palatino Linotype"/>
          <w:i/>
          <w:color w:val="000000"/>
          <w:sz w:val="22"/>
          <w:szCs w:val="22"/>
        </w:rPr>
      </w:pPr>
      <w:r w:rsidRPr="009C743C">
        <w:rPr>
          <w:rFonts w:ascii="Palatino Linotype" w:hAnsi="Palatino Linotype"/>
          <w:i/>
          <w:color w:val="000000"/>
          <w:sz w:val="22"/>
          <w:szCs w:val="22"/>
        </w:rPr>
        <w:t>Constancias de no inhabilitación.</w:t>
      </w:r>
    </w:p>
    <w:p w:rsidR="009C743C" w:rsidRPr="009C743C" w:rsidRDefault="009C743C" w:rsidP="00C55670">
      <w:pPr>
        <w:pStyle w:val="Prrafodelista"/>
        <w:numPr>
          <w:ilvl w:val="0"/>
          <w:numId w:val="12"/>
        </w:numPr>
        <w:ind w:left="851" w:right="709"/>
        <w:contextualSpacing w:val="0"/>
        <w:jc w:val="both"/>
        <w:rPr>
          <w:rFonts w:ascii="Palatino Linotype" w:hAnsi="Palatino Linotype"/>
          <w:i/>
          <w:color w:val="000000"/>
          <w:sz w:val="22"/>
          <w:szCs w:val="22"/>
        </w:rPr>
      </w:pPr>
      <w:r w:rsidRPr="009C743C">
        <w:rPr>
          <w:rFonts w:ascii="Palatino Linotype" w:hAnsi="Palatino Linotype"/>
          <w:i/>
          <w:color w:val="000000"/>
          <w:sz w:val="22"/>
          <w:szCs w:val="22"/>
        </w:rPr>
        <w:t>Certificado de antecedentes no penales.</w:t>
      </w:r>
    </w:p>
    <w:p w:rsidR="009C743C" w:rsidRPr="009C743C" w:rsidRDefault="009C743C" w:rsidP="00C55670">
      <w:pPr>
        <w:pStyle w:val="Prrafodelista"/>
        <w:numPr>
          <w:ilvl w:val="0"/>
          <w:numId w:val="12"/>
        </w:numPr>
        <w:ind w:left="851" w:right="709"/>
        <w:contextualSpacing w:val="0"/>
        <w:jc w:val="both"/>
        <w:rPr>
          <w:rFonts w:ascii="Palatino Linotype" w:hAnsi="Palatino Linotype"/>
          <w:i/>
          <w:sz w:val="22"/>
          <w:szCs w:val="22"/>
        </w:rPr>
      </w:pPr>
      <w:r w:rsidRPr="009C743C">
        <w:rPr>
          <w:rFonts w:ascii="Palatino Linotype" w:hAnsi="Palatino Linotype"/>
          <w:i/>
          <w:color w:val="000000"/>
          <w:sz w:val="22"/>
          <w:szCs w:val="22"/>
        </w:rPr>
        <w:t>Nombramiento del Jefe de Catastro.</w:t>
      </w:r>
    </w:p>
    <w:p w:rsidR="00D762D7" w:rsidRDefault="009C77CD" w:rsidP="009C77CD">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t>De las constancias que obran dentro de</w:t>
      </w:r>
      <w:r>
        <w:rPr>
          <w:rFonts w:ascii="Palatino Linotype" w:hAnsi="Palatino Linotype" w:cs="Arial"/>
        </w:rPr>
        <w:t xml:space="preserve"> </w:t>
      </w:r>
      <w:r w:rsidRPr="0073286C">
        <w:rPr>
          <w:rFonts w:ascii="Palatino Linotype" w:hAnsi="Palatino Linotype" w:cs="Arial"/>
        </w:rPr>
        <w:t>l</w:t>
      </w:r>
      <w:r>
        <w:rPr>
          <w:rFonts w:ascii="Palatino Linotype" w:hAnsi="Palatino Linotype" w:cs="Arial"/>
        </w:rPr>
        <w:t>os</w:t>
      </w:r>
      <w:r w:rsidRPr="0073286C">
        <w:rPr>
          <w:rFonts w:ascii="Palatino Linotype" w:hAnsi="Palatino Linotype" w:cs="Arial"/>
        </w:rPr>
        <w:t xml:space="preserve"> expediente</w:t>
      </w:r>
      <w:r>
        <w:rPr>
          <w:rFonts w:ascii="Palatino Linotype" w:hAnsi="Palatino Linotype" w:cs="Arial"/>
        </w:rPr>
        <w:t>s</w:t>
      </w:r>
      <w:r w:rsidRPr="0073286C">
        <w:rPr>
          <w:rFonts w:ascii="Palatino Linotype" w:hAnsi="Palatino Linotype" w:cs="Arial"/>
        </w:rPr>
        <w:t xml:space="preserve"> electrónico</w:t>
      </w:r>
      <w:r>
        <w:rPr>
          <w:rFonts w:ascii="Palatino Linotype" w:hAnsi="Palatino Linotype" w:cs="Arial"/>
        </w:rPr>
        <w:t>s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observa </w:t>
      </w:r>
      <w:r w:rsidRPr="0073286C">
        <w:rPr>
          <w:rFonts w:ascii="Palatino Linotype" w:hAnsi="Palatino Linotype" w:cs="Arial"/>
        </w:rPr>
        <w:t xml:space="preserve">que </w:t>
      </w:r>
      <w:r w:rsidRPr="0073286C">
        <w:rPr>
          <w:rFonts w:ascii="Palatino Linotype" w:hAnsi="Palatino Linotype" w:cs="Arial"/>
          <w:b/>
        </w:rPr>
        <w:t>EL SUJETO OBLIGADO,</w:t>
      </w:r>
      <w:r>
        <w:rPr>
          <w:rFonts w:ascii="Palatino Linotype" w:hAnsi="Palatino Linotype" w:cs="Arial"/>
          <w:b/>
        </w:rPr>
        <w:t xml:space="preserve"> </w:t>
      </w:r>
      <w:r w:rsidR="009C743C">
        <w:rPr>
          <w:rFonts w:ascii="Palatino Linotype" w:hAnsi="Palatino Linotype" w:cs="Arial"/>
        </w:rPr>
        <w:t>fue omiso en remitir su respuesta a la solicitud de acceso a la información pública formulada por el particular</w:t>
      </w:r>
      <w:r w:rsidR="00E07441" w:rsidRPr="00E07441">
        <w:rPr>
          <w:rFonts w:ascii="Palatino Linotype" w:hAnsi="Palatino Linotype" w:cs="Arial"/>
        </w:rPr>
        <w:t>.</w:t>
      </w:r>
    </w:p>
    <w:p w:rsidR="00E07441" w:rsidRDefault="009C77CD" w:rsidP="009C77CD">
      <w:pPr>
        <w:spacing w:before="100" w:beforeAutospacing="1" w:after="100" w:afterAutospacing="1" w:line="360" w:lineRule="auto"/>
        <w:jc w:val="both"/>
        <w:rPr>
          <w:rFonts w:ascii="Palatino Linotype" w:hAnsi="Palatino Linotype"/>
          <w:bCs/>
        </w:rPr>
      </w:pPr>
      <w:r>
        <w:rPr>
          <w:rFonts w:ascii="Palatino Linotype" w:hAnsi="Palatino Linotype"/>
          <w:bCs/>
        </w:rPr>
        <w:t>Inconforme con la</w:t>
      </w:r>
      <w:r w:rsidR="009C743C">
        <w:rPr>
          <w:rFonts w:ascii="Palatino Linotype" w:hAnsi="Palatino Linotype"/>
          <w:bCs/>
        </w:rPr>
        <w:t xml:space="preserve"> falta de</w:t>
      </w:r>
      <w:r>
        <w:rPr>
          <w:rFonts w:ascii="Palatino Linotype" w:hAnsi="Palatino Linotype"/>
          <w:bCs/>
        </w:rPr>
        <w:t xml:space="preserve"> respuesta, </w:t>
      </w:r>
      <w:r w:rsidR="00CD3FC1">
        <w:rPr>
          <w:rFonts w:ascii="Palatino Linotype" w:hAnsi="Palatino Linotype"/>
          <w:b/>
          <w:bCs/>
        </w:rPr>
        <w:t>LA</w:t>
      </w:r>
      <w:r w:rsidRPr="00D771C3">
        <w:rPr>
          <w:rFonts w:ascii="Palatino Linotype" w:hAnsi="Palatino Linotype"/>
          <w:b/>
          <w:bCs/>
        </w:rPr>
        <w:t xml:space="preserve"> RECURRENTE</w:t>
      </w:r>
      <w:r w:rsidRPr="00D771C3">
        <w:rPr>
          <w:rFonts w:ascii="Palatino Linotype" w:hAnsi="Palatino Linotype"/>
          <w:bCs/>
        </w:rPr>
        <w:t xml:space="preserve"> </w:t>
      </w:r>
      <w:r>
        <w:rPr>
          <w:rFonts w:ascii="Palatino Linotype" w:hAnsi="Palatino Linotype"/>
          <w:bCs/>
        </w:rPr>
        <w:t>interpuso l</w:t>
      </w:r>
      <w:r w:rsidR="00E07441">
        <w:rPr>
          <w:rFonts w:ascii="Palatino Linotype" w:hAnsi="Palatino Linotype"/>
          <w:bCs/>
        </w:rPr>
        <w:t>os</w:t>
      </w:r>
      <w:r>
        <w:rPr>
          <w:rFonts w:ascii="Palatino Linotype" w:hAnsi="Palatino Linotype"/>
          <w:bCs/>
        </w:rPr>
        <w:t xml:space="preserve"> recurso</w:t>
      </w:r>
      <w:r w:rsidR="00E07441">
        <w:rPr>
          <w:rFonts w:ascii="Palatino Linotype" w:hAnsi="Palatino Linotype"/>
          <w:bCs/>
        </w:rPr>
        <w:t xml:space="preserve">s de revisión de mérito, en </w:t>
      </w:r>
      <w:r>
        <w:rPr>
          <w:rFonts w:ascii="Palatino Linotype" w:hAnsi="Palatino Linotype"/>
          <w:bCs/>
        </w:rPr>
        <w:t>l</w:t>
      </w:r>
      <w:r w:rsidR="00E07441">
        <w:rPr>
          <w:rFonts w:ascii="Palatino Linotype" w:hAnsi="Palatino Linotype"/>
          <w:bCs/>
        </w:rPr>
        <w:t>os</w:t>
      </w:r>
      <w:r>
        <w:rPr>
          <w:rFonts w:ascii="Palatino Linotype" w:hAnsi="Palatino Linotype"/>
          <w:bCs/>
        </w:rPr>
        <w:t xml:space="preserve"> que esencialmente manifestó que </w:t>
      </w:r>
      <w:r w:rsidR="009C743C">
        <w:rPr>
          <w:rFonts w:ascii="Palatino Linotype" w:hAnsi="Palatino Linotype"/>
          <w:bCs/>
        </w:rPr>
        <w:t>le hacía falta la información que había solicitado</w:t>
      </w:r>
      <w:r w:rsidR="00E07441">
        <w:rPr>
          <w:rFonts w:ascii="Palatino Linotype" w:hAnsi="Palatino Linotype"/>
          <w:bCs/>
        </w:rPr>
        <w:t xml:space="preserve">. </w:t>
      </w:r>
    </w:p>
    <w:p w:rsidR="009C77CD" w:rsidRDefault="009C77CD" w:rsidP="009C77CD">
      <w:pPr>
        <w:spacing w:before="100" w:beforeAutospacing="1" w:after="100" w:afterAutospacing="1" w:line="360" w:lineRule="auto"/>
        <w:jc w:val="both"/>
        <w:rPr>
          <w:rFonts w:ascii="Palatino Linotype" w:hAnsi="Palatino Linotype"/>
          <w:bCs/>
        </w:rPr>
      </w:pPr>
      <w:r>
        <w:rPr>
          <w:rFonts w:ascii="Palatino Linotype" w:hAnsi="Palatino Linotype"/>
          <w:bCs/>
        </w:rPr>
        <w:t xml:space="preserve">Bajo ese tenor, </w:t>
      </w:r>
      <w:r>
        <w:rPr>
          <w:rFonts w:ascii="Palatino Linotype" w:hAnsi="Palatino Linotype"/>
          <w:b/>
          <w:bCs/>
        </w:rPr>
        <w:t xml:space="preserve">EL SUJETO OBLIGADO </w:t>
      </w:r>
      <w:r w:rsidR="009C743C">
        <w:rPr>
          <w:rFonts w:ascii="Palatino Linotype" w:hAnsi="Palatino Linotype"/>
          <w:bCs/>
        </w:rPr>
        <w:t>rindió su</w:t>
      </w:r>
      <w:r>
        <w:rPr>
          <w:rFonts w:ascii="Palatino Linotype" w:hAnsi="Palatino Linotype"/>
          <w:bCs/>
        </w:rPr>
        <w:t xml:space="preserve"> Informe Justificado</w:t>
      </w:r>
      <w:r w:rsidR="009C743C">
        <w:rPr>
          <w:rFonts w:ascii="Palatino Linotype" w:hAnsi="Palatino Linotype"/>
          <w:bCs/>
        </w:rPr>
        <w:t xml:space="preserve"> adjuntando el archivo electrónico </w:t>
      </w:r>
      <w:hyperlink r:id="rId7" w:history="1">
        <w:r w:rsidR="009C743C" w:rsidRPr="00484C80">
          <w:rPr>
            <w:rFonts w:ascii="Palatino Linotype" w:hAnsi="Palatino Linotype"/>
          </w:rPr>
          <w:t>REC. NOM. MIGUEL CATASTRO_redacted.pdf</w:t>
        </w:r>
      </w:hyperlink>
      <w:r w:rsidR="009C743C" w:rsidRPr="00484C80">
        <w:rPr>
          <w:rFonts w:ascii="Palatino Linotype" w:hAnsi="Palatino Linotype" w:cs="Arial"/>
        </w:rPr>
        <w:t>”, el cual contiene seis recibos de nómina de los meses de enero, febrero, marzo y abril del año 2019 de</w:t>
      </w:r>
      <w:r w:rsidR="009C743C">
        <w:rPr>
          <w:rFonts w:ascii="Palatino Linotype" w:hAnsi="Palatino Linotype" w:cs="Arial"/>
        </w:rPr>
        <w:t xml:space="preserve"> uno de los s</w:t>
      </w:r>
      <w:r w:rsidR="009C743C" w:rsidRPr="00484C80">
        <w:rPr>
          <w:rFonts w:ascii="Palatino Linotype" w:hAnsi="Palatino Linotype" w:cs="Arial"/>
        </w:rPr>
        <w:t>ervidor</w:t>
      </w:r>
      <w:r w:rsidR="009C743C">
        <w:rPr>
          <w:rFonts w:ascii="Palatino Linotype" w:hAnsi="Palatino Linotype" w:cs="Arial"/>
        </w:rPr>
        <w:t>es p</w:t>
      </w:r>
      <w:r w:rsidR="009C743C" w:rsidRPr="00484C80">
        <w:rPr>
          <w:rFonts w:ascii="Palatino Linotype" w:hAnsi="Palatino Linotype" w:cs="Arial"/>
        </w:rPr>
        <w:t>úblico</w:t>
      </w:r>
      <w:r w:rsidR="009C743C">
        <w:rPr>
          <w:rFonts w:ascii="Palatino Linotype" w:hAnsi="Palatino Linotype" w:cs="Arial"/>
        </w:rPr>
        <w:t>s</w:t>
      </w:r>
      <w:r>
        <w:rPr>
          <w:rFonts w:ascii="Palatino Linotype" w:hAnsi="Palatino Linotype"/>
          <w:bCs/>
        </w:rPr>
        <w:t>.</w:t>
      </w:r>
    </w:p>
    <w:p w:rsidR="00FD12F6" w:rsidRPr="0024488D" w:rsidRDefault="009C77CD" w:rsidP="00FD12F6">
      <w:pPr>
        <w:spacing w:after="240" w:line="360" w:lineRule="auto"/>
        <w:jc w:val="both"/>
        <w:rPr>
          <w:rFonts w:ascii="Palatino Linotype" w:hAnsi="Palatino Linotype" w:cs="Arial"/>
          <w:bCs/>
          <w:shd w:val="clear" w:color="auto" w:fill="FFFFFF"/>
        </w:rPr>
      </w:pPr>
      <w:r w:rsidRPr="0073286C">
        <w:rPr>
          <w:rFonts w:ascii="Palatino Linotype" w:hAnsi="Palatino Linotype" w:cs="Arial"/>
        </w:rPr>
        <w:t xml:space="preserve">Atento a lo anterior, la Ponencia </w:t>
      </w:r>
      <w:proofErr w:type="spellStart"/>
      <w:r w:rsidRPr="0073286C">
        <w:rPr>
          <w:rFonts w:ascii="Palatino Linotype" w:hAnsi="Palatino Linotype" w:cs="Arial"/>
        </w:rPr>
        <w:t>Resolutora</w:t>
      </w:r>
      <w:proofErr w:type="spellEnd"/>
      <w:r w:rsidRPr="0073286C">
        <w:rPr>
          <w:rFonts w:ascii="Palatino Linotype" w:hAnsi="Palatino Linotype" w:cs="Arial"/>
        </w:rPr>
        <w:t xml:space="preserve"> determinó </w:t>
      </w:r>
      <w:r w:rsidR="00CD3FC1">
        <w:rPr>
          <w:rFonts w:ascii="Palatino Linotype" w:hAnsi="Palatino Linotype" w:cs="Arial"/>
          <w:b/>
        </w:rPr>
        <w:t>Ordenar</w:t>
      </w:r>
      <w:r w:rsidR="00E07441">
        <w:rPr>
          <w:rFonts w:ascii="Palatino Linotype" w:hAnsi="Palatino Linotype" w:cs="Arial"/>
          <w:b/>
        </w:rPr>
        <w:t xml:space="preserve"> </w:t>
      </w:r>
      <w:r w:rsidR="00CD3FC1">
        <w:rPr>
          <w:rFonts w:ascii="Palatino Linotype" w:hAnsi="Palatino Linotype" w:cs="Arial"/>
        </w:rPr>
        <w:t>al</w:t>
      </w:r>
      <w:r w:rsidR="00FD12F6">
        <w:rPr>
          <w:rFonts w:ascii="Palatino Linotype" w:hAnsi="Palatino Linotype" w:cs="Arial"/>
        </w:rPr>
        <w:t xml:space="preserve"> </w:t>
      </w:r>
      <w:r>
        <w:rPr>
          <w:rFonts w:ascii="Palatino Linotype" w:hAnsi="Palatino Linotype" w:cs="Arial"/>
          <w:b/>
        </w:rPr>
        <w:t xml:space="preserve">SUJETO OBLIGADO </w:t>
      </w:r>
      <w:r w:rsidR="00CD3FC1">
        <w:rPr>
          <w:rFonts w:ascii="Palatino Linotype" w:hAnsi="Palatino Linotype" w:cs="Arial"/>
          <w:bCs/>
          <w:lang w:val="es-MX" w:eastAsia="en-US"/>
        </w:rPr>
        <w:t xml:space="preserve">en términos del considerando </w:t>
      </w:r>
      <w:r w:rsidR="00CD3FC1">
        <w:rPr>
          <w:rFonts w:ascii="Palatino Linotype" w:hAnsi="Palatino Linotype" w:cs="Arial"/>
          <w:b/>
          <w:bCs/>
          <w:lang w:val="es-MX" w:eastAsia="en-US"/>
        </w:rPr>
        <w:t xml:space="preserve">cuarto </w:t>
      </w:r>
      <w:r w:rsidR="00CD3FC1">
        <w:rPr>
          <w:rFonts w:ascii="Palatino Linotype" w:hAnsi="Palatino Linotype" w:cs="Arial"/>
          <w:bCs/>
          <w:lang w:val="es-MX" w:eastAsia="en-US"/>
        </w:rPr>
        <w:t xml:space="preserve">y </w:t>
      </w:r>
      <w:r w:rsidR="00CD3FC1">
        <w:rPr>
          <w:rFonts w:ascii="Palatino Linotype" w:hAnsi="Palatino Linotype" w:cs="Arial"/>
          <w:b/>
          <w:bCs/>
          <w:lang w:val="es-MX" w:eastAsia="en-US"/>
        </w:rPr>
        <w:t xml:space="preserve">quinto </w:t>
      </w:r>
      <w:r w:rsidR="00CD3FC1">
        <w:rPr>
          <w:rFonts w:ascii="Palatino Linotype" w:hAnsi="Palatino Linotype" w:cs="Arial"/>
          <w:bCs/>
          <w:lang w:val="es-MX" w:eastAsia="en-US"/>
        </w:rPr>
        <w:t xml:space="preserve">de la resolución de mérito, </w:t>
      </w:r>
      <w:r w:rsidR="00CD3FC1">
        <w:rPr>
          <w:rFonts w:ascii="Palatino Linotype" w:hAnsi="Palatino Linotype" w:cs="Arial"/>
        </w:rPr>
        <w:t xml:space="preserve">hiciera entrega a la Recurrente </w:t>
      </w:r>
      <w:r w:rsidR="00CD3FC1">
        <w:rPr>
          <w:rFonts w:ascii="Palatino Linotype" w:hAnsi="Palatino Linotype" w:cs="Arial"/>
          <w:lang w:val="es-MX" w:eastAsia="en-US"/>
        </w:rPr>
        <w:t>vía SAIMEX</w:t>
      </w:r>
      <w:r w:rsidR="00CD3FC1">
        <w:rPr>
          <w:rFonts w:ascii="Palatino Linotype" w:hAnsi="Palatino Linotype" w:cs="Arial"/>
          <w:b/>
          <w:bCs/>
          <w:lang w:val="es-MX" w:eastAsia="en-US"/>
        </w:rPr>
        <w:t xml:space="preserve">, </w:t>
      </w:r>
      <w:r w:rsidR="00CD3FC1">
        <w:rPr>
          <w:rFonts w:ascii="Palatino Linotype" w:hAnsi="Palatino Linotype" w:cs="Arial"/>
          <w:bCs/>
          <w:lang w:val="es-MX" w:eastAsia="en-US"/>
        </w:rPr>
        <w:t>en versión pública, de los documentos en donde conste lo siguiente:</w:t>
      </w:r>
    </w:p>
    <w:p w:rsidR="00CD3FC1" w:rsidRPr="00CD3FC1" w:rsidRDefault="00CD3FC1" w:rsidP="00CD3FC1">
      <w:pPr>
        <w:spacing w:before="240" w:after="240"/>
        <w:ind w:left="709" w:right="850"/>
        <w:jc w:val="both"/>
        <w:rPr>
          <w:rFonts w:ascii="Palatino Linotype" w:hAnsi="Palatino Linotype" w:cs="Arial"/>
          <w:bCs/>
          <w:i/>
          <w:sz w:val="22"/>
          <w:szCs w:val="22"/>
          <w:lang w:val="es-MX" w:eastAsia="en-US"/>
        </w:rPr>
      </w:pPr>
      <w:r w:rsidRPr="00CD3FC1">
        <w:rPr>
          <w:rFonts w:ascii="Palatino Linotype" w:hAnsi="Palatino Linotype" w:cs="Arial"/>
          <w:bCs/>
          <w:i/>
          <w:sz w:val="22"/>
          <w:szCs w:val="22"/>
          <w:lang w:val="es-MX" w:eastAsia="en-US"/>
        </w:rPr>
        <w:t>Vigente al treinta de mayo del dos mil diecinueve:</w:t>
      </w:r>
    </w:p>
    <w:p w:rsidR="00CD3FC1" w:rsidRPr="00CD3FC1" w:rsidRDefault="00CD3FC1" w:rsidP="00CD3FC1">
      <w:pPr>
        <w:pStyle w:val="Prrafodelista"/>
        <w:numPr>
          <w:ilvl w:val="0"/>
          <w:numId w:val="13"/>
        </w:numPr>
        <w:autoSpaceDE w:val="0"/>
        <w:autoSpaceDN w:val="0"/>
        <w:adjustRightInd w:val="0"/>
        <w:ind w:left="709" w:right="850"/>
        <w:contextualSpacing w:val="0"/>
        <w:jc w:val="both"/>
        <w:rPr>
          <w:rFonts w:ascii="Palatino Linotype" w:eastAsia="Palatino Linotype" w:hAnsi="Palatino Linotype" w:cs="Palatino Linotype"/>
          <w:i/>
          <w:sz w:val="22"/>
          <w:szCs w:val="22"/>
        </w:rPr>
      </w:pPr>
      <w:proofErr w:type="spellStart"/>
      <w:r w:rsidRPr="00CD3FC1">
        <w:rPr>
          <w:rFonts w:ascii="Palatino Linotype" w:eastAsia="Palatino Linotype" w:hAnsi="Palatino Linotype" w:cs="Palatino Linotype"/>
          <w:i/>
          <w:sz w:val="22"/>
          <w:szCs w:val="22"/>
        </w:rPr>
        <w:t>Curriculum</w:t>
      </w:r>
      <w:proofErr w:type="spellEnd"/>
      <w:r w:rsidRPr="00CD3FC1">
        <w:rPr>
          <w:rFonts w:ascii="Palatino Linotype" w:eastAsia="Palatino Linotype" w:hAnsi="Palatino Linotype" w:cs="Palatino Linotype"/>
          <w:i/>
          <w:sz w:val="22"/>
          <w:szCs w:val="22"/>
        </w:rPr>
        <w:t xml:space="preserve"> vitae del Servidor Público Miguel Ángel Santos Gómez.</w:t>
      </w:r>
    </w:p>
    <w:p w:rsidR="00CD3FC1" w:rsidRPr="00CD3FC1" w:rsidRDefault="00CD3FC1" w:rsidP="00CD3FC1">
      <w:pPr>
        <w:pStyle w:val="Prrafodelista"/>
        <w:numPr>
          <w:ilvl w:val="0"/>
          <w:numId w:val="13"/>
        </w:numPr>
        <w:autoSpaceDE w:val="0"/>
        <w:autoSpaceDN w:val="0"/>
        <w:adjustRightInd w:val="0"/>
        <w:ind w:left="709" w:right="850"/>
        <w:contextualSpacing w:val="0"/>
        <w:jc w:val="both"/>
        <w:rPr>
          <w:rFonts w:ascii="Palatino Linotype" w:eastAsia="Palatino Linotype" w:hAnsi="Palatino Linotype" w:cs="Palatino Linotype"/>
          <w:i/>
          <w:sz w:val="22"/>
          <w:szCs w:val="22"/>
        </w:rPr>
      </w:pPr>
      <w:r w:rsidRPr="00CD3FC1">
        <w:rPr>
          <w:rFonts w:ascii="Palatino Linotype" w:eastAsia="Palatino Linotype" w:hAnsi="Palatino Linotype" w:cs="Palatino Linotype"/>
          <w:i/>
          <w:sz w:val="22"/>
          <w:szCs w:val="22"/>
        </w:rPr>
        <w:t xml:space="preserve">Constancias de no inhabilitación de todo el personal adscrito a la Jefatura de Catastro de la Administración Pública Municipal de </w:t>
      </w:r>
      <w:proofErr w:type="spellStart"/>
      <w:r w:rsidRPr="00CD3FC1">
        <w:rPr>
          <w:rFonts w:ascii="Palatino Linotype" w:eastAsia="Palatino Linotype" w:hAnsi="Palatino Linotype" w:cs="Palatino Linotype"/>
          <w:i/>
          <w:sz w:val="22"/>
          <w:szCs w:val="22"/>
        </w:rPr>
        <w:t>Coyotepec</w:t>
      </w:r>
      <w:proofErr w:type="spellEnd"/>
      <w:r w:rsidRPr="00CD3FC1">
        <w:rPr>
          <w:rFonts w:ascii="Palatino Linotype" w:eastAsia="Palatino Linotype" w:hAnsi="Palatino Linotype" w:cs="Palatino Linotype"/>
          <w:i/>
          <w:sz w:val="22"/>
          <w:szCs w:val="22"/>
        </w:rPr>
        <w:t>.</w:t>
      </w:r>
    </w:p>
    <w:p w:rsidR="00CD3FC1" w:rsidRPr="00CD3FC1" w:rsidRDefault="00CD3FC1" w:rsidP="00CD3FC1">
      <w:pPr>
        <w:spacing w:before="240" w:after="240"/>
        <w:ind w:left="709" w:right="850"/>
        <w:jc w:val="both"/>
        <w:rPr>
          <w:rFonts w:ascii="Palatino Linotype" w:hAnsi="Palatino Linotype" w:cs="Arial"/>
          <w:bCs/>
          <w:i/>
          <w:sz w:val="22"/>
          <w:szCs w:val="22"/>
          <w:lang w:val="es-MX" w:eastAsia="en-US"/>
        </w:rPr>
      </w:pPr>
      <w:r w:rsidRPr="00CD3FC1">
        <w:rPr>
          <w:rFonts w:ascii="Palatino Linotype" w:hAnsi="Palatino Linotype" w:cs="Arial"/>
          <w:bCs/>
          <w:i/>
          <w:sz w:val="22"/>
          <w:szCs w:val="22"/>
          <w:lang w:val="es-MX" w:eastAsia="en-US"/>
        </w:rPr>
        <w:lastRenderedPageBreak/>
        <w:t>De la primera y segunda quincena de los meses de enero a mayo del año dos mil diecinueve:</w:t>
      </w:r>
    </w:p>
    <w:p w:rsidR="00CD3FC1" w:rsidRPr="00CD3FC1" w:rsidRDefault="00CD3FC1" w:rsidP="00CD3FC1">
      <w:pPr>
        <w:pStyle w:val="Prrafodelista"/>
        <w:numPr>
          <w:ilvl w:val="0"/>
          <w:numId w:val="13"/>
        </w:numPr>
        <w:autoSpaceDE w:val="0"/>
        <w:autoSpaceDN w:val="0"/>
        <w:adjustRightInd w:val="0"/>
        <w:ind w:left="709" w:right="850"/>
        <w:contextualSpacing w:val="0"/>
        <w:jc w:val="both"/>
        <w:rPr>
          <w:rFonts w:ascii="Palatino Linotype" w:eastAsia="Palatino Linotype" w:hAnsi="Palatino Linotype" w:cs="Palatino Linotype"/>
          <w:i/>
          <w:sz w:val="22"/>
          <w:szCs w:val="22"/>
        </w:rPr>
      </w:pPr>
      <w:r w:rsidRPr="00CD3FC1">
        <w:rPr>
          <w:rFonts w:ascii="Palatino Linotype" w:hAnsi="Palatino Linotype" w:cs="Arial"/>
          <w:bCs/>
          <w:i/>
          <w:sz w:val="22"/>
          <w:szCs w:val="22"/>
          <w:lang w:val="es-MX" w:eastAsia="en-US"/>
        </w:rPr>
        <w:t xml:space="preserve">Los recibos de nómina de todo el personal adscrito a la Jefatura de Catastro de </w:t>
      </w:r>
      <w:r w:rsidRPr="00CD3FC1">
        <w:rPr>
          <w:rFonts w:ascii="Palatino Linotype" w:eastAsia="Palatino Linotype" w:hAnsi="Palatino Linotype" w:cs="Palatino Linotype"/>
          <w:i/>
          <w:sz w:val="22"/>
          <w:szCs w:val="22"/>
        </w:rPr>
        <w:t xml:space="preserve">la Administración Pública Municipal de </w:t>
      </w:r>
      <w:proofErr w:type="spellStart"/>
      <w:r w:rsidRPr="00CD3FC1">
        <w:rPr>
          <w:rFonts w:ascii="Palatino Linotype" w:eastAsia="Palatino Linotype" w:hAnsi="Palatino Linotype" w:cs="Palatino Linotype"/>
          <w:i/>
          <w:sz w:val="22"/>
          <w:szCs w:val="22"/>
        </w:rPr>
        <w:t>Coyotepec</w:t>
      </w:r>
      <w:proofErr w:type="spellEnd"/>
      <w:r w:rsidRPr="00CD3FC1">
        <w:rPr>
          <w:rFonts w:ascii="Palatino Linotype" w:eastAsia="Palatino Linotype" w:hAnsi="Palatino Linotype" w:cs="Palatino Linotype"/>
          <w:i/>
          <w:sz w:val="22"/>
          <w:szCs w:val="22"/>
        </w:rPr>
        <w:t>.</w:t>
      </w:r>
    </w:p>
    <w:p w:rsidR="00CD3FC1" w:rsidRPr="00CD3FC1" w:rsidRDefault="00CD3FC1" w:rsidP="00CD3FC1">
      <w:pPr>
        <w:spacing w:before="240" w:after="240"/>
        <w:ind w:left="709" w:right="850"/>
        <w:jc w:val="both"/>
        <w:rPr>
          <w:rFonts w:ascii="Palatino Linotype" w:hAnsi="Palatino Linotype" w:cs="Arial"/>
          <w:bCs/>
          <w:i/>
          <w:sz w:val="22"/>
          <w:szCs w:val="22"/>
          <w:lang w:val="es-MX" w:eastAsia="en-US"/>
        </w:rPr>
      </w:pPr>
      <w:r w:rsidRPr="00CD3FC1">
        <w:rPr>
          <w:rFonts w:ascii="Palatino Linotype" w:hAnsi="Palatino Linotype" w:cs="Arial"/>
          <w:bCs/>
          <w:i/>
          <w:sz w:val="22"/>
          <w:szCs w:val="22"/>
          <w:lang w:val="es-MX" w:eastAsia="en-US"/>
        </w:rPr>
        <w:t>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recurrente, mismo que igualmente hará de su conocimiento.</w:t>
      </w:r>
    </w:p>
    <w:p w:rsidR="00CD3FC1" w:rsidRDefault="00CD3FC1" w:rsidP="00CD3FC1">
      <w:pPr>
        <w:spacing w:before="100" w:beforeAutospacing="1" w:after="100" w:afterAutospacing="1"/>
        <w:ind w:left="709" w:right="850"/>
        <w:jc w:val="both"/>
        <w:rPr>
          <w:rFonts w:ascii="Palatino Linotype" w:eastAsia="Palatino Linotype" w:hAnsi="Palatino Linotype" w:cs="Palatino Linotype"/>
          <w:i/>
          <w:sz w:val="22"/>
          <w:szCs w:val="22"/>
        </w:rPr>
      </w:pPr>
      <w:r w:rsidRPr="00CD3FC1">
        <w:rPr>
          <w:rFonts w:ascii="Palatino Linotype" w:hAnsi="Palatino Linotype" w:cs="Arial"/>
          <w:bCs/>
          <w:i/>
          <w:sz w:val="22"/>
          <w:szCs w:val="22"/>
          <w:lang w:val="es-MX" w:eastAsia="en-US"/>
        </w:rPr>
        <w:t xml:space="preserve">El Acuerdo del Comité de Transparencia por medio del cual clasifique en su totalidad como confidencial los certificados de antecedentes no penales del personal adscrito a la Jefatura de Catastro </w:t>
      </w:r>
      <w:r w:rsidRPr="00CD3FC1">
        <w:rPr>
          <w:rFonts w:ascii="Palatino Linotype" w:eastAsia="Palatino Linotype" w:hAnsi="Palatino Linotype" w:cs="Palatino Linotype"/>
          <w:i/>
          <w:sz w:val="22"/>
          <w:szCs w:val="22"/>
        </w:rPr>
        <w:t xml:space="preserve">de la Administración Pública Municipal de </w:t>
      </w:r>
      <w:proofErr w:type="spellStart"/>
      <w:r w:rsidRPr="00CD3FC1">
        <w:rPr>
          <w:rFonts w:ascii="Palatino Linotype" w:eastAsia="Palatino Linotype" w:hAnsi="Palatino Linotype" w:cs="Palatino Linotype"/>
          <w:i/>
          <w:sz w:val="22"/>
          <w:szCs w:val="22"/>
        </w:rPr>
        <w:t>Coyotepec</w:t>
      </w:r>
      <w:proofErr w:type="spellEnd"/>
      <w:r w:rsidRPr="00CD3FC1">
        <w:rPr>
          <w:rFonts w:ascii="Palatino Linotype" w:eastAsia="Palatino Linotype" w:hAnsi="Palatino Linotype" w:cs="Palatino Linotype"/>
          <w:i/>
          <w:sz w:val="22"/>
          <w:szCs w:val="22"/>
        </w:rPr>
        <w:t>.</w:t>
      </w:r>
    </w:p>
    <w:p w:rsidR="00CD3FC1" w:rsidRPr="00CD3FC1" w:rsidRDefault="00CD3FC1" w:rsidP="00CD3FC1">
      <w:pPr>
        <w:spacing w:before="100" w:beforeAutospacing="1" w:after="100" w:afterAutospacing="1"/>
        <w:ind w:left="709" w:right="850"/>
        <w:jc w:val="both"/>
        <w:rPr>
          <w:rFonts w:ascii="Palatino Linotype" w:eastAsia="Palatino Linotype" w:hAnsi="Palatino Linotype" w:cs="Palatino Linotype"/>
          <w:i/>
          <w:sz w:val="22"/>
          <w:szCs w:val="22"/>
        </w:rPr>
      </w:pPr>
    </w:p>
    <w:p w:rsidR="00FD12F6" w:rsidRDefault="009C77CD" w:rsidP="00CD3FC1">
      <w:pPr>
        <w:spacing w:before="100" w:beforeAutospacing="1" w:after="100" w:afterAutospacing="1" w:line="360" w:lineRule="auto"/>
        <w:jc w:val="both"/>
        <w:rPr>
          <w:rFonts w:ascii="Palatino Linotype" w:hAnsi="Palatino Linotype" w:cs="Arial"/>
          <w:lang w:val="es-MX"/>
        </w:rPr>
      </w:pPr>
      <w:r w:rsidRPr="00AF12B6">
        <w:rPr>
          <w:rFonts w:ascii="Palatino Linotype" w:hAnsi="Palatino Linotype" w:cs="Arial"/>
          <w:lang w:val="es-MX"/>
        </w:rPr>
        <w:t xml:space="preserve">En ese sentido, la que suscribe reitera, que si bien coincide en términos generales con el sentido de la resolución en comento, estimo necesario precisar que en cuanto hace al pronunciamiento por parte de la Ponencia </w:t>
      </w:r>
      <w:proofErr w:type="spellStart"/>
      <w:r w:rsidRPr="00AF12B6">
        <w:rPr>
          <w:rFonts w:ascii="Palatino Linotype" w:hAnsi="Palatino Linotype" w:cs="Arial"/>
          <w:lang w:val="es-MX"/>
        </w:rPr>
        <w:t>Resolutora</w:t>
      </w:r>
      <w:proofErr w:type="spellEnd"/>
      <w:r w:rsidRPr="00AF12B6">
        <w:rPr>
          <w:rFonts w:ascii="Palatino Linotype" w:hAnsi="Palatino Linotype" w:cs="Arial"/>
          <w:lang w:val="es-MX"/>
        </w:rPr>
        <w:t xml:space="preserve"> </w:t>
      </w:r>
      <w:r w:rsidR="00A56F8F">
        <w:rPr>
          <w:rFonts w:ascii="Palatino Linotype" w:hAnsi="Palatino Linotype" w:cs="Arial"/>
          <w:lang w:val="es-MX"/>
        </w:rPr>
        <w:t xml:space="preserve">realizado en su estudio, </w:t>
      </w:r>
      <w:r w:rsidRPr="00AF12B6">
        <w:rPr>
          <w:rFonts w:ascii="Palatino Linotype" w:hAnsi="Palatino Linotype" w:cs="Arial"/>
          <w:lang w:val="es-MX"/>
        </w:rPr>
        <w:t xml:space="preserve">en </w:t>
      </w:r>
      <w:r w:rsidR="008B39D8">
        <w:rPr>
          <w:rFonts w:ascii="Palatino Linotype" w:hAnsi="Palatino Linotype" w:cs="Arial"/>
          <w:lang w:val="es-MX"/>
        </w:rPr>
        <w:t xml:space="preserve">razón a que </w:t>
      </w:r>
      <w:r w:rsidR="003E005E" w:rsidRPr="003E005E">
        <w:rPr>
          <w:rFonts w:ascii="Palatino Linotype" w:hAnsi="Palatino Linotype" w:cs="Arial"/>
          <w:b/>
          <w:lang w:val="es-MX"/>
        </w:rPr>
        <w:t>EL SUJETO OBLIGADO</w:t>
      </w:r>
      <w:r w:rsidR="003E005E">
        <w:rPr>
          <w:rFonts w:ascii="Palatino Linotype" w:hAnsi="Palatino Linotype" w:cs="Arial"/>
          <w:lang w:val="es-MX"/>
        </w:rPr>
        <w:t xml:space="preserve"> deberá clasificar </w:t>
      </w:r>
      <w:r w:rsidR="008B39D8">
        <w:rPr>
          <w:rFonts w:ascii="Palatino Linotype" w:hAnsi="Palatino Linotype" w:cs="Arial"/>
          <w:lang w:val="es-MX"/>
        </w:rPr>
        <w:t>el</w:t>
      </w:r>
      <w:r w:rsidR="00FD12F6">
        <w:rPr>
          <w:rFonts w:ascii="Palatino Linotype" w:hAnsi="Palatino Linotype" w:cs="Arial"/>
          <w:lang w:val="es-MX"/>
        </w:rPr>
        <w:t xml:space="preserve"> certificado de no antecedentes penales</w:t>
      </w:r>
      <w:r w:rsidR="003E005E">
        <w:rPr>
          <w:rFonts w:ascii="Palatino Linotype" w:hAnsi="Palatino Linotype" w:cs="Arial"/>
          <w:lang w:val="es-MX"/>
        </w:rPr>
        <w:t xml:space="preserve"> como confidencial toda vez que </w:t>
      </w:r>
      <w:r w:rsidR="003E005E" w:rsidRPr="003E005E">
        <w:rPr>
          <w:rFonts w:ascii="Palatino Linotype" w:hAnsi="Palatino Linotype" w:cs="Arial"/>
          <w:lang w:val="es-MX"/>
        </w:rPr>
        <w:t xml:space="preserve">contiene información que únicamente le concierne al interesado y </w:t>
      </w:r>
      <w:r w:rsidR="00A56F8F">
        <w:rPr>
          <w:rFonts w:ascii="Palatino Linotype" w:hAnsi="Palatino Linotype" w:cs="Arial"/>
          <w:lang w:val="es-MX"/>
        </w:rPr>
        <w:t xml:space="preserve">a </w:t>
      </w:r>
      <w:r w:rsidR="003E005E" w:rsidRPr="003E005E">
        <w:rPr>
          <w:rFonts w:ascii="Palatino Linotype" w:hAnsi="Palatino Linotype" w:cs="Arial"/>
          <w:lang w:val="es-MX"/>
        </w:rPr>
        <w:t>la institución ante la cual se debe acreditar la existencia o inexistencia de antecedentes penales que hayan recaído en prisión preventiva</w:t>
      </w:r>
      <w:r w:rsidR="00DB377F">
        <w:rPr>
          <w:rFonts w:ascii="Palatino Linotype" w:hAnsi="Palatino Linotype" w:cs="Arial"/>
          <w:lang w:val="es-MX"/>
        </w:rPr>
        <w:t xml:space="preserve">, a criterio de la suscrita lo procedente es que sea entregado al solicitante </w:t>
      </w:r>
      <w:r w:rsidR="00CD3FC1">
        <w:rPr>
          <w:rFonts w:ascii="Palatino Linotype" w:hAnsi="Palatino Linotype" w:cs="Arial"/>
          <w:lang w:val="es-MX"/>
        </w:rPr>
        <w:t>en versión pública</w:t>
      </w:r>
      <w:r w:rsidR="00DB377F">
        <w:rPr>
          <w:rFonts w:ascii="Palatino Linotype" w:hAnsi="Palatino Linotype" w:cs="Arial"/>
          <w:lang w:val="es-MX"/>
        </w:rPr>
        <w:t>.</w:t>
      </w:r>
    </w:p>
    <w:p w:rsidR="00DB377F" w:rsidRDefault="006D7C78" w:rsidP="00DB377F">
      <w:pPr>
        <w:spacing w:before="100" w:beforeAutospacing="1" w:after="100" w:afterAutospacing="1" w:line="360" w:lineRule="auto"/>
        <w:jc w:val="both"/>
        <w:rPr>
          <w:rFonts w:ascii="Palatino Linotype" w:hAnsi="Palatino Linotype"/>
        </w:rPr>
      </w:pPr>
      <w:r>
        <w:rPr>
          <w:rFonts w:ascii="Palatino Linotype" w:hAnsi="Palatino Linotype" w:cs="Arial"/>
          <w:lang w:val="es-MX"/>
        </w:rPr>
        <w:t>Lo anterior,</w:t>
      </w:r>
      <w:r w:rsidR="00DB377F">
        <w:rPr>
          <w:rFonts w:ascii="Palatino Linotype" w:hAnsi="Palatino Linotype" w:cs="Arial"/>
          <w:lang w:val="es-MX"/>
        </w:rPr>
        <w:t xml:space="preserve"> de conformidad con el Acuerdo número 14/2011, del Procurador General de Justicia del Estado de México, el cual establece los supuestos y lineamientos para la </w:t>
      </w:r>
      <w:r w:rsidR="00DB377F" w:rsidRPr="00DB377F">
        <w:rPr>
          <w:rFonts w:ascii="Palatino Linotype" w:hAnsi="Palatino Linotype" w:cs="Arial"/>
          <w:lang w:val="es-MX"/>
        </w:rPr>
        <w:t>expedición de informes y certifica</w:t>
      </w:r>
      <w:r w:rsidR="00DB377F">
        <w:rPr>
          <w:rFonts w:ascii="Palatino Linotype" w:hAnsi="Palatino Linotype" w:cs="Arial"/>
          <w:lang w:val="es-MX"/>
        </w:rPr>
        <w:t xml:space="preserve">dos de no antecedentes penales, certificado que </w:t>
      </w:r>
      <w:r w:rsidR="00DB377F" w:rsidRPr="00947EB3">
        <w:rPr>
          <w:rFonts w:ascii="Palatino Linotype" w:hAnsi="Palatino Linotype"/>
        </w:rPr>
        <w:t xml:space="preserve">se expedirá cuando se requiera para trámites de carácter personal y cuando: </w:t>
      </w:r>
    </w:p>
    <w:p w:rsidR="00DB377F" w:rsidRPr="00947EB3" w:rsidRDefault="00DB377F" w:rsidP="00DB377F">
      <w:pPr>
        <w:pStyle w:val="Prrafodelista"/>
        <w:spacing w:before="100" w:beforeAutospacing="1" w:after="100" w:afterAutospacing="1" w:line="360" w:lineRule="auto"/>
        <w:ind w:left="851"/>
        <w:contextualSpacing w:val="0"/>
        <w:jc w:val="both"/>
        <w:rPr>
          <w:rFonts w:ascii="Palatino Linotype" w:hAnsi="Palatino Linotype"/>
        </w:rPr>
      </w:pPr>
      <w:r>
        <w:rPr>
          <w:rFonts w:ascii="Palatino Linotype" w:hAnsi="Palatino Linotype"/>
        </w:rPr>
        <w:t xml:space="preserve">1.- </w:t>
      </w:r>
      <w:r w:rsidRPr="00947EB3">
        <w:rPr>
          <w:rFonts w:ascii="Palatino Linotype" w:hAnsi="Palatino Linotype"/>
        </w:rPr>
        <w:t xml:space="preserve">Las disposiciones legales establezcan como requisito para desempeñar un empleo, cargo o comisión en el servicio público, la acreditación por parte del interesado de no haber cometido delito alguno o que no tiene antecedentes penales; </w:t>
      </w:r>
    </w:p>
    <w:p w:rsidR="00DB377F" w:rsidRPr="00947EB3" w:rsidRDefault="00DB377F" w:rsidP="00DB377F">
      <w:pPr>
        <w:pStyle w:val="Prrafodelista"/>
        <w:spacing w:before="100" w:beforeAutospacing="1" w:after="100" w:afterAutospacing="1" w:line="360" w:lineRule="auto"/>
        <w:ind w:left="851"/>
        <w:contextualSpacing w:val="0"/>
        <w:jc w:val="both"/>
        <w:rPr>
          <w:rFonts w:ascii="Palatino Linotype" w:hAnsi="Palatino Linotype"/>
        </w:rPr>
      </w:pPr>
      <w:r>
        <w:rPr>
          <w:rFonts w:ascii="Palatino Linotype" w:hAnsi="Palatino Linotype"/>
        </w:rPr>
        <w:t xml:space="preserve">2.- </w:t>
      </w:r>
      <w:r w:rsidRPr="00947EB3">
        <w:rPr>
          <w:rFonts w:ascii="Palatino Linotype" w:hAnsi="Palatino Linotype"/>
        </w:rPr>
        <w:t xml:space="preserve">Se solicita para acreditar el cumplimiento de requisitos de ingreso o permanencia en instituciones de seguridad pública; </w:t>
      </w:r>
    </w:p>
    <w:p w:rsidR="00DB377F" w:rsidRPr="00947EB3" w:rsidRDefault="00DB377F" w:rsidP="00DB377F">
      <w:pPr>
        <w:pStyle w:val="Prrafodelista"/>
        <w:spacing w:before="100" w:beforeAutospacing="1" w:after="100" w:afterAutospacing="1" w:line="360" w:lineRule="auto"/>
        <w:ind w:left="851"/>
        <w:contextualSpacing w:val="0"/>
        <w:jc w:val="both"/>
        <w:rPr>
          <w:rFonts w:ascii="Palatino Linotype" w:hAnsi="Palatino Linotype"/>
        </w:rPr>
      </w:pPr>
      <w:r>
        <w:rPr>
          <w:rFonts w:ascii="Palatino Linotype" w:hAnsi="Palatino Linotype"/>
        </w:rPr>
        <w:t xml:space="preserve">3.- </w:t>
      </w:r>
      <w:r w:rsidRPr="00947EB3">
        <w:rPr>
          <w:rFonts w:ascii="Palatino Linotype" w:hAnsi="Palatino Linotype"/>
        </w:rPr>
        <w:t xml:space="preserve">Se solicita para ingresar a instituciones prestadoras de servicios de seguridad privada, respecto de los cargos o empleos en que la ley disponga expresamente este requisito; </w:t>
      </w:r>
    </w:p>
    <w:p w:rsidR="00DB377F" w:rsidRPr="00947EB3" w:rsidRDefault="00DB377F" w:rsidP="00DB377F">
      <w:pPr>
        <w:pStyle w:val="Prrafodelista"/>
        <w:spacing w:before="100" w:beforeAutospacing="1" w:after="100" w:afterAutospacing="1" w:line="360" w:lineRule="auto"/>
        <w:ind w:left="851"/>
        <w:contextualSpacing w:val="0"/>
        <w:jc w:val="both"/>
        <w:rPr>
          <w:rFonts w:ascii="Palatino Linotype" w:hAnsi="Palatino Linotype"/>
        </w:rPr>
      </w:pPr>
      <w:r>
        <w:rPr>
          <w:rFonts w:ascii="Palatino Linotype" w:hAnsi="Palatino Linotype"/>
        </w:rPr>
        <w:t xml:space="preserve">4.- </w:t>
      </w:r>
      <w:r w:rsidRPr="00947EB3">
        <w:rPr>
          <w:rFonts w:ascii="Palatino Linotype" w:hAnsi="Palatino Linotype"/>
        </w:rPr>
        <w:t xml:space="preserve">Se requiere de manera fundada y motivada por autoridades administrativas o jurisdiccionales, así como por organismos públicos protectores de los derechos humanos y autoridades en materia electoral; y, </w:t>
      </w:r>
    </w:p>
    <w:p w:rsidR="00DB377F" w:rsidRPr="00947EB3" w:rsidRDefault="00DB377F" w:rsidP="00DB377F">
      <w:pPr>
        <w:pStyle w:val="Prrafodelista"/>
        <w:spacing w:before="100" w:beforeAutospacing="1" w:after="100" w:afterAutospacing="1" w:line="360" w:lineRule="auto"/>
        <w:ind w:left="851"/>
        <w:contextualSpacing w:val="0"/>
        <w:jc w:val="both"/>
        <w:rPr>
          <w:rFonts w:ascii="Palatino Linotype" w:hAnsi="Palatino Linotype"/>
        </w:rPr>
      </w:pPr>
      <w:r>
        <w:rPr>
          <w:rFonts w:ascii="Palatino Linotype" w:hAnsi="Palatino Linotype"/>
        </w:rPr>
        <w:t xml:space="preserve">5.- </w:t>
      </w:r>
      <w:r w:rsidRPr="00947EB3">
        <w:rPr>
          <w:rFonts w:ascii="Palatino Linotype" w:hAnsi="Palatino Linotype"/>
        </w:rPr>
        <w:t>En los demás casos que expresamente estén señalados por las leyes.</w:t>
      </w:r>
    </w:p>
    <w:p w:rsidR="00A96381" w:rsidRDefault="00DB377F" w:rsidP="00C55670">
      <w:pPr>
        <w:spacing w:before="100" w:beforeAutospacing="1" w:after="100" w:afterAutospacing="1" w:line="360" w:lineRule="auto"/>
        <w:jc w:val="both"/>
        <w:rPr>
          <w:rFonts w:ascii="Palatino Linotype" w:hAnsi="Palatino Linotype"/>
        </w:rPr>
      </w:pPr>
      <w:r w:rsidRPr="00947EB3">
        <w:rPr>
          <w:rFonts w:ascii="Palatino Linotype" w:hAnsi="Palatino Linotype"/>
        </w:rPr>
        <w:t xml:space="preserve">En esa virtud, es claro que si </w:t>
      </w:r>
      <w:r w:rsidRPr="00947EB3">
        <w:rPr>
          <w:rFonts w:ascii="Palatino Linotype" w:hAnsi="Palatino Linotype"/>
          <w:b/>
        </w:rPr>
        <w:t>EL SUJETO OBLIGADO</w:t>
      </w:r>
      <w:r w:rsidRPr="00947EB3">
        <w:rPr>
          <w:rFonts w:ascii="Palatino Linotype" w:hAnsi="Palatino Linotype"/>
        </w:rPr>
        <w:t xml:space="preserve"> cuenta con la información </w:t>
      </w:r>
      <w:r>
        <w:rPr>
          <w:rFonts w:ascii="Palatino Linotype" w:hAnsi="Palatino Linotype"/>
        </w:rPr>
        <w:t>de la que se está ordenando su entrega, deberá hacerlo de conocimiento de</w:t>
      </w:r>
      <w:r w:rsidR="008B39D8">
        <w:rPr>
          <w:rFonts w:ascii="Palatino Linotype" w:hAnsi="Palatino Linotype"/>
        </w:rPr>
        <w:t xml:space="preserve"> </w:t>
      </w:r>
      <w:r w:rsidR="008B39D8" w:rsidRPr="008B39D8">
        <w:rPr>
          <w:rFonts w:ascii="Palatino Linotype" w:hAnsi="Palatino Linotype"/>
          <w:b/>
        </w:rPr>
        <w:t>LA</w:t>
      </w:r>
      <w:r>
        <w:rPr>
          <w:rFonts w:ascii="Palatino Linotype" w:hAnsi="Palatino Linotype"/>
        </w:rPr>
        <w:t xml:space="preserve"> </w:t>
      </w:r>
      <w:r w:rsidRPr="00DB377F">
        <w:rPr>
          <w:rFonts w:ascii="Palatino Linotype" w:hAnsi="Palatino Linotype"/>
          <w:b/>
        </w:rPr>
        <w:t>RECURRENTE</w:t>
      </w:r>
      <w:r w:rsidRPr="00947EB3">
        <w:rPr>
          <w:rFonts w:ascii="Palatino Linotype" w:hAnsi="Palatino Linotype"/>
        </w:rPr>
        <w:t xml:space="preserve">, </w:t>
      </w:r>
      <w:r w:rsidR="00C55670">
        <w:rPr>
          <w:rFonts w:ascii="Palatino Linotype" w:hAnsi="Palatino Linotype"/>
        </w:rPr>
        <w:t xml:space="preserve">el certificado de no antecedentes penales, </w:t>
      </w:r>
      <w:r w:rsidR="00CD3FC1">
        <w:rPr>
          <w:rFonts w:ascii="Palatino Linotype" w:hAnsi="Palatino Linotype"/>
        </w:rPr>
        <w:t>en versión pública</w:t>
      </w:r>
      <w:r w:rsidR="00A96381">
        <w:rPr>
          <w:rFonts w:ascii="Palatino Linotype" w:hAnsi="Palatino Linotype"/>
        </w:rPr>
        <w:t xml:space="preserve"> del </w:t>
      </w:r>
      <w:r w:rsidR="00A96381" w:rsidRPr="00CC2715">
        <w:rPr>
          <w:rFonts w:ascii="Palatino Linotype" w:hAnsi="Palatino Linotype"/>
        </w:rPr>
        <w:t>que se desprende que los servidores públicos al ingresar al servicio público, no han sido suspendidos del ejercicio de sus derechos civiles y políticos, como lo precisan el artículo 38, fracciones II, V y VI, de la Constitución Política de los Estados Unidos Mexicanos; el artículo 46, del Código Penal Federal, y los artículos 41 y 44, del Código Penal del Estado de México:</w:t>
      </w:r>
    </w:p>
    <w:p w:rsidR="00A96381" w:rsidRPr="00524CB9" w:rsidRDefault="00A96381" w:rsidP="00A96381">
      <w:pPr>
        <w:pStyle w:val="Prrafodelista"/>
        <w:widowControl w:val="0"/>
        <w:autoSpaceDE w:val="0"/>
        <w:autoSpaceDN w:val="0"/>
        <w:adjustRightInd w:val="0"/>
        <w:spacing w:before="100" w:beforeAutospacing="1" w:after="100" w:afterAutospacing="1"/>
        <w:ind w:left="851" w:right="902"/>
        <w:jc w:val="center"/>
        <w:rPr>
          <w:rFonts w:ascii="Palatino Linotype" w:hAnsi="Palatino Linotype"/>
        </w:rPr>
      </w:pPr>
      <w:r w:rsidRPr="00CC2715">
        <w:rPr>
          <w:rFonts w:ascii="Palatino Linotype" w:hAnsi="Palatino Linotype" w:cs="Arial"/>
          <w:b/>
          <w:i/>
          <w:sz w:val="22"/>
          <w:lang w:val="es-ES"/>
        </w:rPr>
        <w:t>Constitución Política de los Estados Unidos Mexicanos</w:t>
      </w:r>
    </w:p>
    <w:p w:rsidR="00A96381" w:rsidRPr="00CC2715" w:rsidRDefault="00A96381" w:rsidP="00A96381">
      <w:pPr>
        <w:spacing w:before="100" w:beforeAutospacing="1" w:after="100" w:afterAutospacing="1"/>
        <w:ind w:left="851" w:right="902"/>
        <w:contextualSpacing/>
        <w:jc w:val="both"/>
        <w:rPr>
          <w:rFonts w:ascii="Palatino Linotype" w:hAnsi="Palatino Linotype" w:cs="Arial"/>
          <w:i/>
          <w:sz w:val="22"/>
        </w:rPr>
      </w:pPr>
      <w:bookmarkStart w:id="0" w:name="Artículo_38"/>
      <w:r w:rsidRPr="00CC2715">
        <w:rPr>
          <w:rFonts w:ascii="Palatino Linotype" w:hAnsi="Palatino Linotype" w:cs="Arial"/>
          <w:b/>
          <w:i/>
          <w:sz w:val="22"/>
        </w:rPr>
        <w:t>Artículo 38</w:t>
      </w:r>
      <w:bookmarkEnd w:id="0"/>
      <w:r w:rsidRPr="00CC2715">
        <w:rPr>
          <w:rFonts w:ascii="Palatino Linotype" w:hAnsi="Palatino Linotype" w:cs="Arial"/>
          <w:b/>
          <w:i/>
          <w:sz w:val="22"/>
        </w:rPr>
        <w:t>. Los derechos o prerrogativas de los ciudadanos se suspenden</w:t>
      </w:r>
      <w:r w:rsidRPr="00CC2715">
        <w:rPr>
          <w:rFonts w:ascii="Palatino Linotype" w:hAnsi="Palatino Linotype" w:cs="Arial"/>
          <w:i/>
          <w:sz w:val="22"/>
        </w:rPr>
        <w:t>:</w:t>
      </w:r>
    </w:p>
    <w:p w:rsidR="00A96381" w:rsidRPr="00CC2715" w:rsidRDefault="00A96381" w:rsidP="00A96381">
      <w:pPr>
        <w:spacing w:before="100" w:beforeAutospacing="1" w:after="100" w:afterAutospacing="1"/>
        <w:ind w:left="851" w:right="902"/>
        <w:contextualSpacing/>
        <w:jc w:val="both"/>
        <w:rPr>
          <w:rFonts w:ascii="Palatino Linotype" w:hAnsi="Palatino Linotype" w:cs="Arial"/>
          <w:i/>
          <w:sz w:val="22"/>
        </w:rPr>
      </w:pPr>
      <w:r w:rsidRPr="00CC2715">
        <w:rPr>
          <w:rFonts w:ascii="Palatino Linotype" w:hAnsi="Palatino Linotype" w:cs="Arial"/>
          <w:i/>
          <w:sz w:val="22"/>
        </w:rPr>
        <w:t>[…]</w:t>
      </w:r>
    </w:p>
    <w:p w:rsidR="00A96381" w:rsidRPr="00CC2715" w:rsidRDefault="00A96381" w:rsidP="00A96381">
      <w:pPr>
        <w:spacing w:before="100" w:beforeAutospacing="1" w:after="100" w:afterAutospacing="1"/>
        <w:ind w:left="851" w:right="902"/>
        <w:contextualSpacing/>
        <w:jc w:val="both"/>
        <w:rPr>
          <w:rFonts w:ascii="Palatino Linotype" w:hAnsi="Palatino Linotype" w:cs="Arial"/>
          <w:i/>
          <w:sz w:val="22"/>
        </w:rPr>
      </w:pPr>
      <w:r w:rsidRPr="00CC2715">
        <w:rPr>
          <w:rFonts w:ascii="Palatino Linotype" w:hAnsi="Palatino Linotype" w:cs="Arial"/>
          <w:b/>
          <w:i/>
          <w:sz w:val="22"/>
        </w:rPr>
        <w:t>II. Por estar sujeto a un proceso criminal</w:t>
      </w:r>
      <w:r w:rsidRPr="00CC2715">
        <w:rPr>
          <w:rFonts w:ascii="Palatino Linotype" w:hAnsi="Palatino Linotype" w:cs="Arial"/>
          <w:i/>
          <w:sz w:val="22"/>
        </w:rPr>
        <w:t xml:space="preserve"> por delito </w:t>
      </w:r>
      <w:r w:rsidRPr="00CC2715">
        <w:rPr>
          <w:rFonts w:ascii="Palatino Linotype" w:hAnsi="Palatino Linotype" w:cs="Arial"/>
          <w:b/>
          <w:i/>
          <w:sz w:val="22"/>
        </w:rPr>
        <w:t>que merezca pena corporal</w:t>
      </w:r>
      <w:r w:rsidRPr="00CC2715">
        <w:rPr>
          <w:rFonts w:ascii="Palatino Linotype" w:hAnsi="Palatino Linotype" w:cs="Arial"/>
          <w:i/>
          <w:sz w:val="22"/>
        </w:rPr>
        <w:t xml:space="preserve">, a contar </w:t>
      </w:r>
      <w:r w:rsidRPr="00CC2715">
        <w:rPr>
          <w:rFonts w:ascii="Palatino Linotype" w:hAnsi="Palatino Linotype" w:cs="Arial"/>
          <w:b/>
          <w:i/>
          <w:sz w:val="22"/>
        </w:rPr>
        <w:t>desde la fecha del auto de formal prisión</w:t>
      </w:r>
      <w:r w:rsidRPr="00CC2715">
        <w:rPr>
          <w:rFonts w:ascii="Palatino Linotype" w:hAnsi="Palatino Linotype" w:cs="Arial"/>
          <w:i/>
          <w:sz w:val="22"/>
        </w:rPr>
        <w:t>;</w:t>
      </w:r>
    </w:p>
    <w:p w:rsidR="00A96381" w:rsidRPr="00CC2715" w:rsidRDefault="00A96381" w:rsidP="00A96381">
      <w:pPr>
        <w:spacing w:before="100" w:beforeAutospacing="1" w:after="100" w:afterAutospacing="1"/>
        <w:ind w:left="851" w:right="902"/>
        <w:contextualSpacing/>
        <w:jc w:val="both"/>
        <w:rPr>
          <w:rFonts w:ascii="Palatino Linotype" w:hAnsi="Palatino Linotype" w:cs="Arial"/>
          <w:i/>
          <w:sz w:val="22"/>
        </w:rPr>
      </w:pPr>
      <w:r w:rsidRPr="00CC2715">
        <w:rPr>
          <w:rFonts w:ascii="Palatino Linotype" w:hAnsi="Palatino Linotype" w:cs="Arial"/>
          <w:i/>
          <w:sz w:val="22"/>
        </w:rPr>
        <w:t>[…]</w:t>
      </w:r>
    </w:p>
    <w:p w:rsidR="00A96381" w:rsidRPr="00CC2715" w:rsidRDefault="00A96381" w:rsidP="00A96381">
      <w:pPr>
        <w:spacing w:before="100" w:beforeAutospacing="1" w:after="100" w:afterAutospacing="1"/>
        <w:ind w:left="851" w:right="902"/>
        <w:contextualSpacing/>
        <w:jc w:val="both"/>
        <w:rPr>
          <w:rFonts w:ascii="Palatino Linotype" w:hAnsi="Palatino Linotype" w:cs="Arial"/>
          <w:i/>
          <w:sz w:val="22"/>
        </w:rPr>
      </w:pPr>
      <w:r w:rsidRPr="00CC2715">
        <w:rPr>
          <w:rFonts w:ascii="Palatino Linotype" w:hAnsi="Palatino Linotype" w:cs="Arial"/>
          <w:b/>
          <w:i/>
          <w:sz w:val="22"/>
        </w:rPr>
        <w:t>V.</w:t>
      </w:r>
      <w:r w:rsidRPr="00CC2715">
        <w:rPr>
          <w:rFonts w:ascii="Palatino Linotype" w:hAnsi="Palatino Linotype" w:cs="Arial"/>
          <w:i/>
          <w:sz w:val="22"/>
        </w:rPr>
        <w:t xml:space="preserve"> </w:t>
      </w:r>
      <w:r w:rsidRPr="00CC2715">
        <w:rPr>
          <w:rFonts w:ascii="Palatino Linotype" w:hAnsi="Palatino Linotype" w:cs="Arial"/>
          <w:b/>
          <w:i/>
          <w:sz w:val="22"/>
        </w:rPr>
        <w:t>Por estar prófugo de la justicia, desde que se dicte la orden de aprehensión</w:t>
      </w:r>
      <w:r w:rsidRPr="00CC2715">
        <w:rPr>
          <w:rFonts w:ascii="Palatino Linotype" w:hAnsi="Palatino Linotype" w:cs="Arial"/>
          <w:i/>
          <w:sz w:val="22"/>
        </w:rPr>
        <w:t xml:space="preserve"> </w:t>
      </w:r>
      <w:r w:rsidRPr="00CC2715">
        <w:rPr>
          <w:rFonts w:ascii="Palatino Linotype" w:hAnsi="Palatino Linotype" w:cs="Arial"/>
          <w:b/>
          <w:i/>
          <w:sz w:val="22"/>
        </w:rPr>
        <w:t>hasta que prescriba la acción penal</w:t>
      </w:r>
      <w:r w:rsidRPr="00CC2715">
        <w:rPr>
          <w:rFonts w:ascii="Palatino Linotype" w:hAnsi="Palatino Linotype" w:cs="Arial"/>
          <w:i/>
          <w:sz w:val="22"/>
        </w:rPr>
        <w:t>; y</w:t>
      </w:r>
    </w:p>
    <w:p w:rsidR="00A96381" w:rsidRPr="00CC2715" w:rsidRDefault="00A96381" w:rsidP="00A96381">
      <w:pPr>
        <w:spacing w:before="100" w:beforeAutospacing="1" w:after="100" w:afterAutospacing="1"/>
        <w:ind w:left="851" w:right="902"/>
        <w:contextualSpacing/>
        <w:jc w:val="both"/>
        <w:rPr>
          <w:rFonts w:ascii="Palatino Linotype" w:hAnsi="Palatino Linotype" w:cs="Arial"/>
          <w:i/>
          <w:sz w:val="22"/>
        </w:rPr>
      </w:pPr>
      <w:r w:rsidRPr="00CC2715">
        <w:rPr>
          <w:rFonts w:ascii="Palatino Linotype" w:hAnsi="Palatino Linotype" w:cs="Arial"/>
          <w:b/>
          <w:i/>
          <w:sz w:val="22"/>
        </w:rPr>
        <w:t>VI.</w:t>
      </w:r>
      <w:r w:rsidRPr="00CC2715">
        <w:rPr>
          <w:rFonts w:ascii="Palatino Linotype" w:hAnsi="Palatino Linotype" w:cs="Arial"/>
          <w:i/>
          <w:sz w:val="22"/>
        </w:rPr>
        <w:t xml:space="preserve"> </w:t>
      </w:r>
      <w:r w:rsidRPr="00CC2715">
        <w:rPr>
          <w:rFonts w:ascii="Palatino Linotype" w:hAnsi="Palatino Linotype" w:cs="Arial"/>
          <w:b/>
          <w:i/>
          <w:sz w:val="22"/>
        </w:rPr>
        <w:t>Por sentencia ejecutoria que imponga como pena esa suspensión</w:t>
      </w:r>
      <w:r w:rsidRPr="00CC2715">
        <w:rPr>
          <w:rFonts w:ascii="Palatino Linotype" w:hAnsi="Palatino Linotype" w:cs="Arial"/>
          <w:i/>
          <w:sz w:val="22"/>
        </w:rPr>
        <w:t>.”</w:t>
      </w:r>
    </w:p>
    <w:p w:rsidR="00A96381" w:rsidRDefault="00A96381" w:rsidP="00A96381">
      <w:pPr>
        <w:spacing w:before="100" w:beforeAutospacing="1" w:after="100" w:afterAutospacing="1"/>
        <w:ind w:left="851" w:right="902"/>
        <w:contextualSpacing/>
        <w:jc w:val="center"/>
        <w:rPr>
          <w:rFonts w:ascii="Palatino Linotype" w:hAnsi="Palatino Linotype" w:cs="Arial"/>
          <w:b/>
          <w:i/>
          <w:sz w:val="22"/>
        </w:rPr>
      </w:pPr>
      <w:bookmarkStart w:id="1" w:name="Artículo_46"/>
    </w:p>
    <w:p w:rsidR="00A96381" w:rsidRDefault="00A96381" w:rsidP="00A96381">
      <w:pPr>
        <w:spacing w:before="100" w:beforeAutospacing="1" w:after="100" w:afterAutospacing="1"/>
        <w:ind w:left="851" w:right="902"/>
        <w:contextualSpacing/>
        <w:jc w:val="center"/>
        <w:rPr>
          <w:rFonts w:ascii="Palatino Linotype" w:hAnsi="Palatino Linotype" w:cs="Arial"/>
          <w:b/>
          <w:i/>
          <w:sz w:val="22"/>
        </w:rPr>
      </w:pPr>
      <w:r w:rsidRPr="00CC2715">
        <w:rPr>
          <w:rFonts w:ascii="Palatino Linotype" w:hAnsi="Palatino Linotype" w:cs="Arial"/>
          <w:b/>
          <w:i/>
          <w:sz w:val="22"/>
        </w:rPr>
        <w:t>Código Penal Federal</w:t>
      </w:r>
    </w:p>
    <w:p w:rsidR="00A96381" w:rsidRPr="00CC2715" w:rsidRDefault="00A96381" w:rsidP="00A96381">
      <w:pPr>
        <w:spacing w:before="100" w:beforeAutospacing="1" w:after="100" w:afterAutospacing="1"/>
        <w:ind w:left="851" w:right="902"/>
        <w:contextualSpacing/>
        <w:jc w:val="center"/>
        <w:rPr>
          <w:rFonts w:ascii="Palatino Linotype" w:hAnsi="Palatino Linotype" w:cs="Arial"/>
          <w:b/>
          <w:i/>
          <w:sz w:val="22"/>
        </w:rPr>
      </w:pPr>
    </w:p>
    <w:p w:rsidR="00A96381" w:rsidRPr="00CC2715" w:rsidRDefault="00A96381" w:rsidP="00A96381">
      <w:pPr>
        <w:spacing w:before="100" w:beforeAutospacing="1" w:after="100" w:afterAutospacing="1"/>
        <w:ind w:left="851" w:right="902"/>
        <w:contextualSpacing/>
        <w:jc w:val="both"/>
        <w:rPr>
          <w:rFonts w:ascii="Palatino Linotype" w:hAnsi="Palatino Linotype" w:cs="Arial"/>
          <w:i/>
          <w:sz w:val="22"/>
        </w:rPr>
      </w:pPr>
      <w:r w:rsidRPr="00CC2715">
        <w:rPr>
          <w:rFonts w:ascii="Palatino Linotype" w:hAnsi="Palatino Linotype" w:cs="Arial"/>
          <w:i/>
          <w:sz w:val="22"/>
        </w:rPr>
        <w:t>“</w:t>
      </w:r>
      <w:r w:rsidRPr="00CC2715">
        <w:rPr>
          <w:rFonts w:ascii="Palatino Linotype" w:hAnsi="Palatino Linotype" w:cs="Arial"/>
          <w:b/>
          <w:i/>
          <w:sz w:val="22"/>
        </w:rPr>
        <w:t>Artículo 46</w:t>
      </w:r>
      <w:bookmarkEnd w:id="1"/>
      <w:r w:rsidRPr="00CC2715">
        <w:rPr>
          <w:rFonts w:ascii="Palatino Linotype" w:hAnsi="Palatino Linotype" w:cs="Arial"/>
          <w:b/>
          <w:i/>
          <w:sz w:val="22"/>
        </w:rPr>
        <w:t>.- La pena de prisión produce la suspensión de los derechos políticos</w:t>
      </w:r>
      <w:r w:rsidRPr="00CC2715">
        <w:rPr>
          <w:rFonts w:ascii="Palatino Linotype" w:hAnsi="Palatino Linotype" w:cs="Arial"/>
          <w:i/>
          <w:sz w:val="22"/>
        </w:rPr>
        <w:t xml:space="preserve"> </w:t>
      </w:r>
      <w:r w:rsidRPr="00CC2715">
        <w:rPr>
          <w:rFonts w:ascii="Palatino Linotype" w:hAnsi="Palatino Linotype" w:cs="Arial"/>
          <w:b/>
          <w:i/>
          <w:sz w:val="22"/>
        </w:rPr>
        <w:t>y los de tutela, curatela, ser apoderado, defensor, albacea, perito, depositario o interventor judicial, síndico o interventor en quiebras, árbitro, arbitrador o representante de ausentes</w:t>
      </w:r>
      <w:r w:rsidRPr="00CC2715">
        <w:rPr>
          <w:rFonts w:ascii="Palatino Linotype" w:hAnsi="Palatino Linotype" w:cs="Arial"/>
          <w:i/>
          <w:sz w:val="22"/>
        </w:rPr>
        <w:t xml:space="preserve">. La suspensión comenzará </w:t>
      </w:r>
      <w:r w:rsidRPr="00CC2715">
        <w:rPr>
          <w:rFonts w:ascii="Palatino Linotype" w:hAnsi="Palatino Linotype" w:cs="Arial"/>
          <w:b/>
          <w:i/>
          <w:sz w:val="22"/>
        </w:rPr>
        <w:t>desde que cause ejecutoria la sentencia respectiva y durará todo el tiempo de la condena</w:t>
      </w:r>
      <w:r w:rsidRPr="00CC2715">
        <w:rPr>
          <w:rFonts w:ascii="Palatino Linotype" w:hAnsi="Palatino Linotype" w:cs="Arial"/>
          <w:i/>
          <w:sz w:val="22"/>
        </w:rPr>
        <w:t>.”</w:t>
      </w:r>
    </w:p>
    <w:p w:rsidR="00A96381" w:rsidRDefault="00A96381" w:rsidP="00A96381">
      <w:pPr>
        <w:spacing w:before="100" w:beforeAutospacing="1" w:after="100" w:afterAutospacing="1"/>
        <w:ind w:left="851" w:right="902"/>
        <w:contextualSpacing/>
        <w:jc w:val="center"/>
        <w:rPr>
          <w:rFonts w:ascii="Palatino Linotype" w:hAnsi="Palatino Linotype" w:cs="Arial"/>
          <w:b/>
          <w:i/>
          <w:sz w:val="22"/>
        </w:rPr>
      </w:pPr>
    </w:p>
    <w:p w:rsidR="00A96381" w:rsidRDefault="00A96381" w:rsidP="00A96381">
      <w:pPr>
        <w:spacing w:before="100" w:beforeAutospacing="1" w:after="100" w:afterAutospacing="1"/>
        <w:ind w:left="851" w:right="902"/>
        <w:contextualSpacing/>
        <w:jc w:val="center"/>
        <w:rPr>
          <w:rFonts w:ascii="Palatino Linotype" w:hAnsi="Palatino Linotype" w:cs="Arial"/>
          <w:b/>
          <w:i/>
          <w:sz w:val="22"/>
        </w:rPr>
      </w:pPr>
      <w:r w:rsidRPr="00CC2715">
        <w:rPr>
          <w:rFonts w:ascii="Palatino Linotype" w:hAnsi="Palatino Linotype" w:cs="Arial"/>
          <w:b/>
          <w:i/>
          <w:sz w:val="22"/>
        </w:rPr>
        <w:t>Código Penal del Estado de México</w:t>
      </w:r>
    </w:p>
    <w:p w:rsidR="00A96381" w:rsidRPr="00CC2715" w:rsidRDefault="00A96381" w:rsidP="00A96381">
      <w:pPr>
        <w:spacing w:before="100" w:beforeAutospacing="1" w:after="100" w:afterAutospacing="1"/>
        <w:ind w:left="851" w:right="902"/>
        <w:contextualSpacing/>
        <w:jc w:val="center"/>
        <w:rPr>
          <w:rFonts w:ascii="Palatino Linotype" w:hAnsi="Palatino Linotype" w:cs="Arial"/>
          <w:b/>
          <w:i/>
          <w:sz w:val="22"/>
        </w:rPr>
      </w:pPr>
    </w:p>
    <w:p w:rsidR="00A96381" w:rsidRPr="00CC2715" w:rsidRDefault="00A96381" w:rsidP="00A96381">
      <w:pPr>
        <w:spacing w:before="100" w:beforeAutospacing="1" w:after="100" w:afterAutospacing="1"/>
        <w:ind w:left="851" w:right="902"/>
        <w:contextualSpacing/>
        <w:jc w:val="both"/>
        <w:rPr>
          <w:rFonts w:ascii="Palatino Linotype" w:hAnsi="Palatino Linotype" w:cs="Arial"/>
          <w:i/>
          <w:sz w:val="22"/>
        </w:rPr>
      </w:pPr>
      <w:r w:rsidRPr="00CC2715">
        <w:rPr>
          <w:rFonts w:ascii="Palatino Linotype" w:hAnsi="Palatino Linotype" w:cs="Arial"/>
          <w:i/>
          <w:sz w:val="22"/>
        </w:rPr>
        <w:t>“</w:t>
      </w:r>
      <w:r w:rsidRPr="00CC2715">
        <w:rPr>
          <w:rFonts w:ascii="Palatino Linotype" w:hAnsi="Palatino Linotype" w:cs="Arial"/>
          <w:b/>
          <w:i/>
          <w:sz w:val="22"/>
        </w:rPr>
        <w:t>Artículo 41.- La pena de prisión inhabilita para desempeñar toda clase de funciones, empleos y comisiones y suspende el ejercicio de las funciones y empleos</w:t>
      </w:r>
      <w:r w:rsidRPr="00CC2715">
        <w:rPr>
          <w:rFonts w:ascii="Palatino Linotype" w:hAnsi="Palatino Linotype" w:cs="Arial"/>
          <w:i/>
          <w:sz w:val="22"/>
        </w:rPr>
        <w:t xml:space="preserve"> que desempeñe el inculpado, aunque se suspendiere la ejecución de la misma.</w:t>
      </w:r>
    </w:p>
    <w:p w:rsidR="00A96381" w:rsidRPr="00CC2715" w:rsidRDefault="00A96381" w:rsidP="00A96381">
      <w:pPr>
        <w:spacing w:before="100" w:beforeAutospacing="1" w:after="100" w:afterAutospacing="1"/>
        <w:ind w:left="851" w:right="902"/>
        <w:contextualSpacing/>
        <w:jc w:val="both"/>
        <w:rPr>
          <w:rFonts w:ascii="Palatino Linotype" w:hAnsi="Palatino Linotype" w:cs="Arial"/>
          <w:i/>
          <w:sz w:val="22"/>
        </w:rPr>
      </w:pPr>
      <w:r w:rsidRPr="00CC2715">
        <w:rPr>
          <w:rFonts w:ascii="Palatino Linotype" w:hAnsi="Palatino Linotype" w:cs="Arial"/>
          <w:b/>
          <w:i/>
          <w:sz w:val="22"/>
        </w:rPr>
        <w:t>Artículo 44.- La prisión suspende o interrumpe los derechos políticos y de tutela, curatela, apoderado, defensor, albacea, perito, interventor de quiebra, árbitro y representante de ausentes</w:t>
      </w:r>
      <w:r w:rsidRPr="00CC2715">
        <w:rPr>
          <w:rFonts w:ascii="Palatino Linotype" w:hAnsi="Palatino Linotype" w:cs="Arial"/>
          <w:i/>
          <w:sz w:val="22"/>
        </w:rPr>
        <w:t>. Concluido el tiempo o causa de la suspensión de derechos, la rehabilitación operara sin necesidad de declaratoria judicial.</w:t>
      </w:r>
    </w:p>
    <w:p w:rsidR="00A96381" w:rsidRPr="00CC2715" w:rsidRDefault="00A96381" w:rsidP="00A96381">
      <w:pPr>
        <w:spacing w:before="100" w:beforeAutospacing="1" w:after="100" w:afterAutospacing="1"/>
        <w:ind w:left="851" w:right="902"/>
        <w:contextualSpacing/>
        <w:jc w:val="both"/>
        <w:rPr>
          <w:rFonts w:ascii="Palatino Linotype" w:hAnsi="Palatino Linotype" w:cs="Arial"/>
          <w:sz w:val="22"/>
        </w:rPr>
      </w:pPr>
      <w:r w:rsidRPr="00CC2715">
        <w:rPr>
          <w:rFonts w:ascii="Palatino Linotype" w:hAnsi="Palatino Linotype" w:cs="Arial"/>
          <w:sz w:val="22"/>
        </w:rPr>
        <w:t>(Énfasis añadido)</w:t>
      </w:r>
    </w:p>
    <w:p w:rsidR="00A96381" w:rsidRDefault="00A96381" w:rsidP="00A96381">
      <w:pPr>
        <w:spacing w:before="100" w:beforeAutospacing="1" w:after="100" w:afterAutospacing="1" w:line="360" w:lineRule="auto"/>
        <w:contextualSpacing/>
        <w:jc w:val="both"/>
        <w:rPr>
          <w:rFonts w:ascii="Palatino Linotype" w:hAnsi="Palatino Linotype" w:cs="Arial"/>
        </w:rPr>
      </w:pPr>
    </w:p>
    <w:p w:rsidR="00A96381" w:rsidRDefault="00A96381" w:rsidP="00A96381">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Aunado a lo anterior, </w:t>
      </w:r>
      <w:r w:rsidRPr="008206CC">
        <w:rPr>
          <w:rFonts w:ascii="Palatino Linotype" w:hAnsi="Palatino Linotype" w:cs="Arial"/>
        </w:rPr>
        <w:t>el Instituto de Servicios Periciales debe recabar los datos personales del interesado, de entre los que se destaca la huella dactilar, misma que es considerada un dato personal sensible de carácter biométrico.</w:t>
      </w:r>
    </w:p>
    <w:p w:rsidR="00C55670" w:rsidRPr="00C55670" w:rsidRDefault="00C55670" w:rsidP="00A96381">
      <w:pPr>
        <w:spacing w:before="100" w:beforeAutospacing="1" w:after="100" w:afterAutospacing="1" w:line="360" w:lineRule="auto"/>
        <w:contextualSpacing/>
        <w:jc w:val="both"/>
        <w:rPr>
          <w:rFonts w:ascii="Palatino Linotype" w:hAnsi="Palatino Linotype" w:cs="Arial"/>
        </w:rPr>
      </w:pPr>
    </w:p>
    <w:p w:rsidR="00A96381" w:rsidRDefault="00A96381" w:rsidP="00A96381">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947EB3">
        <w:rPr>
          <w:rFonts w:ascii="Palatino Linotype" w:hAnsi="Palatino Linotype" w:cs="Arial"/>
        </w:rPr>
        <w:t>En esa virtud, el INAI emitió la Guía para el tratamiento de datos biométricos en la cual estipuló que dentro de los datos biométricos que refieren a características físicas y fisiológicas se encuentra la huella dactilar, la retina, el iris, la geometría de la mano o de los dedos, la estructura de las venas de la mano, la forma de las orejas, la piel o textura de la superficie dérmica, el ADN, la composición química del olor corporal y el patrón vascular, pulsación cardíaca, entre otros.</w:t>
      </w:r>
    </w:p>
    <w:p w:rsidR="00A96381" w:rsidRPr="00947EB3" w:rsidRDefault="00A96381" w:rsidP="00A96381">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A96381" w:rsidRDefault="00A96381" w:rsidP="00A96381">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947EB3">
        <w:rPr>
          <w:rFonts w:ascii="Palatino Linotype" w:hAnsi="Palatino Linotype" w:cs="Arial"/>
        </w:rPr>
        <w:t>Así la Guía en comento determina que las huellas dactilares se forman a partir de la superficie desigual de la piel de los dedos de la mano, en donde se identifican diversas protuberancias y hendiduras conocidas como crestas y valles, las cuales se encuentran dispuestas de modo único. Cuando se registra una huella dactilar en un sistema de reconocimiento, ésta aparece como una serie de líneas oscuras que representan las crestas y de líneas blancas que representan los valles, ubicados entre las crestas. A menudo, las crestas son más cortas y se detienen y comienzan abruptamente. Esta combinación de crestas y valles, con sus correspondientes ubicaciones, direcciones, bifurcaciones, inicios y finales -las minucias-, resultan en un patrón único de características de cada huella dactilar. Las minucias son, entonces, aquellos puntos de interés en toda huella digital.</w:t>
      </w:r>
    </w:p>
    <w:p w:rsidR="00C55670" w:rsidRPr="00947EB3" w:rsidRDefault="00C55670" w:rsidP="00A96381">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A96381" w:rsidRDefault="00A96381" w:rsidP="00A96381">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947EB3">
        <w:rPr>
          <w:rFonts w:ascii="Palatino Linotype" w:hAnsi="Palatino Linotype" w:cs="Arial"/>
        </w:rPr>
        <w:t>En ese sentido, podemos concluir que las huellas dactilares refieren y están asociadas a una persona física en lo particular; por lo tanto, dicho dato personal sensible debe ser protegido mediante la elaboración de la versión pública correspondiente.</w:t>
      </w:r>
    </w:p>
    <w:p w:rsidR="00A96381" w:rsidRDefault="00A96381" w:rsidP="00A96381">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A96381" w:rsidRDefault="00A96381" w:rsidP="00A96381">
      <w:pPr>
        <w:autoSpaceDE w:val="0"/>
        <w:autoSpaceDN w:val="0"/>
        <w:adjustRightInd w:val="0"/>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En ese tenor, esta ponencia, considera que el certificado de antecedentes no penales deberá ser entregado en versión pública</w:t>
      </w:r>
      <w:r w:rsidR="00C55670">
        <w:rPr>
          <w:rFonts w:ascii="Palatino Linotype" w:hAnsi="Palatino Linotype" w:cs="Arial"/>
        </w:rPr>
        <w:t>.</w:t>
      </w:r>
    </w:p>
    <w:p w:rsidR="00A96381" w:rsidRDefault="00A96381" w:rsidP="00A96381">
      <w:pPr>
        <w:spacing w:line="360" w:lineRule="auto"/>
        <w:contextualSpacing/>
        <w:jc w:val="both"/>
        <w:rPr>
          <w:rFonts w:ascii="Palatino Linotype" w:hAnsi="Palatino Linotype" w:cs="Arial"/>
        </w:rPr>
      </w:pPr>
    </w:p>
    <w:p w:rsidR="00C55670" w:rsidRDefault="00A96381" w:rsidP="00A96381">
      <w:pPr>
        <w:spacing w:line="360" w:lineRule="auto"/>
        <w:contextualSpacing/>
        <w:jc w:val="both"/>
        <w:rPr>
          <w:rFonts w:ascii="Palatino Linotype" w:hAnsi="Palatino Linotype" w:cs="Arial"/>
          <w:lang w:eastAsia="es-MX"/>
        </w:rPr>
      </w:pPr>
      <w:r>
        <w:rPr>
          <w:rFonts w:ascii="Palatino Linotype" w:hAnsi="Palatino Linotype" w:cs="Arial"/>
        </w:rPr>
        <w:t xml:space="preserve">Lo anterior obedece a que, de la información que pudiera remitir </w:t>
      </w:r>
      <w:r>
        <w:rPr>
          <w:rFonts w:ascii="Palatino Linotype" w:hAnsi="Palatino Linotype" w:cs="Arial"/>
          <w:b/>
        </w:rPr>
        <w:t>EL SUJETO OBLIGADO</w:t>
      </w:r>
      <w:r>
        <w:rPr>
          <w:rFonts w:ascii="Palatino Linotype" w:hAnsi="Palatino Linotype" w:cs="Arial"/>
        </w:rPr>
        <w:t xml:space="preserve"> podría contener información de carácter confidencial, </w:t>
      </w:r>
      <w:r w:rsidRPr="0067583E">
        <w:rPr>
          <w:rFonts w:ascii="Palatino Linotype" w:hAnsi="Palatino Linotype" w:cs="Arial"/>
        </w:rPr>
        <w:t>por ende de la información que se ponga a disposición, deberá ser en versión pública</w:t>
      </w:r>
      <w:r>
        <w:rPr>
          <w:rFonts w:ascii="Palatino Linotype" w:hAnsi="Palatino Linotype" w:cs="Arial"/>
        </w:rPr>
        <w:t xml:space="preserve"> </w:t>
      </w:r>
      <w:r w:rsidRPr="00D54A7D">
        <w:rPr>
          <w:rFonts w:ascii="Palatino Linotype" w:hAnsi="Palatino Linotype" w:cs="Arial"/>
          <w:lang w:eastAsia="es-MX"/>
        </w:rPr>
        <w:t>en la que se suprima aquella información relacionada con la vida privada de los particulares y de los servidores públicos</w:t>
      </w:r>
      <w:r w:rsidR="00C55670">
        <w:rPr>
          <w:rFonts w:ascii="Palatino Linotype" w:hAnsi="Palatino Linotype" w:cs="Arial"/>
          <w:lang w:eastAsia="es-MX"/>
        </w:rPr>
        <w:t>.</w:t>
      </w:r>
    </w:p>
    <w:p w:rsidR="00C55670" w:rsidRDefault="00C55670" w:rsidP="00C55670">
      <w:pPr>
        <w:spacing w:before="100" w:beforeAutospacing="1" w:after="100" w:afterAutospacing="1" w:line="360" w:lineRule="auto"/>
        <w:ind w:right="49"/>
        <w:jc w:val="both"/>
        <w:rPr>
          <w:rFonts w:ascii="Palatino Linotype" w:hAnsi="Palatino Linotype" w:cs="Arial"/>
        </w:rPr>
      </w:pPr>
      <w:r>
        <w:rPr>
          <w:rFonts w:ascii="Palatino Linotype" w:hAnsi="Palatino Linotype" w:cs="Arial"/>
          <w:lang w:eastAsia="es-MX"/>
        </w:rPr>
        <w:t xml:space="preserve">Ahora bien, </w:t>
      </w:r>
      <w:r w:rsidRPr="001D3F57">
        <w:rPr>
          <w:rFonts w:ascii="Palatino Linotype" w:hAnsi="Palatino Linotype" w:cs="Arial"/>
        </w:rPr>
        <w:t xml:space="preserve">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Pr>
          <w:rFonts w:ascii="Palatino Linotype" w:hAnsi="Palatino Linotype" w:cs="Arial"/>
        </w:rPr>
        <w:t xml:space="preserve">en el resolutivo QUINTO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C55670" w:rsidRDefault="00C55670" w:rsidP="00C55670">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no hubo respuesta y el informe justificado no se advierte que haya proporcionado un acuerdo de clasificación de la información o de inexistencia, de manera formal como lo establece la Ley de la materia.</w:t>
      </w:r>
    </w:p>
    <w:p w:rsidR="00C55670" w:rsidRDefault="00C55670" w:rsidP="00C55670">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C55670" w:rsidRDefault="00C55670" w:rsidP="00C55670">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C55670" w:rsidRPr="00D642EC" w:rsidRDefault="00C55670" w:rsidP="00C55670">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C55670" w:rsidRPr="000D1731" w:rsidRDefault="00C55670" w:rsidP="00C55670">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C55670" w:rsidRPr="004B17F5" w:rsidRDefault="00C55670" w:rsidP="00C55670">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C55670" w:rsidRPr="00D642EC" w:rsidRDefault="00C55670" w:rsidP="00C55670">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C55670" w:rsidRDefault="00C55670" w:rsidP="00C55670">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Así, de lo anterior se advierte que el artículo en cita no resulta aplicable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9C77CD" w:rsidRPr="00803578" w:rsidRDefault="00C55670" w:rsidP="00C55670">
      <w:pPr>
        <w:spacing w:before="240" w:line="360" w:lineRule="auto"/>
        <w:contextualSpacing/>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Pr>
          <w:rFonts w:ascii="Palatino Linotype" w:hAnsi="Palatino Linotype" w:cs="Arial"/>
        </w:rPr>
        <w:t xml:space="preserve"> debió haber remitido el Acuerdo del Comité de Transparencia en virtud del cual se clasifique la información requerida, ya sea como confidencial o reservada o en su caso el Acuerdo de Inexistencia y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9C77CD" w:rsidRDefault="009C77CD" w:rsidP="00C55670">
      <w:pPr>
        <w:autoSpaceDE w:val="0"/>
        <w:autoSpaceDN w:val="0"/>
        <w:adjustRightInd w:val="0"/>
        <w:spacing w:before="240" w:after="100" w:afterAutospacing="1" w:line="360" w:lineRule="auto"/>
        <w:ind w:right="49"/>
        <w:jc w:val="both"/>
        <w:rPr>
          <w:rFonts w:ascii="Palatino Linotype" w:hAnsi="Palatino Linotype" w:cs="Arial"/>
        </w:rPr>
      </w:pPr>
      <w:r>
        <w:rPr>
          <w:rFonts w:ascii="Palatino Linotype" w:hAnsi="Palatino Linotype" w:cs="Arial"/>
        </w:rPr>
        <w:t xml:space="preserve">Por lo cual, la suscrita emite </w:t>
      </w:r>
      <w:r w:rsidRPr="006073E1">
        <w:rPr>
          <w:rFonts w:ascii="Palatino Linotype" w:hAnsi="Palatino Linotype" w:cs="Arial"/>
          <w:b/>
        </w:rPr>
        <w:t>VOTO PARTICULAR</w:t>
      </w:r>
      <w:r>
        <w:rPr>
          <w:rFonts w:ascii="Palatino Linotype" w:hAnsi="Palatino Linotype" w:cs="Arial"/>
          <w:b/>
        </w:rPr>
        <w:t xml:space="preserve"> </w:t>
      </w:r>
      <w:r w:rsidRPr="00F74B57">
        <w:rPr>
          <w:rFonts w:ascii="Palatino Linotype" w:hAnsi="Palatino Linotype" w:cs="Arial"/>
        </w:rPr>
        <w:t xml:space="preserve">con </w:t>
      </w:r>
      <w:r>
        <w:rPr>
          <w:rFonts w:ascii="Palatino Linotype" w:hAnsi="Palatino Linotype" w:cs="Arial"/>
        </w:rPr>
        <w:t xml:space="preserve">independencia de que se comparta el fallo, tanto en lo general como en su sentido, ya que se insiste que no es procedente </w:t>
      </w:r>
      <w:r w:rsidRPr="00383A93">
        <w:rPr>
          <w:rFonts w:ascii="Palatino Linotype" w:hAnsi="Palatino Linotype" w:cs="Arial"/>
        </w:rPr>
        <w:t xml:space="preserve">la clasificación </w:t>
      </w:r>
      <w:r w:rsidR="00972156">
        <w:rPr>
          <w:rFonts w:ascii="Palatino Linotype" w:hAnsi="Palatino Linotype" w:cs="Arial"/>
        </w:rPr>
        <w:t>como confidencial del certificado de no antecedentes penales de</w:t>
      </w:r>
      <w:r w:rsidR="008572D7">
        <w:rPr>
          <w:rFonts w:ascii="Palatino Linotype" w:hAnsi="Palatino Linotype" w:cs="Arial"/>
        </w:rPr>
        <w:t xml:space="preserve"> </w:t>
      </w:r>
      <w:r w:rsidR="008572D7" w:rsidRPr="008572D7">
        <w:rPr>
          <w:rFonts w:ascii="Palatino Linotype" w:hAnsi="Palatino Linotype" w:cs="Arial"/>
        </w:rPr>
        <w:t>la servidora pública que se desempeña como asesora en la Sindicatura Municipal</w:t>
      </w:r>
      <w:r w:rsidR="00972156">
        <w:rPr>
          <w:rFonts w:ascii="Palatino Linotype" w:hAnsi="Palatino Linotype" w:cs="Arial"/>
        </w:rPr>
        <w:t xml:space="preserve">, </w:t>
      </w:r>
      <w:r w:rsidRPr="00803578">
        <w:rPr>
          <w:rFonts w:ascii="Palatino Linotype" w:hAnsi="Palatino Linotype" w:cs="Arial"/>
        </w:rPr>
        <w:t>pues de acuerdo a la naturaleza de la información solicitada se concluye que ésta es de interés general y de alcance público, puesto que ostenta un cargo en el que impera la necesidad de la publ</w:t>
      </w:r>
      <w:r w:rsidR="00A32A63">
        <w:rPr>
          <w:rFonts w:ascii="Palatino Linotype" w:hAnsi="Palatino Linotype" w:cs="Arial"/>
        </w:rPr>
        <w:t xml:space="preserve">icidad de la imagen; </w:t>
      </w:r>
      <w:r w:rsidRPr="00803578">
        <w:rPr>
          <w:rFonts w:ascii="Palatino Linotype" w:hAnsi="Palatino Linotype" w:cs="Arial"/>
        </w:rPr>
        <w:t>asimismo, permite vincular el actuar y la rendición de cuentas; ello, derivado del deber de los Sujetos Obligados a transparentar sus acciones así como garantizar y respetar el derecho de acceso a la información pública.</w:t>
      </w:r>
    </w:p>
    <w:tbl>
      <w:tblPr>
        <w:tblW w:w="4393" w:type="dxa"/>
        <w:jc w:val="center"/>
        <w:tblLayout w:type="fixed"/>
        <w:tblLook w:val="04A0" w:firstRow="1" w:lastRow="0" w:firstColumn="1" w:lastColumn="0" w:noHBand="0" w:noVBand="1"/>
      </w:tblPr>
      <w:tblGrid>
        <w:gridCol w:w="4393"/>
      </w:tblGrid>
      <w:tr w:rsidR="009C77CD" w:rsidRPr="00803578" w:rsidTr="00D64DBC">
        <w:trPr>
          <w:jc w:val="center"/>
        </w:trPr>
        <w:tc>
          <w:tcPr>
            <w:tcW w:w="4393" w:type="dxa"/>
          </w:tcPr>
          <w:p w:rsidR="00D62320" w:rsidRPr="00D62320" w:rsidRDefault="00D62320" w:rsidP="00D64DBC">
            <w:pPr>
              <w:jc w:val="center"/>
              <w:rPr>
                <w:rFonts w:ascii="Palatino Linotype" w:hAnsi="Palatino Linotype"/>
                <w:b/>
                <w:sz w:val="14"/>
              </w:rPr>
            </w:pPr>
          </w:p>
          <w:p w:rsidR="009C77CD" w:rsidRPr="00803578" w:rsidRDefault="009C77CD" w:rsidP="00D64DBC">
            <w:pPr>
              <w:jc w:val="center"/>
              <w:rPr>
                <w:rFonts w:ascii="Palatino Linotype" w:hAnsi="Palatino Linotype"/>
                <w:b/>
              </w:rPr>
            </w:pPr>
            <w:r w:rsidRPr="00803578">
              <w:rPr>
                <w:rFonts w:ascii="Palatino Linotype" w:hAnsi="Palatino Linotype"/>
                <w:b/>
              </w:rPr>
              <w:t>EVA ABAID YAPUR</w:t>
            </w:r>
          </w:p>
          <w:p w:rsidR="008572D7" w:rsidRDefault="009C77CD" w:rsidP="00D62320">
            <w:pPr>
              <w:jc w:val="center"/>
              <w:rPr>
                <w:rFonts w:ascii="Palatino Linotype" w:hAnsi="Palatino Linotype"/>
                <w:b/>
              </w:rPr>
            </w:pPr>
            <w:r w:rsidRPr="00803578">
              <w:rPr>
                <w:rFonts w:ascii="Palatino Linotype" w:hAnsi="Palatino Linotype"/>
                <w:b/>
              </w:rPr>
              <w:t>COMISIONADA</w:t>
            </w:r>
          </w:p>
          <w:p w:rsidR="00EB5CB2" w:rsidRDefault="00EB5CB2" w:rsidP="00EB5CB2">
            <w:pPr>
              <w:ind w:right="51"/>
              <w:jc w:val="center"/>
              <w:rPr>
                <w:rFonts w:ascii="Palatino Linotype" w:hAnsi="Palatino Linotype"/>
                <w:b/>
              </w:rPr>
            </w:pPr>
            <w:r>
              <w:rPr>
                <w:rFonts w:ascii="Palatino Linotype" w:hAnsi="Palatino Linotype"/>
                <w:b/>
              </w:rPr>
              <w:t>(RÚBRICA)</w:t>
            </w:r>
          </w:p>
          <w:p w:rsidR="00EB5CB2" w:rsidRPr="00803578" w:rsidRDefault="00EB5CB2" w:rsidP="00D62320">
            <w:pPr>
              <w:jc w:val="center"/>
              <w:rPr>
                <w:rFonts w:ascii="Palatino Linotype" w:hAnsi="Palatino Linotype"/>
                <w:b/>
              </w:rPr>
            </w:pPr>
            <w:bookmarkStart w:id="2" w:name="_GoBack"/>
            <w:bookmarkEnd w:id="2"/>
          </w:p>
        </w:tc>
      </w:tr>
    </w:tbl>
    <w:p w:rsidR="009C77CD" w:rsidRPr="00D62320" w:rsidRDefault="009C77CD" w:rsidP="009C77CD">
      <w:pPr>
        <w:jc w:val="both"/>
        <w:rPr>
          <w:rFonts w:ascii="Palatino Linotype" w:eastAsia="Calibri" w:hAnsi="Palatino Linotype" w:cs="Arial"/>
          <w:color w:val="000000" w:themeColor="text1"/>
          <w:sz w:val="8"/>
          <w:szCs w:val="8"/>
        </w:rPr>
      </w:pPr>
    </w:p>
    <w:p w:rsidR="00C55670" w:rsidRPr="00D62320" w:rsidRDefault="009C77CD" w:rsidP="009C77CD">
      <w:pPr>
        <w:jc w:val="both"/>
        <w:rPr>
          <w:rFonts w:ascii="Palatino Linotype" w:eastAsia="Calibri" w:hAnsi="Palatino Linotype" w:cs="Arial"/>
          <w:color w:val="000000" w:themeColor="text1"/>
          <w:sz w:val="20"/>
          <w:szCs w:val="18"/>
        </w:rPr>
      </w:pPr>
      <w:r w:rsidRPr="00D62320">
        <w:rPr>
          <w:rFonts w:ascii="Palatino Linotype" w:eastAsia="Calibri" w:hAnsi="Palatino Linotype" w:cs="Arial"/>
          <w:color w:val="000000" w:themeColor="text1"/>
          <w:sz w:val="20"/>
          <w:szCs w:val="18"/>
        </w:rPr>
        <w:t>Esta hoja corresponde al voto particular emitido en la resolución d</w:t>
      </w:r>
      <w:r w:rsidR="00A32A63" w:rsidRPr="00D62320">
        <w:rPr>
          <w:rFonts w:ascii="Palatino Linotype" w:eastAsia="Calibri" w:hAnsi="Palatino Linotype" w:cs="Arial"/>
          <w:color w:val="000000" w:themeColor="text1"/>
          <w:sz w:val="20"/>
          <w:szCs w:val="18"/>
        </w:rPr>
        <w:t>e</w:t>
      </w:r>
      <w:r w:rsidR="00C55670" w:rsidRPr="00D62320">
        <w:rPr>
          <w:rFonts w:ascii="Palatino Linotype" w:eastAsia="Calibri" w:hAnsi="Palatino Linotype" w:cs="Arial"/>
          <w:color w:val="000000" w:themeColor="text1"/>
          <w:sz w:val="20"/>
          <w:szCs w:val="18"/>
        </w:rPr>
        <w:t>l</w:t>
      </w:r>
      <w:r w:rsidR="00A32A63" w:rsidRPr="00D62320">
        <w:rPr>
          <w:rFonts w:ascii="Palatino Linotype" w:eastAsia="Calibri" w:hAnsi="Palatino Linotype" w:cs="Arial"/>
          <w:color w:val="000000" w:themeColor="text1"/>
          <w:sz w:val="20"/>
          <w:szCs w:val="18"/>
        </w:rPr>
        <w:t xml:space="preserve"> </w:t>
      </w:r>
      <w:r w:rsidR="00C55670" w:rsidRPr="00D62320">
        <w:rPr>
          <w:rFonts w:ascii="Palatino Linotype" w:eastAsia="Calibri" w:hAnsi="Palatino Linotype" w:cs="Arial"/>
          <w:color w:val="000000" w:themeColor="text1"/>
          <w:sz w:val="20"/>
          <w:szCs w:val="18"/>
        </w:rPr>
        <w:t>recurso</w:t>
      </w:r>
      <w:r w:rsidR="008572D7" w:rsidRPr="00D62320">
        <w:rPr>
          <w:rFonts w:ascii="Palatino Linotype" w:eastAsia="Calibri" w:hAnsi="Palatino Linotype" w:cs="Arial"/>
          <w:color w:val="000000" w:themeColor="text1"/>
          <w:sz w:val="20"/>
          <w:szCs w:val="18"/>
        </w:rPr>
        <w:t xml:space="preserve"> </w:t>
      </w:r>
      <w:r w:rsidRPr="00D62320">
        <w:rPr>
          <w:rFonts w:ascii="Palatino Linotype" w:eastAsia="Calibri" w:hAnsi="Palatino Linotype" w:cs="Arial"/>
          <w:color w:val="000000" w:themeColor="text1"/>
          <w:sz w:val="20"/>
          <w:szCs w:val="18"/>
        </w:rPr>
        <w:t xml:space="preserve">de </w:t>
      </w:r>
      <w:r w:rsidR="00C55670" w:rsidRPr="00D62320">
        <w:rPr>
          <w:rFonts w:ascii="Palatino Linotype" w:eastAsia="Calibri" w:hAnsi="Palatino Linotype" w:cs="Arial"/>
          <w:color w:val="000000" w:themeColor="text1"/>
          <w:sz w:val="20"/>
          <w:szCs w:val="18"/>
        </w:rPr>
        <w:t>r</w:t>
      </w:r>
      <w:r w:rsidR="008572D7" w:rsidRPr="00D62320">
        <w:rPr>
          <w:rFonts w:ascii="Palatino Linotype" w:eastAsia="Calibri" w:hAnsi="Palatino Linotype" w:cs="Arial"/>
          <w:color w:val="000000" w:themeColor="text1"/>
          <w:sz w:val="20"/>
          <w:szCs w:val="18"/>
        </w:rPr>
        <w:t xml:space="preserve">evisión </w:t>
      </w:r>
      <w:r w:rsidR="00C55670" w:rsidRPr="00D62320">
        <w:rPr>
          <w:rFonts w:ascii="Palatino Linotype" w:eastAsia="Calibri" w:hAnsi="Palatino Linotype" w:cs="Arial"/>
          <w:color w:val="000000" w:themeColor="text1"/>
          <w:sz w:val="20"/>
          <w:szCs w:val="18"/>
        </w:rPr>
        <w:t>05819</w:t>
      </w:r>
      <w:r w:rsidR="00D62320">
        <w:rPr>
          <w:rFonts w:ascii="Palatino Linotype" w:eastAsia="Calibri" w:hAnsi="Palatino Linotype" w:cs="Arial"/>
          <w:color w:val="000000" w:themeColor="text1"/>
          <w:sz w:val="20"/>
          <w:szCs w:val="18"/>
        </w:rPr>
        <w:t>/INFOEM/IP/RR/2019</w:t>
      </w:r>
      <w:r w:rsidRPr="00D62320">
        <w:rPr>
          <w:rFonts w:ascii="Palatino Linotype" w:eastAsia="Calibri" w:hAnsi="Palatino Linotype" w:cs="Arial"/>
          <w:color w:val="000000" w:themeColor="text1"/>
          <w:sz w:val="20"/>
          <w:szCs w:val="18"/>
        </w:rPr>
        <w:t xml:space="preserve">, aprobada el </w:t>
      </w:r>
      <w:r w:rsidR="00C55670" w:rsidRPr="00D62320">
        <w:rPr>
          <w:rFonts w:ascii="Palatino Linotype" w:eastAsia="Calibri" w:hAnsi="Palatino Linotype" w:cs="Arial"/>
          <w:color w:val="000000" w:themeColor="text1"/>
          <w:sz w:val="20"/>
          <w:szCs w:val="18"/>
        </w:rPr>
        <w:t>dos de octubre</w:t>
      </w:r>
      <w:r w:rsidR="008572D7" w:rsidRPr="00D62320">
        <w:rPr>
          <w:rFonts w:ascii="Palatino Linotype" w:eastAsia="Calibri" w:hAnsi="Palatino Linotype" w:cs="Arial"/>
          <w:color w:val="000000" w:themeColor="text1"/>
          <w:sz w:val="20"/>
          <w:szCs w:val="18"/>
        </w:rPr>
        <w:t xml:space="preserve"> </w:t>
      </w:r>
      <w:r w:rsidRPr="00D62320">
        <w:rPr>
          <w:rFonts w:ascii="Palatino Linotype" w:eastAsia="Calibri" w:hAnsi="Palatino Linotype" w:cs="Arial"/>
          <w:color w:val="000000" w:themeColor="text1"/>
          <w:sz w:val="20"/>
          <w:szCs w:val="18"/>
        </w:rPr>
        <w:t xml:space="preserve">de dos mil diecinueve. </w:t>
      </w:r>
      <w:r w:rsidR="00C55670" w:rsidRPr="00D62320">
        <w:rPr>
          <w:rFonts w:ascii="Palatino Linotype" w:eastAsia="Calibri" w:hAnsi="Palatino Linotype" w:cs="Arial"/>
          <w:color w:val="000000" w:themeColor="text1"/>
          <w:sz w:val="20"/>
          <w:szCs w:val="18"/>
        </w:rPr>
        <w:t xml:space="preserve"> </w:t>
      </w:r>
    </w:p>
    <w:p w:rsidR="00D62320" w:rsidRPr="00D62320" w:rsidRDefault="00D62320" w:rsidP="009C77CD">
      <w:pPr>
        <w:jc w:val="both"/>
        <w:rPr>
          <w:rFonts w:ascii="Palatino Linotype" w:eastAsia="Calibri" w:hAnsi="Palatino Linotype" w:cs="Arial"/>
          <w:color w:val="000000" w:themeColor="text1"/>
          <w:sz w:val="8"/>
          <w:szCs w:val="8"/>
        </w:rPr>
      </w:pPr>
    </w:p>
    <w:p w:rsidR="00C23B43" w:rsidRPr="00D62320" w:rsidRDefault="00C55670" w:rsidP="00D62320">
      <w:pPr>
        <w:jc w:val="both"/>
        <w:rPr>
          <w:rFonts w:ascii="Palatino Linotype" w:eastAsia="Calibri" w:hAnsi="Palatino Linotype" w:cs="Arial"/>
          <w:sz w:val="18"/>
          <w:szCs w:val="18"/>
        </w:rPr>
      </w:pPr>
      <w:r w:rsidRPr="00D62320">
        <w:rPr>
          <w:rFonts w:ascii="Palatino Linotype" w:eastAsia="Calibri" w:hAnsi="Palatino Linotype" w:cs="Arial"/>
          <w:color w:val="000000" w:themeColor="text1"/>
          <w:sz w:val="20"/>
          <w:szCs w:val="18"/>
        </w:rPr>
        <w:t>YSM/</w:t>
      </w:r>
      <w:r w:rsidR="00D62320">
        <w:rPr>
          <w:rFonts w:ascii="Palatino Linotype" w:eastAsia="Calibri" w:hAnsi="Palatino Linotype" w:cs="Arial"/>
          <w:color w:val="000000" w:themeColor="text1"/>
          <w:sz w:val="20"/>
          <w:szCs w:val="18"/>
        </w:rPr>
        <w:t>ATU/</w:t>
      </w:r>
      <w:r w:rsidRPr="00D62320">
        <w:rPr>
          <w:rFonts w:ascii="Palatino Linotype" w:eastAsia="Calibri" w:hAnsi="Palatino Linotype" w:cs="Arial"/>
          <w:color w:val="000000" w:themeColor="text1"/>
          <w:sz w:val="20"/>
          <w:szCs w:val="18"/>
        </w:rPr>
        <w:t>EJCA</w:t>
      </w:r>
    </w:p>
    <w:sectPr w:rsidR="00C23B43" w:rsidRPr="00D62320" w:rsidSect="005F4959">
      <w:headerReference w:type="even" r:id="rId8"/>
      <w:headerReference w:type="default" r:id="rId9"/>
      <w:footerReference w:type="default" r:id="rId10"/>
      <w:headerReference w:type="first" r:id="rId11"/>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293" w:rsidRDefault="00220293" w:rsidP="009C77CD">
      <w:r>
        <w:separator/>
      </w:r>
    </w:p>
  </w:endnote>
  <w:endnote w:type="continuationSeparator" w:id="0">
    <w:p w:rsidR="00220293" w:rsidRDefault="00220293" w:rsidP="009C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8C8" w:rsidRDefault="00EB5CB2" w:rsidP="00DC5C4E">
    <w:pPr>
      <w:pStyle w:val="Piedepgina"/>
      <w:tabs>
        <w:tab w:val="clear" w:pos="4252"/>
        <w:tab w:val="left" w:pos="4228"/>
      </w:tabs>
      <w:rPr>
        <w:rFonts w:ascii="Palatino Linotype" w:hAnsi="Palatino Linotype" w:cs="Arial"/>
        <w:b/>
        <w:bCs/>
        <w:sz w:val="20"/>
        <w:szCs w:val="20"/>
      </w:rPr>
    </w:pPr>
  </w:p>
  <w:p w:rsidR="005C7C8F" w:rsidRDefault="00EB5CB2" w:rsidP="00DC5C4E">
    <w:pPr>
      <w:pStyle w:val="Piedepgina"/>
      <w:tabs>
        <w:tab w:val="clear" w:pos="4252"/>
        <w:tab w:val="left" w:pos="4228"/>
      </w:tabs>
      <w:rPr>
        <w:rFonts w:ascii="Palatino Linotype" w:hAnsi="Palatino Linotype" w:cs="Arial"/>
        <w:b/>
        <w:bCs/>
        <w:sz w:val="20"/>
        <w:szCs w:val="20"/>
      </w:rPr>
    </w:pPr>
  </w:p>
  <w:p w:rsidR="005C7C8F" w:rsidRDefault="00EB5CB2" w:rsidP="00DC5C4E">
    <w:pPr>
      <w:pStyle w:val="Piedepgina"/>
      <w:rPr>
        <w:rFonts w:ascii="Palatino Linotype" w:hAnsi="Palatino Linotype" w:cs="Arial"/>
        <w:b/>
        <w:bCs/>
        <w:sz w:val="20"/>
        <w:szCs w:val="20"/>
      </w:rPr>
    </w:pPr>
  </w:p>
  <w:p w:rsidR="005C7C8F" w:rsidRPr="00F12350" w:rsidRDefault="00F82906"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B5CB2">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B5CB2">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rsidR="005C7C8F" w:rsidRDefault="006D7C78" w:rsidP="006D7C78">
    <w:pPr>
      <w:pStyle w:val="Piedepgina"/>
      <w:tabs>
        <w:tab w:val="clear" w:pos="4252"/>
        <w:tab w:val="clear" w:pos="8504"/>
        <w:tab w:val="left" w:pos="6270"/>
        <w:tab w:val="left" w:pos="7275"/>
      </w:tabs>
      <w:ind w:firstLine="708"/>
    </w:pPr>
    <w:r>
      <w:tab/>
    </w:r>
    <w:r>
      <w:tab/>
    </w:r>
  </w:p>
  <w:p w:rsidR="002E136D" w:rsidRDefault="00EB5C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293" w:rsidRDefault="00220293" w:rsidP="009C77CD">
      <w:r>
        <w:separator/>
      </w:r>
    </w:p>
  </w:footnote>
  <w:footnote w:type="continuationSeparator" w:id="0">
    <w:p w:rsidR="00220293" w:rsidRDefault="00220293" w:rsidP="009C7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EB5CB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p w:rsidR="002E136D" w:rsidRDefault="00EB5CB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DAB" w:rsidRDefault="00F82906" w:rsidP="00DC5C4E">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9264" behindDoc="1" locked="0" layoutInCell="1" allowOverlap="1" wp14:anchorId="0EFA41DF" wp14:editId="31BDBA37">
          <wp:simplePos x="0" y="0"/>
          <wp:positionH relativeFrom="column">
            <wp:posOffset>-744220</wp:posOffset>
          </wp:positionH>
          <wp:positionV relativeFrom="paragraph">
            <wp:posOffset>-423512</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9C77CD" w:rsidRDefault="009C77CD" w:rsidP="00DC5C4E">
    <w:pPr>
      <w:pStyle w:val="Encabezado"/>
      <w:tabs>
        <w:tab w:val="clear" w:pos="4252"/>
        <w:tab w:val="clear" w:pos="8504"/>
        <w:tab w:val="left" w:pos="2326"/>
      </w:tabs>
      <w:jc w:val="right"/>
      <w:rPr>
        <w:rFonts w:ascii="Palatino Linotype" w:hAnsi="Palatino Linotype" w:cs="Arial"/>
        <w:sz w:val="20"/>
        <w:szCs w:val="20"/>
      </w:rPr>
    </w:pPr>
  </w:p>
  <w:p w:rsidR="006008A4" w:rsidRDefault="00D62320"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9C743C" w:rsidRDefault="00D62320"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Pr="00400547">
      <w:rPr>
        <w:rFonts w:ascii="Palatino Linotype" w:hAnsi="Palatino Linotype" w:cs="Arial"/>
        <w:sz w:val="20"/>
        <w:szCs w:val="20"/>
      </w:rPr>
      <w:t>0</w:t>
    </w:r>
    <w:r>
      <w:rPr>
        <w:rFonts w:ascii="Palatino Linotype" w:hAnsi="Palatino Linotype" w:cs="Arial"/>
        <w:sz w:val="20"/>
        <w:szCs w:val="20"/>
      </w:rPr>
      <w:t>5819/INFOEM/IP/RR/2019</w:t>
    </w:r>
  </w:p>
  <w:p w:rsidR="00D62320" w:rsidRDefault="00D62320" w:rsidP="00DC5C4E">
    <w:pPr>
      <w:pStyle w:val="Encabezado"/>
      <w:tabs>
        <w:tab w:val="clear" w:pos="4252"/>
        <w:tab w:val="clear" w:pos="8504"/>
        <w:tab w:val="left" w:pos="2326"/>
      </w:tabs>
      <w:jc w:val="right"/>
      <w:rPr>
        <w:rFonts w:ascii="Palatino Linotype" w:hAnsi="Palatino Linotype" w:cs="Arial"/>
        <w:sz w:val="20"/>
        <w:szCs w:val="20"/>
      </w:rPr>
    </w:pPr>
  </w:p>
  <w:p w:rsidR="002E136D" w:rsidRDefault="00EB5CB2">
    <w:r>
      <w:rPr>
        <w:rFonts w:asciiTheme="minorHAnsi" w:hAnsiTheme="minorHAnsi" w:cstheme="minorBidi"/>
        <w:noProof/>
        <w:lang w:val="es-ES_trad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margin-left:0;margin-top:0;width:649.3pt;height:93.5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EB5CB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21C5D"/>
    <w:multiLevelType w:val="hybridMultilevel"/>
    <w:tmpl w:val="A698AFA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A06DB0"/>
    <w:multiLevelType w:val="hybridMultilevel"/>
    <w:tmpl w:val="224064AE"/>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F696622"/>
    <w:multiLevelType w:val="hybridMultilevel"/>
    <w:tmpl w:val="0BD070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DE4204"/>
    <w:multiLevelType w:val="hybridMultilevel"/>
    <w:tmpl w:val="9B06AF9C"/>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17E60037"/>
    <w:multiLevelType w:val="hybridMultilevel"/>
    <w:tmpl w:val="42DA05DE"/>
    <w:lvl w:ilvl="0" w:tplc="6406CB6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FD3DDB"/>
    <w:multiLevelType w:val="hybridMultilevel"/>
    <w:tmpl w:val="BFFEED38"/>
    <w:lvl w:ilvl="0" w:tplc="936C0A5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39C734D8"/>
    <w:multiLevelType w:val="hybridMultilevel"/>
    <w:tmpl w:val="27B80AD6"/>
    <w:lvl w:ilvl="0" w:tplc="2A52063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3E4A57DE"/>
    <w:multiLevelType w:val="hybridMultilevel"/>
    <w:tmpl w:val="6F0EDDB6"/>
    <w:lvl w:ilvl="0" w:tplc="2D4622A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8062D5D"/>
    <w:multiLevelType w:val="hybridMultilevel"/>
    <w:tmpl w:val="89CA8388"/>
    <w:lvl w:ilvl="0" w:tplc="7E365CD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52968AE"/>
    <w:multiLevelType w:val="hybridMultilevel"/>
    <w:tmpl w:val="53649A96"/>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E251D8F"/>
    <w:multiLevelType w:val="hybridMultilevel"/>
    <w:tmpl w:val="8C7011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9"/>
  </w:num>
  <w:num w:numId="4">
    <w:abstractNumId w:val="3"/>
  </w:num>
  <w:num w:numId="5">
    <w:abstractNumId w:val="0"/>
  </w:num>
  <w:num w:numId="6">
    <w:abstractNumId w:val="11"/>
  </w:num>
  <w:num w:numId="7">
    <w:abstractNumId w:val="4"/>
  </w:num>
  <w:num w:numId="8">
    <w:abstractNumId w:val="1"/>
  </w:num>
  <w:num w:numId="9">
    <w:abstractNumId w:val="5"/>
  </w:num>
  <w:num w:numId="10">
    <w:abstractNumId w:val="6"/>
  </w:num>
  <w:num w:numId="11">
    <w:abstractNumId w:val="7"/>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7CD"/>
    <w:rsid w:val="00076844"/>
    <w:rsid w:val="00220293"/>
    <w:rsid w:val="003168CA"/>
    <w:rsid w:val="003E005E"/>
    <w:rsid w:val="004235BB"/>
    <w:rsid w:val="00487D97"/>
    <w:rsid w:val="004F0A98"/>
    <w:rsid w:val="00525346"/>
    <w:rsid w:val="006A4AA0"/>
    <w:rsid w:val="006D7C78"/>
    <w:rsid w:val="008572D7"/>
    <w:rsid w:val="008B39D8"/>
    <w:rsid w:val="00972156"/>
    <w:rsid w:val="009C743C"/>
    <w:rsid w:val="009C77CD"/>
    <w:rsid w:val="009D19D5"/>
    <w:rsid w:val="00A32A63"/>
    <w:rsid w:val="00A339D2"/>
    <w:rsid w:val="00A56F8F"/>
    <w:rsid w:val="00A96381"/>
    <w:rsid w:val="00C23B43"/>
    <w:rsid w:val="00C55670"/>
    <w:rsid w:val="00C9714C"/>
    <w:rsid w:val="00CD3FC1"/>
    <w:rsid w:val="00D62320"/>
    <w:rsid w:val="00D762D7"/>
    <w:rsid w:val="00DB377F"/>
    <w:rsid w:val="00E07441"/>
    <w:rsid w:val="00EB5CB2"/>
    <w:rsid w:val="00ED14CF"/>
    <w:rsid w:val="00F1005F"/>
    <w:rsid w:val="00F82906"/>
    <w:rsid w:val="00FD12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8A255C3-9A04-47EA-8F70-2429175A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7C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77C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C77CD"/>
    <w:rPr>
      <w:rFonts w:eastAsiaTheme="minorEastAsia"/>
      <w:sz w:val="24"/>
      <w:szCs w:val="24"/>
      <w:lang w:val="es-ES_tradnl" w:eastAsia="es-ES"/>
    </w:rPr>
  </w:style>
  <w:style w:type="paragraph" w:styleId="Piedepgina">
    <w:name w:val="footer"/>
    <w:basedOn w:val="Normal"/>
    <w:link w:val="PiedepginaCar"/>
    <w:uiPriority w:val="99"/>
    <w:unhideWhenUsed/>
    <w:rsid w:val="009C77C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C77C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C77CD"/>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C77CD"/>
    <w:rPr>
      <w:rFonts w:eastAsiaTheme="minorEastAsia"/>
      <w:sz w:val="24"/>
      <w:szCs w:val="24"/>
      <w:lang w:val="es-ES_tradnl" w:eastAsia="es-ES"/>
    </w:rPr>
  </w:style>
  <w:style w:type="paragraph" w:styleId="NormalWeb">
    <w:name w:val="Normal (Web)"/>
    <w:basedOn w:val="Normal"/>
    <w:uiPriority w:val="99"/>
    <w:unhideWhenUsed/>
    <w:rsid w:val="009C77CD"/>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32A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2A6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imex.org.mx/saimex/solicitud/downloadAttach/748014.p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9</Pages>
  <Words>2128</Words>
  <Characters>11710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2019-10-07T22:27:00Z</cp:lastPrinted>
  <dcterms:created xsi:type="dcterms:W3CDTF">2019-10-07T17:30:00Z</dcterms:created>
  <dcterms:modified xsi:type="dcterms:W3CDTF">2019-10-25T20:21:00Z</dcterms:modified>
</cp:coreProperties>
</file>