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C8" w:rsidRDefault="00202921" w:rsidP="00477DB6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  <w:r w:rsidRPr="0073286C">
        <w:rPr>
          <w:rFonts w:ascii="Palatino Linotype" w:hAnsi="Palatino Linotype" w:cs="Arial"/>
          <w:b/>
        </w:rPr>
        <w:t xml:space="preserve">VOTO PARTICULAR </w:t>
      </w:r>
      <w:r w:rsidR="0051698B">
        <w:rPr>
          <w:rFonts w:ascii="Palatino Linotype" w:hAnsi="Palatino Linotype" w:cs="Arial"/>
          <w:b/>
        </w:rPr>
        <w:t xml:space="preserve">CONCURRENTE </w:t>
      </w:r>
      <w:r w:rsidRPr="0073286C">
        <w:rPr>
          <w:rFonts w:ascii="Palatino Linotype" w:hAnsi="Palatino Linotype" w:cs="Arial"/>
          <w:b/>
        </w:rPr>
        <w:t>QUE FORMULA</w:t>
      </w:r>
      <w:r w:rsidR="0051698B">
        <w:rPr>
          <w:rFonts w:ascii="Palatino Linotype" w:hAnsi="Palatino Linotype" w:cs="Arial"/>
          <w:b/>
        </w:rPr>
        <w:t>N LA COMISIONADA EVA ABAID YAPUR Y LA COMISIONADA PRESIDENTA ZULEMA MARTÍNEZ SÁNCHEZ</w:t>
      </w:r>
      <w:r w:rsidRPr="0073286C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DATOS PERSONALES DEL ESTADO DE MÉXICO Y MUNICIPIOS, EN LA </w:t>
      </w:r>
      <w:r w:rsidR="00603CAB">
        <w:rPr>
          <w:rFonts w:ascii="Palatino Linotype" w:hAnsi="Palatino Linotype" w:cs="Arial"/>
          <w:b/>
        </w:rPr>
        <w:t>TRIGÉSIMA SEGUNDA</w:t>
      </w:r>
      <w:r w:rsidR="00400547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SESIÓN ORDINARIA DE </w:t>
      </w:r>
      <w:r w:rsidR="00603CAB">
        <w:rPr>
          <w:rFonts w:ascii="Palatino Linotype" w:hAnsi="Palatino Linotype" w:cs="Arial"/>
          <w:b/>
        </w:rPr>
        <w:t>CUATRO DE SEPTIEMBRE</w:t>
      </w:r>
      <w:r w:rsidR="00485AA0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DE DOS MIL </w:t>
      </w:r>
      <w:r w:rsidRPr="0073286C">
        <w:rPr>
          <w:rFonts w:ascii="Palatino Linotype" w:hAnsi="Palatino Linotype" w:cs="Arial"/>
          <w:b/>
        </w:rPr>
        <w:t>DIECI</w:t>
      </w:r>
      <w:r w:rsidR="002F1EEE">
        <w:rPr>
          <w:rFonts w:ascii="Palatino Linotype" w:hAnsi="Palatino Linotype" w:cs="Arial"/>
          <w:b/>
        </w:rPr>
        <w:t>NUEVE</w:t>
      </w:r>
      <w:r w:rsidRPr="0073286C">
        <w:rPr>
          <w:rFonts w:ascii="Palatino Linotype" w:hAnsi="Palatino Linotype" w:cs="Arial"/>
          <w:b/>
        </w:rPr>
        <w:t xml:space="preserve">, EN </w:t>
      </w:r>
      <w:r w:rsidR="00400547">
        <w:rPr>
          <w:rFonts w:ascii="Palatino Linotype" w:hAnsi="Palatino Linotype" w:cs="Arial"/>
          <w:b/>
        </w:rPr>
        <w:t>EL</w:t>
      </w:r>
      <w:r w:rsidRPr="0073286C">
        <w:rPr>
          <w:rFonts w:ascii="Palatino Linotype" w:hAnsi="Palatino Linotype" w:cs="Arial"/>
          <w:b/>
        </w:rPr>
        <w:t xml:space="preserve"> RECURSO DE REVISIÓN</w:t>
      </w:r>
      <w:r w:rsidR="00C7620E">
        <w:rPr>
          <w:rFonts w:ascii="Palatino Linotype" w:hAnsi="Palatino Linotype" w:cs="Arial"/>
          <w:b/>
        </w:rPr>
        <w:t xml:space="preserve"> 0</w:t>
      </w:r>
      <w:r w:rsidR="00603CAB">
        <w:rPr>
          <w:rFonts w:ascii="Palatino Linotype" w:hAnsi="Palatino Linotype" w:cs="Arial"/>
          <w:b/>
        </w:rPr>
        <w:t>5523</w:t>
      </w:r>
      <w:r>
        <w:rPr>
          <w:rFonts w:ascii="Palatino Linotype" w:hAnsi="Palatino Linotype" w:cs="Arial"/>
          <w:b/>
        </w:rPr>
        <w:t>/</w:t>
      </w:r>
      <w:r w:rsidRPr="00F87541">
        <w:rPr>
          <w:rFonts w:ascii="Palatino Linotype" w:hAnsi="Palatino Linotype" w:cs="Arial"/>
          <w:b/>
        </w:rPr>
        <w:t>INFOEM/IP/RR/201</w:t>
      </w:r>
      <w:r w:rsidR="002F1EEE">
        <w:rPr>
          <w:rFonts w:ascii="Palatino Linotype" w:hAnsi="Palatino Linotype" w:cs="Arial"/>
          <w:b/>
        </w:rPr>
        <w:t>9</w:t>
      </w:r>
      <w:r w:rsidRPr="0073286C">
        <w:rPr>
          <w:rFonts w:ascii="Palatino Linotype" w:eastAsia="Calibri" w:hAnsi="Palatino Linotype" w:cs="Arial"/>
          <w:b/>
          <w:color w:val="000000"/>
        </w:rPr>
        <w:t>.</w:t>
      </w:r>
      <w:r w:rsidR="00213408">
        <w:rPr>
          <w:rFonts w:ascii="Palatino Linotype" w:eastAsia="Calibri" w:hAnsi="Palatino Linotype" w:cs="Arial"/>
          <w:b/>
          <w:color w:val="000000"/>
        </w:rPr>
        <w:t xml:space="preserve"> </w:t>
      </w:r>
    </w:p>
    <w:p w:rsidR="006468C8" w:rsidRPr="005F5DFC" w:rsidRDefault="00202921" w:rsidP="00477DB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73286C">
        <w:rPr>
          <w:rFonts w:ascii="Palatino Linotype" w:hAnsi="Palatino Linotype" w:cs="Arial"/>
        </w:rPr>
        <w:t>Con fundamento en lo dispuesto por el artículo 14</w:t>
      </w:r>
      <w:r w:rsidR="003215B6">
        <w:rPr>
          <w:rFonts w:ascii="Palatino Linotype" w:hAnsi="Palatino Linotype" w:cs="Arial"/>
        </w:rPr>
        <w:t>,</w:t>
      </w:r>
      <w:r w:rsidRPr="0073286C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</w:t>
      </w:r>
      <w:r w:rsidR="0051698B">
        <w:rPr>
          <w:rFonts w:ascii="Palatino Linotype" w:hAnsi="Palatino Linotype" w:cs="Arial"/>
        </w:rPr>
        <w:t>s</w:t>
      </w:r>
      <w:r w:rsidRPr="0073286C">
        <w:rPr>
          <w:rFonts w:ascii="Palatino Linotype" w:hAnsi="Palatino Linotype" w:cs="Arial"/>
        </w:rPr>
        <w:t xml:space="preserve"> que suscribe</w:t>
      </w:r>
      <w:r w:rsidR="0051698B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  <w:b/>
          <w:lang w:val="es-ES_tradnl"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EVA ABAID YAPUR </w:t>
      </w:r>
      <w:r w:rsidR="0051698B">
        <w:rPr>
          <w:rFonts w:ascii="Palatino Linotype" w:hAnsi="Palatino Linotype" w:cs="Arial"/>
        </w:rPr>
        <w:t xml:space="preserve">y </w:t>
      </w:r>
      <w:r w:rsidR="0051698B">
        <w:rPr>
          <w:rFonts w:ascii="Palatino Linotype" w:hAnsi="Palatino Linotype" w:cs="Arial"/>
          <w:b/>
        </w:rPr>
        <w:t xml:space="preserve">ZULEMA MARTÍNEZ SÁNCHEZ </w:t>
      </w:r>
      <w:r w:rsidRPr="0073286C">
        <w:rPr>
          <w:rFonts w:ascii="Palatino Linotype" w:hAnsi="Palatino Linotype" w:cs="Arial"/>
        </w:rPr>
        <w:t>emite</w:t>
      </w:r>
      <w:r w:rsidR="0051698B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VOTO PARTICULAR</w:t>
      </w:r>
      <w:r w:rsidR="003933AB">
        <w:rPr>
          <w:rFonts w:ascii="Palatino Linotype" w:hAnsi="Palatino Linotype" w:cs="Arial"/>
          <w:b/>
        </w:rPr>
        <w:t xml:space="preserve"> </w:t>
      </w:r>
      <w:r w:rsidR="0051698B">
        <w:rPr>
          <w:rFonts w:ascii="Palatino Linotype" w:hAnsi="Palatino Linotype" w:cs="Arial"/>
          <w:b/>
        </w:rPr>
        <w:t xml:space="preserve">CONCURRENTE </w:t>
      </w:r>
      <w:r w:rsidRPr="0073286C">
        <w:rPr>
          <w:rFonts w:ascii="Palatino Linotype" w:hAnsi="Palatino Linotype" w:cs="Arial"/>
        </w:rPr>
        <w:t xml:space="preserve">respecto de la resolución dictada en </w:t>
      </w:r>
      <w:r w:rsidR="00400547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recurso de revisión </w:t>
      </w:r>
      <w:r w:rsidR="003B7D57">
        <w:rPr>
          <w:rFonts w:ascii="Palatino Linotype" w:hAnsi="Palatino Linotype" w:cs="Arial"/>
          <w:b/>
        </w:rPr>
        <w:t>05523</w:t>
      </w:r>
      <w:r w:rsidR="002F1EEE">
        <w:rPr>
          <w:rFonts w:ascii="Palatino Linotype" w:hAnsi="Palatino Linotype" w:cs="Arial"/>
          <w:b/>
        </w:rPr>
        <w:t>/INFOEM/IP/RR/2019</w:t>
      </w:r>
      <w:r w:rsidRPr="0073286C">
        <w:rPr>
          <w:rFonts w:ascii="Palatino Linotype" w:hAnsi="Palatino Linotype" w:cs="Arial"/>
        </w:rPr>
        <w:t xml:space="preserve">, pronunciada por el Pleno de este Instituto ante el proyecto presentado por el Comisionado </w:t>
      </w:r>
      <w:r w:rsidR="00485AA0">
        <w:rPr>
          <w:rFonts w:ascii="Palatino Linotype" w:hAnsi="Palatino Linotype" w:cs="Arial"/>
          <w:b/>
        </w:rPr>
        <w:t>JOSÉ GUADALUPE LUNA HERNÁNDEZ</w:t>
      </w:r>
      <w:r w:rsidRPr="0073286C">
        <w:rPr>
          <w:rFonts w:ascii="Palatino Linotype" w:hAnsi="Palatino Linotype" w:cs="Arial"/>
        </w:rPr>
        <w:t>, que es del tenor siguiente</w:t>
      </w:r>
      <w:r>
        <w:rPr>
          <w:rFonts w:ascii="Palatino Linotype" w:hAnsi="Palatino Linotype" w:cs="Arial"/>
        </w:rPr>
        <w:t>.</w:t>
      </w:r>
    </w:p>
    <w:p w:rsidR="002956D3" w:rsidRDefault="00202921" w:rsidP="00477DB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t>Es de destacar, que la</w:t>
      </w:r>
      <w:r w:rsidR="0051698B">
        <w:rPr>
          <w:rFonts w:ascii="Palatino Linotype" w:hAnsi="Palatino Linotype"/>
        </w:rPr>
        <w:t>s</w:t>
      </w:r>
      <w:r w:rsidR="00465F40">
        <w:rPr>
          <w:rFonts w:ascii="Palatino Linotype" w:hAnsi="Palatino Linotype"/>
        </w:rPr>
        <w:t xml:space="preserve"> </w:t>
      </w:r>
      <w:r w:rsidRPr="0073286C">
        <w:rPr>
          <w:rFonts w:ascii="Palatino Linotype" w:hAnsi="Palatino Linotype"/>
        </w:rPr>
        <w:t>suscrita</w:t>
      </w:r>
      <w:r w:rsidR="0051698B">
        <w:rPr>
          <w:rFonts w:ascii="Palatino Linotype" w:hAnsi="Palatino Linotype"/>
        </w:rPr>
        <w:t>s</w:t>
      </w:r>
      <w:r w:rsidRPr="0073286C">
        <w:rPr>
          <w:rFonts w:ascii="Palatino Linotype" w:hAnsi="Palatino Linotype"/>
        </w:rPr>
        <w:t xml:space="preserve"> </w:t>
      </w:r>
      <w:r w:rsidR="0051698B">
        <w:rPr>
          <w:rFonts w:ascii="Palatino Linotype" w:hAnsi="Palatino Linotype"/>
        </w:rPr>
        <w:t>compartimos</w:t>
      </w:r>
      <w:r>
        <w:rPr>
          <w:rFonts w:ascii="Palatino Linotype" w:hAnsi="Palatino Linotype"/>
        </w:rPr>
        <w:t xml:space="preserve"> esencialmente el sentido de la </w:t>
      </w:r>
      <w:r w:rsidRPr="0073286C">
        <w:rPr>
          <w:rFonts w:ascii="Palatino Linotype" w:hAnsi="Palatino Linotype"/>
        </w:rPr>
        <w:t xml:space="preserve">resolución </w:t>
      </w:r>
      <w:r>
        <w:rPr>
          <w:rFonts w:ascii="Palatino Linotype" w:hAnsi="Palatino Linotype"/>
        </w:rPr>
        <w:t xml:space="preserve">del </w:t>
      </w:r>
      <w:r w:rsidRPr="0073286C">
        <w:rPr>
          <w:rFonts w:ascii="Palatino Linotype" w:hAnsi="Palatino Linotype"/>
        </w:rPr>
        <w:t>recurs</w:t>
      </w:r>
      <w:r>
        <w:rPr>
          <w:rFonts w:ascii="Palatino Linotype" w:hAnsi="Palatino Linotype"/>
        </w:rPr>
        <w:t>o de revisión; empero</w:t>
      </w:r>
      <w:r w:rsidR="0051698B">
        <w:rPr>
          <w:rFonts w:ascii="Palatino Linotype" w:hAnsi="Palatino Linotype"/>
        </w:rPr>
        <w:t>, estimamos</w:t>
      </w:r>
      <w:r w:rsidRPr="0073286C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>.</w:t>
      </w:r>
    </w:p>
    <w:p w:rsidR="000F0BC5" w:rsidRDefault="00202921" w:rsidP="0051698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t>Al respecto, tal y como quedó debidamente asentado en la resoluci</w:t>
      </w:r>
      <w:r w:rsidR="0051698B">
        <w:rPr>
          <w:rFonts w:ascii="Palatino Linotype" w:hAnsi="Palatino Linotype"/>
        </w:rPr>
        <w:t>ón materia del presente voto, el</w:t>
      </w:r>
      <w:r w:rsidRPr="0073286C">
        <w:rPr>
          <w:rFonts w:ascii="Palatino Linotype" w:hAnsi="Palatino Linotype"/>
        </w:rPr>
        <w:t xml:space="preserve"> particular requirió </w:t>
      </w:r>
      <w:r w:rsidR="0051698B">
        <w:rPr>
          <w:rFonts w:ascii="Palatino Linotype" w:hAnsi="Palatino Linotype"/>
        </w:rPr>
        <w:t xml:space="preserve">medularmente </w:t>
      </w:r>
      <w:r w:rsidRPr="0073286C">
        <w:rPr>
          <w:rFonts w:ascii="Palatino Linotype" w:hAnsi="Palatino Linotype"/>
        </w:rPr>
        <w:t>de</w:t>
      </w:r>
      <w:r w:rsidR="004C5335">
        <w:rPr>
          <w:rFonts w:ascii="Palatino Linotype" w:hAnsi="Palatino Linotype"/>
        </w:rPr>
        <w:t>l</w:t>
      </w:r>
      <w:r w:rsidR="00CB7A00">
        <w:rPr>
          <w:rFonts w:ascii="Palatino Linotype" w:hAnsi="Palatino Linotype"/>
        </w:rPr>
        <w:t xml:space="preserve"> </w:t>
      </w:r>
      <w:r w:rsidR="00603CAB" w:rsidRPr="005C577F">
        <w:rPr>
          <w:rFonts w:ascii="Palatino Linotype" w:eastAsiaTheme="minorEastAsia" w:hAnsi="Palatino Linotype" w:cs="Arial"/>
          <w:b/>
          <w:lang w:val="es-ES_tradnl"/>
        </w:rPr>
        <w:t>Ayuntamiento de</w:t>
      </w:r>
      <w:r w:rsidR="00603CAB">
        <w:rPr>
          <w:rFonts w:ascii="Palatino Linotype" w:eastAsiaTheme="minorEastAsia" w:hAnsi="Palatino Linotype" w:cs="Arial"/>
          <w:b/>
          <w:lang w:val="es-ES_tradnl"/>
        </w:rPr>
        <w:t xml:space="preserve"> Atizapán de Zaragoza</w:t>
      </w:r>
      <w:r>
        <w:rPr>
          <w:rFonts w:ascii="Palatino Linotype" w:hAnsi="Palatino Linotype"/>
        </w:rPr>
        <w:t xml:space="preserve">, en lo sucesivo </w:t>
      </w:r>
      <w:r w:rsidR="00F00774">
        <w:rPr>
          <w:rFonts w:ascii="Palatino Linotype" w:hAnsi="Palatino Linotype"/>
        </w:rPr>
        <w:t xml:space="preserve"> </w:t>
      </w:r>
      <w:r w:rsidR="00F00774" w:rsidRPr="00F00774">
        <w:rPr>
          <w:rFonts w:ascii="Palatino Linotype" w:hAnsi="Palatino Linotype"/>
          <w:b/>
        </w:rPr>
        <w:t xml:space="preserve">EL </w:t>
      </w:r>
      <w:r w:rsidR="00F00774">
        <w:rPr>
          <w:rFonts w:ascii="Palatino Linotype" w:hAnsi="Palatino Linotype"/>
          <w:b/>
        </w:rPr>
        <w:t>SUJETO OBLIGADO</w:t>
      </w:r>
      <w:r w:rsidR="0051698B">
        <w:rPr>
          <w:rFonts w:ascii="Palatino Linotype" w:hAnsi="Palatino Linotype"/>
        </w:rPr>
        <w:t xml:space="preserve">, </w:t>
      </w:r>
      <w:r w:rsidR="00603CAB" w:rsidRPr="00812AF3">
        <w:rPr>
          <w:rFonts w:ascii="Palatino Linotype" w:eastAsia="MS Mincho" w:hAnsi="Palatino Linotype" w:cs="Arial"/>
          <w:lang w:val="es-ES_tradnl"/>
        </w:rPr>
        <w:t xml:space="preserve">la fecha, documento que ostente la </w:t>
      </w:r>
      <w:r w:rsidR="00603CAB" w:rsidRPr="00812AF3">
        <w:rPr>
          <w:rFonts w:ascii="Palatino Linotype" w:eastAsia="MS Mincho" w:hAnsi="Palatino Linotype" w:cs="Arial"/>
          <w:lang w:val="es-ES_tradnl"/>
        </w:rPr>
        <w:lastRenderedPageBreak/>
        <w:t>autorización del último cambio de uso de suelo del predio referido en la solicitud, así como los trámites realizados en cuanto a dicho inmueble</w:t>
      </w:r>
      <w:r w:rsidR="00603CAB">
        <w:rPr>
          <w:rFonts w:ascii="Palatino Linotype" w:eastAsia="MS Mincho" w:hAnsi="Palatino Linotype" w:cs="Arial"/>
          <w:lang w:val="es-ES_tradnl"/>
        </w:rPr>
        <w:t>.</w:t>
      </w:r>
    </w:p>
    <w:p w:rsidR="004E606A" w:rsidRPr="00EF1ABE" w:rsidRDefault="00202921" w:rsidP="00EF1ABE">
      <w:pPr>
        <w:spacing w:before="240" w:after="240" w:line="360" w:lineRule="auto"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 w:cs="Arial"/>
        </w:rPr>
        <w:t>De las constancias que obran dentro del expediente electrónico</w:t>
      </w:r>
      <w:r>
        <w:rPr>
          <w:rFonts w:ascii="Palatino Linotype" w:hAnsi="Palatino Linotype" w:cs="Arial"/>
        </w:rPr>
        <w:t xml:space="preserve"> del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SAIMEX,</w:t>
      </w:r>
      <w:r w:rsidRPr="0073286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se advirtió </w:t>
      </w:r>
      <w:r w:rsidRPr="0073286C">
        <w:rPr>
          <w:rFonts w:ascii="Palatino Linotype" w:hAnsi="Palatino Linotype" w:cs="Arial"/>
        </w:rPr>
        <w:t xml:space="preserve">que </w:t>
      </w:r>
      <w:r w:rsidRPr="0073286C">
        <w:rPr>
          <w:rFonts w:ascii="Palatino Linotype" w:hAnsi="Palatino Linotype" w:cs="Arial"/>
          <w:b/>
        </w:rPr>
        <w:t xml:space="preserve">EL SUJETO OBLIGADO, </w:t>
      </w:r>
      <w:r w:rsidRPr="0073286C">
        <w:rPr>
          <w:rFonts w:ascii="Palatino Linotype" w:hAnsi="Palatino Linotype" w:cs="Arial"/>
        </w:rPr>
        <w:t>en respuesta</w:t>
      </w:r>
      <w:r>
        <w:rPr>
          <w:rFonts w:ascii="Palatino Linotype" w:hAnsi="Palatino Linotype" w:cs="Arial"/>
        </w:rPr>
        <w:t xml:space="preserve"> </w:t>
      </w:r>
      <w:r w:rsidR="00603CAB">
        <w:rPr>
          <w:rFonts w:ascii="Palatino Linotype" w:hAnsi="Palatino Linotype" w:cs="Arial"/>
        </w:rPr>
        <w:t>manifestó mediante el</w:t>
      </w:r>
      <w:r w:rsidR="00603CAB" w:rsidRPr="00603CAB">
        <w:rPr>
          <w:rFonts w:ascii="Palatino Linotype" w:hAnsi="Palatino Linotype" w:cs="Arial"/>
        </w:rPr>
        <w:t xml:space="preserve"> oficio número DGDT/EJ/4187/2019 que en fecha veintiuno de noviembre del año dos mil doce se autorizó el Cambio de Uso de Suelo e Incremento Intensidad y Altura, información que consta en el oficio DGDU/CUS/107/2012, precisando que no se ha emitido alguna otra autorización relacionada con el domicilio mencionado en la requerimiento de información; situación por la cual se anexó en versión pública la Autorización de Cambio de Uso de Suelo e Incremento Intensidad y Altura.</w:t>
      </w:r>
    </w:p>
    <w:p w:rsidR="00686853" w:rsidRDefault="00177727" w:rsidP="00686853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Inconforme con </w:t>
      </w:r>
      <w:r w:rsidR="004E606A">
        <w:rPr>
          <w:rFonts w:ascii="Palatino Linotype" w:hAnsi="Palatino Linotype"/>
        </w:rPr>
        <w:t>la respuesta</w:t>
      </w:r>
      <w:r w:rsidR="00563561">
        <w:rPr>
          <w:rFonts w:ascii="Palatino Linotype" w:hAnsi="Palatino Linotype"/>
        </w:rPr>
        <w:t xml:space="preserve"> otorgada por </w:t>
      </w:r>
      <w:r w:rsidR="00563561">
        <w:rPr>
          <w:rFonts w:ascii="Palatino Linotype" w:hAnsi="Palatino Linotype"/>
          <w:b/>
        </w:rPr>
        <w:t>EL SUJETO OBLIGADO</w:t>
      </w:r>
      <w:r w:rsidR="00E515B2">
        <w:rPr>
          <w:rFonts w:ascii="Palatino Linotype" w:hAnsi="Palatino Linotype"/>
          <w:b/>
        </w:rPr>
        <w:t>,</w:t>
      </w:r>
      <w:r w:rsidR="00563561">
        <w:rPr>
          <w:rFonts w:ascii="Palatino Linotype" w:hAnsi="Palatino Linotype"/>
          <w:b/>
        </w:rPr>
        <w:t xml:space="preserve"> </w:t>
      </w:r>
      <w:r w:rsidR="004C5335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particular interpuso </w:t>
      </w:r>
      <w:r w:rsidR="004E606A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recurso</w:t>
      </w:r>
      <w:r w:rsidR="004E606A">
        <w:rPr>
          <w:rFonts w:ascii="Palatino Linotype" w:hAnsi="Palatino Linotype"/>
        </w:rPr>
        <w:t xml:space="preserve"> de revisión de mérito, </w:t>
      </w:r>
      <w:r w:rsidR="008A5420">
        <w:rPr>
          <w:rFonts w:ascii="Palatino Linotype" w:hAnsi="Palatino Linotype"/>
        </w:rPr>
        <w:t>manifestando como razones o motivo</w:t>
      </w:r>
      <w:r w:rsidR="00686853">
        <w:rPr>
          <w:rFonts w:ascii="Palatino Linotype" w:hAnsi="Palatino Linotype"/>
        </w:rPr>
        <w:t xml:space="preserve">s de inconformidad que la información se había solicitado en el formato de copias certificadas y no </w:t>
      </w:r>
      <w:r w:rsidR="00603CAB">
        <w:rPr>
          <w:rFonts w:ascii="Palatino Linotype" w:hAnsi="Palatino Linotype"/>
        </w:rPr>
        <w:t>en formato PDF</w:t>
      </w:r>
      <w:r w:rsidR="00686853">
        <w:rPr>
          <w:rFonts w:ascii="Palatino Linotype" w:hAnsi="Palatino Linotype"/>
        </w:rPr>
        <w:t>.</w:t>
      </w:r>
    </w:p>
    <w:p w:rsidR="003B7D57" w:rsidRDefault="000F0BC5" w:rsidP="003B7D57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  <w:r w:rsidRPr="0073286C">
        <w:rPr>
          <w:rFonts w:ascii="Palatino Linotype" w:hAnsi="Palatino Linotype" w:cs="Arial"/>
        </w:rPr>
        <w:t xml:space="preserve">Atento a lo anterior, la Ponencia </w:t>
      </w:r>
      <w:proofErr w:type="spellStart"/>
      <w:r w:rsidRPr="0073286C">
        <w:rPr>
          <w:rFonts w:ascii="Palatino Linotype" w:hAnsi="Palatino Linotype" w:cs="Arial"/>
        </w:rPr>
        <w:t>Resolutora</w:t>
      </w:r>
      <w:proofErr w:type="spellEnd"/>
      <w:r w:rsidRPr="0073286C">
        <w:rPr>
          <w:rFonts w:ascii="Palatino Linotype" w:hAnsi="Palatino Linotype" w:cs="Arial"/>
        </w:rPr>
        <w:t xml:space="preserve"> determinó </w:t>
      </w:r>
      <w:r w:rsidR="00180F7F">
        <w:rPr>
          <w:rFonts w:ascii="Palatino Linotype" w:hAnsi="Palatino Linotype" w:cs="Arial"/>
          <w:b/>
        </w:rPr>
        <w:t>MODIFICAR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la respuesta del</w:t>
      </w:r>
      <w:r w:rsidRPr="0073286C">
        <w:rPr>
          <w:rFonts w:ascii="Palatino Linotype" w:hAnsi="Palatino Linotype" w:cs="Arial"/>
          <w:b/>
        </w:rPr>
        <w:t xml:space="preserve"> SUJETO OBLIGADO </w:t>
      </w:r>
      <w:r w:rsidR="003B7D57">
        <w:rPr>
          <w:rFonts w:ascii="Palatino Linotype" w:eastAsia="Calibri" w:hAnsi="Palatino Linotype" w:cs="Arial"/>
        </w:rPr>
        <w:t>y se ordenó a</w:t>
      </w:r>
      <w:r w:rsidR="003B7D57" w:rsidRPr="00330818">
        <w:rPr>
          <w:rFonts w:ascii="Palatino Linotype" w:eastAsia="Calibri" w:hAnsi="Palatino Linotype" w:cs="Arial"/>
        </w:rPr>
        <w:t>l</w:t>
      </w:r>
      <w:r w:rsidR="003B7D57">
        <w:rPr>
          <w:rFonts w:ascii="Palatino Linotype" w:eastAsia="Calibri" w:hAnsi="Palatino Linotype" w:cs="Arial"/>
          <w:b/>
        </w:rPr>
        <w:t xml:space="preserve"> </w:t>
      </w:r>
      <w:r w:rsidR="003B7D57" w:rsidRPr="005C577F">
        <w:rPr>
          <w:rFonts w:ascii="Palatino Linotype" w:hAnsi="Palatino Linotype"/>
          <w:b/>
        </w:rPr>
        <w:t>Ayuntamiento de</w:t>
      </w:r>
      <w:r w:rsidR="003B7D57">
        <w:rPr>
          <w:rFonts w:ascii="Palatino Linotype" w:hAnsi="Palatino Linotype"/>
          <w:b/>
        </w:rPr>
        <w:t xml:space="preserve"> Atizapán de Zaragoza</w:t>
      </w:r>
      <w:r w:rsidR="003B7D57" w:rsidRPr="005C577F">
        <w:rPr>
          <w:rFonts w:ascii="Palatino Linotype" w:hAnsi="Palatino Linotype"/>
          <w:b/>
        </w:rPr>
        <w:t>,</w:t>
      </w:r>
      <w:r w:rsidR="003B7D57">
        <w:rPr>
          <w:rFonts w:ascii="Palatino Linotype" w:eastAsiaTheme="minorEastAsia" w:hAnsi="Palatino Linotype"/>
          <w:b/>
          <w:bCs/>
          <w:lang w:val="es-ES_tradnl"/>
        </w:rPr>
        <w:t xml:space="preserve"> </w:t>
      </w:r>
      <w:r w:rsidR="003B7D57" w:rsidRPr="005C577F">
        <w:rPr>
          <w:rFonts w:ascii="Palatino Linotype" w:eastAsia="Calibri" w:hAnsi="Palatino Linotype" w:cs="Arial"/>
        </w:rPr>
        <w:t xml:space="preserve">entregar </w:t>
      </w:r>
      <w:r w:rsidR="003B7D57" w:rsidRPr="00C12357">
        <w:rPr>
          <w:rFonts w:ascii="Palatino Linotype" w:eastAsia="Calibri" w:hAnsi="Palatino Linotype" w:cs="Arial"/>
        </w:rPr>
        <w:t xml:space="preserve">en </w:t>
      </w:r>
      <w:r w:rsidR="003B7D57" w:rsidRPr="00226036">
        <w:rPr>
          <w:rFonts w:ascii="Palatino Linotype" w:eastAsia="Calibri" w:hAnsi="Palatino Linotype" w:cs="Arial"/>
          <w:b/>
        </w:rPr>
        <w:t>Copia Certificada (sin costo),</w:t>
      </w:r>
      <w:r w:rsidR="003B7D57" w:rsidRPr="00C12357">
        <w:rPr>
          <w:rFonts w:ascii="Palatino Linotype" w:eastAsia="Calibri" w:hAnsi="Palatino Linotype" w:cs="Arial"/>
        </w:rPr>
        <w:t xml:space="preserve"> lo correspondiente:</w:t>
      </w:r>
    </w:p>
    <w:p w:rsidR="003B7D57" w:rsidRDefault="003B7D57" w:rsidP="003B7D57">
      <w:pPr>
        <w:spacing w:line="360" w:lineRule="auto"/>
        <w:ind w:right="49"/>
        <w:jc w:val="both"/>
        <w:rPr>
          <w:rFonts w:ascii="Palatino Linotype" w:eastAsia="Calibri" w:hAnsi="Palatino Linotype" w:cs="Arial"/>
        </w:rPr>
      </w:pPr>
    </w:p>
    <w:p w:rsidR="003B7D57" w:rsidRDefault="003B7D57" w:rsidP="005351BA">
      <w:pPr>
        <w:pStyle w:val="Prrafodelista"/>
        <w:numPr>
          <w:ilvl w:val="0"/>
          <w:numId w:val="9"/>
        </w:numPr>
        <w:ind w:right="850"/>
        <w:jc w:val="both"/>
        <w:rPr>
          <w:rFonts w:ascii="Palatino Linotype" w:eastAsia="MS Mincho" w:hAnsi="Palatino Linotype" w:cstheme="majorBidi"/>
          <w:i/>
          <w:sz w:val="22"/>
          <w:szCs w:val="22"/>
        </w:rPr>
      </w:pPr>
      <w:r w:rsidRPr="003B7D57">
        <w:rPr>
          <w:rFonts w:ascii="Palatino Linotype" w:eastAsia="MS Mincho" w:hAnsi="Palatino Linotype" w:cstheme="majorBidi"/>
          <w:i/>
          <w:sz w:val="22"/>
          <w:szCs w:val="22"/>
        </w:rPr>
        <w:t>Autorización de Cambio de Uso de Suelo  e Incremento Intensidad y Altura.</w:t>
      </w:r>
    </w:p>
    <w:p w:rsidR="003B7D57" w:rsidRDefault="003B7D57" w:rsidP="005351BA">
      <w:pPr>
        <w:pStyle w:val="Prrafodelista"/>
        <w:ind w:right="850"/>
        <w:jc w:val="both"/>
        <w:rPr>
          <w:rFonts w:ascii="Palatino Linotype" w:eastAsia="MS Mincho" w:hAnsi="Palatino Linotype" w:cstheme="majorBidi"/>
          <w:i/>
          <w:sz w:val="22"/>
          <w:szCs w:val="22"/>
        </w:rPr>
      </w:pPr>
    </w:p>
    <w:p w:rsidR="003B7D57" w:rsidRPr="003B7D57" w:rsidRDefault="003B7D57" w:rsidP="005351BA">
      <w:pPr>
        <w:pStyle w:val="Prrafodelista"/>
        <w:tabs>
          <w:tab w:val="left" w:pos="8364"/>
        </w:tabs>
        <w:ind w:right="850"/>
        <w:jc w:val="both"/>
        <w:rPr>
          <w:rFonts w:ascii="Palatino Linotype" w:eastAsia="MS Mincho" w:hAnsi="Palatino Linotype" w:cstheme="majorBidi"/>
          <w:i/>
          <w:sz w:val="22"/>
          <w:szCs w:val="22"/>
        </w:rPr>
      </w:pPr>
      <w:r w:rsidRPr="003B7D57">
        <w:rPr>
          <w:rFonts w:ascii="Palatino Linotype" w:eastAsia="MS Mincho" w:hAnsi="Palatino Linotype" w:cstheme="majorBidi"/>
          <w:i/>
          <w:sz w:val="22"/>
          <w:szCs w:val="22"/>
        </w:rPr>
        <w:t xml:space="preserve">Asimismo se ordena al Sujeto Obligado en términos del Considerando CUARTO de la presente resolución que previo a la entrega de la información, haga del conocimiento al Recurrente, el domicilio al cual deberá acudir, el nombre de la dependencia o área respectiva, los días y horarios de atención en los cuales podrá recoger la información, la </w:t>
      </w:r>
      <w:r w:rsidRPr="003B7D57">
        <w:rPr>
          <w:rFonts w:ascii="Palatino Linotype" w:eastAsia="MS Mincho" w:hAnsi="Palatino Linotype" w:cstheme="majorBidi"/>
          <w:i/>
          <w:sz w:val="22"/>
          <w:szCs w:val="22"/>
        </w:rPr>
        <w:lastRenderedPageBreak/>
        <w:t>forma y procedimiento a seguir, así como el periodo durante el cual quedará a su disposición la información conforme a lo dispuesto por el artículo 166 de la Ley de Transparencia y Acceso a la Información Pública del Estado de México y Municipios.</w:t>
      </w:r>
    </w:p>
    <w:p w:rsidR="00B63948" w:rsidRDefault="00B63948" w:rsidP="0068685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acuerdo a lo señalado en la resolución de mérito,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estableció que ante la solicitud formulada por </w:t>
      </w:r>
      <w:r w:rsidR="00180F7F">
        <w:rPr>
          <w:rFonts w:ascii="Palatino Linotype" w:hAnsi="Palatino Linotype" w:cs="Arial"/>
        </w:rPr>
        <w:t>el</w:t>
      </w:r>
      <w:r w:rsidR="00E515B2" w:rsidRPr="00B63948">
        <w:rPr>
          <w:rFonts w:ascii="Palatino Linotype" w:hAnsi="Palatino Linotype" w:cs="Arial"/>
          <w:b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ahora </w:t>
      </w:r>
      <w:r w:rsidRPr="00B63948">
        <w:rPr>
          <w:rFonts w:ascii="Palatino Linotype" w:hAnsi="Palatino Linotype" w:cs="Arial"/>
          <w:b/>
        </w:rPr>
        <w:t>RECURRENTE</w:t>
      </w:r>
      <w:r w:rsidRPr="00B63948">
        <w:rPr>
          <w:rFonts w:ascii="Palatino Linotype" w:hAnsi="Palatino Linotype" w:cs="Arial"/>
        </w:rPr>
        <w:t xml:space="preserve"> de manera clara, precisa, contundente e indubitable requirió información pública a la que pretende acceder en su modalidad de copias certificadas con costo y </w:t>
      </w:r>
      <w:r>
        <w:rPr>
          <w:rFonts w:ascii="Palatino Linotype" w:hAnsi="Palatino Linotype" w:cs="Arial"/>
        </w:rPr>
        <w:t>derivado de que</w:t>
      </w:r>
      <w:r w:rsidR="000B7BC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se determinó</w:t>
      </w:r>
      <w:r w:rsidRPr="00B63948">
        <w:rPr>
          <w:rFonts w:ascii="Palatino Linotype" w:hAnsi="Palatino Linotype" w:cs="Arial"/>
        </w:rPr>
        <w:t xml:space="preserve"> que existe una actitud negligente que provocó que la solicitud no fuera atendida en los términos de la Ley</w:t>
      </w:r>
      <w:r>
        <w:rPr>
          <w:rFonts w:ascii="Palatino Linotype" w:hAnsi="Palatino Linotype" w:cs="Arial"/>
        </w:rPr>
        <w:t xml:space="preserve"> de la materia</w:t>
      </w:r>
      <w:r w:rsidRPr="00B63948">
        <w:rPr>
          <w:rFonts w:ascii="Palatino Linotype" w:hAnsi="Palatino Linotype" w:cs="Arial"/>
        </w:rPr>
        <w:t xml:space="preserve">, por lo que </w:t>
      </w:r>
      <w:r>
        <w:rPr>
          <w:rFonts w:ascii="Palatino Linotype" w:hAnsi="Palatino Linotype" w:cs="Arial"/>
        </w:rPr>
        <w:t xml:space="preserve">la Ponencia </w:t>
      </w:r>
      <w:r w:rsidR="008910FB">
        <w:rPr>
          <w:rFonts w:ascii="Palatino Linotype" w:hAnsi="Palatino Linotype" w:cs="Arial"/>
        </w:rPr>
        <w:t>decidió</w:t>
      </w:r>
      <w:r>
        <w:rPr>
          <w:rFonts w:ascii="Palatino Linotype" w:hAnsi="Palatino Linotype" w:cs="Arial"/>
        </w:rPr>
        <w:t xml:space="preserve"> ordenar</w:t>
      </w:r>
      <w:r w:rsidRPr="00B63948">
        <w:rPr>
          <w:rFonts w:ascii="Palatino Linotype" w:hAnsi="Palatino Linotype" w:cs="Arial"/>
        </w:rPr>
        <w:t xml:space="preserve"> el acceso a la información de referencia en </w:t>
      </w:r>
      <w:r w:rsidR="00E515B2">
        <w:rPr>
          <w:rFonts w:ascii="Palatino Linotype" w:hAnsi="Palatino Linotype" w:cs="Arial"/>
        </w:rPr>
        <w:t>c</w:t>
      </w:r>
      <w:r w:rsidRPr="00B63948">
        <w:rPr>
          <w:rFonts w:ascii="Palatino Linotype" w:hAnsi="Palatino Linotype" w:cs="Arial"/>
        </w:rPr>
        <w:t>opias certifica</w:t>
      </w:r>
      <w:r w:rsidR="008910FB">
        <w:rPr>
          <w:rFonts w:ascii="Palatino Linotype" w:hAnsi="Palatino Linotype" w:cs="Arial"/>
        </w:rPr>
        <w:t>das sin que medie el pago de</w:t>
      </w:r>
      <w:r w:rsidRPr="00B63948">
        <w:rPr>
          <w:rFonts w:ascii="Palatino Linotype" w:hAnsi="Palatino Linotype" w:cs="Arial"/>
        </w:rPr>
        <w:t xml:space="preserve"> derechos correspondientes. </w:t>
      </w:r>
    </w:p>
    <w:p w:rsidR="00B63948" w:rsidRDefault="00B63948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anterior, es importante señalar que la naturaleza del recurso de revisión es que su interposición obedece a una garantía secundaria mediante el cual se pretende reparar cualquier posible afectación al derecho </w:t>
      </w:r>
      <w:r w:rsidR="00E515B2">
        <w:rPr>
          <w:rFonts w:ascii="Palatino Linotype" w:hAnsi="Palatino Linotype" w:cs="Arial"/>
        </w:rPr>
        <w:t xml:space="preserve">humano </w:t>
      </w:r>
      <w:r>
        <w:rPr>
          <w:rFonts w:ascii="Palatino Linotype" w:hAnsi="Palatino Linotype" w:cs="Arial"/>
        </w:rPr>
        <w:t>de acc</w:t>
      </w:r>
      <w:r w:rsidR="00477DB6">
        <w:rPr>
          <w:rFonts w:ascii="Palatino Linotype" w:hAnsi="Palatino Linotype" w:cs="Arial"/>
        </w:rPr>
        <w:t>eso a la información pública de la</w:t>
      </w:r>
      <w:r>
        <w:rPr>
          <w:rFonts w:ascii="Palatino Linotype" w:hAnsi="Palatino Linotype" w:cs="Arial"/>
        </w:rPr>
        <w:t xml:space="preserve"> particular, y una vez instrumentadas cada una de las actuaciones que la Ley contempla, este Órgano Garante emitirá un fallo donde se podrá: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I. Desechar o sobreseer el recurso;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II. Confirmar la respuesta del sujeto obligado;</w:t>
      </w:r>
    </w:p>
    <w:p w:rsidR="00B63948" w:rsidRPr="00176F46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III. Revocar o modificar la respuesta del sujeto obligado; y</w:t>
      </w:r>
    </w:p>
    <w:p w:rsidR="00B63948" w:rsidRDefault="00B63948" w:rsidP="00477DB6">
      <w:pPr>
        <w:autoSpaceDE w:val="0"/>
        <w:autoSpaceDN w:val="0"/>
        <w:adjustRightInd w:val="0"/>
        <w:spacing w:before="100" w:beforeAutospacing="1" w:after="100" w:afterAutospacing="1"/>
        <w:ind w:right="49" w:firstLine="708"/>
        <w:jc w:val="both"/>
        <w:rPr>
          <w:rFonts w:ascii="Palatino Linotype" w:hAnsi="Palatino Linotype" w:cs="Arial"/>
        </w:rPr>
      </w:pPr>
      <w:r w:rsidRPr="00176F46">
        <w:rPr>
          <w:rFonts w:ascii="Palatino Linotype" w:hAnsi="Palatino Linotype" w:cs="Arial"/>
        </w:rPr>
        <w:t>IV. Ordenar la entrega de la información.</w:t>
      </w:r>
    </w:p>
    <w:p w:rsidR="000060E4" w:rsidRDefault="00B63948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 es importante señalar que </w:t>
      </w:r>
      <w:r w:rsidRPr="00B84534">
        <w:rPr>
          <w:rFonts w:ascii="Palatino Linotype" w:hAnsi="Palatino Linotype" w:cs="Arial"/>
        </w:rPr>
        <w:t xml:space="preserve">el artículo 36 de la Ley </w:t>
      </w:r>
      <w:r>
        <w:rPr>
          <w:rFonts w:ascii="Palatino Linotype" w:hAnsi="Palatino Linotype" w:cs="Arial"/>
        </w:rPr>
        <w:t xml:space="preserve">de </w:t>
      </w:r>
      <w:r w:rsidRPr="00176F46">
        <w:rPr>
          <w:rFonts w:ascii="Palatino Linotype" w:hAnsi="Palatino Linotype" w:cs="Arial"/>
        </w:rPr>
        <w:t xml:space="preserve">Transparencia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Acceso </w:t>
      </w:r>
      <w:r>
        <w:rPr>
          <w:rFonts w:ascii="Palatino Linotype" w:hAnsi="Palatino Linotype" w:cs="Arial"/>
        </w:rPr>
        <w:t>a</w:t>
      </w:r>
      <w:r w:rsidRPr="00176F4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Pr="00176F46">
        <w:rPr>
          <w:rFonts w:ascii="Palatino Linotype" w:hAnsi="Palatino Linotype" w:cs="Arial"/>
        </w:rPr>
        <w:t>a Información</w:t>
      </w:r>
      <w:r>
        <w:rPr>
          <w:rFonts w:ascii="Palatino Linotype" w:hAnsi="Palatino Linotype" w:cs="Arial"/>
        </w:rPr>
        <w:t xml:space="preserve"> </w:t>
      </w:r>
      <w:r w:rsidRPr="00176F46">
        <w:rPr>
          <w:rFonts w:ascii="Palatino Linotype" w:hAnsi="Palatino Linotype" w:cs="Arial"/>
        </w:rPr>
        <w:t xml:space="preserve">Pública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el Estado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 México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Municipios</w:t>
      </w:r>
      <w:r>
        <w:rPr>
          <w:rFonts w:ascii="Palatino Linotype" w:hAnsi="Palatino Linotype" w:cs="Arial"/>
        </w:rPr>
        <w:t xml:space="preserve"> no contempla como </w:t>
      </w:r>
      <w:r>
        <w:rPr>
          <w:rFonts w:ascii="Palatino Linotype" w:hAnsi="Palatino Linotype" w:cs="Arial"/>
        </w:rPr>
        <w:lastRenderedPageBreak/>
        <w:t xml:space="preserve">atribución de este Órgano Garante, el </w:t>
      </w:r>
      <w:r w:rsidR="000060E4">
        <w:rPr>
          <w:rFonts w:ascii="Palatino Linotype" w:hAnsi="Palatino Linotype" w:cs="Arial"/>
        </w:rPr>
        <w:t>determinar a través del recurso de revisión, la negligencia por parte de</w:t>
      </w:r>
      <w:r>
        <w:rPr>
          <w:rFonts w:ascii="Palatino Linotype" w:hAnsi="Palatino Linotype" w:cs="Arial"/>
        </w:rPr>
        <w:t xml:space="preserve"> los Sujetos Obligados</w:t>
      </w:r>
      <w:r w:rsidR="000060E4">
        <w:rPr>
          <w:rFonts w:ascii="Palatino Linotype" w:hAnsi="Palatino Linotype" w:cs="Arial"/>
        </w:rPr>
        <w:t>.</w:t>
      </w:r>
    </w:p>
    <w:p w:rsidR="009A2CD2" w:rsidRDefault="000060E4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aunado a que el fundamento que la Ponencia invoca para determinar la entrega de la informació</w:t>
      </w:r>
      <w:r w:rsidR="008910FB">
        <w:rPr>
          <w:rFonts w:ascii="Palatino Linotype" w:hAnsi="Palatino Linotype" w:cs="Arial"/>
        </w:rPr>
        <w:t>n requerida sin que medie el</w:t>
      </w:r>
      <w:r>
        <w:rPr>
          <w:rFonts w:ascii="Palatino Linotype" w:hAnsi="Palatino Linotype" w:cs="Arial"/>
        </w:rPr>
        <w:t xml:space="preserve"> pago de derechos por la expedición de copias certificadas, se encuentra contenido en el </w:t>
      </w:r>
      <w:r w:rsidRPr="000060E4">
        <w:rPr>
          <w:rFonts w:ascii="Palatino Linotype" w:hAnsi="Palatino Linotype" w:cs="Arial"/>
        </w:rPr>
        <w:t>Título Noveno</w:t>
      </w:r>
      <w:r>
        <w:rPr>
          <w:rFonts w:ascii="Palatino Linotype" w:hAnsi="Palatino Linotype" w:cs="Arial"/>
        </w:rPr>
        <w:t xml:space="preserve"> denominado </w:t>
      </w:r>
      <w:r w:rsidRPr="000060E4">
        <w:rPr>
          <w:rFonts w:ascii="Palatino Linotype" w:hAnsi="Palatino Linotype" w:cs="Arial"/>
          <w:i/>
        </w:rPr>
        <w:t>“De las Medidas de Apremio, Responsabilidades y Sanciones”</w:t>
      </w:r>
      <w:r>
        <w:rPr>
          <w:rFonts w:ascii="Palatino Linotype" w:hAnsi="Palatino Linotype" w:cs="Arial"/>
        </w:rPr>
        <w:t xml:space="preserve">, específicamente en el </w:t>
      </w:r>
      <w:r w:rsidRPr="000060E4">
        <w:rPr>
          <w:rFonts w:ascii="Palatino Linotype" w:hAnsi="Palatino Linotype" w:cs="Arial"/>
        </w:rPr>
        <w:t>Capítulo II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  <w:i/>
        </w:rPr>
        <w:t>“De las Responsabilidades y Sanciones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donde si bien se establece que el a</w:t>
      </w:r>
      <w:r w:rsidRPr="000060E4">
        <w:rPr>
          <w:rFonts w:ascii="Palatino Linotype" w:hAnsi="Palatino Linotype" w:cs="Arial"/>
        </w:rPr>
        <w:t xml:space="preserve">ctuar con negligencia, dolo o mala fe en la clasificación o desclasificación de la información </w:t>
      </w:r>
      <w:r>
        <w:rPr>
          <w:rFonts w:ascii="Palatino Linotype" w:hAnsi="Palatino Linotype" w:cs="Arial"/>
        </w:rPr>
        <w:t>es</w:t>
      </w:r>
      <w:r w:rsidRPr="000060E4">
        <w:rPr>
          <w:rFonts w:ascii="Palatino Linotype" w:hAnsi="Palatino Linotype" w:cs="Arial"/>
        </w:rPr>
        <w:t xml:space="preserve"> causa</w:t>
      </w:r>
      <w:r>
        <w:rPr>
          <w:rFonts w:ascii="Palatino Linotype" w:hAnsi="Palatino Linotype" w:cs="Arial"/>
        </w:rPr>
        <w:t>l</w:t>
      </w:r>
      <w:r w:rsidRPr="000060E4">
        <w:rPr>
          <w:rFonts w:ascii="Palatino Linotype" w:hAnsi="Palatino Linotype" w:cs="Arial"/>
        </w:rPr>
        <w:t xml:space="preserve"> de responsabilidad administrativa de los servidores públicos de los </w:t>
      </w:r>
      <w:r w:rsidR="00E515B2" w:rsidRPr="000060E4">
        <w:rPr>
          <w:rFonts w:ascii="Palatino Linotype" w:hAnsi="Palatino Linotype" w:cs="Arial"/>
        </w:rPr>
        <w:t>Sujetos Obligados</w:t>
      </w:r>
      <w:r w:rsidRPr="000060E4">
        <w:rPr>
          <w:rFonts w:ascii="Palatino Linotype" w:hAnsi="Palatino Linotype" w:cs="Arial"/>
        </w:rPr>
        <w:t>, por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</w:rPr>
        <w:t>incumplimiento de las obligaciones establecidas en la Ley</w:t>
      </w:r>
      <w:r>
        <w:rPr>
          <w:rFonts w:ascii="Palatino Linotype" w:hAnsi="Palatino Linotype" w:cs="Arial"/>
        </w:rPr>
        <w:t xml:space="preserve"> de la materia; lo cierto es que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tal efecto el a</w:t>
      </w:r>
      <w:r w:rsidRPr="000060E4">
        <w:rPr>
          <w:rFonts w:ascii="Palatino Linotype" w:hAnsi="Palatino Linotype" w:cs="Arial"/>
        </w:rPr>
        <w:t xml:space="preserve">rtículo </w:t>
      </w:r>
      <w:r w:rsidR="00E515B2">
        <w:rPr>
          <w:rFonts w:ascii="Palatino Linotype" w:hAnsi="Palatino Linotype" w:cs="Arial"/>
        </w:rPr>
        <w:t>190</w:t>
      </w:r>
      <w:r w:rsidR="009A2CD2">
        <w:rPr>
          <w:rFonts w:ascii="Palatino Linotype" w:hAnsi="Palatino Linotype" w:cs="Arial"/>
        </w:rPr>
        <w:t xml:space="preserve"> de la Ley de Transparencia y Acceso a la Información Pública del Estado de México y Municipios </w:t>
      </w:r>
      <w:r>
        <w:rPr>
          <w:rFonts w:ascii="Palatino Linotype" w:hAnsi="Palatino Linotype" w:cs="Arial"/>
        </w:rPr>
        <w:t>señala que e</w:t>
      </w:r>
      <w:r w:rsidRPr="000060E4">
        <w:rPr>
          <w:rFonts w:ascii="Palatino Linotype" w:hAnsi="Palatino Linotype" w:cs="Arial"/>
        </w:rPr>
        <w:t xml:space="preserve">l Instituto </w:t>
      </w:r>
      <w:r w:rsidR="00E515B2" w:rsidRPr="00E515B2">
        <w:rPr>
          <w:rFonts w:ascii="Palatino Linotype" w:hAnsi="Palatino Linotype" w:cs="Arial"/>
        </w:rPr>
        <w:t xml:space="preserve">durante la sustanciación del recurso de revisión </w:t>
      </w:r>
      <w:r w:rsidR="00E515B2">
        <w:rPr>
          <w:rFonts w:ascii="Palatino Linotype" w:hAnsi="Palatino Linotype" w:cs="Arial"/>
        </w:rPr>
        <w:t>estima que</w:t>
      </w:r>
      <w:r w:rsidR="00E515B2" w:rsidRPr="00E515B2">
        <w:rPr>
          <w:rFonts w:ascii="Palatino Linotype" w:hAnsi="Palatino Linotype" w:cs="Arial"/>
        </w:rPr>
        <w:t xml:space="preserve"> pudo haberse incurrido en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una probable responsabilidad por el incumplimiento a las obligaciones previstas en </w:t>
      </w:r>
      <w:r w:rsidR="00E515B2">
        <w:rPr>
          <w:rFonts w:ascii="Palatino Linotype" w:hAnsi="Palatino Linotype" w:cs="Arial"/>
        </w:rPr>
        <w:t>la</w:t>
      </w:r>
      <w:r w:rsidR="00E515B2" w:rsidRPr="00E515B2">
        <w:rPr>
          <w:rFonts w:ascii="Palatino Linotype" w:hAnsi="Palatino Linotype" w:cs="Arial"/>
        </w:rPr>
        <w:t xml:space="preserve"> Ley</w:t>
      </w:r>
      <w:r w:rsidR="00E515B2">
        <w:rPr>
          <w:rFonts w:ascii="Palatino Linotype" w:hAnsi="Palatino Linotype" w:cs="Arial"/>
        </w:rPr>
        <w:t xml:space="preserve"> de la materia</w:t>
      </w:r>
      <w:r w:rsidR="00E515B2" w:rsidRPr="00E515B2">
        <w:rPr>
          <w:rFonts w:ascii="Palatino Linotype" w:hAnsi="Palatino Linotype" w:cs="Arial"/>
        </w:rPr>
        <w:t xml:space="preserve">, deberá hacerlo del conocimiento del Órgano de Control Interno </w:t>
      </w:r>
      <w:r w:rsidR="008363F4">
        <w:rPr>
          <w:rFonts w:ascii="Palatino Linotype" w:hAnsi="Palatino Linotype" w:cs="Arial"/>
        </w:rPr>
        <w:t>para que</w:t>
      </w:r>
      <w:r w:rsidR="00E515B2" w:rsidRPr="00E515B2">
        <w:rPr>
          <w:rFonts w:ascii="Palatino Linotype" w:hAnsi="Palatino Linotype" w:cs="Arial"/>
        </w:rPr>
        <w:t xml:space="preserve"> </w:t>
      </w:r>
      <w:r w:rsidR="00E515B2">
        <w:rPr>
          <w:rFonts w:ascii="Palatino Linotype" w:hAnsi="Palatino Linotype" w:cs="Arial"/>
        </w:rPr>
        <w:t>determine lo conducente</w:t>
      </w:r>
      <w:r w:rsidR="005351BA">
        <w:rPr>
          <w:rFonts w:ascii="Palatino Linotype" w:hAnsi="Palatino Linotype" w:cs="Arial"/>
        </w:rPr>
        <w:t>, ya que el recurso de revisión únicamente es una garantía para hacer valer el derecho de acceso a la información pública</w:t>
      </w:r>
      <w:r w:rsidRPr="000060E4">
        <w:rPr>
          <w:rFonts w:ascii="Palatino Linotype" w:hAnsi="Palatino Linotype" w:cs="Arial"/>
        </w:rPr>
        <w:t>.</w:t>
      </w:r>
    </w:p>
    <w:p w:rsidR="009A2CD2" w:rsidRPr="009A2CD2" w:rsidRDefault="009A2CD2" w:rsidP="009A2CD2">
      <w:pPr>
        <w:autoSpaceDE w:val="0"/>
        <w:autoSpaceDN w:val="0"/>
        <w:adjustRightInd w:val="0"/>
        <w:spacing w:before="100" w:beforeAutospacing="1" w:after="100" w:afterAutospacing="1"/>
        <w:ind w:left="709" w:right="85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9A2CD2">
        <w:rPr>
          <w:rFonts w:ascii="Palatino Linotype" w:hAnsi="Palatino Linotype"/>
          <w:b/>
          <w:i/>
          <w:sz w:val="22"/>
          <w:szCs w:val="22"/>
        </w:rPr>
        <w:t>Artículo 176</w:t>
      </w:r>
      <w:r w:rsidRPr="009A2CD2">
        <w:rPr>
          <w:rFonts w:ascii="Palatino Linotype" w:hAnsi="Palatino Linotype"/>
          <w:i/>
          <w:sz w:val="22"/>
          <w:szCs w:val="22"/>
        </w:rPr>
        <w:t>. El recurso de revisión es la garantía secundaria mediante la cual se pretende reparar cualquier posible afectación al derecho de acceso a la información pública en términos del presente y del siguiente Capítulo.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B63948" w:rsidRDefault="0046500C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</w:t>
      </w:r>
      <w:r w:rsidR="00B63948">
        <w:rPr>
          <w:rFonts w:ascii="Palatino Linotype" w:hAnsi="Palatino Linotype" w:cs="Arial"/>
        </w:rPr>
        <w:t>or lo cual, la</w:t>
      </w:r>
      <w:r w:rsidR="00180F7F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suscrita</w:t>
      </w:r>
      <w:r w:rsidR="00180F7F">
        <w:rPr>
          <w:rFonts w:ascii="Palatino Linotype" w:hAnsi="Palatino Linotype" w:cs="Arial"/>
        </w:rPr>
        <w:t>s emitimos</w:t>
      </w:r>
      <w:r w:rsidR="00B63948">
        <w:rPr>
          <w:rFonts w:ascii="Palatino Linotype" w:hAnsi="Palatino Linotype" w:cs="Arial"/>
        </w:rPr>
        <w:t xml:space="preserve"> </w:t>
      </w:r>
      <w:r w:rsidR="00B63948" w:rsidRPr="006073E1">
        <w:rPr>
          <w:rFonts w:ascii="Palatino Linotype" w:hAnsi="Palatino Linotype" w:cs="Arial"/>
          <w:b/>
        </w:rPr>
        <w:t>VOTO PARTICULAR</w:t>
      </w:r>
      <w:r w:rsidR="00180F7F">
        <w:rPr>
          <w:rFonts w:ascii="Palatino Linotype" w:hAnsi="Palatino Linotype" w:cs="Arial"/>
          <w:b/>
        </w:rPr>
        <w:t xml:space="preserve"> CONCURRENTE</w:t>
      </w:r>
      <w:r w:rsidR="00477DB6">
        <w:rPr>
          <w:rFonts w:ascii="Palatino Linotype" w:hAnsi="Palatino Linotype" w:cs="Arial"/>
          <w:b/>
        </w:rPr>
        <w:t xml:space="preserve"> </w:t>
      </w:r>
      <w:r w:rsidR="00B63948" w:rsidRPr="00F74B57">
        <w:rPr>
          <w:rFonts w:ascii="Palatino Linotype" w:hAnsi="Palatino Linotype" w:cs="Arial"/>
        </w:rPr>
        <w:t xml:space="preserve">con </w:t>
      </w:r>
      <w:r w:rsidR="00B63948">
        <w:rPr>
          <w:rFonts w:ascii="Palatino Linotype" w:hAnsi="Palatino Linotype" w:cs="Arial"/>
        </w:rPr>
        <w:t>independencia de que se comparta el fallo, tanto en lo general como en su sentido</w:t>
      </w:r>
      <w:r w:rsidR="00E515B2">
        <w:rPr>
          <w:rFonts w:ascii="Palatino Linotype" w:hAnsi="Palatino Linotype" w:cs="Arial"/>
        </w:rPr>
        <w:t xml:space="preserve">, ya que </w:t>
      </w:r>
      <w:r w:rsidR="00B63948">
        <w:rPr>
          <w:rFonts w:ascii="Palatino Linotype" w:hAnsi="Palatino Linotype" w:cs="Arial"/>
        </w:rPr>
        <w:t xml:space="preserve">se insiste que, no se considera procedente </w:t>
      </w:r>
      <w:r>
        <w:rPr>
          <w:rFonts w:ascii="Palatino Linotype" w:hAnsi="Palatino Linotype" w:cs="Arial"/>
        </w:rPr>
        <w:t xml:space="preserve">eximir al </w:t>
      </w:r>
      <w:r w:rsidRPr="0046500C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del pago de derechos por la expedición de copias certificadas, modalidad de entrega elegida por éste, </w:t>
      </w:r>
      <w:r w:rsidR="008910FB">
        <w:rPr>
          <w:rFonts w:ascii="Palatino Linotype" w:hAnsi="Palatino Linotype" w:cs="Arial"/>
        </w:rPr>
        <w:t>al</w:t>
      </w:r>
      <w:r>
        <w:rPr>
          <w:rFonts w:ascii="Palatino Linotype" w:hAnsi="Palatino Linotype" w:cs="Arial"/>
        </w:rPr>
        <w:t xml:space="preserve"> </w:t>
      </w:r>
      <w:r w:rsidR="00E515B2">
        <w:rPr>
          <w:rFonts w:ascii="Palatino Linotype" w:hAnsi="Palatino Linotype" w:cs="Arial"/>
        </w:rPr>
        <w:t>valorar como</w:t>
      </w:r>
      <w:r>
        <w:rPr>
          <w:rFonts w:ascii="Palatino Linotype" w:hAnsi="Palatino Linotype" w:cs="Arial"/>
        </w:rPr>
        <w:t xml:space="preserve"> negligen</w:t>
      </w:r>
      <w:r w:rsidR="00E515B2">
        <w:rPr>
          <w:rFonts w:ascii="Palatino Linotype" w:hAnsi="Palatino Linotype" w:cs="Arial"/>
        </w:rPr>
        <w:t>te el actuar</w:t>
      </w:r>
      <w:r>
        <w:rPr>
          <w:rFonts w:ascii="Palatino Linotype" w:hAnsi="Palatino Linotype" w:cs="Arial"/>
        </w:rPr>
        <w:t xml:space="preserve"> del</w:t>
      </w:r>
      <w:r w:rsidR="00B63948">
        <w:rPr>
          <w:rFonts w:ascii="Palatino Linotype" w:hAnsi="Palatino Linotype" w:cs="Arial"/>
        </w:rPr>
        <w:t xml:space="preserve"> </w:t>
      </w:r>
      <w:r w:rsidR="00B63948" w:rsidRPr="00A002B7">
        <w:rPr>
          <w:rFonts w:ascii="Palatino Linotype" w:hAnsi="Palatino Linotype" w:cs="Arial"/>
          <w:b/>
        </w:rPr>
        <w:t>SUJETO OBLIGADO</w:t>
      </w:r>
      <w:r w:rsidR="00B63948">
        <w:rPr>
          <w:rFonts w:ascii="Palatino Linotype" w:hAnsi="Palatino Linotype" w:cs="Arial"/>
        </w:rPr>
        <w:t xml:space="preserve"> vía recurso de revisión, toda vez que los medios de impugnación no son la instancia para </w:t>
      </w:r>
      <w:r w:rsidR="00E515B2">
        <w:rPr>
          <w:rFonts w:ascii="Palatino Linotype" w:hAnsi="Palatino Linotype" w:cs="Arial"/>
        </w:rPr>
        <w:t>determinar las responsabilidades de los Sujeto Obligados,</w:t>
      </w:r>
      <w:r w:rsidR="00B63948">
        <w:rPr>
          <w:rFonts w:ascii="Palatino Linotype" w:hAnsi="Palatino Linotype" w:cs="Arial"/>
        </w:rPr>
        <w:t xml:space="preserve"> pues al emitir la resolución se debe actuar con apego a los principios de exhaustividad y congruencia.</w:t>
      </w:r>
    </w:p>
    <w:p w:rsidR="003B7D57" w:rsidRDefault="003B7D57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3B7D57" w:rsidRDefault="003B7D57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8910FB" w:rsidRDefault="008910FB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pPr w:leftFromText="141" w:rightFromText="141" w:vertAnchor="text" w:horzAnchor="page" w:tblpX="1126" w:tblpY="925"/>
        <w:tblW w:w="4393" w:type="dxa"/>
        <w:tblLayout w:type="fixed"/>
        <w:tblLook w:val="04A0" w:firstRow="1" w:lastRow="0" w:firstColumn="1" w:lastColumn="0" w:noHBand="0" w:noVBand="1"/>
      </w:tblPr>
      <w:tblGrid>
        <w:gridCol w:w="4393"/>
      </w:tblGrid>
      <w:tr w:rsidR="00621ED8" w:rsidRPr="0073286C" w:rsidTr="00621ED8">
        <w:tc>
          <w:tcPr>
            <w:tcW w:w="4393" w:type="dxa"/>
          </w:tcPr>
          <w:p w:rsidR="00621ED8" w:rsidRPr="0073286C" w:rsidRDefault="00621ED8" w:rsidP="00621ED8">
            <w:pPr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EVA ABAID YAPUR</w:t>
            </w:r>
            <w:r>
              <w:rPr>
                <w:rFonts w:ascii="Palatino Linotype" w:hAnsi="Palatino Linotype"/>
                <w:b/>
              </w:rPr>
              <w:t xml:space="preserve">     </w:t>
            </w:r>
          </w:p>
          <w:p w:rsidR="00621ED8" w:rsidRDefault="00621ED8" w:rsidP="00621ED8">
            <w:pPr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COMISIONADA</w:t>
            </w:r>
          </w:p>
          <w:p w:rsidR="00621ED8" w:rsidRPr="0073286C" w:rsidRDefault="00621ED8" w:rsidP="00621ED8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8910FB" w:rsidRDefault="008910FB" w:rsidP="00477DB6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Style w:val="Tablaconcuadrcula"/>
        <w:tblpPr w:leftFromText="141" w:rightFromText="141" w:vertAnchor="text" w:horzAnchor="margin" w:tblpXSpec="right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</w:tblGrid>
      <w:tr w:rsidR="00C146EB" w:rsidRPr="00457590" w:rsidTr="008910FB">
        <w:trPr>
          <w:trHeight w:val="274"/>
        </w:trPr>
        <w:tc>
          <w:tcPr>
            <w:tcW w:w="4991" w:type="dxa"/>
          </w:tcPr>
          <w:p w:rsidR="00C146EB" w:rsidRPr="00457590" w:rsidRDefault="00C146EB" w:rsidP="008910F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C146EB" w:rsidRPr="00457590" w:rsidTr="008910FB">
        <w:trPr>
          <w:trHeight w:val="229"/>
        </w:trPr>
        <w:tc>
          <w:tcPr>
            <w:tcW w:w="4991" w:type="dxa"/>
          </w:tcPr>
          <w:p w:rsidR="00C146EB" w:rsidRDefault="00C146EB" w:rsidP="008910F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COMISIONADA PRESIDENTA</w:t>
            </w:r>
          </w:p>
          <w:p w:rsidR="00621ED8" w:rsidRDefault="00621ED8" w:rsidP="008910F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  <w:p w:rsidR="00621ED8" w:rsidRPr="00457590" w:rsidRDefault="00621ED8" w:rsidP="008910FB">
            <w:pPr>
              <w:jc w:val="center"/>
              <w:rPr>
                <w:rFonts w:ascii="Palatino Linotype" w:hAnsi="Palatino Linotype" w:cs="Arial"/>
                <w:b/>
              </w:rPr>
            </w:pPr>
          </w:p>
        </w:tc>
      </w:tr>
    </w:tbl>
    <w:p w:rsidR="008B1D0F" w:rsidRDefault="008B1D0F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3067C" w:rsidRDefault="0043067C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3067C" w:rsidRDefault="0043067C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3067C" w:rsidRDefault="0043067C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3067C" w:rsidRDefault="0043067C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3067C" w:rsidRDefault="0043067C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02921" w:rsidRDefault="00202921" w:rsidP="0038556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</w:t>
      </w:r>
      <w:r w:rsidR="00C146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="00C44F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emitido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del</w:t>
      </w:r>
      <w:r w:rsidR="004658B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3B7D57">
        <w:rPr>
          <w:rFonts w:ascii="Palatino Linotype" w:eastAsia="Calibri" w:hAnsi="Palatino Linotype" w:cs="Arial"/>
          <w:color w:val="000000" w:themeColor="text1"/>
          <w:sz w:val="20"/>
          <w:szCs w:val="20"/>
        </w:rPr>
        <w:t>5523</w:t>
      </w:r>
      <w:r w:rsidR="004658B8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/INFOEM/IP/RR/2019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3B7D57">
        <w:rPr>
          <w:rFonts w:ascii="Palatino Linotype" w:eastAsia="Calibri" w:hAnsi="Palatino Linotype" w:cs="Arial"/>
          <w:color w:val="000000" w:themeColor="text1"/>
          <w:sz w:val="20"/>
          <w:szCs w:val="20"/>
        </w:rPr>
        <w:t>cuatro de septiembre</w:t>
      </w:r>
      <w:r w:rsidR="00C44FE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4658B8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diecinueve</w:t>
      </w:r>
      <w:r w:rsidR="0043067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43067C" w:rsidRPr="0043067C" w:rsidRDefault="0043067C" w:rsidP="0038556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202921" w:rsidRPr="001A4E4A" w:rsidRDefault="00686853" w:rsidP="00385565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43067C">
        <w:rPr>
          <w:rFonts w:ascii="Palatino Linotype" w:eastAsia="Calibri" w:hAnsi="Palatino Linotype" w:cs="Arial"/>
          <w:color w:val="000000" w:themeColor="text1"/>
          <w:sz w:val="20"/>
          <w:szCs w:val="20"/>
        </w:rPr>
        <w:t>/ATU</w:t>
      </w:r>
      <w:r w:rsidR="008363F4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0F708D">
        <w:rPr>
          <w:rFonts w:ascii="Palatino Linotype" w:eastAsia="Calibri" w:hAnsi="Palatino Linotype" w:cs="Arial"/>
          <w:color w:val="000000" w:themeColor="text1"/>
          <w:sz w:val="20"/>
          <w:szCs w:val="20"/>
        </w:rPr>
        <w:t>OSAM/</w:t>
      </w:r>
      <w:r w:rsidR="00477DB6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202921" w:rsidRPr="001A4E4A" w:rsidSect="005F49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325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67" w:rsidRDefault="002A3867" w:rsidP="00202921">
      <w:r>
        <w:separator/>
      </w:r>
    </w:p>
  </w:endnote>
  <w:endnote w:type="continuationSeparator" w:id="0">
    <w:p w:rsidR="002A3867" w:rsidRDefault="002A3867" w:rsidP="002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21ED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468C8" w:rsidRDefault="006468C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621ED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621ED8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15728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21ED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21ED8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621ED8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67" w:rsidRDefault="002A3867" w:rsidP="00202921">
      <w:r>
        <w:separator/>
      </w:r>
    </w:p>
  </w:footnote>
  <w:footnote w:type="continuationSeparator" w:id="0">
    <w:p w:rsidR="002A3867" w:rsidRDefault="002A3867" w:rsidP="0020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21ED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FEEF36E" wp14:editId="6CFDAEA1">
          <wp:simplePos x="0" y="0"/>
          <wp:positionH relativeFrom="column">
            <wp:posOffset>-744220</wp:posOffset>
          </wp:positionH>
          <wp:positionV relativeFrom="paragraph">
            <wp:posOffset>-423512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621ED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:rsidR="00400547" w:rsidRDefault="00400547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 w:rsidR="0043067C" w:rsidRPr="003764C2">
      <w:rPr>
        <w:rFonts w:ascii="Palatino Linotype" w:hAnsi="Palatino Linotype" w:cs="Arial"/>
        <w:sz w:val="20"/>
        <w:szCs w:val="20"/>
      </w:rPr>
      <w:t>VOTO</w:t>
    </w:r>
    <w:r w:rsidR="0043067C" w:rsidRPr="006F01F2">
      <w:rPr>
        <w:rFonts w:ascii="Palatino Linotype" w:hAnsi="Palatino Linotype" w:cs="Arial"/>
        <w:sz w:val="20"/>
        <w:szCs w:val="20"/>
      </w:rPr>
      <w:t xml:space="preserve"> PARTICULAR</w:t>
    </w:r>
    <w:r w:rsidR="0043067C">
      <w:rPr>
        <w:rFonts w:ascii="Palatino Linotype" w:hAnsi="Palatino Linotype" w:cs="Arial"/>
        <w:sz w:val="20"/>
        <w:szCs w:val="20"/>
      </w:rPr>
      <w:t xml:space="preserve"> CONCURRENTE</w:t>
    </w:r>
  </w:p>
  <w:p w:rsidR="00400547" w:rsidRDefault="0043067C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05523/INFOEM/IP/RR/2019</w:t>
    </w:r>
  </w:p>
  <w:p w:rsidR="006008A4" w:rsidRDefault="00621ED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-88.45pt;margin-top:251.05pt;width:657.25pt;height:93.55pt;rotation:315;z-index:-251655168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 CONCURRENTE&#10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21ED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5165"/>
    <w:multiLevelType w:val="hybridMultilevel"/>
    <w:tmpl w:val="2DA6BA40"/>
    <w:lvl w:ilvl="0" w:tplc="E7A64C72">
      <w:start w:val="1"/>
      <w:numFmt w:val="upperLetter"/>
      <w:lvlText w:val="%1)"/>
      <w:lvlJc w:val="left"/>
      <w:pPr>
        <w:ind w:left="15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11" w:hanging="360"/>
      </w:pPr>
    </w:lvl>
    <w:lvl w:ilvl="2" w:tplc="080A001B" w:tentative="1">
      <w:start w:val="1"/>
      <w:numFmt w:val="lowerRoman"/>
      <w:lvlText w:val="%3."/>
      <w:lvlJc w:val="right"/>
      <w:pPr>
        <w:ind w:left="3031" w:hanging="180"/>
      </w:pPr>
    </w:lvl>
    <w:lvl w:ilvl="3" w:tplc="080A000F" w:tentative="1">
      <w:start w:val="1"/>
      <w:numFmt w:val="decimal"/>
      <w:lvlText w:val="%4."/>
      <w:lvlJc w:val="left"/>
      <w:pPr>
        <w:ind w:left="3751" w:hanging="360"/>
      </w:pPr>
    </w:lvl>
    <w:lvl w:ilvl="4" w:tplc="080A0019" w:tentative="1">
      <w:start w:val="1"/>
      <w:numFmt w:val="lowerLetter"/>
      <w:lvlText w:val="%5."/>
      <w:lvlJc w:val="left"/>
      <w:pPr>
        <w:ind w:left="4471" w:hanging="360"/>
      </w:pPr>
    </w:lvl>
    <w:lvl w:ilvl="5" w:tplc="080A001B" w:tentative="1">
      <w:start w:val="1"/>
      <w:numFmt w:val="lowerRoman"/>
      <w:lvlText w:val="%6."/>
      <w:lvlJc w:val="right"/>
      <w:pPr>
        <w:ind w:left="5191" w:hanging="180"/>
      </w:pPr>
    </w:lvl>
    <w:lvl w:ilvl="6" w:tplc="080A000F" w:tentative="1">
      <w:start w:val="1"/>
      <w:numFmt w:val="decimal"/>
      <w:lvlText w:val="%7."/>
      <w:lvlJc w:val="left"/>
      <w:pPr>
        <w:ind w:left="5911" w:hanging="360"/>
      </w:pPr>
    </w:lvl>
    <w:lvl w:ilvl="7" w:tplc="080A0019" w:tentative="1">
      <w:start w:val="1"/>
      <w:numFmt w:val="lowerLetter"/>
      <w:lvlText w:val="%8."/>
      <w:lvlJc w:val="left"/>
      <w:pPr>
        <w:ind w:left="6631" w:hanging="360"/>
      </w:pPr>
    </w:lvl>
    <w:lvl w:ilvl="8" w:tplc="08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">
    <w:nsid w:val="18AD57B8"/>
    <w:multiLevelType w:val="hybridMultilevel"/>
    <w:tmpl w:val="BEBCAB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50126"/>
    <w:multiLevelType w:val="hybridMultilevel"/>
    <w:tmpl w:val="8F8E9F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D1A1B"/>
    <w:multiLevelType w:val="hybridMultilevel"/>
    <w:tmpl w:val="5298E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707C0"/>
    <w:multiLevelType w:val="hybridMultilevel"/>
    <w:tmpl w:val="FB3010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07AD7"/>
    <w:multiLevelType w:val="hybridMultilevel"/>
    <w:tmpl w:val="18EA4ED0"/>
    <w:lvl w:ilvl="0" w:tplc="D2C2DDD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E73474"/>
    <w:multiLevelType w:val="hybridMultilevel"/>
    <w:tmpl w:val="09F68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15E06"/>
    <w:multiLevelType w:val="hybridMultilevel"/>
    <w:tmpl w:val="1190050E"/>
    <w:lvl w:ilvl="0" w:tplc="A4D28F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6B6EC1"/>
    <w:multiLevelType w:val="hybridMultilevel"/>
    <w:tmpl w:val="3D7C3346"/>
    <w:lvl w:ilvl="0" w:tplc="095E9CC8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21"/>
    <w:rsid w:val="000060E4"/>
    <w:rsid w:val="00030EE3"/>
    <w:rsid w:val="00046F49"/>
    <w:rsid w:val="000B5100"/>
    <w:rsid w:val="000B7BCA"/>
    <w:rsid w:val="000F0BC5"/>
    <w:rsid w:val="000F708D"/>
    <w:rsid w:val="0012326D"/>
    <w:rsid w:val="00173159"/>
    <w:rsid w:val="00177727"/>
    <w:rsid w:val="00180F7F"/>
    <w:rsid w:val="001D44D9"/>
    <w:rsid w:val="001E0C0E"/>
    <w:rsid w:val="00202921"/>
    <w:rsid w:val="00213408"/>
    <w:rsid w:val="00222326"/>
    <w:rsid w:val="0027401A"/>
    <w:rsid w:val="0027465F"/>
    <w:rsid w:val="00290FA8"/>
    <w:rsid w:val="002956D3"/>
    <w:rsid w:val="002A3867"/>
    <w:rsid w:val="002C1CC6"/>
    <w:rsid w:val="002C5734"/>
    <w:rsid w:val="002F1EEE"/>
    <w:rsid w:val="003215B6"/>
    <w:rsid w:val="00344CD4"/>
    <w:rsid w:val="00364F1A"/>
    <w:rsid w:val="003837CB"/>
    <w:rsid w:val="00385565"/>
    <w:rsid w:val="003878EC"/>
    <w:rsid w:val="003933AB"/>
    <w:rsid w:val="003B7D57"/>
    <w:rsid w:val="003C6361"/>
    <w:rsid w:val="00400547"/>
    <w:rsid w:val="0043067C"/>
    <w:rsid w:val="00451878"/>
    <w:rsid w:val="0046500C"/>
    <w:rsid w:val="004658B8"/>
    <w:rsid w:val="00465F40"/>
    <w:rsid w:val="004702E0"/>
    <w:rsid w:val="00477DB6"/>
    <w:rsid w:val="00485AA0"/>
    <w:rsid w:val="00487744"/>
    <w:rsid w:val="004C5335"/>
    <w:rsid w:val="004E606A"/>
    <w:rsid w:val="0051698B"/>
    <w:rsid w:val="005202BA"/>
    <w:rsid w:val="00525508"/>
    <w:rsid w:val="005351BA"/>
    <w:rsid w:val="0055141F"/>
    <w:rsid w:val="00563561"/>
    <w:rsid w:val="005F5DFC"/>
    <w:rsid w:val="00603CAB"/>
    <w:rsid w:val="00615728"/>
    <w:rsid w:val="00621ED8"/>
    <w:rsid w:val="006468C8"/>
    <w:rsid w:val="00650F98"/>
    <w:rsid w:val="00686853"/>
    <w:rsid w:val="006E0773"/>
    <w:rsid w:val="00717A14"/>
    <w:rsid w:val="007525A1"/>
    <w:rsid w:val="007739F4"/>
    <w:rsid w:val="007C575F"/>
    <w:rsid w:val="008363F4"/>
    <w:rsid w:val="008910FB"/>
    <w:rsid w:val="008A5420"/>
    <w:rsid w:val="008B1D0F"/>
    <w:rsid w:val="0094134D"/>
    <w:rsid w:val="0096043F"/>
    <w:rsid w:val="009A2CD2"/>
    <w:rsid w:val="00A13C4C"/>
    <w:rsid w:val="00A86F59"/>
    <w:rsid w:val="00AB3A08"/>
    <w:rsid w:val="00B31768"/>
    <w:rsid w:val="00B63948"/>
    <w:rsid w:val="00B81A48"/>
    <w:rsid w:val="00BC683E"/>
    <w:rsid w:val="00BF33C2"/>
    <w:rsid w:val="00C146EB"/>
    <w:rsid w:val="00C23B43"/>
    <w:rsid w:val="00C44FEB"/>
    <w:rsid w:val="00C7620E"/>
    <w:rsid w:val="00C9714C"/>
    <w:rsid w:val="00CB7A00"/>
    <w:rsid w:val="00D173FA"/>
    <w:rsid w:val="00DD4484"/>
    <w:rsid w:val="00E515B2"/>
    <w:rsid w:val="00E8005C"/>
    <w:rsid w:val="00E810B2"/>
    <w:rsid w:val="00ED0329"/>
    <w:rsid w:val="00EF1ABE"/>
    <w:rsid w:val="00F00774"/>
    <w:rsid w:val="00F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2E6DD8-C5A3-4C85-B62B-D0AFC23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5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20292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02921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3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4134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A8B6-862F-491B-AE5E-2BB92096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1127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PONENCIA EAY</cp:lastModifiedBy>
  <cp:revision>7</cp:revision>
  <cp:lastPrinted>2019-09-09T18:39:00Z</cp:lastPrinted>
  <dcterms:created xsi:type="dcterms:W3CDTF">2019-09-06T18:27:00Z</dcterms:created>
  <dcterms:modified xsi:type="dcterms:W3CDTF">2019-10-15T23:01:00Z</dcterms:modified>
</cp:coreProperties>
</file>