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F61512">
        <w:rPr>
          <w:rFonts w:ascii="Palatino Linotype" w:hAnsi="Palatino Linotype" w:cs="Arial"/>
          <w:b/>
        </w:rPr>
        <w:t>CUADRAGÉSIMA</w:t>
      </w:r>
      <w:r>
        <w:rPr>
          <w:rFonts w:ascii="Palatino Linotype" w:hAnsi="Palatino Linotype" w:cs="Arial"/>
          <w:b/>
        </w:rPr>
        <w:t xml:space="preserve"> </w:t>
      </w:r>
      <w:r w:rsidR="00C66A91">
        <w:rPr>
          <w:rFonts w:ascii="Palatino Linotype" w:hAnsi="Palatino Linotype" w:cs="Arial"/>
          <w:b/>
        </w:rPr>
        <w:t>SEGUNDA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TRECE</w:t>
      </w:r>
      <w:r w:rsidR="00616912">
        <w:rPr>
          <w:rFonts w:ascii="Palatino Linotype" w:hAnsi="Palatino Linotype" w:cs="Arial"/>
          <w:b/>
        </w:rPr>
        <w:t xml:space="preserve"> DE NOVIEMBRE</w:t>
      </w:r>
      <w:r w:rsidR="003223C2">
        <w:rPr>
          <w:rFonts w:ascii="Palatino Linotype" w:hAnsi="Palatino Linotype" w:cs="Arial"/>
          <w:b/>
        </w:rPr>
        <w:t xml:space="preserve"> </w:t>
      </w:r>
      <w:r w:rsidR="00BD1BCE">
        <w:rPr>
          <w:rFonts w:ascii="Palatino Linotype" w:hAnsi="Palatino Linotype" w:cs="Arial"/>
          <w:b/>
        </w:rPr>
        <w:t>DE DOS MIL DIECINUEVE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C66A91">
        <w:rPr>
          <w:rFonts w:ascii="Palatino Linotype" w:hAnsi="Palatino Linotype" w:cs="Arial"/>
          <w:b/>
        </w:rPr>
        <w:t>7329</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C66A91">
        <w:rPr>
          <w:rFonts w:ascii="Palatino Linotype" w:hAnsi="Palatino Linotype" w:cs="Arial"/>
          <w:b/>
        </w:rPr>
        <w:t>7329</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C66A91">
        <w:rPr>
          <w:rFonts w:ascii="Palatino Linotype" w:hAnsi="Palatino Linotype" w:cs="Arial"/>
          <w:b/>
        </w:rPr>
        <w:t>JAVIER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4D34A9" w:rsidRDefault="00F7009C" w:rsidP="00EC518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F61512">
        <w:rPr>
          <w:rFonts w:ascii="Palatino Linotype" w:hAnsi="Palatino Linotype"/>
        </w:rPr>
        <w:t xml:space="preserve"> la</w:t>
      </w:r>
      <w:r w:rsidR="00BD1BCE">
        <w:rPr>
          <w:rFonts w:ascii="Palatino Linotype" w:hAnsi="Palatino Linotype"/>
        </w:rPr>
        <w:t xml:space="preserve"> </w:t>
      </w:r>
      <w:r w:rsidR="00C66A91" w:rsidRPr="00C66A91">
        <w:rPr>
          <w:rFonts w:ascii="Palatino Linotype" w:hAnsi="Palatino Linotype" w:cs="Tahoma"/>
          <w:b/>
          <w:szCs w:val="22"/>
        </w:rPr>
        <w:t xml:space="preserve">Ayuntamiento de </w:t>
      </w:r>
      <w:proofErr w:type="spellStart"/>
      <w:r w:rsidR="00C66A91" w:rsidRPr="00C66A91">
        <w:rPr>
          <w:rFonts w:ascii="Palatino Linotype" w:hAnsi="Palatino Linotype" w:cs="Tahoma"/>
          <w:b/>
          <w:szCs w:val="22"/>
        </w:rPr>
        <w:t>Joquicingo</w:t>
      </w:r>
      <w:proofErr w:type="spellEnd"/>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53710B" w:rsidRDefault="0053710B" w:rsidP="00E82989">
      <w:pPr>
        <w:spacing w:before="100" w:beforeAutospacing="1" w:after="100" w:afterAutospacing="1" w:line="360" w:lineRule="auto"/>
        <w:jc w:val="both"/>
        <w:rPr>
          <w:rFonts w:ascii="Palatino Linotype" w:hAnsi="Palatino Linotype" w:cs="Arial"/>
        </w:rPr>
      </w:pPr>
    </w:p>
    <w:p w:rsidR="00C66A91" w:rsidRPr="00C66A91" w:rsidRDefault="00C66A91" w:rsidP="00C66A91">
      <w:pPr>
        <w:pStyle w:val="Prrafodelista"/>
        <w:spacing w:before="100" w:beforeAutospacing="1" w:after="100" w:afterAutospacing="1"/>
        <w:ind w:right="708"/>
        <w:jc w:val="both"/>
        <w:rPr>
          <w:rFonts w:ascii="Palatino Linotype" w:hAnsi="Palatino Linotype" w:cs="Arial"/>
          <w:i/>
        </w:rPr>
      </w:pPr>
      <w:r w:rsidRPr="00C66A91">
        <w:rPr>
          <w:rFonts w:ascii="Palatino Linotype" w:hAnsi="Palatino Linotype" w:cs="Arial"/>
          <w:i/>
        </w:rPr>
        <w:lastRenderedPageBreak/>
        <w:t>1.</w:t>
      </w:r>
      <w:r w:rsidRPr="00C66A91">
        <w:rPr>
          <w:rFonts w:ascii="Palatino Linotype" w:hAnsi="Palatino Linotype" w:cs="Arial"/>
          <w:i/>
        </w:rPr>
        <w:tab/>
        <w:t xml:space="preserve">Presupuesto total asignado, en los ejercicios 2016, 2017, 2018 y 2019. </w:t>
      </w:r>
    </w:p>
    <w:p w:rsidR="00C66A91" w:rsidRPr="00C66A91" w:rsidRDefault="00C66A91" w:rsidP="00C66A91">
      <w:pPr>
        <w:pStyle w:val="Prrafodelista"/>
        <w:spacing w:before="100" w:beforeAutospacing="1" w:after="100" w:afterAutospacing="1"/>
        <w:ind w:right="708"/>
        <w:jc w:val="both"/>
        <w:rPr>
          <w:rFonts w:ascii="Palatino Linotype" w:hAnsi="Palatino Linotype" w:cs="Arial"/>
          <w:i/>
        </w:rPr>
      </w:pPr>
      <w:r w:rsidRPr="00C66A91">
        <w:rPr>
          <w:rFonts w:ascii="Palatino Linotype" w:hAnsi="Palatino Linotype" w:cs="Arial"/>
          <w:i/>
        </w:rPr>
        <w:t>2.</w:t>
      </w:r>
      <w:r w:rsidRPr="00C66A91">
        <w:rPr>
          <w:rFonts w:ascii="Palatino Linotype" w:hAnsi="Palatino Linotype" w:cs="Arial"/>
          <w:i/>
        </w:rPr>
        <w:tab/>
        <w:t xml:space="preserve">Número de servidores públicos adscritos en los años de 2016 al 31 de marzo de 2019. </w:t>
      </w:r>
    </w:p>
    <w:p w:rsidR="00C66A91" w:rsidRPr="00C66A91" w:rsidRDefault="00C66A91" w:rsidP="00C66A91">
      <w:pPr>
        <w:pStyle w:val="Prrafodelista"/>
        <w:spacing w:before="100" w:beforeAutospacing="1" w:after="100" w:afterAutospacing="1"/>
        <w:ind w:right="708"/>
        <w:jc w:val="both"/>
        <w:rPr>
          <w:rFonts w:ascii="Palatino Linotype" w:hAnsi="Palatino Linotype" w:cs="Arial"/>
          <w:i/>
        </w:rPr>
      </w:pPr>
      <w:r w:rsidRPr="00C66A91">
        <w:rPr>
          <w:rFonts w:ascii="Palatino Linotype" w:hAnsi="Palatino Linotype" w:cs="Arial"/>
          <w:i/>
        </w:rPr>
        <w:t>3.</w:t>
      </w:r>
      <w:r w:rsidRPr="00C66A91">
        <w:rPr>
          <w:rFonts w:ascii="Palatino Linotype" w:hAnsi="Palatino Linotype" w:cs="Arial"/>
          <w:i/>
        </w:rPr>
        <w:tab/>
        <w:t>Organigrama autorizado de los años 2016 a 2019, incluyendo acta de sesión de cabildo en la cual fue autorizado.</w:t>
      </w:r>
    </w:p>
    <w:p w:rsidR="00C66A91" w:rsidRPr="00C66A91" w:rsidRDefault="00C66A91" w:rsidP="00C66A91">
      <w:pPr>
        <w:pStyle w:val="Prrafodelista"/>
        <w:spacing w:before="100" w:beforeAutospacing="1" w:after="100" w:afterAutospacing="1"/>
        <w:ind w:right="708"/>
        <w:jc w:val="both"/>
        <w:rPr>
          <w:rFonts w:ascii="Palatino Linotype" w:hAnsi="Palatino Linotype" w:cs="Arial"/>
          <w:i/>
        </w:rPr>
      </w:pPr>
      <w:r w:rsidRPr="00C66A91">
        <w:rPr>
          <w:rFonts w:ascii="Palatino Linotype" w:hAnsi="Palatino Linotype" w:cs="Arial"/>
          <w:i/>
        </w:rPr>
        <w:t>4.</w:t>
      </w:r>
      <w:r w:rsidRPr="00C66A91">
        <w:rPr>
          <w:rFonts w:ascii="Palatino Linotype" w:hAnsi="Palatino Linotype" w:cs="Arial"/>
          <w:i/>
        </w:rPr>
        <w:tab/>
        <w:t xml:space="preserve">Número de servidores públicos que contaban con certificación de competencia laboral expedida por el Instituto Hacendario del Estado de México y/o por el Consejo Nacional de Normalización y Certificación de Competencias Laborales, de los años 2016 al 2019. </w:t>
      </w:r>
    </w:p>
    <w:p w:rsidR="00C66A91" w:rsidRPr="00C66A91" w:rsidRDefault="00C66A91" w:rsidP="00C66A91">
      <w:pPr>
        <w:pStyle w:val="Prrafodelista"/>
        <w:spacing w:before="100" w:beforeAutospacing="1" w:after="100" w:afterAutospacing="1"/>
        <w:ind w:right="708"/>
        <w:jc w:val="both"/>
        <w:rPr>
          <w:rFonts w:ascii="Palatino Linotype" w:hAnsi="Palatino Linotype" w:cs="Arial"/>
          <w:i/>
        </w:rPr>
      </w:pPr>
      <w:r w:rsidRPr="00C66A91">
        <w:rPr>
          <w:rFonts w:ascii="Palatino Linotype" w:hAnsi="Palatino Linotype" w:cs="Arial"/>
          <w:i/>
        </w:rPr>
        <w:t>5.</w:t>
      </w:r>
      <w:r w:rsidRPr="00C66A91">
        <w:rPr>
          <w:rFonts w:ascii="Palatino Linotype" w:hAnsi="Palatino Linotype" w:cs="Arial"/>
          <w:i/>
        </w:rPr>
        <w:tab/>
        <w:t xml:space="preserve">Sueldo neto anual percibido por el titular de la Contraloría Interna Municipal, de los años 2016 al 2019. </w:t>
      </w:r>
    </w:p>
    <w:p w:rsidR="00C66A91" w:rsidRPr="00C66A91" w:rsidRDefault="00C66A91" w:rsidP="00C66A91">
      <w:pPr>
        <w:pStyle w:val="Prrafodelista"/>
        <w:spacing w:before="100" w:beforeAutospacing="1" w:after="100" w:afterAutospacing="1"/>
        <w:ind w:right="708"/>
        <w:jc w:val="both"/>
        <w:rPr>
          <w:rFonts w:ascii="Palatino Linotype" w:hAnsi="Palatino Linotype" w:cs="Arial"/>
          <w:i/>
        </w:rPr>
      </w:pPr>
      <w:r w:rsidRPr="00C66A91">
        <w:rPr>
          <w:rFonts w:ascii="Palatino Linotype" w:hAnsi="Palatino Linotype" w:cs="Arial"/>
          <w:i/>
        </w:rPr>
        <w:t>6.</w:t>
      </w:r>
      <w:r w:rsidRPr="00C66A91">
        <w:rPr>
          <w:rFonts w:ascii="Palatino Linotype" w:hAnsi="Palatino Linotype" w:cs="Arial"/>
          <w:i/>
        </w:rPr>
        <w:tab/>
        <w:t xml:space="preserve">Total de egresos del capítulo 1000 “Servicios Personales” de los ejercicios 2016, al 2018 y presupuesto programado para el ejercicio 2019, para el mismo capítulo </w:t>
      </w:r>
    </w:p>
    <w:p w:rsidR="0053710B" w:rsidRPr="00F61512" w:rsidRDefault="00C66A91" w:rsidP="00C66A91">
      <w:pPr>
        <w:pStyle w:val="Prrafodelista"/>
        <w:spacing w:before="100" w:beforeAutospacing="1" w:after="100" w:afterAutospacing="1"/>
        <w:ind w:right="708"/>
        <w:jc w:val="both"/>
        <w:rPr>
          <w:rFonts w:ascii="Palatino Linotype" w:hAnsi="Palatino Linotype" w:cs="Arial"/>
          <w:i/>
        </w:rPr>
      </w:pPr>
      <w:r w:rsidRPr="00C66A91">
        <w:rPr>
          <w:rFonts w:ascii="Palatino Linotype" w:hAnsi="Palatino Linotype" w:cs="Arial"/>
          <w:i/>
        </w:rPr>
        <w:t>7.</w:t>
      </w:r>
      <w:r w:rsidRPr="00C66A91">
        <w:rPr>
          <w:rFonts w:ascii="Palatino Linotype" w:hAnsi="Palatino Linotype" w:cs="Arial"/>
          <w:i/>
        </w:rPr>
        <w:tab/>
        <w:t>Perfiles de puestos de los servidores públicos adscritos a la Contraloría Interna Municipal y en caso de existir la información, indicar si los mismos tuvieron modificaciones derivado de la entrada en vigor de la Ley de Responsabilidades Administrativas del Estado de México.</w:t>
      </w:r>
    </w:p>
    <w:p w:rsidR="00990B21" w:rsidRPr="003223C2" w:rsidRDefault="00F7009C" w:rsidP="00E82989">
      <w:pPr>
        <w:spacing w:before="100" w:beforeAutospacing="1" w:after="100" w:afterAutospacing="1" w:line="360" w:lineRule="auto"/>
        <w:jc w:val="both"/>
        <w:rPr>
          <w:rFonts w:ascii="Palatino Linotype" w:eastAsia="MS Mincho" w:hAnsi="Palatino Linotype" w:cstheme="majorBidi"/>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mediante respuesta, remitió diversos archivos electrónicos encaminados a satisfacer el derecho de acceso a la información pública accionado por el particular.</w:t>
      </w:r>
    </w:p>
    <w:p w:rsidR="00754E11" w:rsidRPr="00FB1347" w:rsidRDefault="000D1731" w:rsidP="00990B21">
      <w:pPr>
        <w:spacing w:before="100" w:beforeAutospacing="1" w:after="100" w:afterAutospacing="1" w:line="360" w:lineRule="auto"/>
        <w:jc w:val="both"/>
        <w:rPr>
          <w:rFonts w:ascii="Palatino Linotype" w:hAnsi="Palatino Linotype" w:cs="Arial"/>
          <w:i/>
          <w:sz w:val="22"/>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A82BA7">
        <w:rPr>
          <w:rFonts w:ascii="Palatino Linotype" w:hAnsi="Palatino Linotype" w:cs="Arial"/>
        </w:rPr>
        <w:t>no remitía la información con apego a las diferentes normatividades que rigen la materia</w:t>
      </w:r>
      <w:r w:rsidR="00990B21">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lastRenderedPageBreak/>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F61512">
        <w:rPr>
          <w:rFonts w:ascii="Palatino Linotype" w:hAnsi="Palatino Linotype" w:cs="Arial"/>
          <w:b/>
        </w:rPr>
        <w:t>MODIFICAR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984770" w:rsidRPr="004A7F3B">
        <w:rPr>
          <w:rFonts w:ascii="Palatino Linotype" w:eastAsia="Calibri" w:hAnsi="Palatino Linotype" w:cs="Arial"/>
        </w:rPr>
        <w:t xml:space="preserve">ordenándole </w:t>
      </w:r>
      <w:r w:rsidR="00A82BA7" w:rsidRPr="001162E1">
        <w:rPr>
          <w:rFonts w:ascii="Palatino Linotype" w:hAnsi="Palatino Linotype"/>
          <w:lang w:val="es-MX"/>
        </w:rPr>
        <w:t>que</w:t>
      </w:r>
      <w:r w:rsidR="00A82BA7" w:rsidRPr="001162E1">
        <w:rPr>
          <w:rFonts w:ascii="Palatino Linotype" w:hAnsi="Palatino Linotype"/>
          <w:b/>
          <w:lang w:val="es-MX"/>
        </w:rPr>
        <w:t xml:space="preserve"> </w:t>
      </w:r>
      <w:r w:rsidR="00A82BA7" w:rsidRPr="001162E1">
        <w:rPr>
          <w:rFonts w:ascii="Palatino Linotype" w:hAnsi="Palatino Linotype"/>
          <w:lang w:val="es-MX"/>
        </w:rPr>
        <w:t xml:space="preserve">en términos del Considerando </w:t>
      </w:r>
      <w:r w:rsidR="00A82BA7" w:rsidRPr="001162E1">
        <w:rPr>
          <w:rFonts w:ascii="Palatino Linotype" w:hAnsi="Palatino Linotype"/>
          <w:b/>
          <w:lang w:val="es-MX"/>
        </w:rPr>
        <w:t xml:space="preserve">Cuarto </w:t>
      </w:r>
      <w:r w:rsidR="00A82BA7">
        <w:rPr>
          <w:rFonts w:ascii="Palatino Linotype" w:hAnsi="Palatino Linotype"/>
          <w:lang w:val="es-MX"/>
        </w:rPr>
        <w:t>de la</w:t>
      </w:r>
      <w:r w:rsidR="00A82BA7" w:rsidRPr="001162E1">
        <w:rPr>
          <w:rFonts w:ascii="Palatino Linotype" w:hAnsi="Palatino Linotype"/>
          <w:lang w:val="es-MX"/>
        </w:rPr>
        <w:t xml:space="preserve"> resolución </w:t>
      </w:r>
      <w:r w:rsidR="00A82BA7">
        <w:rPr>
          <w:rFonts w:ascii="Palatino Linotype" w:hAnsi="Palatino Linotype"/>
          <w:lang w:val="es-MX"/>
        </w:rPr>
        <w:t xml:space="preserve">de mérito </w:t>
      </w:r>
      <w:r w:rsidR="00A82BA7" w:rsidRPr="001162E1">
        <w:rPr>
          <w:rFonts w:ascii="Palatino Linotype" w:hAnsi="Palatino Linotype"/>
          <w:lang w:val="es-MX"/>
        </w:rPr>
        <w:t>haga entrega, vía SAIMEX</w:t>
      </w:r>
      <w:r w:rsidR="00A82BA7" w:rsidRPr="001162E1">
        <w:rPr>
          <w:rFonts w:ascii="Palatino Linotype" w:eastAsia="Arial Unicode MS" w:hAnsi="Palatino Linotype" w:cs="Arial"/>
        </w:rPr>
        <w:t xml:space="preserve">, previa búsqueda exhaustiva y razonable, de ser el caso en versión pública,  </w:t>
      </w:r>
      <w:r w:rsidR="00A82BA7" w:rsidRPr="001162E1">
        <w:rPr>
          <w:rFonts w:ascii="Palatino Linotype" w:hAnsi="Palatino Linotype" w:cs="Arial"/>
          <w:lang w:val="es-MX"/>
        </w:rPr>
        <w:t xml:space="preserve"> el o los documentos en donde conste:</w:t>
      </w:r>
      <w:r w:rsidR="00984770" w:rsidRPr="00997924">
        <w:rPr>
          <w:rFonts w:ascii="Palatino Linotype" w:hAnsi="Palatino Linotype" w:cs="Tahoma"/>
          <w:sz w:val="22"/>
          <w:szCs w:val="22"/>
        </w:rPr>
        <w:t xml:space="preserve"> </w:t>
      </w:r>
      <w:r w:rsidR="00984770">
        <w:rPr>
          <w:rFonts w:ascii="Palatino Linotype" w:eastAsia="Calibri" w:hAnsi="Palatino Linotype" w:cs="Arial"/>
        </w:rPr>
        <w:t xml:space="preserve"> </w:t>
      </w:r>
    </w:p>
    <w:p w:rsidR="00A82BA7" w:rsidRPr="00A82BA7" w:rsidRDefault="00A82BA7" w:rsidP="00A82BA7">
      <w:pPr>
        <w:ind w:left="720" w:right="708"/>
        <w:jc w:val="both"/>
        <w:rPr>
          <w:rFonts w:ascii="Palatino Linotype" w:eastAsia="Calibri" w:hAnsi="Palatino Linotype" w:cs="Tahoma"/>
          <w:i/>
          <w:iCs/>
          <w:sz w:val="22"/>
          <w:szCs w:val="22"/>
          <w:lang w:eastAsia="es-ES_tradnl"/>
        </w:rPr>
      </w:pPr>
      <w:r w:rsidRPr="00A82BA7">
        <w:rPr>
          <w:rFonts w:ascii="Palatino Linotype" w:eastAsia="Calibri" w:hAnsi="Palatino Linotype" w:cs="Tahoma"/>
          <w:i/>
          <w:iCs/>
          <w:sz w:val="22"/>
          <w:szCs w:val="22"/>
          <w:lang w:eastAsia="es-ES_tradnl"/>
        </w:rPr>
        <w:t>a)</w:t>
      </w:r>
      <w:r w:rsidRPr="00A82BA7">
        <w:rPr>
          <w:rFonts w:ascii="Palatino Linotype" w:eastAsia="Calibri" w:hAnsi="Palatino Linotype" w:cs="Tahoma"/>
          <w:i/>
          <w:iCs/>
          <w:sz w:val="22"/>
          <w:szCs w:val="22"/>
          <w:lang w:eastAsia="es-ES_tradnl"/>
        </w:rPr>
        <w:tab/>
        <w:t>Los Organigramas autorizados donde se advierta la estructura de la Contraloría Interna Municipal de los años de 2016 al 2019;</w:t>
      </w:r>
    </w:p>
    <w:p w:rsidR="00A82BA7" w:rsidRPr="00A82BA7" w:rsidRDefault="00A82BA7" w:rsidP="00A82BA7">
      <w:pPr>
        <w:ind w:left="720" w:right="708"/>
        <w:jc w:val="both"/>
        <w:rPr>
          <w:rFonts w:ascii="Palatino Linotype" w:eastAsia="Calibri" w:hAnsi="Palatino Linotype" w:cs="Tahoma"/>
          <w:i/>
          <w:iCs/>
          <w:sz w:val="22"/>
          <w:szCs w:val="22"/>
          <w:lang w:eastAsia="es-ES_tradnl"/>
        </w:rPr>
      </w:pPr>
    </w:p>
    <w:p w:rsidR="00A82BA7" w:rsidRPr="00A82BA7" w:rsidRDefault="00A82BA7" w:rsidP="00A82BA7">
      <w:pPr>
        <w:ind w:left="720" w:right="708"/>
        <w:jc w:val="both"/>
        <w:rPr>
          <w:rFonts w:ascii="Palatino Linotype" w:eastAsia="Calibri" w:hAnsi="Palatino Linotype" w:cs="Tahoma"/>
          <w:i/>
          <w:iCs/>
          <w:sz w:val="22"/>
          <w:szCs w:val="22"/>
          <w:lang w:eastAsia="es-ES_tradnl"/>
        </w:rPr>
      </w:pPr>
      <w:r w:rsidRPr="00A82BA7">
        <w:rPr>
          <w:rFonts w:ascii="Palatino Linotype" w:eastAsia="Calibri" w:hAnsi="Palatino Linotype" w:cs="Tahoma"/>
          <w:i/>
          <w:iCs/>
          <w:sz w:val="22"/>
          <w:szCs w:val="22"/>
          <w:lang w:eastAsia="es-ES_tradnl"/>
        </w:rPr>
        <w:t>b)</w:t>
      </w:r>
      <w:r w:rsidRPr="00A82BA7">
        <w:rPr>
          <w:rFonts w:ascii="Palatino Linotype" w:eastAsia="Calibri" w:hAnsi="Palatino Linotype" w:cs="Tahoma"/>
          <w:i/>
          <w:iCs/>
          <w:sz w:val="22"/>
          <w:szCs w:val="22"/>
          <w:lang w:eastAsia="es-ES_tradnl"/>
        </w:rPr>
        <w:tab/>
        <w:t xml:space="preserve"> Las actas de cabildo en las que fueron autorizados los organigramas referidos en el inciso anterior;</w:t>
      </w:r>
    </w:p>
    <w:p w:rsidR="00A82BA7" w:rsidRPr="00A82BA7" w:rsidRDefault="00A82BA7" w:rsidP="00A82BA7">
      <w:pPr>
        <w:ind w:left="720" w:right="708"/>
        <w:jc w:val="both"/>
        <w:rPr>
          <w:rFonts w:ascii="Palatino Linotype" w:eastAsia="Calibri" w:hAnsi="Palatino Linotype" w:cs="Tahoma"/>
          <w:i/>
          <w:iCs/>
          <w:sz w:val="22"/>
          <w:szCs w:val="22"/>
          <w:lang w:eastAsia="es-ES_tradnl"/>
        </w:rPr>
      </w:pPr>
    </w:p>
    <w:p w:rsidR="00A82BA7" w:rsidRPr="00A82BA7" w:rsidRDefault="00A82BA7" w:rsidP="00A82BA7">
      <w:pPr>
        <w:ind w:left="720" w:right="708"/>
        <w:jc w:val="both"/>
        <w:rPr>
          <w:rFonts w:ascii="Palatino Linotype" w:eastAsia="Calibri" w:hAnsi="Palatino Linotype" w:cs="Tahoma"/>
          <w:i/>
          <w:iCs/>
          <w:sz w:val="22"/>
          <w:szCs w:val="22"/>
          <w:lang w:eastAsia="es-ES_tradnl"/>
        </w:rPr>
      </w:pPr>
      <w:r w:rsidRPr="00A82BA7">
        <w:rPr>
          <w:rFonts w:ascii="Palatino Linotype" w:eastAsia="Calibri" w:hAnsi="Palatino Linotype" w:cs="Tahoma"/>
          <w:i/>
          <w:iCs/>
          <w:sz w:val="22"/>
          <w:szCs w:val="22"/>
          <w:lang w:eastAsia="es-ES_tradnl"/>
        </w:rPr>
        <w:t>c)</w:t>
      </w:r>
      <w:r w:rsidRPr="00A82BA7">
        <w:rPr>
          <w:rFonts w:ascii="Palatino Linotype" w:eastAsia="Calibri" w:hAnsi="Palatino Linotype" w:cs="Tahoma"/>
          <w:i/>
          <w:iCs/>
          <w:sz w:val="22"/>
          <w:szCs w:val="22"/>
          <w:lang w:eastAsia="es-ES_tradnl"/>
        </w:rPr>
        <w:tab/>
        <w:t xml:space="preserve"> El número de servidores adscritos a la Contraloría Interna Municipal, que cuenten con certificados expedidos por el Instituto Hacendario del Estado de México y/o por el Consejo Nacional de Normalización y Certificación de Competencias Laborales, de los años 2016 al 1 de agosto de 2019;</w:t>
      </w:r>
    </w:p>
    <w:p w:rsidR="00A82BA7" w:rsidRPr="00A82BA7" w:rsidRDefault="00A82BA7" w:rsidP="00A82BA7">
      <w:pPr>
        <w:ind w:left="720" w:right="708"/>
        <w:jc w:val="both"/>
        <w:rPr>
          <w:rFonts w:ascii="Palatino Linotype" w:eastAsia="Calibri" w:hAnsi="Palatino Linotype" w:cs="Tahoma"/>
          <w:i/>
          <w:iCs/>
          <w:sz w:val="22"/>
          <w:szCs w:val="22"/>
          <w:lang w:eastAsia="es-ES_tradnl"/>
        </w:rPr>
      </w:pPr>
    </w:p>
    <w:p w:rsidR="00A82BA7" w:rsidRPr="00A82BA7" w:rsidRDefault="00A82BA7" w:rsidP="00A82BA7">
      <w:pPr>
        <w:ind w:left="720" w:right="708"/>
        <w:jc w:val="both"/>
        <w:rPr>
          <w:rFonts w:ascii="Palatino Linotype" w:eastAsia="Calibri" w:hAnsi="Palatino Linotype" w:cs="Tahoma"/>
          <w:i/>
          <w:iCs/>
          <w:sz w:val="22"/>
          <w:szCs w:val="22"/>
          <w:lang w:eastAsia="es-ES_tradnl"/>
        </w:rPr>
      </w:pPr>
      <w:r w:rsidRPr="00A82BA7">
        <w:rPr>
          <w:rFonts w:ascii="Palatino Linotype" w:eastAsia="Calibri" w:hAnsi="Palatino Linotype" w:cs="Tahoma"/>
          <w:i/>
          <w:iCs/>
          <w:sz w:val="22"/>
          <w:szCs w:val="22"/>
          <w:lang w:eastAsia="es-ES_tradnl"/>
        </w:rPr>
        <w:t>d)</w:t>
      </w:r>
      <w:r w:rsidRPr="00A82BA7">
        <w:rPr>
          <w:rFonts w:ascii="Palatino Linotype" w:eastAsia="Calibri" w:hAnsi="Palatino Linotype" w:cs="Tahoma"/>
          <w:i/>
          <w:iCs/>
          <w:sz w:val="22"/>
          <w:szCs w:val="22"/>
          <w:lang w:eastAsia="es-ES_tradnl"/>
        </w:rPr>
        <w:tab/>
        <w:t xml:space="preserve"> Las Certificaciones de Competencia Laboral expedidos por el Instituto Hacendario del Estado de México al titular de la Contraloría Interna Municipal, de los años 2016 al 2019;</w:t>
      </w:r>
    </w:p>
    <w:p w:rsidR="00A82BA7" w:rsidRPr="00A82BA7" w:rsidRDefault="00A82BA7" w:rsidP="00A82BA7">
      <w:pPr>
        <w:ind w:left="720" w:right="708"/>
        <w:jc w:val="both"/>
        <w:rPr>
          <w:rFonts w:ascii="Palatino Linotype" w:eastAsia="Calibri" w:hAnsi="Palatino Linotype" w:cs="Tahoma"/>
          <w:i/>
          <w:iCs/>
          <w:sz w:val="22"/>
          <w:szCs w:val="22"/>
          <w:lang w:eastAsia="es-ES_tradnl"/>
        </w:rPr>
      </w:pPr>
    </w:p>
    <w:p w:rsidR="00A82BA7" w:rsidRPr="00A82BA7" w:rsidRDefault="00A82BA7" w:rsidP="00A82BA7">
      <w:pPr>
        <w:ind w:left="720" w:right="708"/>
        <w:jc w:val="both"/>
        <w:rPr>
          <w:rFonts w:ascii="Palatino Linotype" w:eastAsia="Calibri" w:hAnsi="Palatino Linotype" w:cs="Tahoma"/>
          <w:i/>
          <w:iCs/>
          <w:sz w:val="22"/>
          <w:szCs w:val="22"/>
          <w:lang w:eastAsia="es-ES_tradnl"/>
        </w:rPr>
      </w:pPr>
      <w:r w:rsidRPr="00A82BA7">
        <w:rPr>
          <w:rFonts w:ascii="Palatino Linotype" w:eastAsia="Calibri" w:hAnsi="Palatino Linotype" w:cs="Tahoma"/>
          <w:i/>
          <w:iCs/>
          <w:sz w:val="22"/>
          <w:szCs w:val="22"/>
          <w:lang w:eastAsia="es-ES_tradnl"/>
        </w:rPr>
        <w:t>e)</w:t>
      </w:r>
      <w:r w:rsidRPr="00A82BA7">
        <w:rPr>
          <w:rFonts w:ascii="Palatino Linotype" w:eastAsia="Calibri" w:hAnsi="Palatino Linotype" w:cs="Tahoma"/>
          <w:i/>
          <w:iCs/>
          <w:sz w:val="22"/>
          <w:szCs w:val="22"/>
          <w:lang w:eastAsia="es-ES_tradnl"/>
        </w:rPr>
        <w:tab/>
        <w:t xml:space="preserve"> Los perfiles de puestos de los servidores públicos adscritos a la Contraloría Interna Municipal de la administración pública municipal 2019-2021.</w:t>
      </w:r>
    </w:p>
    <w:p w:rsidR="00A82BA7" w:rsidRPr="00A82BA7" w:rsidRDefault="00A82BA7" w:rsidP="00A82BA7">
      <w:pPr>
        <w:ind w:right="708"/>
        <w:jc w:val="both"/>
        <w:rPr>
          <w:rFonts w:ascii="Palatino Linotype" w:eastAsia="Calibri" w:hAnsi="Palatino Linotype" w:cs="Tahoma"/>
          <w:i/>
          <w:iCs/>
          <w:sz w:val="22"/>
          <w:szCs w:val="22"/>
          <w:lang w:eastAsia="es-ES_tradnl"/>
        </w:rPr>
      </w:pPr>
    </w:p>
    <w:p w:rsidR="00A82BA7" w:rsidRPr="00A82BA7" w:rsidRDefault="00A82BA7" w:rsidP="00A82BA7">
      <w:pPr>
        <w:ind w:left="720" w:right="708"/>
        <w:jc w:val="both"/>
        <w:rPr>
          <w:rFonts w:ascii="Palatino Linotype" w:eastAsia="Calibri" w:hAnsi="Palatino Linotype" w:cs="Tahoma"/>
          <w:i/>
          <w:iCs/>
          <w:sz w:val="22"/>
          <w:szCs w:val="22"/>
          <w:lang w:eastAsia="es-ES_tradnl"/>
        </w:rPr>
      </w:pPr>
      <w:r w:rsidRPr="00A82BA7">
        <w:rPr>
          <w:rFonts w:ascii="Palatino Linotype" w:eastAsia="Calibri" w:hAnsi="Palatino Linotype" w:cs="Tahoma"/>
          <w:i/>
          <w:iCs/>
          <w:sz w:val="22"/>
          <w:szCs w:val="22"/>
          <w:lang w:eastAsia="es-ES_tradnl"/>
        </w:rPr>
        <w:t>Para la entrega de la información en versión pública, de ser necesario se deberá emitir el Acuerdo del Comité de Transparencia de acuerdo con la Ley de Transparencia y Acceso a la Información Pública del Estado de México y Municipios, en el que funden y motiven las razones sobre los datos que se supriman, mismo que también hará de conocimiento del particular.</w:t>
      </w:r>
    </w:p>
    <w:p w:rsidR="00A82BA7" w:rsidRPr="00A82BA7" w:rsidRDefault="00A82BA7" w:rsidP="00A82BA7">
      <w:pPr>
        <w:ind w:left="720" w:right="708"/>
        <w:jc w:val="both"/>
        <w:rPr>
          <w:rFonts w:ascii="Palatino Linotype" w:eastAsia="Calibri" w:hAnsi="Palatino Linotype" w:cs="Tahoma"/>
          <w:i/>
          <w:iCs/>
          <w:sz w:val="22"/>
          <w:szCs w:val="22"/>
          <w:lang w:eastAsia="es-ES_tradnl"/>
        </w:rPr>
      </w:pPr>
      <w:r w:rsidRPr="00A82BA7">
        <w:rPr>
          <w:rFonts w:ascii="Palatino Linotype" w:eastAsia="Calibri" w:hAnsi="Palatino Linotype" w:cs="Tahoma"/>
          <w:i/>
          <w:iCs/>
          <w:sz w:val="22"/>
          <w:szCs w:val="22"/>
          <w:lang w:eastAsia="es-ES_tradnl"/>
        </w:rPr>
        <w:t>De ser el caso que EL SUJETO OBLIGADO no cuente con las actas referidas en el inciso b), por no haberse aprobado los organigramas de los años 2016 al 2019, mediante sesión de Cabildo, deberá hacerlo del conocimiento del RECURRENTE.</w:t>
      </w:r>
    </w:p>
    <w:p w:rsidR="00A82BA7" w:rsidRPr="00A82BA7" w:rsidRDefault="00A82BA7" w:rsidP="00A82BA7">
      <w:pPr>
        <w:ind w:left="720" w:right="708"/>
        <w:jc w:val="both"/>
        <w:rPr>
          <w:rFonts w:ascii="Palatino Linotype" w:eastAsia="Calibri" w:hAnsi="Palatino Linotype" w:cs="Tahoma"/>
          <w:i/>
          <w:iCs/>
          <w:sz w:val="22"/>
          <w:szCs w:val="22"/>
          <w:lang w:eastAsia="es-ES_tradnl"/>
        </w:rPr>
      </w:pPr>
    </w:p>
    <w:p w:rsidR="00431C02" w:rsidRDefault="00A82BA7" w:rsidP="00A82BA7">
      <w:pPr>
        <w:ind w:left="720" w:right="708"/>
        <w:jc w:val="both"/>
        <w:rPr>
          <w:rFonts w:ascii="Palatino Linotype" w:eastAsia="Arial Unicode MS" w:hAnsi="Palatino Linotype" w:cs="Arial"/>
          <w:i/>
          <w:sz w:val="22"/>
          <w:szCs w:val="22"/>
        </w:rPr>
      </w:pPr>
      <w:r w:rsidRPr="00A82BA7">
        <w:rPr>
          <w:rFonts w:ascii="Palatino Linotype" w:eastAsia="Calibri" w:hAnsi="Palatino Linotype" w:cs="Tahoma"/>
          <w:i/>
          <w:iCs/>
          <w:sz w:val="22"/>
          <w:szCs w:val="22"/>
          <w:lang w:eastAsia="es-ES_tradnl"/>
        </w:rPr>
        <w:t xml:space="preserve">Par el caso de no localizar la información a la que se refiere el inciso d)  referente a la Certificación de Competencia Laboral expedidos por el Instituto Hacendario del Estado </w:t>
      </w:r>
      <w:r w:rsidRPr="00A82BA7">
        <w:rPr>
          <w:rFonts w:ascii="Palatino Linotype" w:eastAsia="Calibri" w:hAnsi="Palatino Linotype" w:cs="Tahoma"/>
          <w:i/>
          <w:iCs/>
          <w:sz w:val="22"/>
          <w:szCs w:val="22"/>
          <w:lang w:eastAsia="es-ES_tradnl"/>
        </w:rPr>
        <w:lastRenderedPageBreak/>
        <w:t xml:space="preserve">de México al titular de la Contraloría Interna Municipal en funciones a la fecha de la solicitud,  deberá entregar la </w:t>
      </w:r>
      <w:r>
        <w:rPr>
          <w:rFonts w:ascii="Palatino Linotype" w:eastAsia="Calibri" w:hAnsi="Palatino Linotype" w:cs="Tahoma"/>
          <w:i/>
          <w:iCs/>
          <w:sz w:val="22"/>
          <w:szCs w:val="22"/>
          <w:lang w:eastAsia="es-ES_tradnl"/>
        </w:rPr>
        <w:t>declaratoria de la inexistencia</w:t>
      </w:r>
      <w:r w:rsidR="00F61512" w:rsidRPr="00F61512">
        <w:rPr>
          <w:rFonts w:ascii="Palatino Linotype" w:eastAsia="Arial Unicode MS" w:hAnsi="Palatino Linotype" w:cs="Arial"/>
          <w:i/>
          <w:sz w:val="22"/>
          <w:szCs w:val="22"/>
        </w:rPr>
        <w:t>.</w:t>
      </w:r>
    </w:p>
    <w:p w:rsidR="00431C02" w:rsidRDefault="00431C02" w:rsidP="00A82BA7">
      <w:pPr>
        <w:ind w:left="720" w:right="708"/>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p>
    <w:p w:rsidR="00D21672" w:rsidRPr="00F61512" w:rsidRDefault="00431C02" w:rsidP="00A82BA7">
      <w:pPr>
        <w:ind w:left="720" w:right="708"/>
        <w:jc w:val="both"/>
        <w:rPr>
          <w:rFonts w:ascii="Palatino Linotype" w:eastAsia="Calibri" w:hAnsi="Palatino Linotype" w:cs="Arial"/>
          <w:i/>
          <w:sz w:val="22"/>
          <w:szCs w:val="22"/>
        </w:rPr>
      </w:pPr>
      <w:r w:rsidRPr="00431C02">
        <w:rPr>
          <w:rFonts w:ascii="Palatino Linotype" w:eastAsia="Arial Unicode MS" w:hAnsi="Palatino Linotype" w:cs="Arial"/>
          <w:i/>
          <w:sz w:val="22"/>
          <w:szCs w:val="22"/>
        </w:rPr>
        <w:t>Cuarto. Hágase del conocimiento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 o interponer Recurso de Inconformidad en términos de lo establecido en l</w:t>
      </w:r>
      <w:r w:rsidRPr="00431C02">
        <w:rPr>
          <w:rFonts w:ascii="Palatino Linotype" w:eastAsia="Arial Unicode MS" w:hAnsi="Palatino Linotype" w:cs="Arial"/>
          <w:b/>
          <w:i/>
          <w:sz w:val="22"/>
          <w:szCs w:val="22"/>
        </w:rPr>
        <w:t>os artículos 159 y 160, fracción II, de la Ley General de Transparencia y Acceso a la Información Pública</w:t>
      </w:r>
      <w:r w:rsidRPr="00431C02">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w:t>
      </w:r>
      <w:r>
        <w:rPr>
          <w:rFonts w:ascii="Palatino Linotype" w:hAnsi="Palatino Linotype" w:cs="Arial"/>
        </w:rPr>
        <w:lastRenderedPageBreak/>
        <w:t>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5831CB">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así 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tbl>
      <w:tblPr>
        <w:tblpPr w:leftFromText="141" w:rightFromText="141" w:vertAnchor="text" w:horzAnchor="margin" w:tblpXSpec="center" w:tblpY="3334"/>
        <w:tblOverlap w:val="never"/>
        <w:tblW w:w="2665" w:type="dxa"/>
        <w:tblLayout w:type="fixed"/>
        <w:tblLook w:val="04A0" w:firstRow="1" w:lastRow="0" w:firstColumn="1" w:lastColumn="0" w:noHBand="0" w:noVBand="1"/>
      </w:tblPr>
      <w:tblGrid>
        <w:gridCol w:w="2665"/>
      </w:tblGrid>
      <w:tr w:rsidR="005831CB" w:rsidRPr="001B6F4B" w:rsidTr="00EF1C60">
        <w:trPr>
          <w:trHeight w:val="741"/>
        </w:trPr>
        <w:tc>
          <w:tcPr>
            <w:tcW w:w="2665" w:type="dxa"/>
          </w:tcPr>
          <w:p w:rsidR="005831CB" w:rsidRDefault="005831CB" w:rsidP="00EF1C60">
            <w:pPr>
              <w:ind w:right="49"/>
              <w:jc w:val="center"/>
              <w:rPr>
                <w:rFonts w:ascii="Palatino Linotype" w:hAnsi="Palatino Linotype" w:cs="Arial"/>
                <w:b/>
              </w:rPr>
            </w:pPr>
          </w:p>
          <w:p w:rsidR="002D037C" w:rsidRDefault="002D037C" w:rsidP="00EF1C60">
            <w:pPr>
              <w:ind w:right="49"/>
              <w:jc w:val="center"/>
              <w:rPr>
                <w:rFonts w:ascii="Palatino Linotype" w:hAnsi="Palatino Linotype" w:cs="Arial"/>
                <w:b/>
              </w:rPr>
            </w:pPr>
          </w:p>
          <w:p w:rsidR="002D037C" w:rsidRDefault="002D037C" w:rsidP="00EF1C60">
            <w:pPr>
              <w:ind w:right="49"/>
              <w:jc w:val="center"/>
              <w:rPr>
                <w:rFonts w:ascii="Palatino Linotype" w:hAnsi="Palatino Linotype" w:cs="Arial"/>
                <w:b/>
              </w:rPr>
            </w:pPr>
          </w:p>
          <w:p w:rsidR="002D037C" w:rsidRDefault="002D037C" w:rsidP="00EF1C60">
            <w:pPr>
              <w:ind w:right="49"/>
              <w:jc w:val="center"/>
              <w:rPr>
                <w:rFonts w:ascii="Palatino Linotype" w:hAnsi="Palatino Linotype" w:cs="Arial"/>
                <w:b/>
              </w:rPr>
            </w:pPr>
          </w:p>
          <w:p w:rsidR="002D037C" w:rsidRDefault="002D037C"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r w:rsidRPr="0061470D">
              <w:rPr>
                <w:rFonts w:ascii="Palatino Linotype" w:hAnsi="Palatino Linotype" w:cs="Arial"/>
                <w:b/>
              </w:rPr>
              <w:t>EVA ABAID YAPUR</w:t>
            </w:r>
          </w:p>
          <w:p w:rsidR="005831CB" w:rsidRDefault="005831CB" w:rsidP="002D037C">
            <w:pPr>
              <w:ind w:right="49"/>
              <w:jc w:val="center"/>
              <w:rPr>
                <w:rFonts w:ascii="Palatino Linotype" w:hAnsi="Palatino Linotype" w:cs="Arial"/>
                <w:b/>
              </w:rPr>
            </w:pPr>
            <w:r w:rsidRPr="0061470D">
              <w:rPr>
                <w:rFonts w:ascii="Palatino Linotype" w:hAnsi="Palatino Linotype" w:cs="Arial"/>
                <w:b/>
              </w:rPr>
              <w:t>COMISIONADA</w:t>
            </w:r>
          </w:p>
          <w:p w:rsidR="00A8523B" w:rsidRPr="00AB7173" w:rsidRDefault="00A8523B" w:rsidP="002D037C">
            <w:pPr>
              <w:ind w:right="49"/>
              <w:jc w:val="center"/>
              <w:rPr>
                <w:rFonts w:ascii="Palatino Linotype" w:hAnsi="Palatino Linotype" w:cs="Arial"/>
                <w:b/>
              </w:rPr>
            </w:pPr>
            <w:r>
              <w:rPr>
                <w:rFonts w:ascii="Palatino Linotype" w:hAnsi="Palatino Linotype"/>
                <w:b/>
              </w:rPr>
              <w:t>(RÚBRICA)</w:t>
            </w:r>
            <w:bookmarkStart w:id="0" w:name="_GoBack"/>
            <w:bookmarkEnd w:id="0"/>
          </w:p>
        </w:tc>
      </w:tr>
    </w:tbl>
    <w:p w:rsidR="004526B8" w:rsidRPr="00A83AA6" w:rsidRDefault="005831CB" w:rsidP="00A83AA6">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2D037C" w:rsidRDefault="002D037C" w:rsidP="001B5DD5">
      <w:pPr>
        <w:ind w:right="49"/>
        <w:jc w:val="both"/>
        <w:rPr>
          <w:rFonts w:ascii="Palatino Linotype" w:eastAsia="Calibri" w:hAnsi="Palatino Linotype" w:cs="Arial"/>
          <w:color w:val="000000" w:themeColor="text1"/>
          <w:sz w:val="18"/>
          <w:szCs w:val="20"/>
        </w:rPr>
      </w:pPr>
    </w:p>
    <w:p w:rsidR="002D037C" w:rsidRDefault="002D037C" w:rsidP="001B5DD5">
      <w:pPr>
        <w:ind w:right="49"/>
        <w:jc w:val="both"/>
        <w:rPr>
          <w:rFonts w:ascii="Palatino Linotype" w:eastAsia="Calibri" w:hAnsi="Palatino Linotype" w:cs="Arial"/>
          <w:color w:val="000000" w:themeColor="text1"/>
          <w:sz w:val="18"/>
          <w:szCs w:val="20"/>
        </w:rPr>
      </w:pPr>
    </w:p>
    <w:p w:rsidR="002D037C" w:rsidRDefault="002D037C" w:rsidP="001B5DD5">
      <w:pPr>
        <w:ind w:right="49"/>
        <w:jc w:val="both"/>
        <w:rPr>
          <w:rFonts w:ascii="Palatino Linotype" w:eastAsia="Calibri" w:hAnsi="Palatino Linotype" w:cs="Arial"/>
          <w:color w:val="000000" w:themeColor="text1"/>
          <w:sz w:val="18"/>
          <w:szCs w:val="20"/>
        </w:rPr>
      </w:pPr>
    </w:p>
    <w:p w:rsidR="002D037C" w:rsidRDefault="002D037C" w:rsidP="001B5DD5">
      <w:pPr>
        <w:ind w:right="49"/>
        <w:jc w:val="both"/>
        <w:rPr>
          <w:rFonts w:ascii="Palatino Linotype" w:eastAsia="Calibri" w:hAnsi="Palatino Linotype" w:cs="Arial"/>
          <w:color w:val="000000" w:themeColor="text1"/>
          <w:sz w:val="18"/>
          <w:szCs w:val="20"/>
        </w:rPr>
      </w:pPr>
    </w:p>
    <w:p w:rsidR="002D037C" w:rsidRDefault="002D037C" w:rsidP="001B5DD5">
      <w:pPr>
        <w:ind w:right="49"/>
        <w:jc w:val="both"/>
        <w:rPr>
          <w:rFonts w:ascii="Palatino Linotype" w:eastAsia="Calibri" w:hAnsi="Palatino Linotype" w:cs="Arial"/>
          <w:color w:val="000000" w:themeColor="text1"/>
          <w:sz w:val="18"/>
          <w:szCs w:val="20"/>
        </w:rPr>
      </w:pPr>
    </w:p>
    <w:p w:rsidR="002D037C" w:rsidRDefault="002D037C" w:rsidP="001B5DD5">
      <w:pPr>
        <w:ind w:right="49"/>
        <w:jc w:val="both"/>
        <w:rPr>
          <w:rFonts w:ascii="Palatino Linotype" w:eastAsia="Calibri" w:hAnsi="Palatino Linotype" w:cs="Arial"/>
          <w:color w:val="000000" w:themeColor="text1"/>
          <w:sz w:val="18"/>
          <w:szCs w:val="20"/>
        </w:rPr>
      </w:pPr>
    </w:p>
    <w:p w:rsidR="002D037C" w:rsidRDefault="002D037C" w:rsidP="001B5DD5">
      <w:pPr>
        <w:ind w:right="49"/>
        <w:jc w:val="both"/>
        <w:rPr>
          <w:rFonts w:ascii="Palatino Linotype" w:eastAsia="Calibri" w:hAnsi="Palatino Linotype" w:cs="Arial"/>
          <w:color w:val="000000" w:themeColor="text1"/>
          <w:sz w:val="18"/>
          <w:szCs w:val="20"/>
        </w:rPr>
      </w:pPr>
    </w:p>
    <w:p w:rsidR="002D037C" w:rsidRDefault="002D037C" w:rsidP="001B5DD5">
      <w:pPr>
        <w:ind w:right="49"/>
        <w:jc w:val="both"/>
        <w:rPr>
          <w:rFonts w:ascii="Palatino Linotype" w:eastAsia="Calibri" w:hAnsi="Palatino Linotype" w:cs="Arial"/>
          <w:color w:val="000000" w:themeColor="text1"/>
          <w:sz w:val="18"/>
          <w:szCs w:val="20"/>
        </w:rPr>
      </w:pPr>
    </w:p>
    <w:p w:rsidR="002D037C" w:rsidRDefault="002D037C"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F14A3E" w:rsidRPr="0099561F" w:rsidRDefault="00F7009C" w:rsidP="001B5DD5">
      <w:pPr>
        <w:ind w:right="49"/>
        <w:jc w:val="both"/>
        <w:rPr>
          <w:rFonts w:ascii="Palatino Linotype" w:eastAsia="Calibri" w:hAnsi="Palatino Linotype" w:cs="Arial"/>
          <w:color w:val="000000" w:themeColor="text1"/>
          <w:sz w:val="18"/>
          <w:szCs w:val="20"/>
        </w:rPr>
      </w:pPr>
      <w:r w:rsidRPr="002D037C">
        <w:rPr>
          <w:rFonts w:ascii="Palatino Linotype" w:eastAsia="Calibri" w:hAnsi="Palatino Linotype" w:cs="Arial"/>
          <w:color w:val="000000" w:themeColor="text1"/>
          <w:sz w:val="20"/>
          <w:szCs w:val="20"/>
        </w:rPr>
        <w:t>Esta hoja corresponde al voto particular emitido en</w:t>
      </w:r>
      <w:r w:rsidR="00AB7173" w:rsidRPr="002D037C">
        <w:rPr>
          <w:rFonts w:ascii="Palatino Linotype" w:eastAsia="Calibri" w:hAnsi="Palatino Linotype" w:cs="Arial"/>
          <w:color w:val="000000" w:themeColor="text1"/>
          <w:sz w:val="20"/>
          <w:szCs w:val="20"/>
        </w:rPr>
        <w:t xml:space="preserve"> la resolución</w:t>
      </w:r>
      <w:r w:rsidRPr="002D037C">
        <w:rPr>
          <w:rFonts w:ascii="Palatino Linotype" w:eastAsia="Calibri" w:hAnsi="Palatino Linotype" w:cs="Arial"/>
          <w:color w:val="000000" w:themeColor="text1"/>
          <w:sz w:val="20"/>
          <w:szCs w:val="20"/>
        </w:rPr>
        <w:t xml:space="preserve"> </w:t>
      </w:r>
      <w:r w:rsidR="00AB7173" w:rsidRPr="002D037C">
        <w:rPr>
          <w:rFonts w:ascii="Palatino Linotype" w:eastAsia="Calibri" w:hAnsi="Palatino Linotype" w:cs="Arial"/>
          <w:color w:val="000000" w:themeColor="text1"/>
          <w:sz w:val="20"/>
          <w:szCs w:val="20"/>
        </w:rPr>
        <w:t>d</w:t>
      </w:r>
      <w:r w:rsidRPr="002D037C">
        <w:rPr>
          <w:rFonts w:ascii="Palatino Linotype" w:eastAsia="Calibri" w:hAnsi="Palatino Linotype" w:cs="Arial"/>
          <w:color w:val="000000" w:themeColor="text1"/>
          <w:sz w:val="20"/>
          <w:szCs w:val="20"/>
        </w:rPr>
        <w:t>el recurso de revisión 0</w:t>
      </w:r>
      <w:r w:rsidR="00431C02" w:rsidRPr="002D037C">
        <w:rPr>
          <w:rFonts w:ascii="Palatino Linotype" w:eastAsia="Calibri" w:hAnsi="Palatino Linotype" w:cs="Arial"/>
          <w:color w:val="000000" w:themeColor="text1"/>
          <w:sz w:val="20"/>
          <w:szCs w:val="20"/>
        </w:rPr>
        <w:t>7329</w:t>
      </w:r>
      <w:r w:rsidR="00C714B1" w:rsidRPr="002D037C">
        <w:rPr>
          <w:rFonts w:ascii="Palatino Linotype" w:eastAsia="Calibri" w:hAnsi="Palatino Linotype" w:cs="Arial"/>
          <w:color w:val="000000" w:themeColor="text1"/>
          <w:sz w:val="20"/>
          <w:szCs w:val="20"/>
        </w:rPr>
        <w:t>/INFOEM/IP/RR/2019</w:t>
      </w:r>
      <w:r w:rsidRPr="002D037C">
        <w:rPr>
          <w:rFonts w:ascii="Palatino Linotype" w:eastAsia="Calibri" w:hAnsi="Palatino Linotype" w:cs="Arial"/>
          <w:color w:val="000000" w:themeColor="text1"/>
          <w:sz w:val="20"/>
          <w:szCs w:val="20"/>
        </w:rPr>
        <w:t xml:space="preserve">, aprobado el </w:t>
      </w:r>
      <w:r w:rsidR="00431C02" w:rsidRPr="002D037C">
        <w:rPr>
          <w:rFonts w:ascii="Palatino Linotype" w:eastAsia="Calibri" w:hAnsi="Palatino Linotype" w:cs="Arial"/>
          <w:color w:val="000000" w:themeColor="text1"/>
          <w:sz w:val="20"/>
          <w:szCs w:val="20"/>
        </w:rPr>
        <w:t xml:space="preserve">trece </w:t>
      </w:r>
      <w:r w:rsidR="00885249" w:rsidRPr="002D037C">
        <w:rPr>
          <w:rFonts w:ascii="Palatino Linotype" w:eastAsia="Calibri" w:hAnsi="Palatino Linotype" w:cs="Arial"/>
          <w:color w:val="000000" w:themeColor="text1"/>
          <w:sz w:val="20"/>
          <w:szCs w:val="20"/>
        </w:rPr>
        <w:t>de noviembre</w:t>
      </w:r>
      <w:r w:rsidR="00787892" w:rsidRPr="002D037C">
        <w:rPr>
          <w:rFonts w:ascii="Palatino Linotype" w:eastAsia="Calibri" w:hAnsi="Palatino Linotype" w:cs="Arial"/>
          <w:color w:val="000000" w:themeColor="text1"/>
          <w:sz w:val="20"/>
          <w:szCs w:val="20"/>
        </w:rPr>
        <w:t xml:space="preserve"> de dos mil diecinueve</w:t>
      </w:r>
      <w:r w:rsidRPr="002D037C">
        <w:rPr>
          <w:rFonts w:ascii="Palatino Linotype" w:eastAsia="Calibri" w:hAnsi="Palatino Linotype" w:cs="Arial"/>
          <w:color w:val="000000" w:themeColor="text1"/>
          <w:sz w:val="20"/>
          <w:szCs w:val="20"/>
        </w:rPr>
        <w:t>.</w:t>
      </w:r>
      <w:r w:rsidR="00D21672" w:rsidRPr="0099561F">
        <w:rPr>
          <w:rFonts w:ascii="Palatino Linotype" w:eastAsia="Calibri" w:hAnsi="Palatino Linotype" w:cs="Arial"/>
          <w:color w:val="000000" w:themeColor="text1"/>
          <w:sz w:val="18"/>
          <w:szCs w:val="20"/>
        </w:rPr>
        <w:t xml:space="preserve"> </w:t>
      </w:r>
    </w:p>
    <w:p w:rsidR="002D037C" w:rsidRPr="002D037C" w:rsidRDefault="002D037C" w:rsidP="001B5DD5">
      <w:pPr>
        <w:ind w:right="49"/>
        <w:jc w:val="both"/>
        <w:rPr>
          <w:rFonts w:ascii="Palatino Linotype" w:eastAsia="Calibri" w:hAnsi="Palatino Linotype" w:cs="Arial"/>
          <w:color w:val="000000" w:themeColor="text1"/>
          <w:sz w:val="8"/>
          <w:szCs w:val="8"/>
        </w:rPr>
      </w:pPr>
    </w:p>
    <w:p w:rsidR="00F7009C" w:rsidRPr="0099561F" w:rsidRDefault="00552AEB" w:rsidP="001B5DD5">
      <w:pPr>
        <w:ind w:right="49"/>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E10843">
        <w:rPr>
          <w:rFonts w:ascii="Palatino Linotype" w:eastAsia="Calibri" w:hAnsi="Palatino Linotype" w:cs="Arial"/>
          <w:color w:val="000000" w:themeColor="text1"/>
          <w:sz w:val="20"/>
          <w:szCs w:val="21"/>
        </w:rPr>
        <w:t>ATU/</w:t>
      </w:r>
      <w:r w:rsidR="00A12170" w:rsidRPr="0099561F">
        <w:rPr>
          <w:rFonts w:ascii="Palatino Linotype" w:eastAsia="Calibri" w:hAnsi="Palatino Linotype" w:cs="Arial"/>
          <w:color w:val="000000" w:themeColor="text1"/>
          <w:sz w:val="20"/>
          <w:szCs w:val="21"/>
        </w:rPr>
        <w:t>EJCA</w:t>
      </w:r>
    </w:p>
    <w:sectPr w:rsidR="00F7009C" w:rsidRPr="0099561F"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013" w:rsidRDefault="00180013" w:rsidP="00C80F8C">
      <w:r>
        <w:separator/>
      </w:r>
    </w:p>
  </w:endnote>
  <w:endnote w:type="continuationSeparator" w:id="0">
    <w:p w:rsidR="00180013" w:rsidRDefault="0018001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8523B">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8523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013" w:rsidRDefault="00180013" w:rsidP="00C80F8C">
      <w:r>
        <w:separator/>
      </w:r>
    </w:p>
  </w:footnote>
  <w:footnote w:type="continuationSeparator" w:id="0">
    <w:p w:rsidR="00180013" w:rsidRDefault="0018001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A852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Pr="00284E30" w:rsidRDefault="008A03F8" w:rsidP="00F7009C">
    <w:pPr>
      <w:pStyle w:val="Encabezado"/>
      <w:tabs>
        <w:tab w:val="clear" w:pos="4252"/>
        <w:tab w:val="clear" w:pos="8504"/>
        <w:tab w:val="left" w:pos="2326"/>
      </w:tabs>
      <w:ind w:right="-93"/>
      <w:jc w:val="right"/>
      <w:rPr>
        <w:rFonts w:ascii="Palatino Linotype" w:hAnsi="Palatino Linotype"/>
        <w:sz w:val="20"/>
      </w:rPr>
    </w:pP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p>
  <w:p w:rsidR="008A03F8" w:rsidRDefault="00284E30"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A8523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5.1pt;margin-top:245pt;width:633.3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284E30" w:rsidRPr="00706042">
      <w:rPr>
        <w:rFonts w:ascii="Palatino Linotype" w:hAnsi="Palatino Linotype" w:cs="Arial"/>
        <w:sz w:val="20"/>
        <w:szCs w:val="20"/>
      </w:rPr>
      <w:t xml:space="preserve">RECURSO DE REVISIÓN </w:t>
    </w:r>
    <w:r w:rsidR="00284E30">
      <w:rPr>
        <w:rFonts w:ascii="Palatino Linotype" w:hAnsi="Palatino Linotype" w:cs="Arial"/>
        <w:sz w:val="20"/>
        <w:szCs w:val="20"/>
      </w:rPr>
      <w:t>07329/INFOEM/IP</w:t>
    </w:r>
    <w:r w:rsidR="00284E30" w:rsidRPr="00706042">
      <w:rPr>
        <w:rFonts w:ascii="Palatino Linotype" w:hAnsi="Palatino Linotype" w:cs="Arial"/>
        <w:sz w:val="20"/>
        <w:szCs w:val="20"/>
      </w:rPr>
      <w:t>/RR/201</w:t>
    </w:r>
    <w:r w:rsidR="00284E30">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A852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0013"/>
    <w:rsid w:val="00187FFD"/>
    <w:rsid w:val="001950C9"/>
    <w:rsid w:val="0019622B"/>
    <w:rsid w:val="001A5699"/>
    <w:rsid w:val="001B5DD5"/>
    <w:rsid w:val="001C17D2"/>
    <w:rsid w:val="001D3F57"/>
    <w:rsid w:val="001E757E"/>
    <w:rsid w:val="001E763C"/>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84E30"/>
    <w:rsid w:val="002940F8"/>
    <w:rsid w:val="002A26CD"/>
    <w:rsid w:val="002A7461"/>
    <w:rsid w:val="002B7856"/>
    <w:rsid w:val="002D037C"/>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ACC"/>
    <w:rsid w:val="007B5FBC"/>
    <w:rsid w:val="007B6E55"/>
    <w:rsid w:val="007C0FDA"/>
    <w:rsid w:val="007C3C0E"/>
    <w:rsid w:val="007C4E7D"/>
    <w:rsid w:val="007D0FEE"/>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82BA7"/>
    <w:rsid w:val="00A83AA6"/>
    <w:rsid w:val="00A8523B"/>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19DF-7CB0-4B35-9E98-0B9BBFDA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1427</Words>
  <Characters>7852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2019-11-15T20:02:00Z</cp:lastPrinted>
  <dcterms:created xsi:type="dcterms:W3CDTF">2019-11-15T20:03:00Z</dcterms:created>
  <dcterms:modified xsi:type="dcterms:W3CDTF">2019-12-19T19:28:00Z</dcterms:modified>
</cp:coreProperties>
</file>