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3B6632" w:rsidP="0014447C">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R</w:t>
      </w:r>
      <w:r w:rsidR="007E2E80" w:rsidRPr="00C35F18">
        <w:rPr>
          <w:rFonts w:ascii="Palatino Linotype" w:hAnsi="Palatino Linotype"/>
          <w:sz w:val="24"/>
          <w:szCs w:val="24"/>
          <w:lang w:eastAsia="es-MX"/>
        </w:rPr>
        <w:t xml:space="preserve">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a</w:t>
      </w:r>
      <w:r w:rsidR="00C50B3E">
        <w:rPr>
          <w:rFonts w:ascii="Palatino Linotype" w:hAnsi="Palatino Linotype"/>
          <w:sz w:val="24"/>
          <w:szCs w:val="24"/>
          <w:lang w:eastAsia="es-MX"/>
        </w:rPr>
        <w:t xml:space="preserve"> </w:t>
      </w:r>
      <w:r w:rsidR="004226AE">
        <w:rPr>
          <w:rFonts w:ascii="Palatino Linotype" w:hAnsi="Palatino Linotype"/>
          <w:sz w:val="24"/>
          <w:szCs w:val="24"/>
          <w:lang w:eastAsia="es-MX"/>
        </w:rPr>
        <w:t>veintinueve</w:t>
      </w:r>
      <w:r w:rsidR="00636BA0">
        <w:rPr>
          <w:rFonts w:ascii="Palatino Linotype" w:hAnsi="Palatino Linotype"/>
          <w:sz w:val="24"/>
          <w:szCs w:val="24"/>
          <w:lang w:eastAsia="es-MX"/>
        </w:rPr>
        <w:t xml:space="preserve"> de enero</w:t>
      </w:r>
      <w:r>
        <w:rPr>
          <w:rFonts w:ascii="Palatino Linotype" w:hAnsi="Palatino Linotype"/>
          <w:sz w:val="24"/>
          <w:szCs w:val="24"/>
          <w:lang w:eastAsia="es-MX"/>
        </w:rPr>
        <w:t xml:space="preserve"> </w:t>
      </w:r>
      <w:r w:rsidR="00B3452B">
        <w:rPr>
          <w:rFonts w:ascii="Palatino Linotype" w:hAnsi="Palatino Linotype"/>
          <w:sz w:val="24"/>
          <w:szCs w:val="24"/>
          <w:lang w:eastAsia="es-MX"/>
        </w:rPr>
        <w:t>d</w:t>
      </w:r>
      <w:r w:rsidR="00182616">
        <w:rPr>
          <w:rFonts w:ascii="Palatino Linotype" w:hAnsi="Palatino Linotype"/>
          <w:sz w:val="24"/>
          <w:szCs w:val="24"/>
          <w:lang w:eastAsia="es-MX"/>
        </w:rPr>
        <w:t>e</w:t>
      </w:r>
      <w:r w:rsidR="00BF123B" w:rsidRPr="00C35F18">
        <w:rPr>
          <w:rFonts w:ascii="Palatino Linotype" w:hAnsi="Palatino Linotype"/>
          <w:sz w:val="24"/>
          <w:szCs w:val="24"/>
          <w:lang w:eastAsia="es-MX"/>
        </w:rPr>
        <w:t xml:space="preserve"> dos mil </w:t>
      </w:r>
      <w:r w:rsidR="00636BA0">
        <w:rPr>
          <w:rFonts w:ascii="Palatino Linotype" w:hAnsi="Palatino Linotype"/>
          <w:sz w:val="24"/>
          <w:szCs w:val="24"/>
          <w:lang w:eastAsia="es-MX"/>
        </w:rPr>
        <w:t>veinte</w:t>
      </w:r>
      <w:r w:rsidR="005D517E">
        <w:rPr>
          <w:rFonts w:ascii="Palatino Linotype" w:hAnsi="Palatino Linotype"/>
          <w:sz w:val="24"/>
          <w:szCs w:val="24"/>
          <w:lang w:eastAsia="es-MX"/>
        </w:rPr>
        <w:t xml:space="preserve">. </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6C6BC7">
        <w:rPr>
          <w:rFonts w:ascii="Palatino Linotype" w:hAnsi="Palatino Linotype"/>
          <w:b/>
          <w:bCs/>
          <w:sz w:val="24"/>
          <w:szCs w:val="24"/>
          <w:lang w:eastAsia="es-MX"/>
        </w:rPr>
        <w:t xml:space="preserve"> 08610</w:t>
      </w:r>
      <w:r w:rsidR="00224F85">
        <w:rPr>
          <w:rFonts w:ascii="Palatino Linotype" w:hAnsi="Palatino Linotype"/>
          <w:b/>
          <w:bCs/>
          <w:sz w:val="24"/>
          <w:szCs w:val="24"/>
          <w:lang w:eastAsia="es-MX"/>
        </w:rPr>
        <w:t>/</w:t>
      </w:r>
      <w:r w:rsidR="0009709A" w:rsidRPr="0009709A">
        <w:rPr>
          <w:rFonts w:ascii="Palatino Linotype" w:hAnsi="Palatino Linotype"/>
          <w:b/>
          <w:bCs/>
          <w:sz w:val="24"/>
          <w:szCs w:val="24"/>
          <w:lang w:eastAsia="es-MX"/>
        </w:rPr>
        <w:t>INFOEM/IP/RR/2019</w:t>
      </w:r>
      <w:r w:rsidR="003C3124">
        <w:rPr>
          <w:rFonts w:ascii="Palatino Linotype" w:hAnsi="Palatino Linotype"/>
          <w:sz w:val="24"/>
          <w:szCs w:val="24"/>
        </w:rPr>
        <w:t>, interpuest</w:t>
      </w:r>
      <w:r w:rsidR="00824C59">
        <w:rPr>
          <w:rFonts w:ascii="Palatino Linotype" w:hAnsi="Palatino Linotype"/>
          <w:sz w:val="24"/>
          <w:szCs w:val="24"/>
        </w:rPr>
        <w:t xml:space="preserve">o por </w:t>
      </w:r>
      <w:r w:rsidR="00F4711F">
        <w:rPr>
          <w:rFonts w:ascii="Palatino Linotype" w:hAnsi="Palatino Linotype"/>
          <w:b/>
          <w:sz w:val="24"/>
          <w:szCs w:val="24"/>
        </w:rPr>
        <w:t>XXXXXXXXXXXXX</w:t>
      </w:r>
      <w:bookmarkStart w:id="0" w:name="_GoBack"/>
      <w:bookmarkEnd w:id="0"/>
      <w:r w:rsidR="00824C59">
        <w:rPr>
          <w:rFonts w:ascii="Palatino Linotype" w:hAnsi="Palatino Linotype"/>
          <w:b/>
          <w:sz w:val="24"/>
          <w:szCs w:val="24"/>
        </w:rPr>
        <w:t xml:space="preserve"> </w:t>
      </w:r>
      <w:r w:rsidRPr="00C35F18">
        <w:rPr>
          <w:rFonts w:ascii="Palatino Linotype" w:hAnsi="Palatino Linotype"/>
          <w:sz w:val="24"/>
          <w:szCs w:val="24"/>
        </w:rPr>
        <w:t xml:space="preserve">en lo sucesivo </w:t>
      </w:r>
      <w:r w:rsidR="00BB26EE">
        <w:rPr>
          <w:rFonts w:ascii="Palatino Linotype" w:hAnsi="Palatino Linotype"/>
          <w:b/>
          <w:sz w:val="24"/>
          <w:szCs w:val="24"/>
        </w:rPr>
        <w:t>El Recurrente</w:t>
      </w:r>
      <w:r w:rsidR="00A84971">
        <w:rPr>
          <w:rFonts w:ascii="Palatino Linotype" w:hAnsi="Palatino Linotype"/>
          <w:sz w:val="24"/>
          <w:szCs w:val="24"/>
        </w:rPr>
        <w:t>, en contra de la</w:t>
      </w:r>
      <w:r w:rsidR="00E95C59">
        <w:rPr>
          <w:rFonts w:ascii="Palatino Linotype" w:hAnsi="Palatino Linotype"/>
          <w:sz w:val="24"/>
          <w:szCs w:val="24"/>
        </w:rPr>
        <w:t xml:space="preserve"> </w:t>
      </w:r>
      <w:r w:rsidR="00D913ED">
        <w:rPr>
          <w:rFonts w:ascii="Palatino Linotype" w:hAnsi="Palatino Linotype"/>
          <w:sz w:val="24"/>
          <w:szCs w:val="24"/>
        </w:rPr>
        <w:t xml:space="preserve">falta </w:t>
      </w:r>
      <w:r w:rsidR="00E95C59">
        <w:rPr>
          <w:rFonts w:ascii="Palatino Linotype" w:hAnsi="Palatino Linotype"/>
          <w:sz w:val="24"/>
          <w:szCs w:val="24"/>
        </w:rPr>
        <w:t xml:space="preserve">de </w:t>
      </w:r>
      <w:r w:rsidRPr="00216B8D">
        <w:rPr>
          <w:rFonts w:ascii="Palatino Linotype" w:hAnsi="Palatino Linotype"/>
          <w:sz w:val="24"/>
          <w:szCs w:val="24"/>
        </w:rPr>
        <w:t>respuesta de</w:t>
      </w:r>
      <w:r w:rsidR="009151CF">
        <w:rPr>
          <w:rFonts w:ascii="Palatino Linotype" w:hAnsi="Palatino Linotype"/>
          <w:sz w:val="24"/>
          <w:szCs w:val="24"/>
        </w:rPr>
        <w:t>l</w:t>
      </w:r>
      <w:r w:rsidR="00E95C59">
        <w:rPr>
          <w:rFonts w:ascii="Palatino Linotype" w:hAnsi="Palatino Linotype"/>
          <w:sz w:val="24"/>
          <w:szCs w:val="24"/>
        </w:rPr>
        <w:t xml:space="preserve"> </w:t>
      </w:r>
      <w:r w:rsidR="006C6BC7" w:rsidRPr="006C6BC7">
        <w:rPr>
          <w:rFonts w:ascii="Palatino Linotype" w:hAnsi="Palatino Linotype" w:cs="Arial"/>
          <w:b/>
          <w:sz w:val="24"/>
          <w:szCs w:val="24"/>
        </w:rPr>
        <w:t>Ayuntamiento de Chicoloapan</w:t>
      </w:r>
      <w:r w:rsidRPr="00216B8D">
        <w:rPr>
          <w:rFonts w:ascii="Palatino Linotype" w:hAnsi="Palatino Linotype"/>
          <w:sz w:val="24"/>
          <w:szCs w:val="24"/>
        </w:rPr>
        <w:t>, en lo subsecuente</w:t>
      </w:r>
      <w:r w:rsidR="00FD55D4">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E93283">
        <w:rPr>
          <w:rFonts w:ascii="Palatino Linotype" w:hAnsi="Palatino Linotype"/>
          <w:sz w:val="24"/>
          <w:szCs w:val="24"/>
        </w:rPr>
        <w:t>veintiuno de octubre</w:t>
      </w:r>
      <w:r w:rsidR="00555F06">
        <w:rPr>
          <w:rFonts w:ascii="Palatino Linotype" w:hAnsi="Palatino Linotype"/>
          <w:sz w:val="24"/>
          <w:szCs w:val="24"/>
        </w:rPr>
        <w:t xml:space="preserve"> de dos mil diecinueve, </w:t>
      </w:r>
      <w:r w:rsidR="00BB26EE">
        <w:rPr>
          <w:rFonts w:ascii="Palatino Linotype" w:hAnsi="Palatino Linotype"/>
          <w:sz w:val="24"/>
          <w:szCs w:val="24"/>
        </w:rPr>
        <w:t>El Recurrente</w:t>
      </w:r>
      <w:r w:rsidRPr="00C35F18">
        <w:rPr>
          <w:rFonts w:ascii="Palatino Linotype" w:hAnsi="Palatino Linotype"/>
          <w:sz w:val="24"/>
          <w:szCs w:val="24"/>
        </w:rPr>
        <w:t>,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5E3F88">
        <w:rPr>
          <w:rFonts w:ascii="Palatino Linotype" w:hAnsi="Palatino Linotype"/>
          <w:b/>
          <w:sz w:val="24"/>
          <w:szCs w:val="24"/>
        </w:rPr>
        <w:t xml:space="preserve"> </w:t>
      </w:r>
      <w:r w:rsidR="006C6BC7" w:rsidRPr="006C6BC7">
        <w:rPr>
          <w:rFonts w:ascii="Palatino Linotype" w:hAnsi="Palatino Linotype"/>
          <w:b/>
          <w:sz w:val="24"/>
          <w:szCs w:val="24"/>
        </w:rPr>
        <w:t xml:space="preserve"> 00249/CHICOLOA/IP/2019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3B6632" w:rsidRDefault="00C35F18" w:rsidP="005157A8">
      <w:pPr>
        <w:rPr>
          <w:sz w:val="20"/>
        </w:rPr>
      </w:pPr>
    </w:p>
    <w:p w:rsidR="007E2E80" w:rsidRPr="00FD55D4"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FD55D4">
        <w:rPr>
          <w:rFonts w:ascii="Palatino Linotype" w:eastAsia="Times New Roman" w:hAnsi="Palatino Linotype" w:cs="Times New Roman"/>
          <w:i/>
          <w:sz w:val="24"/>
          <w:szCs w:val="24"/>
          <w:lang w:val="es-ES_tradnl" w:eastAsia="es-ES"/>
        </w:rPr>
        <w:t>“</w:t>
      </w:r>
      <w:r w:rsidR="006C6BC7" w:rsidRPr="006C6BC7">
        <w:rPr>
          <w:rFonts w:ascii="Palatino Linotype" w:eastAsia="Times New Roman" w:hAnsi="Palatino Linotype" w:cs="Times New Roman"/>
          <w:i/>
          <w:sz w:val="24"/>
          <w:szCs w:val="24"/>
          <w:lang w:val="es-ES_tradnl" w:eastAsia="es-ES"/>
        </w:rPr>
        <w:t>de los recursos federales recibidos este año se les solicita as facturas contratos de los bienes comprados rentados para seguridad incluidas patrullas radios uniformes , así como de recursos locales</w:t>
      </w:r>
      <w:r w:rsidRPr="00FD55D4">
        <w:rPr>
          <w:rFonts w:ascii="Palatino Linotype" w:eastAsia="Times New Roman" w:hAnsi="Palatino Linotype" w:cs="Times New Roman"/>
          <w:i/>
          <w:lang w:val="es-ES_tradnl" w:eastAsia="es-ES"/>
        </w:rPr>
        <w:t>” [Sic]</w:t>
      </w:r>
    </w:p>
    <w:p w:rsidR="0016423B" w:rsidRPr="003B6632" w:rsidRDefault="0016423B" w:rsidP="0014447C">
      <w:pPr>
        <w:pStyle w:val="Sinespaciado"/>
        <w:spacing w:line="360" w:lineRule="auto"/>
        <w:jc w:val="both"/>
        <w:rPr>
          <w:rFonts w:ascii="Palatino Linotype" w:eastAsia="Times New Roman" w:hAnsi="Palatino Linotype" w:cs="Times New Roman"/>
          <w:i/>
          <w:sz w:val="14"/>
          <w:lang w:val="es-ES_tradnl" w:eastAsia="es-ES"/>
        </w:rPr>
      </w:pPr>
    </w:p>
    <w:p w:rsidR="0085433C" w:rsidRDefault="0085433C"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Default="007E2E80" w:rsidP="0014447C">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8F1579">
        <w:rPr>
          <w:rFonts w:ascii="Palatino Linotype" w:eastAsia="Times New Roman" w:hAnsi="Palatino Linotype" w:cs="Times New Roman"/>
          <w:b/>
          <w:sz w:val="24"/>
          <w:szCs w:val="24"/>
          <w:lang w:val="es-ES_tradnl" w:eastAsia="es-ES"/>
        </w:rPr>
        <w:t xml:space="preserve"> A través del SAIMEX.</w:t>
      </w:r>
    </w:p>
    <w:p w:rsidR="00E93283" w:rsidRDefault="00E93283" w:rsidP="0014447C">
      <w:pPr>
        <w:pStyle w:val="Sinespaciado"/>
        <w:spacing w:line="360" w:lineRule="auto"/>
        <w:jc w:val="both"/>
        <w:rPr>
          <w:rFonts w:ascii="Palatino Linotype" w:eastAsia="Times New Roman" w:hAnsi="Palatino Linotype" w:cs="Times New Roman"/>
          <w:b/>
          <w:sz w:val="24"/>
          <w:szCs w:val="24"/>
          <w:lang w:val="es-ES_tradnl" w:eastAsia="es-ES"/>
        </w:rPr>
      </w:pPr>
    </w:p>
    <w:p w:rsidR="0000238F" w:rsidRPr="002B52D6" w:rsidRDefault="002B52D6" w:rsidP="0014447C">
      <w:pPr>
        <w:pStyle w:val="Sinespaciado"/>
        <w:spacing w:line="360" w:lineRule="auto"/>
        <w:jc w:val="both"/>
        <w:rPr>
          <w:rFonts w:ascii="Palatino Linotype" w:hAnsi="Palatino Linotype"/>
          <w:b/>
          <w:sz w:val="26"/>
          <w:szCs w:val="26"/>
        </w:rPr>
      </w:pPr>
      <w:r w:rsidRPr="002B52D6">
        <w:rPr>
          <w:rFonts w:ascii="Palatino Linotype" w:hAnsi="Palatino Linotype"/>
          <w:b/>
          <w:sz w:val="26"/>
          <w:szCs w:val="26"/>
        </w:rPr>
        <w:lastRenderedPageBreak/>
        <w:t>SEGUNDO</w:t>
      </w:r>
      <w:r w:rsidR="007E2E80" w:rsidRPr="002B52D6">
        <w:rPr>
          <w:rFonts w:ascii="Palatino Linotype" w:hAnsi="Palatino Linotype"/>
          <w:b/>
          <w:sz w:val="26"/>
          <w:szCs w:val="26"/>
        </w:rPr>
        <w:t xml:space="preserve">. </w:t>
      </w:r>
      <w:r w:rsidR="00DA21DB" w:rsidRPr="002B52D6">
        <w:rPr>
          <w:rFonts w:ascii="Palatino Linotype" w:hAnsi="Palatino Linotype"/>
          <w:b/>
          <w:sz w:val="26"/>
          <w:szCs w:val="26"/>
        </w:rPr>
        <w:t>De la</w:t>
      </w:r>
      <w:r w:rsidR="006C6BC7">
        <w:rPr>
          <w:rFonts w:ascii="Palatino Linotype" w:hAnsi="Palatino Linotype"/>
          <w:b/>
          <w:sz w:val="26"/>
          <w:szCs w:val="26"/>
        </w:rPr>
        <w:t xml:space="preserve"> solicitud de aclaración</w:t>
      </w:r>
      <w:r w:rsidR="007E2E80" w:rsidRPr="002B52D6">
        <w:rPr>
          <w:rFonts w:ascii="Palatino Linotype" w:hAnsi="Palatino Linotype"/>
          <w:b/>
          <w:sz w:val="26"/>
          <w:szCs w:val="26"/>
        </w:rPr>
        <w:t>.</w:t>
      </w:r>
    </w:p>
    <w:p w:rsidR="0000238F" w:rsidRPr="009978AF" w:rsidRDefault="0000238F" w:rsidP="0014447C">
      <w:pPr>
        <w:pStyle w:val="Sinespaciado"/>
        <w:spacing w:line="360" w:lineRule="auto"/>
        <w:jc w:val="both"/>
        <w:rPr>
          <w:rFonts w:ascii="Palatino Linotype" w:hAnsi="Palatino Linotype"/>
          <w:b/>
          <w:sz w:val="12"/>
          <w:szCs w:val="26"/>
        </w:rPr>
      </w:pPr>
    </w:p>
    <w:p w:rsidR="008D4796" w:rsidRDefault="008D4796" w:rsidP="008D4796">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Pr>
          <w:rFonts w:ascii="Palatino Linotype" w:hAnsi="Palatino Linotype"/>
          <w:sz w:val="24"/>
        </w:rPr>
        <w:t>e electrónico SAIMEX, se observa</w:t>
      </w:r>
      <w:r w:rsidRPr="00C35F18">
        <w:rPr>
          <w:rFonts w:ascii="Palatino Linotype" w:hAnsi="Palatino Linotype"/>
          <w:sz w:val="24"/>
        </w:rPr>
        <w:t xml:space="preserve"> que el Sujeto Obligado</w:t>
      </w:r>
      <w:r w:rsidR="006C6BC7">
        <w:rPr>
          <w:rFonts w:ascii="Palatino Linotype" w:hAnsi="Palatino Linotype"/>
          <w:sz w:val="24"/>
        </w:rPr>
        <w:t xml:space="preserve"> requirió al particular aclarara la solicitud primigenia</w:t>
      </w:r>
      <w:r w:rsidRPr="00C35F18">
        <w:rPr>
          <w:rFonts w:ascii="Palatino Linotype" w:hAnsi="Palatino Linotype"/>
          <w:sz w:val="24"/>
        </w:rPr>
        <w:t xml:space="preserve">, </w:t>
      </w:r>
      <w:r>
        <w:rPr>
          <w:rFonts w:ascii="Palatino Linotype" w:hAnsi="Palatino Linotype"/>
          <w:sz w:val="24"/>
        </w:rPr>
        <w:t>manifestando lo siguiente:</w:t>
      </w:r>
    </w:p>
    <w:p w:rsidR="008D4796" w:rsidRDefault="008D4796" w:rsidP="008D4796">
      <w:pPr>
        <w:pStyle w:val="Sinespaciado"/>
        <w:spacing w:line="360" w:lineRule="auto"/>
        <w:jc w:val="both"/>
        <w:rPr>
          <w:rFonts w:ascii="Palatino Linotype" w:hAnsi="Palatino Linotype"/>
          <w:sz w:val="24"/>
        </w:rPr>
      </w:pPr>
    </w:p>
    <w:p w:rsidR="006616F1" w:rsidRDefault="006C6BC7" w:rsidP="006616F1">
      <w:pPr>
        <w:pStyle w:val="Sinespaciado"/>
        <w:spacing w:line="360" w:lineRule="auto"/>
        <w:ind w:left="567" w:hanging="567"/>
        <w:jc w:val="both"/>
        <w:rPr>
          <w:rFonts w:ascii="Palatino Linotype" w:hAnsi="Palatino Linotype"/>
          <w:b/>
          <w:sz w:val="26"/>
          <w:szCs w:val="26"/>
        </w:rPr>
      </w:pPr>
      <w:r>
        <w:rPr>
          <w:noProof/>
          <w:lang w:eastAsia="es-MX"/>
        </w:rPr>
        <w:drawing>
          <wp:inline distT="0" distB="0" distL="0" distR="0" wp14:anchorId="390E40E8" wp14:editId="2674928A">
            <wp:extent cx="5676900" cy="304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7" t="42694" r="51126" b="16402"/>
                    <a:stretch/>
                  </pic:blipFill>
                  <pic:spPr bwMode="auto">
                    <a:xfrm>
                      <a:off x="0" y="0"/>
                      <a:ext cx="5676900" cy="3048000"/>
                    </a:xfrm>
                    <a:prstGeom prst="rect">
                      <a:avLst/>
                    </a:prstGeom>
                    <a:ln>
                      <a:noFill/>
                    </a:ln>
                    <a:extLst>
                      <a:ext uri="{53640926-AAD7-44D8-BBD7-CCE9431645EC}">
                        <a14:shadowObscured xmlns:a14="http://schemas.microsoft.com/office/drawing/2010/main"/>
                      </a:ext>
                    </a:extLst>
                  </pic:spPr>
                </pic:pic>
              </a:graphicData>
            </a:graphic>
          </wp:inline>
        </w:drawing>
      </w:r>
    </w:p>
    <w:p w:rsidR="00565DD9" w:rsidRDefault="00565DD9" w:rsidP="009653D2">
      <w:pPr>
        <w:pStyle w:val="Sinespaciado"/>
        <w:spacing w:line="360" w:lineRule="auto"/>
        <w:jc w:val="both"/>
        <w:rPr>
          <w:rFonts w:ascii="Palatino Linotype" w:hAnsi="Palatino Linotype"/>
          <w:sz w:val="24"/>
          <w:szCs w:val="26"/>
        </w:rPr>
      </w:pPr>
    </w:p>
    <w:p w:rsidR="00251C6D" w:rsidRDefault="00251C6D" w:rsidP="009653D2">
      <w:pPr>
        <w:pStyle w:val="Sinespaciado"/>
        <w:spacing w:line="360" w:lineRule="auto"/>
        <w:jc w:val="both"/>
        <w:rPr>
          <w:rFonts w:ascii="Palatino Linotype" w:hAnsi="Palatino Linotype"/>
          <w:sz w:val="24"/>
          <w:szCs w:val="26"/>
        </w:rPr>
      </w:pPr>
      <w:r>
        <w:rPr>
          <w:rFonts w:ascii="Palatino Linotype" w:hAnsi="Palatino Linotype"/>
          <w:sz w:val="24"/>
          <w:szCs w:val="26"/>
        </w:rPr>
        <w:t>Cabe señalar que ante dicho requerimiento, el recurrente fue omiso en desahogar el mismo, por lo que en fecha once de noviembre de dos mil diecinueve, el sujeto obligado dio por no presentada la aclaración en referencia.</w:t>
      </w:r>
    </w:p>
    <w:p w:rsidR="00251C6D" w:rsidRPr="001963D1" w:rsidRDefault="00251C6D" w:rsidP="009653D2">
      <w:pPr>
        <w:pStyle w:val="Sinespaciado"/>
        <w:spacing w:line="360" w:lineRule="auto"/>
        <w:jc w:val="both"/>
        <w:rPr>
          <w:rFonts w:ascii="Palatino Linotype" w:hAnsi="Palatino Linotype"/>
          <w:sz w:val="24"/>
          <w:szCs w:val="26"/>
        </w:rPr>
      </w:pPr>
    </w:p>
    <w:p w:rsidR="007E2E80" w:rsidRPr="002B52D6"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2B52D6">
        <w:rPr>
          <w:rFonts w:ascii="Palatino Linotype" w:hAnsi="Palatino Linotype"/>
          <w:b/>
          <w:sz w:val="26"/>
          <w:szCs w:val="26"/>
        </w:rPr>
        <w:t>. Del recurso de revisión.</w:t>
      </w:r>
    </w:p>
    <w:p w:rsidR="009978AF" w:rsidRPr="009978AF" w:rsidRDefault="009978AF" w:rsidP="0014447C">
      <w:pPr>
        <w:pStyle w:val="Sinespaciado"/>
        <w:spacing w:line="360" w:lineRule="auto"/>
        <w:jc w:val="both"/>
        <w:rPr>
          <w:rFonts w:ascii="Palatino Linotype" w:hAnsi="Palatino Linotype"/>
          <w:b/>
          <w:sz w:val="12"/>
          <w:szCs w:val="26"/>
        </w:rPr>
      </w:pPr>
    </w:p>
    <w:p w:rsidR="007E2E80" w:rsidRPr="00D04234" w:rsidRDefault="007E2E80" w:rsidP="00323D35">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w:t>
      </w:r>
      <w:r w:rsidR="00A84971">
        <w:rPr>
          <w:rFonts w:ascii="Palatino Linotype" w:hAnsi="Palatino Linotype"/>
          <w:sz w:val="24"/>
          <w:szCs w:val="24"/>
        </w:rPr>
        <w:t xml:space="preserve"> </w:t>
      </w:r>
      <w:r w:rsidR="003C042D">
        <w:rPr>
          <w:rFonts w:ascii="Palatino Linotype" w:hAnsi="Palatino Linotype"/>
          <w:sz w:val="24"/>
          <w:szCs w:val="24"/>
        </w:rPr>
        <w:t xml:space="preserve">respuesta </w:t>
      </w:r>
      <w:r w:rsidR="00D04234">
        <w:rPr>
          <w:rFonts w:ascii="Palatino Linotype" w:hAnsi="Palatino Linotype"/>
          <w:sz w:val="24"/>
          <w:szCs w:val="24"/>
        </w:rPr>
        <w:t xml:space="preserve">por </w:t>
      </w:r>
      <w:r w:rsidR="003C042D">
        <w:rPr>
          <w:rFonts w:ascii="Palatino Linotype" w:hAnsi="Palatino Linotype"/>
          <w:sz w:val="24"/>
          <w:szCs w:val="24"/>
        </w:rPr>
        <w:t>parte d</w:t>
      </w:r>
      <w:r w:rsidR="00D04234">
        <w:rPr>
          <w:rFonts w:ascii="Palatino Linotype" w:hAnsi="Palatino Linotype"/>
          <w:sz w:val="24"/>
          <w:szCs w:val="24"/>
        </w:rPr>
        <w:t>el Sujeto O</w:t>
      </w:r>
      <w:r w:rsidRPr="00D04234">
        <w:rPr>
          <w:rFonts w:ascii="Palatino Linotype" w:hAnsi="Palatino Linotype"/>
          <w:sz w:val="24"/>
          <w:szCs w:val="24"/>
        </w:rPr>
        <w:t xml:space="preserve">bligado, </w:t>
      </w:r>
      <w:r w:rsidR="00BB26EE">
        <w:rPr>
          <w:rFonts w:ascii="Palatino Linotype" w:hAnsi="Palatino Linotype"/>
          <w:sz w:val="24"/>
          <w:szCs w:val="24"/>
        </w:rPr>
        <w:t>El Recurrente</w:t>
      </w:r>
      <w:r w:rsidRPr="00D04234">
        <w:rPr>
          <w:rFonts w:ascii="Palatino Linotype" w:hAnsi="Palatino Linotype"/>
          <w:sz w:val="24"/>
          <w:szCs w:val="24"/>
        </w:rPr>
        <w:t xml:space="preserv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251C6D">
        <w:rPr>
          <w:rFonts w:ascii="Palatino Linotype" w:hAnsi="Palatino Linotype"/>
          <w:sz w:val="24"/>
          <w:szCs w:val="24"/>
        </w:rPr>
        <w:t>once</w:t>
      </w:r>
      <w:r w:rsidR="00565DD9">
        <w:rPr>
          <w:rFonts w:ascii="Palatino Linotype" w:hAnsi="Palatino Linotype"/>
          <w:sz w:val="24"/>
          <w:szCs w:val="24"/>
        </w:rPr>
        <w:t xml:space="preserve"> de noviembre</w:t>
      </w:r>
      <w:r w:rsidR="009E47BC">
        <w:rPr>
          <w:rFonts w:ascii="Palatino Linotype" w:hAnsi="Palatino Linotype"/>
          <w:sz w:val="24"/>
          <w:szCs w:val="24"/>
        </w:rPr>
        <w:t xml:space="preserve"> </w:t>
      </w:r>
      <w:r w:rsidR="00041664">
        <w:rPr>
          <w:rFonts w:ascii="Palatino Linotype" w:hAnsi="Palatino Linotype"/>
          <w:sz w:val="24"/>
          <w:szCs w:val="24"/>
        </w:rPr>
        <w:t>de dos mil diecinueve</w:t>
      </w:r>
      <w:r w:rsidR="00E57465">
        <w:rPr>
          <w:rFonts w:ascii="Palatino Linotype" w:hAnsi="Palatino Linotype"/>
          <w:sz w:val="24"/>
          <w:szCs w:val="24"/>
        </w:rPr>
        <w:t>,</w:t>
      </w:r>
      <w:r w:rsidR="00323D35">
        <w:rPr>
          <w:rFonts w:ascii="Palatino Linotype" w:hAnsi="Palatino Linotype"/>
          <w:sz w:val="24"/>
          <w:szCs w:val="24"/>
        </w:rPr>
        <w:t xml:space="preserve"> </w:t>
      </w:r>
      <w:r w:rsidR="00852DE6">
        <w:rPr>
          <w:rFonts w:ascii="Palatino Linotype" w:hAnsi="Palatino Linotype"/>
          <w:sz w:val="24"/>
          <w:szCs w:val="24"/>
        </w:rPr>
        <w:t xml:space="preserve">el </w:t>
      </w:r>
      <w:r w:rsidR="00852DE6">
        <w:rPr>
          <w:rFonts w:ascii="Palatino Linotype" w:hAnsi="Palatino Linotype"/>
          <w:sz w:val="24"/>
          <w:szCs w:val="24"/>
        </w:rPr>
        <w:lastRenderedPageBreak/>
        <w:t>cual</w:t>
      </w:r>
      <w:r w:rsidRPr="00D04234">
        <w:rPr>
          <w:rFonts w:ascii="Palatino Linotype" w:hAnsi="Palatino Linotype"/>
          <w:sz w:val="24"/>
          <w:szCs w:val="24"/>
        </w:rPr>
        <w:t xml:space="preserve"> </w:t>
      </w:r>
      <w:r w:rsidR="00852DE6">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0075676A">
        <w:rPr>
          <w:rFonts w:ascii="Palatino Linotype" w:hAnsi="Palatino Linotype"/>
          <w:b/>
          <w:bCs/>
          <w:sz w:val="24"/>
          <w:szCs w:val="24"/>
          <w:lang w:eastAsia="es-MX"/>
        </w:rPr>
        <w:t>0</w:t>
      </w:r>
      <w:r w:rsidR="00251C6D">
        <w:rPr>
          <w:rFonts w:ascii="Palatino Linotype" w:hAnsi="Palatino Linotype"/>
          <w:b/>
          <w:bCs/>
          <w:sz w:val="24"/>
          <w:szCs w:val="24"/>
          <w:lang w:eastAsia="es-MX"/>
        </w:rPr>
        <w:t>8610</w:t>
      </w:r>
      <w:r w:rsidR="00E57465">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F24AE4" w:rsidRDefault="00F24AE4" w:rsidP="00232FBB">
      <w:pPr>
        <w:pStyle w:val="Sinespaciado"/>
      </w:pP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CC343F" w:rsidRPr="00CC343F" w:rsidRDefault="007E2E80" w:rsidP="00CC343F">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251C6D" w:rsidRPr="00251C6D">
        <w:rPr>
          <w:rFonts w:ascii="Palatino Linotype" w:hAnsi="Palatino Linotype" w:cs="Arial"/>
          <w:i/>
          <w:sz w:val="24"/>
        </w:rPr>
        <w:t>no dio respuesta alguna</w:t>
      </w:r>
      <w:r w:rsidR="006A3A54" w:rsidRPr="00D46905">
        <w:rPr>
          <w:rFonts w:ascii="Palatino Linotype" w:hAnsi="Palatino Linotype" w:cs="Arial"/>
          <w:i/>
          <w:sz w:val="24"/>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D46905" w:rsidRDefault="007E2E80" w:rsidP="0014447C">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251C6D" w:rsidRPr="00251C6D">
        <w:rPr>
          <w:rFonts w:ascii="Palatino Linotype" w:hAnsi="Palatino Linotype" w:cs="Arial"/>
          <w:i/>
          <w:sz w:val="24"/>
        </w:rPr>
        <w:t>solicito la vista al OIC</w:t>
      </w:r>
      <w:r w:rsidR="006A3A54" w:rsidRPr="00D46905">
        <w:rPr>
          <w:rFonts w:ascii="Palatino Linotype" w:hAnsi="Palatino Linotype" w:cs="Arial"/>
          <w:i/>
          <w:sz w:val="24"/>
        </w:rPr>
        <w:t>” (Sic)</w:t>
      </w:r>
    </w:p>
    <w:p w:rsidR="00BE6D77" w:rsidRDefault="00BE6D77" w:rsidP="004657BE">
      <w:pPr>
        <w:pStyle w:val="Sinespaciado"/>
        <w:spacing w:line="360" w:lineRule="auto"/>
        <w:jc w:val="both"/>
        <w:rPr>
          <w:rFonts w:ascii="Palatino Linotype" w:hAnsi="Palatino Linotype"/>
          <w:sz w:val="24"/>
          <w:szCs w:val="24"/>
        </w:rPr>
      </w:pPr>
    </w:p>
    <w:p w:rsidR="007E2E80" w:rsidRDefault="00E57465"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4657BE">
        <w:rPr>
          <w:rFonts w:ascii="Palatino Linotype" w:hAnsi="Palatino Linotype"/>
          <w:b/>
          <w:sz w:val="26"/>
          <w:szCs w:val="26"/>
        </w:rPr>
        <w:t xml:space="preserve">.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9978AF" w:rsidRPr="009978AF" w:rsidRDefault="009978AF" w:rsidP="004657BE">
      <w:pPr>
        <w:pStyle w:val="Sinespaciado"/>
        <w:spacing w:line="360" w:lineRule="auto"/>
        <w:jc w:val="both"/>
        <w:rPr>
          <w:rFonts w:ascii="Palatino Linotype" w:hAnsi="Palatino Linotype"/>
          <w:b/>
          <w:sz w:val="12"/>
          <w:szCs w:val="26"/>
        </w:rPr>
      </w:pP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w:t>
      </w:r>
      <w:r w:rsidR="00971417" w:rsidRPr="004657BE">
        <w:rPr>
          <w:rFonts w:ascii="Palatino Linotype" w:hAnsi="Palatino Linotype"/>
          <w:sz w:val="24"/>
          <w:szCs w:val="24"/>
        </w:rPr>
        <w:t xml:space="preserve">ios, del cual recayó acuerdo de admisión en fecha </w:t>
      </w:r>
      <w:r w:rsidR="00251C6D">
        <w:rPr>
          <w:rFonts w:ascii="Palatino Linotype" w:hAnsi="Palatino Linotype"/>
          <w:sz w:val="24"/>
          <w:szCs w:val="24"/>
        </w:rPr>
        <w:t>quince</w:t>
      </w:r>
      <w:r w:rsidR="00F420B7">
        <w:rPr>
          <w:rFonts w:ascii="Palatino Linotype" w:hAnsi="Palatino Linotype"/>
          <w:sz w:val="24"/>
          <w:szCs w:val="24"/>
        </w:rPr>
        <w:t xml:space="preserve"> de noviembre</w:t>
      </w:r>
      <w:r w:rsidR="00CC343F">
        <w:rPr>
          <w:rFonts w:ascii="Palatino Linotype" w:hAnsi="Palatino Linotype"/>
          <w:sz w:val="24"/>
          <w:szCs w:val="24"/>
        </w:rPr>
        <w:t xml:space="preserve"> </w:t>
      </w:r>
      <w:r w:rsidR="000E7C0A" w:rsidRPr="004657BE">
        <w:rPr>
          <w:rFonts w:ascii="Palatino Linotype" w:hAnsi="Palatino Linotype"/>
          <w:sz w:val="24"/>
          <w:szCs w:val="24"/>
        </w:rPr>
        <w:t xml:space="preserve">de dos mil </w:t>
      </w:r>
      <w:r w:rsidR="00E57465">
        <w:rPr>
          <w:rFonts w:ascii="Palatino Linotype" w:hAnsi="Palatino Linotype"/>
          <w:sz w:val="24"/>
          <w:szCs w:val="24"/>
        </w:rPr>
        <w:t>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Default="00BE6D77" w:rsidP="004657BE">
      <w:pPr>
        <w:pStyle w:val="Sinespaciado"/>
        <w:spacing w:line="360" w:lineRule="auto"/>
        <w:jc w:val="both"/>
        <w:rPr>
          <w:rFonts w:ascii="Palatino Linotype" w:hAnsi="Palatino Linotype"/>
          <w:sz w:val="24"/>
          <w:szCs w:val="24"/>
        </w:rPr>
      </w:pPr>
    </w:p>
    <w:p w:rsidR="007E2E80"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7E2E80" w:rsidRPr="0014447C">
        <w:rPr>
          <w:rFonts w:ascii="Palatino Linotype" w:hAnsi="Palatino Linotype"/>
          <w:b/>
          <w:sz w:val="26"/>
          <w:szCs w:val="26"/>
        </w:rPr>
        <w:t>. De la etapa de instrucción.</w:t>
      </w:r>
    </w:p>
    <w:p w:rsidR="009978AF" w:rsidRPr="009978AF" w:rsidRDefault="009978AF" w:rsidP="0014447C">
      <w:pPr>
        <w:pStyle w:val="Sinespaciado"/>
        <w:spacing w:line="360" w:lineRule="auto"/>
        <w:jc w:val="both"/>
        <w:rPr>
          <w:rFonts w:ascii="Palatino Linotype" w:hAnsi="Palatino Linotype"/>
          <w:b/>
          <w:sz w:val="12"/>
          <w:szCs w:val="26"/>
        </w:rPr>
      </w:pPr>
    </w:p>
    <w:p w:rsidR="00B40B6C" w:rsidRDefault="00B40B6C" w:rsidP="00B40B6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Pr>
          <w:rFonts w:ascii="Palatino Linotype" w:hAnsi="Palatino Linotype"/>
          <w:sz w:val="24"/>
          <w:szCs w:val="24"/>
        </w:rPr>
        <w:t>El</w:t>
      </w:r>
      <w:r w:rsidRPr="0014447C">
        <w:rPr>
          <w:rFonts w:ascii="Palatino Linotype" w:hAnsi="Palatino Linotype"/>
          <w:sz w:val="24"/>
          <w:szCs w:val="24"/>
        </w:rPr>
        <w:t xml:space="preserve"> Recurrente</w:t>
      </w:r>
      <w:r w:rsidR="00E64589">
        <w:rPr>
          <w:rFonts w:ascii="Palatino Linotype" w:hAnsi="Palatino Linotype"/>
          <w:sz w:val="24"/>
          <w:szCs w:val="24"/>
        </w:rPr>
        <w:t xml:space="preserve"> </w:t>
      </w:r>
      <w:r w:rsidR="00971417">
        <w:rPr>
          <w:rFonts w:ascii="Palatino Linotype" w:hAnsi="Palatino Linotype"/>
          <w:sz w:val="24"/>
          <w:szCs w:val="24"/>
        </w:rPr>
        <w:t xml:space="preserve">no </w:t>
      </w:r>
      <w:r w:rsidRPr="0014447C">
        <w:rPr>
          <w:rFonts w:ascii="Palatino Linotype" w:hAnsi="Palatino Linotype"/>
          <w:sz w:val="24"/>
          <w:szCs w:val="24"/>
        </w:rPr>
        <w:t>realizó manifestaciones</w:t>
      </w:r>
      <w:r w:rsidR="00E13349">
        <w:rPr>
          <w:rFonts w:ascii="Palatino Linotype" w:hAnsi="Palatino Linotype"/>
          <w:sz w:val="24"/>
          <w:szCs w:val="24"/>
        </w:rPr>
        <w:t xml:space="preserve"> que a su derecho convinieran</w:t>
      </w:r>
      <w:r w:rsidRPr="0014447C">
        <w:rPr>
          <w:rFonts w:ascii="Palatino Linotype" w:hAnsi="Palatino Linotype"/>
          <w:sz w:val="24"/>
          <w:szCs w:val="24"/>
        </w:rPr>
        <w:t xml:space="preserve">. </w:t>
      </w:r>
      <w:r w:rsidR="00E64589">
        <w:rPr>
          <w:rFonts w:ascii="Palatino Linotype" w:hAnsi="Palatino Linotype"/>
          <w:sz w:val="24"/>
          <w:szCs w:val="24"/>
        </w:rPr>
        <w:t>Por su parte el Sujeto Obligado</w:t>
      </w:r>
      <w:r w:rsidR="00251C6D">
        <w:rPr>
          <w:rFonts w:ascii="Palatino Linotype" w:hAnsi="Palatino Linotype"/>
          <w:sz w:val="24"/>
          <w:szCs w:val="24"/>
        </w:rPr>
        <w:t xml:space="preserve"> adjuntó al saimex un archivo electrónico el cual consta en un oficio signado por el Director de Seguridad Pública, documento que será objeto de estudio en lo subsecuente.</w:t>
      </w:r>
    </w:p>
    <w:p w:rsidR="00CE207D" w:rsidRDefault="006E16FF"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 </w:t>
      </w:r>
    </w:p>
    <w:p w:rsidR="00323D35" w:rsidRPr="00CE207D"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SEXTO</w:t>
      </w:r>
      <w:r w:rsidR="00423C27" w:rsidRPr="0014447C">
        <w:rPr>
          <w:rFonts w:ascii="Palatino Linotype" w:hAnsi="Palatino Linotype"/>
          <w:b/>
          <w:sz w:val="26"/>
          <w:szCs w:val="26"/>
        </w:rPr>
        <w:t>. Del cierre de instrucción.</w:t>
      </w:r>
      <w:r w:rsidR="00423C27" w:rsidRPr="0014447C">
        <w:rPr>
          <w:rFonts w:ascii="Palatino Linotype" w:hAnsi="Palatino Linotype"/>
          <w:b/>
          <w:sz w:val="26"/>
          <w:szCs w:val="26"/>
        </w:rPr>
        <w:tab/>
      </w:r>
    </w:p>
    <w:p w:rsidR="00423C27" w:rsidRPr="0014447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251C6D">
        <w:rPr>
          <w:rFonts w:ascii="Palatino Linotype" w:hAnsi="Palatino Linotype"/>
          <w:sz w:val="24"/>
          <w:szCs w:val="24"/>
        </w:rPr>
        <w:t xml:space="preserve">dieciséis </w:t>
      </w:r>
      <w:r w:rsidR="00F420B7">
        <w:rPr>
          <w:rFonts w:ascii="Palatino Linotype" w:hAnsi="Palatino Linotype"/>
          <w:sz w:val="24"/>
          <w:szCs w:val="24"/>
        </w:rPr>
        <w:t>de enero</w:t>
      </w:r>
      <w:r w:rsidR="00CC343F">
        <w:rPr>
          <w:rFonts w:ascii="Palatino Linotype" w:hAnsi="Palatino Linotype"/>
          <w:sz w:val="24"/>
          <w:szCs w:val="24"/>
        </w:rPr>
        <w:t xml:space="preserve"> </w:t>
      </w:r>
      <w:r w:rsidR="00EB5002">
        <w:rPr>
          <w:rFonts w:ascii="Palatino Linotype" w:hAnsi="Palatino Linotype"/>
          <w:sz w:val="24"/>
          <w:szCs w:val="24"/>
        </w:rPr>
        <w:t xml:space="preserve">de </w:t>
      </w:r>
      <w:r w:rsidR="00705D1C">
        <w:rPr>
          <w:rFonts w:ascii="Palatino Linotype" w:hAnsi="Palatino Linotype"/>
          <w:sz w:val="24"/>
          <w:szCs w:val="24"/>
        </w:rPr>
        <w:t xml:space="preserve">dos mil </w:t>
      </w:r>
      <w:r w:rsidR="00F420B7">
        <w:rPr>
          <w:rFonts w:ascii="Palatino Linotype" w:hAnsi="Palatino Linotype"/>
          <w:sz w:val="24"/>
          <w:szCs w:val="24"/>
        </w:rPr>
        <w:t>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CE207D" w:rsidRDefault="00CE207D" w:rsidP="0014447C">
      <w:pPr>
        <w:pStyle w:val="Sinespaciado"/>
        <w:spacing w:line="360" w:lineRule="auto"/>
        <w:jc w:val="both"/>
        <w:rPr>
          <w:rFonts w:ascii="Palatino Linotype" w:hAnsi="Palatino Linotype"/>
          <w:sz w:val="24"/>
          <w:szCs w:val="24"/>
        </w:rPr>
      </w:pPr>
    </w:p>
    <w:p w:rsidR="00915450" w:rsidRPr="009026F3" w:rsidRDefault="00D77749" w:rsidP="00915450">
      <w:pPr>
        <w:spacing w:line="360" w:lineRule="auto"/>
        <w:jc w:val="both"/>
        <w:rPr>
          <w:rFonts w:ascii="Palatino Linotype" w:hAnsi="Palatino Linotype" w:cs="Arial"/>
          <w:b/>
          <w:sz w:val="24"/>
          <w:szCs w:val="24"/>
        </w:rPr>
      </w:pPr>
      <w:r w:rsidRPr="009026F3">
        <w:rPr>
          <w:rFonts w:ascii="Palatino Linotype" w:hAnsi="Palatino Linotype" w:cs="Arial"/>
          <w:b/>
          <w:sz w:val="26"/>
          <w:szCs w:val="26"/>
        </w:rPr>
        <w:t>S</w:t>
      </w:r>
      <w:r w:rsidR="009978AF" w:rsidRPr="009026F3">
        <w:rPr>
          <w:rFonts w:ascii="Palatino Linotype" w:hAnsi="Palatino Linotype" w:cs="Arial"/>
          <w:b/>
          <w:sz w:val="26"/>
          <w:szCs w:val="26"/>
        </w:rPr>
        <w:t>É</w:t>
      </w:r>
      <w:r w:rsidRPr="009026F3">
        <w:rPr>
          <w:rFonts w:ascii="Palatino Linotype" w:hAnsi="Palatino Linotype" w:cs="Arial"/>
          <w:b/>
          <w:sz w:val="26"/>
          <w:szCs w:val="26"/>
        </w:rPr>
        <w:t>PTI</w:t>
      </w:r>
      <w:r w:rsidR="009978AF" w:rsidRPr="009026F3">
        <w:rPr>
          <w:rFonts w:ascii="Palatino Linotype" w:hAnsi="Palatino Linotype" w:cs="Arial"/>
          <w:b/>
          <w:sz w:val="26"/>
          <w:szCs w:val="26"/>
        </w:rPr>
        <w:t>MO</w:t>
      </w:r>
      <w:r w:rsidR="00915450" w:rsidRPr="009026F3">
        <w:rPr>
          <w:rFonts w:ascii="Palatino Linotype" w:hAnsi="Palatino Linotype" w:cs="Arial"/>
          <w:b/>
          <w:sz w:val="26"/>
          <w:szCs w:val="26"/>
        </w:rPr>
        <w:t>. De la ampliación del término para resolver</w:t>
      </w:r>
      <w:r w:rsidR="00915450" w:rsidRPr="009026F3">
        <w:rPr>
          <w:rFonts w:ascii="Palatino Linotype" w:hAnsi="Palatino Linotype" w:cs="Arial"/>
          <w:b/>
          <w:sz w:val="24"/>
          <w:szCs w:val="24"/>
        </w:rPr>
        <w:t>.</w:t>
      </w:r>
    </w:p>
    <w:p w:rsidR="00915450" w:rsidRDefault="00915450" w:rsidP="00915450">
      <w:pPr>
        <w:spacing w:line="360" w:lineRule="auto"/>
        <w:jc w:val="both"/>
        <w:rPr>
          <w:rFonts w:ascii="Palatino Linotype" w:hAnsi="Palatino Linotype" w:cs="Arial"/>
          <w:sz w:val="24"/>
          <w:szCs w:val="24"/>
        </w:rPr>
      </w:pPr>
      <w:r w:rsidRPr="009026F3">
        <w:rPr>
          <w:rFonts w:ascii="Palatino Linotype" w:hAnsi="Palatino Linotype" w:cs="Arial"/>
          <w:sz w:val="24"/>
          <w:szCs w:val="24"/>
        </w:rPr>
        <w:t xml:space="preserve">En fecha </w:t>
      </w:r>
      <w:r w:rsidR="00251C6D">
        <w:rPr>
          <w:rFonts w:ascii="Palatino Linotype" w:hAnsi="Palatino Linotype" w:cs="Arial"/>
          <w:sz w:val="24"/>
          <w:szCs w:val="24"/>
        </w:rPr>
        <w:t xml:space="preserve">dieciséis </w:t>
      </w:r>
      <w:r w:rsidR="00B754FD">
        <w:rPr>
          <w:rFonts w:ascii="Palatino Linotype" w:hAnsi="Palatino Linotype" w:cs="Arial"/>
          <w:sz w:val="24"/>
          <w:szCs w:val="24"/>
        </w:rPr>
        <w:t>de enero</w:t>
      </w:r>
      <w:r w:rsidR="005D5E76">
        <w:rPr>
          <w:rFonts w:ascii="Palatino Linotype" w:hAnsi="Palatino Linotype" w:cs="Arial"/>
          <w:sz w:val="24"/>
          <w:szCs w:val="24"/>
        </w:rPr>
        <w:t xml:space="preserve"> </w:t>
      </w:r>
      <w:r w:rsidR="00251C6D">
        <w:rPr>
          <w:rFonts w:ascii="Palatino Linotype" w:hAnsi="Palatino Linotype" w:cs="Arial"/>
          <w:sz w:val="24"/>
          <w:szCs w:val="24"/>
        </w:rPr>
        <w:t>de dos mil veinte</w:t>
      </w:r>
      <w:r w:rsidRPr="009026F3">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85EAA" w:rsidRDefault="00485EAA" w:rsidP="00485EAA">
      <w:pPr>
        <w:pStyle w:val="Sinespaciado"/>
      </w:pPr>
    </w:p>
    <w:p w:rsidR="000E28C7" w:rsidRDefault="000E28C7" w:rsidP="00485EAA">
      <w:pPr>
        <w:pStyle w:val="Sinespaciado"/>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0E631B" w:rsidRPr="00971417" w:rsidRDefault="000E631B" w:rsidP="00485EAA">
      <w:pPr>
        <w:pStyle w:val="Sinespaciado"/>
        <w:rPr>
          <w:sz w:val="8"/>
        </w:rPr>
      </w:pPr>
    </w:p>
    <w:p w:rsidR="00E64589" w:rsidRDefault="00E64589" w:rsidP="00971417"/>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21396E"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BB26EE">
        <w:rPr>
          <w:rFonts w:ascii="Palatino Linotype" w:hAnsi="Palatino Linotype"/>
          <w:sz w:val="24"/>
          <w:szCs w:val="24"/>
        </w:rPr>
        <w:t>El Recurrente</w:t>
      </w:r>
      <w:r w:rsidRPr="0014447C">
        <w:rPr>
          <w:rFonts w:ascii="Palatino Linotype" w:hAnsi="Palatino Linotype"/>
          <w:sz w:val="24"/>
          <w:szCs w:val="24"/>
        </w:rPr>
        <w:t xml:space="preserve"> conforme a lo dispuesto en los artículos 6, apartado A, fracción IV de la Constitución Política de los Estados Unidos Mexicanos, 5, párrafos vigésimo segundo</w:t>
      </w:r>
      <w:r w:rsidR="001D11F7">
        <w:rPr>
          <w:rFonts w:ascii="Palatino Linotype" w:hAnsi="Palatino Linotype"/>
          <w:sz w:val="24"/>
          <w:szCs w:val="24"/>
        </w:rPr>
        <w:t xml:space="preserve">, </w:t>
      </w:r>
      <w:r w:rsidR="00485EAA" w:rsidRPr="0014447C">
        <w:rPr>
          <w:rFonts w:ascii="Palatino Linotype" w:hAnsi="Palatino Linotype"/>
          <w:sz w:val="24"/>
          <w:szCs w:val="24"/>
        </w:rPr>
        <w:t xml:space="preserve">vigésimo </w:t>
      </w:r>
      <w:r w:rsidR="001D11F7">
        <w:rPr>
          <w:rFonts w:ascii="Palatino Linotype" w:hAnsi="Palatino Linotype"/>
          <w:sz w:val="24"/>
          <w:szCs w:val="24"/>
        </w:rPr>
        <w:t>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w:t>
      </w:r>
      <w:r w:rsidR="006E2615">
        <w:rPr>
          <w:rFonts w:ascii="Palatino Linotype" w:hAnsi="Palatino Linotype"/>
          <w:sz w:val="24"/>
          <w:szCs w:val="24"/>
        </w:rPr>
        <w:t>VI</w:t>
      </w:r>
      <w:r w:rsidRPr="0014447C">
        <w:rPr>
          <w:rFonts w:ascii="Palatino Linotype" w:hAnsi="Palatino Linotype"/>
          <w:sz w:val="24"/>
          <w:szCs w:val="24"/>
        </w:rPr>
        <w:t xml:space="preserve">I, 181 párrafo tercero, 182, 185, 188 y 194 de la Ley de Transparencia y Acceso a la Información </w:t>
      </w:r>
      <w:r w:rsidRPr="0014447C">
        <w:rPr>
          <w:rFonts w:ascii="Palatino Linotype" w:hAnsi="Palatino Linotype"/>
          <w:sz w:val="24"/>
          <w:szCs w:val="24"/>
        </w:rPr>
        <w:lastRenderedPageBreak/>
        <w:t>Pública del Estado de México y Municipios, 9 fracciones I, XXIV, 11 y 14 fracción I del Reglamento Interior del Instituto de Transparencia, Acceso a la Información Pública y Protección de Datos Personales del Estado de México.</w:t>
      </w:r>
    </w:p>
    <w:p w:rsidR="00251C6D" w:rsidRPr="00937BFA" w:rsidRDefault="00251C6D" w:rsidP="0014447C">
      <w:pPr>
        <w:pStyle w:val="Sinespaciado"/>
        <w:spacing w:line="360" w:lineRule="auto"/>
        <w:jc w:val="both"/>
        <w:rPr>
          <w:rFonts w:ascii="Palatino Linotype" w:hAnsi="Palatino Linotype"/>
          <w:sz w:val="24"/>
          <w:szCs w:val="24"/>
        </w:rPr>
      </w:pPr>
    </w:p>
    <w:p w:rsidR="007E2E80" w:rsidRPr="0014447C" w:rsidRDefault="00937BFA" w:rsidP="0014447C">
      <w:pPr>
        <w:pStyle w:val="Sinespaciado"/>
        <w:spacing w:line="360" w:lineRule="auto"/>
        <w:jc w:val="both"/>
        <w:rPr>
          <w:rFonts w:ascii="Palatino Linotype" w:hAnsi="Palatino Linotype"/>
          <w:b/>
          <w:sz w:val="26"/>
          <w:szCs w:val="26"/>
        </w:rPr>
      </w:pPr>
      <w:r>
        <w:rPr>
          <w:rFonts w:ascii="Palatino Linotype" w:hAnsi="Palatino Linotype"/>
          <w:sz w:val="20"/>
          <w:szCs w:val="24"/>
        </w:rPr>
        <w:t xml:space="preserve"> </w:t>
      </w:r>
      <w:r w:rsidR="007E2E80" w:rsidRPr="0014447C">
        <w:rPr>
          <w:rFonts w:ascii="Palatino Linotype" w:hAnsi="Palatino Linotype"/>
          <w:b/>
          <w:sz w:val="26"/>
          <w:szCs w:val="26"/>
        </w:rPr>
        <w:t xml:space="preserve">SEGUNDO. Sobre los alcances del recurso de revisión. </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34F75" w:rsidRDefault="00334F75" w:rsidP="00705D1C">
      <w:pPr>
        <w:pStyle w:val="Sinespaciado"/>
        <w:spacing w:line="360" w:lineRule="auto"/>
        <w:jc w:val="both"/>
        <w:rPr>
          <w:rFonts w:ascii="Palatino Linotype" w:hAnsi="Palatino Linotype"/>
          <w:b/>
          <w:sz w:val="26"/>
          <w:szCs w:val="26"/>
        </w:rPr>
      </w:pPr>
    </w:p>
    <w:p w:rsidR="00B754FD" w:rsidRDefault="00B754FD" w:rsidP="00B754FD">
      <w:pPr>
        <w:pStyle w:val="Sinespaciado"/>
        <w:spacing w:line="360" w:lineRule="auto"/>
        <w:jc w:val="both"/>
        <w:rPr>
          <w:rFonts w:ascii="Palatino Linotype" w:hAnsi="Palatino Linotype"/>
          <w:b/>
          <w:sz w:val="26"/>
          <w:szCs w:val="26"/>
        </w:rPr>
      </w:pPr>
      <w:r>
        <w:rPr>
          <w:rFonts w:ascii="Palatino Linotype" w:hAnsi="Palatino Linotype"/>
          <w:b/>
          <w:sz w:val="26"/>
          <w:szCs w:val="26"/>
        </w:rPr>
        <w:t>TERCERO. Previo y especial pronunciamiento.</w:t>
      </w:r>
    </w:p>
    <w:p w:rsidR="00B754FD" w:rsidRDefault="00B754FD" w:rsidP="00B754FD">
      <w:pPr>
        <w:pStyle w:val="Sinespaciado"/>
        <w:spacing w:line="360" w:lineRule="auto"/>
        <w:jc w:val="both"/>
        <w:rPr>
          <w:rFonts w:ascii="Palatino Linotype" w:hAnsi="Palatino Linotype"/>
          <w:sz w:val="24"/>
          <w:szCs w:val="24"/>
          <w:lang w:val="es-ES"/>
        </w:rPr>
      </w:pPr>
      <w:r w:rsidRPr="00890DBD">
        <w:rPr>
          <w:rFonts w:ascii="Palatino Linotype" w:hAnsi="Palatino Linotype"/>
          <w:sz w:val="24"/>
          <w:szCs w:val="24"/>
          <w:lang w:val="es-ES"/>
        </w:rPr>
        <w:t xml:space="preserve">El Recurso de Revisión en estudio contiene los elementos normativos de validez exigidos en la Ley de Transparencia y </w:t>
      </w:r>
      <w:r w:rsidRPr="00890DBD">
        <w:rPr>
          <w:rFonts w:ascii="Palatino Linotype" w:hAnsi="Palatino Linotype"/>
          <w:sz w:val="24"/>
          <w:szCs w:val="24"/>
          <w:lang w:val="es-ES_tradnl"/>
        </w:rPr>
        <w:t>Acceso a la Información Pública del Estado de México y Municipios</w:t>
      </w:r>
      <w:r w:rsidRPr="00890DBD">
        <w:rPr>
          <w:rFonts w:ascii="Palatino Linotype" w:hAnsi="Palatino Linotype"/>
          <w:sz w:val="24"/>
          <w:szCs w:val="24"/>
          <w:lang w:val="es-ES"/>
        </w:rPr>
        <w:t>, establecidos en el artículo 180 que enuncia:</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t xml:space="preserve">“Artículo 180. </w:t>
      </w:r>
      <w:r w:rsidRPr="00890DBD">
        <w:rPr>
          <w:rFonts w:ascii="Palatino Linotype" w:hAnsi="Palatino Linotype"/>
          <w:i/>
          <w:sz w:val="24"/>
          <w:szCs w:val="24"/>
          <w:lang w:val="es-ES"/>
        </w:rPr>
        <w:t>El recurso de revisión contendrá:</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I. El sujeto obligado ante la cual se presentó la solicitud;</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t>II. El nombre del solicitante que recurre</w:t>
      </w:r>
      <w:r w:rsidRPr="00890DBD">
        <w:rPr>
          <w:rFonts w:ascii="Palatino Linotype" w:hAnsi="Palatino Linotype"/>
          <w:i/>
          <w:sz w:val="24"/>
          <w:szCs w:val="24"/>
          <w:lang w:val="es-ES"/>
        </w:rPr>
        <w:t xml:space="preserve"> o de su representante y, en su caso, del tercero interesado, así como la dirección o medio que señale para recibir notificaciones;</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III. El número de folio de respuesta de la solicitud de acceso;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lastRenderedPageBreak/>
        <w:t>IV. La fecha en que fue notificada la respuesta al solicitante o tuvo conocimiento del acto reclamado, o de presentación de la solicitud, en caso de falta de respuesta;</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 El acto que se recurre;</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VI. Las razones o motivos de inconformidad;</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VII. La copia de la respuesta que se impugna y, en su caso, de la notificación correspondiente, en el caso de respuesta de la solicitud; y</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VIII. Firma del recurrente, en su caso, cuando se presente por escrito, requisito sin el cual se dará trámite al recurso.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Adicionalmente, se podrán anexar las pruebas y demás elementos que considere procedentes someter a juicio del Instituto.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En ningún caso será necesario que el particular ratifique el recurso de revisión interpuesto.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t>En caso de que el recurso se interponga de manera electrónica no será indispensable que contengan los requisitos establecidos en las fracciones II</w:t>
      </w:r>
      <w:r w:rsidRPr="00890DBD">
        <w:rPr>
          <w:rFonts w:ascii="Palatino Linotype" w:hAnsi="Palatino Linotype"/>
          <w:i/>
          <w:sz w:val="24"/>
          <w:szCs w:val="24"/>
          <w:lang w:val="es-ES"/>
        </w:rPr>
        <w:t>, IV, VII y VIII.”</w:t>
      </w:r>
    </w:p>
    <w:p w:rsidR="00B754FD" w:rsidRPr="00311EE6" w:rsidRDefault="00B754FD" w:rsidP="00B754FD">
      <w:pPr>
        <w:pStyle w:val="Sinespaciado"/>
        <w:ind w:left="567" w:right="426"/>
        <w:jc w:val="both"/>
        <w:rPr>
          <w:rFonts w:ascii="Palatino Linotype" w:hAnsi="Palatino Linotype"/>
          <w:b/>
          <w:i/>
          <w:sz w:val="24"/>
          <w:szCs w:val="24"/>
          <w:lang w:val="es-ES"/>
        </w:rPr>
      </w:pPr>
      <w:r w:rsidRPr="00890DBD">
        <w:rPr>
          <w:rFonts w:ascii="Palatino Linotype" w:hAnsi="Palatino Linotype"/>
          <w:b/>
          <w:i/>
          <w:sz w:val="24"/>
          <w:szCs w:val="24"/>
          <w:lang w:val="es-ES"/>
        </w:rPr>
        <w:t>[Énfasis añadido]</w:t>
      </w:r>
    </w:p>
    <w:p w:rsidR="00B754FD" w:rsidRDefault="00B754FD" w:rsidP="00B754FD">
      <w:pPr>
        <w:pStyle w:val="Sinespaciado"/>
        <w:spacing w:line="360" w:lineRule="auto"/>
        <w:jc w:val="both"/>
        <w:rPr>
          <w:rFonts w:ascii="Palatino Linotype" w:hAnsi="Palatino Linotype"/>
          <w:sz w:val="24"/>
          <w:szCs w:val="24"/>
        </w:rPr>
      </w:pPr>
    </w:p>
    <w:p w:rsidR="00B754FD" w:rsidRDefault="00B754FD" w:rsidP="00B754FD">
      <w:pPr>
        <w:pStyle w:val="Sinespaciado"/>
        <w:spacing w:line="360" w:lineRule="auto"/>
        <w:jc w:val="both"/>
        <w:rPr>
          <w:rFonts w:ascii="Palatino Linotype" w:hAnsi="Palatino Linotype"/>
          <w:b/>
          <w:sz w:val="26"/>
          <w:szCs w:val="26"/>
        </w:rPr>
      </w:pPr>
      <w:r w:rsidRPr="00890DBD">
        <w:rPr>
          <w:rFonts w:ascii="Palatino Linotype" w:hAnsi="Palatino Linotype"/>
          <w:sz w:val="24"/>
          <w:szCs w:val="24"/>
        </w:rPr>
        <w:t xml:space="preserve">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w:t>
      </w:r>
      <w:r w:rsidRPr="00890DBD">
        <w:rPr>
          <w:rFonts w:ascii="Palatino Linotype" w:hAnsi="Palatino Linotype"/>
          <w:sz w:val="24"/>
          <w:szCs w:val="24"/>
        </w:rPr>
        <w:lastRenderedPageBreak/>
        <w:t>esencial de procedibilidad;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w:t>
      </w:r>
      <w:r>
        <w:rPr>
          <w:rFonts w:ascii="Palatino Linotype" w:hAnsi="Palatino Linotype"/>
          <w:sz w:val="24"/>
          <w:szCs w:val="24"/>
        </w:rPr>
        <w:t>.</w:t>
      </w:r>
    </w:p>
    <w:p w:rsidR="00B754FD" w:rsidRDefault="00B754FD" w:rsidP="00705D1C">
      <w:pPr>
        <w:pStyle w:val="Sinespaciado"/>
        <w:spacing w:line="360" w:lineRule="auto"/>
        <w:jc w:val="both"/>
        <w:rPr>
          <w:rFonts w:ascii="Palatino Linotype" w:hAnsi="Palatino Linotype"/>
          <w:b/>
          <w:sz w:val="26"/>
          <w:szCs w:val="26"/>
        </w:rPr>
      </w:pPr>
    </w:p>
    <w:p w:rsidR="00705D1C" w:rsidRPr="0014447C" w:rsidRDefault="00B754FD"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1F021C">
        <w:rPr>
          <w:rFonts w:ascii="Palatino Linotype" w:hAnsi="Palatino Linotype"/>
          <w:b/>
          <w:sz w:val="26"/>
          <w:szCs w:val="26"/>
        </w:rPr>
        <w:t xml:space="preserve">.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B54F05" w:rsidRDefault="00B54F05" w:rsidP="00705D1C">
      <w:pPr>
        <w:pStyle w:val="Sinespaciado"/>
        <w:spacing w:line="360" w:lineRule="auto"/>
        <w:jc w:val="both"/>
        <w:rPr>
          <w:rFonts w:ascii="Palatino Linotype" w:hAnsi="Palatino Linotype"/>
          <w:sz w:val="24"/>
          <w:szCs w:val="24"/>
        </w:rPr>
      </w:pPr>
    </w:p>
    <w:p w:rsidR="007E2E80" w:rsidRPr="0014447C" w:rsidRDefault="00B754FD"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801391" w:rsidRPr="00B230B3" w:rsidRDefault="00801391" w:rsidP="00801391">
      <w:pPr>
        <w:pStyle w:val="Sinespaciado"/>
        <w:spacing w:line="360" w:lineRule="auto"/>
        <w:jc w:val="both"/>
        <w:rPr>
          <w:rFonts w:ascii="Palatino Linotype" w:hAnsi="Palatino Linotype"/>
          <w:sz w:val="24"/>
        </w:rPr>
      </w:pPr>
      <w:r w:rsidRPr="00B230B3">
        <w:rPr>
          <w:rFonts w:ascii="Palatino Linotype" w:hAnsi="Palatino Linotype"/>
          <w:sz w:val="24"/>
        </w:rPr>
        <w:t xml:space="preserve">El análisis y resolución del presente recurso, se funda en el contenido íntegro de las actuaciones que obran en el expediente electrónico, para así estar en posibilidad este </w:t>
      </w:r>
      <w:r w:rsidRPr="00B230B3">
        <w:rPr>
          <w:rFonts w:ascii="Palatino Linotype" w:hAnsi="Palatino Linotype"/>
          <w:sz w:val="24"/>
        </w:rPr>
        <w:lastRenderedPageBreak/>
        <w:t>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01391" w:rsidRPr="00B230B3" w:rsidRDefault="00801391" w:rsidP="00801391">
      <w:pPr>
        <w:pStyle w:val="Sinespaciado"/>
        <w:spacing w:line="360" w:lineRule="auto"/>
        <w:jc w:val="both"/>
        <w:rPr>
          <w:rFonts w:ascii="Palatino Linotype" w:hAnsi="Palatino Linotype"/>
          <w:sz w:val="24"/>
        </w:rPr>
      </w:pPr>
    </w:p>
    <w:p w:rsidR="00801391" w:rsidRPr="00B230B3" w:rsidRDefault="00801391" w:rsidP="00801391">
      <w:pPr>
        <w:pStyle w:val="Sinespaciado"/>
        <w:spacing w:line="360" w:lineRule="auto"/>
        <w:jc w:val="both"/>
        <w:rPr>
          <w:rFonts w:ascii="Palatino Linotype" w:hAnsi="Palatino Linotype"/>
          <w:color w:val="000000"/>
          <w:sz w:val="24"/>
        </w:rPr>
      </w:pPr>
      <w:r w:rsidRPr="00B230B3">
        <w:rPr>
          <w:rFonts w:ascii="Palatino Linotype" w:hAnsi="Palatino Linotype"/>
          <w:sz w:val="24"/>
        </w:rPr>
        <w:t xml:space="preserve">En primer lugar </w:t>
      </w:r>
      <w:r w:rsidRPr="00B230B3">
        <w:rPr>
          <w:rFonts w:ascii="Palatino Linotype" w:hAnsi="Palatino Linotype"/>
          <w:color w:val="000000"/>
          <w:sz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r>
        <w:rPr>
          <w:rFonts w:ascii="Palatino Linotype" w:hAnsi="Palatino Linotype"/>
          <w:color w:val="000000"/>
          <w:sz w:val="24"/>
        </w:rPr>
        <w:t>;</w:t>
      </w:r>
      <w:r w:rsidRPr="00B230B3">
        <w:rPr>
          <w:rFonts w:ascii="Palatino Linotype" w:hAnsi="Palatino Linotype"/>
          <w:color w:val="000000"/>
          <w:sz w:val="24"/>
        </w:rPr>
        <w:t xml:space="preserve"> </w:t>
      </w:r>
    </w:p>
    <w:p w:rsidR="00801391" w:rsidRPr="00407282" w:rsidRDefault="00801391" w:rsidP="00801391">
      <w:pPr>
        <w:pStyle w:val="Sinespaciado"/>
        <w:spacing w:line="360" w:lineRule="auto"/>
        <w:jc w:val="both"/>
        <w:rPr>
          <w:rFonts w:ascii="Palatino Linotype" w:hAnsi="Palatino Linotype"/>
          <w:color w:val="000000"/>
        </w:rPr>
      </w:pPr>
    </w:p>
    <w:p w:rsidR="00801391" w:rsidRPr="004E6B5B" w:rsidRDefault="00801391" w:rsidP="00801391">
      <w:pPr>
        <w:pStyle w:val="Sinespaciado"/>
        <w:ind w:left="567" w:right="567"/>
        <w:jc w:val="both"/>
        <w:rPr>
          <w:rFonts w:ascii="Palatino Linotype" w:hAnsi="Palatino Linotype"/>
          <w:b/>
          <w:i/>
        </w:rPr>
      </w:pPr>
      <w:r w:rsidRPr="004E6B5B">
        <w:rPr>
          <w:rFonts w:ascii="Palatino Linotype" w:hAnsi="Palatino Linotype"/>
          <w:b/>
          <w:i/>
        </w:rPr>
        <w:t>Artículo 6</w:t>
      </w:r>
    </w:p>
    <w:p w:rsidR="00801391" w:rsidRPr="004E6B5B" w:rsidRDefault="00801391" w:rsidP="00801391">
      <w:pPr>
        <w:pStyle w:val="Sinespaciado"/>
        <w:ind w:left="567" w:right="567"/>
        <w:jc w:val="both"/>
        <w:rPr>
          <w:rFonts w:ascii="Palatino Linotype" w:hAnsi="Palatino Linotype"/>
          <w:i/>
        </w:rPr>
      </w:pPr>
      <w:r w:rsidRPr="004E6B5B">
        <w:rPr>
          <w:rFonts w:ascii="Palatino Linotype" w:hAnsi="Palatino Linotype"/>
          <w:i/>
        </w:rPr>
        <w:t>…</w:t>
      </w:r>
    </w:p>
    <w:p w:rsidR="00801391" w:rsidRPr="004E6B5B" w:rsidRDefault="00801391" w:rsidP="00801391">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801391" w:rsidRPr="004E6B5B" w:rsidRDefault="00801391" w:rsidP="00801391">
      <w:pPr>
        <w:pStyle w:val="Sinespaciado"/>
        <w:ind w:left="567" w:right="567"/>
        <w:jc w:val="both"/>
        <w:rPr>
          <w:rFonts w:ascii="Palatino Linotype" w:hAnsi="Palatino Linotype"/>
          <w:i/>
        </w:rPr>
      </w:pPr>
    </w:p>
    <w:p w:rsidR="00801391" w:rsidRDefault="00801391" w:rsidP="00801391">
      <w:pPr>
        <w:pStyle w:val="Sinespaciado"/>
        <w:numPr>
          <w:ilvl w:val="0"/>
          <w:numId w:val="14"/>
        </w:numPr>
        <w:ind w:left="993" w:right="567"/>
        <w:jc w:val="both"/>
        <w:rPr>
          <w:rFonts w:ascii="Palatino Linotype" w:hAnsi="Palatino Linotype"/>
          <w:i/>
        </w:rPr>
      </w:pPr>
      <w:r w:rsidRPr="004E6B5B">
        <w:rPr>
          <w:rFonts w:ascii="Palatino Linotype" w:hAnsi="Palatino Linotype"/>
          <w:i/>
        </w:rPr>
        <w:t>Toda la información</w:t>
      </w:r>
    </w:p>
    <w:p w:rsidR="00801391" w:rsidRDefault="00801391" w:rsidP="00801391">
      <w:pPr>
        <w:pStyle w:val="Sinespaciado"/>
        <w:numPr>
          <w:ilvl w:val="0"/>
          <w:numId w:val="14"/>
        </w:numPr>
        <w:ind w:left="993" w:right="567"/>
        <w:jc w:val="both"/>
        <w:rPr>
          <w:rFonts w:ascii="Palatino Linotype" w:hAnsi="Palatino Linotype"/>
          <w:i/>
        </w:rPr>
      </w:pPr>
      <w:r w:rsidRPr="004E6B5B">
        <w:rPr>
          <w:rFonts w:ascii="Palatino Linotype"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w:t>
      </w:r>
      <w:r w:rsidRPr="004E6B5B">
        <w:rPr>
          <w:rFonts w:ascii="Palatino Linotype" w:hAnsi="Palatino Linotype"/>
          <w:i/>
        </w:rPr>
        <w:lastRenderedPageBreak/>
        <w:t>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01391" w:rsidRPr="00407282" w:rsidRDefault="00801391" w:rsidP="00801391">
      <w:pPr>
        <w:pStyle w:val="Sinespaciado"/>
        <w:spacing w:line="360" w:lineRule="auto"/>
        <w:jc w:val="both"/>
        <w:rPr>
          <w:rFonts w:ascii="Palatino Linotype" w:hAnsi="Palatino Linotype"/>
        </w:rPr>
      </w:pPr>
    </w:p>
    <w:p w:rsidR="00801391" w:rsidRPr="00407282" w:rsidRDefault="00801391" w:rsidP="00801391">
      <w:pPr>
        <w:pStyle w:val="Sinespaciado"/>
        <w:spacing w:line="360" w:lineRule="auto"/>
        <w:jc w:val="both"/>
        <w:rPr>
          <w:rFonts w:ascii="Palatino Linotype" w:hAnsi="Palatino Linotype" w:cs="Arial"/>
        </w:rPr>
      </w:pPr>
      <w:r w:rsidRPr="00B230B3">
        <w:rPr>
          <w:rFonts w:ascii="Palatino Linotype" w:hAnsi="Palatino Linotype" w:cs="Arial"/>
          <w:sz w:val="24"/>
        </w:rPr>
        <w:t xml:space="preserve">Ahora bien, en atención a lo dispuesto por los artículos 3, fracción XI y 12 </w:t>
      </w:r>
      <w:r w:rsidRPr="00B230B3">
        <w:rPr>
          <w:rFonts w:ascii="Palatino Linotype" w:hAnsi="Palatino Linotype" w:cs="Arial"/>
          <w:bCs/>
          <w:sz w:val="24"/>
        </w:rPr>
        <w:t>de la Ley de Transparencia y Acceso a la Información Pública del Estado de México y Municipios</w:t>
      </w:r>
      <w:r w:rsidRPr="00B230B3">
        <w:rPr>
          <w:rFonts w:ascii="Palatino Linotype" w:hAnsi="Palatino Linotype" w:cs="Arial"/>
          <w:sz w:val="24"/>
        </w:rPr>
        <w:t>, los cuales son del tenor literal siguiente</w:t>
      </w:r>
      <w:r w:rsidRPr="00407282">
        <w:rPr>
          <w:rFonts w:ascii="Palatino Linotype" w:hAnsi="Palatino Linotype" w:cs="Arial"/>
        </w:rPr>
        <w:t>:</w:t>
      </w:r>
    </w:p>
    <w:p w:rsidR="00801391" w:rsidRPr="00407282" w:rsidRDefault="00801391" w:rsidP="00801391">
      <w:pPr>
        <w:pStyle w:val="Sinespaciado"/>
        <w:ind w:left="567" w:right="567"/>
        <w:jc w:val="both"/>
        <w:rPr>
          <w:rFonts w:ascii="Palatino Linotype" w:hAnsi="Palatino Linotype"/>
        </w:rPr>
      </w:pP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i/>
        </w:rPr>
        <w:t>…</w:t>
      </w: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801391" w:rsidRPr="006376FA" w:rsidRDefault="00801391" w:rsidP="00801391">
      <w:pPr>
        <w:pStyle w:val="Sinespaciado"/>
        <w:ind w:left="567" w:right="567"/>
        <w:jc w:val="both"/>
        <w:rPr>
          <w:rFonts w:ascii="Palatino Linotype" w:hAnsi="Palatino Linotype"/>
          <w:i/>
        </w:rPr>
      </w:pPr>
    </w:p>
    <w:p w:rsidR="00801391" w:rsidRPr="006376FA" w:rsidRDefault="00801391" w:rsidP="00801391">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01391" w:rsidRPr="006376FA" w:rsidRDefault="00801391" w:rsidP="00801391">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01391" w:rsidRPr="006376FA" w:rsidRDefault="00801391" w:rsidP="00801391">
      <w:pPr>
        <w:pStyle w:val="Sinespaciado"/>
        <w:ind w:left="567" w:right="567"/>
        <w:jc w:val="both"/>
        <w:rPr>
          <w:rFonts w:ascii="Palatino Linotype" w:hAnsi="Palatino Linotype"/>
          <w:bCs/>
          <w:i/>
        </w:rPr>
      </w:pPr>
    </w:p>
    <w:p w:rsidR="00801391" w:rsidRPr="006376FA" w:rsidRDefault="00801391" w:rsidP="00801391">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801391" w:rsidRPr="006376FA" w:rsidRDefault="00801391" w:rsidP="00801391">
      <w:pPr>
        <w:pStyle w:val="Sinespaciado"/>
        <w:ind w:left="567" w:right="567"/>
        <w:jc w:val="both"/>
        <w:rPr>
          <w:rFonts w:ascii="Palatino Linotype" w:hAnsi="Palatino Linotype"/>
          <w:i/>
        </w:rPr>
      </w:pP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801391" w:rsidRPr="006376FA" w:rsidRDefault="00801391" w:rsidP="00801391">
      <w:pPr>
        <w:pStyle w:val="Sinespaciado"/>
        <w:ind w:left="567" w:right="567"/>
        <w:jc w:val="both"/>
        <w:rPr>
          <w:rFonts w:ascii="Palatino Linotype" w:hAnsi="Palatino Linotype"/>
          <w:i/>
        </w:rPr>
      </w:pPr>
    </w:p>
    <w:p w:rsidR="00801391" w:rsidRPr="004E6B5B" w:rsidRDefault="00801391" w:rsidP="00801391">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801391" w:rsidRPr="00407282" w:rsidRDefault="00801391" w:rsidP="00801391">
      <w:pPr>
        <w:pStyle w:val="Sinespaciado"/>
        <w:spacing w:line="360" w:lineRule="auto"/>
        <w:jc w:val="both"/>
        <w:rPr>
          <w:rFonts w:ascii="Palatino Linotype" w:hAnsi="Palatino Linotype"/>
        </w:rPr>
      </w:pPr>
    </w:p>
    <w:p w:rsidR="00801391" w:rsidRDefault="00801391" w:rsidP="00801391">
      <w:pPr>
        <w:pStyle w:val="Sinespaciado"/>
        <w:spacing w:line="360" w:lineRule="auto"/>
        <w:jc w:val="both"/>
        <w:rPr>
          <w:rFonts w:ascii="Palatino Linotype" w:hAnsi="Palatino Linotype" w:cs="Arial"/>
          <w:sz w:val="24"/>
        </w:rPr>
      </w:pPr>
      <w:r w:rsidRPr="001837DE">
        <w:rPr>
          <w:rFonts w:ascii="Palatino Linotype" w:hAnsi="Palatino Linotype" w:cs="Arial"/>
          <w:sz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801391" w:rsidRDefault="00801391" w:rsidP="00801391">
      <w:pPr>
        <w:pStyle w:val="Sinespaciado"/>
      </w:pPr>
    </w:p>
    <w:p w:rsidR="00B754FD" w:rsidRPr="008A5B06" w:rsidRDefault="00B754FD" w:rsidP="00B754FD">
      <w:pPr>
        <w:pStyle w:val="Sinespaciado"/>
        <w:spacing w:line="360" w:lineRule="auto"/>
        <w:jc w:val="both"/>
        <w:rPr>
          <w:rFonts w:ascii="Palatino Linotype" w:hAnsi="Palatino Linotype" w:cs="Arial"/>
          <w:sz w:val="24"/>
        </w:rPr>
      </w:pPr>
      <w:r w:rsidRPr="008A5B06">
        <w:rPr>
          <w:rFonts w:ascii="Palatino Linotype" w:hAnsi="Palatino Linotype" w:cs="Arial"/>
          <w:sz w:val="24"/>
        </w:rPr>
        <w:t xml:space="preserve">Primeramente es importante mencionar que la solicitud de información fue presentada mediante la Plataforma Nacional de Transparencia, sistema que se encuentra en funcionamiento y que permite cumplir con los procedimientos y 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rsidR="00B754FD" w:rsidRPr="008A5B06" w:rsidRDefault="00B754FD" w:rsidP="00B754FD">
      <w:pPr>
        <w:pStyle w:val="Sinespaciado"/>
        <w:spacing w:line="360" w:lineRule="auto"/>
        <w:jc w:val="both"/>
        <w:rPr>
          <w:rFonts w:ascii="Palatino Linotype" w:hAnsi="Palatino Linotype" w:cs="Arial"/>
          <w:sz w:val="24"/>
        </w:rPr>
      </w:pPr>
    </w:p>
    <w:p w:rsidR="00B754FD" w:rsidRPr="008A5B06" w:rsidRDefault="00B754FD" w:rsidP="00B754FD">
      <w:pPr>
        <w:pStyle w:val="Sinespaciado"/>
        <w:spacing w:line="360" w:lineRule="auto"/>
        <w:jc w:val="both"/>
        <w:rPr>
          <w:rFonts w:ascii="Palatino Linotype" w:hAnsi="Palatino Linotype" w:cs="Arial"/>
          <w:sz w:val="24"/>
        </w:rPr>
      </w:pPr>
      <w:r w:rsidRPr="008A5B06">
        <w:rPr>
          <w:rFonts w:ascii="Palatino Linotype" w:hAnsi="Palatino Linotype" w:cs="Arial"/>
          <w:sz w:val="24"/>
        </w:rPr>
        <w:t>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rsidR="00B754FD" w:rsidRPr="008A5B06" w:rsidRDefault="00B754FD" w:rsidP="00B754FD">
      <w:pPr>
        <w:pStyle w:val="Sinespaciado"/>
        <w:spacing w:line="360" w:lineRule="auto"/>
        <w:jc w:val="both"/>
        <w:rPr>
          <w:rFonts w:ascii="Palatino Linotype" w:hAnsi="Palatino Linotype" w:cs="Arial"/>
          <w:sz w:val="24"/>
        </w:rPr>
      </w:pPr>
    </w:p>
    <w:p w:rsidR="00B754FD" w:rsidRPr="00B754FD" w:rsidRDefault="00B754FD" w:rsidP="00B754FD">
      <w:pPr>
        <w:pStyle w:val="Sinespaciado"/>
        <w:spacing w:line="360" w:lineRule="auto"/>
        <w:jc w:val="both"/>
        <w:rPr>
          <w:rFonts w:ascii="Palatino Linotype" w:hAnsi="Palatino Linotype"/>
          <w:sz w:val="24"/>
          <w:szCs w:val="24"/>
          <w:lang w:eastAsia="es-MX"/>
        </w:rPr>
      </w:pPr>
      <w:r w:rsidRPr="00B754FD">
        <w:rPr>
          <w:rFonts w:ascii="Palatino Linotype" w:hAnsi="Palatino Linotype" w:cs="Arial"/>
          <w:sz w:val="24"/>
          <w:szCs w:val="24"/>
        </w:rPr>
        <w:t>De este modo la información plasmada en el expediente electrónico de la Plataforma, también se encontrará registrado en el Sistema SAIMEX, por ello este Instituto conoce y resuelve los recursos de revisión que fueron interpuestos mediante esta vía.</w:t>
      </w:r>
    </w:p>
    <w:p w:rsidR="00B754FD" w:rsidRDefault="00B754FD" w:rsidP="00801391">
      <w:pPr>
        <w:pStyle w:val="Sinespaciado"/>
        <w:spacing w:line="360" w:lineRule="auto"/>
        <w:jc w:val="both"/>
        <w:rPr>
          <w:rFonts w:ascii="Palatino Linotype" w:hAnsi="Palatino Linotype"/>
          <w:sz w:val="24"/>
          <w:szCs w:val="24"/>
          <w:lang w:eastAsia="es-MX"/>
        </w:rPr>
      </w:pPr>
    </w:p>
    <w:p w:rsidR="00801391" w:rsidRDefault="00801391" w:rsidP="00801391">
      <w:pPr>
        <w:pStyle w:val="Sinespaciado"/>
        <w:spacing w:line="360" w:lineRule="auto"/>
        <w:jc w:val="both"/>
        <w:rPr>
          <w:rFonts w:ascii="Palatino Linotype" w:hAnsi="Palatino Linotype"/>
          <w:sz w:val="24"/>
          <w:szCs w:val="24"/>
          <w:lang w:eastAsia="es-MX"/>
        </w:rPr>
      </w:pPr>
      <w:r w:rsidRPr="00B231BC">
        <w:rPr>
          <w:rFonts w:ascii="Palatino Linotype" w:hAnsi="Palatino Linotype"/>
          <w:sz w:val="24"/>
          <w:szCs w:val="24"/>
          <w:lang w:eastAsia="es-MX"/>
        </w:rPr>
        <w:t xml:space="preserve">En este sentido nuestro estudio versará en determinar si la información remitida mediante respuesta, colma el derecho de acceso a la información solicitado por </w:t>
      </w:r>
      <w:r>
        <w:rPr>
          <w:rFonts w:ascii="Palatino Linotype" w:hAnsi="Palatino Linotype"/>
          <w:b/>
          <w:sz w:val="24"/>
          <w:szCs w:val="24"/>
          <w:lang w:eastAsia="es-MX"/>
        </w:rPr>
        <w:t>El Recurrente</w:t>
      </w:r>
      <w:r w:rsidRPr="00B231BC">
        <w:rPr>
          <w:rFonts w:ascii="Palatino Linotype" w:hAnsi="Palatino Linotype"/>
          <w:sz w:val="24"/>
          <w:szCs w:val="24"/>
          <w:lang w:eastAsia="es-MX"/>
        </w:rPr>
        <w:t>, para ello analizaremos lo solicitado y la información proporcionada.</w:t>
      </w:r>
    </w:p>
    <w:p w:rsidR="00801391" w:rsidRDefault="00801391" w:rsidP="00801391">
      <w:pPr>
        <w:pStyle w:val="Prrafodelista"/>
        <w:autoSpaceDE w:val="0"/>
        <w:autoSpaceDN w:val="0"/>
        <w:adjustRightInd w:val="0"/>
        <w:spacing w:line="360" w:lineRule="auto"/>
        <w:ind w:left="0"/>
        <w:jc w:val="both"/>
        <w:rPr>
          <w:rFonts w:ascii="Palatino Linotype" w:hAnsi="Palatino Linotype" w:cs="Arial"/>
        </w:rPr>
      </w:pPr>
    </w:p>
    <w:p w:rsidR="00801391" w:rsidRDefault="00B32ABB" w:rsidP="00F0487D">
      <w:pPr>
        <w:pStyle w:val="Prrafodelista"/>
        <w:numPr>
          <w:ilvl w:val="0"/>
          <w:numId w:val="33"/>
        </w:numPr>
        <w:autoSpaceDE w:val="0"/>
        <w:autoSpaceDN w:val="0"/>
        <w:adjustRightInd w:val="0"/>
        <w:spacing w:line="360" w:lineRule="auto"/>
        <w:ind w:left="851" w:right="851" w:hanging="284"/>
        <w:jc w:val="both"/>
        <w:rPr>
          <w:rFonts w:ascii="Palatino Linotype" w:hAnsi="Palatino Linotype" w:cs="Arial"/>
        </w:rPr>
      </w:pPr>
      <w:r>
        <w:rPr>
          <w:rFonts w:ascii="Palatino Linotype" w:hAnsi="Palatino Linotype" w:cs="Arial"/>
        </w:rPr>
        <w:t>D</w:t>
      </w:r>
      <w:r w:rsidRPr="00B32ABB">
        <w:rPr>
          <w:rFonts w:ascii="Palatino Linotype" w:hAnsi="Palatino Linotype" w:cs="Arial"/>
        </w:rPr>
        <w:t>e los recursos federales</w:t>
      </w:r>
      <w:r>
        <w:rPr>
          <w:rFonts w:ascii="Palatino Linotype" w:hAnsi="Palatino Linotype" w:cs="Arial"/>
        </w:rPr>
        <w:t xml:space="preserve"> y estatales recibidos en 2019</w:t>
      </w:r>
      <w:r w:rsidRPr="00B32ABB">
        <w:rPr>
          <w:rFonts w:ascii="Palatino Linotype" w:hAnsi="Palatino Linotype" w:cs="Arial"/>
        </w:rPr>
        <w:t xml:space="preserve"> facturas</w:t>
      </w:r>
      <w:r w:rsidR="001A0461">
        <w:rPr>
          <w:rFonts w:ascii="Palatino Linotype" w:hAnsi="Palatino Linotype" w:cs="Arial"/>
        </w:rPr>
        <w:t xml:space="preserve"> y</w:t>
      </w:r>
      <w:r w:rsidRPr="00B32ABB">
        <w:rPr>
          <w:rFonts w:ascii="Palatino Linotype" w:hAnsi="Palatino Linotype" w:cs="Arial"/>
        </w:rPr>
        <w:t xml:space="preserve"> contratos de los bienes comprados</w:t>
      </w:r>
      <w:r w:rsidR="001A0461">
        <w:rPr>
          <w:rFonts w:ascii="Palatino Linotype" w:hAnsi="Palatino Linotype" w:cs="Arial"/>
        </w:rPr>
        <w:t xml:space="preserve"> y/o</w:t>
      </w:r>
      <w:r w:rsidR="00211739">
        <w:rPr>
          <w:rFonts w:ascii="Palatino Linotype" w:hAnsi="Palatino Linotype" w:cs="Arial"/>
        </w:rPr>
        <w:t xml:space="preserve"> arrendados</w:t>
      </w:r>
      <w:r w:rsidRPr="00B32ABB">
        <w:rPr>
          <w:rFonts w:ascii="Palatino Linotype" w:hAnsi="Palatino Linotype" w:cs="Arial"/>
        </w:rPr>
        <w:t xml:space="preserve"> para seguridad</w:t>
      </w:r>
      <w:r w:rsidR="00F0487D">
        <w:rPr>
          <w:rFonts w:ascii="Palatino Linotype" w:hAnsi="Palatino Linotype" w:cs="Arial"/>
        </w:rPr>
        <w:t>,</w:t>
      </w:r>
      <w:r w:rsidRPr="00B32ABB">
        <w:rPr>
          <w:rFonts w:ascii="Palatino Linotype" w:hAnsi="Palatino Linotype" w:cs="Arial"/>
        </w:rPr>
        <w:t xml:space="preserve"> incluidas patrullas</w:t>
      </w:r>
      <w:r w:rsidR="00F0487D">
        <w:rPr>
          <w:rFonts w:ascii="Palatino Linotype" w:hAnsi="Palatino Linotype" w:cs="Arial"/>
        </w:rPr>
        <w:t>, radios y uniformes.</w:t>
      </w:r>
    </w:p>
    <w:p w:rsidR="00801391" w:rsidRPr="009A3626" w:rsidRDefault="00801391" w:rsidP="00801391">
      <w:pPr>
        <w:pStyle w:val="Prrafodelista"/>
        <w:autoSpaceDE w:val="0"/>
        <w:autoSpaceDN w:val="0"/>
        <w:adjustRightInd w:val="0"/>
        <w:spacing w:line="360" w:lineRule="auto"/>
        <w:ind w:left="720"/>
        <w:jc w:val="both"/>
        <w:rPr>
          <w:rFonts w:ascii="Palatino Linotype" w:hAnsi="Palatino Linotype"/>
          <w:sz w:val="14"/>
        </w:rPr>
      </w:pPr>
    </w:p>
    <w:p w:rsidR="00801391"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lastRenderedPageBreak/>
        <w:t>En este sentido, es pertinente enfatizar lo que respecto al derecho de acceso a la información pública, refiere el artículo 6º de la Constitución Política de los Estados Unidos Mexicanos, que en su parte conducente señala:</w:t>
      </w:r>
    </w:p>
    <w:p w:rsidR="00801391" w:rsidRPr="00833B24" w:rsidRDefault="00801391" w:rsidP="00801391">
      <w:pPr>
        <w:pStyle w:val="Sinespaciado"/>
        <w:spacing w:line="360" w:lineRule="auto"/>
        <w:jc w:val="both"/>
        <w:rPr>
          <w:rFonts w:ascii="Palatino Linotype" w:hAnsi="Palatino Linotype"/>
          <w:sz w:val="24"/>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Artículo 6o.</w:t>
      </w:r>
      <w:r w:rsidRPr="006010FE">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rPr>
        <w:t>El derecho a la información será garantizado por el Estado.</w:t>
      </w:r>
      <w:r w:rsidRPr="006010FE">
        <w:rPr>
          <w:rFonts w:ascii="Palatino Linotype" w:hAnsi="Palatino Linotype"/>
          <w:i/>
        </w:rPr>
        <w:t xml:space="preserve"> </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Toda persona tiene derecho al libre acceso a información plural y oportuna, así como a buscar, recibir y difundir información e ideas de toda índole por cualquier medio de expresión.</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Para efectos de lo dispuesto en el presente artículo se observará lo siguiente:</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I. Toda la información en posesión de</w:t>
      </w:r>
      <w:r w:rsidRPr="006010FE">
        <w:rPr>
          <w:rFonts w:ascii="Palatino Linotype" w:hAnsi="Palatino Linotype"/>
          <w:i/>
        </w:rPr>
        <w:t xml:space="preserve"> </w:t>
      </w:r>
      <w:r w:rsidRPr="006010FE">
        <w:rPr>
          <w:rFonts w:ascii="Palatino Linotype" w:hAnsi="Palatino Linotype"/>
          <w:b/>
          <w:i/>
        </w:rPr>
        <w:t>cualquier autoridad</w:t>
      </w:r>
      <w:r w:rsidRPr="006010FE">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rPr>
        <w:t>en el ámbito federal, estatal y municipal, es pública</w:t>
      </w:r>
      <w:r w:rsidRPr="006010FE">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rPr>
        <w:t>Los sujetos obligados deberán documentar todo acto que derive del ejercicio de sus facultades, competencias o funciones</w:t>
      </w:r>
      <w:r w:rsidRPr="006010FE">
        <w:rPr>
          <w:rFonts w:ascii="Palatino Linotype" w:hAnsi="Palatino Linotype"/>
          <w:i/>
        </w:rPr>
        <w:t>, la ley determinará los supuestos específicos bajo los cuales procederá la declaración de inexistencia de la información.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 La información que se refiere a la vida privada y los datos personales será protegida en los términos y con las excepciones que fijen las leyes.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lastRenderedPageBreak/>
        <w:t>V. Los sujetos obligados deberán preservar sus documentos en archivos administrativos actualizados y publicarán, a través de los medios electrónicos disponibles</w:t>
      </w:r>
      <w:r w:rsidRPr="006010FE">
        <w:rPr>
          <w:rFonts w:ascii="Palatino Linotype" w:hAnsi="Palatino Linotype"/>
          <w:i/>
        </w:rPr>
        <w:t xml:space="preserve">, </w:t>
      </w:r>
      <w:r w:rsidRPr="006010FE">
        <w:rPr>
          <w:rFonts w:ascii="Palatino Linotype" w:hAnsi="Palatino Linotype"/>
          <w:b/>
          <w:i/>
        </w:rPr>
        <w:t xml:space="preserve">la información completa y actualizada sobre el ejercicio de los recursos públicos </w:t>
      </w:r>
      <w:r w:rsidRPr="006010FE">
        <w:rPr>
          <w:rFonts w:ascii="Palatino Linotype" w:hAnsi="Palatino Linotype"/>
          <w:i/>
        </w:rPr>
        <w:t>y los indicadores que permitan rendir cuenta del cumplimiento de sus objetivos y de los resultados obtenidos.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 Las leyes determinarán la manera en que los sujetos obligados deberán hacer pública la información relativa a los recursos públicos que entreguen a personas físicas o morales.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 La inobservancia a las disposiciones en materia de acceso a la información pública será sancionada en los términos que dispongan las leyes.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La ley establecerá aquella información que se considere reservada o confidencial.</w:t>
      </w:r>
    </w:p>
    <w:p w:rsidR="00801391" w:rsidRDefault="00801391" w:rsidP="00801391">
      <w:pPr>
        <w:pStyle w:val="Sinespaciado"/>
        <w:spacing w:line="360" w:lineRule="auto"/>
        <w:jc w:val="both"/>
        <w:rPr>
          <w:rFonts w:ascii="Palatino Linotype" w:hAnsi="Palatino Linotype"/>
          <w:sz w:val="24"/>
        </w:rPr>
      </w:pPr>
    </w:p>
    <w:p w:rsidR="00801391"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t>Por su parte, la Constitución Política del Estado Libre y Soberano de México, en su artículo 5°, dispone en su parte conducente, lo siguiente:</w:t>
      </w:r>
    </w:p>
    <w:p w:rsidR="00801391" w:rsidRPr="00833B24" w:rsidRDefault="00801391" w:rsidP="00801391">
      <w:pPr>
        <w:pStyle w:val="Sinespaciado"/>
        <w:spacing w:line="360" w:lineRule="auto"/>
        <w:jc w:val="both"/>
        <w:rPr>
          <w:rFonts w:ascii="Palatino Linotype" w:hAnsi="Palatino Linotype"/>
          <w:sz w:val="24"/>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801391" w:rsidRPr="006010FE" w:rsidRDefault="00801391" w:rsidP="00801391">
      <w:pPr>
        <w:pStyle w:val="Sinespaciado"/>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Este derecho se regirá por los principios y bases siguientes:</w:t>
      </w:r>
    </w:p>
    <w:p w:rsidR="00801391" w:rsidRPr="006010FE" w:rsidRDefault="00801391" w:rsidP="00801391">
      <w:pPr>
        <w:pStyle w:val="Sinespaciado"/>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w:t>
      </w:r>
      <w:r w:rsidRPr="006010FE">
        <w:rPr>
          <w:rFonts w:ascii="Palatino Linotype" w:hAnsi="Palatino Linotype"/>
          <w:i/>
        </w:rPr>
        <w:lastRenderedPageBreak/>
        <w:t>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801391" w:rsidRPr="006010FE" w:rsidRDefault="00801391" w:rsidP="00801391">
      <w:pPr>
        <w:pStyle w:val="Sinespaciado"/>
        <w:spacing w:line="360" w:lineRule="auto"/>
        <w:jc w:val="both"/>
        <w:rPr>
          <w:rFonts w:ascii="Palatino Linotype" w:hAnsi="Palatino Linotype"/>
        </w:rPr>
      </w:pPr>
    </w:p>
    <w:p w:rsidR="00801391" w:rsidRPr="00833B24"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t>En ese orden de ideas, la Ley de Transparencia y Acceso a la Información Pública del Estado de México y Municipios, prevé en su artículo 23, lo siguiente:</w:t>
      </w:r>
    </w:p>
    <w:p w:rsidR="00801391" w:rsidRPr="006010FE" w:rsidRDefault="00801391" w:rsidP="00801391">
      <w:pPr>
        <w:pStyle w:val="Sinespaciado"/>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Artículo 23.</w:t>
      </w:r>
      <w:r w:rsidRPr="006010FE">
        <w:rPr>
          <w:rFonts w:ascii="Palatino Linotype" w:hAnsi="Palatino Linotype"/>
          <w:i/>
        </w:rPr>
        <w:t xml:space="preserve"> Son sujetos obligados a transparentar y permitir el acceso a su información y proteger los datos personales que obren en su poder:</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 El Poder Ejecutivo del Estado de México, las dependencias, organismos auxiliares, órganos, entidades, fideicomisos y fondos públicos, así como la Procuraduría General de Justicia;</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lastRenderedPageBreak/>
        <w:t>II. El Poder Legislativo del Estado, los organismos, órganos y entidades de la Legislatura y sus dependencias;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 xml:space="preserve">IV. </w:t>
      </w:r>
      <w:r w:rsidRPr="006010FE">
        <w:rPr>
          <w:rFonts w:ascii="Palatino Linotype" w:hAnsi="Palatino Linotype"/>
          <w:b/>
          <w:i/>
          <w:u w:val="single"/>
        </w:rPr>
        <w:t>Los ayuntamientos y las dependencias, organismos, órganos y entidades de la administración municipal</w:t>
      </w:r>
      <w:r w:rsidRPr="006010FE">
        <w:rPr>
          <w:rFonts w:ascii="Palatino Linotype" w:hAnsi="Palatino Linotype"/>
          <w:i/>
        </w:rPr>
        <w:t>;</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 Los órganos autónomos;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IX. Los sindicatos que reciban y/o ejerzan recursos públicos en el ámbito estatal y municipal;</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rsidR="00801391" w:rsidRDefault="00801391" w:rsidP="00801391">
      <w:pPr>
        <w:pStyle w:val="Sinespaciado"/>
        <w:spacing w:line="360" w:lineRule="auto"/>
        <w:jc w:val="both"/>
        <w:rPr>
          <w:rFonts w:ascii="Palatino Linotype" w:hAnsi="Palatino Linotype"/>
          <w:sz w:val="24"/>
        </w:rPr>
      </w:pPr>
    </w:p>
    <w:p w:rsidR="00801391"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801391" w:rsidRPr="00833B24" w:rsidRDefault="00801391" w:rsidP="00801391">
      <w:pPr>
        <w:pStyle w:val="Sinespaciado"/>
        <w:spacing w:line="360" w:lineRule="auto"/>
        <w:jc w:val="both"/>
        <w:rPr>
          <w:rFonts w:ascii="Palatino Linotype" w:hAnsi="Palatino Linotype"/>
          <w:sz w:val="24"/>
        </w:rPr>
      </w:pPr>
    </w:p>
    <w:p w:rsidR="00801391" w:rsidRPr="00B20846" w:rsidRDefault="00801391" w:rsidP="00801391">
      <w:pPr>
        <w:tabs>
          <w:tab w:val="left" w:pos="7938"/>
        </w:tabs>
        <w:spacing w:line="360" w:lineRule="auto"/>
        <w:jc w:val="both"/>
        <w:rPr>
          <w:rFonts w:ascii="Palatino Linotype" w:hAnsi="Palatino Linotype" w:cs="Arial"/>
          <w:sz w:val="24"/>
        </w:rPr>
      </w:pPr>
      <w:r>
        <w:rPr>
          <w:rFonts w:ascii="Palatino Linotype" w:hAnsi="Palatino Linotype" w:cs="Arial"/>
          <w:sz w:val="24"/>
        </w:rPr>
        <w:t>En primer lugar es a bien referir que</w:t>
      </w:r>
      <w:r w:rsidRPr="00B20846">
        <w:rPr>
          <w:rFonts w:ascii="Palatino Linotype" w:hAnsi="Palatino Linotype" w:cs="Arial"/>
          <w:sz w:val="24"/>
        </w:rPr>
        <w:t xml:space="preserve"> la Titular de la Unidad de Transparencia es la encargada de dar atención a las solicitudes de información con fundamento en los artículos 50 y 53 fracciones II, V y VI  de la Ley de Transparencia y Acceso a la </w:t>
      </w:r>
      <w:r w:rsidRPr="00B20846">
        <w:rPr>
          <w:rFonts w:ascii="Palatino Linotype" w:hAnsi="Palatino Linotype" w:cs="Arial"/>
          <w:sz w:val="24"/>
        </w:rPr>
        <w:lastRenderedPageBreak/>
        <w:t>Información Pública del Estado de México y Municipios, t</w:t>
      </w:r>
      <w:r>
        <w:rPr>
          <w:rFonts w:ascii="Palatino Linotype" w:hAnsi="Palatino Linotype" w:cs="Arial"/>
          <w:sz w:val="24"/>
        </w:rPr>
        <w:t>ambién</w:t>
      </w:r>
      <w:r w:rsidRPr="00B20846">
        <w:rPr>
          <w:rFonts w:ascii="Palatino Linotype" w:hAnsi="Palatino Linotype" w:cs="Arial"/>
          <w:sz w:val="24"/>
        </w:rPr>
        <w:t xml:space="preserve">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801391" w:rsidRDefault="00801391" w:rsidP="00801391">
      <w:pPr>
        <w:tabs>
          <w:tab w:val="left" w:pos="709"/>
        </w:tabs>
        <w:ind w:left="851" w:right="760"/>
        <w:jc w:val="both"/>
        <w:rPr>
          <w:rFonts w:ascii="Palatino Linotype" w:hAnsi="Palatino Linotype" w:cs="Arial"/>
          <w:i/>
          <w:sz w:val="20"/>
          <w:szCs w:val="20"/>
          <w:lang w:eastAsia="es-MX"/>
        </w:rPr>
      </w:pPr>
    </w:p>
    <w:p w:rsidR="00801391" w:rsidRPr="00745E05" w:rsidRDefault="00801391" w:rsidP="00801391">
      <w:pPr>
        <w:tabs>
          <w:tab w:val="left" w:pos="709"/>
        </w:tabs>
        <w:ind w:left="851" w:right="760"/>
        <w:jc w:val="center"/>
        <w:rPr>
          <w:rFonts w:ascii="Palatino Linotype" w:hAnsi="Palatino Linotype" w:cs="Arial"/>
          <w:b/>
          <w:i/>
          <w:lang w:eastAsia="es-MX"/>
        </w:rPr>
      </w:pPr>
      <w:r w:rsidRPr="00745E05">
        <w:rPr>
          <w:rFonts w:ascii="Palatino Linotype" w:hAnsi="Palatino Linotype" w:cs="Arial"/>
          <w:b/>
          <w:i/>
        </w:rPr>
        <w:t>Ley de Transparencia y Acceso a la Información Pública del Estado de México y Municipios</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745E05">
        <w:rPr>
          <w:rFonts w:ascii="Palatino Linotype" w:hAnsi="Palatino Linotype" w:cs="Arial"/>
          <w:b/>
          <w:i/>
          <w:u w:val="single"/>
          <w:lang w:eastAsia="es-MX"/>
        </w:rPr>
        <w:t>Dicha Unidad será la encargada de tramitar internamente la solicitud de información</w:t>
      </w:r>
      <w:r w:rsidRPr="00745E05">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Artículo 53. Las Unidades de Transparencia tendrán las siguientes funciones:</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II. Recibir, tramitar y dar respuesta a las solicitudes de acceso a la información;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801391" w:rsidRPr="00745E05" w:rsidRDefault="00801391" w:rsidP="00801391">
      <w:pPr>
        <w:tabs>
          <w:tab w:val="left" w:pos="709"/>
        </w:tabs>
        <w:ind w:left="851" w:right="760"/>
        <w:jc w:val="both"/>
        <w:rPr>
          <w:rFonts w:ascii="Palatino Linotype" w:hAnsi="Palatino Linotype" w:cs="Arial"/>
          <w:b/>
          <w:i/>
          <w:u w:val="single"/>
          <w:lang w:eastAsia="es-MX"/>
        </w:rPr>
      </w:pPr>
      <w:r w:rsidRPr="00745E05">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V. Entregar, en su caso, a los particulares la información solicitada;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lastRenderedPageBreak/>
        <w:t>VI. Efectuar las notificaciones a los solicitantes;”</w:t>
      </w:r>
    </w:p>
    <w:p w:rsidR="00801391" w:rsidRPr="009E2F7A" w:rsidRDefault="00801391" w:rsidP="00801391">
      <w:pPr>
        <w:tabs>
          <w:tab w:val="left" w:pos="709"/>
        </w:tabs>
        <w:ind w:left="851" w:right="760"/>
        <w:jc w:val="both"/>
        <w:rPr>
          <w:rFonts w:ascii="Palatino Linotype" w:hAnsi="Palatino Linotype" w:cs="Arial"/>
          <w:i/>
          <w:sz w:val="6"/>
          <w:lang w:eastAsia="es-MX"/>
        </w:rPr>
      </w:pPr>
    </w:p>
    <w:p w:rsidR="00801391" w:rsidRDefault="00801391" w:rsidP="00801391">
      <w:pPr>
        <w:pStyle w:val="Sinespaciado"/>
        <w:spacing w:line="360" w:lineRule="auto"/>
        <w:jc w:val="both"/>
        <w:rPr>
          <w:rFonts w:ascii="Palatino Linotype" w:hAnsi="Palatino Linotype" w:cs="Arial"/>
          <w:sz w:val="24"/>
        </w:rPr>
      </w:pPr>
      <w:r w:rsidRPr="0028766C">
        <w:rPr>
          <w:rFonts w:ascii="Palatino Linotype" w:hAnsi="Palatino Linotype" w:cs="Arial"/>
          <w:sz w:val="24"/>
        </w:rPr>
        <w:t>Lo anterior es así ya que deriv</w:t>
      </w:r>
      <w:r>
        <w:rPr>
          <w:rFonts w:ascii="Palatino Linotype" w:hAnsi="Palatino Linotype" w:cs="Arial"/>
          <w:sz w:val="24"/>
        </w:rPr>
        <w:t xml:space="preserve">ado de la solicitud número </w:t>
      </w:r>
      <w:r w:rsidR="00211739" w:rsidRPr="00211739">
        <w:rPr>
          <w:rFonts w:ascii="Palatino Linotype" w:hAnsi="Palatino Linotype" w:cs="Arial"/>
          <w:sz w:val="24"/>
        </w:rPr>
        <w:t xml:space="preserve"> 00249/CHICOLOA/IP/2019</w:t>
      </w:r>
      <w:r w:rsidRPr="0028766C">
        <w:rPr>
          <w:rFonts w:ascii="Palatino Linotype" w:hAnsi="Palatino Linotype" w:cs="Arial"/>
          <w:sz w:val="24"/>
        </w:rPr>
        <w:t>, se a</w:t>
      </w:r>
      <w:r>
        <w:rPr>
          <w:rFonts w:ascii="Palatino Linotype" w:hAnsi="Palatino Linotype" w:cs="Arial"/>
          <w:sz w:val="24"/>
        </w:rPr>
        <w:t xml:space="preserve">precia en el sistema SAIMEX, que el Titular de la Unidad de Transparencia, </w:t>
      </w:r>
      <w:r w:rsidR="00772A72">
        <w:rPr>
          <w:rFonts w:ascii="Palatino Linotype" w:hAnsi="Palatino Linotype" w:cs="Arial"/>
          <w:sz w:val="24"/>
        </w:rPr>
        <w:t xml:space="preserve">no </w:t>
      </w:r>
      <w:r>
        <w:rPr>
          <w:rFonts w:ascii="Palatino Linotype" w:hAnsi="Palatino Linotype" w:cs="Arial"/>
          <w:sz w:val="24"/>
        </w:rPr>
        <w:t>tramitó ante la instancia del Ayuntamiento, que pudiera</w:t>
      </w:r>
      <w:r w:rsidRPr="0028766C">
        <w:rPr>
          <w:rFonts w:ascii="Palatino Linotype" w:hAnsi="Palatino Linotype" w:cs="Arial"/>
          <w:sz w:val="24"/>
        </w:rPr>
        <w:t xml:space="preserve"> tener lo sol</w:t>
      </w:r>
      <w:r>
        <w:rPr>
          <w:rFonts w:ascii="Palatino Linotype" w:hAnsi="Palatino Linotype" w:cs="Arial"/>
          <w:sz w:val="24"/>
        </w:rPr>
        <w:t>i</w:t>
      </w:r>
      <w:r w:rsidRPr="0028766C">
        <w:rPr>
          <w:rFonts w:ascii="Palatino Linotype" w:hAnsi="Palatino Linotype" w:cs="Arial"/>
          <w:sz w:val="24"/>
        </w:rPr>
        <w:t>citad</w:t>
      </w:r>
      <w:r>
        <w:rPr>
          <w:rFonts w:ascii="Palatino Linotype" w:hAnsi="Palatino Linotype" w:cs="Arial"/>
          <w:sz w:val="24"/>
        </w:rPr>
        <w:t xml:space="preserve">o (derivado de sus funciones) </w:t>
      </w:r>
      <w:r w:rsidR="000610EB">
        <w:rPr>
          <w:rFonts w:ascii="Palatino Linotype" w:hAnsi="Palatino Linotype" w:cs="Arial"/>
          <w:sz w:val="24"/>
        </w:rPr>
        <w:t>por el particular.</w:t>
      </w:r>
    </w:p>
    <w:p w:rsidR="0028056B" w:rsidRDefault="0028056B" w:rsidP="00801391">
      <w:pPr>
        <w:pStyle w:val="Sinespaciado"/>
        <w:spacing w:line="360" w:lineRule="auto"/>
        <w:jc w:val="both"/>
        <w:rPr>
          <w:rFonts w:ascii="Palatino Linotype" w:hAnsi="Palatino Linotype" w:cs="Arial"/>
          <w:sz w:val="24"/>
        </w:rPr>
      </w:pPr>
    </w:p>
    <w:p w:rsidR="0028056B" w:rsidRDefault="0028056B" w:rsidP="00801391">
      <w:pPr>
        <w:pStyle w:val="Sinespaciado"/>
        <w:spacing w:line="360" w:lineRule="auto"/>
        <w:jc w:val="both"/>
        <w:rPr>
          <w:rFonts w:ascii="Palatino Linotype" w:hAnsi="Palatino Linotype" w:cs="Arial"/>
          <w:sz w:val="24"/>
        </w:rPr>
      </w:pPr>
      <w:r>
        <w:rPr>
          <w:rFonts w:ascii="Palatino Linotype" w:hAnsi="Palatino Linotype" w:cs="Arial"/>
          <w:sz w:val="24"/>
        </w:rPr>
        <w:t>De igual forma cabe resaltar que el sujeto obligado, requirió al particular, aclarara los puntos petitorios inmersos en la solicitud de información</w:t>
      </w:r>
      <w:r w:rsidR="004C0E97">
        <w:rPr>
          <w:rFonts w:ascii="Palatino Linotype" w:hAnsi="Palatino Linotype" w:cs="Arial"/>
          <w:sz w:val="24"/>
        </w:rPr>
        <w:t>, situación que este Órgano Garante no comparte, debido a que desde u</w:t>
      </w:r>
      <w:r w:rsidR="00C171CF">
        <w:rPr>
          <w:rFonts w:ascii="Palatino Linotype" w:hAnsi="Palatino Linotype" w:cs="Arial"/>
          <w:sz w:val="24"/>
        </w:rPr>
        <w:t>n inicio la solicitud de información contaba con suficientes elementos para dar atención a la misma, de igual forma por la falta de aclaración por parte del recurrente, el sujeto obligado fue omiso en dar respuesta a dicha solicitud.</w:t>
      </w:r>
    </w:p>
    <w:p w:rsidR="00C171CF" w:rsidRDefault="00C171CF" w:rsidP="00801391">
      <w:pPr>
        <w:pStyle w:val="Sinespaciado"/>
        <w:spacing w:line="360" w:lineRule="auto"/>
        <w:jc w:val="both"/>
        <w:rPr>
          <w:rFonts w:ascii="Palatino Linotype" w:hAnsi="Palatino Linotype" w:cs="Arial"/>
          <w:sz w:val="24"/>
        </w:rPr>
      </w:pPr>
    </w:p>
    <w:p w:rsidR="00C171CF" w:rsidRDefault="00C171CF" w:rsidP="00C171CF">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Ante la omisión del sujeto obligado para dar respuesta a la r</w:t>
      </w:r>
      <w:r w:rsidRPr="006010FE">
        <w:rPr>
          <w:rFonts w:ascii="Palatino Linotype" w:eastAsia="Times New Roman" w:hAnsi="Palatino Linotype" w:cs="Times New Roman"/>
          <w:sz w:val="24"/>
          <w:szCs w:val="24"/>
          <w:lang w:eastAsia="es-ES"/>
        </w:rPr>
        <w:t xml:space="preserve">ecurrente, se advierte lo que en la doctrina se le conoce como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C171CF" w:rsidRPr="006010FE" w:rsidRDefault="00C171CF" w:rsidP="00C171CF">
      <w:pPr>
        <w:spacing w:after="0" w:line="360" w:lineRule="auto"/>
        <w:jc w:val="both"/>
        <w:rPr>
          <w:rFonts w:ascii="Palatino Linotype" w:eastAsia="Times New Roman" w:hAnsi="Palatino Linotype" w:cs="Times New Roman"/>
          <w:sz w:val="24"/>
          <w:szCs w:val="24"/>
          <w:lang w:eastAsia="es-ES"/>
        </w:rPr>
      </w:pPr>
    </w:p>
    <w:p w:rsidR="00C171CF" w:rsidRDefault="00C171CF" w:rsidP="00C171CF">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constituye una presunción legal, en el entendido de que donde n</w:t>
      </w:r>
      <w:r>
        <w:rPr>
          <w:rFonts w:ascii="Palatino Linotype" w:eastAsia="Times New Roman" w:hAnsi="Palatino Linotype" w:cs="Times New Roman"/>
          <w:sz w:val="24"/>
          <w:szCs w:val="24"/>
          <w:lang w:eastAsia="es-ES"/>
        </w:rPr>
        <w:t>o hubo respuesta por parte del sujeto o</w:t>
      </w:r>
      <w:r w:rsidRPr="006010FE">
        <w:rPr>
          <w:rFonts w:ascii="Palatino Linotype" w:eastAsia="Times New Roman" w:hAnsi="Palatino Linotype" w:cs="Times New Roman"/>
          <w:sz w:val="24"/>
          <w:szCs w:val="24"/>
          <w:lang w:eastAsia="es-ES"/>
        </w:rPr>
        <w:t>bligado</w:t>
      </w:r>
      <w:r w:rsidRPr="006010FE">
        <w:rPr>
          <w:rFonts w:ascii="Palatino Linotype" w:eastAsia="Times New Roman"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w:t>
      </w:r>
      <w:r w:rsidRPr="006010FE">
        <w:rPr>
          <w:rFonts w:ascii="Palatino Linotype" w:eastAsia="Times New Roman" w:hAnsi="Palatino Linotype" w:cs="Times New Roman"/>
          <w:sz w:val="24"/>
          <w:szCs w:val="24"/>
          <w:lang w:eastAsia="es-ES"/>
        </w:rPr>
        <w:lastRenderedPageBreak/>
        <w:t xml:space="preserve">jurídica y que tiende a realizar ese </w:t>
      </w:r>
      <w:r w:rsidRPr="006010FE">
        <w:rPr>
          <w:rFonts w:ascii="Palatino Linotype" w:eastAsia="Times New Roman" w:hAnsi="Palatino Linotype" w:cs="Times New Roman"/>
          <w:i/>
          <w:sz w:val="24"/>
          <w:szCs w:val="24"/>
          <w:lang w:eastAsia="es-ES"/>
        </w:rPr>
        <w:t>Estado de Derecho</w:t>
      </w:r>
      <w:r w:rsidRPr="006010FE">
        <w:rPr>
          <w:rFonts w:ascii="Palatino Linotype" w:eastAsia="Times New Roman" w:hAnsi="Palatino Linotype" w:cs="Times New Roman"/>
          <w:sz w:val="24"/>
          <w:szCs w:val="24"/>
          <w:lang w:eastAsia="es-ES"/>
        </w:rPr>
        <w:t xml:space="preserve"> en el que, el particular, tiene siempre una vía de defensa.</w:t>
      </w:r>
    </w:p>
    <w:p w:rsidR="00C171CF" w:rsidRPr="006010FE" w:rsidRDefault="00C171CF" w:rsidP="00C171CF">
      <w:pPr>
        <w:spacing w:after="0" w:line="360" w:lineRule="auto"/>
        <w:jc w:val="both"/>
        <w:rPr>
          <w:rFonts w:ascii="Palatino Linotype" w:eastAsia="Times New Roman" w:hAnsi="Palatino Linotype" w:cs="Times New Roman"/>
          <w:sz w:val="24"/>
          <w:szCs w:val="24"/>
          <w:lang w:eastAsia="es-ES"/>
        </w:rPr>
      </w:pPr>
    </w:p>
    <w:p w:rsidR="00C171CF" w:rsidRDefault="00C171CF" w:rsidP="00C171CF">
      <w:pPr>
        <w:pStyle w:val="Sinespaciado"/>
        <w:spacing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w:t>
      </w:r>
      <w:r>
        <w:rPr>
          <w:rFonts w:ascii="Palatino Linotype" w:eastAsia="Times New Roman" w:hAnsi="Palatino Linotype" w:cs="Times New Roman"/>
          <w:sz w:val="24"/>
          <w:szCs w:val="24"/>
          <w:lang w:eastAsia="es-ES"/>
        </w:rPr>
        <w:t>uentren en los archivos de los sujetos o</w:t>
      </w:r>
      <w:r w:rsidRPr="006010FE">
        <w:rPr>
          <w:rFonts w:ascii="Palatino Linotype" w:eastAsia="Times New Roman" w:hAnsi="Palatino Linotype" w:cs="Times New Roman"/>
          <w:sz w:val="24"/>
          <w:szCs w:val="24"/>
          <w:lang w:eastAsia="es-ES"/>
        </w:rPr>
        <w:t>bligados</w:t>
      </w:r>
      <w:r>
        <w:rPr>
          <w:rFonts w:ascii="Palatino Linotype" w:eastAsia="Times New Roman" w:hAnsi="Palatino Linotype" w:cs="Times New Roman"/>
          <w:sz w:val="24"/>
          <w:szCs w:val="24"/>
          <w:lang w:eastAsia="es-ES"/>
        </w:rPr>
        <w:t>.</w:t>
      </w:r>
    </w:p>
    <w:p w:rsidR="00C171CF" w:rsidRDefault="00C171CF" w:rsidP="00C171CF">
      <w:pPr>
        <w:pStyle w:val="Sinespaciado"/>
        <w:spacing w:line="360" w:lineRule="auto"/>
        <w:jc w:val="both"/>
        <w:rPr>
          <w:rFonts w:ascii="Palatino Linotype" w:eastAsia="Times New Roman" w:hAnsi="Palatino Linotype" w:cs="Times New Roman"/>
          <w:sz w:val="24"/>
          <w:szCs w:val="24"/>
          <w:lang w:eastAsia="es-ES"/>
        </w:rPr>
      </w:pPr>
    </w:p>
    <w:p w:rsidR="00C171CF" w:rsidRDefault="00C171CF" w:rsidP="00C171CF">
      <w:pPr>
        <w:pStyle w:val="Sinespaciado"/>
        <w:spacing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Aunado a lo anterior, cabe resaltar que en </w:t>
      </w:r>
      <w:r w:rsidR="0043066D">
        <w:rPr>
          <w:rFonts w:ascii="Palatino Linotype" w:eastAsia="Times New Roman" w:hAnsi="Palatino Linotype" w:cs="Times New Roman"/>
          <w:sz w:val="24"/>
          <w:szCs w:val="24"/>
          <w:lang w:eastAsia="es-ES"/>
        </w:rPr>
        <w:t>la</w:t>
      </w:r>
      <w:r>
        <w:rPr>
          <w:rFonts w:ascii="Palatino Linotype" w:eastAsia="Times New Roman" w:hAnsi="Palatino Linotype" w:cs="Times New Roman"/>
          <w:sz w:val="24"/>
          <w:szCs w:val="24"/>
          <w:lang w:eastAsia="es-ES"/>
        </w:rPr>
        <w:t xml:space="preserve"> etapa de manifestaciones el sujeto obligado remitió el siguiente oficio:</w:t>
      </w:r>
    </w:p>
    <w:p w:rsidR="00C171CF" w:rsidRDefault="00C171CF" w:rsidP="00C171CF">
      <w:pPr>
        <w:pStyle w:val="Sinespaciado"/>
        <w:spacing w:line="360" w:lineRule="auto"/>
        <w:jc w:val="both"/>
        <w:rPr>
          <w:rFonts w:ascii="Palatino Linotype" w:hAnsi="Palatino Linotype" w:cs="Arial"/>
          <w:sz w:val="24"/>
        </w:rPr>
      </w:pPr>
    </w:p>
    <w:p w:rsidR="000C3A0E" w:rsidRDefault="000C3A0E" w:rsidP="00C171CF">
      <w:pPr>
        <w:pStyle w:val="Sinespaciado"/>
        <w:spacing w:line="360" w:lineRule="auto"/>
        <w:jc w:val="both"/>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81915</wp:posOffset>
                </wp:positionH>
                <wp:positionV relativeFrom="paragraph">
                  <wp:posOffset>2969260</wp:posOffset>
                </wp:positionV>
                <wp:extent cx="5400675" cy="62865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5400675" cy="628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26E5B" id="Rectángulo 3" o:spid="_x0000_s1026" style="position:absolute;margin-left:6.45pt;margin-top:233.8pt;width:425.25pt;height:4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" filled="f" strokecolor="red" strokeweight="3pt"/>
            </w:pict>
          </mc:Fallback>
        </mc:AlternateContent>
      </w:r>
      <w:r>
        <w:rPr>
          <w:noProof/>
          <w:lang w:eastAsia="es-MX"/>
        </w:rPr>
        <w:drawing>
          <wp:inline distT="0" distB="0" distL="0" distR="0" wp14:anchorId="0E9FD086" wp14:editId="2BC8ED3C">
            <wp:extent cx="5648325" cy="72199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30" t="7464" r="59691" b="12222"/>
                    <a:stretch/>
                  </pic:blipFill>
                  <pic:spPr bwMode="auto">
                    <a:xfrm>
                      <a:off x="0" y="0"/>
                      <a:ext cx="5648325" cy="7219950"/>
                    </a:xfrm>
                    <a:prstGeom prst="rect">
                      <a:avLst/>
                    </a:prstGeom>
                    <a:ln>
                      <a:noFill/>
                    </a:ln>
                    <a:extLst>
                      <a:ext uri="{53640926-AAD7-44D8-BBD7-CCE9431645EC}">
                        <a14:shadowObscured xmlns:a14="http://schemas.microsoft.com/office/drawing/2010/main"/>
                      </a:ext>
                    </a:extLst>
                  </pic:spPr>
                </pic:pic>
              </a:graphicData>
            </a:graphic>
          </wp:inline>
        </w:drawing>
      </w:r>
    </w:p>
    <w:p w:rsidR="00684D1A" w:rsidRDefault="00684D1A" w:rsidP="00684D1A">
      <w:pPr>
        <w:pStyle w:val="Sinespaciado"/>
        <w:rPr>
          <w:noProof/>
          <w:lang w:eastAsia="es-MX"/>
        </w:rPr>
      </w:pPr>
    </w:p>
    <w:p w:rsidR="00211739" w:rsidRDefault="00211739" w:rsidP="00684D1A">
      <w:pPr>
        <w:pStyle w:val="Sinespaciado"/>
      </w:pPr>
    </w:p>
    <w:p w:rsidR="001976F7" w:rsidRDefault="001976F7" w:rsidP="00544D1C">
      <w:pPr>
        <w:spacing w:after="0" w:line="360" w:lineRule="auto"/>
        <w:jc w:val="both"/>
        <w:rPr>
          <w:rFonts w:ascii="Palatino Linotype" w:hAnsi="Palatino Linotype" w:cs="Arial"/>
          <w:sz w:val="24"/>
          <w:szCs w:val="24"/>
        </w:rPr>
      </w:pPr>
      <w:r>
        <w:rPr>
          <w:rFonts w:ascii="Palatino Linotype" w:hAnsi="Palatino Linotype" w:cs="Arial"/>
          <w:sz w:val="24"/>
          <w:szCs w:val="24"/>
        </w:rPr>
        <w:t>De igual forma al momento de adjuntar dicho archivo electrónico el sujeto obligado manifestó que la información solicitada podía ser obtenida en la siguiente liga electrónica:</w:t>
      </w:r>
    </w:p>
    <w:p w:rsidR="001976F7" w:rsidRPr="001D130D" w:rsidRDefault="00D5478C" w:rsidP="00544D1C">
      <w:pPr>
        <w:spacing w:after="0" w:line="360" w:lineRule="auto"/>
        <w:jc w:val="both"/>
        <w:rPr>
          <w:rFonts w:ascii="Palatino Linotype" w:hAnsi="Palatino Linotype" w:cs="Arial"/>
          <w:sz w:val="24"/>
          <w:szCs w:val="24"/>
          <w:u w:val="single"/>
        </w:rPr>
      </w:pPr>
      <w:hyperlink r:id="rId10" w:history="1">
        <w:r w:rsidR="001976F7" w:rsidRPr="001878E5">
          <w:rPr>
            <w:rStyle w:val="Hipervnculo"/>
            <w:rFonts w:ascii="Palatino Linotype" w:hAnsi="Palatino Linotype" w:cs="Arial"/>
            <w:sz w:val="24"/>
            <w:szCs w:val="24"/>
          </w:rPr>
          <w:t>https://drive.google.com/drive/folders/18GvTC1wX5PggXkCOyC2EEZwtawdBR2q</w:t>
        </w:r>
      </w:hyperlink>
      <w:r w:rsidR="001976F7">
        <w:rPr>
          <w:rFonts w:ascii="Palatino Linotype" w:hAnsi="Palatino Linotype" w:cs="Arial"/>
          <w:sz w:val="24"/>
          <w:szCs w:val="24"/>
          <w:u w:val="single"/>
        </w:rPr>
        <w:t xml:space="preserve">, </w:t>
      </w:r>
      <w:r w:rsidR="001976F7">
        <w:rPr>
          <w:rFonts w:ascii="Palatino Linotype" w:hAnsi="Palatino Linotype" w:cs="Arial"/>
          <w:sz w:val="24"/>
          <w:szCs w:val="24"/>
        </w:rPr>
        <w:t>sin embargo de una búsqueda sobre la misma, no obtuvimos resultado positivo para acceder a la informaci</w:t>
      </w:r>
      <w:r w:rsidR="001D130D">
        <w:rPr>
          <w:rFonts w:ascii="Palatino Linotype" w:hAnsi="Palatino Linotype" w:cs="Arial"/>
          <w:sz w:val="24"/>
          <w:szCs w:val="24"/>
        </w:rPr>
        <w:t>ón solicitada.</w:t>
      </w:r>
    </w:p>
    <w:p w:rsidR="00544D1C" w:rsidRPr="00B231BC" w:rsidRDefault="00544D1C" w:rsidP="00544D1C">
      <w:pPr>
        <w:spacing w:after="0" w:line="360" w:lineRule="auto"/>
        <w:jc w:val="both"/>
        <w:rPr>
          <w:rFonts w:ascii="Palatino Linotype" w:hAnsi="Palatino Linotype" w:cs="Arial"/>
          <w:sz w:val="24"/>
        </w:rPr>
      </w:pPr>
    </w:p>
    <w:p w:rsidR="008A2099" w:rsidRPr="00AD5ACD" w:rsidRDefault="008A2099" w:rsidP="008A2099">
      <w:pPr>
        <w:pStyle w:val="Prrafodelista"/>
        <w:spacing w:line="360" w:lineRule="auto"/>
        <w:ind w:left="0"/>
        <w:contextualSpacing/>
        <w:jc w:val="both"/>
        <w:rPr>
          <w:rFonts w:ascii="Palatino Linotype" w:hAnsi="Palatino Linotype"/>
        </w:rPr>
      </w:pPr>
      <w:r>
        <w:rPr>
          <w:rFonts w:ascii="Palatino Linotype" w:eastAsia="Calibri" w:hAnsi="Palatino Linotype" w:cs="Arial"/>
          <w:lang w:eastAsia="es-MX"/>
        </w:rPr>
        <w:t>Ahora bien, es</w:t>
      </w:r>
      <w:r w:rsidRPr="00AD5ACD">
        <w:rPr>
          <w:rFonts w:ascii="Palatino Linotype" w:hAnsi="Palatino Linotype"/>
        </w:rPr>
        <w:t xml:space="preserve"> pertinente señalar que el Sistema Nacional de Seguridad Pública otorga recursos federales a los Estados y Municipios, los cuales son destinados para un fin en específico, como la profesionalización del personal de seguridad pública; así como, su equipamiento, construcción de infraestructura física entre otros, cuyo fin radica en fortalecer la misma; tal y como, lo refiere la página oficial del Secretariado Ejecutivo del Sistema Nacional de Seguridad Publica</w:t>
      </w:r>
      <w:r w:rsidRPr="00AD5ACD">
        <w:rPr>
          <w:rFonts w:ascii="Palatino Linotype" w:hAnsi="Palatino Linotype"/>
          <w:vertAlign w:val="superscript"/>
        </w:rPr>
        <w:footnoteReference w:id="2"/>
      </w:r>
      <w:r w:rsidRPr="00AD5ACD">
        <w:rPr>
          <w:rFonts w:ascii="Palatino Linotype" w:hAnsi="Palatino Linotype"/>
        </w:rPr>
        <w:t>. Así, estos recursos federales conforman el FASP y el FORTASEG.</w:t>
      </w:r>
    </w:p>
    <w:p w:rsidR="008A2099" w:rsidRPr="00291B9C"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szCs w:val="24"/>
        </w:rPr>
      </w:pPr>
      <w:r w:rsidRPr="00291B9C">
        <w:rPr>
          <w:rFonts w:ascii="Palatino Linotype" w:eastAsia="MS Mincho" w:hAnsi="Palatino Linotype" w:cs="Arial"/>
          <w:color w:val="000000"/>
          <w:sz w:val="24"/>
          <w:szCs w:val="24"/>
        </w:rPr>
        <w:t xml:space="preserve">Es este orden de ideas, el FASP, de conformidad con el artículo 44 de la Ley de Coordinación Fiscal, se constituye con cargo a recursos federales, los cuales son determinados anualmente en el Presupuesto de Egresos de la Federación; así mismo, se entregan mensualmente por la Secretaría de Hacienda y Crédito Público durante los primeros diez meses del año a los Estados y a la Ciudad de México, de manera ágil y directa, como se transcribe a continuación: </w:t>
      </w:r>
    </w:p>
    <w:p w:rsidR="008A2099" w:rsidRPr="00AD5ACD" w:rsidRDefault="008A2099" w:rsidP="008A2099">
      <w:pPr>
        <w:tabs>
          <w:tab w:val="left" w:pos="426"/>
        </w:tabs>
        <w:spacing w:line="360" w:lineRule="auto"/>
        <w:jc w:val="center"/>
        <w:rPr>
          <w:rFonts w:ascii="Palatino Linotype" w:eastAsia="MS Mincho" w:hAnsi="Palatino Linotype" w:cs="Arial"/>
          <w:b/>
          <w:bCs/>
          <w:i/>
          <w:color w:val="000000"/>
        </w:rPr>
      </w:pPr>
      <w:r w:rsidRPr="00AD5ACD">
        <w:rPr>
          <w:rFonts w:ascii="Palatino Linotype" w:eastAsia="MS Mincho" w:hAnsi="Palatino Linotype" w:cs="Arial"/>
          <w:b/>
          <w:bCs/>
          <w:i/>
          <w:color w:val="000000"/>
        </w:rPr>
        <w:t>Ley de Coordinación Fiscal</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b/>
          <w:bCs/>
          <w:i/>
        </w:rPr>
        <w:lastRenderedPageBreak/>
        <w:t>“Artículo 44.-</w:t>
      </w:r>
      <w:r w:rsidRPr="00AD5ACD">
        <w:rPr>
          <w:rFonts w:ascii="Palatino Linotype" w:hAnsi="Palatino Linotype"/>
          <w:i/>
        </w:rPr>
        <w:t xml:space="preserve"> […]</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i/>
        </w:rPr>
        <w:t>El Ejecutivo Federal, a través de la Secretaría de Hacienda y Crédito Público, entregará a las entidades el Fondo de Aportaciones para la Seguridad Pública de los Estados y del Distrito Federal, con base en los criterios que el Consejo Nacional de Seguridad Pública determine, a propuesta de la Secretaría de Gobernación, por medio del Secretariado Ejecutivo del Sistema Nacional de Seguridad Pública, utilizando para la distribución de los recursos, criterios que incorporen el número de habitantes de los Estados y del Distrito Federal; el índice de ocupación penitenciaria; la implementación de programas de prevención del delito; los recursos destinados a apoyar las acciones que en materia de seguridad pública desarrollen los municipios, y el avance en la aplicación del Programa Nacional de Seguridad Pública en materia de profesionalización, equipamiento, modernización tecnológica e infraestructura. La información relacionada con las fórmulas y variables utilizadas en el cálculo para la distribución y el resultado de su aplicación que corresponderá a la asignación por cada Estado y el Distrito Federal, deberá publicarse en el Diario Oficial de la Federación a más tardar a los 30 días naturales siguientes a la publicación en dicho Diario del Presupuesto de Egresos de la Federación del ejercicio fiscal de que se trate.</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i/>
        </w:rPr>
        <w:t xml:space="preserve">[…] </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b/>
          <w:bCs/>
          <w:i/>
        </w:rPr>
        <w:t>Los Estados y el Distrito Federal reportarán trimestralmente a la Secretaría de Gobernación, a través del Secretariado Ejecutivo del Sistema Nacional de Seguridad Pública, el ejercicio de los recursos del Fondo y el avance en el cumplimiento de las metas, así como las modificaciones o adecuaciones realizadas a las asignaciones previamente establecidas en los convenios de coordinación y sus anexos técnicos en la materia</w:t>
      </w:r>
      <w:r w:rsidRPr="00AD5ACD">
        <w:rPr>
          <w:rFonts w:ascii="Palatino Linotype" w:hAnsi="Palatino Linotype"/>
          <w:i/>
        </w:rPr>
        <w:t xml:space="preserve">; en este último caso deberán incluirse la justificación y la aprobación del Consejo Estatal de Seguridad Pública correspondiente, o la opinión favorable del Secretariado Ejecutivo del Sistema Nacional de Seguridad Pública. El Secretariado Ejecutivo del Sistema Nacional de Seguridad Pública dará respuesta en un plazo no mayor a 30 días hábiles. </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hAnsi="Palatino Linotype"/>
          <w:b/>
          <w:bCs/>
          <w:i/>
        </w:rPr>
        <w:t>Las entidades federativas, municipios y demarcaciones territoriales deberán informar a sus habitantes trimestralmente y al término de cada ejercicio, entre otros medios, a través de la página oficial de Internet de la entidad correspondiente, los montos que reciban, el ejercicio, destino y resultados obtenidos respecto de este Fondo.</w:t>
      </w:r>
      <w:r w:rsidRPr="00AD5ACD">
        <w:rPr>
          <w:rFonts w:ascii="Palatino Linotype" w:hAnsi="Palatino Linotype"/>
          <w:i/>
        </w:rPr>
        <w:t xml:space="preserve"> Lo anterior, en términos de la Ley </w:t>
      </w:r>
      <w:r w:rsidRPr="00AD5ACD">
        <w:rPr>
          <w:rFonts w:ascii="Palatino Linotype" w:hAnsi="Palatino Linotype"/>
          <w:i/>
        </w:rPr>
        <w:lastRenderedPageBreak/>
        <w:t>General de Contabilidad Gubernamental y conforme a los formatos aprobados por el Consejo Nacional de Armonización Contable.”</w:t>
      </w:r>
      <w:r w:rsidRPr="00AD5ACD">
        <w:rPr>
          <w:rFonts w:ascii="Palatino Linotype" w:hAnsi="Palatino Linotype"/>
          <w:b/>
          <w:i/>
        </w:rPr>
        <w:t>(Énfasis añadido)</w:t>
      </w:r>
    </w:p>
    <w:p w:rsidR="008A2099" w:rsidRPr="00291B9C"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szCs w:val="24"/>
        </w:rPr>
      </w:pPr>
      <w:r w:rsidRPr="00291B9C">
        <w:rPr>
          <w:rFonts w:ascii="Palatino Linotype" w:hAnsi="Palatino Linotype"/>
          <w:sz w:val="24"/>
          <w:szCs w:val="24"/>
        </w:rPr>
        <w:t xml:space="preserve">Expuesto </w:t>
      </w:r>
      <w:r w:rsidRPr="00291B9C">
        <w:rPr>
          <w:rFonts w:ascii="Palatino Linotype" w:eastAsia="MS Mincho" w:hAnsi="Palatino Linotype" w:cs="Arial"/>
          <w:color w:val="000000"/>
          <w:sz w:val="24"/>
          <w:szCs w:val="24"/>
        </w:rPr>
        <w:t xml:space="preserve">lo anterior se advierte que corresponde a la Secretaría de Hacienda y Crédito Público entregar a las Entidades Federativas el FASP, el cual se enterará mensualmente durante los primeros diez meses del año, de tal manera que los Estados y la Ciudad de México deberán </w:t>
      </w:r>
      <w:r w:rsidRPr="00291B9C">
        <w:rPr>
          <w:rFonts w:ascii="Palatino Linotype" w:eastAsia="MS Mincho" w:hAnsi="Palatino Linotype" w:cs="Arial"/>
          <w:b/>
          <w:bCs/>
          <w:color w:val="000000"/>
          <w:sz w:val="24"/>
          <w:szCs w:val="24"/>
        </w:rPr>
        <w:t xml:space="preserve">reportar trimestralmente </w:t>
      </w:r>
      <w:r w:rsidRPr="00291B9C">
        <w:rPr>
          <w:rFonts w:ascii="Palatino Linotype" w:eastAsia="MS Mincho" w:hAnsi="Palatino Linotype" w:cs="Arial"/>
          <w:color w:val="000000"/>
          <w:sz w:val="24"/>
          <w:szCs w:val="24"/>
        </w:rPr>
        <w:t>el ejercicio de los recursos del Fondo y el avance en el cumplimiento de las metas; así como, las modificaciones o adecuaciones realizadas a las asignaciones establecidas.</w:t>
      </w:r>
    </w:p>
    <w:p w:rsidR="008A2099" w:rsidRPr="00291B9C" w:rsidRDefault="008A2099" w:rsidP="008A2099">
      <w:pPr>
        <w:tabs>
          <w:tab w:val="left" w:pos="426"/>
        </w:tabs>
        <w:spacing w:before="100" w:beforeAutospacing="1" w:after="100" w:afterAutospacing="1" w:line="360" w:lineRule="auto"/>
        <w:jc w:val="both"/>
        <w:rPr>
          <w:rFonts w:ascii="Palatino Linotype" w:hAnsi="Palatino Linotype"/>
          <w:sz w:val="24"/>
          <w:szCs w:val="24"/>
        </w:rPr>
      </w:pPr>
      <w:r w:rsidRPr="00291B9C">
        <w:rPr>
          <w:rFonts w:ascii="Palatino Linotype" w:eastAsia="MS Mincho" w:hAnsi="Palatino Linotype" w:cs="Arial"/>
          <w:color w:val="000000"/>
          <w:sz w:val="24"/>
          <w:szCs w:val="24"/>
        </w:rPr>
        <w:t xml:space="preserve">Ahora bien, de conformidad con las cláusulas tercera y cuarta del </w:t>
      </w:r>
      <w:r w:rsidRPr="00291B9C">
        <w:rPr>
          <w:rFonts w:ascii="Palatino Linotype" w:hAnsi="Palatino Linotype"/>
          <w:sz w:val="24"/>
          <w:szCs w:val="24"/>
        </w:rPr>
        <w:t>Convenio de Coordinación que en el marco del Sistema Nacional de Seguridad Pública, celebran el Secretariado Ejecutivo del Sistema Nacional de Seguridad Pública y el Estado de México, relativo al Fondo de Aportaciones para la Seguridad Pública de los Estados y del Distrito Federal (FASP) 2019,</w:t>
      </w:r>
      <w:r w:rsidRPr="00291B9C">
        <w:rPr>
          <w:rFonts w:ascii="Palatino Linotype" w:eastAsia="MS Mincho" w:hAnsi="Palatino Linotype" w:cs="Arial"/>
          <w:color w:val="000000"/>
          <w:sz w:val="24"/>
          <w:szCs w:val="24"/>
          <w:vertAlign w:val="superscript"/>
        </w:rPr>
        <w:footnoteReference w:id="3"/>
      </w:r>
      <w:r w:rsidRPr="00291B9C">
        <w:rPr>
          <w:rFonts w:ascii="Palatino Linotype" w:hAnsi="Palatino Linotype"/>
          <w:sz w:val="24"/>
          <w:szCs w:val="24"/>
        </w:rPr>
        <w:t xml:space="preserve"> se advierte lo siguiente:</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w:t>
      </w:r>
      <w:r w:rsidRPr="00AD5ACD">
        <w:rPr>
          <w:rFonts w:ascii="Palatino Linotype" w:hAnsi="Palatino Linotype"/>
          <w:b/>
          <w:i/>
        </w:rPr>
        <w:t>TERCERA. COMPROMISOS DE “LA ENTIDAD FEDERATIVA</w:t>
      </w:r>
      <w:r w:rsidRPr="00AD5ACD">
        <w:rPr>
          <w:rFonts w:ascii="Palatino Linotype" w:hAnsi="Palatino Linotype"/>
          <w:i/>
        </w:rPr>
        <w:t xml:space="preserve">”.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 Cumplir con lo señalado en el artículo 7, fracción IX del Presupuesto de Egresos de la Federación para el Ejercicio Fiscal 2019, la normativa en materia presupuestaria; la “Ley General”; la Ley de Coordinación Fiscal; los Criterios Generales para la Administración y Ejercicio de los Recursos del Fondo de Aportaciones para la Seguridad Pública de los Estados y del Distrito Federal (FASP) y demás disposiciones aplicables.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II. </w:t>
      </w:r>
      <w:r w:rsidRPr="00AD5ACD">
        <w:rPr>
          <w:rFonts w:ascii="Palatino Linotype" w:hAnsi="Palatino Linotype"/>
          <w:b/>
          <w:i/>
        </w:rPr>
        <w:t xml:space="preserve">Establecer dos cuentas bancarias productivas específicas, una para la administración de los recursos federales del “FASP” con los rendimientos que generen y otra para la aportación de “LA ENTIDAD FEDERATIVA”, de conformidad con lo dispuesto en el artículo 69 de la Ley General de Contabilidad Gubernamental, para efectos de su fiscalización, los cuales no </w:t>
      </w:r>
      <w:r w:rsidRPr="00AD5ACD">
        <w:rPr>
          <w:rFonts w:ascii="Palatino Linotype" w:hAnsi="Palatino Linotype"/>
          <w:b/>
          <w:i/>
        </w:rPr>
        <w:lastRenderedPageBreak/>
        <w:t>podrán ser transferidos a otras cuentas que no permitan identificar su aplicación, destino y rendimientos.</w:t>
      </w:r>
      <w:r w:rsidRPr="00AD5ACD">
        <w:rPr>
          <w:rFonts w:ascii="Palatino Linotype" w:hAnsi="Palatino Linotype"/>
          <w:i/>
        </w:rPr>
        <w:t xml:space="preserve">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III. Registrar los recursos que por el “FASP” reciba en su respectivo presupuesto y deberán distinguirse de los recursos aportados por “LA ENTIDAD FEDERATIVA”, e informar para efectos de la cuenta pública local, así como presentar los demás informes previstos en la legislación local y federal.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IV. Aplicar los recursos del “FASP” conforme al principio de anualidad previsto en el artículo 7, fracción IX, párrafo tercero del Presupuesto de Egresos de la Federación para el Ejercicio Fiscal 2019.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V. De conformidad con el artículo 17 de la Ley de Disciplina Financiera de las Entidades Federativas y los Municipios, reintegrar a la Tesorería de la Federación a más tardar el 15 de enero de 2020, los recursos del “FASP” con los rendimientos financieros generados que al 31 de diciembre del ejercicio fiscal 2019, no hayan sido devengados por sus entes públicos o no estén comprometidos en los términos previstos en el artículo 4, fracciones XIV y XV de la Ley General de Contabilidad Gubernamental, así como cubrir los pagos respectivos a más tardar durante el primer trimestre del ejercicio fiscal 2020, con los recursos del “FASP” que al 31 de diciembre del ejercicio fiscal 2019 se hayan comprometido o devengados pero que no hayan sido pagados, debiendo reintegrar los recursos remanentes a la Tesorería de la Federación a más tardar dentro de los 15 días naturales siguientes una vez cumplido el plazo referido.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VI. Ejercer los recursos del “FASP” y estatales para el cumplimiento de las metas convenidas en el Anexo Técnico, observando lo previsto en el artículo 45 de la Ley de Coordinación Fiscal y los Criterios Generales para la Administración y Ejercicio de los Recursos del Fondo de Aportaciones para la Seguridad Pública de los Estados y del Distrito Federal (FASP).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VII. Orientar las acciones del personal policial a la búsqueda de personas desaparecidas y no localizadas, y esclarecer los hechos, así como para prevenir, investigar, sancionar y erradicar los delitos en materia de desaparición forzada de personas y desaparición cometida por particulares, así como los delitos vinculados que establece la Ley General en Materia de Desaparición Forzada de Personas, Desaparición Cometida por Particulares y del Sistema Nacional de Búsqueda de Personas, en materia de su competencia atendiendo a lo dispuesto por los artículos 24 y 25 de dicho ordenamiento. VIII. Remitir al Centro Nacional de Prevención del </w:t>
      </w:r>
      <w:r w:rsidRPr="00AD5ACD">
        <w:rPr>
          <w:rFonts w:ascii="Palatino Linotype" w:hAnsi="Palatino Linotype"/>
          <w:i/>
        </w:rPr>
        <w:lastRenderedPageBreak/>
        <w:t xml:space="preserve">Delito y Participación Ciudadana de “EL SECRETARIADO” el Programa de Prevención del Delito de Tortura, de conformidad con lo establecido por el artículo 62 de la Ley General para Prevenir, Investigar y Sancionar la Tortura y otros Tratos o Penas Crueles, Inhumanos o Degradantes.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IX. Desarrollar e implementar, en el ámbito de su competencia, Medidas de Prevención, así como investigar y sancionar las agresiones de las que sean objeto las personas defensoras de derechos humanos y periodistas, de conformidad con los artículos 34, 41 y 44 de la Ley para la Protección de Personas Defensoras de Derechos Humanos y Periodistas. </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i/>
        </w:rPr>
        <w:t xml:space="preserve">X. </w:t>
      </w:r>
      <w:r w:rsidRPr="00AD5ACD">
        <w:rPr>
          <w:rFonts w:ascii="Palatino Linotype" w:hAnsi="Palatino Linotype"/>
          <w:b/>
          <w:i/>
        </w:rPr>
        <w:t xml:space="preserve">Informar mensual y trimestralmente a “EL SECRETARIADO” a través de la Dirección General de Vinculación y Seguimiento </w:t>
      </w:r>
      <w:r w:rsidRPr="00AD5ACD">
        <w:rPr>
          <w:rFonts w:ascii="Palatino Linotype" w:hAnsi="Palatino Linotype"/>
          <w:i/>
        </w:rPr>
        <w:t xml:space="preserve">sobre las </w:t>
      </w:r>
      <w:r w:rsidRPr="00AD5ACD">
        <w:rPr>
          <w:rFonts w:ascii="Palatino Linotype" w:hAnsi="Palatino Linotype"/>
          <w:b/>
          <w:i/>
          <w:u w:val="single"/>
        </w:rPr>
        <w:t>acciones realizadas con base en el presente Convenio,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AD5ACD">
        <w:rPr>
          <w:rFonts w:ascii="Palatino Linotype" w:hAnsi="Palatino Linotype"/>
          <w:i/>
        </w:rPr>
        <w:t xml:space="preserve">. </w:t>
      </w:r>
      <w:r w:rsidRPr="00AD5ACD">
        <w:rPr>
          <w:rFonts w:ascii="Palatino Linotype" w:hAnsi="Palatino Linotype"/>
          <w:b/>
          <w:i/>
        </w:rPr>
        <w:t>El Gobernador de “LA ENTIDAD FEDERATIVA” deberá designar a un Servidor Público con competencia y nivel de decisión, como responsable de verificar y proporcionar a “EL SECRETARIADO” los informes mensuales y trimestrales sobre los movimientos que presenten las cuentas bancarias productivas específicas del Financiamiento Conjunto, el ejercicio de los recursos y avance en el cumplimiento de los objetivos, metas, indicadores y porcentajes de inversión de los proyectos establecidos en el Anexo Técnico, así como el destino y resultados obtenidos de la aplicación de los recursos.</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i/>
        </w:rPr>
        <w:t xml:space="preserve">XI. Enviar adjunto a su informe trimestral, </w:t>
      </w:r>
      <w:r w:rsidRPr="00AD5ACD">
        <w:rPr>
          <w:rFonts w:ascii="Palatino Linotype" w:hAnsi="Palatino Linotype"/>
          <w:b/>
          <w:i/>
        </w:rPr>
        <w:t xml:space="preserve">copia de los estados de cuenta mensuales correspondiente a cada una de las cuentas informadas ante “EL SECRETARIADO”.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XII. Incorporar en el sistema de seguimiento que opere “EL SECRETARIADO”, la información conforme a los Criterios Generales para la Administración y Ejercicio de los Recursos del Fondo de Aportaciones para la Seguridad Pública de los Estados y del Distrito Federal (FASP).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XIII. Entregar a “EL SECRETARIADO” la información que solicite en los términos, plazos y formatos que al efecto establezca. </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i/>
        </w:rPr>
        <w:lastRenderedPageBreak/>
        <w:t xml:space="preserve">XIV. </w:t>
      </w:r>
      <w:r w:rsidRPr="00AD5ACD">
        <w:rPr>
          <w:rFonts w:ascii="Palatino Linotype" w:hAnsi="Palatino Linotype"/>
          <w:b/>
          <w:i/>
        </w:rPr>
        <w:t xml:space="preserve">Publicar en su página de Internet, el avance en el ejercicio de los recursos que le fueron asignados, para transparentar el ejercicio de los mismos, en términos de los artículos 48 de la Ley de Coordinación Fiscal y 77 de la Ley General de Contabilidad Gubernamental.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XV. Financiar con recursos propios las acciones no previstas en el artículo 45 de la Ley de Coordinación Fiscal.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XVI. Abstenerse de adquirir para el uso de sus instituciones policiales, uniformes o vehículos con colores, imágenes o diseños similares que puedan confundirse con aquellos que son de uso exclusivo de las Fuerzas Armadas Nacionales, con recursos propios o del “FASP”, a fin de cumplir el Acuerdo 09/XXXIX/15 del Consejo Nacional de Seguridad Pública, aprobado en su Trigésima Novena Sesión Ordinaria, celebrada el 18 de diciembre de 2015; en caso contrario, se podrían actualizar los supuestos previstos en el artículo 250 bis 1, fracciones II y IV del Código Penal Federal.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XVII. Establecer medidas de revisión y control permanente para garantizar que ninguna corporación policial, estatal o municipal, y ninguna empresa de seguridad privada, emplee uniformes o vehículos con colores, imágenes o diseños similares que puedan confundirse con aquellos que son de uso exclusivo de las Fuerzas Armadas Nacionales, en cumplimiento al Acuerdo 09/XXXIX/15 del Consejo Nacional de Seguridad Pública. XVIII. De conformidad con lo dispuesto en los artículos 7, fracción X, de la “Ley General” y 40, fracción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VIII, de la Ley General para Prevenir y Sancionar los Delitos en Materia de Secuestro, Reglamentaria de la fracción XXI, del artículo 73 de la Constitución Política de los Estados Unidos Mexicanos, realizar cuando así se requiera, las acciones y operativos de manera conjunta con las Instituciones de Seguridad Pública federales y, en su caso, municipales, para el cumplimiento de los fines de la seguridad pública, en cuyo caso, se podrán firmar los convenios específicos conforme a las disposiciones aplicables.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XIX. Colaborar y participar en términos de la normativa aplicable, en operativos conjuntos con las autoridades competentes, y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XX. Apoyar a través del Secretariado Ejecutivo del Sistema Estatal de Seguridad Pública a “EL SECRETARIADO” en el desarrollo de las visitas y acciones de verificación sobre la aplicación de los recursos del “FASP”. </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b/>
          <w:i/>
        </w:rPr>
        <w:lastRenderedPageBreak/>
        <w:t>CUARTA.</w:t>
      </w:r>
      <w:r w:rsidRPr="00AD5ACD">
        <w:rPr>
          <w:rFonts w:ascii="Palatino Linotype" w:hAnsi="Palatino Linotype"/>
          <w:i/>
        </w:rPr>
        <w:t xml:space="preserve"> OPERACIÓN Y SEGUIMIENTO. Por parte de “EL SECRETARIADO”, el o la titular de la Dirección General de Vinculación y Seguimiento será el responsable de coordinar la operación y seguimiento del “FASP”. </w:t>
      </w:r>
      <w:r w:rsidRPr="00AD5ACD">
        <w:rPr>
          <w:rFonts w:ascii="Palatino Linotype" w:hAnsi="Palatino Linotype"/>
          <w:b/>
          <w:i/>
        </w:rPr>
        <w:t xml:space="preserve">Por parte de “LA ENTIDAD FEDERATIVA”, </w:t>
      </w:r>
      <w:r w:rsidRPr="00AD5ACD">
        <w:rPr>
          <w:rFonts w:ascii="Palatino Linotype" w:hAnsi="Palatino Linotype"/>
          <w:b/>
          <w:i/>
          <w:u w:val="single"/>
        </w:rPr>
        <w:t>el o la titular del Secretariado Ejecutivo del Sistema Estatal de Seguridad Pública</w:t>
      </w:r>
      <w:r w:rsidRPr="00AD5ACD">
        <w:rPr>
          <w:rFonts w:ascii="Palatino Linotype" w:hAnsi="Palatino Linotype"/>
          <w:b/>
          <w:i/>
        </w:rPr>
        <w:t xml:space="preserve">, será el responsable de los informes mensuales y trimestrales que se deban rendir a “EL SECRETARIADO” en términos de la fracción X de la cláusula Tercera de este Convenio.” </w:t>
      </w:r>
    </w:p>
    <w:p w:rsidR="008A2099" w:rsidRPr="00AD5ACD" w:rsidRDefault="008A2099" w:rsidP="008A2099">
      <w:pPr>
        <w:tabs>
          <w:tab w:val="left" w:pos="426"/>
        </w:tabs>
        <w:ind w:left="851" w:right="757"/>
        <w:jc w:val="both"/>
        <w:rPr>
          <w:rFonts w:ascii="Palatino Linotype" w:hAnsi="Palatino Linotype"/>
        </w:rPr>
      </w:pPr>
      <w:r w:rsidRPr="00AD5ACD">
        <w:rPr>
          <w:rFonts w:ascii="Palatino Linotype" w:hAnsi="Palatino Linotype"/>
        </w:rPr>
        <w:t>(Énfasis añadido)</w:t>
      </w:r>
    </w:p>
    <w:p w:rsidR="008A2099" w:rsidRPr="00291B9C" w:rsidRDefault="008A2099" w:rsidP="008A2099">
      <w:pPr>
        <w:tabs>
          <w:tab w:val="left" w:pos="426"/>
        </w:tabs>
        <w:spacing w:before="100" w:beforeAutospacing="1" w:after="100" w:afterAutospacing="1" w:line="360" w:lineRule="auto"/>
        <w:jc w:val="both"/>
        <w:rPr>
          <w:rFonts w:ascii="Palatino Linotype" w:hAnsi="Palatino Linotype"/>
          <w:sz w:val="24"/>
          <w:szCs w:val="24"/>
        </w:rPr>
      </w:pPr>
      <w:r w:rsidRPr="00291B9C">
        <w:rPr>
          <w:rFonts w:ascii="Palatino Linotype" w:hAnsi="Palatino Linotype"/>
          <w:sz w:val="24"/>
          <w:szCs w:val="24"/>
        </w:rPr>
        <w:t xml:space="preserve">Atento a lo anterior, se advierte que corresponde al titular del </w:t>
      </w:r>
      <w:r w:rsidRPr="00291B9C">
        <w:rPr>
          <w:rFonts w:ascii="Palatino Linotype" w:hAnsi="Palatino Linotype"/>
          <w:sz w:val="24"/>
          <w:szCs w:val="24"/>
          <w:u w:val="single"/>
        </w:rPr>
        <w:t>Secretariado Ejecutivo del Sistema Estatal de Seguridad Pública</w:t>
      </w:r>
      <w:r w:rsidRPr="00291B9C">
        <w:rPr>
          <w:rFonts w:ascii="Palatino Linotype" w:hAnsi="Palatino Linotype"/>
          <w:sz w:val="24"/>
          <w:szCs w:val="24"/>
        </w:rPr>
        <w:t>, informar mensual y trimestralmente al  Secretariado Nacional, a través de la Dirección General de Vinculación y Seguimiento</w:t>
      </w:r>
      <w:r w:rsidRPr="00291B9C">
        <w:rPr>
          <w:rFonts w:ascii="Palatino Linotype" w:hAnsi="Palatino Linotype"/>
          <w:i/>
          <w:sz w:val="24"/>
          <w:szCs w:val="24"/>
        </w:rPr>
        <w:t xml:space="preserve"> </w:t>
      </w:r>
      <w:r w:rsidRPr="00291B9C">
        <w:rPr>
          <w:rFonts w:ascii="Palatino Linotype" w:hAnsi="Palatino Linotype"/>
          <w:sz w:val="24"/>
          <w:szCs w:val="24"/>
        </w:rPr>
        <w:t>sobre las acciones realizadas;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p>
    <w:p w:rsidR="001D130D" w:rsidRDefault="008A2099" w:rsidP="008A2099">
      <w:pPr>
        <w:tabs>
          <w:tab w:val="left" w:pos="426"/>
        </w:tabs>
        <w:spacing w:before="100" w:beforeAutospacing="1" w:after="100" w:afterAutospacing="1" w:line="360" w:lineRule="auto"/>
        <w:jc w:val="both"/>
        <w:rPr>
          <w:rFonts w:ascii="Palatino Linotype" w:hAnsi="Palatino Linotype"/>
          <w:sz w:val="24"/>
        </w:rPr>
      </w:pPr>
      <w:r w:rsidRPr="001D130D">
        <w:rPr>
          <w:rFonts w:ascii="Palatino Linotype" w:hAnsi="Palatino Linotype"/>
          <w:sz w:val="24"/>
        </w:rPr>
        <w:t>Al respecto, se destaca que en los documentos normativos que rigen el funcionamiento y evaluación del FASP desde el año 2019, se advierten mecanismos de evaluación que implican la comprobación de los recursos otorgados</w:t>
      </w:r>
      <w:r w:rsidR="001D130D">
        <w:rPr>
          <w:rFonts w:ascii="Palatino Linotype" w:hAnsi="Palatino Linotype"/>
          <w:sz w:val="24"/>
        </w:rPr>
        <w:t>.</w:t>
      </w:r>
    </w:p>
    <w:p w:rsidR="008A2099" w:rsidRPr="001D130D" w:rsidRDefault="008A2099" w:rsidP="008A2099">
      <w:pPr>
        <w:tabs>
          <w:tab w:val="left" w:pos="426"/>
        </w:tabs>
        <w:spacing w:before="100" w:beforeAutospacing="1" w:after="100" w:afterAutospacing="1" w:line="360" w:lineRule="auto"/>
        <w:jc w:val="both"/>
        <w:rPr>
          <w:rFonts w:ascii="Palatino Linotype" w:hAnsi="Palatino Linotype"/>
          <w:sz w:val="24"/>
        </w:rPr>
      </w:pPr>
      <w:r w:rsidRPr="001D130D">
        <w:rPr>
          <w:rFonts w:ascii="Palatino Linotype" w:hAnsi="Palatino Linotype"/>
          <w:sz w:val="24"/>
        </w:rPr>
        <w:t>Ahora bien, en lo que respecta al FORTASEG</w:t>
      </w:r>
      <w:r w:rsidRPr="001D130D">
        <w:rPr>
          <w:rStyle w:val="Refdenotaalpie"/>
          <w:rFonts w:ascii="Palatino Linotype" w:hAnsi="Palatino Linotype"/>
          <w:sz w:val="24"/>
        </w:rPr>
        <w:footnoteReference w:id="4"/>
      </w:r>
      <w:r w:rsidRPr="001D130D">
        <w:rPr>
          <w:rFonts w:ascii="Palatino Linotype" w:hAnsi="Palatino Linotype"/>
          <w:sz w:val="24"/>
        </w:rPr>
        <w:t xml:space="preserve">, este es un subsidio que se otorga a los Municipios, y en su caso a los estados cuando éstos ejercen la función de seguridad </w:t>
      </w:r>
      <w:r w:rsidRPr="001D130D">
        <w:rPr>
          <w:rFonts w:ascii="Palatino Linotype" w:hAnsi="Palatino Linotype"/>
          <w:sz w:val="24"/>
        </w:rPr>
        <w:lastRenderedPageBreak/>
        <w:t xml:space="preserve">pública en lugar de los primeros o coordinados con ellos. De acuerdo con los </w:t>
      </w:r>
      <w:r w:rsidRPr="001D130D">
        <w:rPr>
          <w:rFonts w:ascii="Palatino Linotype" w:hAnsi="Palatino Linotype"/>
          <w:bCs/>
          <w:sz w:val="24"/>
        </w:rPr>
        <w:t>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2019</w:t>
      </w:r>
      <w:r w:rsidRPr="001D130D">
        <w:rPr>
          <w:rFonts w:ascii="Palatino Linotype" w:hAnsi="Palatino Linotype"/>
          <w:sz w:val="24"/>
        </w:rPr>
        <w:t xml:space="preserve">, el objetivo del FORTASEG es apoyar el fortalecimiento del desempeño en materia de seguridad pública a los beneficiarios mediante la profesionalización, la certificación y el equipamiento de los elementos policiales de las instituciones de seguridad pública, así como el fortalecimiento tecnológico, de equipo e infraestructura de las instituciones de seguridad pública. </w:t>
      </w:r>
    </w:p>
    <w:p w:rsidR="008A2099" w:rsidRPr="001D130D"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rPr>
      </w:pPr>
      <w:r w:rsidRPr="001D130D">
        <w:rPr>
          <w:rFonts w:ascii="Palatino Linotype" w:eastAsia="MS Mincho" w:hAnsi="Palatino Linotype" w:cs="Arial"/>
          <w:color w:val="000000"/>
          <w:sz w:val="24"/>
        </w:rPr>
        <w:t xml:space="preserve">De esta forma, los lineamientos antes mencionados, establecen que los recursos federales del FORTASEG no son regularizables, son parcialmente concursables y </w:t>
      </w:r>
      <w:r w:rsidRPr="001D130D">
        <w:rPr>
          <w:rFonts w:ascii="Palatino Linotype" w:eastAsia="MS Mincho" w:hAnsi="Palatino Linotype" w:cs="Arial"/>
          <w:b/>
          <w:bCs/>
          <w:color w:val="000000"/>
          <w:sz w:val="24"/>
        </w:rPr>
        <w:t xml:space="preserve">no pierden su carácter de federal al ser ministrados a los beneficiarios; </w:t>
      </w:r>
      <w:r w:rsidRPr="001D130D">
        <w:rPr>
          <w:rFonts w:ascii="Palatino Linotype" w:eastAsia="MS Mincho" w:hAnsi="Palatino Linotype" w:cs="Arial"/>
          <w:color w:val="000000"/>
          <w:sz w:val="24"/>
        </w:rPr>
        <w:t xml:space="preserve">por lo que, su </w:t>
      </w:r>
      <w:r w:rsidRPr="001D130D">
        <w:rPr>
          <w:rFonts w:ascii="Palatino Linotype" w:eastAsia="MS Mincho" w:hAnsi="Palatino Linotype" w:cs="Arial"/>
          <w:b/>
          <w:bCs/>
          <w:color w:val="000000"/>
          <w:sz w:val="24"/>
        </w:rPr>
        <w:t xml:space="preserve">administración, ejercicio, seguimiento, verificación y evaluación </w:t>
      </w:r>
      <w:r w:rsidRPr="001D130D">
        <w:rPr>
          <w:rFonts w:ascii="Palatino Linotype" w:eastAsia="MS Mincho" w:hAnsi="Palatino Linotype" w:cs="Arial"/>
          <w:color w:val="000000"/>
          <w:sz w:val="24"/>
        </w:rPr>
        <w:t xml:space="preserve">se sujetará a lo dispuesto por el Presupuesto de Egresos de la Federación para el Ejercicio Fiscal 2019, asimismo establece que cualquier comunicado relacionado con los recursos del FORTASEG que realicen los beneficiarios al Secretariado Ejecutivo, deberá estar dirigido a la </w:t>
      </w:r>
      <w:r w:rsidRPr="001D130D">
        <w:rPr>
          <w:rFonts w:ascii="Palatino Linotype" w:eastAsia="MS Mincho" w:hAnsi="Palatino Linotype" w:cs="Arial"/>
          <w:b/>
          <w:bCs/>
          <w:color w:val="000000"/>
          <w:sz w:val="24"/>
        </w:rPr>
        <w:t>Dirección de Vinculación y Seguimiento</w:t>
      </w:r>
      <w:r w:rsidRPr="001D130D">
        <w:rPr>
          <w:rFonts w:ascii="Palatino Linotype" w:eastAsia="MS Mincho" w:hAnsi="Palatino Linotype" w:cs="Arial"/>
          <w:color w:val="000000"/>
          <w:sz w:val="24"/>
        </w:rPr>
        <w:t xml:space="preserve">; así, los </w:t>
      </w:r>
      <w:r w:rsidRPr="001D130D">
        <w:rPr>
          <w:rFonts w:ascii="Palatino Linotype" w:eastAsia="MS Mincho" w:hAnsi="Palatino Linotype" w:cs="Arial"/>
          <w:b/>
          <w:bCs/>
          <w:color w:val="000000"/>
          <w:sz w:val="24"/>
        </w:rPr>
        <w:t xml:space="preserve">“beneficiarios” </w:t>
      </w:r>
      <w:r w:rsidRPr="001D130D">
        <w:rPr>
          <w:rFonts w:ascii="Palatino Linotype" w:eastAsia="MS Mincho" w:hAnsi="Palatino Linotype" w:cs="Arial"/>
          <w:color w:val="000000"/>
          <w:sz w:val="24"/>
        </w:rPr>
        <w:t xml:space="preserve">son los Municipios y alcaldías de la Ciudad de México y, en su caso, a las entidades federativas que ejerzan de manera directa o coordinada la función de seguridad pública en el ámbito municipal, que hayan sido seleccionados para acceder al FORTASEG. </w:t>
      </w:r>
    </w:p>
    <w:p w:rsidR="008A2099" w:rsidRPr="00D94981"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rPr>
      </w:pPr>
      <w:r w:rsidRPr="00D94981">
        <w:rPr>
          <w:rFonts w:ascii="Palatino Linotype" w:eastAsia="MS Mincho" w:hAnsi="Palatino Linotype" w:cs="Arial"/>
          <w:color w:val="000000"/>
          <w:sz w:val="24"/>
        </w:rPr>
        <w:lastRenderedPageBreak/>
        <w:t>De la misma manera, los citados lineamientos establecen que los beneficiarios del FORTASEG, de acuerdo con su artículo 38 tendrán las siguientes obligaciones:</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“Artículo 38. Son obligaciones de los Beneficiarios del FORTASEG, las siguientes: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 Destinar los recursos del FORTASEG y de coparticipación para el cumplimiento de las metas convenidas, con base en lo establecido en los Lineamientos, los Convenios, Anexos Técnicos y demás normativa aplicable;</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II. Establecer cuentas bancarias productivas específicas generadoras de rendimientos financieros y abierta por los Beneficiarios para la administración de los recursos, debiendo ser independiente la cuenta bancaria productiva específica en la que se administran los recursos del FORTASEG y en la que se administran los recursos de coparticipación, no pudiendo ser consideradas como tales aquellas cuentas que representen riesgos para los recursos;</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III. Registrar los avances físico-financieros mensuales a través del Sistema que establezca el Secretariado Ejecutivo y presentar el informe trimestral a la Dirección General de Vinculación y Seguimiento, en un plazo no mayor a diez (10) días hábiles posteriores a la conclusión del trimestre correspondiente, conforme a los formatos de avance en la aplicación de los recursos del FORTASEG y de coparticipación que establezca el Secretariado Ejecutivo, debidamente suscritos por las autoridades competentes, los cuales contendrán como mínimo la información siguiente:</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a) Datos sobre los recursos del FORTASEG y de coparticipación comprometidos, devengados y pagados a la fecha de corte del periodo que corresponda, y</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b) Disponibilidad presupuestal y financiera del FORTASEG y de la coparticipación con la que cuenten a la fecha de corte del reporte.</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IV. Informar y acreditar a través del medio que establezca el Secretariado Ejecutivo, el cumplimiento de las metas convenidas y, en su caso, la recepción de recursos en especie en un plazo no mayor a diez (10) días hábiles;</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lastRenderedPageBreak/>
        <w:t>V. Atender en tiempo y forma las solicitudes de información que realice el Secretariado Ejecutivo sobre la administración y avances de los recursos del FORTASEG, así como permitir llevar a cabo las visitas y acciones de verificación sobre su aplicación que estime pertinentes, dando el acceso a equipo, material, información, registros y documentos requeridos para ejecutar el seguimiento de las acciones realizadas con el FORTASEG;</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VI. Cancelar la documentación comprobatoria original del gasto con la leyenda "Operado FORTASEG 2019", o como se establezca en las disposiciones locales, identificándose con el nombre de FORTASEG y reportarla al Secretariado Ejecutivo a través del Sistema establecido para este fin;</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VII. Acreditar, previo al ejercicio de los recursos, la propiedad legal del (de los) predio (s) de las acciones de infraestructura, así como obtener de la Dirección General de Apoyo Técnico del Secretariado Ejecutivo, la opinión favorable respecto del expediente técnico, mismos que deberán ser entregados al Secretariado Ejecutivo a más tardar el 30 de abril de 2019 para la opinión respectiva; en caso de que sean presentados con posterioridad a la fecha señalada, serán desechados;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b/>
          <w:bCs/>
          <w:i/>
          <w:color w:val="000000"/>
        </w:rPr>
        <w:t>VIII. Obtener de las Áreas Técnicas del Secretariado Ejecutivo, de conformidad con la normativa aplicable, los dictámenes, observaciones u opiniones técnicas que en su caso se requieran para la realización de las metas convenidas en los Anexos Técnicos</w:t>
      </w:r>
      <w:r w:rsidRPr="00AD5ACD">
        <w:rPr>
          <w:rFonts w:ascii="Palatino Linotype" w:eastAsia="MS Mincho" w:hAnsi="Palatino Linotype" w:cs="Arial"/>
          <w:i/>
          <w:color w:val="000000"/>
        </w:rPr>
        <w:t>. Las solicitudes de validación de cursos de capacitación deberán presentarse a más tardar el 15 de octubre de 2019; en caso de ser presentadas con posterioridad a la fecha señalada, serán desechadas por el área técnica. Los cursos que se realicen sin contar con dicha validación, no computarán en la acreditación del cumplimiento de metas;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IX. Cumplir con los Lineamientos Generales de Evaluación del Desempeño referidos en los artículos 43 y 49 de los Lineamientos, que para tal efecto emita la Dirección General de Planeación del Secretariado Ejecutivo;</w:t>
      </w:r>
    </w:p>
    <w:p w:rsidR="008A2099" w:rsidRPr="00AD5ACD" w:rsidRDefault="008A2099" w:rsidP="008A2099">
      <w:pPr>
        <w:tabs>
          <w:tab w:val="left" w:pos="567"/>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X. Informar por oficio al Secretariado Ejecutivo, el cambio que realice sobre la designación de la o el servidor público, enlace del FORTASEG;</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XI. Colaborar y participar en términos de la normativa aplicable, en operativos conjuntos con las autoridades competentes, y</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eastAsia="MS Mincho" w:hAnsi="Palatino Linotype" w:cs="Arial"/>
          <w:i/>
          <w:color w:val="000000"/>
        </w:rPr>
        <w:t>XII. Las demás establecidas en el Convenio, Anexo Técnico y las disposiciones aplicables.”</w:t>
      </w:r>
      <w:r w:rsidRPr="00AD5ACD">
        <w:rPr>
          <w:rFonts w:ascii="Palatino Linotype" w:hAnsi="Palatino Linotype"/>
          <w:b/>
          <w:i/>
        </w:rPr>
        <w:t xml:space="preserve"> </w:t>
      </w:r>
    </w:p>
    <w:p w:rsidR="008A2099" w:rsidRPr="00AD5ACD" w:rsidRDefault="008A2099" w:rsidP="008A2099">
      <w:pPr>
        <w:tabs>
          <w:tab w:val="left" w:pos="851"/>
        </w:tabs>
        <w:ind w:left="851" w:right="760"/>
        <w:jc w:val="both"/>
        <w:rPr>
          <w:rFonts w:ascii="Palatino Linotype" w:hAnsi="Palatino Linotype"/>
        </w:rPr>
      </w:pPr>
      <w:r w:rsidRPr="00AD5ACD">
        <w:rPr>
          <w:rFonts w:ascii="Palatino Linotype" w:hAnsi="Palatino Linotype"/>
        </w:rPr>
        <w:lastRenderedPageBreak/>
        <w:t>(Énfasis añadido)</w:t>
      </w:r>
    </w:p>
    <w:p w:rsidR="008A2099" w:rsidRPr="00181DE3" w:rsidRDefault="008A2099" w:rsidP="008A2099">
      <w:pPr>
        <w:tabs>
          <w:tab w:val="left" w:pos="851"/>
        </w:tabs>
        <w:spacing w:before="100" w:beforeAutospacing="1" w:after="100" w:afterAutospacing="1" w:line="360" w:lineRule="auto"/>
        <w:ind w:right="49"/>
        <w:jc w:val="both"/>
        <w:rPr>
          <w:rFonts w:ascii="Palatino Linotype" w:eastAsia="MS Mincho" w:hAnsi="Palatino Linotype" w:cs="Arial"/>
          <w:i/>
          <w:color w:val="000000"/>
          <w:sz w:val="24"/>
        </w:rPr>
      </w:pPr>
      <w:r w:rsidRPr="00181DE3">
        <w:rPr>
          <w:rFonts w:ascii="Palatino Linotype" w:eastAsia="MS Mincho" w:hAnsi="Palatino Linotype" w:cs="Arial"/>
          <w:color w:val="000000"/>
          <w:sz w:val="24"/>
        </w:rPr>
        <w:t xml:space="preserve">Hecho lo anterior, se indica que los beneficiarios son los encargados de reportar y presentar el informe trimestral a la Dirección General de Vinculación y Seguimiento, los avances y aplicación de los recursos del FORTASEG, los cuales contendrán la información relativa a los datos sobre los recursos devengados y pagados, así como su disponibilidad presupuestal y financiera con la que cuenten a la fecha del reporte, del mismo modo, informarán y acreditarán el cumplimiento de las metas convenidas, permitirán llevar a cabo las visitas y acciones de verificación sobre su aplicación, dando acceso a equipo, material, información registro y documentos para ejecutar el seguimiento de las acciones realizadas con el FORTASEG. </w:t>
      </w:r>
    </w:p>
    <w:p w:rsidR="008A2099" w:rsidRPr="00181DE3"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rPr>
      </w:pPr>
      <w:r w:rsidRPr="00181DE3">
        <w:rPr>
          <w:rFonts w:ascii="Palatino Linotype" w:eastAsia="MS Mincho" w:hAnsi="Palatino Linotype" w:cs="Arial"/>
          <w:color w:val="000000"/>
          <w:sz w:val="24"/>
        </w:rPr>
        <w:t>Por otra parte, las Entidades Federativas tienen las obligaciones conferidas en el artículo 39 de los Lineamientos en cita y consisten en las siguientes: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w:t>
      </w:r>
      <w:r w:rsidRPr="00AD5ACD">
        <w:rPr>
          <w:rFonts w:ascii="Palatino Linotype" w:eastAsia="MS Mincho" w:hAnsi="Palatino Linotype" w:cs="Arial"/>
          <w:b/>
          <w:i/>
          <w:color w:val="000000"/>
        </w:rPr>
        <w:t>Artículo 39.</w:t>
      </w:r>
      <w:r w:rsidRPr="00AD5ACD">
        <w:rPr>
          <w:rFonts w:ascii="Palatino Linotype" w:eastAsia="MS Mincho" w:hAnsi="Palatino Linotype" w:cs="Arial"/>
          <w:i/>
          <w:color w:val="000000"/>
        </w:rPr>
        <w:t xml:space="preserve"> Son obligaciones de las entidades federativas las siguientes: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 Entregar a la Dirección General de Vinculación y Seguimiento a más tardar el día de la concertación a que sean convocados sus municipios o alcaldías Beneficiarios, los documentos que a continuación se señalan:</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a) Carta original de la institución bancaria que acredite la apertura de una cuenta bancaria productiva específica para la recepción y administración de los recursos del "FORTASEG", la cual deberá contener como mínimo nombre del beneficiario, número de cuenta y Clave Bancaria Estandarizada (CLABE) con 18 posiciones;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b) Copia de la Cédula de Identificación Fiscal de la entidad federativa, expedida por el Servicio de Administración Tributaria;</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c) Constancia de domicilio fiscal, y</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d) Copia del oficio de designación o nombramiento de las o los servidores públicos responsables del manejo de la cuenta bancaria productiva específica.</w:t>
      </w:r>
    </w:p>
    <w:p w:rsidR="008A2099" w:rsidRPr="00AD5ACD" w:rsidRDefault="008A2099" w:rsidP="008A2099">
      <w:pPr>
        <w:tabs>
          <w:tab w:val="left" w:pos="567"/>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lastRenderedPageBreak/>
        <w:t xml:space="preserve">II. </w:t>
      </w:r>
      <w:r w:rsidRPr="00AD5ACD">
        <w:rPr>
          <w:rFonts w:ascii="Palatino Linotype" w:eastAsia="MS Mincho" w:hAnsi="Palatino Linotype" w:cs="Arial"/>
          <w:b/>
          <w:bCs/>
          <w:i/>
          <w:color w:val="000000"/>
        </w:rPr>
        <w:t>Transferir los recursos del FORTASEG correspondientes a los Beneficiarios</w:t>
      </w:r>
      <w:r w:rsidRPr="00AD5ACD">
        <w:rPr>
          <w:rFonts w:ascii="Palatino Linotype" w:eastAsia="MS Mincho" w:hAnsi="Palatino Linotype" w:cs="Arial"/>
          <w:i/>
          <w:color w:val="000000"/>
        </w:rPr>
        <w:t xml:space="preserve">, incluyendo los rendimientos financieros, en los términos de las disposiciones aplicables, en un plazo no mayor a cinco (5) días hábiles a partir de su recepción, </w:t>
      </w:r>
      <w:r w:rsidRPr="00AD5ACD">
        <w:rPr>
          <w:rFonts w:ascii="Palatino Linotype" w:eastAsia="MS Mincho" w:hAnsi="Palatino Linotype" w:cs="Arial"/>
          <w:b/>
          <w:bCs/>
          <w:i/>
          <w:color w:val="000000"/>
        </w:rPr>
        <w:t>debiendo entregar a la Dirección General de Vinculación y Seguimiento copia de los comprobantes de las transferencias, dentro del plazo de cinco (5) días hábiles siguientes a la transferencia</w:t>
      </w: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III. Coordinarse con los Beneficiarios y las áreas técnicas de la entidad federativa para la integración de la propuesta de inversión;</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IV. Remitir a la Dirección General de Vinculación y Seguimiento el recibo de ministraciones de los recursos del FORTASEG, en los términos que para tal efecto se establezcan;</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V. Dar cumplimiento a las obligaciones a las que se refiere el artículo 38 de los Lineamientos cuando sean Beneficiarios del FORTASEG, y</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eastAsia="MS Mincho" w:hAnsi="Palatino Linotype" w:cs="Arial"/>
          <w:i/>
          <w:color w:val="000000"/>
        </w:rPr>
        <w:t>VI. Las demás referidas en el Convenio, Anexo Técnico y las disposiciones aplicables.”</w:t>
      </w:r>
      <w:r w:rsidRPr="00AD5ACD">
        <w:rPr>
          <w:rFonts w:ascii="Palatino Linotype" w:hAnsi="Palatino Linotype"/>
          <w:b/>
          <w:i/>
        </w:rPr>
        <w:t xml:space="preserve"> </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hAnsi="Palatino Linotype"/>
          <w:b/>
          <w:i/>
        </w:rPr>
        <w:t>…</w:t>
      </w:r>
    </w:p>
    <w:p w:rsidR="008A2099" w:rsidRPr="00AD5ACD" w:rsidRDefault="008A2099" w:rsidP="008A2099">
      <w:pPr>
        <w:tabs>
          <w:tab w:val="left" w:pos="851"/>
        </w:tabs>
        <w:ind w:left="851" w:right="760"/>
        <w:jc w:val="both"/>
        <w:rPr>
          <w:rFonts w:ascii="Palatino Linotype" w:hAnsi="Palatino Linotype"/>
        </w:rPr>
      </w:pPr>
      <w:r w:rsidRPr="00AD5ACD">
        <w:rPr>
          <w:rFonts w:ascii="Palatino Linotype" w:hAnsi="Palatino Linotype"/>
        </w:rPr>
        <w:t>(Énfasis añadido)</w:t>
      </w:r>
    </w:p>
    <w:p w:rsidR="008A2099" w:rsidRPr="00AD5ACD"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rPr>
      </w:pPr>
      <w:r w:rsidRPr="00181DE3">
        <w:rPr>
          <w:rFonts w:ascii="Palatino Linotype" w:eastAsia="MS Mincho" w:hAnsi="Palatino Linotype" w:cs="Arial"/>
          <w:color w:val="000000"/>
          <w:sz w:val="24"/>
        </w:rPr>
        <w:t>Indicado lo anterior, se aprecia que las Entidades Federativas deben realizar la transferencia de los recursos del FORTASEG a los beneficiarios y entregar con ello los comprobantes de la misma, de igual forma, deberán remitir a la Dirección General de Vinculación y Seguimiento el recibo de ministraciones de los recursos</w:t>
      </w:r>
      <w:r w:rsidRPr="00AD5ACD">
        <w:rPr>
          <w:rFonts w:ascii="Palatino Linotype" w:eastAsia="MS Mincho" w:hAnsi="Palatino Linotype" w:cs="Arial"/>
          <w:color w:val="000000"/>
        </w:rPr>
        <w:t>.</w:t>
      </w:r>
    </w:p>
    <w:p w:rsidR="008A2099" w:rsidRPr="00181DE3"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rPr>
      </w:pPr>
      <w:r w:rsidRPr="00181DE3">
        <w:rPr>
          <w:rFonts w:ascii="Palatino Linotype" w:eastAsia="MS Mincho" w:hAnsi="Palatino Linotype" w:cs="Arial"/>
          <w:color w:val="000000"/>
          <w:sz w:val="24"/>
        </w:rPr>
        <w:t>Aunado a lo anterior, el Convenio del Programa de Fortalecimiento para la Seguridad FORTASEG 2019</w:t>
      </w:r>
      <w:r w:rsidRPr="00181DE3">
        <w:rPr>
          <w:rFonts w:ascii="Palatino Linotype" w:eastAsia="MS Mincho" w:hAnsi="Palatino Linotype" w:cs="Arial"/>
          <w:color w:val="000000"/>
          <w:sz w:val="24"/>
          <w:vertAlign w:val="superscript"/>
        </w:rPr>
        <w:footnoteReference w:id="5"/>
      </w:r>
      <w:r w:rsidRPr="00181DE3">
        <w:rPr>
          <w:rFonts w:ascii="Palatino Linotype" w:eastAsia="MS Mincho" w:hAnsi="Palatino Linotype" w:cs="Arial"/>
          <w:color w:val="000000"/>
          <w:sz w:val="24"/>
        </w:rPr>
        <w:t xml:space="preserve"> celebrado por el Secretariado Ejecutivo del Sistema Nacional de </w:t>
      </w:r>
      <w:r w:rsidRPr="00181DE3">
        <w:rPr>
          <w:rFonts w:ascii="Palatino Linotype" w:eastAsia="MS Mincho" w:hAnsi="Palatino Linotype" w:cs="Arial"/>
          <w:color w:val="000000"/>
          <w:sz w:val="24"/>
        </w:rPr>
        <w:lastRenderedPageBreak/>
        <w:t>Seguridad Pública, el Estado de México y los Municipios del Estado de México, establece que:</w:t>
      </w:r>
    </w:p>
    <w:p w:rsidR="008A2099" w:rsidRPr="00AD5ACD" w:rsidRDefault="008A2099" w:rsidP="008A2099">
      <w:pPr>
        <w:tabs>
          <w:tab w:val="left" w:pos="426"/>
        </w:tabs>
        <w:ind w:left="567" w:right="618"/>
        <w:jc w:val="center"/>
        <w:rPr>
          <w:rFonts w:ascii="Palatino Linotype" w:hAnsi="Palatino Linotype"/>
          <w:i/>
        </w:rPr>
      </w:pPr>
      <w:r w:rsidRPr="00AD5ACD">
        <w:rPr>
          <w:rFonts w:ascii="Palatino Linotype" w:hAnsi="Palatino Linotype"/>
          <w:i/>
        </w:rPr>
        <w:t>“CLÁUSULAS</w:t>
      </w:r>
    </w:p>
    <w:p w:rsidR="008A2099" w:rsidRPr="00AD5ACD" w:rsidRDefault="008A2099" w:rsidP="008A2099">
      <w:pPr>
        <w:tabs>
          <w:tab w:val="left" w:pos="851"/>
        </w:tabs>
        <w:ind w:left="851" w:right="757"/>
        <w:jc w:val="both"/>
        <w:rPr>
          <w:rFonts w:ascii="Palatino Linotype" w:hAnsi="Palatino Linotype"/>
          <w:b/>
          <w:bCs/>
          <w:i/>
        </w:rPr>
      </w:pPr>
      <w:r w:rsidRPr="00AD5ACD">
        <w:rPr>
          <w:rFonts w:ascii="Palatino Linotype" w:hAnsi="Palatino Linotype"/>
          <w:i/>
        </w:rPr>
        <w:t xml:space="preserve">PRIMERA. - OBJETO Y NATURALEZA DE LOS RECURSOS. </w:t>
      </w:r>
      <w:r w:rsidRPr="00AD5ACD">
        <w:rPr>
          <w:rFonts w:ascii="Palatino Linotype" w:hAnsi="Palatino Linotype"/>
          <w:b/>
          <w:bCs/>
          <w:i/>
        </w:rPr>
        <w:t xml:space="preserve">El presente “CONVENIO” tiene por objeto que “EL SECRETARIADO” transfiera recursos presupuestarios federales del “FORTASEG” a “LOS BENEFICIARIOS”, </w:t>
      </w:r>
      <w:r w:rsidRPr="00AD5ACD">
        <w:rPr>
          <w:rFonts w:ascii="Palatino Linotype" w:hAnsi="Palatino Linotype"/>
          <w:b/>
          <w:bCs/>
          <w:i/>
          <w:u w:val="single"/>
        </w:rPr>
        <w:t>por conducto de la Secretaría de Finanzas</w:t>
      </w:r>
      <w:r w:rsidRPr="00AD5ACD">
        <w:rPr>
          <w:rFonts w:ascii="Palatino Linotype" w:hAnsi="Palatino Linotype"/>
          <w:b/>
          <w:bCs/>
          <w:i/>
        </w:rPr>
        <w:t xml:space="preserve"> de “LA ENTIDAD FEDERATIVA”, con la finalidad de fortalecer el desempeño de sus funciones en materia de seguridad pública que realizan de manera directa “LOS BENEFICIARIOS”, conforme lo dispuesto por el artículo 8 del “PRESUPUESTO DE EGRESOS” y “LOS LINEAMIENTOS”</w:t>
      </w:r>
    </w:p>
    <w:p w:rsidR="008A2099" w:rsidRPr="00AD5ACD" w:rsidRDefault="008A2099" w:rsidP="008A2099">
      <w:pPr>
        <w:tabs>
          <w:tab w:val="left" w:pos="851"/>
        </w:tabs>
        <w:ind w:left="851" w:right="757"/>
        <w:jc w:val="both"/>
        <w:rPr>
          <w:rFonts w:ascii="Palatino Linotype" w:hAnsi="Palatino Linotype"/>
          <w:i/>
          <w:sz w:val="10"/>
          <w:szCs w:val="10"/>
        </w:rPr>
      </w:pPr>
    </w:p>
    <w:p w:rsidR="008A2099" w:rsidRPr="00AD5ACD" w:rsidRDefault="008A2099" w:rsidP="008A2099">
      <w:pPr>
        <w:tabs>
          <w:tab w:val="left" w:pos="851"/>
        </w:tabs>
        <w:ind w:left="851" w:right="757"/>
        <w:jc w:val="both"/>
        <w:rPr>
          <w:rFonts w:ascii="Palatino Linotype" w:hAnsi="Palatino Linotype"/>
          <w:i/>
        </w:rPr>
      </w:pPr>
      <w:r w:rsidRPr="00AD5ACD">
        <w:rPr>
          <w:rFonts w:ascii="Palatino Linotype" w:hAnsi="Palatino Linotype"/>
          <w:i/>
        </w:rPr>
        <w:t xml:space="preserve">Los recursos transferidos del “FORTASEG” no son regularizables, son parcialmente concursables y no pierden el carácter federal al ser transferidos y por ello “LA ENTIDAD FEDERATIVA” y “LOS BENEFICIARIOS” liberan a “EL SECRETARIADO” de la obligación de ministrarlos en ejercicios fiscales Miércoles 17 de abril de 2019 DIARIO OFICIAL (Primera Sección) subsecuentes, aún y cuando los requieran para complementar las acciones derivadas del presente “CONVENIO”, o para cubrir cualquier otro concepto vinculado con el objeto del mismo, conforme lo previsto en el “PRESUPUESTO DE EGRESOS”. </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 xml:space="preserve">TERCERA. - </w:t>
      </w:r>
      <w:r w:rsidRPr="00AD5ACD">
        <w:rPr>
          <w:rFonts w:ascii="Palatino Linotype" w:eastAsia="MS Mincho" w:hAnsi="Palatino Linotype" w:cs="Arial"/>
          <w:b/>
          <w:bCs/>
          <w:i/>
          <w:color w:val="000000"/>
        </w:rPr>
        <w:t>OBLIGACIONES DE “LOS BENEFICIARIOS”.</w:t>
      </w:r>
      <w:r w:rsidRPr="00AD5ACD">
        <w:rPr>
          <w:rFonts w:ascii="Palatino Linotype" w:eastAsia="MS Mincho" w:hAnsi="Palatino Linotype" w:cs="Arial"/>
          <w:i/>
          <w:color w:val="000000"/>
        </w:rPr>
        <w:t xml:space="preserve"> Además de las señaladas en “LOS LINEAMIENTOS”, tendrán las siguientes:</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eastAsia="MS Mincho" w:hAnsi="Palatino Linotype" w:cs="Arial"/>
          <w:b/>
          <w:bCs/>
          <w:i/>
          <w:color w:val="000000"/>
          <w:u w:val="single"/>
        </w:rPr>
      </w:pPr>
      <w:r w:rsidRPr="00AD5ACD">
        <w:rPr>
          <w:rFonts w:ascii="Palatino Linotype" w:eastAsia="MS Mincho" w:hAnsi="Palatino Linotype" w:cs="Arial"/>
          <w:i/>
          <w:color w:val="000000"/>
        </w:rPr>
        <w:t xml:space="preserve">I. </w:t>
      </w:r>
      <w:r w:rsidRPr="00AD5ACD">
        <w:rPr>
          <w:rFonts w:ascii="Palatino Linotype" w:eastAsia="MS Mincho" w:hAnsi="Palatino Linotype" w:cs="Arial"/>
          <w:b/>
          <w:bCs/>
          <w:i/>
          <w:color w:val="000000"/>
          <w:u w:val="single"/>
        </w:rPr>
        <w:t>Informar mensual y trimestralmente a</w:t>
      </w:r>
      <w:r w:rsidRPr="00AD5ACD">
        <w:rPr>
          <w:rFonts w:ascii="Palatino Linotype" w:eastAsia="MS Mincho" w:hAnsi="Palatino Linotype" w:cs="Arial"/>
          <w:b/>
          <w:bCs/>
          <w:i/>
          <w:color w:val="000000"/>
        </w:rPr>
        <w:t xml:space="preserve"> “EL SECRETARIADO” a través de la Dirección General de Vinculación y Seguimiento sobre las </w:t>
      </w:r>
      <w:r w:rsidRPr="00AD5ACD">
        <w:rPr>
          <w:rFonts w:ascii="Palatino Linotype" w:eastAsia="MS Mincho" w:hAnsi="Palatino Linotype" w:cs="Arial"/>
          <w:b/>
          <w:bCs/>
          <w:i/>
          <w:color w:val="000000"/>
          <w:u w:val="single"/>
        </w:rPr>
        <w:t>acciones realizadas</w:t>
      </w:r>
      <w:r w:rsidRPr="00AD5ACD">
        <w:rPr>
          <w:rFonts w:ascii="Palatino Linotype" w:eastAsia="MS Mincho" w:hAnsi="Palatino Linotype" w:cs="Arial"/>
          <w:b/>
          <w:bCs/>
          <w:i/>
          <w:color w:val="000000"/>
        </w:rPr>
        <w:t xml:space="preserve"> con base en el presente Convenio, así como </w:t>
      </w:r>
      <w:r w:rsidRPr="00AD5ACD">
        <w:rPr>
          <w:rFonts w:ascii="Palatino Linotype" w:eastAsia="MS Mincho" w:hAnsi="Palatino Linotype" w:cs="Arial"/>
          <w:b/>
          <w:bCs/>
          <w:i/>
          <w:color w:val="000000"/>
          <w:u w:val="single"/>
        </w:rPr>
        <w:t>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AD5ACD">
        <w:rPr>
          <w:rFonts w:ascii="Palatino Linotype" w:eastAsia="MS Mincho" w:hAnsi="Palatino Linotype" w:cs="Arial"/>
          <w:b/>
          <w:bCs/>
          <w:i/>
          <w:color w:val="000000"/>
        </w:rPr>
        <w:t xml:space="preserve">. </w:t>
      </w:r>
      <w:r w:rsidRPr="00AD5ACD">
        <w:rPr>
          <w:rFonts w:ascii="Palatino Linotype" w:eastAsia="MS Mincho" w:hAnsi="Palatino Linotype" w:cs="Arial"/>
          <w:b/>
          <w:i/>
          <w:color w:val="000000"/>
        </w:rPr>
        <w:t xml:space="preserve">Los Presidentes y las </w:t>
      </w:r>
      <w:r w:rsidRPr="00AD5ACD">
        <w:rPr>
          <w:rFonts w:ascii="Palatino Linotype" w:eastAsia="MS Mincho" w:hAnsi="Palatino Linotype" w:cs="Arial"/>
          <w:b/>
          <w:i/>
          <w:color w:val="000000"/>
        </w:rPr>
        <w:lastRenderedPageBreak/>
        <w:t>Presidentas Municipales de “LOS BENEFICIARIOS” deberán designar cada uno por oficio a un Servidor Público con competencia y nivel de decisión, como responsable</w:t>
      </w:r>
      <w:r w:rsidRPr="00AD5ACD">
        <w:rPr>
          <w:rFonts w:ascii="Palatino Linotype" w:eastAsia="MS Mincho" w:hAnsi="Palatino Linotype" w:cs="Arial"/>
          <w:i/>
          <w:color w:val="000000"/>
        </w:rPr>
        <w:t xml:space="preserve"> de </w:t>
      </w:r>
      <w:r w:rsidRPr="00AD5ACD">
        <w:rPr>
          <w:rFonts w:ascii="Palatino Linotype" w:eastAsia="MS Mincho" w:hAnsi="Palatino Linotype" w:cs="Arial"/>
          <w:b/>
          <w:bCs/>
          <w:i/>
          <w:color w:val="000000"/>
        </w:rPr>
        <w:t xml:space="preserve">proporcionar a “EL SECRETARIADO” </w:t>
      </w:r>
      <w:r w:rsidRPr="00AD5ACD">
        <w:rPr>
          <w:rFonts w:ascii="Palatino Linotype" w:eastAsia="MS Mincho" w:hAnsi="Palatino Linotype" w:cs="Arial"/>
          <w:b/>
          <w:bCs/>
          <w:i/>
          <w:color w:val="000000"/>
          <w:u w:val="single"/>
        </w:rPr>
        <w:t>los informes mensuales y trimestrales sobre los movimientos que presenten las cuentas bancarias productivas específicas, el ejercicio de los recursos y avance en el cumplimiento de los objetivos, metas, indicadores y porcentajes de inversión de los proyectos</w:t>
      </w:r>
      <w:r w:rsidRPr="00AD5ACD">
        <w:rPr>
          <w:rFonts w:ascii="Palatino Linotype" w:eastAsia="MS Mincho" w:hAnsi="Palatino Linotype" w:cs="Arial"/>
          <w:i/>
          <w:color w:val="000000"/>
        </w:rPr>
        <w:t xml:space="preserve"> establecidos en el Anexo Técnico respectivo del presente “CONVENIO”, así como </w:t>
      </w:r>
      <w:r w:rsidRPr="00AD5ACD">
        <w:rPr>
          <w:rFonts w:ascii="Palatino Linotype" w:eastAsia="MS Mincho" w:hAnsi="Palatino Linotype" w:cs="Arial"/>
          <w:b/>
          <w:bCs/>
          <w:i/>
          <w:color w:val="000000"/>
          <w:u w:val="single"/>
        </w:rPr>
        <w:t>el destino y resultados obtenidos de la aplicación de los recursos.</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 xml:space="preserve">J. </w:t>
      </w:r>
      <w:r w:rsidRPr="00AD5ACD">
        <w:rPr>
          <w:rFonts w:ascii="Palatino Linotype" w:eastAsia="MS Mincho" w:hAnsi="Palatino Linotype" w:cs="Arial"/>
          <w:b/>
          <w:bCs/>
          <w:i/>
          <w:color w:val="000000"/>
          <w:u w:val="single"/>
        </w:rPr>
        <w:t xml:space="preserve">Informar mensual y trimestralmente al Secretariado Ejecutivo del Sistema Estatal de Seguridad Pública </w:t>
      </w:r>
      <w:r w:rsidRPr="00AD5ACD">
        <w:rPr>
          <w:rFonts w:ascii="Palatino Linotype" w:eastAsia="MS Mincho" w:hAnsi="Palatino Linotype" w:cs="Arial"/>
          <w:b/>
          <w:bCs/>
          <w:i/>
          <w:color w:val="000000"/>
        </w:rPr>
        <w:t>de “LA ENTIDAD FEDERATIVA”, sobre las acciones realizadas con base en el presente “CONVENIO</w:t>
      </w: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L. Entregar a “EL SECRETARIADO” toda la información que solicite en los términos, plazos y formatos que al efecto establezca;</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hAnsi="Palatino Linotype"/>
          <w:i/>
        </w:rPr>
      </w:pPr>
      <w:r w:rsidRPr="00AD5ACD">
        <w:rPr>
          <w:rFonts w:ascii="Palatino Linotype" w:hAnsi="Palatino Linotype"/>
          <w:i/>
        </w:rPr>
        <w:t xml:space="preserve">CUARTA. - </w:t>
      </w:r>
      <w:r w:rsidRPr="00AD5ACD">
        <w:rPr>
          <w:rFonts w:ascii="Palatino Linotype" w:hAnsi="Palatino Linotype"/>
          <w:b/>
          <w:bCs/>
          <w:i/>
        </w:rPr>
        <w:t>OBLIGACIONES DE “LA ENTIDAD FEDERATIVA”.</w:t>
      </w:r>
      <w:r w:rsidRPr="00AD5ACD">
        <w:rPr>
          <w:rFonts w:ascii="Palatino Linotype" w:hAnsi="Palatino Linotype"/>
          <w:i/>
        </w:rPr>
        <w:t xml:space="preserve"> Además de las señaladas en “LOS LINEAMIENTOS” y otras previstas en los ordenamientos jurídicos aplicables, las siguientes: </w:t>
      </w:r>
    </w:p>
    <w:p w:rsidR="008A2099" w:rsidRPr="00AD5ACD" w:rsidRDefault="008A2099" w:rsidP="008A2099">
      <w:pPr>
        <w:tabs>
          <w:tab w:val="left" w:pos="851"/>
        </w:tabs>
        <w:ind w:left="851" w:right="757"/>
        <w:jc w:val="both"/>
        <w:rPr>
          <w:rFonts w:ascii="Palatino Linotype" w:hAnsi="Palatino Linotype"/>
          <w:i/>
        </w:rPr>
      </w:pPr>
      <w:r w:rsidRPr="00AD5ACD">
        <w:rPr>
          <w:rFonts w:ascii="Palatino Linotype" w:hAnsi="Palatino Linotype"/>
          <w:b/>
          <w:bCs/>
          <w:i/>
        </w:rPr>
        <w:t xml:space="preserve">A. </w:t>
      </w:r>
      <w:r w:rsidRPr="00AD5ACD">
        <w:rPr>
          <w:rFonts w:ascii="Palatino Linotype" w:hAnsi="Palatino Linotype"/>
          <w:b/>
          <w:bCs/>
          <w:i/>
          <w:u w:val="single"/>
        </w:rPr>
        <w:t>Establecer una cuenta bancaria productiva específica para la administración de los recursos del “FORTASEG</w:t>
      </w:r>
      <w:r w:rsidRPr="00AD5ACD">
        <w:rPr>
          <w:rFonts w:ascii="Palatino Linotype" w:hAnsi="Palatino Linotype"/>
          <w:b/>
          <w:bCs/>
          <w:i/>
        </w:rPr>
        <w:t>”</w:t>
      </w:r>
      <w:r w:rsidRPr="00AD5ACD">
        <w:rPr>
          <w:rFonts w:ascii="Palatino Linotype" w:hAnsi="Palatino Linotype"/>
          <w:i/>
        </w:rPr>
        <w:t>, de conformidad con lo dispuesto en el artículo 69 de la Ley General de Contabilidad Gubernamental;</w:t>
      </w:r>
    </w:p>
    <w:p w:rsidR="008A2099" w:rsidRPr="00AD5ACD" w:rsidRDefault="008A2099" w:rsidP="008A2099">
      <w:pPr>
        <w:tabs>
          <w:tab w:val="left" w:pos="851"/>
        </w:tabs>
        <w:ind w:left="851" w:right="757"/>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B. Entregar a “LOS BENEFICIARIOS” el monto total del “FORTASEG”, incluyendo sus rendimientos financieros, a más tardar dentro de los cinco días hábiles posteriores a que reciba los recursos de la Federación;</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1E71C5" w:rsidRDefault="008A2099" w:rsidP="008A2099">
      <w:pPr>
        <w:tabs>
          <w:tab w:val="left" w:pos="426"/>
        </w:tabs>
        <w:spacing w:before="100" w:beforeAutospacing="1" w:after="100" w:afterAutospacing="1" w:line="360" w:lineRule="auto"/>
        <w:jc w:val="both"/>
        <w:rPr>
          <w:rFonts w:ascii="Palatino Linotype" w:eastAsia="MS Mincho" w:hAnsi="Palatino Linotype" w:cs="Arial"/>
          <w:bCs/>
          <w:sz w:val="24"/>
          <w:szCs w:val="24"/>
        </w:rPr>
      </w:pPr>
      <w:r w:rsidRPr="001E71C5">
        <w:rPr>
          <w:rFonts w:ascii="Palatino Linotype" w:eastAsia="MS Mincho" w:hAnsi="Palatino Linotype" w:cs="Arial"/>
          <w:sz w:val="24"/>
          <w:szCs w:val="24"/>
        </w:rPr>
        <w:t xml:space="preserve">Expuesto lo anterior, se desprende que corresponde a la Secretaría de Finanzas entregar el monto destinado por parte del FORTASEG a cada beneficiario, </w:t>
      </w:r>
      <w:r w:rsidRPr="001E71C5">
        <w:rPr>
          <w:rFonts w:ascii="Palatino Linotype" w:eastAsia="MS Mincho" w:hAnsi="Palatino Linotype" w:cs="Arial"/>
          <w:bCs/>
          <w:sz w:val="24"/>
          <w:szCs w:val="24"/>
        </w:rPr>
        <w:t xml:space="preserve">siendo </w:t>
      </w:r>
      <w:r w:rsidRPr="001E71C5">
        <w:rPr>
          <w:rFonts w:ascii="Palatino Linotype" w:eastAsia="MS Mincho" w:hAnsi="Palatino Linotype" w:cs="Arial"/>
          <w:bCs/>
          <w:sz w:val="24"/>
          <w:szCs w:val="24"/>
          <w:u w:val="single"/>
        </w:rPr>
        <w:t>los municipios</w:t>
      </w:r>
      <w:r w:rsidRPr="001E71C5">
        <w:rPr>
          <w:rFonts w:ascii="Palatino Linotype" w:eastAsia="MS Mincho" w:hAnsi="Palatino Linotype" w:cs="Arial"/>
          <w:bCs/>
          <w:sz w:val="24"/>
          <w:szCs w:val="24"/>
        </w:rPr>
        <w:t xml:space="preserve"> los que deberán de informar y proporcionar al Secretariado toda la información relativa a la erogación y ejercicio de los recursos recibidos, de tal forma que </w:t>
      </w:r>
      <w:r w:rsidRPr="001E71C5">
        <w:rPr>
          <w:rFonts w:ascii="Palatino Linotype" w:eastAsia="MS Mincho" w:hAnsi="Palatino Linotype" w:cs="Arial"/>
          <w:b/>
          <w:bCs/>
          <w:sz w:val="24"/>
          <w:szCs w:val="24"/>
        </w:rPr>
        <w:t>EL SUJETO OBLIGADO</w:t>
      </w:r>
      <w:r w:rsidRPr="001E71C5">
        <w:rPr>
          <w:rFonts w:ascii="Palatino Linotype" w:eastAsia="MS Mincho" w:hAnsi="Palatino Linotype" w:cs="Arial"/>
          <w:bCs/>
          <w:sz w:val="24"/>
          <w:szCs w:val="24"/>
        </w:rPr>
        <w:t xml:space="preserve"> es competente para conocer de este programa, en </w:t>
      </w:r>
      <w:r w:rsidRPr="001E71C5">
        <w:rPr>
          <w:rFonts w:ascii="Palatino Linotype" w:eastAsia="MS Mincho" w:hAnsi="Palatino Linotype" w:cs="Arial"/>
          <w:bCs/>
          <w:sz w:val="24"/>
          <w:szCs w:val="24"/>
        </w:rPr>
        <w:lastRenderedPageBreak/>
        <w:t xml:space="preserve">cuanto a lo solicitado por el particular, </w:t>
      </w:r>
      <w:r w:rsidR="00D94981" w:rsidRPr="001D130D">
        <w:rPr>
          <w:rFonts w:ascii="Palatino Linotype" w:hAnsi="Palatino Linotype"/>
          <w:sz w:val="24"/>
        </w:rPr>
        <w:t xml:space="preserve">al </w:t>
      </w:r>
      <w:r w:rsidR="00D94981">
        <w:rPr>
          <w:rFonts w:ascii="Palatino Linotype" w:hAnsi="Palatino Linotype"/>
          <w:sz w:val="24"/>
        </w:rPr>
        <w:t>manifestar mediante el informe justificado que le fueron otorgados $ 1, 513, 000. 00 (un millón quinientos trece mil pesos).</w:t>
      </w:r>
      <w:r w:rsidRPr="001E71C5">
        <w:rPr>
          <w:rFonts w:ascii="Palatino Linotype" w:eastAsia="MS Mincho" w:hAnsi="Palatino Linotype" w:cs="Arial"/>
          <w:bCs/>
          <w:sz w:val="24"/>
          <w:szCs w:val="24"/>
        </w:rPr>
        <w:t xml:space="preserve"> </w:t>
      </w:r>
    </w:p>
    <w:p w:rsidR="007E7086" w:rsidRPr="001E71C5" w:rsidRDefault="007E7086" w:rsidP="007E7086">
      <w:pPr>
        <w:spacing w:line="360" w:lineRule="auto"/>
        <w:jc w:val="both"/>
        <w:rPr>
          <w:rFonts w:ascii="Palatino Linotype" w:hAnsi="Palatino Linotype" w:cs="Arial"/>
          <w:sz w:val="24"/>
          <w:szCs w:val="24"/>
          <w:lang w:val="es-ES"/>
        </w:rPr>
      </w:pPr>
      <w:r w:rsidRPr="001E71C5">
        <w:rPr>
          <w:rFonts w:ascii="Palatino Linotype" w:hAnsi="Palatino Linotype"/>
          <w:sz w:val="24"/>
          <w:szCs w:val="24"/>
        </w:rPr>
        <w:t xml:space="preserve">Una vez dicho lo anterior, este Instituto advirtió que, respecto a la ejecución de los recursos </w:t>
      </w:r>
      <w:r w:rsidR="00D94981">
        <w:rPr>
          <w:rFonts w:ascii="Palatino Linotype" w:hAnsi="Palatino Linotype"/>
          <w:sz w:val="24"/>
          <w:szCs w:val="24"/>
        </w:rPr>
        <w:t>locales</w:t>
      </w:r>
      <w:r w:rsidRPr="001E71C5">
        <w:rPr>
          <w:rFonts w:ascii="Palatino Linotype" w:hAnsi="Palatino Linotype"/>
          <w:sz w:val="24"/>
          <w:szCs w:val="24"/>
        </w:rPr>
        <w:t xml:space="preserve"> destinados a la materia de seguridad, </w:t>
      </w:r>
      <w:r w:rsidRPr="001E71C5">
        <w:rPr>
          <w:rFonts w:ascii="Palatino Linotype" w:hAnsi="Palatino Linotype"/>
          <w:b/>
          <w:sz w:val="24"/>
          <w:szCs w:val="24"/>
        </w:rPr>
        <w:t>EL SUJETO OBLIGADO</w:t>
      </w:r>
      <w:r w:rsidRPr="001E71C5">
        <w:rPr>
          <w:rFonts w:ascii="Palatino Linotype" w:hAnsi="Palatino Linotype"/>
          <w:sz w:val="24"/>
          <w:szCs w:val="24"/>
        </w:rPr>
        <w:t xml:space="preserve">, no se pronunció al respecto en su respuesta proporcionada, razón por la cual, es importante </w:t>
      </w:r>
      <w:r w:rsidRPr="001E71C5">
        <w:rPr>
          <w:rFonts w:ascii="Palatino Linotype" w:hAnsi="Palatino Linotype" w:cs="Arial"/>
          <w:sz w:val="24"/>
          <w:szCs w:val="24"/>
          <w:lang w:val="es-ES"/>
        </w:rPr>
        <w:t>traer a contexto lo estipulado en los artículos 1, 2 y 3 de la Ley General de Contabilidad Gubernamental, que a la letra dice:</w:t>
      </w:r>
    </w:p>
    <w:p w:rsidR="007E7086" w:rsidRPr="00AD5ACD" w:rsidRDefault="007E7086" w:rsidP="007E7086">
      <w:pPr>
        <w:spacing w:line="360" w:lineRule="auto"/>
        <w:jc w:val="both"/>
        <w:rPr>
          <w:rFonts w:ascii="Palatino Linotype" w:hAnsi="Palatino Linotype" w:cs="Arial"/>
          <w:lang w:val="es-ES"/>
        </w:rPr>
      </w:pP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i/>
          <w:lang w:val="es-ES"/>
        </w:rPr>
        <w:t>“</w:t>
      </w:r>
      <w:r w:rsidRPr="00AD5ACD">
        <w:rPr>
          <w:rFonts w:ascii="Palatino Linotype" w:hAnsi="Palatino Linotype" w:cs="Arial"/>
          <w:b/>
          <w:i/>
          <w:lang w:val="es-ES"/>
        </w:rPr>
        <w:t>Artículo 1.-</w:t>
      </w:r>
      <w:r w:rsidRPr="00AD5ACD">
        <w:rPr>
          <w:rFonts w:ascii="Palatino Linotype" w:hAnsi="Palatino Linotype" w:cs="Arial"/>
          <w:i/>
          <w:lang w:val="es-ES"/>
        </w:rPr>
        <w:t xml:space="preserve"> </w:t>
      </w:r>
      <w:r w:rsidRPr="00AD5ACD">
        <w:rPr>
          <w:rFonts w:ascii="Palatino Linotype" w:hAnsi="Palatino Linotype" w:cs="Arial"/>
          <w:b/>
          <w:i/>
          <w:lang w:val="es-ES"/>
        </w:rPr>
        <w:t>La presente Ley es de orden público y tiene como objeto establecer los criterios generales que regirán la contabilidad gubernamental y la emisión de información financiera de los entes públicos, con el fin de lograr su adecuada armonización.</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b/>
          <w:i/>
          <w:lang w:val="es-ES"/>
        </w:rPr>
        <w:t>La presente Ley es de observancia obligatoria para</w:t>
      </w:r>
      <w:r w:rsidRPr="00AD5ACD">
        <w:rPr>
          <w:rFonts w:ascii="Palatino Linotype" w:hAnsi="Palatino Linotype" w:cs="Arial"/>
          <w:i/>
          <w:lang w:val="es-ES"/>
        </w:rPr>
        <w:t xml:space="preserve"> los poderes Ejecutivo, Legislativo y Judicial de la Federación, los estados y el Distrito Federal; </w:t>
      </w:r>
      <w:r w:rsidRPr="00AD5ACD">
        <w:rPr>
          <w:rFonts w:ascii="Palatino Linotype" w:hAnsi="Palatino Linotype" w:cs="Arial"/>
          <w:b/>
          <w:i/>
          <w:lang w:val="es-ES"/>
        </w:rPr>
        <w:t>los ayuntamientos de los municipios</w:t>
      </w:r>
      <w:r w:rsidRPr="00AD5ACD">
        <w:rPr>
          <w:rFonts w:ascii="Palatino Linotype" w:hAnsi="Palatino Linotype" w:cs="Arial"/>
          <w:i/>
          <w:lang w:val="es-ES"/>
        </w:rPr>
        <w:t xml:space="preserve">; los órganos político administrativos de las demarcaciones territoriales del Distrito Federal; </w:t>
      </w:r>
      <w:r w:rsidRPr="00AD5ACD">
        <w:rPr>
          <w:rFonts w:ascii="Palatino Linotype" w:hAnsi="Palatino Linotype" w:cs="Arial"/>
          <w:b/>
          <w:i/>
          <w:lang w:val="es-ES"/>
        </w:rPr>
        <w:t>las entidades de la administración pública</w:t>
      </w:r>
      <w:r w:rsidRPr="00AD5ACD">
        <w:rPr>
          <w:rFonts w:ascii="Palatino Linotype" w:hAnsi="Palatino Linotype" w:cs="Arial"/>
          <w:i/>
          <w:lang w:val="es-ES"/>
        </w:rPr>
        <w:t xml:space="preserve"> paraestatal, ya sean federales, estatales o </w:t>
      </w:r>
      <w:r w:rsidRPr="00AD5ACD">
        <w:rPr>
          <w:rFonts w:ascii="Palatino Linotype" w:hAnsi="Palatino Linotype" w:cs="Arial"/>
          <w:b/>
          <w:i/>
          <w:lang w:val="es-ES"/>
        </w:rPr>
        <w:t>municipales</w:t>
      </w:r>
      <w:r w:rsidRPr="00AD5ACD">
        <w:rPr>
          <w:rFonts w:ascii="Palatino Linotype" w:hAnsi="Palatino Linotype" w:cs="Arial"/>
          <w:i/>
          <w:lang w:val="es-ES"/>
        </w:rPr>
        <w:t xml:space="preserve"> y los órganos autónomos federales y estatales.</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b/>
          <w:i/>
          <w:lang w:val="es-ES"/>
        </w:rPr>
        <w:t>Los gobiernos estatales deberán coordinarse con los municipales para que éstos armonicen su contabilidad con base en las disposiciones de esta Ley</w:t>
      </w:r>
      <w:r w:rsidRPr="00AD5ACD">
        <w:rPr>
          <w:rFonts w:ascii="Palatino Linotype" w:hAnsi="Palatino Linotype" w:cs="Arial"/>
          <w:i/>
          <w:lang w:val="es-ES"/>
        </w:rPr>
        <w:t>. El Gobierno del Distrito Federal 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rsidR="007E7086" w:rsidRPr="00AD5ACD" w:rsidRDefault="007E7086" w:rsidP="007E7086">
      <w:pPr>
        <w:ind w:left="851" w:right="902"/>
        <w:jc w:val="both"/>
        <w:rPr>
          <w:rFonts w:ascii="Palatino Linotype" w:hAnsi="Palatino Linotype" w:cs="Arial"/>
          <w:b/>
          <w:i/>
          <w:lang w:val="es-ES"/>
        </w:rPr>
      </w:pPr>
      <w:r w:rsidRPr="00AD5ACD">
        <w:rPr>
          <w:rFonts w:ascii="Palatino Linotype" w:hAnsi="Palatino Linotype" w:cs="Arial"/>
          <w:b/>
          <w:i/>
          <w:lang w:val="es-ES"/>
        </w:rPr>
        <w:t>Artículo 2.-</w:t>
      </w:r>
      <w:r w:rsidRPr="00AD5ACD">
        <w:rPr>
          <w:rFonts w:ascii="Palatino Linotype" w:hAnsi="Palatino Linotype" w:cs="Arial"/>
          <w:i/>
          <w:lang w:val="es-ES"/>
        </w:rPr>
        <w:t xml:space="preserve"> </w:t>
      </w:r>
      <w:r w:rsidRPr="00AD5ACD">
        <w:rPr>
          <w:rFonts w:ascii="Palatino Linotype" w:hAnsi="Palatino Linotype" w:cs="Arial"/>
          <w:b/>
          <w:i/>
          <w:lang w:val="es-ES"/>
        </w:rPr>
        <w:t xml:space="preserve">Los entes públicos aplicarán la contabilidad gubernamental para facilitar el registro y la fiscalización de los activos, pasivos, ingresos </w:t>
      </w:r>
      <w:r w:rsidRPr="00AD5ACD">
        <w:rPr>
          <w:rFonts w:ascii="Palatino Linotype" w:hAnsi="Palatino Linotype" w:cs="Arial"/>
          <w:b/>
          <w:i/>
          <w:lang w:val="es-ES"/>
        </w:rPr>
        <w:lastRenderedPageBreak/>
        <w:t>y gastos y, en general, contribuir a medir la eficacia, economía y eficiencia del gasto e ingresos públicos, la administración de la deuda pública, incluyendo las obligaciones contingentes y el patrimonio del Estado.</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i/>
          <w:lang w:val="es-ES"/>
        </w:rPr>
        <w:t>Los entes públicos deberán seguir las mejores prácticas contables nacionales e internacionales en apoyo a las tareas de planeación financiera, control de recursos, análisis y fiscalización.</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b/>
          <w:i/>
          <w:lang w:val="es-ES"/>
        </w:rPr>
        <w:t>Artículo 3.-</w:t>
      </w:r>
      <w:r w:rsidRPr="00AD5ACD">
        <w:rPr>
          <w:rFonts w:ascii="Palatino Linotype" w:hAnsi="Palatino Linotype" w:cs="Arial"/>
          <w:i/>
          <w:lang w:val="es-ES"/>
        </w:rPr>
        <w:t xml:space="preserve"> </w:t>
      </w:r>
      <w:r w:rsidRPr="00AD5ACD">
        <w:rPr>
          <w:rFonts w:ascii="Palatino Linotype" w:hAnsi="Palatino Linotype" w:cs="Arial"/>
          <w:b/>
          <w:i/>
          <w:lang w:val="es-ES"/>
        </w:rPr>
        <w:t>La contabilidad gubernamental determinará la valuación del patrimonio del Estado y su expresión en los estados financieros</w:t>
      </w:r>
      <w:r w:rsidRPr="00AD5ACD">
        <w:rPr>
          <w:rFonts w:ascii="Palatino Linotype" w:hAnsi="Palatino Linotype" w:cs="Arial"/>
          <w:i/>
          <w:lang w:val="es-ES"/>
        </w:rPr>
        <w:t xml:space="preserve">.” </w:t>
      </w:r>
    </w:p>
    <w:p w:rsidR="007E7086" w:rsidRPr="00AD5ACD" w:rsidRDefault="007E7086" w:rsidP="007E7086">
      <w:pPr>
        <w:ind w:left="851" w:right="902"/>
        <w:jc w:val="both"/>
        <w:rPr>
          <w:rFonts w:ascii="Palatino Linotype" w:hAnsi="Palatino Linotype" w:cs="Arial"/>
          <w:b/>
          <w:i/>
          <w:lang w:val="es-ES"/>
        </w:rPr>
      </w:pPr>
      <w:r w:rsidRPr="00AD5ACD">
        <w:rPr>
          <w:rFonts w:ascii="Palatino Linotype" w:hAnsi="Palatino Linotype" w:cs="Arial"/>
          <w:b/>
          <w:i/>
          <w:lang w:val="es-ES"/>
        </w:rPr>
        <w:t>(Énfasis añadido)</w:t>
      </w:r>
      <w:r w:rsidRPr="00AD5ACD">
        <w:rPr>
          <w:rFonts w:ascii="Palatino Linotype" w:hAnsi="Palatino Linotype" w:cs="Arial"/>
          <w:b/>
          <w:i/>
          <w:lang w:val="es-ES"/>
        </w:rPr>
        <w:cr/>
      </w:r>
    </w:p>
    <w:p w:rsidR="007E7086" w:rsidRPr="001E71C5" w:rsidRDefault="007E7086" w:rsidP="007E7086">
      <w:pPr>
        <w:spacing w:line="360" w:lineRule="auto"/>
        <w:ind w:right="49"/>
        <w:jc w:val="both"/>
        <w:rPr>
          <w:rFonts w:ascii="Palatino Linotype" w:hAnsi="Palatino Linotype" w:cs="Arial"/>
          <w:sz w:val="24"/>
          <w:lang w:val="es-ES"/>
        </w:rPr>
      </w:pPr>
      <w:r w:rsidRPr="001E71C5">
        <w:rPr>
          <w:rFonts w:ascii="Palatino Linotype" w:hAnsi="Palatino Linotype" w:cs="Arial"/>
          <w:sz w:val="24"/>
          <w:lang w:val="es-ES"/>
        </w:rPr>
        <w:t xml:space="preserve">De la misma forma, este ordenamiento jurídico sustenta las bases para el  CLASIFICADOR POR OBJETO DEL GASTO (CAPÍTULO, CONCEPTO Y PARTIDA GENÉRICA), publicado en el Diario Oficial de la Federación el 9 de diciembre de 2009, el cual constituye un instrumento para una mejor identificación, mayor congruencia y generalidad a las partidas, el cual tiene la finalidad de establecer las bases para que los gobiernos: Federal, de las Entidades Federativas y Municipales, cumplan con las obligaciones que les impone el artículo cuarto transitorio de la Ley General de Contabilidad Gubernamental, consistente, en que </w:t>
      </w:r>
      <w:r w:rsidRPr="001E71C5">
        <w:rPr>
          <w:rFonts w:ascii="Palatino Linotype" w:eastAsiaTheme="minorEastAsia" w:hAnsi="Palatino Linotype"/>
          <w:sz w:val="24"/>
          <w:lang w:val="es-ES_tradnl"/>
        </w:rPr>
        <w:t>el Consejo Nacional de Armonización Contable emitirá las normas y formatos para dar cumplimiento a lo dispuesto en el Título Quinto de la Ley General de Contabilidad Gubernamental, denominado “De la Transparencia y Difusión de la Información Financiera”</w:t>
      </w:r>
      <w:r w:rsidRPr="001E71C5">
        <w:rPr>
          <w:rFonts w:ascii="Palatino Linotype" w:hAnsi="Palatino Linotype" w:cs="Arial"/>
          <w:sz w:val="24"/>
          <w:lang w:val="es-ES"/>
        </w:rPr>
        <w:t>. Lo anterior en el entendido de que los entes públicos de cada nivel de gobierno deberán realizar las acciones necesarias para cumplir con dichas obligaciones.</w:t>
      </w:r>
    </w:p>
    <w:p w:rsidR="007E7086" w:rsidRPr="001E71C5" w:rsidRDefault="007E7086" w:rsidP="007E7086">
      <w:pPr>
        <w:spacing w:line="360" w:lineRule="auto"/>
        <w:ind w:right="49"/>
        <w:jc w:val="both"/>
        <w:rPr>
          <w:rFonts w:ascii="Palatino Linotype" w:hAnsi="Palatino Linotype" w:cs="Arial"/>
          <w:sz w:val="24"/>
          <w:lang w:val="es-ES"/>
        </w:rPr>
      </w:pPr>
    </w:p>
    <w:p w:rsidR="007E7086" w:rsidRPr="001E71C5" w:rsidRDefault="007E7086" w:rsidP="007E7086">
      <w:pPr>
        <w:spacing w:line="360" w:lineRule="auto"/>
        <w:ind w:right="49"/>
        <w:jc w:val="both"/>
        <w:rPr>
          <w:rFonts w:ascii="Palatino Linotype" w:hAnsi="Palatino Linotype" w:cs="Arial"/>
          <w:sz w:val="24"/>
          <w:lang w:val="es-ES"/>
        </w:rPr>
      </w:pPr>
      <w:r w:rsidRPr="001E71C5">
        <w:rPr>
          <w:rFonts w:ascii="Palatino Linotype" w:hAnsi="Palatino Linotype" w:cs="Arial"/>
          <w:sz w:val="24"/>
          <w:lang w:val="es-ES"/>
        </w:rPr>
        <w:t xml:space="preserve">De esta manera, la estructura del Clasificador por Objeto del Gasto está diseñado con un nivel de desagregación que permite que sus cuentas faciliten el registro único de </w:t>
      </w:r>
      <w:r w:rsidRPr="001E71C5">
        <w:rPr>
          <w:rFonts w:ascii="Palatino Linotype" w:hAnsi="Palatino Linotype" w:cs="Arial"/>
          <w:sz w:val="24"/>
          <w:lang w:val="es-ES"/>
        </w:rPr>
        <w:lastRenderedPageBreak/>
        <w:t>todas las transacciones con incidencia económica-financiera; es por ello, que la armonización se realiza al tercer dígito que corresponde a la partida genérica formándose la siguiente estructura:</w:t>
      </w:r>
    </w:p>
    <w:p w:rsidR="007E7086" w:rsidRPr="00AD5ACD" w:rsidRDefault="007E7086" w:rsidP="007E7086">
      <w:pPr>
        <w:spacing w:line="360" w:lineRule="auto"/>
        <w:ind w:right="49"/>
        <w:jc w:val="both"/>
        <w:rPr>
          <w:rFonts w:ascii="Palatino Linotype" w:hAnsi="Palatino Linotype" w:cs="Arial"/>
          <w:lang w:val="es-ES"/>
        </w:rPr>
      </w:pPr>
      <w:r w:rsidRPr="00AD5ACD">
        <w:rPr>
          <w:rFonts w:eastAsiaTheme="minorEastAsia"/>
          <w:noProof/>
          <w:sz w:val="20"/>
          <w:szCs w:val="20"/>
          <w:lang w:eastAsia="es-MX"/>
        </w:rPr>
        <mc:AlternateContent>
          <mc:Choice Requires="wps">
            <w:drawing>
              <wp:anchor distT="0" distB="0" distL="114300" distR="114300" simplePos="0" relativeHeight="251659264" behindDoc="0" locked="0" layoutInCell="1" allowOverlap="1" wp14:anchorId="62EDBD5E" wp14:editId="5586B216">
                <wp:simplePos x="0" y="0"/>
                <wp:positionH relativeFrom="column">
                  <wp:posOffset>2425065</wp:posOffset>
                </wp:positionH>
                <wp:positionV relativeFrom="paragraph">
                  <wp:posOffset>266700</wp:posOffset>
                </wp:positionV>
                <wp:extent cx="2389031" cy="590550"/>
                <wp:effectExtent l="57150" t="38100" r="68580" b="95250"/>
                <wp:wrapNone/>
                <wp:docPr id="9" name="Rectángulo 9"/>
                <wp:cNvGraphicFramePr/>
                <a:graphic xmlns:a="http://schemas.openxmlformats.org/drawingml/2006/main">
                  <a:graphicData uri="http://schemas.microsoft.com/office/word/2010/wordprocessingShape">
                    <wps:wsp>
                      <wps:cNvSpPr/>
                      <wps:spPr>
                        <a:xfrm>
                          <a:off x="0" y="0"/>
                          <a:ext cx="2389031" cy="590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667B" id="Rectángulo 9" o:spid="_x0000_s1026" style="position:absolute;margin-left:190.95pt;margin-top:21pt;width:188.1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" filled="f" strokecolor="red" strokeweight="2.25pt">
                <v:shadow on="t" color="black" opacity="22937f" origin=",.5" offset="0,.63889mm"/>
              </v:rect>
            </w:pict>
          </mc:Fallback>
        </mc:AlternateContent>
      </w:r>
      <w:r w:rsidRPr="00AD5ACD">
        <w:rPr>
          <w:rFonts w:eastAsiaTheme="minorEastAsia"/>
          <w:noProof/>
          <w:sz w:val="20"/>
          <w:szCs w:val="20"/>
          <w:lang w:eastAsia="es-MX"/>
        </w:rPr>
        <w:drawing>
          <wp:inline distT="0" distB="0" distL="0" distR="0" wp14:anchorId="2B6AE842" wp14:editId="3F5D05E4">
            <wp:extent cx="5761049" cy="1323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88" t="36171" r="34315" b="52961"/>
                    <a:stretch/>
                  </pic:blipFill>
                  <pic:spPr bwMode="auto">
                    <a:xfrm>
                      <a:off x="0" y="0"/>
                      <a:ext cx="5825540" cy="1338796"/>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1E71C5" w:rsidRDefault="007E7086" w:rsidP="007E7086">
      <w:pPr>
        <w:spacing w:line="360" w:lineRule="auto"/>
        <w:jc w:val="both"/>
        <w:rPr>
          <w:rFonts w:ascii="Palatino Linotype" w:hAnsi="Palatino Linotype" w:cs="Arial"/>
          <w:sz w:val="24"/>
          <w:u w:val="single"/>
          <w:lang w:val="es-ES"/>
        </w:rPr>
      </w:pPr>
      <w:r w:rsidRPr="001E71C5">
        <w:rPr>
          <w:rFonts w:ascii="Palatino Linotype" w:hAnsi="Palatino Linotype" w:cs="Arial"/>
          <w:sz w:val="24"/>
          <w:lang w:val="es-ES"/>
        </w:rPr>
        <w:t xml:space="preserve">En la anterior estructura se tiene que el capítulo es el mayor nivel de agregación que identifica el conjunto homogéneo y ordenado de los bienes y servicios requeridos por los entes públicos; el concepto son subconjuntos homogéneos y ordenados en forma específica, producto de la desagregación de los bienes y servicios, incluidos en cada capítulo y </w:t>
      </w:r>
      <w:r w:rsidRPr="001E71C5">
        <w:rPr>
          <w:rFonts w:ascii="Palatino Linotype" w:hAnsi="Palatino Linotype" w:cs="Arial"/>
          <w:b/>
          <w:i/>
          <w:sz w:val="24"/>
          <w:u w:val="single"/>
          <w:lang w:val="es-ES"/>
        </w:rPr>
        <w:t>la partida es el nivel de agregación más específico en el cual se describen las expresiones concretas y detalladas de los bienes y servicios que se adquieren y se compone de:</w:t>
      </w:r>
    </w:p>
    <w:p w:rsidR="007E7086" w:rsidRPr="001E71C5" w:rsidRDefault="007E7086" w:rsidP="007E7086">
      <w:pPr>
        <w:spacing w:line="360" w:lineRule="auto"/>
        <w:ind w:left="360"/>
        <w:jc w:val="both"/>
        <w:rPr>
          <w:rFonts w:ascii="Palatino Linotype" w:hAnsi="Palatino Linotype" w:cs="Arial"/>
          <w:b/>
          <w:sz w:val="24"/>
          <w:lang w:val="es-ES"/>
        </w:rPr>
      </w:pPr>
      <w:r w:rsidRPr="001E71C5">
        <w:rPr>
          <w:rFonts w:ascii="Palatino Linotype" w:hAnsi="Palatino Linotype" w:cs="Arial"/>
          <w:b/>
          <w:sz w:val="24"/>
          <w:lang w:val="es-ES"/>
        </w:rPr>
        <w:t>a) Partida Genérica</w:t>
      </w:r>
    </w:p>
    <w:p w:rsidR="007E7086" w:rsidRPr="001E71C5" w:rsidRDefault="007E7086" w:rsidP="007E7086">
      <w:pPr>
        <w:spacing w:line="360" w:lineRule="auto"/>
        <w:ind w:left="360"/>
        <w:jc w:val="both"/>
        <w:rPr>
          <w:rFonts w:ascii="Palatino Linotype" w:hAnsi="Palatino Linotype" w:cs="Arial"/>
          <w:b/>
          <w:sz w:val="24"/>
          <w:lang w:val="es-ES"/>
        </w:rPr>
      </w:pPr>
      <w:r w:rsidRPr="001E71C5">
        <w:rPr>
          <w:rFonts w:ascii="Palatino Linotype" w:hAnsi="Palatino Linotype" w:cs="Arial"/>
          <w:b/>
          <w:sz w:val="24"/>
          <w:lang w:val="es-ES"/>
        </w:rPr>
        <w:t>b) Partida Específica</w:t>
      </w: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b/>
          <w:i/>
          <w:sz w:val="24"/>
          <w:lang w:val="es-ES"/>
        </w:rPr>
        <w:t>La Partida Genérica</w:t>
      </w:r>
      <w:r w:rsidRPr="001E71C5">
        <w:rPr>
          <w:rFonts w:ascii="Palatino Linotype" w:hAnsi="Palatino Linotype" w:cs="Arial"/>
          <w:sz w:val="24"/>
          <w:lang w:val="es-ES"/>
        </w:rPr>
        <w:t xml:space="preserve"> se refiere al tercer dígito, el cual logrará la armonización a todos los niveles de gobierno.</w:t>
      </w: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b/>
          <w:i/>
          <w:sz w:val="24"/>
          <w:lang w:val="es-ES"/>
        </w:rPr>
        <w:t>La Partida Específica</w:t>
      </w:r>
      <w:r w:rsidRPr="001E71C5">
        <w:rPr>
          <w:rFonts w:ascii="Palatino Linotype" w:hAnsi="Palatino Linotype" w:cs="Arial"/>
          <w:sz w:val="24"/>
          <w:lang w:val="es-ES"/>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w:t>
      </w:r>
      <w:r w:rsidRPr="001E71C5">
        <w:rPr>
          <w:rFonts w:ascii="Palatino Linotype" w:hAnsi="Palatino Linotype" w:cs="Arial"/>
          <w:sz w:val="24"/>
          <w:lang w:val="es-ES"/>
        </w:rPr>
        <w:lastRenderedPageBreak/>
        <w:t>con el fin de mantener la armonización con el Plan de Cuentas.</w:t>
      </w:r>
      <w:r w:rsidRPr="001E71C5">
        <w:rPr>
          <w:rFonts w:ascii="Palatino Linotype" w:hAnsi="Palatino Linotype" w:cs="Arial"/>
          <w:sz w:val="24"/>
          <w:lang w:val="es-ES"/>
        </w:rPr>
        <w:cr/>
      </w: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sz w:val="24"/>
          <w:lang w:val="es-ES"/>
        </w:rPr>
        <w:t>En este mismo orden de ideas, la Relación de Capítulos, Conceptos y Partidas Genéricas, en lo que interesa, son las siguientes:</w:t>
      </w:r>
    </w:p>
    <w:p w:rsidR="007E7086" w:rsidRPr="00AD5ACD" w:rsidRDefault="007E7086" w:rsidP="007E7086">
      <w:pPr>
        <w:spacing w:line="360" w:lineRule="auto"/>
        <w:jc w:val="both"/>
        <w:rPr>
          <w:rFonts w:ascii="Palatino Linotype" w:hAnsi="Palatino Linotype" w:cs="Arial"/>
          <w:lang w:val="es-ES"/>
        </w:rPr>
      </w:pPr>
      <w:r w:rsidRPr="00AD5ACD">
        <w:rPr>
          <w:rFonts w:ascii="Arial" w:eastAsiaTheme="minorEastAsia" w:hAnsi="Arial" w:cs="Arial"/>
          <w:noProof/>
          <w:sz w:val="18"/>
          <w:szCs w:val="18"/>
          <w:lang w:eastAsia="es-MX"/>
        </w:rPr>
        <mc:AlternateContent>
          <mc:Choice Requires="wps">
            <w:drawing>
              <wp:anchor distT="0" distB="0" distL="114300" distR="114300" simplePos="0" relativeHeight="251660288" behindDoc="0" locked="0" layoutInCell="1" allowOverlap="1" wp14:anchorId="6EB7D477" wp14:editId="1D5ED4DD">
                <wp:simplePos x="0" y="0"/>
                <wp:positionH relativeFrom="margin">
                  <wp:align>left</wp:align>
                </wp:positionH>
                <wp:positionV relativeFrom="paragraph">
                  <wp:posOffset>13335</wp:posOffset>
                </wp:positionV>
                <wp:extent cx="5638800" cy="1333500"/>
                <wp:effectExtent l="57150" t="38100" r="76200" b="95250"/>
                <wp:wrapNone/>
                <wp:docPr id="10" name="Rectángulo 10"/>
                <wp:cNvGraphicFramePr/>
                <a:graphic xmlns:a="http://schemas.openxmlformats.org/drawingml/2006/main">
                  <a:graphicData uri="http://schemas.microsoft.com/office/word/2010/wordprocessingShape">
                    <wps:wsp>
                      <wps:cNvSpPr/>
                      <wps:spPr>
                        <a:xfrm>
                          <a:off x="0" y="0"/>
                          <a:ext cx="5638800" cy="1333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F525" id="Rectángulo 10" o:spid="_x0000_s1026" style="position:absolute;margin-left:0;margin-top:1.05pt;width:444pt;height:1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" filled="f" strokecolor="red" strokeweight="2.25pt">
                <v:shadow on="t" color="black" opacity="22937f" origin=",.5" offset="0,.63889mm"/>
                <w10:wrap anchorx="margin"/>
              </v:rect>
            </w:pict>
          </mc:Fallback>
        </mc:AlternateContent>
      </w:r>
      <w:r w:rsidRPr="00AD5ACD">
        <w:rPr>
          <w:noProof/>
          <w:lang w:eastAsia="es-MX"/>
        </w:rPr>
        <w:drawing>
          <wp:inline distT="0" distB="0" distL="0" distR="0" wp14:anchorId="5A18F109" wp14:editId="09E3BC71">
            <wp:extent cx="5819775" cy="1333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41" t="47359" r="61846" b="38639"/>
                    <a:stretch/>
                  </pic:blipFill>
                  <pic:spPr bwMode="auto">
                    <a:xfrm>
                      <a:off x="0" y="0"/>
                      <a:ext cx="5819775" cy="1333500"/>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AD5ACD" w:rsidRDefault="007E7086" w:rsidP="007E7086">
      <w:pPr>
        <w:spacing w:line="360" w:lineRule="auto"/>
        <w:jc w:val="both"/>
        <w:rPr>
          <w:rFonts w:ascii="Palatino Linotype" w:hAnsi="Palatino Linotype" w:cs="Arial"/>
          <w:lang w:val="es-ES"/>
        </w:rPr>
      </w:pPr>
      <w:r w:rsidRPr="00AD5ACD">
        <w:rPr>
          <w:rFonts w:ascii="Arial" w:eastAsiaTheme="minorEastAsia" w:hAnsi="Arial" w:cs="Arial"/>
          <w:noProof/>
          <w:sz w:val="18"/>
          <w:szCs w:val="18"/>
          <w:lang w:eastAsia="es-MX"/>
        </w:rPr>
        <mc:AlternateContent>
          <mc:Choice Requires="wps">
            <w:drawing>
              <wp:anchor distT="0" distB="0" distL="114300" distR="114300" simplePos="0" relativeHeight="251661312" behindDoc="0" locked="0" layoutInCell="1" allowOverlap="1" wp14:anchorId="00C0EA2F" wp14:editId="03E4CA38">
                <wp:simplePos x="0" y="0"/>
                <wp:positionH relativeFrom="margin">
                  <wp:posOffset>432297</wp:posOffset>
                </wp:positionH>
                <wp:positionV relativeFrom="paragraph">
                  <wp:posOffset>1809363</wp:posOffset>
                </wp:positionV>
                <wp:extent cx="4543425" cy="428625"/>
                <wp:effectExtent l="57150" t="19050" r="85725" b="104775"/>
                <wp:wrapNone/>
                <wp:docPr id="17" name="Rectángulo 17"/>
                <wp:cNvGraphicFramePr/>
                <a:graphic xmlns:a="http://schemas.openxmlformats.org/drawingml/2006/main">
                  <a:graphicData uri="http://schemas.microsoft.com/office/word/2010/wordprocessingShape">
                    <wps:wsp>
                      <wps:cNvSpPr/>
                      <wps:spPr>
                        <a:xfrm>
                          <a:off x="0" y="0"/>
                          <a:ext cx="4543425" cy="4286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430ED" id="Rectángulo 17" o:spid="_x0000_s1026" style="position:absolute;margin-left:34.05pt;margin-top:142.45pt;width:357.7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" filled="f" strokecolor="red" strokeweight="1.5pt">
                <v:shadow on="t" color="black" opacity="22937f" origin=",.5" offset="0,.63889mm"/>
                <w10:wrap anchorx="margin"/>
              </v:rect>
            </w:pict>
          </mc:Fallback>
        </mc:AlternateContent>
      </w:r>
      <w:r w:rsidRPr="00AD5ACD">
        <w:rPr>
          <w:noProof/>
          <w:lang w:eastAsia="es-MX"/>
        </w:rPr>
        <w:drawing>
          <wp:inline distT="0" distB="0" distL="0" distR="0" wp14:anchorId="7B2E8236" wp14:editId="42463BF9">
            <wp:extent cx="5009322" cy="2170444"/>
            <wp:effectExtent l="0" t="0" r="127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196" t="25559" r="58215" b="49964"/>
                    <a:stretch/>
                  </pic:blipFill>
                  <pic:spPr bwMode="auto">
                    <a:xfrm>
                      <a:off x="0" y="0"/>
                      <a:ext cx="5026686" cy="2177967"/>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AD5ACD" w:rsidRDefault="007E7086" w:rsidP="007E7086">
      <w:pPr>
        <w:spacing w:line="360" w:lineRule="auto"/>
        <w:jc w:val="both"/>
        <w:rPr>
          <w:rFonts w:ascii="Palatino Linotype" w:hAnsi="Palatino Linotype" w:cs="Arial"/>
          <w:lang w:val="es-ES"/>
        </w:rPr>
      </w:pPr>
      <w:r w:rsidRPr="00AD5ACD">
        <w:rPr>
          <w:noProof/>
          <w:lang w:eastAsia="es-MX"/>
        </w:rPr>
        <w:lastRenderedPageBreak/>
        <mc:AlternateContent>
          <mc:Choice Requires="wps">
            <w:drawing>
              <wp:anchor distT="0" distB="0" distL="114300" distR="114300" simplePos="0" relativeHeight="251665408" behindDoc="0" locked="0" layoutInCell="1" allowOverlap="1" wp14:anchorId="1B779EB2" wp14:editId="570FC0F8">
                <wp:simplePos x="0" y="0"/>
                <wp:positionH relativeFrom="column">
                  <wp:posOffset>586739</wp:posOffset>
                </wp:positionH>
                <wp:positionV relativeFrom="paragraph">
                  <wp:posOffset>5105400</wp:posOffset>
                </wp:positionV>
                <wp:extent cx="5153025" cy="57150"/>
                <wp:effectExtent l="38100" t="38100" r="66675" b="95250"/>
                <wp:wrapNone/>
                <wp:docPr id="22" name="Conector recto 22"/>
                <wp:cNvGraphicFramePr/>
                <a:graphic xmlns:a="http://schemas.openxmlformats.org/drawingml/2006/main">
                  <a:graphicData uri="http://schemas.microsoft.com/office/word/2010/wordprocessingShape">
                    <wps:wsp>
                      <wps:cNvCnPr/>
                      <wps:spPr>
                        <a:xfrm>
                          <a:off x="0" y="0"/>
                          <a:ext cx="5153025" cy="57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3A012C" id="Conector recto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6.2pt,402pt" to="451.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" strokecolor="#5b9bd5 [3204]" strokeweight="1pt">
                <v:stroke joinstyle="miter"/>
              </v:line>
            </w:pict>
          </mc:Fallback>
        </mc:AlternateContent>
      </w:r>
      <w:r w:rsidRPr="00AD5ACD">
        <w:rPr>
          <w:noProof/>
          <w:lang w:eastAsia="es-MX"/>
        </w:rPr>
        <mc:AlternateContent>
          <mc:Choice Requires="wps">
            <w:drawing>
              <wp:anchor distT="0" distB="0" distL="114300" distR="114300" simplePos="0" relativeHeight="251664384" behindDoc="0" locked="0" layoutInCell="1" allowOverlap="1" wp14:anchorId="126ACDAD" wp14:editId="266128B0">
                <wp:simplePos x="0" y="0"/>
                <wp:positionH relativeFrom="column">
                  <wp:posOffset>1205865</wp:posOffset>
                </wp:positionH>
                <wp:positionV relativeFrom="paragraph">
                  <wp:posOffset>3095625</wp:posOffset>
                </wp:positionV>
                <wp:extent cx="4610100" cy="28575"/>
                <wp:effectExtent l="38100" t="38100" r="76200" b="85725"/>
                <wp:wrapNone/>
                <wp:docPr id="21" name="Conector recto 21"/>
                <wp:cNvGraphicFramePr/>
                <a:graphic xmlns:a="http://schemas.openxmlformats.org/drawingml/2006/main">
                  <a:graphicData uri="http://schemas.microsoft.com/office/word/2010/wordprocessingShape">
                    <wps:wsp>
                      <wps:cNvCnPr/>
                      <wps:spPr>
                        <a:xfrm>
                          <a:off x="0" y="0"/>
                          <a:ext cx="4610100" cy="28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39DCAA" id="Conector recto 2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4.95pt,243.75pt" to="457.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" strokecolor="#5b9bd5 [3204]" strokeweight="1pt">
                <v:stroke joinstyle="miter"/>
              </v:line>
            </w:pict>
          </mc:Fallback>
        </mc:AlternateContent>
      </w:r>
      <w:r w:rsidRPr="00AD5ACD">
        <w:rPr>
          <w:noProof/>
          <w:lang w:eastAsia="es-MX"/>
        </w:rPr>
        <mc:AlternateContent>
          <mc:Choice Requires="wps">
            <w:drawing>
              <wp:anchor distT="0" distB="0" distL="114300" distR="114300" simplePos="0" relativeHeight="251663360" behindDoc="0" locked="0" layoutInCell="1" allowOverlap="1" wp14:anchorId="78629C4F" wp14:editId="7A1381A0">
                <wp:simplePos x="0" y="0"/>
                <wp:positionH relativeFrom="margin">
                  <wp:align>right</wp:align>
                </wp:positionH>
                <wp:positionV relativeFrom="paragraph">
                  <wp:posOffset>857250</wp:posOffset>
                </wp:positionV>
                <wp:extent cx="4419600" cy="9525"/>
                <wp:effectExtent l="38100" t="38100" r="76200" b="85725"/>
                <wp:wrapNone/>
                <wp:docPr id="20" name="Conector recto 20"/>
                <wp:cNvGraphicFramePr/>
                <a:graphic xmlns:a="http://schemas.openxmlformats.org/drawingml/2006/main">
                  <a:graphicData uri="http://schemas.microsoft.com/office/word/2010/wordprocessingShape">
                    <wps:wsp>
                      <wps:cNvCnPr/>
                      <wps:spPr>
                        <a:xfrm flipV="1">
                          <a:off x="0" y="0"/>
                          <a:ext cx="44196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8E89D7" id="Conector recto 20" o:spid="_x0000_s1026" style="position:absolute;flip:y;z-index:251663360;visibility:visible;mso-wrap-style:square;mso-wrap-distance-left:9pt;mso-wrap-distance-top:0;mso-wrap-distance-right:9pt;mso-wrap-distance-bottom:0;mso-position-horizontal:right;mso-position-horizontal-relative:margin;mso-position-vertical:absolute;mso-position-vertical-relative:text" from="296.8pt,67.5pt" to="644.8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" strokecolor="#5b9bd5 [3204]" strokeweight="1pt">
                <v:stroke joinstyle="miter"/>
                <w10:wrap anchorx="margin"/>
              </v:line>
            </w:pict>
          </mc:Fallback>
        </mc:AlternateContent>
      </w:r>
      <w:r w:rsidRPr="00AD5ACD">
        <w:rPr>
          <w:noProof/>
          <w:lang w:eastAsia="es-MX"/>
        </w:rPr>
        <mc:AlternateContent>
          <mc:Choice Requires="wps">
            <w:drawing>
              <wp:anchor distT="0" distB="0" distL="114300" distR="114300" simplePos="0" relativeHeight="251662336" behindDoc="0" locked="0" layoutInCell="1" allowOverlap="1" wp14:anchorId="5960CBF0" wp14:editId="717C96EB">
                <wp:simplePos x="0" y="0"/>
                <wp:positionH relativeFrom="column">
                  <wp:posOffset>367664</wp:posOffset>
                </wp:positionH>
                <wp:positionV relativeFrom="paragraph">
                  <wp:posOffset>6410325</wp:posOffset>
                </wp:positionV>
                <wp:extent cx="2771775" cy="19050"/>
                <wp:effectExtent l="38100" t="38100" r="66675" b="95250"/>
                <wp:wrapNone/>
                <wp:docPr id="19" name="Conector recto 19"/>
                <wp:cNvGraphicFramePr/>
                <a:graphic xmlns:a="http://schemas.openxmlformats.org/drawingml/2006/main">
                  <a:graphicData uri="http://schemas.microsoft.com/office/word/2010/wordprocessingShape">
                    <wps:wsp>
                      <wps:cNvCnPr/>
                      <wps:spPr>
                        <a:xfrm flipV="1">
                          <a:off x="0" y="0"/>
                          <a:ext cx="2771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770B8F" id="Conector recto 1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8.95pt,504.75pt" to="247.2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" strokecolor="#5b9bd5 [3204]" strokeweight="1pt">
                <v:stroke joinstyle="miter"/>
              </v:line>
            </w:pict>
          </mc:Fallback>
        </mc:AlternateContent>
      </w:r>
      <w:r w:rsidRPr="00AD5ACD">
        <w:rPr>
          <w:noProof/>
          <w:lang w:eastAsia="es-MX"/>
        </w:rPr>
        <w:drawing>
          <wp:inline distT="0" distB="0" distL="0" distR="0" wp14:anchorId="53B6A251" wp14:editId="207DDB77">
            <wp:extent cx="5962650" cy="7115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854" t="14032" r="58393" b="25746"/>
                    <a:stretch/>
                  </pic:blipFill>
                  <pic:spPr bwMode="auto">
                    <a:xfrm>
                      <a:off x="0" y="0"/>
                      <a:ext cx="5962650" cy="7115175"/>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AD5ACD" w:rsidRDefault="007E7086" w:rsidP="007E7086">
      <w:pPr>
        <w:spacing w:after="101" w:line="240" w:lineRule="exact"/>
        <w:jc w:val="both"/>
        <w:rPr>
          <w:rFonts w:ascii="Arial" w:eastAsiaTheme="minorEastAsia" w:hAnsi="Arial" w:cs="Arial"/>
          <w:b/>
          <w:sz w:val="18"/>
          <w:szCs w:val="28"/>
        </w:rPr>
      </w:pP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sz w:val="24"/>
          <w:lang w:val="es-ES"/>
        </w:rPr>
        <w:lastRenderedPageBreak/>
        <w:t xml:space="preserve">En esta tesitura, es claro que </w:t>
      </w:r>
      <w:r w:rsidRPr="001E71C5">
        <w:rPr>
          <w:rFonts w:ascii="Palatino Linotype" w:hAnsi="Palatino Linotype" w:cs="Arial"/>
          <w:b/>
          <w:sz w:val="24"/>
          <w:lang w:val="es-ES"/>
        </w:rPr>
        <w:t>EL SUJETO OBLIGADO</w:t>
      </w:r>
      <w:r w:rsidRPr="001E71C5">
        <w:rPr>
          <w:rFonts w:ascii="Palatino Linotype" w:hAnsi="Palatino Linotype" w:cs="Arial"/>
          <w:sz w:val="24"/>
          <w:lang w:val="es-ES"/>
        </w:rPr>
        <w:t xml:space="preserve">, cuenta con varias partidas presupuestales específicas destinadas en materia de seguridad pública; de igual manera el DECRETO NÚMERO 17.- POR EL QUE SE APRUEBA EL PRESUPUESTO DE EGRESOS DEL GOBIERNO DEL ESTADO DE MÉXICO, PARA EL EJERCICIO FISCAL 2019, publicado en el Periódico Oficial del Estado de México,” Gaceta de Gobierno” en fecha 31 de diciembre de 2018, establece que el </w:t>
      </w:r>
      <w:r w:rsidRPr="001E71C5">
        <w:rPr>
          <w:rFonts w:ascii="Palatino Linotype" w:hAnsi="Palatino Linotype"/>
          <w:sz w:val="24"/>
        </w:rPr>
        <w:t>Presupuesto de Egresos del ejercicio fiscal 2019 está orientado a satisfacer las necesidades sociales de interés colectivo, atendiendo al Plan de Desarrollo del Estado de México vigente y se distribuye en distintos pilares, ejes transversales y fondos, contemplando el de la SEGURIDAD, tal como se advierte a continuación.</w:t>
      </w:r>
    </w:p>
    <w:p w:rsidR="00C433B2" w:rsidRPr="007E7086" w:rsidRDefault="007E7086" w:rsidP="007E7086">
      <w:pPr>
        <w:spacing w:line="360" w:lineRule="auto"/>
        <w:jc w:val="both"/>
        <w:rPr>
          <w:rFonts w:ascii="Palatino Linotype" w:hAnsi="Palatino Linotype"/>
        </w:rPr>
      </w:pPr>
      <w:r w:rsidRPr="00AD5ACD">
        <w:rPr>
          <w:noProof/>
          <w:lang w:eastAsia="es-MX"/>
        </w:rPr>
        <mc:AlternateContent>
          <mc:Choice Requires="wps">
            <w:drawing>
              <wp:anchor distT="0" distB="0" distL="114300" distR="114300" simplePos="0" relativeHeight="251666432" behindDoc="0" locked="0" layoutInCell="1" allowOverlap="1" wp14:anchorId="17591623" wp14:editId="4FB2EF24">
                <wp:simplePos x="0" y="0"/>
                <wp:positionH relativeFrom="column">
                  <wp:posOffset>729614</wp:posOffset>
                </wp:positionH>
                <wp:positionV relativeFrom="paragraph">
                  <wp:posOffset>2383790</wp:posOffset>
                </wp:positionV>
                <wp:extent cx="2009775" cy="19050"/>
                <wp:effectExtent l="38100" t="38100" r="66675" b="95250"/>
                <wp:wrapNone/>
                <wp:docPr id="24" name="Conector recto 24"/>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7C5D2B" id="Conector recto 2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7.45pt,187.7pt" to="215.7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" strokecolor="#5b9bd5 [3204]" strokeweight="1pt">
                <v:stroke joinstyle="miter"/>
              </v:line>
            </w:pict>
          </mc:Fallback>
        </mc:AlternateContent>
      </w:r>
      <w:r w:rsidRPr="00AD5ACD">
        <w:rPr>
          <w:noProof/>
          <w:lang w:eastAsia="es-MX"/>
        </w:rPr>
        <w:drawing>
          <wp:inline distT="0" distB="0" distL="0" distR="0" wp14:anchorId="1E8D1B49" wp14:editId="265C85E1">
            <wp:extent cx="5867400" cy="26193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260" t="18410" r="32409" b="68371"/>
                    <a:stretch/>
                  </pic:blipFill>
                  <pic:spPr bwMode="auto">
                    <a:xfrm>
                      <a:off x="0" y="0"/>
                      <a:ext cx="5867400" cy="2619375"/>
                    </a:xfrm>
                    <a:prstGeom prst="rect">
                      <a:avLst/>
                    </a:prstGeom>
                    <a:ln>
                      <a:noFill/>
                    </a:ln>
                    <a:extLst>
                      <a:ext uri="{53640926-AAD7-44D8-BBD7-CCE9431645EC}">
                        <a14:shadowObscured xmlns:a14="http://schemas.microsoft.com/office/drawing/2010/main"/>
                      </a:ext>
                    </a:extLst>
                  </pic:spPr>
                </pic:pic>
              </a:graphicData>
            </a:graphic>
          </wp:inline>
        </w:drawing>
      </w:r>
    </w:p>
    <w:p w:rsidR="004F1BFF" w:rsidRDefault="004F1BFF" w:rsidP="004F1BFF">
      <w:pPr>
        <w:spacing w:line="360" w:lineRule="auto"/>
        <w:jc w:val="both"/>
        <w:rPr>
          <w:rFonts w:ascii="Palatino Linotype" w:hAnsi="Palatino Linotype" w:cs="Arial"/>
          <w:sz w:val="24"/>
          <w:lang w:eastAsia="es-MX"/>
        </w:rPr>
      </w:pPr>
      <w:r w:rsidRPr="007930D8">
        <w:rPr>
          <w:rFonts w:ascii="Palatino Linotype" w:hAnsi="Palatino Linotype" w:cs="Arial"/>
          <w:sz w:val="24"/>
          <w:lang w:eastAsia="es-MX"/>
        </w:rPr>
        <w:t>Entonces, al tratarse de procedimientos adquisitivos, es importante dejar claro que la Ley de Contratación Pública del Estado de México y Municipios, tiene por objeto regular los actos relativos a la planeación, programación, presupuestación, ejecución y</w:t>
      </w:r>
      <w:r>
        <w:rPr>
          <w:rFonts w:ascii="Palatino Linotype" w:hAnsi="Palatino Linotype" w:cs="Arial"/>
          <w:sz w:val="24"/>
          <w:lang w:eastAsia="es-MX"/>
        </w:rPr>
        <w:t xml:space="preserve"> </w:t>
      </w:r>
      <w:r w:rsidRPr="007930D8">
        <w:rPr>
          <w:rFonts w:ascii="Palatino Linotype" w:hAnsi="Palatino Linotype" w:cs="Arial"/>
          <w:sz w:val="24"/>
          <w:lang w:eastAsia="es-MX"/>
        </w:rPr>
        <w:t xml:space="preserve">control de la adquisición, enajenación y arrendamiento de bienes, y la contratación </w:t>
      </w:r>
      <w:r w:rsidRPr="007930D8">
        <w:rPr>
          <w:rFonts w:ascii="Palatino Linotype" w:hAnsi="Palatino Linotype" w:cs="Arial"/>
          <w:sz w:val="24"/>
          <w:lang w:eastAsia="es-MX"/>
        </w:rPr>
        <w:lastRenderedPageBreak/>
        <w:t xml:space="preserve">de servicios de cualquier naturaleza, que realicen los Ayuntamientos de los Municipios del Estado. </w:t>
      </w:r>
    </w:p>
    <w:p w:rsidR="00D94981" w:rsidRDefault="00D94981" w:rsidP="004F1BFF">
      <w:pPr>
        <w:spacing w:line="360" w:lineRule="auto"/>
        <w:jc w:val="both"/>
        <w:rPr>
          <w:rFonts w:ascii="Palatino Linotype" w:hAnsi="Palatino Linotype" w:cs="Arial"/>
          <w:sz w:val="24"/>
          <w:lang w:eastAsia="es-MX"/>
        </w:rPr>
      </w:pPr>
    </w:p>
    <w:p w:rsidR="004F1BFF" w:rsidRDefault="004F1BFF" w:rsidP="004F1BFF">
      <w:pPr>
        <w:spacing w:line="360" w:lineRule="auto"/>
        <w:jc w:val="both"/>
        <w:rPr>
          <w:rFonts w:ascii="Palatino Linotype" w:hAnsi="Palatino Linotype" w:cs="Arial"/>
          <w:sz w:val="24"/>
          <w:lang w:eastAsia="es-MX"/>
        </w:rPr>
      </w:pPr>
      <w:r w:rsidRPr="007930D8">
        <w:rPr>
          <w:rFonts w:ascii="Palatino Linotype" w:hAnsi="Palatino Linotype" w:cs="Arial"/>
          <w:sz w:val="24"/>
          <w:lang w:eastAsia="es-MX"/>
        </w:rPr>
        <w:t>Así las cosas, tenemos que para la substanciación de los procedimientos de adquisiciones y servicios se integran comités los cuales son Órganos colegiados que tienen facultades de opinión, esto con la finalidad de auxiliar en este caso a los Ayuntamientos, para tomar una decisión, apegada al interés</w:t>
      </w:r>
      <w:r>
        <w:rPr>
          <w:rFonts w:ascii="Palatino Linotype" w:hAnsi="Palatino Linotype" w:cs="Arial"/>
          <w:sz w:val="24"/>
          <w:lang w:eastAsia="es-MX"/>
        </w:rPr>
        <w:t xml:space="preserve"> y beneficio público y social. </w:t>
      </w:r>
      <w:r w:rsidRPr="007930D8">
        <w:rPr>
          <w:rFonts w:ascii="Palatino Linotype" w:hAnsi="Palatino Linotype" w:cs="Arial"/>
          <w:sz w:val="24"/>
          <w:lang w:eastAsia="es-MX"/>
        </w:rPr>
        <w:t>Entre las funci</w:t>
      </w:r>
      <w:r>
        <w:rPr>
          <w:rFonts w:ascii="Palatino Linotype" w:hAnsi="Palatino Linotype" w:cs="Arial"/>
          <w:sz w:val="24"/>
          <w:lang w:eastAsia="es-MX"/>
        </w:rPr>
        <w:t>ones de los C</w:t>
      </w:r>
      <w:r w:rsidRPr="007930D8">
        <w:rPr>
          <w:rFonts w:ascii="Palatino Linotype" w:hAnsi="Palatino Linotype" w:cs="Arial"/>
          <w:sz w:val="24"/>
          <w:lang w:eastAsia="es-MX"/>
        </w:rPr>
        <w:t xml:space="preserve">omités de </w:t>
      </w:r>
      <w:r>
        <w:rPr>
          <w:rFonts w:ascii="Palatino Linotype" w:hAnsi="Palatino Linotype" w:cs="Arial"/>
          <w:sz w:val="24"/>
          <w:lang w:eastAsia="es-MX"/>
        </w:rPr>
        <w:t>A</w:t>
      </w:r>
      <w:r w:rsidRPr="007930D8">
        <w:rPr>
          <w:rFonts w:ascii="Palatino Linotype" w:hAnsi="Palatino Linotype" w:cs="Arial"/>
          <w:sz w:val="24"/>
          <w:lang w:eastAsia="es-MX"/>
        </w:rPr>
        <w:t xml:space="preserve">dquisiciones y de </w:t>
      </w:r>
      <w:r>
        <w:rPr>
          <w:rFonts w:ascii="Palatino Linotype" w:hAnsi="Palatino Linotype" w:cs="Arial"/>
          <w:sz w:val="24"/>
          <w:lang w:eastAsia="es-MX"/>
        </w:rPr>
        <w:t>S</w:t>
      </w:r>
      <w:r w:rsidRPr="007930D8">
        <w:rPr>
          <w:rFonts w:ascii="Palatino Linotype" w:hAnsi="Palatino Linotype" w:cs="Arial"/>
          <w:sz w:val="24"/>
          <w:lang w:eastAsia="es-MX"/>
        </w:rPr>
        <w:t xml:space="preserve">ervicios se encuentran las siguientes: </w:t>
      </w:r>
    </w:p>
    <w:p w:rsidR="00D94981" w:rsidRPr="007930D8" w:rsidRDefault="00D94981" w:rsidP="004F1BFF">
      <w:pPr>
        <w:spacing w:line="360" w:lineRule="auto"/>
        <w:jc w:val="both"/>
        <w:rPr>
          <w:rFonts w:ascii="Palatino Linotype" w:hAnsi="Palatino Linotype" w:cs="Arial"/>
          <w:sz w:val="24"/>
          <w:lang w:eastAsia="es-MX"/>
        </w:rPr>
      </w:pPr>
    </w:p>
    <w:p w:rsidR="004F1BFF" w:rsidRPr="007930D8" w:rsidRDefault="004F1BFF" w:rsidP="004F1BFF">
      <w:pPr>
        <w:spacing w:line="360" w:lineRule="auto"/>
        <w:ind w:right="757"/>
        <w:jc w:val="both"/>
        <w:rPr>
          <w:rFonts w:ascii="Palatino Linotype" w:hAnsi="Palatino Linotype" w:cs="Arial"/>
          <w:sz w:val="24"/>
          <w:lang w:eastAsia="es-MX"/>
        </w:rPr>
      </w:pPr>
      <w:r w:rsidRPr="007930D8">
        <w:rPr>
          <w:rFonts w:ascii="Palatino Linotype" w:hAnsi="Palatino Linotype" w:cs="Arial"/>
          <w:sz w:val="24"/>
          <w:lang w:eastAsia="es-MX"/>
        </w:rPr>
        <w:t>-Dictaminar sobre la procedencia de los casos de excepción al procedimi</w:t>
      </w:r>
      <w:r>
        <w:rPr>
          <w:rFonts w:ascii="Palatino Linotype" w:hAnsi="Palatino Linotype" w:cs="Arial"/>
          <w:sz w:val="24"/>
          <w:lang w:eastAsia="es-MX"/>
        </w:rPr>
        <w:t xml:space="preserve">ento </w:t>
      </w:r>
      <w:r w:rsidRPr="007930D8">
        <w:rPr>
          <w:rFonts w:ascii="Palatino Linotype" w:hAnsi="Palatino Linotype" w:cs="Arial"/>
          <w:sz w:val="24"/>
          <w:lang w:eastAsia="es-MX"/>
        </w:rPr>
        <w:t xml:space="preserve">de licitación pública. </w:t>
      </w:r>
    </w:p>
    <w:p w:rsidR="004F1BFF" w:rsidRPr="007930D8" w:rsidRDefault="004F1BFF" w:rsidP="004F1BFF">
      <w:pPr>
        <w:spacing w:line="360" w:lineRule="auto"/>
        <w:ind w:right="757"/>
        <w:jc w:val="both"/>
        <w:rPr>
          <w:rFonts w:ascii="Palatino Linotype" w:hAnsi="Palatino Linotype" w:cs="Arial"/>
          <w:sz w:val="24"/>
          <w:lang w:eastAsia="es-MX"/>
        </w:rPr>
      </w:pPr>
      <w:r w:rsidRPr="007930D8">
        <w:rPr>
          <w:rFonts w:ascii="Palatino Linotype" w:hAnsi="Palatino Linotype" w:cs="Arial"/>
          <w:sz w:val="24"/>
          <w:lang w:eastAsia="es-MX"/>
        </w:rPr>
        <w:t xml:space="preserve">-Participar en los procedimientos de licitación, invitación restringida y adjudicación directa, hasta dejarlos en estado de dictar el fallo correspondiente, incluidos los que tengan que desahogarse bajo la modalidad de subasta inversa. </w:t>
      </w:r>
    </w:p>
    <w:p w:rsidR="004F1BFF" w:rsidRDefault="004F1BFF" w:rsidP="004F1BFF">
      <w:pPr>
        <w:spacing w:line="360" w:lineRule="auto"/>
        <w:ind w:right="757"/>
        <w:jc w:val="both"/>
        <w:rPr>
          <w:rFonts w:ascii="Palatino Linotype" w:hAnsi="Palatino Linotype" w:cs="Arial"/>
          <w:sz w:val="24"/>
          <w:lang w:eastAsia="es-MX"/>
        </w:rPr>
      </w:pPr>
      <w:r w:rsidRPr="007930D8">
        <w:rPr>
          <w:rFonts w:ascii="Palatino Linotype" w:hAnsi="Palatino Linotype" w:cs="Arial"/>
          <w:sz w:val="24"/>
          <w:lang w:eastAsia="es-MX"/>
        </w:rPr>
        <w:t xml:space="preserve">-Emitir los dictámenes de adjudicación. </w:t>
      </w:r>
    </w:p>
    <w:p w:rsidR="004F1BFF" w:rsidRPr="007930D8" w:rsidRDefault="004F1BFF" w:rsidP="004F1BFF">
      <w:pPr>
        <w:pStyle w:val="Sinespaciado"/>
        <w:rPr>
          <w:lang w:eastAsia="es-MX"/>
        </w:rPr>
      </w:pPr>
      <w:r w:rsidRPr="007930D8">
        <w:rPr>
          <w:lang w:eastAsia="es-MX"/>
        </w:rPr>
        <w:t xml:space="preserve">  </w:t>
      </w:r>
    </w:p>
    <w:p w:rsidR="004F1BFF" w:rsidRPr="007930D8" w:rsidRDefault="004F1BFF" w:rsidP="004F1BFF">
      <w:pPr>
        <w:spacing w:line="360" w:lineRule="auto"/>
        <w:jc w:val="both"/>
        <w:rPr>
          <w:rFonts w:ascii="Palatino Linotype" w:hAnsi="Palatino Linotype" w:cs="Arial"/>
          <w:sz w:val="24"/>
          <w:lang w:eastAsia="es-MX"/>
        </w:rPr>
      </w:pPr>
      <w:r w:rsidRPr="007930D8">
        <w:rPr>
          <w:rFonts w:ascii="Palatino Linotype" w:hAnsi="Palatino Linotype" w:cs="Arial"/>
          <w:sz w:val="24"/>
          <w:lang w:eastAsia="es-MX"/>
        </w:rPr>
        <w:t>Por otro lado, tenemos que, por cada acto administrativo de esta naturaleza, se tendrá que dejar constancia de los actos, a efecto de que se le dé formalidad y sustento, todo ello conforme a derecho, como nos dice el artículo 39 de la Ley de Contratación que se señala a continuación:</w:t>
      </w:r>
    </w:p>
    <w:p w:rsidR="004F1BFF" w:rsidRPr="005B3050" w:rsidRDefault="004F1BFF" w:rsidP="004F1BFF">
      <w:pPr>
        <w:ind w:left="709" w:right="814"/>
        <w:jc w:val="both"/>
        <w:rPr>
          <w:rFonts w:ascii="Palatino Linotype" w:hAnsi="Palatino Linotype" w:cs="Arial"/>
          <w:i/>
          <w:lang w:eastAsia="es-MX"/>
        </w:rPr>
      </w:pPr>
      <w:r w:rsidRPr="005B3050">
        <w:rPr>
          <w:rFonts w:ascii="Palatino Linotype" w:hAnsi="Palatino Linotype" w:cs="Arial"/>
          <w:i/>
          <w:lang w:eastAsia="es-MX"/>
        </w:rPr>
        <w:lastRenderedPageBreak/>
        <w:t>“</w:t>
      </w:r>
      <w:r w:rsidRPr="005B3050">
        <w:rPr>
          <w:rFonts w:ascii="Palatino Linotype" w:hAnsi="Palatino Linotype" w:cs="Arial"/>
          <w:b/>
          <w:i/>
          <w:lang w:eastAsia="es-MX"/>
        </w:rPr>
        <w:t>Artículo 39</w:t>
      </w:r>
      <w:r w:rsidRPr="005B3050">
        <w:rPr>
          <w:rFonts w:ascii="Palatino Linotype" w:hAnsi="Palatino Linotype" w:cs="Arial"/>
          <w:i/>
          <w:lang w:eastAsia="es-MX"/>
        </w:rPr>
        <w:t xml:space="preserve">.- Para cada uno de los actos del procedimiento adquisitivo se levantará el acta respectiva, la cual será firmada por los participantes, sin que la falta de firma de alguno de ellos invalide su contenido y efectos.” </w:t>
      </w:r>
    </w:p>
    <w:p w:rsidR="004F1BFF" w:rsidRDefault="004F1BFF" w:rsidP="004F1BFF">
      <w:pPr>
        <w:pStyle w:val="Sinespaciado"/>
        <w:rPr>
          <w:lang w:eastAsia="es-MX"/>
        </w:rPr>
      </w:pPr>
    </w:p>
    <w:p w:rsidR="00D94981" w:rsidRDefault="00D94981" w:rsidP="004F1BFF">
      <w:pPr>
        <w:spacing w:line="360" w:lineRule="auto"/>
        <w:jc w:val="both"/>
        <w:rPr>
          <w:rFonts w:ascii="Palatino Linotype" w:hAnsi="Palatino Linotype" w:cs="Arial"/>
          <w:sz w:val="24"/>
          <w:lang w:eastAsia="es-MX"/>
        </w:rPr>
      </w:pPr>
    </w:p>
    <w:p w:rsidR="004F1BFF" w:rsidRDefault="004F1BFF" w:rsidP="004F1BFF">
      <w:pPr>
        <w:spacing w:line="360" w:lineRule="auto"/>
        <w:jc w:val="both"/>
        <w:rPr>
          <w:rFonts w:ascii="Palatino Linotype" w:hAnsi="Palatino Linotype" w:cs="Arial"/>
          <w:sz w:val="24"/>
          <w:lang w:eastAsia="es-MX"/>
        </w:rPr>
      </w:pPr>
      <w:r w:rsidRPr="00225A00">
        <w:rPr>
          <w:rFonts w:ascii="Palatino Linotype" w:hAnsi="Palatino Linotype" w:cs="Arial"/>
          <w:sz w:val="24"/>
          <w:lang w:eastAsia="es-MX"/>
        </w:rPr>
        <w:t xml:space="preserve">Por ello se advierte que </w:t>
      </w:r>
      <w:r w:rsidRPr="00225A00">
        <w:rPr>
          <w:rFonts w:ascii="Palatino Linotype" w:hAnsi="Palatino Linotype" w:cs="Arial"/>
          <w:b/>
          <w:sz w:val="24"/>
          <w:lang w:eastAsia="es-MX"/>
        </w:rPr>
        <w:t>EL SUJETO OBLIGADO</w:t>
      </w:r>
      <w:r w:rsidRPr="00225A00">
        <w:rPr>
          <w:rFonts w:ascii="Palatino Linotype" w:hAnsi="Palatino Linotype" w:cs="Arial"/>
          <w:sz w:val="24"/>
          <w:lang w:eastAsia="es-MX"/>
        </w:rPr>
        <w:t>, necesariamente debe contar con las actas y expedientes respectivos de las adquisiciones, que deben obrar en sus archivos y también en</w:t>
      </w:r>
      <w:r>
        <w:rPr>
          <w:rFonts w:ascii="Palatino Linotype" w:hAnsi="Palatino Linotype" w:cs="Arial"/>
          <w:sz w:val="24"/>
          <w:lang w:eastAsia="es-MX"/>
        </w:rPr>
        <w:t xml:space="preserve"> su sistema electrónico IPOMEX.</w:t>
      </w:r>
    </w:p>
    <w:p w:rsidR="004F1BFF" w:rsidRDefault="004F1BFF" w:rsidP="004F1BFF">
      <w:pPr>
        <w:pStyle w:val="Sinespaciado"/>
        <w:rPr>
          <w:lang w:eastAsia="es-MX"/>
        </w:rPr>
      </w:pPr>
    </w:p>
    <w:p w:rsidR="004F1BFF" w:rsidRPr="00FA5B39" w:rsidRDefault="004F1BFF" w:rsidP="004F1BFF">
      <w:pPr>
        <w:spacing w:line="360" w:lineRule="auto"/>
        <w:jc w:val="both"/>
        <w:rPr>
          <w:rFonts w:ascii="Palatino Linotype" w:hAnsi="Palatino Linotype" w:cs="Arial"/>
          <w:sz w:val="24"/>
          <w:lang w:eastAsia="es-MX"/>
        </w:rPr>
      </w:pPr>
      <w:r w:rsidRPr="00FA5B39">
        <w:rPr>
          <w:rFonts w:ascii="Palatino Linotype" w:hAnsi="Palatino Linotype" w:cs="Arial"/>
          <w:sz w:val="24"/>
          <w:lang w:eastAsia="es-MX"/>
        </w:rPr>
        <w:t>De lo antes precisado</w:t>
      </w:r>
      <w:r w:rsidRPr="00C734AD">
        <w:rPr>
          <w:rFonts w:ascii="Palatino Linotype" w:hAnsi="Palatino Linotype" w:cs="Arial"/>
          <w:sz w:val="24"/>
          <w:lang w:eastAsia="es-MX"/>
        </w:rPr>
        <w:t xml:space="preserve">, claramente se puede advertir que la unidad administrativa encargada de contar con la información relativa a adquisiciones, arrendamientos o servicios es la </w:t>
      </w:r>
      <w:r w:rsidR="00B72FBA" w:rsidRPr="00C734AD">
        <w:rPr>
          <w:rFonts w:ascii="Palatino Linotype" w:hAnsi="Palatino Linotype" w:cs="Arial"/>
          <w:sz w:val="24"/>
          <w:lang w:eastAsia="es-MX"/>
        </w:rPr>
        <w:t>Dirección General</w:t>
      </w:r>
      <w:r w:rsidRPr="00C734AD">
        <w:rPr>
          <w:rFonts w:ascii="Palatino Linotype" w:hAnsi="Palatino Linotype" w:cs="Arial"/>
          <w:sz w:val="24"/>
          <w:lang w:eastAsia="es-MX"/>
        </w:rPr>
        <w:t xml:space="preserve"> de Administración, </w:t>
      </w:r>
      <w:r w:rsidRPr="00FA5B39">
        <w:rPr>
          <w:rFonts w:ascii="Palatino Linotype" w:hAnsi="Palatino Linotype" w:cs="Arial"/>
          <w:sz w:val="24"/>
          <w:lang w:eastAsia="es-MX"/>
        </w:rPr>
        <w:t>la cual tiene dentro de sus facultades y obligaciones la conocer de la planeación, organización, programación y ejecución de los procedimientos de adquisiciones y servicios en sus diferentes modalidades y etapas (adjudicación directa, invitación restringida y licitación pública) tanto de bienes, arrendamientos o prestaciones de servicios, respectivamente.</w:t>
      </w:r>
    </w:p>
    <w:p w:rsidR="004F1BFF" w:rsidRPr="00FA5B39" w:rsidRDefault="004F1BFF" w:rsidP="004F1BFF">
      <w:pPr>
        <w:pStyle w:val="Sinespaciado"/>
        <w:rPr>
          <w:sz w:val="24"/>
          <w:lang w:eastAsia="es-MX"/>
        </w:rPr>
      </w:pPr>
    </w:p>
    <w:p w:rsidR="004F1BFF" w:rsidRPr="00FA5B39" w:rsidRDefault="004F1BFF" w:rsidP="004F1BFF">
      <w:pPr>
        <w:spacing w:line="360" w:lineRule="auto"/>
        <w:jc w:val="both"/>
        <w:rPr>
          <w:rFonts w:ascii="Palatino Linotype" w:hAnsi="Palatino Linotype" w:cs="Arial"/>
          <w:sz w:val="24"/>
          <w:lang w:eastAsia="es-MX"/>
        </w:rPr>
      </w:pPr>
      <w:r w:rsidRPr="00FA5B39">
        <w:rPr>
          <w:rFonts w:ascii="Palatino Linotype" w:hAnsi="Palatino Linotype" w:cs="Arial"/>
          <w:sz w:val="24"/>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sus fracciones XXIX y XXXII, que a la letra dice:</w:t>
      </w:r>
    </w:p>
    <w:p w:rsidR="004F1BFF" w:rsidRPr="005B3050" w:rsidRDefault="004F1BFF" w:rsidP="004F1BFF">
      <w:pPr>
        <w:spacing w:line="360" w:lineRule="auto"/>
        <w:jc w:val="both"/>
        <w:rPr>
          <w:rFonts w:ascii="Palatino Linotype" w:hAnsi="Palatino Linotype" w:cs="Arial"/>
          <w:lang w:eastAsia="es-MX"/>
        </w:rPr>
      </w:pPr>
    </w:p>
    <w:p w:rsidR="004F1BFF" w:rsidRPr="005B3050" w:rsidRDefault="004F1BFF" w:rsidP="004F1BFF">
      <w:pPr>
        <w:ind w:left="709" w:right="757"/>
        <w:jc w:val="both"/>
        <w:rPr>
          <w:rFonts w:ascii="Palatino Linotype" w:hAnsi="Palatino Linotype" w:cs="Arial"/>
          <w:i/>
          <w:lang w:eastAsia="es-MX"/>
        </w:rPr>
      </w:pPr>
      <w:r w:rsidRPr="005B3050">
        <w:rPr>
          <w:rFonts w:ascii="Palatino Linotype" w:hAnsi="Palatino Linotype" w:cs="Arial"/>
          <w:i/>
          <w:lang w:eastAsia="es-MX"/>
        </w:rPr>
        <w:t>“</w:t>
      </w:r>
      <w:r w:rsidRPr="005B3050">
        <w:rPr>
          <w:rFonts w:ascii="Palatino Linotype" w:hAnsi="Palatino Linotype" w:cs="Arial"/>
          <w:b/>
          <w:i/>
          <w:lang w:eastAsia="es-MX"/>
        </w:rPr>
        <w:t>Artículo 92</w:t>
      </w:r>
      <w:r w:rsidRPr="005B3050">
        <w:rPr>
          <w:rFonts w:ascii="Palatino Linotype" w:hAnsi="Palatino Linotype" w:cs="Arial"/>
          <w:i/>
          <w:lang w:eastAsia="es-MX"/>
        </w:rPr>
        <w:t xml:space="preserve">. Los sujetos obligados deberán poner a disposición del público de manera permanente y actualizada de forma sencilla, precisa y entendible, en los respectivos </w:t>
      </w:r>
      <w:r w:rsidRPr="005B3050">
        <w:rPr>
          <w:rFonts w:ascii="Palatino Linotype" w:hAnsi="Palatino Linotype" w:cs="Arial"/>
          <w:i/>
          <w:lang w:eastAsia="es-MX"/>
        </w:rPr>
        <w:lastRenderedPageBreak/>
        <w:t>medios electrónicos, de acuerdo con sus facultades, atribuciones, funciones u objeto social, según corresponda, la información, por lo menos, de los temas, documentos y políticas que a continuación se señalan:</w:t>
      </w:r>
    </w:p>
    <w:p w:rsidR="004F1BFF" w:rsidRPr="005B3050" w:rsidRDefault="004F1BFF" w:rsidP="004F1BFF">
      <w:pPr>
        <w:ind w:left="709" w:right="757"/>
        <w:jc w:val="both"/>
        <w:rPr>
          <w:rFonts w:ascii="Palatino Linotype" w:hAnsi="Palatino Linotype" w:cs="Arial"/>
          <w:i/>
          <w:lang w:eastAsia="es-MX"/>
        </w:rPr>
      </w:pPr>
      <w:r w:rsidRPr="005B3050">
        <w:rPr>
          <w:rFonts w:ascii="Palatino Linotype" w:hAnsi="Palatino Linotype" w:cs="Arial"/>
          <w:i/>
          <w:lang w:eastAsia="es-MX"/>
        </w:rPr>
        <w:t>(…)</w:t>
      </w:r>
    </w:p>
    <w:p w:rsidR="004F1BFF" w:rsidRPr="005B3050" w:rsidRDefault="004F1BFF" w:rsidP="004F1BFF">
      <w:pPr>
        <w:ind w:left="709" w:right="757"/>
        <w:jc w:val="both"/>
        <w:rPr>
          <w:rFonts w:ascii="Palatino Linotype" w:hAnsi="Palatino Linotype" w:cs="Arial"/>
          <w:i/>
          <w:lang w:eastAsia="es-MX"/>
        </w:rPr>
      </w:pPr>
      <w:r w:rsidRPr="005B3050">
        <w:rPr>
          <w:rFonts w:ascii="Palatino Linotype" w:hAnsi="Palatino Linotype" w:cs="Arial"/>
          <w:b/>
          <w:i/>
          <w:lang w:eastAsia="es-MX"/>
        </w:rPr>
        <w:t>XXIX.</w:t>
      </w:r>
      <w:r w:rsidRPr="005B3050">
        <w:rPr>
          <w:rFonts w:ascii="Palatino Linotype" w:hAnsi="Palatino Linotype" w:cs="Arial"/>
          <w:i/>
          <w:lang w:eastAsia="es-MX"/>
        </w:rPr>
        <w:t xml:space="preserve"> La información sobre los procesos y resultados sobre procedimientos de adjudicación directa, invitación restringida y licitación de cualquier naturaleza, incluyendo la versión pública del </w:t>
      </w:r>
      <w:r w:rsidRPr="005B3050">
        <w:rPr>
          <w:rFonts w:ascii="Palatino Linotype" w:hAnsi="Palatino Linotype" w:cs="Arial"/>
          <w:b/>
          <w:i/>
          <w:lang w:eastAsia="es-MX"/>
        </w:rPr>
        <w:t>expediente respectivo y de los contratos celebrados</w:t>
      </w:r>
      <w:r w:rsidRPr="005B3050">
        <w:rPr>
          <w:rFonts w:ascii="Palatino Linotype" w:hAnsi="Palatino Linotype" w:cs="Arial"/>
          <w:i/>
          <w:lang w:eastAsia="es-MX"/>
        </w:rPr>
        <w:t xml:space="preserve">, que deberán contener, por los menos, lo siguiente: </w:t>
      </w:r>
    </w:p>
    <w:p w:rsidR="004F1BFF" w:rsidRPr="005B3050" w:rsidRDefault="004F1BFF" w:rsidP="004F1BFF">
      <w:pPr>
        <w:pStyle w:val="Prrafodelista"/>
        <w:numPr>
          <w:ilvl w:val="0"/>
          <w:numId w:val="37"/>
        </w:numPr>
        <w:ind w:right="757"/>
        <w:jc w:val="both"/>
        <w:rPr>
          <w:rFonts w:ascii="Palatino Linotype" w:hAnsi="Palatino Linotype" w:cs="Arial"/>
          <w:i/>
          <w:sz w:val="22"/>
          <w:lang w:eastAsia="es-MX"/>
        </w:rPr>
      </w:pPr>
      <w:r w:rsidRPr="005B3050">
        <w:rPr>
          <w:rFonts w:ascii="Palatino Linotype" w:hAnsi="Palatino Linotype" w:cs="Arial"/>
          <w:i/>
          <w:sz w:val="22"/>
          <w:lang w:eastAsia="es-MX"/>
        </w:rPr>
        <w:t xml:space="preserve">De licitaciones públicas o procedimientos de invitación restringida: </w:t>
      </w:r>
    </w:p>
    <w:p w:rsidR="004F1BFF" w:rsidRPr="005B3050" w:rsidRDefault="004F1BFF" w:rsidP="004F1BFF">
      <w:pPr>
        <w:pStyle w:val="Prrafodelista"/>
        <w:ind w:left="1069" w:right="757"/>
        <w:jc w:val="both"/>
        <w:rPr>
          <w:rFonts w:ascii="Palatino Linotype" w:hAnsi="Palatino Linotype" w:cs="Arial"/>
          <w:i/>
          <w:sz w:val="22"/>
          <w:lang w:eastAsia="es-MX"/>
        </w:rPr>
      </w:pP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 La convocatoria o invitación emitida, así como los fundamentos legales aplicados para llevarla a cabo;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2) Los nombres de los participantes o invitados;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3) El nombre del ganador y las razones que lo justifican;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4) El área solicitante y la responsable de su ejecución; </w:t>
      </w:r>
    </w:p>
    <w:p w:rsidR="004F1BFF" w:rsidRPr="005B3050" w:rsidRDefault="004F1BFF" w:rsidP="004F1BFF">
      <w:pPr>
        <w:ind w:left="708" w:right="757" w:firstLine="708"/>
        <w:jc w:val="both"/>
        <w:rPr>
          <w:rFonts w:ascii="Palatino Linotype" w:hAnsi="Palatino Linotype" w:cs="Arial"/>
          <w:i/>
          <w:lang w:eastAsia="es-MX"/>
        </w:rPr>
      </w:pPr>
      <w:r w:rsidRPr="005B3050">
        <w:rPr>
          <w:rFonts w:ascii="Palatino Linotype" w:hAnsi="Palatino Linotype" w:cs="Arial"/>
          <w:i/>
          <w:lang w:eastAsia="es-MX"/>
        </w:rPr>
        <w:t xml:space="preserve">5) Las convocatorias e invitaciones emitidas;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6) Los dictámenes y fallo de adjudicación;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7) El contrato y, en su caso, sus anexos;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8) Los mecanismos de vigilancia y supervisión, incluyendo en su caso, los estudios de impacto urbano y ambiental, según corresponda;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9) La partida presupuestal, de conformidad con el clasificador por objeto del gasto, en el caso de ser aplicable;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10) Origen de los recursos especificando si son federales, estatales o municipales, así como el tipo de fondo de participación o aportación respectiva;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11) Los convenios modificatorios que, en su caso, sean firmados, precisando el objeto y la fecha de celebración;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12) Los informes de avance físico y financiero sobre las obras o servicios contratados;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lastRenderedPageBreak/>
        <w:t xml:space="preserve">13) El convenio de terminación; y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14) El finiquito. </w:t>
      </w:r>
    </w:p>
    <w:p w:rsidR="004F1BFF" w:rsidRPr="005B3050" w:rsidRDefault="004F1BFF" w:rsidP="004F1BFF">
      <w:pPr>
        <w:pStyle w:val="Prrafodelista"/>
        <w:numPr>
          <w:ilvl w:val="0"/>
          <w:numId w:val="37"/>
        </w:numPr>
        <w:ind w:right="757"/>
        <w:jc w:val="both"/>
        <w:rPr>
          <w:rFonts w:ascii="Palatino Linotype" w:hAnsi="Palatino Linotype" w:cs="Arial"/>
          <w:i/>
          <w:sz w:val="22"/>
          <w:lang w:eastAsia="es-MX"/>
        </w:rPr>
      </w:pPr>
      <w:r w:rsidRPr="005B3050">
        <w:rPr>
          <w:rFonts w:ascii="Palatino Linotype" w:hAnsi="Palatino Linotype" w:cs="Arial"/>
          <w:i/>
          <w:sz w:val="22"/>
          <w:lang w:eastAsia="es-MX"/>
        </w:rPr>
        <w:t xml:space="preserve">De las adjudicaciones directas: </w:t>
      </w:r>
    </w:p>
    <w:p w:rsidR="004F1BFF" w:rsidRPr="005B3050" w:rsidRDefault="004F1BFF" w:rsidP="004F1BFF">
      <w:pPr>
        <w:pStyle w:val="Prrafodelista"/>
        <w:ind w:left="1069" w:right="757"/>
        <w:jc w:val="both"/>
        <w:rPr>
          <w:rFonts w:ascii="Palatino Linotype" w:hAnsi="Palatino Linotype" w:cs="Arial"/>
          <w:i/>
          <w:sz w:val="22"/>
          <w:lang w:eastAsia="es-MX"/>
        </w:rPr>
      </w:pP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1) La propuesta enviada por el participante;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2) Los motivos y fundamentos legales aplicados para llevarla a cabo;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3) La autorización del ejercicio de la opción; </w:t>
      </w:r>
    </w:p>
    <w:p w:rsidR="004F1BFF" w:rsidRPr="005B3050" w:rsidRDefault="004F1BFF" w:rsidP="004F1BFF">
      <w:pPr>
        <w:ind w:left="1069" w:right="757"/>
        <w:jc w:val="both"/>
        <w:rPr>
          <w:rFonts w:ascii="Palatino Linotype" w:hAnsi="Palatino Linotype" w:cs="Arial"/>
          <w:i/>
          <w:lang w:eastAsia="es-MX"/>
        </w:rPr>
      </w:pPr>
      <w:r w:rsidRPr="005B3050">
        <w:rPr>
          <w:rFonts w:ascii="Palatino Linotype" w:hAnsi="Palatino Linotype" w:cs="Arial"/>
          <w:i/>
          <w:lang w:eastAsia="es-MX"/>
        </w:rPr>
        <w:t xml:space="preserve">4) En su caso, las cotizaciones consideradas, especificando los nombres de los proveedores y sus montos;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5) El nombre de la persona física o jurídica colectiva adjudicada;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6) La unidad administrativa solicitante y la responsable de su ejecución; </w:t>
      </w:r>
    </w:p>
    <w:p w:rsidR="004F1BFF" w:rsidRPr="005B3050" w:rsidRDefault="004F1BFF" w:rsidP="004F1BFF">
      <w:pPr>
        <w:ind w:left="1069" w:right="757"/>
        <w:jc w:val="both"/>
        <w:rPr>
          <w:rFonts w:ascii="Palatino Linotype" w:hAnsi="Palatino Linotype" w:cs="Arial"/>
          <w:i/>
          <w:lang w:eastAsia="es-MX"/>
        </w:rPr>
      </w:pPr>
      <w:r w:rsidRPr="005B3050">
        <w:rPr>
          <w:rFonts w:ascii="Palatino Linotype" w:hAnsi="Palatino Linotype" w:cs="Arial"/>
          <w:i/>
          <w:lang w:eastAsia="es-MX"/>
        </w:rPr>
        <w:t xml:space="preserve">7) El número, fecha, el monto del contrato y el plazo de entrega o de ejecución de los servicios u obra; </w:t>
      </w:r>
    </w:p>
    <w:p w:rsidR="004F1BFF" w:rsidRPr="005B3050" w:rsidRDefault="004F1BFF" w:rsidP="004F1BFF">
      <w:pPr>
        <w:ind w:left="1069" w:right="757"/>
        <w:jc w:val="both"/>
        <w:rPr>
          <w:rFonts w:ascii="Palatino Linotype" w:hAnsi="Palatino Linotype" w:cs="Arial"/>
          <w:i/>
          <w:lang w:eastAsia="es-MX"/>
        </w:rPr>
      </w:pPr>
      <w:r w:rsidRPr="005B3050">
        <w:rPr>
          <w:rFonts w:ascii="Palatino Linotype" w:hAnsi="Palatino Linotype" w:cs="Arial"/>
          <w:i/>
          <w:lang w:eastAsia="es-MX"/>
        </w:rPr>
        <w:t xml:space="preserve">8) Los mecanismos de vigilancia y supervisión, incluyendo, en su caso, los estudios de impacto urbano y ambiental, según corresponda;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9) Los informes de avance sobre las obras o servicios contratados;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10) El convenio de terminación; y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11) El finiquito.</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w:t>
      </w:r>
    </w:p>
    <w:p w:rsidR="004F1BFF" w:rsidRPr="005B3050" w:rsidRDefault="004F1BFF" w:rsidP="004F1BFF">
      <w:pPr>
        <w:ind w:left="709" w:right="757"/>
        <w:jc w:val="both"/>
        <w:rPr>
          <w:rFonts w:ascii="Palatino Linotype" w:hAnsi="Palatino Linotype" w:cs="Arial"/>
          <w:b/>
          <w:i/>
          <w:lang w:eastAsia="es-MX"/>
        </w:rPr>
      </w:pPr>
      <w:r w:rsidRPr="005B3050">
        <w:rPr>
          <w:rFonts w:ascii="Palatino Linotype" w:hAnsi="Palatino Linotype" w:cs="Arial"/>
          <w:b/>
          <w:i/>
          <w:lang w:eastAsia="es-MX"/>
        </w:rPr>
        <w:t>(Énfasis añadido)</w:t>
      </w:r>
    </w:p>
    <w:p w:rsidR="00544D1C" w:rsidRDefault="00544D1C" w:rsidP="00544D1C">
      <w:pPr>
        <w:pStyle w:val="Prrafodelista"/>
        <w:spacing w:line="360" w:lineRule="auto"/>
        <w:ind w:left="0"/>
        <w:contextualSpacing/>
        <w:jc w:val="both"/>
        <w:rPr>
          <w:rFonts w:ascii="Palatino Linotype" w:eastAsia="Calibri" w:hAnsi="Palatino Linotype" w:cs="Arial"/>
          <w:lang w:eastAsia="es-MX"/>
        </w:rPr>
      </w:pPr>
    </w:p>
    <w:p w:rsidR="00474BF0" w:rsidRPr="00F16A6A" w:rsidRDefault="00474BF0" w:rsidP="00474BF0">
      <w:pPr>
        <w:spacing w:line="360" w:lineRule="auto"/>
        <w:jc w:val="both"/>
        <w:rPr>
          <w:rFonts w:ascii="Palatino Linotype" w:hAnsi="Palatino Linotype" w:cs="Arial"/>
          <w:sz w:val="28"/>
          <w:szCs w:val="24"/>
        </w:rPr>
      </w:pPr>
      <w:r w:rsidRPr="00F16A6A">
        <w:rPr>
          <w:rFonts w:ascii="Palatino Linotype" w:hAnsi="Palatino Linotype" w:cs="Arial"/>
          <w:sz w:val="24"/>
          <w:lang w:eastAsia="es-MX"/>
        </w:rPr>
        <w:t xml:space="preserve">Sirven de sustento y base los artículos 35, 36, 37, 38 de la Ley de Contratación Pública del Estado de México y Municipios, que a la letra dice: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35.-</w:t>
      </w:r>
      <w:r w:rsidRPr="008B5610">
        <w:rPr>
          <w:rFonts w:ascii="Palatino Linotype" w:hAnsi="Palatino Linotype"/>
          <w:i/>
        </w:rPr>
        <w:t xml:space="preserve"> En los procedimientos de licitación pública se observará lo siguiente: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lastRenderedPageBreak/>
        <w:t xml:space="preserve">I. El acto de presentación y apertura de propuestas se llevará a cabo por el servidor público que designe la convocante, conforme al procedimiento que se establezca en el reglamento de esta Ley.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II. El comité de adquisiciones y servicios evaluará y analizará las propuestas técnicas y económicas presentadas por los licitantes en el ámbito de las respectivas competencias de sus integrantes, y emitirá el dictamen de adjudicación.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IV. Las convocantes podrán modificar los plazos y términos establecidos en la convocatoria o en las bases de licitación, hasta cinco días hábiles anteriores a la fecha de la celebración del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 Las modificaciones no podrán limitar el número de licitantes, sustituir o variar sustancialmente los bienes o servicios convocados originalmente, ni adicionar otros distintos.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 Las modificaciones a la convocatoria o a las bases se harán del conocimiento de los interesados hasta tres días hábiles antes de la fecha señalada para 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VII. Se emitirá el fallo dentro de los 15 días hábiles siguientes a la publicación de la convocatoria. VIII. Los licitantes se podrán registrar hasta el día y la hora fijados para 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36.-</w:t>
      </w:r>
      <w:r w:rsidRPr="008B5610">
        <w:rPr>
          <w:rFonts w:ascii="Palatino Linotype" w:hAnsi="Palatino Linotype"/>
          <w:i/>
        </w:rPr>
        <w:t xml:space="preserve"> El acto de presentación y apertura de propuestas se celebrará de manera pública y en presencia de todos los oferentes, en la forma siguiente: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 Los licitantes presentarán, por escrito y en sobre cerrado por separado, sus propuestas técnica y económica, así como los demás documentos requeridos en las bases de la licitación.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II. La apertura de propuestas podrá efectuarse cuando se haya presentado una propuesta cuando menos.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III. Se abrirán las propuestas técnicas, desechándose las que cuantitativamente no cumplan con cualquiera de los requisitos establecidos en las bases de licitación, </w:t>
      </w:r>
      <w:r w:rsidRPr="008B5610">
        <w:rPr>
          <w:rFonts w:ascii="Palatino Linotype" w:hAnsi="Palatino Linotype"/>
          <w:i/>
        </w:rPr>
        <w:lastRenderedPageBreak/>
        <w:t xml:space="preserve">poniéndolas a disposición del interesado conjuntamente con el sobre que contenga la propuesta económica.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IV. Se procederá a la apertura de las propuestas económicas de los licitantes cuyas propuestas técnicas fueron aceptadas cuantitativamente.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 Se desecharán las propuestas económicas que cuantitativamente no cumplan con cualquiera de los requisitos establecidos en las bases de la licitación, poniéndolas a disposición del interesado.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 Una vez efectuada la apertura de las propuestas técnicas y económicas, se elaborará el acta relativa a esta etapa del procedimiento y, posteriormente, se pondrá a disposición 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VII. Cuando el procedimiento de licitación se realice por conducto del COMPRAMEX, las propuestas técnicas y económicas se presentarán en los formatos electrónicos a que se refieran las bases respectivas y en él se observarán las mismas condiciones a que se refiere el presente artículo.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VIII. Si es el caso, que el procedimiento de licitación deba desahogarse bajo la modalidad de subasta inversa, una vez que se haya realizado la evaluación de las propuestas, se procederá a informar a los postores el momento en que dará inicio la etapa de ofertas subsecuentes de descuentos.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El reglamento de esta Ley establecerá los criterios para la evaluación de las propuestas, así como el procedimiento para los actos de presentación y apertura de propuestas y de fallo.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Dos o más personas podrán presentar, conjuntamente, una propuesta, sin necesidad de constituir una sociedad o una nueva sociedad, en caso de personas jurídica colectivas; para tales efectos, en la propuesta y en el contrato se establecerán, con precisión, las obligaciones de cada una de ellas, así como la manera en que se exigiría su cumplimiento. En este supuesto, la propuesta deberá ser firmada por el representante común que, para ese acto, haya sido designado por el grupo de personas, ya sea autógrafamente o por los medios de identificación electrónica autorizados por la Ley de Medios Electrónicos.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lastRenderedPageBreak/>
        <w:t xml:space="preserve">Cuando la propuesta conjunta resulte adjudicada con un contrato, dicho instrumento deberá ser firmado por el representante legal de cada uno de los participantes en la proposición, a quienes se considerará, para efectos del procedimiento y del contrato, como responsables solidarios o mancomunados, según se establezca en el propio contrato.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Lo anterior, sin perjuicio de que las personas que integran la propuesta conjunta puedan constituirse en una nueva sociedad, para dar cumplimiento a las obligaciones previstas en el convenio de proposición conjunta, siempre y cuando se mantengan en la nueva sociedad las responsabilidades de dicho convenio.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37.-</w:t>
      </w:r>
      <w:r w:rsidRPr="008B5610">
        <w:rPr>
          <w:rFonts w:ascii="Palatino Linotype" w:hAnsi="Palatino Linotype"/>
          <w:i/>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38.-</w:t>
      </w:r>
      <w:r w:rsidRPr="008B5610">
        <w:rPr>
          <w:rFonts w:ascii="Palatino Linotype" w:hAnsi="Palatino Linotype"/>
          <w:i/>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w:t>
      </w:r>
    </w:p>
    <w:p w:rsidR="00474BF0" w:rsidRPr="008B5610" w:rsidRDefault="00474BF0" w:rsidP="00474BF0">
      <w:pPr>
        <w:spacing w:line="276" w:lineRule="auto"/>
        <w:ind w:left="567" w:right="567"/>
        <w:jc w:val="both"/>
        <w:rPr>
          <w:rFonts w:ascii="Palatino Linotype" w:hAnsi="Palatino Linotype" w:cs="Arial"/>
          <w:i/>
          <w:sz w:val="24"/>
          <w:szCs w:val="24"/>
        </w:rPr>
      </w:pPr>
      <w:r w:rsidRPr="008B5610">
        <w:rPr>
          <w:rFonts w:ascii="Palatino Linotype" w:hAnsi="Palatino Linotype"/>
          <w:i/>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p>
    <w:p w:rsidR="00474BF0" w:rsidRDefault="00474BF0" w:rsidP="00474BF0">
      <w:pPr>
        <w:spacing w:line="360" w:lineRule="auto"/>
        <w:jc w:val="both"/>
        <w:rPr>
          <w:rFonts w:ascii="Palatino Linotype" w:hAnsi="Palatino Linotype" w:cs="Arial"/>
          <w:lang w:eastAsia="es-MX"/>
        </w:rPr>
      </w:pPr>
    </w:p>
    <w:p w:rsidR="00474BF0" w:rsidRDefault="00474BF0" w:rsidP="00474BF0">
      <w:pPr>
        <w:spacing w:line="360" w:lineRule="auto"/>
        <w:jc w:val="both"/>
        <w:rPr>
          <w:rFonts w:ascii="Palatino Linotype" w:hAnsi="Palatino Linotype" w:cs="Arial"/>
          <w:sz w:val="24"/>
          <w:szCs w:val="24"/>
        </w:rPr>
      </w:pPr>
      <w:r>
        <w:rPr>
          <w:rFonts w:ascii="Palatino Linotype" w:hAnsi="Palatino Linotype" w:cs="Arial"/>
          <w:sz w:val="24"/>
          <w:szCs w:val="24"/>
        </w:rPr>
        <w:t xml:space="preserve">De tales circunstancias </w:t>
      </w:r>
      <w:r w:rsidRPr="00765B1B">
        <w:rPr>
          <w:rFonts w:ascii="Palatino Linotype" w:hAnsi="Palatino Linotype" w:cs="Arial"/>
          <w:sz w:val="24"/>
          <w:lang w:eastAsia="es-MX"/>
        </w:rPr>
        <w:t xml:space="preserve">se aduce que, </w:t>
      </w:r>
      <w:r w:rsidRPr="00765B1B">
        <w:rPr>
          <w:rFonts w:ascii="Palatino Linotype" w:hAnsi="Palatino Linotype" w:cs="Arial"/>
          <w:b/>
          <w:sz w:val="24"/>
          <w:lang w:eastAsia="es-MX"/>
        </w:rPr>
        <w:t>EL SUJETO OBLIGADO</w:t>
      </w:r>
      <w:r w:rsidRPr="00765B1B">
        <w:rPr>
          <w:rFonts w:ascii="Palatino Linotype" w:hAnsi="Palatino Linotype" w:cs="Arial"/>
          <w:sz w:val="24"/>
          <w:lang w:eastAsia="es-MX"/>
        </w:rPr>
        <w:t xml:space="preserve"> tiene el deber de poner a disposición del público en su portal de transparencia electrónico, todos aquellos procesos, resultados de licitaciones, contratos celebrados, concesiones, que celebre el municipio con los particulares, ya que son de interés público y se manejan </w:t>
      </w:r>
      <w:r w:rsidRPr="00765B1B">
        <w:rPr>
          <w:rFonts w:ascii="Palatino Linotype" w:hAnsi="Palatino Linotype" w:cs="Arial"/>
          <w:sz w:val="24"/>
          <w:lang w:eastAsia="es-MX"/>
        </w:rPr>
        <w:lastRenderedPageBreak/>
        <w:t xml:space="preserve">recursos financieros de la misma naturaleza, por lo que se </w:t>
      </w:r>
      <w:r>
        <w:rPr>
          <w:rFonts w:ascii="Palatino Linotype" w:hAnsi="Palatino Linotype" w:cs="Arial"/>
          <w:sz w:val="24"/>
          <w:lang w:eastAsia="es-MX"/>
        </w:rPr>
        <w:t xml:space="preserve">considera procedente la entrega de la información faltante. </w:t>
      </w:r>
    </w:p>
    <w:p w:rsidR="00474BF0" w:rsidRDefault="00474BF0" w:rsidP="00474BF0">
      <w:pPr>
        <w:pStyle w:val="Sinespaciado"/>
      </w:pPr>
    </w:p>
    <w:p w:rsidR="00474BF0" w:rsidRPr="008A5D92" w:rsidRDefault="00474BF0" w:rsidP="00474BF0">
      <w:pPr>
        <w:spacing w:line="360" w:lineRule="auto"/>
        <w:ind w:right="49"/>
        <w:jc w:val="both"/>
        <w:rPr>
          <w:rFonts w:ascii="Palatino Linotype" w:hAnsi="Palatino Linotype"/>
          <w:sz w:val="24"/>
          <w:szCs w:val="24"/>
        </w:rPr>
      </w:pPr>
      <w:r w:rsidRPr="008A5D92">
        <w:rPr>
          <w:rFonts w:ascii="Palatino Linotype" w:hAnsi="Palatino Linotype" w:cs="Arial"/>
          <w:sz w:val="24"/>
          <w:szCs w:val="24"/>
        </w:rPr>
        <w:t>Todas estas observaciones se relacionan también con las facturas de los g</w:t>
      </w:r>
      <w:r>
        <w:rPr>
          <w:rFonts w:ascii="Palatino Linotype" w:hAnsi="Palatino Linotype" w:cs="Arial"/>
          <w:sz w:val="24"/>
          <w:szCs w:val="24"/>
        </w:rPr>
        <w:t>astos hechos, solicitados por El</w:t>
      </w:r>
      <w:r w:rsidRPr="008A5D92">
        <w:rPr>
          <w:rFonts w:ascii="Palatino Linotype" w:hAnsi="Palatino Linotype" w:cs="Arial"/>
          <w:sz w:val="24"/>
          <w:szCs w:val="24"/>
        </w:rPr>
        <w:t xml:space="preserve"> ahora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w:t>
      </w:r>
      <w:r w:rsidRPr="008A5D92">
        <w:rPr>
          <w:rFonts w:ascii="Palatino Linotype" w:hAnsi="Palatino Linotype"/>
          <w:sz w:val="24"/>
          <w:szCs w:val="24"/>
        </w:rPr>
        <w:t xml:space="preserve">es decir, la documentación comprobatoria de las erogaciones realizadas en ejercicio del presupuesto municipal, entendido éste como </w:t>
      </w:r>
      <w:r w:rsidRPr="008A5D92">
        <w:rPr>
          <w:rFonts w:ascii="Palatino Linotype" w:hAnsi="Palatino Linotype"/>
          <w:b/>
          <w:sz w:val="24"/>
          <w:szCs w:val="24"/>
        </w:rPr>
        <w:t>Presupuesto Ejercido</w:t>
      </w:r>
      <w:r w:rsidRPr="008A5D92">
        <w:rPr>
          <w:rFonts w:ascii="Palatino Linotype" w:hAnsi="Palatino Linotype"/>
          <w:sz w:val="24"/>
          <w:szCs w:val="24"/>
        </w:rPr>
        <w:t xml:space="preserve">, que según el Glosario de Términos más Usuales en la Administración Pública Federal de la Secretaría de Hacienda y Crédito Público se define como: </w:t>
      </w:r>
    </w:p>
    <w:p w:rsidR="00474BF0" w:rsidRPr="008A5D92" w:rsidRDefault="00474BF0" w:rsidP="00474BF0">
      <w:pPr>
        <w:spacing w:after="0" w:line="360" w:lineRule="auto"/>
        <w:ind w:left="851" w:right="900"/>
        <w:jc w:val="both"/>
        <w:rPr>
          <w:rFonts w:ascii="Palatino Linotype" w:hAnsi="Palatino Linotype"/>
          <w:i/>
          <w:sz w:val="16"/>
          <w:szCs w:val="16"/>
        </w:rPr>
      </w:pPr>
    </w:p>
    <w:p w:rsidR="00474BF0" w:rsidRPr="008A5D92" w:rsidRDefault="00474BF0" w:rsidP="00474BF0">
      <w:pPr>
        <w:spacing w:after="0" w:line="240" w:lineRule="auto"/>
        <w:ind w:left="851" w:right="900"/>
        <w:jc w:val="both"/>
        <w:rPr>
          <w:rFonts w:ascii="Palatino Linotype" w:hAnsi="Palatino Linotype"/>
          <w:i/>
        </w:rPr>
      </w:pPr>
      <w:r w:rsidRPr="008A5D92">
        <w:rPr>
          <w:rFonts w:ascii="Palatino Linotype" w:hAnsi="Palatino Linotype"/>
          <w:i/>
        </w:rPr>
        <w:t>“</w:t>
      </w:r>
      <w:r w:rsidRPr="008A5D92">
        <w:rPr>
          <w:rFonts w:ascii="Palatino Linotype" w:hAnsi="Palatino Linotype"/>
          <w:b/>
          <w:i/>
        </w:rPr>
        <w:t>PRESUPUESTO EJERCIDO</w:t>
      </w:r>
      <w:r w:rsidRPr="008A5D92">
        <w:rPr>
          <w:rFonts w:ascii="Palatino Linotype" w:hAnsi="Palatino Linotype"/>
          <w:i/>
        </w:rPr>
        <w:t>.</w:t>
      </w:r>
    </w:p>
    <w:p w:rsidR="00474BF0" w:rsidRPr="008A5D92" w:rsidRDefault="00474BF0" w:rsidP="00474BF0">
      <w:pPr>
        <w:spacing w:after="0" w:line="240" w:lineRule="auto"/>
        <w:ind w:left="851" w:right="900"/>
        <w:jc w:val="both"/>
        <w:rPr>
          <w:rFonts w:ascii="Palatino Linotype" w:hAnsi="Palatino Linotype"/>
          <w:i/>
        </w:rPr>
      </w:pPr>
      <w:r w:rsidRPr="008A5D92">
        <w:rPr>
          <w:rFonts w:ascii="Palatino Linotype" w:hAnsi="Palatino Linotype"/>
          <w:i/>
        </w:rPr>
        <w:t>Importe de las erogaciones realizadas respaldado por los documentos comprobatorios (</w:t>
      </w:r>
      <w:r w:rsidRPr="008A5D92">
        <w:rPr>
          <w:rFonts w:ascii="Palatino Linotype" w:hAnsi="Palatino Linotype"/>
          <w:i/>
          <w:u w:val="single"/>
        </w:rPr>
        <w:t>facturas</w:t>
      </w:r>
      <w:r w:rsidRPr="008A5D92">
        <w:rPr>
          <w:rFonts w:ascii="Palatino Linotype" w:hAnsi="Palatino Linotype"/>
          <w:i/>
        </w:rPr>
        <w:t>, notas, nominas, etc.) presentados a la dependencia o entidad una vez autorizadas para su pago, con cargo al presupuesto autorizado.”</w:t>
      </w:r>
    </w:p>
    <w:p w:rsidR="00474BF0" w:rsidRPr="008A5D92" w:rsidRDefault="00474BF0" w:rsidP="00474BF0">
      <w:pPr>
        <w:spacing w:after="0" w:line="360" w:lineRule="auto"/>
        <w:jc w:val="both"/>
        <w:rPr>
          <w:rFonts w:ascii="Palatino Linotype" w:hAnsi="Palatino Linotype" w:cs="Arial"/>
          <w:sz w:val="24"/>
        </w:rPr>
      </w:pPr>
    </w:p>
    <w:p w:rsidR="00474BF0" w:rsidRPr="008A5D92" w:rsidRDefault="00474BF0" w:rsidP="00474BF0">
      <w:pPr>
        <w:spacing w:after="0" w:line="360" w:lineRule="auto"/>
        <w:jc w:val="both"/>
        <w:rPr>
          <w:rFonts w:ascii="Palatino Linotype" w:eastAsia="Calibri" w:hAnsi="Palatino Linotype" w:cs="Arial"/>
          <w:sz w:val="24"/>
          <w:szCs w:val="24"/>
        </w:rPr>
      </w:pPr>
      <w:r w:rsidRPr="008A5D92">
        <w:rPr>
          <w:rFonts w:ascii="Palatino Linotype" w:eastAsia="Calibri" w:hAnsi="Palatino Linotype" w:cs="Arial"/>
          <w:sz w:val="24"/>
          <w:szCs w:val="24"/>
        </w:rPr>
        <w:t>Al respecto, cabe señalar que en términos del artículo 129, de la Constitución Política del Estado Libre y Soberano de México, l</w:t>
      </w:r>
      <w:r w:rsidRPr="008A5D92">
        <w:rPr>
          <w:rFonts w:ascii="Palatino Linotype" w:eastAsia="Calibri" w:hAnsi="Palatino Linotype" w:cs="Arial"/>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ello </w:t>
      </w:r>
      <w:r w:rsidRPr="008A5D92">
        <w:rPr>
          <w:rFonts w:ascii="Palatino Linotype" w:eastAsia="Calibri" w:hAnsi="Palatino Linotype" w:cs="Arial"/>
          <w:sz w:val="24"/>
          <w:szCs w:val="24"/>
        </w:rPr>
        <w:t xml:space="preserve">en el cumplimiento a los principios que rigen la función pública. </w:t>
      </w: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r w:rsidRPr="008A5D92">
        <w:rPr>
          <w:rFonts w:ascii="Palatino Linotype" w:eastAsia="Calibri" w:hAnsi="Palatino Linotype" w:cs="Arial"/>
          <w:color w:val="000000"/>
          <w:sz w:val="24"/>
          <w:szCs w:val="24"/>
        </w:rPr>
        <w:t>Asimismo, dispone que todos los pagos se harán mediante orden escrita en la que se expresará la partida del presupuesto a cargo de la cual se realizan.</w:t>
      </w: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p>
    <w:p w:rsidR="00474BF0"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r w:rsidRPr="008A5D92">
        <w:rPr>
          <w:rFonts w:ascii="Palatino Linotype" w:eastAsia="Calibri" w:hAnsi="Palatino Linotype" w:cs="Arial"/>
          <w:color w:val="000000"/>
          <w:sz w:val="24"/>
          <w:szCs w:val="24"/>
        </w:rPr>
        <w:t>Al mismo tiempo, los artículos 31, fracción XVIII y 95, fracciones I y IV, de la</w:t>
      </w:r>
      <w:r w:rsidRPr="008A5D92">
        <w:rPr>
          <w:rFonts w:ascii="Palatino Linotype" w:eastAsia="Calibri" w:hAnsi="Palatino Linotype" w:cs="Arial"/>
          <w:b/>
          <w:i/>
          <w:color w:val="000000"/>
          <w:sz w:val="24"/>
          <w:szCs w:val="24"/>
        </w:rPr>
        <w:t xml:space="preserve"> </w:t>
      </w:r>
      <w:r w:rsidRPr="008A5D92">
        <w:rPr>
          <w:rFonts w:ascii="Palatino Linotype" w:eastAsia="Calibri" w:hAnsi="Palatino Linotype" w:cs="Arial"/>
          <w:color w:val="000000"/>
          <w:sz w:val="24"/>
          <w:szCs w:val="24"/>
        </w:rPr>
        <w:t>Ley Orgánica Municipal del Estado de México prevén</w:t>
      </w:r>
      <w:r w:rsidRPr="008A5D92">
        <w:rPr>
          <w:rFonts w:ascii="Palatino Linotype" w:eastAsia="Calibri" w:hAnsi="Palatino Linotype" w:cs="Arial"/>
          <w:sz w:val="24"/>
          <w:szCs w:val="24"/>
        </w:rPr>
        <w:t xml:space="preserve"> que los ayuntamientos tienen la atribución de administrar libremente su hacienda y controlar la aplicación del </w:t>
      </w:r>
      <w:r w:rsidRPr="008A5D92">
        <w:rPr>
          <w:rFonts w:ascii="Palatino Linotype" w:eastAsia="Calibri" w:hAnsi="Palatino Linotype" w:cs="Arial"/>
          <w:sz w:val="24"/>
          <w:szCs w:val="24"/>
        </w:rPr>
        <w:lastRenderedPageBreak/>
        <w:t>presupuesto de egresos aprobado por dicho cuerpo colegiado, siendo atribución del Tesorero Municipal la de llevar los registros contables, financieros y administrativos de los ingresos, egresos e inventarios.</w:t>
      </w:r>
      <w:r w:rsidRPr="008A5D92">
        <w:rPr>
          <w:rFonts w:ascii="Palatino Linotype" w:eastAsia="Calibri" w:hAnsi="Palatino Linotype" w:cs="Arial"/>
          <w:color w:val="000000"/>
          <w:sz w:val="24"/>
          <w:szCs w:val="24"/>
        </w:rPr>
        <w:t xml:space="preserve"> </w:t>
      </w:r>
    </w:p>
    <w:p w:rsidR="00D94981" w:rsidRPr="008A5D92" w:rsidRDefault="00D94981" w:rsidP="00474BF0">
      <w:pPr>
        <w:autoSpaceDE w:val="0"/>
        <w:autoSpaceDN w:val="0"/>
        <w:adjustRightInd w:val="0"/>
        <w:spacing w:after="0" w:line="360" w:lineRule="auto"/>
        <w:jc w:val="both"/>
        <w:rPr>
          <w:rFonts w:ascii="Palatino Linotype" w:eastAsia="Calibri" w:hAnsi="Palatino Linotype" w:cs="Arial"/>
          <w:color w:val="000000"/>
          <w:sz w:val="24"/>
          <w:szCs w:val="24"/>
        </w:rPr>
      </w:pP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sz w:val="24"/>
          <w:szCs w:val="24"/>
        </w:rPr>
      </w:pPr>
      <w:r w:rsidRPr="008A5D92">
        <w:rPr>
          <w:rFonts w:ascii="Palatino Linotype" w:eastAsia="Calibri" w:hAnsi="Palatino Linotype" w:cs="Arial"/>
          <w:color w:val="000000"/>
          <w:sz w:val="24"/>
          <w:szCs w:val="24"/>
        </w:rPr>
        <w:t xml:space="preserve">Adicionalmente, es pertinente considerar lo dispuesto en los artículos </w:t>
      </w:r>
      <w:r w:rsidRPr="008A5D92">
        <w:rPr>
          <w:rFonts w:ascii="Palatino Linotype" w:eastAsia="Calibri" w:hAnsi="Palatino Linotype" w:cs="Arial"/>
          <w:sz w:val="24"/>
          <w:szCs w:val="24"/>
        </w:rPr>
        <w:t>342, 343, 344 y 345, del Código Financiero del Estado de México y Municipios, los cuales disponen, concretamente el sistema y las políticas que deben seguirse para llevar el registro contable y presupuestal de las operaciones financieras que llevan a cabo los Municipios del Estado de México; que el registro contable del efecto patrimonial y presupuestal de las operaciones financieras que realice el Municipio se realizará conforme al sistema y a las disposiciones que se aprueben en materia de planeación, programación, presupuestación, evaluación y contabilidad gubernamental.</w:t>
      </w: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sz w:val="24"/>
          <w:szCs w:val="24"/>
        </w:rPr>
      </w:pPr>
    </w:p>
    <w:p w:rsidR="00474BF0" w:rsidRDefault="00474BF0" w:rsidP="00474BF0">
      <w:pPr>
        <w:autoSpaceDE w:val="0"/>
        <w:autoSpaceDN w:val="0"/>
        <w:adjustRightInd w:val="0"/>
        <w:spacing w:after="0" w:line="360" w:lineRule="auto"/>
        <w:jc w:val="both"/>
        <w:rPr>
          <w:rFonts w:ascii="Palatino Linotype" w:eastAsia="Calibri" w:hAnsi="Palatino Linotype" w:cs="Arial"/>
          <w:sz w:val="24"/>
          <w:szCs w:val="24"/>
        </w:rPr>
      </w:pPr>
      <w:r w:rsidRPr="008A5D92">
        <w:rPr>
          <w:rFonts w:ascii="Palatino Linotype" w:eastAsia="Calibri" w:hAnsi="Palatino Linotype" w:cs="Arial"/>
          <w:sz w:val="24"/>
          <w:szCs w:val="24"/>
        </w:rPr>
        <w:t>Asimismo, los preceptos legales citados señalan que en el caso de los Municipios, es la Tesorería Municipal la unidad administrativa que registra contablemente el efecto patrimonial y presupuestal de las operaciones financieras que realizan, en el momento en que ocurran, con base en el sistema y políticas de registro establecidas.</w:t>
      </w:r>
    </w:p>
    <w:p w:rsidR="00474BF0" w:rsidRPr="008A5D92" w:rsidRDefault="00474BF0" w:rsidP="00474BF0">
      <w:pPr>
        <w:pStyle w:val="Sinespaciado"/>
      </w:pPr>
    </w:p>
    <w:p w:rsidR="009D70C5"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r w:rsidRPr="008A5D92">
        <w:rPr>
          <w:rFonts w:ascii="Palatino Linotype" w:eastAsia="Calibri" w:hAnsi="Palatino Linotype" w:cs="Arial"/>
          <w:color w:val="000000"/>
          <w:sz w:val="24"/>
          <w:szCs w:val="24"/>
        </w:rPr>
        <w:t>Cabe destacar, que el ordenamiento legal en cita establece que todo registro contable y presupuestal deberá estar soportado con los documentos comprobatorios originales, como son las facturas, documentos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w:t>
      </w:r>
      <w:r>
        <w:rPr>
          <w:rFonts w:ascii="Palatino Linotype" w:eastAsia="Calibri" w:hAnsi="Palatino Linotype" w:cs="Arial"/>
          <w:color w:val="000000"/>
          <w:sz w:val="24"/>
          <w:szCs w:val="24"/>
        </w:rPr>
        <w:t>l siguiente al que corresponda.</w:t>
      </w:r>
    </w:p>
    <w:p w:rsidR="00474BF0" w:rsidRPr="00474BF0"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p>
    <w:p w:rsidR="009D70C5" w:rsidRDefault="009D70C5" w:rsidP="009D70C5">
      <w:pPr>
        <w:spacing w:before="240" w:after="240" w:line="360" w:lineRule="auto"/>
        <w:jc w:val="both"/>
        <w:rPr>
          <w:rFonts w:ascii="Palatino Linotype" w:hAnsi="Palatino Linotype"/>
          <w:color w:val="000000" w:themeColor="text1"/>
          <w:sz w:val="24"/>
          <w:szCs w:val="24"/>
        </w:rPr>
      </w:pPr>
      <w:r w:rsidRPr="00960E17">
        <w:rPr>
          <w:rFonts w:ascii="Palatino Linotype" w:hAnsi="Palatino Linotype" w:cs="Arial"/>
          <w:color w:val="000000" w:themeColor="text1"/>
          <w:sz w:val="24"/>
        </w:rPr>
        <w:t xml:space="preserve">Por lo que </w:t>
      </w:r>
      <w:r w:rsidRPr="00960E17">
        <w:rPr>
          <w:rFonts w:ascii="Palatino Linotype" w:hAnsi="Palatino Linotype" w:cs="Arial"/>
          <w:color w:val="000000" w:themeColor="text1"/>
          <w:sz w:val="24"/>
          <w:szCs w:val="24"/>
        </w:rPr>
        <w:t xml:space="preserve">conviene recordar, que le compete a la </w:t>
      </w:r>
      <w:r w:rsidR="00422997">
        <w:rPr>
          <w:rFonts w:ascii="Palatino Linotype" w:hAnsi="Palatino Linotype"/>
          <w:color w:val="000000" w:themeColor="text1"/>
          <w:sz w:val="24"/>
          <w:szCs w:val="24"/>
        </w:rPr>
        <w:t>Dirección</w:t>
      </w:r>
      <w:r w:rsidRPr="00960E17">
        <w:rPr>
          <w:rFonts w:ascii="Palatino Linotype" w:hAnsi="Palatino Linotype"/>
          <w:color w:val="000000" w:themeColor="text1"/>
          <w:sz w:val="24"/>
          <w:szCs w:val="24"/>
        </w:rPr>
        <w:t xml:space="preserve"> de Seguridad </w:t>
      </w:r>
      <w:r w:rsidR="00C91B2C">
        <w:rPr>
          <w:rFonts w:ascii="Palatino Linotype" w:hAnsi="Palatino Linotype"/>
          <w:color w:val="000000" w:themeColor="text1"/>
          <w:sz w:val="24"/>
          <w:szCs w:val="24"/>
        </w:rPr>
        <w:t xml:space="preserve">Pública y Vialidad </w:t>
      </w:r>
      <w:r w:rsidRPr="00960E17">
        <w:rPr>
          <w:rFonts w:ascii="Palatino Linotype" w:hAnsi="Palatino Linotype" w:cs="Arial"/>
          <w:color w:val="000000" w:themeColor="text1"/>
          <w:sz w:val="24"/>
          <w:szCs w:val="24"/>
        </w:rPr>
        <w:t xml:space="preserve">la función de seguridad pública, a fin de </w:t>
      </w:r>
      <w:r w:rsidR="00C91B2C" w:rsidRPr="00C91B2C">
        <w:rPr>
          <w:rFonts w:ascii="Palatino Linotype" w:hAnsi="Palatino Linotype"/>
          <w:color w:val="000000" w:themeColor="text1"/>
          <w:sz w:val="24"/>
          <w:szCs w:val="24"/>
        </w:rPr>
        <w:t>garantizar el orden público y la paz social, así como la prevención social de la comisión de cualquier delito, inhibiendo las conductas antisociales, siempre con estricto apego y respeto de los derechos humanos y de las disposiciones jurídicas vigentes de carácter federal, estatal y municipal; de igual manera impulsando la cultura vial, controlando, organizando y ejecutando las actividades en dicha materia en las diversas vialidades de jurisdicción municipal, de conformidad con el Libro Octavo del Código Administrativo del Estado de México y demás disposiciones jurídicas aplicables.</w:t>
      </w:r>
    </w:p>
    <w:p w:rsidR="00F62CA1" w:rsidRPr="00F62CA1" w:rsidRDefault="00F62CA1" w:rsidP="009D70C5">
      <w:pPr>
        <w:spacing w:before="240" w:after="240" w:line="360" w:lineRule="auto"/>
        <w:jc w:val="both"/>
        <w:rPr>
          <w:rFonts w:ascii="Palatino Linotype" w:hAnsi="Palatino Linotype" w:cs="Arial"/>
          <w:color w:val="000000" w:themeColor="text1"/>
          <w:sz w:val="6"/>
        </w:rPr>
      </w:pPr>
    </w:p>
    <w:p w:rsidR="009D70C5" w:rsidRPr="004C0FAC" w:rsidRDefault="009D70C5" w:rsidP="009D70C5">
      <w:pPr>
        <w:spacing w:before="240" w:after="240" w:line="360" w:lineRule="auto"/>
        <w:jc w:val="both"/>
        <w:rPr>
          <w:rFonts w:ascii="Palatino Linotype" w:hAnsi="Palatino Linotype" w:cs="Arial"/>
          <w:color w:val="000000" w:themeColor="text1"/>
          <w:sz w:val="24"/>
        </w:rPr>
      </w:pPr>
      <w:r w:rsidRPr="004C0FAC">
        <w:rPr>
          <w:rFonts w:ascii="Palatino Linotype" w:hAnsi="Palatino Linotype" w:cs="Arial"/>
          <w:color w:val="000000" w:themeColor="text1"/>
          <w:sz w:val="24"/>
        </w:rPr>
        <w:t xml:space="preserve">Ahora bien, atendiendo el requerimiento de información y el marco normativo analizado, cabe decir que en términos del artículo 34 de la Ley que Regula el Uso de Tecnologías de la Información y Comunicación para la Seguridad Pública del Estado de México, toda la información recabada por las instituciones de seguridad pública se considera reservada cuando </w:t>
      </w:r>
      <w:r w:rsidRPr="004C0FAC">
        <w:rPr>
          <w:rFonts w:ascii="Palatino Linotype" w:hAnsi="Palatino Linotype" w:cs="Arial"/>
          <w:color w:val="000000" w:themeColor="text1"/>
          <w:sz w:val="24"/>
          <w:u w:val="single"/>
        </w:rPr>
        <w:t>su divulgación implique la revelación</w:t>
      </w:r>
      <w:r w:rsidRPr="00C641A8">
        <w:rPr>
          <w:rFonts w:ascii="Palatino Linotype" w:hAnsi="Palatino Linotype" w:cs="Arial"/>
          <w:color w:val="000000" w:themeColor="text1"/>
          <w:sz w:val="24"/>
        </w:rPr>
        <w:t xml:space="preserve"> </w:t>
      </w:r>
      <w:r w:rsidRPr="004C0FAC">
        <w:rPr>
          <w:rFonts w:ascii="Palatino Linotype" w:hAnsi="Palatino Linotype" w:cs="Arial"/>
          <w:color w:val="000000" w:themeColor="text1"/>
          <w:sz w:val="24"/>
        </w:rPr>
        <w:t xml:space="preserve">de normas, procedimientos, métodos, fuentes, </w:t>
      </w:r>
      <w:r w:rsidRPr="00C641A8">
        <w:rPr>
          <w:rFonts w:ascii="Palatino Linotype" w:hAnsi="Palatino Linotype" w:cs="Arial"/>
          <w:color w:val="000000" w:themeColor="text1"/>
          <w:sz w:val="24"/>
          <w:u w:val="single"/>
        </w:rPr>
        <w:t>especificaciones técnicas</w:t>
      </w:r>
      <w:r w:rsidRPr="004C0FAC">
        <w:rPr>
          <w:rFonts w:ascii="Palatino Linotype" w:hAnsi="Palatino Linotype" w:cs="Arial"/>
          <w:color w:val="000000" w:themeColor="text1"/>
          <w:sz w:val="24"/>
        </w:rPr>
        <w:t xml:space="preserve">, </w:t>
      </w:r>
      <w:r w:rsidRPr="004C0FAC">
        <w:rPr>
          <w:rFonts w:ascii="Palatino Linotype" w:hAnsi="Palatino Linotype" w:cs="Arial"/>
          <w:color w:val="000000" w:themeColor="text1"/>
          <w:sz w:val="24"/>
          <w:u w:val="single"/>
        </w:rPr>
        <w:t>sistemas, tecnología o equipos útiles para la prevención o el combate a la delincuencia o cuando se pueda actualizar o potenciar una amenaza a la seguridad pública</w:t>
      </w:r>
      <w:r w:rsidRPr="004C0FAC">
        <w:rPr>
          <w:rFonts w:ascii="Palatino Linotype" w:hAnsi="Palatino Linotype" w:cs="Arial"/>
          <w:color w:val="000000" w:themeColor="text1"/>
          <w:sz w:val="24"/>
        </w:rPr>
        <w:t xml:space="preserve">. </w:t>
      </w:r>
    </w:p>
    <w:p w:rsidR="009D70C5" w:rsidRDefault="009D70C5" w:rsidP="009D70C5">
      <w:pPr>
        <w:autoSpaceDE w:val="0"/>
        <w:autoSpaceDN w:val="0"/>
        <w:adjustRightInd w:val="0"/>
        <w:spacing w:before="240" w:after="240" w:line="360" w:lineRule="auto"/>
        <w:jc w:val="both"/>
        <w:rPr>
          <w:rFonts w:ascii="Palatino Linotype" w:hAnsi="Palatino Linotype" w:cs="Arial"/>
          <w:color w:val="000000" w:themeColor="text1"/>
          <w:sz w:val="24"/>
        </w:rPr>
      </w:pPr>
      <w:r w:rsidRPr="004C0FAC">
        <w:rPr>
          <w:rFonts w:ascii="Palatino Linotype" w:hAnsi="Palatino Linotype" w:cs="Arial"/>
          <w:color w:val="000000" w:themeColor="text1"/>
          <w:sz w:val="24"/>
        </w:rPr>
        <w:t xml:space="preserve">Bajo este contexto, si bien es cierto, es indispensable que la sociedad se haga conocedora de la información peticionada de origen, también lo es que existen casos excepcionales, en donde debe privilegiarse un bien tutelado mayor y en su caso clasificar información por cuestiones de interés público, como es la seguridad </w:t>
      </w:r>
      <w:r w:rsidRPr="004C0FAC">
        <w:rPr>
          <w:rFonts w:ascii="Palatino Linotype" w:hAnsi="Palatino Linotype" w:cs="Arial"/>
          <w:color w:val="000000" w:themeColor="text1"/>
          <w:sz w:val="24"/>
        </w:rPr>
        <w:lastRenderedPageBreak/>
        <w:t>pública</w:t>
      </w:r>
      <w:r w:rsidRPr="004C0FAC">
        <w:rPr>
          <w:rStyle w:val="Refdenotaalpie"/>
          <w:rFonts w:ascii="Palatino Linotype" w:hAnsi="Palatino Linotype" w:cs="Arial"/>
          <w:color w:val="000000" w:themeColor="text1"/>
          <w:sz w:val="24"/>
        </w:rPr>
        <w:footnoteReference w:id="6"/>
      </w:r>
      <w:r w:rsidRPr="004C0FAC">
        <w:rPr>
          <w:rFonts w:ascii="Palatino Linotype" w:hAnsi="Palatino Linotype" w:cs="Arial"/>
          <w:color w:val="000000" w:themeColor="text1"/>
          <w:sz w:val="24"/>
        </w:rPr>
        <w:t xml:space="preserve">, en consecuencia se actualiza lo previsto en el artículo 140 de la Ley de la Materia, puesto que de entregarse la información, podría comprometerse la seguridad pública, obstruirse la prevención o persecución de los delitos, o porque, el daño que puede producirse con la publicación de la información, puede ser mayor que el interés público de conocer la información. </w:t>
      </w:r>
    </w:p>
    <w:p w:rsidR="00D94981" w:rsidRPr="004C0FAC" w:rsidRDefault="00D94981" w:rsidP="009D70C5">
      <w:pPr>
        <w:autoSpaceDE w:val="0"/>
        <w:autoSpaceDN w:val="0"/>
        <w:adjustRightInd w:val="0"/>
        <w:spacing w:before="240" w:after="240" w:line="360" w:lineRule="auto"/>
        <w:jc w:val="both"/>
        <w:rPr>
          <w:rFonts w:ascii="Palatino Linotype" w:hAnsi="Palatino Linotype" w:cs="Arial"/>
          <w:color w:val="000000" w:themeColor="text1"/>
          <w:sz w:val="24"/>
        </w:rPr>
      </w:pPr>
    </w:p>
    <w:p w:rsidR="009D70C5" w:rsidRPr="004C0FAC" w:rsidRDefault="009D70C5" w:rsidP="009D70C5">
      <w:pPr>
        <w:autoSpaceDE w:val="0"/>
        <w:autoSpaceDN w:val="0"/>
        <w:adjustRightInd w:val="0"/>
        <w:spacing w:before="240" w:after="240" w:line="360" w:lineRule="auto"/>
        <w:jc w:val="both"/>
        <w:rPr>
          <w:rFonts w:ascii="Palatino Linotype" w:hAnsi="Palatino Linotype" w:cs="Arial"/>
          <w:color w:val="000000" w:themeColor="text1"/>
          <w:sz w:val="24"/>
        </w:rPr>
      </w:pPr>
      <w:r w:rsidRPr="004C0FAC">
        <w:rPr>
          <w:rFonts w:ascii="Palatino Linotype" w:hAnsi="Palatino Linotype" w:cs="Arial"/>
          <w:color w:val="000000" w:themeColor="text1"/>
          <w:sz w:val="24"/>
        </w:rPr>
        <w:t xml:space="preserve">A este respecto, de conformidad con los artículos 91 y 140, fracción I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w:t>
      </w:r>
      <w:r w:rsidRPr="004C0FAC">
        <w:rPr>
          <w:rFonts w:ascii="Palatino Linotype" w:hAnsi="Palatino Linotype" w:cs="Arial"/>
          <w:color w:val="000000" w:themeColor="text1"/>
          <w:sz w:val="24"/>
        </w:rPr>
        <w:lastRenderedPageBreak/>
        <w:t>información sea mayor que el interés público de conocerla. Sirve de apoyo a lo anterior los artículos de referencia que a continuación se señalan:</w:t>
      </w:r>
    </w:p>
    <w:p w:rsidR="009D70C5" w:rsidRPr="004C7647" w:rsidRDefault="009D70C5" w:rsidP="009D70C5">
      <w:pPr>
        <w:autoSpaceDE w:val="0"/>
        <w:autoSpaceDN w:val="0"/>
        <w:adjustRightInd w:val="0"/>
        <w:spacing w:after="120"/>
        <w:ind w:left="567" w:right="902"/>
        <w:jc w:val="both"/>
        <w:rPr>
          <w:rFonts w:ascii="Palatino Linotype" w:hAnsi="Palatino Linotype"/>
          <w:i/>
          <w:color w:val="000000" w:themeColor="text1"/>
          <w:szCs w:val="20"/>
        </w:rPr>
      </w:pPr>
      <w:r w:rsidRPr="004C7647">
        <w:rPr>
          <w:rFonts w:ascii="Palatino Linotype" w:hAnsi="Palatino Linotype"/>
          <w:i/>
          <w:color w:val="000000" w:themeColor="text1"/>
          <w:szCs w:val="20"/>
        </w:rPr>
        <w:t>“</w:t>
      </w:r>
      <w:r w:rsidRPr="004C7647">
        <w:rPr>
          <w:rFonts w:ascii="Palatino Linotype" w:hAnsi="Palatino Linotype"/>
          <w:b/>
          <w:i/>
          <w:color w:val="000000" w:themeColor="text1"/>
          <w:szCs w:val="20"/>
        </w:rPr>
        <w:t>Artículo 91.</w:t>
      </w:r>
      <w:r w:rsidRPr="004C7647">
        <w:rPr>
          <w:rFonts w:ascii="Palatino Linotype" w:hAnsi="Palatino Linotype"/>
          <w:i/>
          <w:color w:val="000000" w:themeColor="text1"/>
          <w:szCs w:val="20"/>
        </w:rPr>
        <w:t xml:space="preserve"> El acceso a la información pública será restringido excepcionalmente, cuando ésta sea clasificada como reservada o confidencial.</w:t>
      </w:r>
    </w:p>
    <w:p w:rsidR="009D70C5" w:rsidRPr="004C7647" w:rsidRDefault="009D70C5" w:rsidP="009D70C5">
      <w:pPr>
        <w:autoSpaceDE w:val="0"/>
        <w:autoSpaceDN w:val="0"/>
        <w:adjustRightInd w:val="0"/>
        <w:spacing w:after="120"/>
        <w:ind w:left="567" w:right="902"/>
        <w:jc w:val="both"/>
        <w:rPr>
          <w:rFonts w:ascii="Palatino Linotype" w:hAnsi="Palatino Linotype"/>
          <w:i/>
          <w:color w:val="000000" w:themeColor="text1"/>
          <w:szCs w:val="20"/>
        </w:rPr>
      </w:pPr>
      <w:r w:rsidRPr="004C7647">
        <w:rPr>
          <w:rFonts w:ascii="Palatino Linotype" w:hAnsi="Palatino Linotype"/>
          <w:b/>
          <w:i/>
          <w:color w:val="000000" w:themeColor="text1"/>
          <w:szCs w:val="20"/>
        </w:rPr>
        <w:t xml:space="preserve">Artículo 140. </w:t>
      </w:r>
      <w:r w:rsidRPr="004C7647">
        <w:rPr>
          <w:rFonts w:ascii="Palatino Linotype" w:hAnsi="Palatino Linotype"/>
          <w:i/>
          <w:color w:val="000000" w:themeColor="text1"/>
          <w:szCs w:val="20"/>
        </w:rPr>
        <w:t xml:space="preserve">El acceso a la información pública será restringido excepcionalmente, cuando por razones de interés público, ésta sea clasificada como reservada, conforme a los criterios siguientes: </w:t>
      </w:r>
    </w:p>
    <w:p w:rsidR="009D70C5" w:rsidRPr="004C7647" w:rsidRDefault="009D70C5" w:rsidP="009D70C5">
      <w:pPr>
        <w:autoSpaceDE w:val="0"/>
        <w:autoSpaceDN w:val="0"/>
        <w:adjustRightInd w:val="0"/>
        <w:spacing w:after="120"/>
        <w:ind w:left="567" w:right="902"/>
        <w:jc w:val="both"/>
        <w:rPr>
          <w:rFonts w:ascii="Palatino Linotype" w:hAnsi="Palatino Linotype"/>
          <w:i/>
          <w:color w:val="000000" w:themeColor="text1"/>
          <w:szCs w:val="20"/>
        </w:rPr>
      </w:pPr>
      <w:r w:rsidRPr="004C7647">
        <w:rPr>
          <w:rFonts w:ascii="Palatino Linotype" w:hAnsi="Palatino Linotype"/>
          <w:b/>
          <w:i/>
          <w:color w:val="000000" w:themeColor="text1"/>
          <w:szCs w:val="20"/>
        </w:rPr>
        <w:t>I.</w:t>
      </w:r>
      <w:r w:rsidRPr="004C7647">
        <w:rPr>
          <w:rFonts w:ascii="Palatino Linotype" w:hAnsi="Palatino Linotype"/>
          <w:i/>
          <w:color w:val="000000" w:themeColor="text1"/>
          <w:szCs w:val="20"/>
        </w:rPr>
        <w:t xml:space="preserve"> Comprometa la seguridad pública y cuente con un propósito genuino y un efecto demostrable;…” (Sic)</w:t>
      </w:r>
    </w:p>
    <w:p w:rsidR="009D70C5" w:rsidRDefault="009D70C5" w:rsidP="009D70C5">
      <w:pPr>
        <w:pStyle w:val="Sinespaciado"/>
      </w:pPr>
    </w:p>
    <w:p w:rsidR="009D70C5" w:rsidRPr="001C4BDC" w:rsidRDefault="009D70C5" w:rsidP="009D70C5">
      <w:pPr>
        <w:spacing w:after="240" w:line="360" w:lineRule="auto"/>
        <w:jc w:val="both"/>
        <w:rPr>
          <w:rFonts w:ascii="Palatino Linotype" w:hAnsi="Palatino Linotype" w:cs="Arial"/>
          <w:color w:val="000000" w:themeColor="text1"/>
          <w:sz w:val="24"/>
        </w:rPr>
      </w:pPr>
      <w:r w:rsidRPr="001C4BDC">
        <w:rPr>
          <w:rFonts w:ascii="Palatino Linotype" w:hAnsi="Palatino Linotype" w:cs="Arial"/>
          <w:color w:val="000000" w:themeColor="text1"/>
          <w:sz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9D70C5" w:rsidRDefault="009D70C5" w:rsidP="009D70C5">
      <w:pPr>
        <w:spacing w:after="240" w:line="360" w:lineRule="auto"/>
        <w:jc w:val="both"/>
        <w:rPr>
          <w:rFonts w:ascii="Palatino Linotype" w:hAnsi="Palatino Linotype" w:cs="Arial"/>
          <w:color w:val="000000" w:themeColor="text1"/>
          <w:sz w:val="24"/>
        </w:rPr>
      </w:pPr>
      <w:r w:rsidRPr="001C4BDC">
        <w:rPr>
          <w:rFonts w:ascii="Palatino Linotype" w:hAnsi="Palatino Linotype" w:cs="Arial"/>
          <w:color w:val="000000" w:themeColor="text1"/>
          <w:sz w:val="24"/>
        </w:rPr>
        <w:t>En el caso en particular, es necesario limitar la publicación de cierta información, ya que podría poner en riesgo la seguridad pública, de entregarse información que una institución tiene para prevenir y combatir la comisión de delitos. Debido a que su difusión, facilitaría a células delictivas el neutralizar las acciones, implementadas o por implementar, en materia de seguridad pública para la preservación del orden y la paz pública.</w:t>
      </w:r>
    </w:p>
    <w:p w:rsidR="00A868F5" w:rsidRPr="001C4BDC" w:rsidRDefault="00A868F5" w:rsidP="009D70C5">
      <w:pPr>
        <w:spacing w:after="240" w:line="360" w:lineRule="auto"/>
        <w:jc w:val="both"/>
        <w:rPr>
          <w:rFonts w:ascii="Palatino Linotype" w:hAnsi="Palatino Linotype" w:cs="Arial"/>
          <w:color w:val="000000" w:themeColor="text1"/>
          <w:sz w:val="24"/>
        </w:rPr>
      </w:pPr>
    </w:p>
    <w:p w:rsidR="009D70C5" w:rsidRPr="001C4BDC" w:rsidRDefault="009D70C5" w:rsidP="009D70C5">
      <w:pPr>
        <w:spacing w:before="240" w:after="240" w:line="360" w:lineRule="auto"/>
        <w:jc w:val="both"/>
        <w:rPr>
          <w:rFonts w:ascii="Palatino Linotype" w:hAnsi="Palatino Linotype"/>
          <w:color w:val="000000" w:themeColor="text1"/>
          <w:sz w:val="24"/>
        </w:rPr>
      </w:pPr>
      <w:r w:rsidRPr="001C4BDC">
        <w:rPr>
          <w:rFonts w:ascii="Palatino Linotype" w:hAnsi="Palatino Linotype" w:cs="Arial"/>
          <w:color w:val="000000" w:themeColor="text1"/>
          <w:sz w:val="24"/>
        </w:rPr>
        <w:t xml:space="preserve">En relación directa con lo anterior, cabe decir que en términos del Capítulo V de los Lineamientos Generales en Materia de Clasificación y Desclasificación de la Información, así como para la Elaboración de Versiones Públicas, es información </w:t>
      </w:r>
      <w:r w:rsidRPr="001C4BDC">
        <w:rPr>
          <w:rFonts w:ascii="Palatino Linotype" w:hAnsi="Palatino Linotype" w:cs="Arial"/>
          <w:color w:val="000000" w:themeColor="text1"/>
          <w:sz w:val="24"/>
        </w:rPr>
        <w:lastRenderedPageBreak/>
        <w:t>reservada, aquella que de difundirse actualice o potencialice un riesgo o amenaza a la seguridad nacional cuando, s</w:t>
      </w:r>
      <w:r w:rsidRPr="001C4BDC">
        <w:rPr>
          <w:rFonts w:ascii="Palatino Linotype" w:hAnsi="Palatino Linotype"/>
          <w:color w:val="000000" w:themeColor="text1"/>
          <w:sz w:val="24"/>
        </w:rPr>
        <w:t xml:space="preserve">e obstaculicen o bloqueen las actividades de inteligencia o contrainteligencia y cuando se </w:t>
      </w:r>
      <w:r w:rsidRPr="001C4BDC">
        <w:rPr>
          <w:rFonts w:ascii="Palatino Linotype" w:hAnsi="Palatino Linotype"/>
          <w:color w:val="000000" w:themeColor="text1"/>
          <w:sz w:val="24"/>
          <w:u w:val="single"/>
        </w:rPr>
        <w:t>revelen normas</w:t>
      </w:r>
      <w:r w:rsidRPr="001C4BDC">
        <w:rPr>
          <w:rFonts w:ascii="Palatino Linotype" w:hAnsi="Palatino Linotype"/>
          <w:color w:val="000000" w:themeColor="text1"/>
          <w:sz w:val="24"/>
        </w:rPr>
        <w:t xml:space="preserve">, procedimientos, métodos, fuentes, </w:t>
      </w:r>
      <w:r w:rsidRPr="00975521">
        <w:rPr>
          <w:rFonts w:ascii="Palatino Linotype" w:hAnsi="Palatino Linotype"/>
          <w:color w:val="000000" w:themeColor="text1"/>
          <w:sz w:val="24"/>
          <w:u w:val="single"/>
        </w:rPr>
        <w:t>especificaciones técnicas</w:t>
      </w:r>
      <w:r w:rsidRPr="001C4BDC">
        <w:rPr>
          <w:rFonts w:ascii="Palatino Linotype" w:hAnsi="Palatino Linotype"/>
          <w:color w:val="000000" w:themeColor="text1"/>
          <w:sz w:val="24"/>
        </w:rPr>
        <w:t xml:space="preserve">, </w:t>
      </w:r>
      <w:r w:rsidRPr="001C4BDC">
        <w:rPr>
          <w:rFonts w:ascii="Palatino Linotype" w:hAnsi="Palatino Linotype"/>
          <w:color w:val="000000" w:themeColor="text1"/>
          <w:sz w:val="24"/>
          <w:u w:val="single"/>
        </w:rPr>
        <w:t>tecnología o equipo que sean útiles para la generación de inteligencia para la seguridad nacional</w:t>
      </w:r>
      <w:r w:rsidRPr="001C4BDC">
        <w:rPr>
          <w:rFonts w:ascii="Palatino Linotype" w:hAnsi="Palatino Linotype"/>
          <w:color w:val="000000" w:themeColor="text1"/>
          <w:sz w:val="24"/>
        </w:rPr>
        <w:t>.</w:t>
      </w:r>
    </w:p>
    <w:p w:rsidR="009D70C5" w:rsidRPr="001C4BDC" w:rsidRDefault="009D70C5" w:rsidP="009D70C5">
      <w:pPr>
        <w:spacing w:before="240" w:after="240" w:line="360" w:lineRule="auto"/>
        <w:jc w:val="both"/>
        <w:rPr>
          <w:rFonts w:ascii="Palatino Linotype" w:hAnsi="Palatino Linotype" w:cs="Arial"/>
          <w:color w:val="000000" w:themeColor="text1"/>
          <w:sz w:val="24"/>
        </w:rPr>
      </w:pPr>
      <w:r w:rsidRPr="001C4BDC">
        <w:rPr>
          <w:rFonts w:ascii="Palatino Linotype" w:hAnsi="Palatino Linotype"/>
          <w:color w:val="000000" w:themeColor="text1"/>
          <w:sz w:val="24"/>
        </w:rPr>
        <w:t xml:space="preserve">No obstante, que en términos del último párrafo del numeral Décimo séptimo, de los Lineamientos en cuestión, podrá considerarse como reservada aquella que revele </w:t>
      </w:r>
      <w:r w:rsidRPr="00975521">
        <w:rPr>
          <w:rFonts w:ascii="Palatino Linotype" w:hAnsi="Palatino Linotype"/>
          <w:color w:val="000000" w:themeColor="text1"/>
          <w:sz w:val="24"/>
          <w:u w:val="single"/>
        </w:rPr>
        <w:t>d</w:t>
      </w:r>
      <w:r w:rsidRPr="001C4BDC">
        <w:rPr>
          <w:rFonts w:ascii="Palatino Linotype" w:hAnsi="Palatino Linotype"/>
          <w:color w:val="000000" w:themeColor="text1"/>
          <w:sz w:val="24"/>
          <w:u w:val="single"/>
        </w:rPr>
        <w:t>atos que pudieran ser aprovechados para conocer la capacidad de reacción de las instituciones encargadas de la seguridad nacional;</w:t>
      </w:r>
      <w:r w:rsidRPr="001C4BDC">
        <w:rPr>
          <w:rFonts w:ascii="Palatino Linotype" w:hAnsi="Palatino Linotype"/>
          <w:color w:val="000000" w:themeColor="text1"/>
          <w:sz w:val="24"/>
        </w:rPr>
        <w:t xml:space="preserve"> sus normas, procedimientos, métodos, fuentes, especificaciones técnicas, </w:t>
      </w:r>
      <w:r w:rsidRPr="001C4BDC">
        <w:rPr>
          <w:rFonts w:ascii="Palatino Linotype" w:hAnsi="Palatino Linotype"/>
          <w:color w:val="000000" w:themeColor="text1"/>
          <w:sz w:val="24"/>
          <w:u w:val="single"/>
        </w:rPr>
        <w:t>tecnología o equipo útiles a la generación de inteligencia para la Seguridad Nacional</w:t>
      </w:r>
      <w:r w:rsidRPr="001C4BDC">
        <w:rPr>
          <w:rFonts w:ascii="Palatino Linotype" w:hAnsi="Palatino Linotype"/>
          <w:color w:val="000000" w:themeColor="text1"/>
          <w:sz w:val="24"/>
        </w:rPr>
        <w:t>, sin importar la naturaleza o el origen de los documentos que la consignen.</w:t>
      </w:r>
    </w:p>
    <w:p w:rsidR="009D70C5" w:rsidRPr="001C4BDC" w:rsidRDefault="009D70C5" w:rsidP="009D70C5">
      <w:pPr>
        <w:spacing w:before="240" w:after="240" w:line="360" w:lineRule="auto"/>
        <w:jc w:val="both"/>
        <w:rPr>
          <w:rFonts w:ascii="Palatino Linotype" w:hAnsi="Palatino Linotype" w:cs="Arial"/>
          <w:color w:val="000000" w:themeColor="text1"/>
          <w:sz w:val="24"/>
        </w:rPr>
      </w:pPr>
      <w:r w:rsidRPr="001C4BDC">
        <w:rPr>
          <w:rFonts w:ascii="Palatino Linotype" w:hAnsi="Palatino Linotype" w:cs="Arial"/>
          <w:color w:val="000000" w:themeColor="text1"/>
          <w:sz w:val="24"/>
        </w:rPr>
        <w:t xml:space="preserve"> Se robustece lo anterior, con el criterio de jurisprudencia emitido por la suprema Corte de Justicia de la Nación, que es del texto y rubro siguiente:</w:t>
      </w:r>
    </w:p>
    <w:p w:rsidR="009D70C5" w:rsidRPr="001C4BDC" w:rsidRDefault="009D70C5" w:rsidP="009D70C5">
      <w:pPr>
        <w:spacing w:after="120"/>
        <w:ind w:left="851" w:right="900"/>
        <w:jc w:val="both"/>
        <w:rPr>
          <w:rFonts w:ascii="Palatino Linotype" w:hAnsi="Palatino Linotype" w:cs="Arial"/>
          <w:i/>
          <w:color w:val="000000" w:themeColor="text1"/>
          <w:sz w:val="20"/>
          <w:szCs w:val="20"/>
        </w:rPr>
      </w:pPr>
      <w:r w:rsidRPr="001C4BDC">
        <w:rPr>
          <w:rFonts w:ascii="Palatino Linotype" w:hAnsi="Palatino Linotype" w:cs="Arial"/>
          <w:b/>
          <w:i/>
          <w:color w:val="000000" w:themeColor="text1"/>
          <w:sz w:val="20"/>
          <w:szCs w:val="20"/>
        </w:rPr>
        <w:t>“INFORMACIÓN RESERVADA. LÍMITE AL DERECHO DE ACCESO A LA INFORMACIÓN (LEY FEDERAL DE TRANSPARENCIA Y ACCESO A LA INFORMACIÓN PÚBLICA GUBERNAMENTAL).*</w:t>
      </w:r>
      <w:r w:rsidRPr="001C4BDC">
        <w:rPr>
          <w:rFonts w:ascii="Palatino Linotype" w:hAnsi="Palatino Linotype" w:cs="Arial"/>
          <w:i/>
          <w:color w:val="000000" w:themeColor="text1"/>
          <w:sz w:val="20"/>
          <w:szCs w:val="20"/>
        </w:rPr>
        <w:t xml:space="preserve"> 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w:t>
      </w:r>
      <w:r w:rsidRPr="001C4BDC">
        <w:rPr>
          <w:rFonts w:ascii="Palatino Linotype" w:hAnsi="Palatino Linotype" w:cs="Arial"/>
          <w:i/>
          <w:color w:val="000000" w:themeColor="text1"/>
          <w:sz w:val="20"/>
          <w:szCs w:val="20"/>
        </w:rPr>
        <w:lastRenderedPageBreak/>
        <w:t>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4) poner en riesgo la vida, seguridad o salud de alguna persona; o 5) causar perjuicio al cumplimiento de las leyes, prevención o verificación de delitos,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específico, de supuestos en los cuales la información también se considerará reservada: 1) la que expresamente se clasifique como confidencial, reservada, comercial reservada o gubernamental reservada; 2) secretos comercial, industrial, fiscal, bancario, fiduciario u otros; 3) averiguaciones previas;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w:t>
      </w:r>
    </w:p>
    <w:p w:rsidR="009D70C5" w:rsidRDefault="009D70C5" w:rsidP="009D70C5">
      <w:pPr>
        <w:spacing w:line="360" w:lineRule="auto"/>
        <w:jc w:val="both"/>
        <w:rPr>
          <w:rFonts w:ascii="Palatino Linotype" w:hAnsi="Palatino Linotype" w:cs="Arial"/>
          <w:color w:val="000000" w:themeColor="text1"/>
          <w:sz w:val="24"/>
        </w:rPr>
      </w:pPr>
    </w:p>
    <w:p w:rsidR="009D70C5" w:rsidRPr="0027490E" w:rsidRDefault="009D70C5" w:rsidP="009D70C5">
      <w:pPr>
        <w:tabs>
          <w:tab w:val="left" w:pos="709"/>
        </w:tabs>
        <w:spacing w:line="360" w:lineRule="auto"/>
        <w:jc w:val="both"/>
        <w:rPr>
          <w:rFonts w:ascii="Palatino Linotype" w:hAnsi="Palatino Linotype"/>
          <w:sz w:val="24"/>
          <w:szCs w:val="24"/>
        </w:rPr>
      </w:pPr>
      <w:r w:rsidRPr="0027490E">
        <w:rPr>
          <w:rFonts w:ascii="Palatino Linotype" w:hAnsi="Palatino Linotype" w:cs="Arial"/>
          <w:sz w:val="24"/>
          <w:szCs w:val="24"/>
          <w:lang w:eastAsia="es-MX"/>
        </w:rPr>
        <w:t xml:space="preserve">De los preceptos anteriores, se aduce que, </w:t>
      </w:r>
      <w:r w:rsidRPr="0027490E">
        <w:rPr>
          <w:rFonts w:ascii="Palatino Linotype" w:hAnsi="Palatino Linotype" w:cs="Arial"/>
          <w:b/>
          <w:sz w:val="24"/>
          <w:szCs w:val="24"/>
          <w:lang w:eastAsia="es-MX"/>
        </w:rPr>
        <w:t>EL SUJETO OBLIGADO</w:t>
      </w:r>
      <w:r w:rsidRPr="0027490E">
        <w:rPr>
          <w:rFonts w:ascii="Palatino Linotype" w:hAnsi="Palatino Linotype" w:cs="Arial"/>
          <w:sz w:val="24"/>
          <w:szCs w:val="24"/>
          <w:lang w:eastAsia="es-MX"/>
        </w:rPr>
        <w:t xml:space="preserve"> tiene el deber de poner a disposición del público en su portal de transparencia electrónico, todos aquellos procesos, resultados de licitaciones, contratos celebrados, concesiones, que celebre el municipio con los particulares, ya que son de interés público y se manejan recursos financieros de la misma naturaleza, no pasa desapercibido que los </w:t>
      </w:r>
      <w:r w:rsidRPr="0027490E">
        <w:rPr>
          <w:rFonts w:ascii="Palatino Linotype" w:hAnsi="Palatino Linotype" w:cs="Arial"/>
          <w:sz w:val="24"/>
          <w:szCs w:val="24"/>
        </w:rPr>
        <w:t xml:space="preserve">Preceptos normativos disponen que la clasificación es el proceso mediante el cual el </w:t>
      </w:r>
      <w:r w:rsidRPr="0027490E">
        <w:rPr>
          <w:rFonts w:ascii="Palatino Linotype" w:hAnsi="Palatino Linotype" w:cs="Arial"/>
          <w:b/>
          <w:sz w:val="24"/>
          <w:szCs w:val="24"/>
        </w:rPr>
        <w:t xml:space="preserve">Sujeto Obligado </w:t>
      </w:r>
      <w:r w:rsidRPr="0027490E">
        <w:rPr>
          <w:rFonts w:ascii="Palatino Linotype" w:hAnsi="Palatino Linotype" w:cs="Arial"/>
          <w:sz w:val="24"/>
          <w:szCs w:val="24"/>
        </w:rPr>
        <w:t xml:space="preserve">deberá determinar que la información en su poder actualiza alguno de los supuestos de reserva de la información, al cual recae el acuerdo de clasificación de </w:t>
      </w:r>
      <w:r w:rsidRPr="0027490E">
        <w:rPr>
          <w:rFonts w:ascii="Palatino Linotype" w:hAnsi="Palatino Linotype" w:cs="Arial"/>
          <w:sz w:val="24"/>
          <w:szCs w:val="24"/>
        </w:rPr>
        <w:lastRenderedPageBreak/>
        <w:t>información reservada, en el que deberá determinar el plazo de reserva, que conformidad con la Ley en la Materia, podrá permanecer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por cinco años adicionales y por una sola vez, siempre y cuando justifiquen que subsistente las causas que dieron origen a su clasificación, mediante la aplicación de la prueba de daño</w:t>
      </w:r>
      <w:r w:rsidRPr="0027490E">
        <w:rPr>
          <w:rStyle w:val="Refdenotaalpie"/>
          <w:rFonts w:ascii="Palatino Linotype" w:hAnsi="Palatino Linotype" w:cs="Arial"/>
          <w:sz w:val="24"/>
          <w:szCs w:val="24"/>
        </w:rPr>
        <w:footnoteReference w:id="7"/>
      </w:r>
      <w:r w:rsidRPr="0027490E">
        <w:rPr>
          <w:rFonts w:ascii="Palatino Linotype" w:hAnsi="Palatino Linotype" w:cs="Arial"/>
          <w:sz w:val="24"/>
          <w:szCs w:val="24"/>
        </w:rPr>
        <w:t xml:space="preserve">, en la que se justificaran las razones, motivos o circunstancias especiales que lo llevaron a concluir que el caso concreto, se ajustó a los supuestos previstos en la normatividad como fundamento. </w:t>
      </w:r>
    </w:p>
    <w:p w:rsidR="009D70C5" w:rsidRPr="0027490E" w:rsidRDefault="009D70C5" w:rsidP="009D70C5">
      <w:pPr>
        <w:pStyle w:val="Sinespaciado"/>
        <w:rPr>
          <w:sz w:val="24"/>
          <w:szCs w:val="24"/>
          <w:lang w:eastAsia="es-MX"/>
        </w:rPr>
      </w:pPr>
    </w:p>
    <w:p w:rsidR="009D70C5" w:rsidRPr="0027490E" w:rsidRDefault="009D70C5" w:rsidP="009D70C5">
      <w:pPr>
        <w:spacing w:after="260" w:line="360" w:lineRule="auto"/>
        <w:ind w:right="-232"/>
        <w:jc w:val="both"/>
        <w:rPr>
          <w:rFonts w:ascii="Palatino Linotype" w:hAnsi="Palatino Linotype"/>
          <w:color w:val="000000"/>
          <w:sz w:val="24"/>
          <w:szCs w:val="24"/>
          <w:lang w:eastAsia="es-MX"/>
        </w:rPr>
      </w:pPr>
      <w:r w:rsidRPr="0027490E">
        <w:rPr>
          <w:rFonts w:ascii="Palatino Linotype" w:hAnsi="Palatino Linotype"/>
          <w:color w:val="000000"/>
          <w:sz w:val="24"/>
          <w:szCs w:val="24"/>
          <w:lang w:eastAsia="es-MX"/>
        </w:rPr>
        <w:t>Cobra aplicación la jurisprudencia de la novena época visible en el Semanario Judicial de la Federación y su Gaceta. Instancia: Tribunales Colegiados de Circuito. Tesis I.4o.A.J/43 (9a.) bajo el número de registro 175082 cuyo rubro y texto esgrime:</w:t>
      </w:r>
    </w:p>
    <w:p w:rsidR="009D70C5" w:rsidRPr="00C81EC9" w:rsidRDefault="009D70C5" w:rsidP="009D70C5">
      <w:pPr>
        <w:spacing w:after="120"/>
        <w:ind w:left="851" w:right="902"/>
        <w:jc w:val="both"/>
        <w:rPr>
          <w:rFonts w:ascii="Palatino Linotype" w:hAnsi="Palatino Linotype"/>
          <w:b/>
          <w:bCs/>
          <w:i/>
          <w:color w:val="000000"/>
          <w:sz w:val="20"/>
          <w:szCs w:val="20"/>
          <w:lang w:eastAsia="es-MX"/>
        </w:rPr>
      </w:pPr>
      <w:r w:rsidRPr="00C81EC9">
        <w:rPr>
          <w:rFonts w:ascii="Palatino Linotype" w:hAnsi="Palatino Linotype"/>
          <w:b/>
          <w:bCs/>
          <w:i/>
          <w:color w:val="000000"/>
          <w:sz w:val="20"/>
          <w:szCs w:val="20"/>
          <w:lang w:eastAsia="es-MX"/>
        </w:rPr>
        <w:t>FUNDAMENTACIÓN Y MOTIVACIÓN. EL ASPECTO FORMAL DE LA GARANTÍA Y SU FINALIDAD SE TRADUCEN EN EXPLICAR, JUSTIFICAR, POSIBILITAR LA DEFENSA Y COMUNICAR LA DECISIÓN.</w:t>
      </w:r>
    </w:p>
    <w:p w:rsidR="009D70C5" w:rsidRPr="00C81EC9" w:rsidRDefault="009D70C5" w:rsidP="009D70C5">
      <w:pPr>
        <w:spacing w:after="120"/>
        <w:ind w:left="851" w:right="902"/>
        <w:jc w:val="both"/>
        <w:rPr>
          <w:rFonts w:ascii="Palatino Linotype" w:hAnsi="Palatino Linotype"/>
          <w:i/>
          <w:color w:val="000000"/>
          <w:sz w:val="20"/>
          <w:szCs w:val="20"/>
          <w:lang w:eastAsia="es-MX"/>
        </w:rPr>
      </w:pPr>
      <w:r w:rsidRPr="00C81EC9">
        <w:rPr>
          <w:rFonts w:ascii="Palatino Linotype" w:hAnsi="Palatino Linotype"/>
          <w:i/>
          <w:color w:val="000000"/>
          <w:sz w:val="20"/>
          <w:szCs w:val="20"/>
          <w:lang w:eastAsia="es-MX"/>
        </w:rPr>
        <w:t>El contenido formal de la garantía de legalidad prevista en el artículo </w:t>
      </w:r>
      <w:hyperlink r:id="rId16" w:history="1">
        <w:r w:rsidRPr="00C81EC9">
          <w:rPr>
            <w:rFonts w:ascii="Palatino Linotype" w:hAnsi="Palatino Linotype"/>
            <w:i/>
            <w:sz w:val="20"/>
            <w:szCs w:val="20"/>
            <w:lang w:eastAsia="es-MX"/>
          </w:rPr>
          <w:t>16 constitucional</w:t>
        </w:r>
      </w:hyperlink>
      <w:r w:rsidRPr="00C81EC9">
        <w:rPr>
          <w:rFonts w:ascii="Palatino Linotype" w:hAnsi="Palatino Linotype"/>
          <w:i/>
          <w:color w:val="000000"/>
          <w:sz w:val="20"/>
          <w:szCs w:val="20"/>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w:t>
      </w:r>
      <w:r w:rsidRPr="00C81EC9">
        <w:rPr>
          <w:rFonts w:ascii="Palatino Linotype" w:hAnsi="Palatino Linotype"/>
          <w:i/>
          <w:color w:val="000000"/>
          <w:sz w:val="20"/>
          <w:szCs w:val="20"/>
          <w:lang w:eastAsia="es-MX"/>
        </w:rPr>
        <w:lastRenderedPageBreak/>
        <w:t>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color w:val="000000"/>
          <w:sz w:val="20"/>
          <w:szCs w:val="20"/>
          <w:lang w:eastAsia="es-MX"/>
        </w:rPr>
        <w:t>.”</w:t>
      </w:r>
    </w:p>
    <w:p w:rsidR="009D70C5" w:rsidRPr="004C6C07" w:rsidRDefault="009D70C5" w:rsidP="009D70C5">
      <w:pPr>
        <w:spacing w:before="240" w:after="240" w:line="360" w:lineRule="auto"/>
        <w:jc w:val="both"/>
        <w:rPr>
          <w:rFonts w:ascii="Palatino Linotype" w:hAnsi="Palatino Linotype" w:cs="Arial"/>
          <w:sz w:val="24"/>
          <w:szCs w:val="24"/>
        </w:rPr>
      </w:pPr>
      <w:r w:rsidRPr="004C6C07">
        <w:rPr>
          <w:rFonts w:ascii="Palatino Linotype" w:hAnsi="Palatino Linotype" w:cs="Arial"/>
          <w:sz w:val="24"/>
          <w:szCs w:val="24"/>
        </w:rPr>
        <w:t xml:space="preserve">La clasificación de la información se llevará a cabo en el momento que se reciba una solicitud de información, </w:t>
      </w:r>
      <w:r w:rsidRPr="004C6C07">
        <w:rPr>
          <w:rFonts w:ascii="Palatino Linotype" w:hAnsi="Palatino Linotype" w:cs="Arial"/>
          <w:b/>
          <w:sz w:val="24"/>
          <w:szCs w:val="24"/>
        </w:rPr>
        <w:t>cuando se determine mediante resolución de autoridad competente</w:t>
      </w:r>
      <w:r w:rsidRPr="004C6C07">
        <w:rPr>
          <w:rFonts w:ascii="Palatino Linotype" w:hAnsi="Palatino Linotype" w:cs="Arial"/>
          <w:sz w:val="24"/>
          <w:szCs w:val="24"/>
        </w:rPr>
        <w:t xml:space="preserve"> o bien, en la generación de versiones públicas para dar cumplimiento a las obligaciones de transparencias previstas en la Ley. </w:t>
      </w:r>
    </w:p>
    <w:p w:rsidR="009D70C5" w:rsidRPr="004C6C07" w:rsidRDefault="009D70C5" w:rsidP="009D70C5">
      <w:pPr>
        <w:spacing w:before="240" w:after="240" w:line="360" w:lineRule="auto"/>
        <w:jc w:val="both"/>
        <w:rPr>
          <w:rFonts w:ascii="Palatino Linotype" w:hAnsi="Palatino Linotype"/>
          <w:sz w:val="24"/>
          <w:szCs w:val="24"/>
        </w:rPr>
      </w:pPr>
      <w:r w:rsidRPr="004C6C07">
        <w:rPr>
          <w:rFonts w:ascii="Palatino Linotype" w:hAnsi="Palatino Linotype"/>
          <w:sz w:val="24"/>
          <w:szCs w:val="24"/>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rsidR="009D70C5" w:rsidRPr="004C6C07" w:rsidRDefault="009D70C5" w:rsidP="009D70C5">
      <w:pPr>
        <w:spacing w:before="240" w:after="240" w:line="360" w:lineRule="auto"/>
        <w:jc w:val="both"/>
        <w:rPr>
          <w:rFonts w:ascii="Palatino Linotype" w:hAnsi="Palatino Linotype" w:cs="Arial"/>
          <w:sz w:val="24"/>
          <w:szCs w:val="24"/>
        </w:rPr>
      </w:pPr>
      <w:r w:rsidRPr="004C6C07">
        <w:rPr>
          <w:rFonts w:ascii="Palatino Linotype" w:hAnsi="Palatino Linotype" w:cs="Arial"/>
          <w:sz w:val="24"/>
          <w:szCs w:val="24"/>
        </w:rPr>
        <w:t>En los casos en que la información solicitada por los particulares actualice algún supuesto de información reservada, le corresponde a los sujetos obligados la carga de la prueba para justificar la negativa de acceso a la información.</w:t>
      </w:r>
    </w:p>
    <w:p w:rsidR="009D70C5" w:rsidRDefault="009D70C5" w:rsidP="009D70C5">
      <w:pPr>
        <w:spacing w:line="360" w:lineRule="auto"/>
        <w:jc w:val="both"/>
        <w:rPr>
          <w:rFonts w:ascii="Palatino Linotype" w:hAnsi="Palatino Linotype" w:cs="Arial"/>
          <w:sz w:val="24"/>
          <w:szCs w:val="24"/>
          <w:lang w:eastAsia="es-MX"/>
        </w:rPr>
      </w:pPr>
      <w:r w:rsidRPr="004C6C07">
        <w:rPr>
          <w:rFonts w:ascii="Palatino Linotype" w:hAnsi="Palatino Linotype" w:cs="Arial"/>
          <w:sz w:val="24"/>
          <w:szCs w:val="24"/>
        </w:rPr>
        <w:t xml:space="preserve">En esa tesitura, se concluye que el </w:t>
      </w:r>
      <w:r w:rsidR="00A868F5" w:rsidRPr="00A868F5">
        <w:rPr>
          <w:rFonts w:ascii="Palatino Linotype" w:hAnsi="Palatino Linotype" w:cs="Arial"/>
          <w:sz w:val="24"/>
          <w:szCs w:val="24"/>
        </w:rPr>
        <w:t>Ayuntamiento de Chicoloapan</w:t>
      </w:r>
      <w:r w:rsidR="00A868F5">
        <w:rPr>
          <w:rFonts w:ascii="Palatino Linotype" w:hAnsi="Palatino Linotype" w:cs="Arial"/>
          <w:sz w:val="24"/>
          <w:szCs w:val="24"/>
        </w:rPr>
        <w:t xml:space="preserve"> </w:t>
      </w:r>
      <w:r w:rsidRPr="004C6C07">
        <w:rPr>
          <w:rFonts w:ascii="Palatino Linotype" w:hAnsi="Palatino Linotype" w:cs="Arial"/>
          <w:sz w:val="24"/>
          <w:szCs w:val="24"/>
        </w:rPr>
        <w:t xml:space="preserve">no satisfizo el derecho de acceso a la información del particular, </w:t>
      </w:r>
      <w:r w:rsidR="003F1052" w:rsidRPr="00B231BC">
        <w:rPr>
          <w:rFonts w:ascii="Palatino Linotype" w:hAnsi="Palatino Linotype" w:cs="Arial"/>
          <w:sz w:val="24"/>
          <w:szCs w:val="24"/>
        </w:rPr>
        <w:t>lo anterior en razón de que</w:t>
      </w:r>
      <w:r w:rsidR="00A868F5">
        <w:rPr>
          <w:rFonts w:ascii="Palatino Linotype" w:hAnsi="Palatino Linotype" w:cs="Arial"/>
          <w:sz w:val="24"/>
          <w:szCs w:val="24"/>
        </w:rPr>
        <w:t xml:space="preserve"> no dio atención a la solicitud de información</w:t>
      </w:r>
      <w:r w:rsidRPr="004C6C07">
        <w:rPr>
          <w:rFonts w:ascii="Palatino Linotype" w:hAnsi="Palatino Linotype" w:cs="Arial"/>
          <w:sz w:val="24"/>
          <w:szCs w:val="24"/>
        </w:rPr>
        <w:t>, por</w:t>
      </w:r>
      <w:r>
        <w:rPr>
          <w:rFonts w:ascii="Palatino Linotype" w:hAnsi="Palatino Linotype" w:cs="Arial"/>
          <w:sz w:val="24"/>
          <w:szCs w:val="24"/>
        </w:rPr>
        <w:t xml:space="preserve"> lo </w:t>
      </w:r>
      <w:r w:rsidRPr="004C6C07">
        <w:rPr>
          <w:rFonts w:ascii="Palatino Linotype" w:hAnsi="Palatino Linotype" w:cs="Arial"/>
          <w:sz w:val="24"/>
          <w:szCs w:val="24"/>
          <w:lang w:eastAsia="es-MX"/>
        </w:rPr>
        <w:t>que se considera procedente</w:t>
      </w:r>
      <w:r>
        <w:rPr>
          <w:rFonts w:ascii="Palatino Linotype" w:hAnsi="Palatino Linotype" w:cs="Arial"/>
          <w:sz w:val="24"/>
          <w:szCs w:val="24"/>
          <w:lang w:eastAsia="es-MX"/>
        </w:rPr>
        <w:t xml:space="preserve"> ordenar </w:t>
      </w:r>
      <w:r w:rsidR="00A868F5">
        <w:rPr>
          <w:rFonts w:ascii="Palatino Linotype" w:hAnsi="Palatino Linotype" w:cs="Arial"/>
          <w:sz w:val="24"/>
          <w:szCs w:val="24"/>
          <w:lang w:eastAsia="es-MX"/>
        </w:rPr>
        <w:t xml:space="preserve">a dicha autoridad atienda la solicitud de información </w:t>
      </w:r>
      <w:r>
        <w:rPr>
          <w:rFonts w:ascii="Palatino Linotype" w:hAnsi="Palatino Linotype" w:cs="Arial"/>
          <w:sz w:val="24"/>
          <w:szCs w:val="24"/>
          <w:lang w:eastAsia="es-MX"/>
        </w:rPr>
        <w:t xml:space="preserve">por el periodo comprendido del </w:t>
      </w:r>
      <w:r w:rsidR="003F1052">
        <w:rPr>
          <w:rFonts w:ascii="Palatino Linotype" w:hAnsi="Palatino Linotype" w:cs="Arial"/>
          <w:sz w:val="24"/>
          <w:szCs w:val="24"/>
        </w:rPr>
        <w:lastRenderedPageBreak/>
        <w:t>uno de enero</w:t>
      </w:r>
      <w:r>
        <w:rPr>
          <w:rFonts w:ascii="Palatino Linotype" w:hAnsi="Palatino Linotype" w:cs="Arial"/>
          <w:sz w:val="24"/>
          <w:szCs w:val="24"/>
        </w:rPr>
        <w:t xml:space="preserve"> al </w:t>
      </w:r>
      <w:r w:rsidR="003F1052">
        <w:rPr>
          <w:rFonts w:ascii="Palatino Linotype" w:hAnsi="Palatino Linotype" w:cs="Arial"/>
          <w:sz w:val="24"/>
          <w:szCs w:val="24"/>
        </w:rPr>
        <w:t>veintiuno de octubre de dos mil diecinueve</w:t>
      </w:r>
      <w:r>
        <w:rPr>
          <w:rFonts w:ascii="Palatino Linotype" w:hAnsi="Palatino Linotype" w:cs="Arial"/>
          <w:sz w:val="24"/>
          <w:szCs w:val="24"/>
          <w:lang w:eastAsia="es-MX"/>
        </w:rPr>
        <w:t xml:space="preserve"> para hacer entrega de la información correspondiente </w:t>
      </w:r>
      <w:r w:rsidR="008A2BF3">
        <w:rPr>
          <w:rFonts w:ascii="Palatino Linotype" w:hAnsi="Palatino Linotype" w:cs="Arial"/>
          <w:sz w:val="24"/>
          <w:szCs w:val="24"/>
          <w:lang w:eastAsia="es-MX"/>
        </w:rPr>
        <w:t>a l</w:t>
      </w:r>
      <w:r w:rsidR="008A2BF3" w:rsidRPr="008A2BF3">
        <w:rPr>
          <w:rFonts w:ascii="Palatino Linotype" w:hAnsi="Palatino Linotype" w:cs="Arial"/>
          <w:sz w:val="24"/>
          <w:szCs w:val="24"/>
          <w:lang w:eastAsia="es-MX"/>
        </w:rPr>
        <w:t xml:space="preserve">os contratos y facturas derivados de los bienes adquiridos y arrendados </w:t>
      </w:r>
      <w:r w:rsidR="00A868F5">
        <w:rPr>
          <w:rFonts w:ascii="Palatino Linotype" w:hAnsi="Palatino Linotype" w:cs="Arial"/>
          <w:sz w:val="24"/>
          <w:szCs w:val="24"/>
          <w:lang w:eastAsia="es-MX"/>
        </w:rPr>
        <w:t>con recursos federales y locales</w:t>
      </w:r>
      <w:r w:rsidR="008A2BF3" w:rsidRPr="008A2BF3">
        <w:rPr>
          <w:rFonts w:ascii="Palatino Linotype" w:hAnsi="Palatino Linotype" w:cs="Arial"/>
          <w:sz w:val="24"/>
          <w:szCs w:val="24"/>
          <w:lang w:eastAsia="es-MX"/>
        </w:rPr>
        <w:t xml:space="preserve"> e</w:t>
      </w:r>
      <w:r w:rsidR="008A2BF3">
        <w:rPr>
          <w:rFonts w:ascii="Palatino Linotype" w:hAnsi="Palatino Linotype" w:cs="Arial"/>
          <w:sz w:val="24"/>
          <w:szCs w:val="24"/>
          <w:lang w:eastAsia="es-MX"/>
        </w:rPr>
        <w:t>n materia de seguridad pública.</w:t>
      </w:r>
    </w:p>
    <w:p w:rsidR="0060166A" w:rsidRDefault="0060166A" w:rsidP="009D70C5">
      <w:pPr>
        <w:spacing w:line="360" w:lineRule="auto"/>
        <w:jc w:val="both"/>
        <w:rPr>
          <w:rFonts w:ascii="Palatino Linotype" w:hAnsi="Palatino Linotype" w:cs="Arial"/>
          <w:sz w:val="24"/>
          <w:szCs w:val="24"/>
          <w:lang w:eastAsia="es-MX"/>
        </w:rPr>
      </w:pPr>
    </w:p>
    <w:p w:rsidR="0060166A" w:rsidRPr="005107EA" w:rsidRDefault="0060166A" w:rsidP="0060166A">
      <w:pPr>
        <w:pStyle w:val="Sinespaciado"/>
        <w:numPr>
          <w:ilvl w:val="0"/>
          <w:numId w:val="38"/>
        </w:numPr>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rsidR="0060166A" w:rsidRPr="00477BC7" w:rsidRDefault="0060166A" w:rsidP="0060166A">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60166A" w:rsidRPr="00477BC7" w:rsidRDefault="0060166A" w:rsidP="0060166A">
      <w:pPr>
        <w:spacing w:after="0" w:line="360" w:lineRule="auto"/>
        <w:jc w:val="both"/>
        <w:rPr>
          <w:rFonts w:ascii="Palatino Linotype" w:eastAsia="Arial Unicode MS"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60166A" w:rsidRPr="00477BC7" w:rsidRDefault="0060166A" w:rsidP="0060166A">
      <w:pPr>
        <w:spacing w:after="0" w:line="360" w:lineRule="auto"/>
        <w:jc w:val="both"/>
        <w:rPr>
          <w:rFonts w:ascii="Palatino Linotype" w:eastAsia="Times New Roman" w:hAnsi="Palatino Linotype" w:cs="Times New Roman"/>
          <w:b/>
          <w:bCs/>
          <w:i/>
          <w:noProof/>
          <w:sz w:val="24"/>
          <w:szCs w:val="24"/>
          <w:lang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60166A" w:rsidRPr="00477BC7" w:rsidRDefault="0060166A" w:rsidP="0060166A">
      <w:pPr>
        <w:spacing w:after="0" w:line="240" w:lineRule="auto"/>
        <w:ind w:left="567" w:right="616"/>
        <w:jc w:val="both"/>
        <w:rPr>
          <w:rFonts w:ascii="Palatino Linotype" w:eastAsia="Times New Roman" w:hAnsi="Palatino Linotype" w:cs="Times New Roman"/>
          <w:i/>
          <w:lang w:eastAsia="es-ES"/>
        </w:rPr>
      </w:pP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lastRenderedPageBreak/>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60166A" w:rsidRPr="00477BC7" w:rsidRDefault="0060166A" w:rsidP="0060166A">
      <w:pPr>
        <w:spacing w:after="0" w:line="240" w:lineRule="auto"/>
        <w:ind w:left="567" w:right="616"/>
        <w:jc w:val="both"/>
        <w:rPr>
          <w:rFonts w:ascii="Palatino Linotype" w:eastAsia="Times New Roman" w:hAnsi="Palatino Linotype" w:cs="Arial"/>
          <w:i/>
          <w:lang w:eastAsia="es-ES"/>
        </w:rPr>
      </w:pPr>
    </w:p>
    <w:p w:rsidR="0060166A" w:rsidRPr="00477BC7" w:rsidRDefault="0060166A" w:rsidP="0060166A">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60166A" w:rsidRPr="00477BC7" w:rsidRDefault="0060166A" w:rsidP="0060166A">
      <w:pPr>
        <w:spacing w:after="0" w:line="240" w:lineRule="auto"/>
        <w:ind w:left="567" w:right="616"/>
        <w:jc w:val="both"/>
        <w:rPr>
          <w:rFonts w:ascii="Palatino Linotype" w:eastAsia="Times New Roman" w:hAnsi="Palatino Linotype" w:cs="Times New Roman"/>
          <w:sz w:val="24"/>
          <w:szCs w:val="24"/>
          <w:lang w:eastAsia="es-ES"/>
        </w:rPr>
      </w:pP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lastRenderedPageBreak/>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p>
    <w:p w:rsidR="0060166A" w:rsidRPr="00477BC7" w:rsidRDefault="0060166A" w:rsidP="0060166A">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60166A" w:rsidRPr="00477BC7" w:rsidRDefault="0060166A" w:rsidP="0060166A">
      <w:pPr>
        <w:spacing w:after="0" w:line="360" w:lineRule="auto"/>
        <w:jc w:val="both"/>
        <w:rPr>
          <w:rFonts w:ascii="Palatino Linotype" w:eastAsia="Arial Unicode MS"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Default="0060166A" w:rsidP="0060166A">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477BC7">
        <w:rPr>
          <w:rFonts w:ascii="Palatino Linotype" w:eastAsia="Arial Unicode MS" w:hAnsi="Palatino Linotype" w:cs="Times New Roman"/>
          <w:sz w:val="24"/>
          <w:szCs w:val="24"/>
          <w:lang w:val="es-ES" w:eastAsia="es-ES"/>
        </w:rPr>
        <w:lastRenderedPageBreak/>
        <w:t xml:space="preserve">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60166A" w:rsidRPr="00477BC7" w:rsidRDefault="0060166A" w:rsidP="0060166A">
      <w:pPr>
        <w:spacing w:after="0" w:line="360" w:lineRule="auto"/>
        <w:jc w:val="both"/>
        <w:rPr>
          <w:rFonts w:ascii="Palatino Linotype" w:eastAsia="Arial Unicode MS"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w:t>
      </w:r>
      <w:r w:rsidRPr="00477BC7">
        <w:rPr>
          <w:rFonts w:ascii="Palatino Linotype" w:eastAsia="Times New Roman" w:hAnsi="Palatino Linotype" w:cs="Times New Roman"/>
          <w:sz w:val="24"/>
          <w:szCs w:val="24"/>
          <w:lang w:val="es-ES_tradnl" w:eastAsia="es-ES"/>
        </w:rPr>
        <w:lastRenderedPageBreak/>
        <w:t xml:space="preserve">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Default="0060166A" w:rsidP="0060166A">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rsidR="0060166A" w:rsidRPr="00477BC7" w:rsidRDefault="0060166A" w:rsidP="0060166A">
      <w:pPr>
        <w:spacing w:after="0" w:line="360" w:lineRule="auto"/>
        <w:jc w:val="both"/>
        <w:rPr>
          <w:rFonts w:ascii="Palatino Linotype" w:eastAsia="Times New Roman" w:hAnsi="Palatino Linotype" w:cs="Times New Roman"/>
          <w:sz w:val="24"/>
          <w:szCs w:val="24"/>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w:t>
      </w:r>
      <w:r w:rsidRPr="00477BC7">
        <w:rPr>
          <w:rFonts w:ascii="Palatino Linotype" w:eastAsia="Times New Roman" w:hAnsi="Palatino Linotype" w:cs="Times New Roman"/>
          <w:sz w:val="24"/>
          <w:szCs w:val="24"/>
          <w:lang w:val="es-ES" w:eastAsia="es-MX"/>
        </w:rPr>
        <w:lastRenderedPageBreak/>
        <w:t>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60166A" w:rsidRPr="00477BC7" w:rsidRDefault="0060166A" w:rsidP="0060166A">
      <w:pPr>
        <w:spacing w:after="0" w:line="360" w:lineRule="auto"/>
        <w:jc w:val="both"/>
        <w:rPr>
          <w:rFonts w:ascii="Palatino Linotype" w:eastAsia="Times New Roman" w:hAnsi="Palatino Linotype" w:cs="Times New Roman"/>
          <w:b/>
          <w:bCs/>
          <w:sz w:val="24"/>
          <w:szCs w:val="24"/>
          <w:lang w:val="es-ES"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 xml:space="preserve">constituye un dato personal, ya que tiene como finalidad registrar a cada una de las personas que </w:t>
      </w:r>
      <w:r w:rsidRPr="00477BC7">
        <w:rPr>
          <w:rFonts w:ascii="Palatino Linotype" w:eastAsia="Times New Roman" w:hAnsi="Palatino Linotype" w:cs="Times New Roman"/>
          <w:sz w:val="24"/>
          <w:szCs w:val="24"/>
          <w:lang w:val="es-ES" w:eastAsia="es-MX"/>
        </w:rPr>
        <w:lastRenderedPageBreak/>
        <w:t>integran la población del país, con los datos que permitan certificar y acreditar fehacientemente su identidad, la cual servirá para identificarla de manera individual.</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60166A" w:rsidRPr="00477BC7" w:rsidRDefault="0060166A" w:rsidP="0060166A">
      <w:pPr>
        <w:spacing w:after="0" w:line="240" w:lineRule="auto"/>
        <w:ind w:left="709" w:right="757"/>
        <w:jc w:val="both"/>
        <w:rPr>
          <w:rFonts w:ascii="Palatino Linotype" w:eastAsia="Times New Roman" w:hAnsi="Palatino Linotype" w:cs="Arial"/>
          <w:i/>
          <w:szCs w:val="24"/>
          <w:lang w:val="es-ES" w:eastAsia="es-MX"/>
        </w:rPr>
      </w:pPr>
    </w:p>
    <w:p w:rsidR="0060166A" w:rsidRPr="00477BC7" w:rsidRDefault="0060166A" w:rsidP="0060166A">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rsidR="0060166A" w:rsidRPr="00477BC7" w:rsidRDefault="0060166A" w:rsidP="0060166A">
      <w:pPr>
        <w:spacing w:after="0" w:line="360" w:lineRule="auto"/>
        <w:jc w:val="both"/>
        <w:rPr>
          <w:rFonts w:ascii="Palatino Linotype" w:eastAsia="Times New Roman" w:hAnsi="Palatino Linotype" w:cs="Arial"/>
          <w:sz w:val="24"/>
          <w:szCs w:val="24"/>
          <w:lang w:val="es-ES" w:eastAsia="es-MX"/>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0166A" w:rsidRPr="00477BC7" w:rsidRDefault="0060166A" w:rsidP="0060166A">
      <w:pPr>
        <w:spacing w:after="0" w:line="240" w:lineRule="auto"/>
        <w:ind w:left="567" w:right="616"/>
        <w:jc w:val="both"/>
        <w:rPr>
          <w:rFonts w:ascii="Palatino Linotype" w:eastAsia="Times New Roman" w:hAnsi="Palatino Linotype" w:cs="Arial"/>
          <w:bCs/>
          <w:i/>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w:t>
      </w:r>
      <w:r w:rsidRPr="00477BC7">
        <w:rPr>
          <w:rFonts w:ascii="Palatino Linotype" w:eastAsia="Times New Roman" w:hAnsi="Palatino Linotype" w:cs="Times New Roman"/>
          <w:sz w:val="24"/>
          <w:szCs w:val="24"/>
          <w:lang w:val="es-ES" w:eastAsia="es-MX"/>
        </w:rPr>
        <w:lastRenderedPageBreak/>
        <w:t xml:space="preserve">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VI. Obligaciones a cargo del servidor público con las que haya consentido, derivadas de la adquisición o del uso de habitaciones consideradas como de interés social;</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60166A" w:rsidRPr="00477BC7" w:rsidRDefault="0060166A" w:rsidP="0060166A">
      <w:pPr>
        <w:spacing w:after="0" w:line="240" w:lineRule="auto"/>
        <w:ind w:left="567" w:right="616"/>
        <w:jc w:val="both"/>
        <w:rPr>
          <w:rFonts w:ascii="Palatino Linotype" w:eastAsia="Times New Roman" w:hAnsi="Palatino Linotype" w:cs="Times New Roman"/>
          <w:i/>
          <w:noProof/>
          <w:sz w:val="24"/>
          <w:szCs w:val="24"/>
          <w:lang w:val="es-ES" w:eastAsia="es-ES"/>
        </w:rPr>
      </w:pPr>
    </w:p>
    <w:p w:rsidR="0060166A" w:rsidRPr="00477BC7" w:rsidRDefault="0060166A" w:rsidP="0060166A">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60166A" w:rsidRPr="00477BC7" w:rsidRDefault="0060166A" w:rsidP="0060166A">
      <w:pPr>
        <w:spacing w:after="0" w:line="360" w:lineRule="auto"/>
        <w:jc w:val="both"/>
        <w:rPr>
          <w:rFonts w:ascii="Palatino Linotype" w:eastAsia="Times New Roman" w:hAnsi="Palatino Linotype" w:cs="Times New Roman"/>
          <w:sz w:val="24"/>
          <w:szCs w:val="24"/>
          <w:lang w:val="es-ES"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 xml:space="preserve">cuando clasifique un documento, ya sea en todo o en parte, debe atender lo dispuesto por la Ley de la materia, siendo </w:t>
      </w:r>
      <w:r w:rsidRPr="00477BC7">
        <w:rPr>
          <w:rFonts w:ascii="Palatino Linotype" w:eastAsia="Times New Roman" w:hAnsi="Palatino Linotype" w:cs="Times New Roman"/>
          <w:sz w:val="24"/>
          <w:szCs w:val="24"/>
          <w:lang w:eastAsia="es-MX"/>
        </w:rPr>
        <w:lastRenderedPageBreak/>
        <w:t>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MX"/>
        </w:rPr>
      </w:pPr>
    </w:p>
    <w:p w:rsidR="0060166A" w:rsidRPr="00477BC7" w:rsidRDefault="0060166A" w:rsidP="0060166A">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0166A" w:rsidRPr="00477BC7" w:rsidRDefault="0060166A" w:rsidP="0060166A">
      <w:pPr>
        <w:spacing w:after="0" w:line="360" w:lineRule="auto"/>
        <w:jc w:val="both"/>
        <w:rPr>
          <w:rFonts w:ascii="Palatino Linotype" w:eastAsia="Calibri"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w:t>
      </w:r>
      <w:r w:rsidRPr="00477BC7">
        <w:rPr>
          <w:rFonts w:ascii="Palatino Linotype" w:eastAsia="Times New Roman" w:hAnsi="Palatino Linotype" w:cs="Times New Roman"/>
          <w:sz w:val="24"/>
          <w:szCs w:val="24"/>
          <w:lang w:eastAsia="es-ES"/>
        </w:rPr>
        <w:lastRenderedPageBreak/>
        <w:t>y Desclasificación de la Información, así como para la elaboración de Versiones Públicas, que literalmente expresan:</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60166A" w:rsidRPr="00477BC7" w:rsidRDefault="0060166A" w:rsidP="0060166A">
      <w:pPr>
        <w:spacing w:after="0" w:line="240" w:lineRule="auto"/>
        <w:ind w:left="567" w:right="616"/>
        <w:jc w:val="both"/>
        <w:rPr>
          <w:rFonts w:ascii="Times New Roman" w:eastAsia="Times New Roman" w:hAnsi="Times New Roman" w:cs="Times New Roman"/>
          <w:b/>
          <w:i/>
          <w:lang w:eastAsia="es-MX"/>
        </w:rPr>
      </w:pPr>
    </w:p>
    <w:p w:rsidR="0060166A" w:rsidRPr="00477BC7" w:rsidRDefault="0060166A" w:rsidP="0060166A">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lastRenderedPageBreak/>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60166A" w:rsidRPr="00477BC7" w:rsidRDefault="0060166A" w:rsidP="0060166A">
      <w:pPr>
        <w:spacing w:after="0" w:line="360" w:lineRule="auto"/>
        <w:jc w:val="both"/>
        <w:rPr>
          <w:rFonts w:ascii="Palatino Linotype" w:eastAsia="Times New Roman" w:hAnsi="Palatino Linotype" w:cs="Arial"/>
          <w:i/>
          <w:sz w:val="24"/>
          <w:szCs w:val="24"/>
          <w:lang w:eastAsia="es-MX"/>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 xml:space="preserve">La debida fundamentación y motivación legal, deben entenderse, por lo primero, la cita del precepto legal aplicable al caso, y por lo segundo, las razones, motivos o circunstancias especiales que llevaron a la autoridad a </w:t>
      </w:r>
      <w:r w:rsidRPr="00477BC7">
        <w:rPr>
          <w:rFonts w:ascii="Palatino Linotype" w:eastAsia="Times New Roman" w:hAnsi="Palatino Linotype" w:cs="Times New Roman"/>
          <w:i/>
          <w:lang w:eastAsia="es-ES"/>
        </w:rPr>
        <w:lastRenderedPageBreak/>
        <w:t>concluir que el caso particular encuadra en el supuesto previsto por la norma legal invocada como fundamento.</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0166A" w:rsidRPr="00477BC7" w:rsidRDefault="0060166A" w:rsidP="0060166A">
      <w:pPr>
        <w:spacing w:after="0" w:line="360" w:lineRule="auto"/>
        <w:jc w:val="both"/>
        <w:rPr>
          <w:rFonts w:ascii="Palatino Linotype" w:eastAsia="Times New Roman" w:hAnsi="Palatino Linotype" w:cs="Times New Roman"/>
          <w:sz w:val="24"/>
          <w:szCs w:val="24"/>
          <w:lang w:eastAsia="es-ES"/>
        </w:rPr>
      </w:pPr>
    </w:p>
    <w:p w:rsidR="0060166A" w:rsidRPr="00185A85" w:rsidRDefault="0060166A" w:rsidP="0060166A">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A21B0D" w:rsidRDefault="00A21B0D" w:rsidP="008706DB">
      <w:pPr>
        <w:pStyle w:val="Textonotapie"/>
      </w:pPr>
    </w:p>
    <w:p w:rsidR="00787C6A" w:rsidRPr="007C5203" w:rsidRDefault="00787C6A" w:rsidP="00787C6A">
      <w:pPr>
        <w:autoSpaceDE w:val="0"/>
        <w:autoSpaceDN w:val="0"/>
        <w:adjustRightInd w:val="0"/>
        <w:spacing w:before="240" w:after="240" w:line="360" w:lineRule="auto"/>
        <w:jc w:val="both"/>
        <w:rPr>
          <w:rFonts w:ascii="Palatino Linotype" w:eastAsia="Calibri" w:hAnsi="Palatino Linotype" w:cs="Arial"/>
          <w:sz w:val="24"/>
        </w:rPr>
      </w:pPr>
      <w:r w:rsidRPr="007C5203">
        <w:rPr>
          <w:rFonts w:ascii="Palatino Linotype" w:eastAsia="Calibri" w:hAnsi="Palatino Linotype" w:cs="Arial"/>
          <w:sz w:val="24"/>
        </w:rPr>
        <w:t xml:space="preserve">Así, con </w:t>
      </w:r>
      <w:r w:rsidRPr="007C5203">
        <w:rPr>
          <w:rFonts w:ascii="Palatino Linotype" w:hAnsi="Palatino Linotype" w:cs="Arial"/>
          <w:sz w:val="24"/>
        </w:rPr>
        <w:t>fundamento</w:t>
      </w:r>
      <w:r w:rsidRPr="007C5203">
        <w:rPr>
          <w:rFonts w:ascii="Palatino Linotype" w:eastAsia="Calibri" w:hAnsi="Palatino Linotype" w:cs="Arial"/>
          <w:sz w:val="24"/>
        </w:rPr>
        <w:t xml:space="preserve"> en lo prescrito en los artículos 5 párrafos </w:t>
      </w:r>
      <w:r w:rsidRPr="007C5203">
        <w:rPr>
          <w:rFonts w:ascii="Palatino Linotype" w:hAnsi="Palatino Linotype"/>
          <w:sz w:val="24"/>
        </w:rPr>
        <w:t>vigésimo</w:t>
      </w:r>
      <w:r w:rsidR="00224F85">
        <w:rPr>
          <w:rFonts w:ascii="Palatino Linotype" w:hAnsi="Palatino Linotype"/>
          <w:sz w:val="24"/>
        </w:rPr>
        <w:t xml:space="preserve"> segundo</w:t>
      </w:r>
      <w:r w:rsidRPr="007C5203">
        <w:rPr>
          <w:rFonts w:ascii="Palatino Linotype" w:hAnsi="Palatino Linotype"/>
          <w:sz w:val="24"/>
        </w:rPr>
        <w:t xml:space="preserve">, vigésimo </w:t>
      </w:r>
      <w:r w:rsidR="00224F85">
        <w:rPr>
          <w:rFonts w:ascii="Palatino Linotype" w:hAnsi="Palatino Linotype"/>
          <w:sz w:val="24"/>
        </w:rPr>
        <w:t>tercero</w:t>
      </w:r>
      <w:r w:rsidRPr="007C5203">
        <w:rPr>
          <w:rFonts w:ascii="Palatino Linotype" w:hAnsi="Palatino Linotype"/>
          <w:sz w:val="24"/>
        </w:rPr>
        <w:t xml:space="preserve"> y vigésimo </w:t>
      </w:r>
      <w:r w:rsidR="00224F85">
        <w:rPr>
          <w:rFonts w:ascii="Palatino Linotype" w:hAnsi="Palatino Linotype"/>
          <w:sz w:val="24"/>
        </w:rPr>
        <w:t>cuarto</w:t>
      </w:r>
      <w:r w:rsidRPr="007C5203">
        <w:rPr>
          <w:rFonts w:ascii="Palatino Linotype" w:hAnsi="Palatino Linotype"/>
          <w:sz w:val="24"/>
        </w:rPr>
        <w:t>, fracciones IV y V</w:t>
      </w:r>
      <w:r w:rsidRPr="007C5203">
        <w:rPr>
          <w:rFonts w:ascii="Palatino Linotype" w:eastAsia="Calibri" w:hAnsi="Palatino Linotype" w:cs="Arial"/>
          <w:sz w:val="24"/>
        </w:rPr>
        <w:t xml:space="preserve"> de la Constitución Política del Estado Libre y Soberano de México; </w:t>
      </w:r>
      <w:r w:rsidRPr="007C5203">
        <w:rPr>
          <w:rFonts w:ascii="Palatino Linotype" w:hAnsi="Palatino Linotype"/>
          <w:sz w:val="24"/>
        </w:rPr>
        <w:t>2, fracción II, 9, 29, 36, fracciones I y II, 176, 178, 179, 181, 185, fracción I, 186 y 188</w:t>
      </w:r>
      <w:r w:rsidRPr="007C5203">
        <w:rPr>
          <w:rFonts w:ascii="Palatino Linotype" w:eastAsia="Calibri" w:hAnsi="Palatino Linotype" w:cs="Arial"/>
          <w:sz w:val="24"/>
        </w:rPr>
        <w:t xml:space="preserve"> de la Ley de Transparencia y Acceso a la Información Pública del Estado de México y Municipios, este Pleno:</w:t>
      </w:r>
    </w:p>
    <w:p w:rsidR="0034713F" w:rsidRPr="003D584C" w:rsidRDefault="0034713F" w:rsidP="0034713F">
      <w:pPr>
        <w:tabs>
          <w:tab w:val="left" w:pos="709"/>
        </w:tabs>
        <w:spacing w:before="240" w:line="360" w:lineRule="auto"/>
        <w:ind w:right="51"/>
        <w:jc w:val="both"/>
        <w:rPr>
          <w:rFonts w:ascii="Palatino Linotype" w:hAnsi="Palatino Linotype"/>
          <w:sz w:val="24"/>
          <w:szCs w:val="24"/>
        </w:rPr>
      </w:pPr>
      <w:r w:rsidRPr="003D584C">
        <w:rPr>
          <w:rFonts w:ascii="Palatino Linotype" w:hAnsi="Palatino Linotype"/>
          <w:sz w:val="24"/>
          <w:szCs w:val="24"/>
        </w:rPr>
        <w:t>Por lo antes expuesto y fundado es de resolverse y;</w:t>
      </w:r>
    </w:p>
    <w:p w:rsidR="00BB536F" w:rsidRPr="0066612D" w:rsidRDefault="00BB536F" w:rsidP="00C24FAE">
      <w:pPr>
        <w:pStyle w:val="Sinespaciado"/>
        <w:spacing w:line="360" w:lineRule="auto"/>
        <w:jc w:val="center"/>
        <w:rPr>
          <w:rFonts w:ascii="Palatino Linotype" w:hAnsi="Palatino Linotype"/>
          <w:b/>
          <w:bCs/>
          <w:spacing w:val="60"/>
          <w:sz w:val="14"/>
          <w:szCs w:val="28"/>
          <w:lang w:val="es-ES_tradnl"/>
        </w:rPr>
      </w:pPr>
    </w:p>
    <w:p w:rsidR="00C24FAE" w:rsidRDefault="00C24FAE" w:rsidP="00C24FAE">
      <w:pPr>
        <w:pStyle w:val="Sinespaciado"/>
        <w:spacing w:line="360" w:lineRule="auto"/>
        <w:jc w:val="center"/>
        <w:rPr>
          <w:rFonts w:ascii="Palatino Linotype" w:hAnsi="Palatino Linotype"/>
          <w:b/>
          <w:bCs/>
          <w:spacing w:val="60"/>
          <w:sz w:val="28"/>
          <w:szCs w:val="28"/>
          <w:lang w:val="es-ES_tradnl"/>
        </w:rPr>
      </w:pPr>
      <w:r w:rsidRPr="00203FF2">
        <w:rPr>
          <w:rFonts w:ascii="Palatino Linotype" w:hAnsi="Palatino Linotype"/>
          <w:b/>
          <w:bCs/>
          <w:spacing w:val="60"/>
          <w:sz w:val="28"/>
          <w:szCs w:val="28"/>
          <w:lang w:val="es-ES_tradnl"/>
        </w:rPr>
        <w:t>RESUELVE</w:t>
      </w:r>
    </w:p>
    <w:p w:rsidR="0060166A" w:rsidRDefault="0060166A" w:rsidP="0060166A">
      <w:pPr>
        <w:tabs>
          <w:tab w:val="left" w:pos="8647"/>
        </w:tabs>
        <w:spacing w:after="0" w:line="360" w:lineRule="auto"/>
        <w:ind w:right="51"/>
        <w:jc w:val="both"/>
        <w:rPr>
          <w:rFonts w:ascii="Palatino Linotype" w:hAnsi="Palatino Linotype" w:cs="Arial"/>
          <w:sz w:val="24"/>
          <w:szCs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sz w:val="24"/>
          <w:szCs w:val="24"/>
          <w:lang w:val="es-ES_tradnl"/>
        </w:rPr>
        <w:t xml:space="preserve">Resultan </w:t>
      </w:r>
      <w:r w:rsidRPr="00A708BB">
        <w:rPr>
          <w:rFonts w:ascii="Palatino Linotype" w:hAnsi="Palatino Linotype" w:cs="Arial"/>
          <w:sz w:val="24"/>
          <w:szCs w:val="24"/>
          <w:lang w:val="es-ES_tradnl"/>
        </w:rPr>
        <w:t xml:space="preserve">fundadas las razones o motivos de inconformidad hechos valer por la recurrente, en términos del considerando </w:t>
      </w:r>
      <w:r>
        <w:rPr>
          <w:rFonts w:ascii="Palatino Linotype" w:hAnsi="Palatino Linotype" w:cs="Arial"/>
          <w:b/>
          <w:sz w:val="24"/>
          <w:szCs w:val="24"/>
          <w:lang w:val="es-ES_tradnl"/>
        </w:rPr>
        <w:t>QUINTO</w:t>
      </w:r>
      <w:r w:rsidRPr="00A708BB">
        <w:rPr>
          <w:rFonts w:ascii="Palatino Linotype" w:hAnsi="Palatino Linotype" w:cs="Arial"/>
          <w:sz w:val="24"/>
          <w:szCs w:val="24"/>
          <w:lang w:val="es-ES_tradnl"/>
        </w:rPr>
        <w:t>, de la presente resolución.</w:t>
      </w:r>
    </w:p>
    <w:p w:rsidR="0060166A" w:rsidRDefault="0060166A" w:rsidP="0060166A">
      <w:pPr>
        <w:tabs>
          <w:tab w:val="left" w:pos="8647"/>
        </w:tabs>
        <w:spacing w:after="0" w:line="360" w:lineRule="auto"/>
        <w:ind w:right="51"/>
        <w:jc w:val="both"/>
        <w:rPr>
          <w:rFonts w:ascii="Palatino Linotype" w:hAnsi="Palatino Linotype" w:cs="Arial"/>
          <w:sz w:val="24"/>
          <w:szCs w:val="24"/>
          <w:lang w:val="es-ES_tradnl"/>
        </w:rPr>
      </w:pPr>
    </w:p>
    <w:p w:rsidR="0060166A" w:rsidRDefault="0060166A" w:rsidP="0060166A">
      <w:pPr>
        <w:spacing w:before="240" w:line="360" w:lineRule="auto"/>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Pr>
          <w:rFonts w:ascii="Palatino Linotype" w:hAnsi="Palatino Linotype" w:cs="Arial"/>
          <w:sz w:val="24"/>
          <w:szCs w:val="24"/>
        </w:rPr>
        <w:t xml:space="preserve">atienda la solicitud de información número </w:t>
      </w:r>
      <w:r w:rsidRPr="0060166A">
        <w:rPr>
          <w:rFonts w:ascii="Palatino Linotype" w:hAnsi="Palatino Linotype" w:cs="Arial"/>
          <w:b/>
          <w:bCs/>
          <w:sz w:val="24"/>
        </w:rPr>
        <w:t>00249/CHICOLOA/IP/2019</w:t>
      </w:r>
      <w:r>
        <w:rPr>
          <w:rFonts w:ascii="Palatino Linotype" w:hAnsi="Palatino Linotype" w:cs="Arial"/>
          <w:b/>
          <w:bCs/>
          <w:sz w:val="24"/>
        </w:rPr>
        <w:t xml:space="preserve">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QUINTO</w:t>
      </w:r>
      <w:r w:rsidRPr="00226C6A">
        <w:rPr>
          <w:rFonts w:ascii="Palatino Linotype" w:hAnsi="Palatino Linotype" w:cs="Arial"/>
          <w:sz w:val="24"/>
          <w:szCs w:val="24"/>
        </w:rPr>
        <w:t xml:space="preserve"> de la presente resolución</w:t>
      </w:r>
      <w:r>
        <w:rPr>
          <w:rFonts w:ascii="Palatino Linotype" w:hAnsi="Palatino Linotype" w:cs="Arial"/>
          <w:sz w:val="24"/>
          <w:lang w:eastAsia="es-MX"/>
        </w:rPr>
        <w:t xml:space="preserve"> y haga entrega al recurrente, en versión pública, a través del SAIMEX</w:t>
      </w:r>
      <w:r w:rsidRPr="0060166A">
        <w:rPr>
          <w:rFonts w:ascii="Palatino Linotype" w:hAnsi="Palatino Linotype" w:cs="Arial"/>
          <w:sz w:val="24"/>
          <w:szCs w:val="24"/>
        </w:rPr>
        <w:t xml:space="preserve"> </w:t>
      </w:r>
      <w:r>
        <w:rPr>
          <w:rFonts w:ascii="Palatino Linotype" w:hAnsi="Palatino Linotype" w:cs="Arial"/>
          <w:sz w:val="24"/>
          <w:szCs w:val="24"/>
        </w:rPr>
        <w:t>y vía correo electrónico</w:t>
      </w:r>
      <w:r>
        <w:rPr>
          <w:rFonts w:ascii="Palatino Linotype" w:hAnsi="Palatino Linotype" w:cs="Arial"/>
          <w:sz w:val="24"/>
          <w:lang w:eastAsia="es-MX"/>
        </w:rPr>
        <w:t xml:space="preserve">, de </w:t>
      </w:r>
      <w:r w:rsidRPr="005558F4">
        <w:rPr>
          <w:rFonts w:ascii="Palatino Linotype" w:hAnsi="Palatino Linotype" w:cs="Arial"/>
          <w:sz w:val="24"/>
          <w:lang w:eastAsia="es-MX"/>
        </w:rPr>
        <w:t>lo siguiente</w:t>
      </w:r>
      <w:r>
        <w:rPr>
          <w:rFonts w:ascii="Palatino Linotype" w:hAnsi="Palatino Linotype" w:cs="Arial"/>
          <w:sz w:val="24"/>
          <w:lang w:eastAsia="es-MX"/>
        </w:rPr>
        <w:t>:</w:t>
      </w:r>
    </w:p>
    <w:p w:rsidR="00591189" w:rsidRPr="00655A88" w:rsidRDefault="00591189" w:rsidP="00316D23"/>
    <w:p w:rsidR="00087885" w:rsidRPr="00183E49" w:rsidRDefault="00CA37A5" w:rsidP="00183E49">
      <w:pPr>
        <w:pStyle w:val="Prrafodelista"/>
        <w:numPr>
          <w:ilvl w:val="0"/>
          <w:numId w:val="27"/>
        </w:numPr>
        <w:tabs>
          <w:tab w:val="left" w:pos="8505"/>
        </w:tabs>
        <w:autoSpaceDE w:val="0"/>
        <w:autoSpaceDN w:val="0"/>
        <w:adjustRightInd w:val="0"/>
        <w:spacing w:before="240" w:line="360" w:lineRule="auto"/>
        <w:ind w:left="284" w:right="426" w:hanging="284"/>
        <w:jc w:val="both"/>
        <w:rPr>
          <w:rFonts w:ascii="Palatino Linotype" w:hAnsi="Palatino Linotype"/>
          <w:lang w:val="es-ES_tradnl"/>
        </w:rPr>
      </w:pPr>
      <w:r w:rsidRPr="00183E49">
        <w:rPr>
          <w:rFonts w:ascii="Palatino Linotype" w:hAnsi="Palatino Linotype"/>
          <w:lang w:val="es-ES_tradnl"/>
        </w:rPr>
        <w:t xml:space="preserve">Los contratos y facturas </w:t>
      </w:r>
      <w:r w:rsidR="00264415" w:rsidRPr="00183E49">
        <w:rPr>
          <w:rFonts w:ascii="Palatino Linotype" w:hAnsi="Palatino Linotype"/>
          <w:lang w:val="es-ES_tradnl"/>
        </w:rPr>
        <w:t>obtenidas</w:t>
      </w:r>
      <w:r w:rsidR="000D7B84" w:rsidRPr="00183E49">
        <w:rPr>
          <w:rFonts w:ascii="Palatino Linotype" w:hAnsi="Palatino Linotype"/>
          <w:lang w:val="es-ES_tradnl"/>
        </w:rPr>
        <w:t xml:space="preserve"> por</w:t>
      </w:r>
      <w:r w:rsidR="00B246DA" w:rsidRPr="00183E49">
        <w:rPr>
          <w:rFonts w:ascii="Palatino Linotype" w:hAnsi="Palatino Linotype"/>
          <w:lang w:val="es-ES_tradnl"/>
        </w:rPr>
        <w:t xml:space="preserve"> la compra o arrendamiento</w:t>
      </w:r>
      <w:r w:rsidR="00183E49">
        <w:rPr>
          <w:rFonts w:ascii="Palatino Linotype" w:hAnsi="Palatino Linotype"/>
          <w:lang w:val="es-ES_tradnl"/>
        </w:rPr>
        <w:t xml:space="preserve"> de bienes </w:t>
      </w:r>
      <w:r w:rsidR="00C71AC8" w:rsidRPr="00183E49">
        <w:rPr>
          <w:rFonts w:ascii="Palatino Linotype" w:hAnsi="Palatino Linotype"/>
          <w:lang w:val="es-ES_tradnl"/>
        </w:rPr>
        <w:t>en materia de seguridad, co</w:t>
      </w:r>
      <w:r w:rsidR="00FB3F2B">
        <w:rPr>
          <w:rFonts w:ascii="Palatino Linotype" w:hAnsi="Palatino Linotype"/>
          <w:lang w:val="es-ES_tradnl"/>
        </w:rPr>
        <w:t>n recursos estatales</w:t>
      </w:r>
      <w:r w:rsidR="00C71AC8" w:rsidRPr="00183E49">
        <w:rPr>
          <w:rFonts w:ascii="Palatino Linotype" w:hAnsi="Palatino Linotype"/>
          <w:lang w:val="es-ES_tradnl"/>
        </w:rPr>
        <w:t xml:space="preserve"> y federales por </w:t>
      </w:r>
      <w:r w:rsidR="000D7B84" w:rsidRPr="00183E49">
        <w:rPr>
          <w:rFonts w:ascii="Palatino Linotype" w:hAnsi="Palatino Linotype"/>
          <w:lang w:val="es-ES_tradnl"/>
        </w:rPr>
        <w:t xml:space="preserve">el periodo comprendido del </w:t>
      </w:r>
      <w:r w:rsidR="00C71AC8" w:rsidRPr="00183E49">
        <w:rPr>
          <w:rFonts w:ascii="Palatino Linotype" w:hAnsi="Palatino Linotype"/>
          <w:lang w:val="es-ES_tradnl"/>
        </w:rPr>
        <w:t>uno de enero al veintiuno de octubre</w:t>
      </w:r>
      <w:r w:rsidR="00B5796A" w:rsidRPr="00183E49">
        <w:rPr>
          <w:rFonts w:ascii="Palatino Linotype" w:hAnsi="Palatino Linotype"/>
          <w:lang w:val="es-ES_tradnl"/>
        </w:rPr>
        <w:t xml:space="preserve"> de dos mil diecinueve. </w:t>
      </w:r>
    </w:p>
    <w:p w:rsidR="00D80A70" w:rsidRDefault="00D80A70" w:rsidP="00D80A70">
      <w:pPr>
        <w:pStyle w:val="Textonotapie"/>
        <w:rPr>
          <w:lang w:eastAsia="es-MX"/>
        </w:rPr>
      </w:pPr>
    </w:p>
    <w:p w:rsidR="00C71AC8" w:rsidRDefault="00C71AC8" w:rsidP="0066612D">
      <w:pPr>
        <w:pStyle w:val="Sinespaciado"/>
        <w:spacing w:line="360" w:lineRule="auto"/>
        <w:jc w:val="both"/>
        <w:rPr>
          <w:rFonts w:ascii="Palatino Linotype" w:hAnsi="Palatino Linotype" w:cs="Arial"/>
          <w:sz w:val="24"/>
        </w:rPr>
      </w:pPr>
    </w:p>
    <w:p w:rsidR="0066612D" w:rsidRPr="00183E49" w:rsidRDefault="0066612D" w:rsidP="0066612D">
      <w:pPr>
        <w:pStyle w:val="Sinespaciado"/>
        <w:spacing w:line="360" w:lineRule="auto"/>
        <w:jc w:val="both"/>
        <w:rPr>
          <w:rFonts w:ascii="Palatino Linotype" w:hAnsi="Palatino Linotype" w:cs="Arial"/>
          <w:i/>
          <w:sz w:val="24"/>
        </w:rPr>
      </w:pPr>
      <w:r w:rsidRPr="00183E49">
        <w:rPr>
          <w:rFonts w:ascii="Palatino Linotype" w:hAnsi="Palatino Linotype" w:cs="Arial"/>
          <w:i/>
          <w:sz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w:t>
      </w:r>
      <w:r w:rsidR="002D3426" w:rsidRPr="00183E49">
        <w:rPr>
          <w:rFonts w:ascii="Palatino Linotype" w:hAnsi="Palatino Linotype" w:cs="Arial"/>
          <w:i/>
          <w:sz w:val="24"/>
        </w:rPr>
        <w:t>e</w:t>
      </w:r>
      <w:r w:rsidR="00BB26EE" w:rsidRPr="00183E49">
        <w:rPr>
          <w:rFonts w:ascii="Palatino Linotype" w:hAnsi="Palatino Linotype" w:cs="Arial"/>
          <w:i/>
          <w:sz w:val="24"/>
        </w:rPr>
        <w:t>l Recurrente</w:t>
      </w:r>
      <w:r w:rsidRPr="00183E49">
        <w:rPr>
          <w:rFonts w:ascii="Palatino Linotype" w:hAnsi="Palatino Linotype" w:cs="Arial"/>
          <w:i/>
          <w:sz w:val="24"/>
        </w:rPr>
        <w:t>.</w:t>
      </w:r>
    </w:p>
    <w:p w:rsidR="0066612D" w:rsidRPr="0066612D" w:rsidRDefault="0066612D" w:rsidP="0066612D">
      <w:pPr>
        <w:pStyle w:val="Sinespaciado"/>
        <w:spacing w:line="360" w:lineRule="auto"/>
        <w:jc w:val="both"/>
        <w:rPr>
          <w:rFonts w:ascii="Palatino Linotype" w:hAnsi="Palatino Linotype"/>
          <w:sz w:val="16"/>
        </w:rPr>
      </w:pPr>
    </w:p>
    <w:p w:rsidR="00B636D7" w:rsidRDefault="00B636D7" w:rsidP="00B636D7">
      <w:pPr>
        <w:pStyle w:val="Sinespaciado"/>
      </w:pPr>
    </w:p>
    <w:p w:rsidR="00C24FAE" w:rsidRDefault="00C24FAE" w:rsidP="00C24FAE">
      <w:pPr>
        <w:pStyle w:val="Sinespaciado"/>
        <w:spacing w:line="360" w:lineRule="auto"/>
        <w:jc w:val="both"/>
        <w:rPr>
          <w:rFonts w:ascii="Palatino Linotype" w:hAnsi="Palatino Linotype"/>
          <w:sz w:val="24"/>
        </w:rPr>
      </w:pPr>
      <w:r w:rsidRPr="0060166A">
        <w:rPr>
          <w:rFonts w:ascii="Palatino Linotype" w:hAnsi="Palatino Linotype"/>
          <w:b/>
          <w:sz w:val="28"/>
        </w:rPr>
        <w:lastRenderedPageBreak/>
        <w:t>TERCERO.</w:t>
      </w:r>
      <w:r w:rsidRPr="00D22D43">
        <w:rPr>
          <w:rFonts w:ascii="Palatino Linotype" w:hAnsi="Palatino Linotype"/>
          <w:b/>
          <w:sz w:val="24"/>
        </w:rPr>
        <w:t xml:space="preserve"> NOTIFÍQUESE</w:t>
      </w:r>
      <w:r w:rsidRPr="00D22D43">
        <w:rPr>
          <w:rFonts w:ascii="Palatino Linotype" w:hAnsi="Palatino Linotype"/>
          <w:b/>
          <w:i/>
          <w:sz w:val="24"/>
        </w:rPr>
        <w:t xml:space="preserve"> </w:t>
      </w:r>
      <w:r w:rsidRPr="00D22D43">
        <w:rPr>
          <w:rFonts w:ascii="Palatino Linotype" w:hAnsi="Palatino Linotype"/>
          <w:sz w:val="24"/>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80A70" w:rsidRPr="00D22D43" w:rsidRDefault="00D80A70" w:rsidP="00C24FAE">
      <w:pPr>
        <w:pStyle w:val="Sinespaciado"/>
        <w:spacing w:line="360" w:lineRule="auto"/>
        <w:jc w:val="both"/>
        <w:rPr>
          <w:rFonts w:ascii="Palatino Linotype" w:hAnsi="Palatino Linotype"/>
          <w:sz w:val="24"/>
        </w:rPr>
      </w:pPr>
    </w:p>
    <w:p w:rsidR="00BB536F" w:rsidRDefault="00C24FAE" w:rsidP="00C24FAE">
      <w:pPr>
        <w:pStyle w:val="Sinespaciado"/>
        <w:spacing w:line="360" w:lineRule="auto"/>
        <w:jc w:val="both"/>
        <w:rPr>
          <w:rFonts w:ascii="Palatino Linotype" w:hAnsi="Palatino Linotype"/>
          <w:sz w:val="24"/>
        </w:rPr>
      </w:pPr>
      <w:r w:rsidRPr="0060166A">
        <w:rPr>
          <w:rFonts w:ascii="Palatino Linotype" w:hAnsi="Palatino Linotype"/>
          <w:b/>
          <w:sz w:val="28"/>
        </w:rPr>
        <w:t>CUARTO.</w:t>
      </w:r>
      <w:r w:rsidRPr="00D22D43">
        <w:rPr>
          <w:rFonts w:ascii="Palatino Linotype" w:hAnsi="Palatino Linotype"/>
          <w:b/>
          <w:sz w:val="24"/>
        </w:rPr>
        <w:t xml:space="preserve"> NOTIFÍQUESE</w:t>
      </w:r>
      <w:r w:rsidRPr="00D22D43">
        <w:rPr>
          <w:rFonts w:ascii="Palatino Linotype" w:hAnsi="Palatino Linotype"/>
          <w:sz w:val="24"/>
        </w:rPr>
        <w:t xml:space="preserve"> a</w:t>
      </w:r>
      <w:r w:rsidR="0039721A">
        <w:rPr>
          <w:rFonts w:ascii="Palatino Linotype" w:hAnsi="Palatino Linotype"/>
          <w:sz w:val="24"/>
        </w:rPr>
        <w:t xml:space="preserve"> </w:t>
      </w:r>
      <w:r w:rsidR="00BB26EE">
        <w:rPr>
          <w:rFonts w:ascii="Palatino Linotype" w:hAnsi="Palatino Linotype"/>
          <w:sz w:val="24"/>
        </w:rPr>
        <w:t>El Recurrente</w:t>
      </w:r>
      <w:r w:rsidRPr="00D22D43">
        <w:rPr>
          <w:rFonts w:ascii="Palatino Linotype" w:hAnsi="Palatino Linotype"/>
          <w:sz w:val="24"/>
        </w:rPr>
        <w:t xml:space="preserve"> la presente resolución</w:t>
      </w:r>
      <w:r w:rsidRPr="00D22D43">
        <w:rPr>
          <w:rFonts w:ascii="Palatino Linotype" w:hAnsi="Palatino Linotype"/>
          <w:b/>
          <w:sz w:val="24"/>
        </w:rPr>
        <w:t xml:space="preserve"> </w:t>
      </w:r>
      <w:r w:rsidR="0060166A">
        <w:rPr>
          <w:rFonts w:ascii="Palatino Linotype" w:hAnsi="Palatino Linotype"/>
          <w:sz w:val="24"/>
        </w:rPr>
        <w:t xml:space="preserve">a través del SAIMEX y por correo electrónico </w:t>
      </w:r>
      <w:r w:rsidRPr="00D22D43">
        <w:rPr>
          <w:rFonts w:ascii="Palatino Linotype" w:hAnsi="Palatino Linotype"/>
          <w:sz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60166A" w:rsidRDefault="0060166A" w:rsidP="00C24FAE">
      <w:pPr>
        <w:pStyle w:val="Sinespaciado"/>
        <w:spacing w:line="360" w:lineRule="auto"/>
        <w:jc w:val="both"/>
        <w:rPr>
          <w:rFonts w:ascii="Palatino Linotype" w:hAnsi="Palatino Linotype"/>
          <w:sz w:val="24"/>
        </w:rPr>
      </w:pPr>
    </w:p>
    <w:p w:rsidR="0060166A" w:rsidRDefault="0060166A" w:rsidP="00C24FAE">
      <w:pPr>
        <w:pStyle w:val="Sinespaciado"/>
        <w:spacing w:line="360" w:lineRule="auto"/>
        <w:jc w:val="both"/>
        <w:rPr>
          <w:rFonts w:ascii="Palatino Linotype" w:hAnsi="Palatino Linotype"/>
          <w:sz w:val="24"/>
        </w:rPr>
      </w:pPr>
      <w:r w:rsidRPr="0060166A">
        <w:rPr>
          <w:rFonts w:ascii="Palatino Linotype" w:hAnsi="Palatino Linotype"/>
          <w:b/>
          <w:sz w:val="28"/>
        </w:rPr>
        <w:t>QUINTO.</w:t>
      </w:r>
      <w:r w:rsidRPr="0060166A">
        <w:rPr>
          <w:rFonts w:ascii="Palatino Linotype" w:hAnsi="Palatino Linotype"/>
          <w:sz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Pr>
          <w:rFonts w:ascii="Palatino Linotype" w:hAnsi="Palatino Linotype"/>
          <w:sz w:val="24"/>
        </w:rPr>
        <w:t>QUINTO</w:t>
      </w:r>
      <w:r w:rsidRPr="0060166A">
        <w:rPr>
          <w:rFonts w:ascii="Palatino Linotype" w:hAnsi="Palatino Linotype"/>
          <w:sz w:val="24"/>
        </w:rPr>
        <w:t xml:space="preserve"> de la presente resolución</w:t>
      </w:r>
      <w:r>
        <w:rPr>
          <w:rFonts w:ascii="Palatino Linotype" w:hAnsi="Palatino Linotype"/>
          <w:sz w:val="24"/>
        </w:rPr>
        <w:t>.</w:t>
      </w:r>
    </w:p>
    <w:p w:rsidR="0060166A" w:rsidRPr="00D22D43" w:rsidRDefault="0060166A" w:rsidP="00C24FAE">
      <w:pPr>
        <w:pStyle w:val="Sinespaciado"/>
        <w:spacing w:line="360" w:lineRule="auto"/>
        <w:jc w:val="both"/>
        <w:rPr>
          <w:rFonts w:ascii="Palatino Linotype" w:hAnsi="Palatino Linotype"/>
          <w:sz w:val="24"/>
        </w:rPr>
      </w:pPr>
    </w:p>
    <w:p w:rsidR="0060166A" w:rsidRDefault="007E2E80" w:rsidP="00B34950">
      <w:pPr>
        <w:pStyle w:val="Sinespaciado"/>
        <w:spacing w:line="360" w:lineRule="auto"/>
        <w:jc w:val="both"/>
        <w:rPr>
          <w:rFonts w:ascii="Palatino Linotype" w:hAnsi="Palatino Linotype"/>
          <w:sz w:val="24"/>
          <w:szCs w:val="24"/>
        </w:rPr>
      </w:pPr>
      <w:r w:rsidRPr="00D22D43">
        <w:rPr>
          <w:rFonts w:ascii="Palatino Linotype" w:hAnsi="Palatino Linotype"/>
          <w:sz w:val="24"/>
          <w:szCs w:val="24"/>
        </w:rPr>
        <w:t>ASÍ LO RESUELVE, PO</w:t>
      </w:r>
      <w:r w:rsidR="00F1770B" w:rsidRPr="00D22D43">
        <w:rPr>
          <w:rFonts w:ascii="Palatino Linotype" w:hAnsi="Palatino Linotype"/>
          <w:sz w:val="24"/>
          <w:szCs w:val="24"/>
        </w:rPr>
        <w:t>R UNANIMIDAD</w:t>
      </w:r>
      <w:r w:rsidRPr="00D22D43">
        <w:rPr>
          <w:rFonts w:ascii="Palatino Linotype" w:hAnsi="Palatino Linotype"/>
          <w:sz w:val="24"/>
          <w:szCs w:val="24"/>
        </w:rPr>
        <w:t xml:space="preserve"> DE VOTOS EL PLENO DEL</w:t>
      </w:r>
      <w:r w:rsidRPr="00D22D43">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D22D43">
        <w:rPr>
          <w:rFonts w:ascii="Palatino Linotype" w:hAnsi="Palatino Linotype"/>
          <w:sz w:val="24"/>
          <w:szCs w:val="24"/>
        </w:rPr>
        <w:t xml:space="preserve">, CONFORMADO POR LOS COMISIONADOS ZULEMA MARTÍNEZ </w:t>
      </w:r>
      <w:r w:rsidRPr="00D22D43">
        <w:rPr>
          <w:rFonts w:ascii="Palatino Linotype" w:hAnsi="Palatino Linotype"/>
          <w:sz w:val="24"/>
          <w:szCs w:val="24"/>
        </w:rPr>
        <w:lastRenderedPageBreak/>
        <w:t xml:space="preserve">SÁNCHEZ, </w:t>
      </w:r>
      <w:r w:rsidR="00216B8D" w:rsidRPr="00D22D43">
        <w:rPr>
          <w:rFonts w:ascii="Palatino Linotype" w:hAnsi="Palatino Linotype"/>
          <w:sz w:val="24"/>
          <w:szCs w:val="24"/>
        </w:rPr>
        <w:t>EVA ABAID YAPUR</w:t>
      </w:r>
      <w:r w:rsidR="004A51FF" w:rsidRPr="00D22D43">
        <w:rPr>
          <w:rFonts w:ascii="Palatino Linotype" w:hAnsi="Palatino Linotype"/>
          <w:sz w:val="24"/>
          <w:szCs w:val="24"/>
        </w:rPr>
        <w:t>,</w:t>
      </w:r>
      <w:r w:rsidR="00CF27C6" w:rsidRPr="00D22D43">
        <w:rPr>
          <w:rFonts w:ascii="Palatino Linotype" w:hAnsi="Palatino Linotype"/>
          <w:sz w:val="24"/>
          <w:szCs w:val="24"/>
        </w:rPr>
        <w:t xml:space="preserve"> </w:t>
      </w:r>
      <w:r w:rsidRPr="00D22D43">
        <w:rPr>
          <w:rFonts w:ascii="Palatino Linotype" w:hAnsi="Palatino Linotype"/>
          <w:sz w:val="24"/>
          <w:szCs w:val="24"/>
        </w:rPr>
        <w:t xml:space="preserve">JOSÉ GUADALUPE LUNA </w:t>
      </w:r>
      <w:r w:rsidR="00D57072" w:rsidRPr="00D22D43">
        <w:rPr>
          <w:rFonts w:ascii="Palatino Linotype" w:hAnsi="Palatino Linotype"/>
          <w:sz w:val="24"/>
          <w:szCs w:val="24"/>
        </w:rPr>
        <w:t>HERNÁNDEZ</w:t>
      </w:r>
      <w:r w:rsidR="00F91340" w:rsidRPr="00D22D43">
        <w:rPr>
          <w:rFonts w:ascii="Palatino Linotype" w:hAnsi="Palatino Linotype"/>
          <w:sz w:val="24"/>
          <w:szCs w:val="24"/>
        </w:rPr>
        <w:t xml:space="preserve">, JAVIER MARTÍNEZ CRUZ </w:t>
      </w:r>
      <w:r w:rsidR="00D57072" w:rsidRPr="00D22D43">
        <w:rPr>
          <w:rFonts w:ascii="Palatino Linotype" w:hAnsi="Palatino Linotype"/>
          <w:sz w:val="24"/>
          <w:szCs w:val="24"/>
        </w:rPr>
        <w:t>Y</w:t>
      </w:r>
      <w:r w:rsidR="00F91340" w:rsidRPr="00D22D43">
        <w:rPr>
          <w:rFonts w:ascii="Palatino Linotype" w:hAnsi="Palatino Linotype"/>
          <w:sz w:val="24"/>
          <w:szCs w:val="24"/>
        </w:rPr>
        <w:t xml:space="preserve"> LUIS GUSTAVO PARRA NORIEGA</w:t>
      </w:r>
      <w:r w:rsidR="004226AE">
        <w:rPr>
          <w:rFonts w:ascii="Palatino Linotype" w:hAnsi="Palatino Linotype"/>
          <w:sz w:val="24"/>
          <w:szCs w:val="24"/>
        </w:rPr>
        <w:t xml:space="preserve"> CON VOTO PARTICULAR</w:t>
      </w:r>
      <w:r w:rsidRPr="00D22D43">
        <w:rPr>
          <w:rFonts w:ascii="Palatino Linotype" w:hAnsi="Palatino Linotype"/>
          <w:sz w:val="24"/>
          <w:szCs w:val="24"/>
        </w:rPr>
        <w:t xml:space="preserve">, EN LA </w:t>
      </w:r>
      <w:r w:rsidR="004226AE">
        <w:rPr>
          <w:rFonts w:ascii="Palatino Linotype" w:hAnsi="Palatino Linotype"/>
          <w:sz w:val="24"/>
          <w:szCs w:val="24"/>
        </w:rPr>
        <w:t>TERCERA</w:t>
      </w:r>
      <w:r w:rsidR="00C16DEB">
        <w:rPr>
          <w:rFonts w:ascii="Palatino Linotype" w:hAnsi="Palatino Linotype"/>
          <w:sz w:val="24"/>
          <w:szCs w:val="24"/>
        </w:rPr>
        <w:t xml:space="preserve"> </w:t>
      </w:r>
      <w:r w:rsidR="00E755E5" w:rsidRPr="00D22D43">
        <w:rPr>
          <w:rFonts w:ascii="Palatino Linotype" w:hAnsi="Palatino Linotype"/>
          <w:sz w:val="24"/>
          <w:szCs w:val="24"/>
        </w:rPr>
        <w:t>SES</w:t>
      </w:r>
      <w:r w:rsidR="007C52F5" w:rsidRPr="00D22D43">
        <w:rPr>
          <w:rFonts w:ascii="Palatino Linotype" w:hAnsi="Palatino Linotype"/>
          <w:sz w:val="24"/>
          <w:szCs w:val="24"/>
        </w:rPr>
        <w:t xml:space="preserve">IÓN ORDINARIA CELEBRADA EL </w:t>
      </w:r>
      <w:r w:rsidR="004226AE">
        <w:rPr>
          <w:rFonts w:ascii="Palatino Linotype" w:hAnsi="Palatino Linotype"/>
          <w:sz w:val="24"/>
          <w:szCs w:val="24"/>
        </w:rPr>
        <w:t xml:space="preserve">VEINTINUEVE </w:t>
      </w:r>
      <w:r w:rsidR="00A004E7">
        <w:rPr>
          <w:rFonts w:ascii="Palatino Linotype" w:hAnsi="Palatino Linotype"/>
          <w:sz w:val="24"/>
          <w:szCs w:val="24"/>
        </w:rPr>
        <w:t>DE ENERO</w:t>
      </w:r>
      <w:r w:rsidR="00C9078F">
        <w:rPr>
          <w:rFonts w:ascii="Palatino Linotype" w:hAnsi="Palatino Linotype"/>
          <w:sz w:val="24"/>
          <w:szCs w:val="24"/>
        </w:rPr>
        <w:t xml:space="preserve"> </w:t>
      </w:r>
      <w:r w:rsidR="001552E9" w:rsidRPr="00D22D43">
        <w:rPr>
          <w:rFonts w:ascii="Palatino Linotype" w:hAnsi="Palatino Linotype"/>
          <w:sz w:val="24"/>
          <w:szCs w:val="24"/>
        </w:rPr>
        <w:t xml:space="preserve">DE </w:t>
      </w:r>
      <w:r w:rsidR="00D57072" w:rsidRPr="00D22D43">
        <w:rPr>
          <w:rFonts w:ascii="Palatino Linotype" w:hAnsi="Palatino Linotype"/>
          <w:sz w:val="24"/>
          <w:szCs w:val="24"/>
        </w:rPr>
        <w:t xml:space="preserve">DOS MIL </w:t>
      </w:r>
      <w:r w:rsidR="00A004E7">
        <w:rPr>
          <w:rFonts w:ascii="Palatino Linotype" w:hAnsi="Palatino Linotype"/>
          <w:sz w:val="24"/>
          <w:szCs w:val="24"/>
        </w:rPr>
        <w:t>VEINTE</w:t>
      </w:r>
      <w:r w:rsidRPr="00D22D43">
        <w:rPr>
          <w:rFonts w:ascii="Palatino Linotype" w:hAnsi="Palatino Linotype"/>
          <w:sz w:val="24"/>
          <w:szCs w:val="24"/>
        </w:rPr>
        <w:t xml:space="preserve">, ANTE </w:t>
      </w:r>
      <w:r w:rsidR="00F2343A" w:rsidRPr="00D22D43">
        <w:rPr>
          <w:rFonts w:ascii="Palatino Linotype" w:hAnsi="Palatino Linotype"/>
          <w:sz w:val="24"/>
          <w:szCs w:val="24"/>
        </w:rPr>
        <w:t>EL SECRETARIO TÉCNICO</w:t>
      </w:r>
      <w:r w:rsidRPr="00D22D43">
        <w:rPr>
          <w:rFonts w:ascii="Palatino Linotype" w:hAnsi="Palatino Linotype"/>
          <w:sz w:val="24"/>
          <w:szCs w:val="24"/>
        </w:rPr>
        <w:t xml:space="preserve"> DEL PLENO, </w:t>
      </w:r>
      <w:r w:rsidR="00F2343A" w:rsidRPr="00D22D43">
        <w:rPr>
          <w:rFonts w:ascii="Palatino Linotype" w:hAnsi="Palatino Linotype"/>
          <w:sz w:val="24"/>
          <w:szCs w:val="24"/>
        </w:rPr>
        <w:t>ALEXIS TAPIA RAMÍREZ</w:t>
      </w:r>
      <w:r w:rsidR="00BC3F29" w:rsidRPr="00D22D43">
        <w:rPr>
          <w:rFonts w:ascii="Palatino Linotype" w:hAnsi="Palatino Linotype"/>
          <w:sz w:val="24"/>
          <w:szCs w:val="24"/>
        </w:rPr>
        <w:t>.</w:t>
      </w:r>
      <w:r w:rsidR="00C16DEB">
        <w:rPr>
          <w:rFonts w:ascii="Palatino Linotype" w:hAnsi="Palatino Linotype"/>
          <w:sz w:val="24"/>
          <w:szCs w:val="24"/>
        </w:rPr>
        <w:t>------------------------------------------------</w:t>
      </w:r>
      <w:r w:rsidR="00D80A70">
        <w:rPr>
          <w:rFonts w:ascii="Palatino Linotype" w:hAnsi="Palatino Linotype"/>
          <w:sz w:val="24"/>
          <w:szCs w:val="24"/>
        </w:rPr>
        <w:t>-------------------------------------------------------------------------------------------</w:t>
      </w:r>
      <w:r w:rsidR="00843DFD">
        <w:rPr>
          <w:rFonts w:ascii="Palatino Linotype" w:hAnsi="Palatino Linotype"/>
          <w:sz w:val="24"/>
          <w:szCs w:val="24"/>
        </w:rPr>
        <w:t>-------------------------------</w:t>
      </w:r>
      <w:r w:rsidR="00D80A70">
        <w:rPr>
          <w:rFonts w:ascii="Palatino Linotype" w:hAnsi="Palatino Linotype"/>
          <w:sz w:val="24"/>
          <w:szCs w:val="24"/>
        </w:rPr>
        <w:t>---------------------------------------------------------------------------------------------------------------------------------------------------------------------------------------------------------------------------------------------------</w:t>
      </w:r>
      <w:r w:rsidR="00C16DEB">
        <w:rPr>
          <w:rFonts w:ascii="Palatino Linotype" w:hAnsi="Palatino Linotype"/>
          <w:sz w:val="24"/>
          <w:szCs w:val="24"/>
        </w:rPr>
        <w:t>-------------------------------------------------------------------------------------------------------------------------------------------------------------------------------</w:t>
      </w:r>
      <w:r w:rsidR="00843DFD">
        <w:rPr>
          <w:rFonts w:ascii="Palatino Linotype" w:hAnsi="Palatino Linotype"/>
          <w:sz w:val="24"/>
          <w:szCs w:val="24"/>
        </w:rPr>
        <w:t>------------------------------------------------------------------------------------------------------------------------------------------------------------------------------------------------------------------------------------------------------------------------------------------------------------------------------------------------------------------------------------------------------------------------------------------------------------------------------------------------------------------------------------------------------------------------------------------------------------------------------------------------------------------------------------------------------------------------------------------------------------------------------------------------------------------------------------------------------------------------------------------------------------------------------------------------------------------------------------------------------------------------------------------------------------------------------------------------------------------------------------------------------------------</w:t>
      </w:r>
      <w:r w:rsidR="00A004E7">
        <w:rPr>
          <w:rFonts w:ascii="Palatino Linotype" w:hAnsi="Palatino Linotype"/>
          <w:sz w:val="24"/>
          <w:szCs w:val="24"/>
        </w:rPr>
        <w:t>--------------------------------</w:t>
      </w:r>
      <w:r w:rsidR="00843DFD">
        <w:rPr>
          <w:rFonts w:ascii="Palatino Linotype" w:hAnsi="Palatino Linotype"/>
          <w:sz w:val="24"/>
          <w:szCs w:val="24"/>
        </w:rPr>
        <w:t>-------------------</w:t>
      </w:r>
      <w:r w:rsidR="004226AE">
        <w:rPr>
          <w:rFonts w:ascii="Palatino Linotype" w:hAnsi="Palatino Linotype"/>
          <w:sz w:val="24"/>
          <w:szCs w:val="24"/>
        </w:rPr>
        <w:t>------------------------------------------------------------------------------------------------------------------------------------------------------------------------------------------------------------------------------------------------------------------------------------------------------------------------------------------------------------------------------------------------------</w:t>
      </w:r>
    </w:p>
    <w:p w:rsidR="004226AE" w:rsidRPr="004226AE" w:rsidRDefault="004226AE" w:rsidP="00B34950">
      <w:pPr>
        <w:pStyle w:val="Sinespaciado"/>
        <w:spacing w:line="360" w:lineRule="auto"/>
        <w:jc w:val="both"/>
        <w:rPr>
          <w:rFonts w:ascii="Palatino Linotype" w:hAnsi="Palatino Linotype"/>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465"/>
      </w:tblGrid>
      <w:tr w:rsidR="006149F1" w:rsidRPr="006149F1" w:rsidTr="00F91340">
        <w:tc>
          <w:tcPr>
            <w:tcW w:w="9062" w:type="dxa"/>
            <w:gridSpan w:val="2"/>
          </w:tcPr>
          <w:p w:rsidR="00AF0CFA" w:rsidRPr="006149F1" w:rsidRDefault="00AF0CFA" w:rsidP="00B73E6C">
            <w:pPr>
              <w:pStyle w:val="Sinespaciado"/>
              <w:tabs>
                <w:tab w:val="left" w:pos="5710"/>
              </w:tabs>
              <w:rPr>
                <w:rFonts w:ascii="Palatino Linotype" w:hAnsi="Palatino Linotype"/>
                <w:sz w:val="24"/>
                <w:szCs w:val="24"/>
              </w:rPr>
            </w:pPr>
          </w:p>
        </w:tc>
      </w:tr>
      <w:tr w:rsidR="00B73E6C" w:rsidRPr="0089501E" w:rsidTr="00142CC6">
        <w:tc>
          <w:tcPr>
            <w:tcW w:w="9062" w:type="dxa"/>
            <w:gridSpan w:val="2"/>
          </w:tcPr>
          <w:p w:rsidR="00D80A70" w:rsidRDefault="00D80A70"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Zulema Martínez Sánchez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 Presidenta</w:t>
            </w:r>
          </w:p>
          <w:p w:rsidR="00B73E6C" w:rsidRPr="0089501E" w:rsidRDefault="00B73E6C" w:rsidP="00142CC6">
            <w:pPr>
              <w:jc w:val="center"/>
              <w:rPr>
                <w:rFonts w:ascii="Palatino Linotype" w:hAnsi="Palatino Linotype"/>
                <w:b/>
                <w:sz w:val="24"/>
                <w:szCs w:val="24"/>
              </w:rPr>
            </w:pPr>
            <w:r w:rsidRPr="002F1CD7">
              <w:rPr>
                <w:rFonts w:ascii="Palatino Linotype" w:hAnsi="Palatino Linotype"/>
                <w:sz w:val="24"/>
                <w:szCs w:val="24"/>
              </w:rPr>
              <w:t>(</w:t>
            </w:r>
            <w:r w:rsidR="00576D36">
              <w:rPr>
                <w:rFonts w:ascii="Palatino Linotype" w:hAnsi="Palatino Linotype"/>
                <w:sz w:val="24"/>
                <w:szCs w:val="24"/>
              </w:rPr>
              <w:t>Rúbrica</w:t>
            </w:r>
            <w:r w:rsidRPr="0089501E">
              <w:rPr>
                <w:rFonts w:ascii="Palatino Linotype" w:hAnsi="Palatino Linotype"/>
                <w:b/>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Default="00B73E6C" w:rsidP="003153A1">
            <w:pPr>
              <w:rPr>
                <w:rFonts w:ascii="Palatino Linotype" w:hAnsi="Palatino Linotype"/>
                <w:b/>
                <w:sz w:val="24"/>
                <w:szCs w:val="24"/>
              </w:rPr>
            </w:pPr>
          </w:p>
          <w:p w:rsidR="003153A1" w:rsidRDefault="003153A1" w:rsidP="00142CC6">
            <w:pPr>
              <w:jc w:val="center"/>
              <w:rPr>
                <w:rFonts w:ascii="Palatino Linotype" w:hAnsi="Palatino Linotype"/>
                <w:b/>
                <w:sz w:val="24"/>
                <w:szCs w:val="24"/>
              </w:rPr>
            </w:pPr>
          </w:p>
          <w:p w:rsidR="003153A1" w:rsidRPr="0089501E" w:rsidRDefault="003153A1"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Eva Abaid Yapur</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w:t>
            </w:r>
          </w:p>
          <w:p w:rsidR="00B73E6C" w:rsidRPr="002F1CD7" w:rsidRDefault="005B36CD" w:rsidP="00142CC6">
            <w:pPr>
              <w:jc w:val="center"/>
              <w:rPr>
                <w:rFonts w:ascii="Palatino Linotype" w:hAnsi="Palatino Linotype"/>
                <w:sz w:val="24"/>
                <w:szCs w:val="24"/>
              </w:rPr>
            </w:pPr>
            <w:r>
              <w:rPr>
                <w:rFonts w:ascii="Palatino Linotype" w:hAnsi="Palatino Linotype"/>
                <w:sz w:val="24"/>
                <w:szCs w:val="24"/>
              </w:rPr>
              <w:t>(</w:t>
            </w:r>
            <w:r w:rsidR="00576D36">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Default="00B73E6C"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A1EA1" w:rsidP="00142CC6">
            <w:pPr>
              <w:jc w:val="center"/>
              <w:rPr>
                <w:rFonts w:ascii="Palatino Linotype" w:hAnsi="Palatino Linotype"/>
                <w:sz w:val="24"/>
                <w:szCs w:val="24"/>
              </w:rPr>
            </w:pPr>
            <w:r>
              <w:rPr>
                <w:rFonts w:ascii="Palatino Linotype" w:hAnsi="Palatino Linotype"/>
                <w:sz w:val="24"/>
                <w:szCs w:val="24"/>
              </w:rPr>
              <w:t>(</w:t>
            </w:r>
            <w:r w:rsidR="00576D36">
              <w:rPr>
                <w:rFonts w:ascii="Palatino Linotype" w:hAnsi="Palatino Linotype"/>
                <w:sz w:val="24"/>
                <w:szCs w:val="24"/>
              </w:rPr>
              <w:t>Rúbrica</w:t>
            </w:r>
            <w:r w:rsidR="00B73E6C" w:rsidRPr="002F1CD7">
              <w:rPr>
                <w:rFonts w:ascii="Palatino Linotype" w:hAnsi="Palatino Linotype"/>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Default="00B73E6C" w:rsidP="00142CC6">
            <w:pPr>
              <w:jc w:val="center"/>
              <w:rPr>
                <w:rFonts w:ascii="Palatino Linotype" w:hAnsi="Palatino Linotype"/>
                <w:b/>
                <w:sz w:val="24"/>
                <w:szCs w:val="24"/>
              </w:rPr>
            </w:pPr>
          </w:p>
          <w:p w:rsidR="00B73E6C" w:rsidRPr="0089501E" w:rsidRDefault="00B73E6C"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Javier Martínez Cruz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576D36"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Luis Gustavo Parra Noriega</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73E6C" w:rsidP="00142CC6">
            <w:pPr>
              <w:jc w:val="center"/>
              <w:rPr>
                <w:rFonts w:ascii="Palatino Linotype" w:hAnsi="Palatino Linotype"/>
                <w:sz w:val="24"/>
                <w:szCs w:val="24"/>
              </w:rPr>
            </w:pPr>
            <w:r w:rsidRPr="002F1CD7">
              <w:rPr>
                <w:rFonts w:ascii="Palatino Linotype" w:hAnsi="Palatino Linotype"/>
                <w:sz w:val="24"/>
                <w:szCs w:val="24"/>
              </w:rPr>
              <w:t>(</w:t>
            </w:r>
            <w:r w:rsidR="00576D36">
              <w:rPr>
                <w:rFonts w:ascii="Palatino Linotype" w:hAnsi="Palatino Linotype"/>
                <w:sz w:val="24"/>
                <w:szCs w:val="24"/>
              </w:rPr>
              <w:t>Rúbrica</w:t>
            </w:r>
            <w:r w:rsidRPr="002F1CD7">
              <w:rPr>
                <w:rFonts w:ascii="Palatino Linotype" w:hAnsi="Palatino Linotype"/>
                <w:sz w:val="24"/>
                <w:szCs w:val="24"/>
              </w:rPr>
              <w:t>).</w:t>
            </w:r>
          </w:p>
        </w:tc>
      </w:tr>
      <w:tr w:rsidR="00B73E6C" w:rsidRPr="0089501E" w:rsidTr="00142CC6">
        <w:tc>
          <w:tcPr>
            <w:tcW w:w="9062" w:type="dxa"/>
            <w:gridSpan w:val="2"/>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Default="00B73E6C" w:rsidP="00142CC6">
            <w:pPr>
              <w:rPr>
                <w:rFonts w:ascii="Palatino Linotype" w:hAnsi="Palatino Linotype"/>
                <w:b/>
                <w:sz w:val="28"/>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Alexis Tapia Ramírez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Secretario Técnico del Pleno</w:t>
            </w:r>
          </w:p>
          <w:p w:rsidR="0066612D" w:rsidRPr="0066612D" w:rsidRDefault="00B73E6C" w:rsidP="0066612D">
            <w:pPr>
              <w:jc w:val="center"/>
              <w:rPr>
                <w:rFonts w:ascii="Palatino Linotype" w:hAnsi="Palatino Linotype"/>
                <w:sz w:val="24"/>
                <w:szCs w:val="24"/>
              </w:rPr>
            </w:pPr>
            <w:r w:rsidRPr="002F1CD7">
              <w:rPr>
                <w:rFonts w:ascii="Palatino Linotype" w:hAnsi="Palatino Linotype"/>
                <w:sz w:val="24"/>
                <w:szCs w:val="24"/>
              </w:rPr>
              <w:t>(</w:t>
            </w:r>
            <w:r w:rsidR="00576D36">
              <w:rPr>
                <w:rFonts w:ascii="Palatino Linotype" w:hAnsi="Palatino Linotype"/>
                <w:sz w:val="24"/>
                <w:szCs w:val="24"/>
              </w:rPr>
              <w:t>Rúbrica</w:t>
            </w:r>
            <w:r w:rsidRPr="002F1CD7">
              <w:rPr>
                <w:rFonts w:ascii="Palatino Linotype" w:hAnsi="Palatino Linotype"/>
                <w:sz w:val="24"/>
                <w:szCs w:val="24"/>
              </w:rPr>
              <w:t>).</w:t>
            </w:r>
          </w:p>
          <w:p w:rsidR="006A58E4" w:rsidRPr="00B3452B" w:rsidRDefault="006A58E4" w:rsidP="005D517E">
            <w:pPr>
              <w:rPr>
                <w:rFonts w:ascii="Palatino Linotype" w:hAnsi="Palatino Linotype"/>
                <w:sz w:val="10"/>
                <w:szCs w:val="24"/>
              </w:rPr>
            </w:pPr>
          </w:p>
        </w:tc>
      </w:tr>
    </w:tbl>
    <w:p w:rsidR="0066612D" w:rsidRDefault="0066612D" w:rsidP="00B73E6C">
      <w:pPr>
        <w:spacing w:after="0" w:line="240" w:lineRule="auto"/>
        <w:jc w:val="both"/>
        <w:rPr>
          <w:rFonts w:ascii="Palatino Linotype" w:hAnsi="Palatino Linotype" w:cs="Arial"/>
          <w:sz w:val="18"/>
          <w:szCs w:val="16"/>
        </w:rPr>
      </w:pPr>
    </w:p>
    <w:p w:rsidR="007E2E80" w:rsidRDefault="00B73E6C" w:rsidP="00B73E6C">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sidR="00C9078F">
        <w:rPr>
          <w:rFonts w:ascii="Palatino Linotype" w:hAnsi="Palatino Linotype" w:cs="Arial"/>
          <w:sz w:val="18"/>
          <w:szCs w:val="16"/>
        </w:rPr>
        <w:t>sponde a la r</w:t>
      </w:r>
      <w:r w:rsidR="00C16DEB">
        <w:rPr>
          <w:rFonts w:ascii="Palatino Linotype" w:hAnsi="Palatino Linotype" w:cs="Arial"/>
          <w:sz w:val="18"/>
          <w:szCs w:val="16"/>
        </w:rPr>
        <w:t xml:space="preserve">esolución de fecha </w:t>
      </w:r>
      <w:r w:rsidR="004226AE">
        <w:rPr>
          <w:rFonts w:ascii="Palatino Linotype" w:hAnsi="Palatino Linotype" w:cs="Arial"/>
          <w:sz w:val="18"/>
          <w:szCs w:val="16"/>
        </w:rPr>
        <w:t>veintinueve de enero</w:t>
      </w:r>
      <w:r w:rsidRPr="00B73E6C">
        <w:rPr>
          <w:rFonts w:ascii="Palatino Linotype" w:hAnsi="Palatino Linotype" w:cs="Arial"/>
          <w:sz w:val="18"/>
          <w:szCs w:val="16"/>
        </w:rPr>
        <w:t xml:space="preserve"> de d</w:t>
      </w:r>
      <w:r w:rsidR="00A004E7">
        <w:rPr>
          <w:rFonts w:ascii="Palatino Linotype" w:hAnsi="Palatino Linotype" w:cs="Arial"/>
          <w:sz w:val="18"/>
          <w:szCs w:val="16"/>
        </w:rPr>
        <w:t>os mil veinte</w:t>
      </w:r>
      <w:r w:rsidR="00E755E5">
        <w:rPr>
          <w:rFonts w:ascii="Palatino Linotype" w:hAnsi="Palatino Linotype" w:cs="Arial"/>
          <w:sz w:val="18"/>
          <w:szCs w:val="16"/>
        </w:rPr>
        <w:t>, emitida en el recurso</w:t>
      </w:r>
      <w:r w:rsidRPr="00B73E6C">
        <w:rPr>
          <w:rFonts w:ascii="Palatino Linotype" w:hAnsi="Palatino Linotype" w:cs="Arial"/>
          <w:sz w:val="18"/>
          <w:szCs w:val="16"/>
        </w:rPr>
        <w:t xml:space="preserve"> de revisión </w:t>
      </w:r>
      <w:r w:rsidR="007C52F5">
        <w:rPr>
          <w:rFonts w:ascii="Palatino Linotype" w:hAnsi="Palatino Linotype" w:cs="Arial"/>
          <w:bCs/>
          <w:sz w:val="18"/>
          <w:szCs w:val="16"/>
          <w:lang w:eastAsia="es-MX"/>
        </w:rPr>
        <w:t>0</w:t>
      </w:r>
      <w:r w:rsidR="007748CD">
        <w:rPr>
          <w:rFonts w:ascii="Palatino Linotype" w:hAnsi="Palatino Linotype" w:cs="Arial"/>
          <w:bCs/>
          <w:sz w:val="18"/>
          <w:szCs w:val="16"/>
          <w:lang w:eastAsia="es-MX"/>
        </w:rPr>
        <w:t>8610</w:t>
      </w:r>
      <w:r w:rsidRPr="00B73E6C">
        <w:rPr>
          <w:rFonts w:ascii="Palatino Linotype" w:hAnsi="Palatino Linotype" w:cs="Arial"/>
          <w:bCs/>
          <w:sz w:val="18"/>
          <w:szCs w:val="16"/>
          <w:lang w:eastAsia="es-MX"/>
        </w:rPr>
        <w:t>/INFOEM/IP/R</w:t>
      </w:r>
      <w:r w:rsidR="00F0032B">
        <w:rPr>
          <w:rFonts w:ascii="Palatino Linotype" w:hAnsi="Palatino Linotype" w:cs="Arial"/>
          <w:bCs/>
          <w:sz w:val="18"/>
          <w:szCs w:val="16"/>
          <w:lang w:eastAsia="es-MX"/>
        </w:rPr>
        <w:t>R/2019</w:t>
      </w:r>
      <w:r w:rsidR="0066612D">
        <w:rPr>
          <w:rFonts w:ascii="Palatino Linotype" w:hAnsi="Palatino Linotype" w:cs="Arial"/>
          <w:bCs/>
          <w:sz w:val="18"/>
          <w:szCs w:val="16"/>
          <w:lang w:eastAsia="es-MX"/>
        </w:rPr>
        <w:t xml:space="preserve">. </w:t>
      </w:r>
    </w:p>
    <w:p w:rsidR="007748CD" w:rsidRPr="007748CD" w:rsidRDefault="007748CD" w:rsidP="00B73E6C">
      <w:pPr>
        <w:spacing w:after="0" w:line="240" w:lineRule="auto"/>
        <w:jc w:val="both"/>
        <w:rPr>
          <w:rFonts w:ascii="Palatino Linotype" w:hAnsi="Palatino Linotype" w:cs="Arial"/>
          <w:bCs/>
          <w:sz w:val="18"/>
          <w:szCs w:val="16"/>
          <w:lang w:eastAsia="es-MX"/>
        </w:rPr>
      </w:pPr>
      <w:r>
        <w:rPr>
          <w:rFonts w:ascii="Palatino Linotype" w:hAnsi="Palatino Linotype" w:cs="Arial"/>
          <w:bCs/>
          <w:sz w:val="18"/>
          <w:szCs w:val="16"/>
          <w:lang w:eastAsia="es-MX"/>
        </w:rPr>
        <w:t>ZMS/OSAM/CDFE</w:t>
      </w:r>
    </w:p>
    <w:p w:rsidR="0051274A" w:rsidRPr="0066612D" w:rsidRDefault="0051274A" w:rsidP="00B73E6C">
      <w:pPr>
        <w:spacing w:after="0" w:line="240" w:lineRule="auto"/>
        <w:jc w:val="both"/>
        <w:rPr>
          <w:rFonts w:ascii="Palatino Linotype" w:hAnsi="Palatino Linotype" w:cs="Arial"/>
          <w:sz w:val="14"/>
          <w:szCs w:val="16"/>
        </w:rPr>
      </w:pPr>
    </w:p>
    <w:sectPr w:rsidR="0051274A" w:rsidRPr="0066612D" w:rsidSect="00552930">
      <w:headerReference w:type="default" r:id="rId17"/>
      <w:footerReference w:type="default" r:id="rId18"/>
      <w:headerReference w:type="first" r:id="rId19"/>
      <w:footerReference w:type="first" r:id="rId20"/>
      <w:pgSz w:w="12240" w:h="15840"/>
      <w:pgMar w:top="1417" w:right="1608"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78C" w:rsidRDefault="00D5478C" w:rsidP="007E2E80">
      <w:pPr>
        <w:spacing w:after="0" w:line="240" w:lineRule="auto"/>
      </w:pPr>
      <w:r>
        <w:separator/>
      </w:r>
    </w:p>
  </w:endnote>
  <w:endnote w:type="continuationSeparator" w:id="0">
    <w:p w:rsidR="00D5478C" w:rsidRDefault="00D5478C"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3ED" w:rsidRPr="000B69FA" w:rsidRDefault="00D913ED"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711F">
      <w:rPr>
        <w:rFonts w:ascii="Palatino Linotype" w:hAnsi="Palatino Linotype"/>
        <w:bCs/>
        <w:noProof/>
        <w:sz w:val="20"/>
      </w:rPr>
      <w:t>76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711F">
      <w:rPr>
        <w:rFonts w:ascii="Palatino Linotype" w:hAnsi="Palatino Linotype"/>
        <w:bCs/>
        <w:noProof/>
        <w:sz w:val="20"/>
      </w:rPr>
      <w:t>76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3ED" w:rsidRPr="000B69FA" w:rsidRDefault="00D913ED"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711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711F">
      <w:rPr>
        <w:rFonts w:ascii="Palatino Linotype" w:hAnsi="Palatino Linotype"/>
        <w:bCs/>
        <w:noProof/>
        <w:sz w:val="20"/>
      </w:rPr>
      <w:t>76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78C" w:rsidRDefault="00D5478C" w:rsidP="007E2E80">
      <w:pPr>
        <w:spacing w:after="0" w:line="240" w:lineRule="auto"/>
      </w:pPr>
      <w:r>
        <w:separator/>
      </w:r>
    </w:p>
  </w:footnote>
  <w:footnote w:type="continuationSeparator" w:id="0">
    <w:p w:rsidR="00D5478C" w:rsidRDefault="00D5478C" w:rsidP="007E2E80">
      <w:pPr>
        <w:spacing w:after="0" w:line="240" w:lineRule="auto"/>
      </w:pPr>
      <w:r>
        <w:continuationSeparator/>
      </w:r>
    </w:p>
  </w:footnote>
  <w:footnote w:id="1">
    <w:p w:rsidR="00D913ED" w:rsidRPr="00615B4B" w:rsidRDefault="00D913ED"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913ED" w:rsidRPr="00615B4B" w:rsidRDefault="00D913ED"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913ED" w:rsidRDefault="00D913ED" w:rsidP="008A2099">
      <w:pPr>
        <w:pStyle w:val="Textonotapie"/>
        <w:jc w:val="both"/>
      </w:pPr>
      <w:r>
        <w:rPr>
          <w:rStyle w:val="Refdenotaalpie"/>
        </w:rPr>
        <w:footnoteRef/>
      </w:r>
      <w:r w:rsidRPr="00BE0220">
        <w:rPr>
          <w:rFonts w:ascii="Palatino Linotype" w:hAnsi="Palatino Linotype"/>
        </w:rPr>
        <w:t xml:space="preserve"> Consultable en; </w:t>
      </w:r>
      <w:hyperlink r:id="rId3" w:history="1">
        <w:r w:rsidRPr="00BE0220">
          <w:rPr>
            <w:rStyle w:val="Hipervnculo"/>
            <w:rFonts w:ascii="Palatino Linotype" w:hAnsi="Palatino Linotype"/>
          </w:rPr>
          <w:t>https://www.gob.mx/sesnsp/acciones-y-programas/fondos-y-subsidios</w:t>
        </w:r>
      </w:hyperlink>
    </w:p>
  </w:footnote>
  <w:footnote w:id="3">
    <w:p w:rsidR="00D913ED" w:rsidRPr="00A75F35" w:rsidRDefault="00D913ED" w:rsidP="008A2099">
      <w:pPr>
        <w:pStyle w:val="Textonotapie"/>
        <w:rPr>
          <w:rFonts w:ascii="Palatino Linotype" w:hAnsi="Palatino Linotype"/>
          <w:sz w:val="16"/>
          <w:szCs w:val="16"/>
          <w:lang w:val="es-ES"/>
        </w:rPr>
      </w:pPr>
      <w:r w:rsidRPr="00A75F35">
        <w:rPr>
          <w:rStyle w:val="Refdenotaalpie"/>
          <w:rFonts w:ascii="Palatino Linotype" w:hAnsi="Palatino Linotype"/>
          <w:sz w:val="16"/>
          <w:szCs w:val="16"/>
        </w:rPr>
        <w:footnoteRef/>
      </w:r>
      <w:r w:rsidRPr="00A75F35">
        <w:rPr>
          <w:rFonts w:ascii="Palatino Linotype" w:hAnsi="Palatino Linotype"/>
          <w:sz w:val="16"/>
          <w:szCs w:val="16"/>
        </w:rPr>
        <w:t xml:space="preserve"> </w:t>
      </w:r>
      <w:r>
        <w:rPr>
          <w:rFonts w:ascii="Palatino Linotype" w:hAnsi="Palatino Linotype"/>
          <w:sz w:val="16"/>
          <w:szCs w:val="16"/>
        </w:rPr>
        <w:t xml:space="preserve">Disponible en la página electrónica: </w:t>
      </w:r>
      <w:r w:rsidRPr="00A75F35">
        <w:rPr>
          <w:rFonts w:ascii="Palatino Linotype" w:hAnsi="Palatino Linotype"/>
          <w:sz w:val="16"/>
          <w:szCs w:val="16"/>
        </w:rPr>
        <w:t>https://www.gob.mx/cms/uploads/attachment/file/455365/CONVENIO_FASP_2019-ESTADO_DE_M_XICO-19-04-19.pdf</w:t>
      </w:r>
    </w:p>
  </w:footnote>
  <w:footnote w:id="4">
    <w:p w:rsidR="00D913ED" w:rsidRDefault="00D913ED" w:rsidP="008A2099">
      <w:pPr>
        <w:pStyle w:val="Textonotapie"/>
        <w:jc w:val="both"/>
      </w:pPr>
      <w:r>
        <w:rPr>
          <w:rStyle w:val="Refdenotaalpie"/>
        </w:rPr>
        <w:footnoteRef/>
      </w:r>
      <w:r>
        <w:t xml:space="preserve"> </w:t>
      </w:r>
      <w:r w:rsidRPr="00823FCE">
        <w:rPr>
          <w:rFonts w:ascii="Palatino Linotype" w:hAnsi="Palatino Linotype"/>
        </w:rPr>
        <w:t>El Subsidio para la Seguridad en los Municipios (SUBSEMUN) se reestructuró y a partir del ejercicio 2016 se convierte en el Subsidio para el Fortalecimiento del desempeño en materia de Seguridad Pública (FORTASEG)</w:t>
      </w:r>
      <w:r>
        <w:rPr>
          <w:rFonts w:ascii="Palatino Linotype" w:hAnsi="Palatino Linotype"/>
        </w:rPr>
        <w:t>; así el segundo de los nombrados retoma los principios básicos del SUBSEMUN creado en 2008</w:t>
      </w:r>
      <w:r w:rsidRPr="00823FCE">
        <w:rPr>
          <w:rFonts w:ascii="Palatino Linotype" w:hAnsi="Palatino Linotype"/>
        </w:rPr>
        <w:t>.</w:t>
      </w:r>
    </w:p>
  </w:footnote>
  <w:footnote w:id="5">
    <w:p w:rsidR="00D913ED" w:rsidRDefault="00D913ED" w:rsidP="008A2099">
      <w:pPr>
        <w:pStyle w:val="Textonotapie"/>
        <w:jc w:val="both"/>
        <w:rPr>
          <w:rFonts w:ascii="Palatino Linotype" w:hAnsi="Palatino Linotype"/>
        </w:rPr>
      </w:pPr>
      <w:r w:rsidRPr="00F85572">
        <w:rPr>
          <w:rStyle w:val="Refdenotaalpie"/>
          <w:rFonts w:ascii="Palatino Linotype" w:hAnsi="Palatino Linotype"/>
        </w:rPr>
        <w:footnoteRef/>
      </w:r>
      <w:r w:rsidRPr="00F85572">
        <w:rPr>
          <w:rFonts w:ascii="Palatino Linotype" w:hAnsi="Palatino Linotype"/>
        </w:rPr>
        <w:t xml:space="preserve"> Consultable en</w:t>
      </w:r>
      <w:r>
        <w:rPr>
          <w:rFonts w:ascii="Palatino Linotype" w:hAnsi="Palatino Linotype"/>
        </w:rPr>
        <w:t>:</w:t>
      </w:r>
    </w:p>
    <w:p w:rsidR="00D913ED" w:rsidRPr="00F85572" w:rsidRDefault="00D913ED" w:rsidP="008A2099">
      <w:pPr>
        <w:pStyle w:val="Textonotapie"/>
        <w:jc w:val="both"/>
        <w:rPr>
          <w:rFonts w:ascii="Palatino Linotype" w:hAnsi="Palatino Linotype"/>
        </w:rPr>
      </w:pPr>
      <w:r w:rsidRPr="00F85572">
        <w:rPr>
          <w:rFonts w:ascii="Palatino Linotype" w:hAnsi="Palatino Linotype"/>
        </w:rPr>
        <w:t xml:space="preserve"> </w:t>
      </w:r>
      <w:hyperlink r:id="rId4" w:history="1">
        <w:r w:rsidRPr="00F85572">
          <w:rPr>
            <w:rStyle w:val="Hipervnculo"/>
            <w:rFonts w:ascii="Palatino Linotype" w:hAnsi="Palatino Linotype"/>
          </w:rPr>
          <w:t>https://www.gob.mx/cms/uploads/attachment/file/454683/CONVENIO_FORTASEG_2019-ESTADO_DE_M_XICO-17-04-19.pdf</w:t>
        </w:r>
      </w:hyperlink>
    </w:p>
  </w:footnote>
  <w:footnote w:id="6">
    <w:p w:rsidR="00D913ED" w:rsidRPr="00623229" w:rsidRDefault="00D913ED" w:rsidP="009D70C5">
      <w:pPr>
        <w:pStyle w:val="Textonotapie"/>
        <w:jc w:val="both"/>
        <w:rPr>
          <w:rFonts w:ascii="Palatino Linotype" w:hAnsi="Palatino Linotype"/>
          <w:i/>
          <w:sz w:val="16"/>
          <w:szCs w:val="16"/>
        </w:rPr>
      </w:pPr>
      <w:r>
        <w:rPr>
          <w:rStyle w:val="Refdenotaalpie"/>
        </w:rPr>
        <w:footnoteRef/>
      </w:r>
      <w:r>
        <w:t xml:space="preserve"> </w:t>
      </w:r>
      <w:r w:rsidRPr="00623229">
        <w:rPr>
          <w:rFonts w:ascii="Palatino Linotype" w:hAnsi="Palatino Linotype"/>
          <w:b/>
          <w:i/>
          <w:sz w:val="16"/>
          <w:szCs w:val="16"/>
        </w:rPr>
        <w:t xml:space="preserve">DERECHO A LA INFORMACIÓN. SU EJERCICIO SE ENCUENTRA LIMITADO TANTO POR LOS INTERESES NACIONALES Y DE LA SOCIEDAD, COMO POR LOS DERECHOS DE TERCEROS. </w:t>
      </w:r>
      <w:r w:rsidRPr="00623229">
        <w:rPr>
          <w:rFonts w:ascii="Palatino Linotype" w:hAnsi="Palatino Linotype"/>
          <w:i/>
          <w:sz w:val="16"/>
          <w:szCs w:val="16"/>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rsidR="00D913ED" w:rsidRDefault="00D913ED" w:rsidP="009D70C5">
      <w:pPr>
        <w:pStyle w:val="Textonotapie"/>
      </w:pPr>
    </w:p>
    <w:p w:rsidR="00D913ED" w:rsidRDefault="00D913ED" w:rsidP="009D70C5">
      <w:pPr>
        <w:pStyle w:val="Textonotapie"/>
      </w:pPr>
    </w:p>
    <w:p w:rsidR="00D913ED" w:rsidRDefault="00D913ED" w:rsidP="009D70C5">
      <w:pPr>
        <w:pStyle w:val="Textonotapie"/>
      </w:pPr>
    </w:p>
    <w:p w:rsidR="00D913ED" w:rsidRDefault="00D913ED" w:rsidP="009D70C5">
      <w:pPr>
        <w:pStyle w:val="Textonotapie"/>
      </w:pPr>
    </w:p>
    <w:p w:rsidR="00D913ED" w:rsidRDefault="00D913ED" w:rsidP="009D70C5">
      <w:pPr>
        <w:pStyle w:val="Textonotapie"/>
      </w:pPr>
    </w:p>
  </w:footnote>
  <w:footnote w:id="7">
    <w:p w:rsidR="00D913ED" w:rsidRPr="00E774D6" w:rsidRDefault="00D913ED" w:rsidP="009D70C5">
      <w:pPr>
        <w:pStyle w:val="Textonotapie"/>
        <w:jc w:val="both"/>
        <w:rPr>
          <w:rFonts w:ascii="Palatino Linotype" w:hAnsi="Palatino Linotype"/>
          <w:i/>
          <w:sz w:val="16"/>
          <w:szCs w:val="16"/>
        </w:rPr>
      </w:pPr>
      <w:r>
        <w:rPr>
          <w:rStyle w:val="Refdenotaalpie"/>
        </w:rPr>
        <w:footnoteRef/>
      </w:r>
      <w:r>
        <w:t xml:space="preserve"> </w:t>
      </w:r>
      <w:r w:rsidRPr="00E774D6">
        <w:rPr>
          <w:rFonts w:ascii="Palatino Linotype" w:hAnsi="Palatino Linotype"/>
          <w:i/>
          <w:sz w:val="16"/>
          <w:szCs w:val="16"/>
        </w:rPr>
        <w:t xml:space="preserve">Artículo 129. En la aplicación de la prueba de daño, el sujeto obligado deberá precisar las razones objetivas por las que la apertura de la información generaría una afectación, justificando que:  </w:t>
      </w:r>
    </w:p>
    <w:p w:rsidR="00D913ED" w:rsidRPr="00E774D6" w:rsidRDefault="00D913ED" w:rsidP="009D70C5">
      <w:pPr>
        <w:pStyle w:val="Textonotapie"/>
        <w:jc w:val="both"/>
        <w:rPr>
          <w:rFonts w:ascii="Palatino Linotype" w:hAnsi="Palatino Linotype"/>
          <w:i/>
          <w:sz w:val="16"/>
          <w:szCs w:val="16"/>
        </w:rPr>
      </w:pPr>
      <w:r w:rsidRPr="00E774D6">
        <w:rPr>
          <w:rFonts w:ascii="Palatino Linotype" w:hAnsi="Palatino Linotype"/>
          <w:i/>
          <w:sz w:val="16"/>
          <w:szCs w:val="16"/>
        </w:rPr>
        <w:t xml:space="preserve">I. La divulgación de la información representa un riesgo real, demostrable e identificable del perjuicio significativo al interés público o a la seguridad pública;  </w:t>
      </w:r>
    </w:p>
    <w:p w:rsidR="00D913ED" w:rsidRPr="00E774D6" w:rsidRDefault="00D913ED" w:rsidP="009D70C5">
      <w:pPr>
        <w:pStyle w:val="Textonotapie"/>
        <w:jc w:val="both"/>
        <w:rPr>
          <w:rFonts w:ascii="Palatino Linotype" w:hAnsi="Palatino Linotype"/>
          <w:i/>
          <w:sz w:val="16"/>
          <w:szCs w:val="16"/>
        </w:rPr>
      </w:pPr>
      <w:r w:rsidRPr="00E774D6">
        <w:rPr>
          <w:rFonts w:ascii="Palatino Linotype" w:hAnsi="Palatino Linotype"/>
          <w:i/>
          <w:sz w:val="16"/>
          <w:szCs w:val="16"/>
        </w:rPr>
        <w:t xml:space="preserve">II. El riesgo de perjuicio que supondría la divulgación supera el interés público general de que se difunda; y  </w:t>
      </w:r>
    </w:p>
    <w:p w:rsidR="00D913ED" w:rsidRPr="00E774D6" w:rsidRDefault="00D913ED" w:rsidP="009D70C5">
      <w:pPr>
        <w:pStyle w:val="Textonotapie"/>
        <w:jc w:val="both"/>
        <w:rPr>
          <w:rFonts w:ascii="Palatino Linotype" w:hAnsi="Palatino Linotype"/>
          <w:sz w:val="16"/>
          <w:szCs w:val="16"/>
        </w:rPr>
      </w:pPr>
      <w:r w:rsidRPr="00E774D6">
        <w:rPr>
          <w:rFonts w:ascii="Palatino Linotype" w:hAnsi="Palatino Linotype"/>
          <w:i/>
          <w:sz w:val="16"/>
          <w:szCs w:val="16"/>
        </w:rPr>
        <w:t>III. La limitación se adecua al principio de proporcionalidad y representa el medio menos restrictivo disponible representa el medio menos restrictivo disponible para evitar el perjuicio.</w:t>
      </w:r>
      <w:r>
        <w:rPr>
          <w:rFonts w:ascii="Palatino Linotype" w:hAnsi="Palatino Linotype"/>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3ED" w:rsidRDefault="00D913ED">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913ED" w:rsidTr="00182616">
      <w:trPr>
        <w:trHeight w:val="227"/>
      </w:trPr>
      <w:tc>
        <w:tcPr>
          <w:tcW w:w="5949" w:type="dxa"/>
          <w:hideMark/>
        </w:tcPr>
        <w:p w:rsidR="00D913ED" w:rsidRDefault="00D913ED"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913ED" w:rsidRDefault="00D913ED" w:rsidP="0043217C">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08610/INFOEM/IP/RR/2019</w:t>
          </w:r>
        </w:p>
      </w:tc>
    </w:tr>
    <w:tr w:rsidR="00D913ED" w:rsidTr="00182616">
      <w:trPr>
        <w:trHeight w:val="242"/>
      </w:trPr>
      <w:tc>
        <w:tcPr>
          <w:tcW w:w="5949" w:type="dxa"/>
          <w:hideMark/>
        </w:tcPr>
        <w:p w:rsidR="00D913ED" w:rsidRDefault="00D913ED"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913ED" w:rsidRDefault="00D913ED" w:rsidP="007E7086">
          <w:pPr>
            <w:spacing w:after="120" w:line="256" w:lineRule="auto"/>
            <w:ind w:left="72" w:right="214"/>
            <w:jc w:val="right"/>
            <w:rPr>
              <w:rFonts w:ascii="Palatino Linotype" w:hAnsi="Palatino Linotype" w:cs="Arial"/>
              <w:szCs w:val="20"/>
            </w:rPr>
          </w:pPr>
          <w:r w:rsidRPr="006C6BC7">
            <w:rPr>
              <w:rFonts w:ascii="Palatino Linotype" w:hAnsi="Palatino Linotype" w:cs="Arial"/>
              <w:szCs w:val="20"/>
            </w:rPr>
            <w:t>Ayuntamiento de Chicoloapan</w:t>
          </w:r>
        </w:p>
      </w:tc>
    </w:tr>
    <w:tr w:rsidR="00D913ED" w:rsidTr="00182616">
      <w:trPr>
        <w:trHeight w:val="342"/>
      </w:trPr>
      <w:tc>
        <w:tcPr>
          <w:tcW w:w="5949" w:type="dxa"/>
          <w:hideMark/>
        </w:tcPr>
        <w:p w:rsidR="00D913ED" w:rsidRDefault="00D913ED"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913ED" w:rsidRDefault="00D913ED"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913ED" w:rsidRDefault="00D913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913ED" w:rsidTr="00182616">
      <w:trPr>
        <w:trHeight w:val="227"/>
      </w:trPr>
      <w:tc>
        <w:tcPr>
          <w:tcW w:w="5103" w:type="dxa"/>
          <w:hideMark/>
        </w:tcPr>
        <w:p w:rsidR="00D913ED" w:rsidRDefault="00D913ED"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913ED" w:rsidRPr="00B4142F" w:rsidRDefault="00D913ED"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08610</w:t>
          </w:r>
          <w:r w:rsidRPr="0009709A">
            <w:rPr>
              <w:rFonts w:ascii="Palatino Linotype" w:hAnsi="Palatino Linotype" w:cs="Arial"/>
              <w:bCs/>
              <w:sz w:val="24"/>
              <w:lang w:eastAsia="es-MX"/>
            </w:rPr>
            <w:t>/INFOEM/IP/RR/2019</w:t>
          </w:r>
        </w:p>
      </w:tc>
    </w:tr>
    <w:tr w:rsidR="00D913ED" w:rsidTr="00182616">
      <w:trPr>
        <w:trHeight w:val="196"/>
      </w:trPr>
      <w:tc>
        <w:tcPr>
          <w:tcW w:w="5103" w:type="dxa"/>
          <w:hideMark/>
        </w:tcPr>
        <w:p w:rsidR="00D913ED" w:rsidRDefault="00D913ED"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913ED" w:rsidRPr="00F06FED" w:rsidRDefault="00F4711F" w:rsidP="000B4B3D">
          <w:pPr>
            <w:spacing w:after="120" w:line="256" w:lineRule="auto"/>
            <w:ind w:left="208" w:right="214"/>
            <w:jc w:val="right"/>
            <w:rPr>
              <w:rFonts w:ascii="Palatino Linotype" w:hAnsi="Palatino Linotype" w:cs="Arial"/>
            </w:rPr>
          </w:pPr>
          <w:r>
            <w:rPr>
              <w:rFonts w:ascii="Palatino Linotype" w:hAnsi="Palatino Linotype" w:cs="Arial"/>
            </w:rPr>
            <w:t>XXXXXXXXXXXX</w:t>
          </w:r>
        </w:p>
      </w:tc>
    </w:tr>
    <w:tr w:rsidR="00D913ED" w:rsidTr="00182616">
      <w:trPr>
        <w:trHeight w:val="242"/>
      </w:trPr>
      <w:tc>
        <w:tcPr>
          <w:tcW w:w="5103" w:type="dxa"/>
          <w:hideMark/>
        </w:tcPr>
        <w:p w:rsidR="00D913ED" w:rsidRDefault="00D913ED"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913ED" w:rsidRDefault="00D913ED" w:rsidP="0016423B">
          <w:pPr>
            <w:spacing w:after="120" w:line="256" w:lineRule="auto"/>
            <w:ind w:left="208" w:right="214"/>
            <w:jc w:val="right"/>
            <w:rPr>
              <w:rFonts w:ascii="Palatino Linotype" w:hAnsi="Palatino Linotype" w:cs="Arial"/>
              <w:szCs w:val="20"/>
            </w:rPr>
          </w:pPr>
          <w:r w:rsidRPr="006C6BC7">
            <w:rPr>
              <w:rFonts w:ascii="Palatino Linotype" w:hAnsi="Palatino Linotype" w:cs="Arial"/>
              <w:szCs w:val="20"/>
            </w:rPr>
            <w:t>Ayuntamiento de Chicoloapan</w:t>
          </w:r>
        </w:p>
      </w:tc>
    </w:tr>
    <w:tr w:rsidR="00D913ED" w:rsidTr="00182616">
      <w:trPr>
        <w:trHeight w:val="342"/>
      </w:trPr>
      <w:tc>
        <w:tcPr>
          <w:tcW w:w="5103" w:type="dxa"/>
          <w:hideMark/>
        </w:tcPr>
        <w:p w:rsidR="00D913ED" w:rsidRDefault="00D913ED"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913ED" w:rsidRDefault="00D913ED"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913ED" w:rsidRDefault="00D913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3A5C0C"/>
    <w:multiLevelType w:val="hybridMultilevel"/>
    <w:tmpl w:val="15E8E0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D32F1A"/>
    <w:multiLevelType w:val="hybridMultilevel"/>
    <w:tmpl w:val="6C4E6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130EB"/>
    <w:multiLevelType w:val="hybridMultilevel"/>
    <w:tmpl w:val="A75AB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D336490"/>
    <w:multiLevelType w:val="hybridMultilevel"/>
    <w:tmpl w:val="402A04A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522B9B"/>
    <w:multiLevelType w:val="hybridMultilevel"/>
    <w:tmpl w:val="103C0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AB3912"/>
    <w:multiLevelType w:val="hybridMultilevel"/>
    <w:tmpl w:val="57B40E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1D14F28"/>
    <w:multiLevelType w:val="hybridMultilevel"/>
    <w:tmpl w:val="1362F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3">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3C2B17"/>
    <w:multiLevelType w:val="hybridMultilevel"/>
    <w:tmpl w:val="B5E82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9A674F7"/>
    <w:multiLevelType w:val="hybridMultilevel"/>
    <w:tmpl w:val="EEEC8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D3A56F6"/>
    <w:multiLevelType w:val="hybridMultilevel"/>
    <w:tmpl w:val="185860D0"/>
    <w:lvl w:ilvl="0" w:tplc="9D02E282">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0277A1E"/>
    <w:multiLevelType w:val="hybridMultilevel"/>
    <w:tmpl w:val="B978A6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7B952C6"/>
    <w:multiLevelType w:val="hybridMultilevel"/>
    <w:tmpl w:val="47A4B11E"/>
    <w:lvl w:ilvl="0" w:tplc="AD34462A">
      <w:start w:val="1"/>
      <w:numFmt w:val="upperRoman"/>
      <w:lvlText w:val="%1."/>
      <w:lvlJc w:val="left"/>
      <w:pPr>
        <w:ind w:left="1140" w:hanging="72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6">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11"/>
  </w:num>
  <w:num w:numId="3">
    <w:abstractNumId w:val="1"/>
  </w:num>
  <w:num w:numId="4">
    <w:abstractNumId w:val="36"/>
  </w:num>
  <w:num w:numId="5">
    <w:abstractNumId w:val="6"/>
  </w:num>
  <w:num w:numId="6">
    <w:abstractNumId w:val="4"/>
  </w:num>
  <w:num w:numId="7">
    <w:abstractNumId w:val="21"/>
  </w:num>
  <w:num w:numId="8">
    <w:abstractNumId w:val="20"/>
  </w:num>
  <w:num w:numId="9">
    <w:abstractNumId w:val="31"/>
  </w:num>
  <w:num w:numId="10">
    <w:abstractNumId w:val="10"/>
  </w:num>
  <w:num w:numId="11">
    <w:abstractNumId w:val="33"/>
  </w:num>
  <w:num w:numId="12">
    <w:abstractNumId w:val="24"/>
  </w:num>
  <w:num w:numId="13">
    <w:abstractNumId w:val="23"/>
  </w:num>
  <w:num w:numId="14">
    <w:abstractNumId w:val="16"/>
  </w:num>
  <w:num w:numId="15">
    <w:abstractNumId w:val="3"/>
  </w:num>
  <w:num w:numId="16">
    <w:abstractNumId w:val="17"/>
  </w:num>
  <w:num w:numId="17">
    <w:abstractNumId w:val="19"/>
  </w:num>
  <w:num w:numId="18">
    <w:abstractNumId w:val="25"/>
  </w:num>
  <w:num w:numId="19">
    <w:abstractNumId w:val="13"/>
  </w:num>
  <w:num w:numId="20">
    <w:abstractNumId w:val="18"/>
  </w:num>
  <w:num w:numId="21">
    <w:abstractNumId w:val="26"/>
  </w:num>
  <w:num w:numId="22">
    <w:abstractNumId w:val="29"/>
  </w:num>
  <w:num w:numId="23">
    <w:abstractNumId w:val="30"/>
  </w:num>
  <w:num w:numId="24">
    <w:abstractNumId w:val="9"/>
  </w:num>
  <w:num w:numId="25">
    <w:abstractNumId w:val="15"/>
  </w:num>
  <w:num w:numId="26">
    <w:abstractNumId w:val="8"/>
  </w:num>
  <w:num w:numId="27">
    <w:abstractNumId w:val="12"/>
  </w:num>
  <w:num w:numId="28">
    <w:abstractNumId w:val="28"/>
  </w:num>
  <w:num w:numId="29">
    <w:abstractNumId w:val="35"/>
  </w:num>
  <w:num w:numId="30">
    <w:abstractNumId w:val="14"/>
  </w:num>
  <w:num w:numId="31">
    <w:abstractNumId w:val="37"/>
  </w:num>
  <w:num w:numId="32">
    <w:abstractNumId w:val="2"/>
  </w:num>
  <w:num w:numId="33">
    <w:abstractNumId w:val="5"/>
  </w:num>
  <w:num w:numId="34">
    <w:abstractNumId w:val="27"/>
  </w:num>
  <w:num w:numId="35">
    <w:abstractNumId w:val="32"/>
  </w:num>
  <w:num w:numId="36">
    <w:abstractNumId w:val="34"/>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02CD"/>
    <w:rsid w:val="00000E9E"/>
    <w:rsid w:val="0000238F"/>
    <w:rsid w:val="000044B4"/>
    <w:rsid w:val="00005CC8"/>
    <w:rsid w:val="00011DF7"/>
    <w:rsid w:val="00012853"/>
    <w:rsid w:val="000146A2"/>
    <w:rsid w:val="00014D80"/>
    <w:rsid w:val="00015A5D"/>
    <w:rsid w:val="000204E1"/>
    <w:rsid w:val="00021D9A"/>
    <w:rsid w:val="00022E72"/>
    <w:rsid w:val="000230DF"/>
    <w:rsid w:val="000232F8"/>
    <w:rsid w:val="00023706"/>
    <w:rsid w:val="00024BC0"/>
    <w:rsid w:val="000276E0"/>
    <w:rsid w:val="00030F09"/>
    <w:rsid w:val="00032DBD"/>
    <w:rsid w:val="00033949"/>
    <w:rsid w:val="00033A37"/>
    <w:rsid w:val="000402BD"/>
    <w:rsid w:val="00041557"/>
    <w:rsid w:val="00041664"/>
    <w:rsid w:val="00043018"/>
    <w:rsid w:val="00044579"/>
    <w:rsid w:val="00044CF3"/>
    <w:rsid w:val="00050126"/>
    <w:rsid w:val="00050518"/>
    <w:rsid w:val="00050A9C"/>
    <w:rsid w:val="00051311"/>
    <w:rsid w:val="00053083"/>
    <w:rsid w:val="00053C9B"/>
    <w:rsid w:val="00054C50"/>
    <w:rsid w:val="00055FDB"/>
    <w:rsid w:val="000574F5"/>
    <w:rsid w:val="00057570"/>
    <w:rsid w:val="000576BF"/>
    <w:rsid w:val="00060115"/>
    <w:rsid w:val="000610EB"/>
    <w:rsid w:val="00061CDD"/>
    <w:rsid w:val="00061CE1"/>
    <w:rsid w:val="00062331"/>
    <w:rsid w:val="0006498F"/>
    <w:rsid w:val="000674FE"/>
    <w:rsid w:val="00070473"/>
    <w:rsid w:val="00070C7F"/>
    <w:rsid w:val="000723B9"/>
    <w:rsid w:val="0007328F"/>
    <w:rsid w:val="000732A0"/>
    <w:rsid w:val="000738E9"/>
    <w:rsid w:val="0008042E"/>
    <w:rsid w:val="00080536"/>
    <w:rsid w:val="00083F7E"/>
    <w:rsid w:val="000859BB"/>
    <w:rsid w:val="00087885"/>
    <w:rsid w:val="0008795C"/>
    <w:rsid w:val="00090705"/>
    <w:rsid w:val="00091583"/>
    <w:rsid w:val="00092805"/>
    <w:rsid w:val="00093E42"/>
    <w:rsid w:val="0009497C"/>
    <w:rsid w:val="00095218"/>
    <w:rsid w:val="00095D0C"/>
    <w:rsid w:val="00096DEA"/>
    <w:rsid w:val="0009709A"/>
    <w:rsid w:val="000A27C1"/>
    <w:rsid w:val="000A3303"/>
    <w:rsid w:val="000A6898"/>
    <w:rsid w:val="000A773C"/>
    <w:rsid w:val="000A7F00"/>
    <w:rsid w:val="000B0E94"/>
    <w:rsid w:val="000B2868"/>
    <w:rsid w:val="000B45D8"/>
    <w:rsid w:val="000B4B3D"/>
    <w:rsid w:val="000B5D48"/>
    <w:rsid w:val="000C289A"/>
    <w:rsid w:val="000C3A0E"/>
    <w:rsid w:val="000C58B6"/>
    <w:rsid w:val="000C62B4"/>
    <w:rsid w:val="000C74AA"/>
    <w:rsid w:val="000D4772"/>
    <w:rsid w:val="000D47AB"/>
    <w:rsid w:val="000D6982"/>
    <w:rsid w:val="000D756B"/>
    <w:rsid w:val="000D7B84"/>
    <w:rsid w:val="000E28C7"/>
    <w:rsid w:val="000E2AE1"/>
    <w:rsid w:val="000E4C25"/>
    <w:rsid w:val="000E4C77"/>
    <w:rsid w:val="000E4E90"/>
    <w:rsid w:val="000E5159"/>
    <w:rsid w:val="000E58D0"/>
    <w:rsid w:val="000E631B"/>
    <w:rsid w:val="000E7C0A"/>
    <w:rsid w:val="000F0A72"/>
    <w:rsid w:val="000F199E"/>
    <w:rsid w:val="000F3722"/>
    <w:rsid w:val="000F4E60"/>
    <w:rsid w:val="000F76C0"/>
    <w:rsid w:val="00113858"/>
    <w:rsid w:val="00114418"/>
    <w:rsid w:val="00114C3C"/>
    <w:rsid w:val="00115F6D"/>
    <w:rsid w:val="00117C14"/>
    <w:rsid w:val="0012205A"/>
    <w:rsid w:val="00122CD0"/>
    <w:rsid w:val="0012508A"/>
    <w:rsid w:val="001269C0"/>
    <w:rsid w:val="00130ED1"/>
    <w:rsid w:val="00132E9F"/>
    <w:rsid w:val="001346D9"/>
    <w:rsid w:val="00135494"/>
    <w:rsid w:val="001365B8"/>
    <w:rsid w:val="00140AE4"/>
    <w:rsid w:val="00140C2F"/>
    <w:rsid w:val="0014191F"/>
    <w:rsid w:val="00142CC6"/>
    <w:rsid w:val="00142E05"/>
    <w:rsid w:val="00143108"/>
    <w:rsid w:val="00143581"/>
    <w:rsid w:val="00143AC6"/>
    <w:rsid w:val="0014447C"/>
    <w:rsid w:val="001510E8"/>
    <w:rsid w:val="00153BFD"/>
    <w:rsid w:val="00155083"/>
    <w:rsid w:val="001552E9"/>
    <w:rsid w:val="001576AC"/>
    <w:rsid w:val="00160E7E"/>
    <w:rsid w:val="00162176"/>
    <w:rsid w:val="0016288C"/>
    <w:rsid w:val="0016423B"/>
    <w:rsid w:val="00165929"/>
    <w:rsid w:val="00166046"/>
    <w:rsid w:val="00166623"/>
    <w:rsid w:val="00166FB7"/>
    <w:rsid w:val="00170C4A"/>
    <w:rsid w:val="001727E6"/>
    <w:rsid w:val="00172D37"/>
    <w:rsid w:val="00172F8F"/>
    <w:rsid w:val="00173299"/>
    <w:rsid w:val="00180F6B"/>
    <w:rsid w:val="00181DE3"/>
    <w:rsid w:val="00182616"/>
    <w:rsid w:val="00183E49"/>
    <w:rsid w:val="00186CFB"/>
    <w:rsid w:val="00195C69"/>
    <w:rsid w:val="001963D1"/>
    <w:rsid w:val="00196888"/>
    <w:rsid w:val="001976F7"/>
    <w:rsid w:val="001A0461"/>
    <w:rsid w:val="001A0EEE"/>
    <w:rsid w:val="001A17B9"/>
    <w:rsid w:val="001A19E9"/>
    <w:rsid w:val="001A1AC5"/>
    <w:rsid w:val="001A1DA5"/>
    <w:rsid w:val="001A4700"/>
    <w:rsid w:val="001A4B29"/>
    <w:rsid w:val="001B5DCE"/>
    <w:rsid w:val="001B6C19"/>
    <w:rsid w:val="001C0CE9"/>
    <w:rsid w:val="001C14F7"/>
    <w:rsid w:val="001C2DBA"/>
    <w:rsid w:val="001C3177"/>
    <w:rsid w:val="001C3FB9"/>
    <w:rsid w:val="001C69FC"/>
    <w:rsid w:val="001C73A7"/>
    <w:rsid w:val="001C77F2"/>
    <w:rsid w:val="001D11F7"/>
    <w:rsid w:val="001D130D"/>
    <w:rsid w:val="001D2B28"/>
    <w:rsid w:val="001D39A1"/>
    <w:rsid w:val="001D6114"/>
    <w:rsid w:val="001D61D0"/>
    <w:rsid w:val="001E07AC"/>
    <w:rsid w:val="001E2E5E"/>
    <w:rsid w:val="001E4528"/>
    <w:rsid w:val="001E477F"/>
    <w:rsid w:val="001E4D4B"/>
    <w:rsid w:val="001E60B7"/>
    <w:rsid w:val="001E71C5"/>
    <w:rsid w:val="001E7E97"/>
    <w:rsid w:val="001F021C"/>
    <w:rsid w:val="001F5537"/>
    <w:rsid w:val="001F5577"/>
    <w:rsid w:val="001F59A0"/>
    <w:rsid w:val="001F5C55"/>
    <w:rsid w:val="001F6C27"/>
    <w:rsid w:val="00201358"/>
    <w:rsid w:val="00203FA5"/>
    <w:rsid w:val="00204B42"/>
    <w:rsid w:val="00205BF1"/>
    <w:rsid w:val="00207DA3"/>
    <w:rsid w:val="002108D8"/>
    <w:rsid w:val="00211473"/>
    <w:rsid w:val="00211739"/>
    <w:rsid w:val="00211A69"/>
    <w:rsid w:val="00212201"/>
    <w:rsid w:val="00212498"/>
    <w:rsid w:val="0021396E"/>
    <w:rsid w:val="00216B8D"/>
    <w:rsid w:val="00217027"/>
    <w:rsid w:val="00217517"/>
    <w:rsid w:val="002212BB"/>
    <w:rsid w:val="00221F0B"/>
    <w:rsid w:val="00222D17"/>
    <w:rsid w:val="00224F85"/>
    <w:rsid w:val="002252AD"/>
    <w:rsid w:val="00225A6A"/>
    <w:rsid w:val="00225AAE"/>
    <w:rsid w:val="00226483"/>
    <w:rsid w:val="00232FBB"/>
    <w:rsid w:val="00235B93"/>
    <w:rsid w:val="002366E1"/>
    <w:rsid w:val="002408C0"/>
    <w:rsid w:val="00241CD8"/>
    <w:rsid w:val="00242169"/>
    <w:rsid w:val="002450D9"/>
    <w:rsid w:val="002452C3"/>
    <w:rsid w:val="00246F65"/>
    <w:rsid w:val="0024709D"/>
    <w:rsid w:val="00247E1F"/>
    <w:rsid w:val="002517EC"/>
    <w:rsid w:val="00251C6D"/>
    <w:rsid w:val="00252BC8"/>
    <w:rsid w:val="00254523"/>
    <w:rsid w:val="002572CF"/>
    <w:rsid w:val="0026191D"/>
    <w:rsid w:val="00264415"/>
    <w:rsid w:val="00265E52"/>
    <w:rsid w:val="00267C45"/>
    <w:rsid w:val="00271762"/>
    <w:rsid w:val="002718DB"/>
    <w:rsid w:val="00271C39"/>
    <w:rsid w:val="00272111"/>
    <w:rsid w:val="00272609"/>
    <w:rsid w:val="00275C65"/>
    <w:rsid w:val="00276987"/>
    <w:rsid w:val="00276B33"/>
    <w:rsid w:val="00276E33"/>
    <w:rsid w:val="00276FFD"/>
    <w:rsid w:val="00277DCF"/>
    <w:rsid w:val="0028056B"/>
    <w:rsid w:val="002823D5"/>
    <w:rsid w:val="00283F65"/>
    <w:rsid w:val="002841C3"/>
    <w:rsid w:val="0028427C"/>
    <w:rsid w:val="0028471A"/>
    <w:rsid w:val="002847CC"/>
    <w:rsid w:val="0028585E"/>
    <w:rsid w:val="00285DFA"/>
    <w:rsid w:val="00287072"/>
    <w:rsid w:val="00287DCC"/>
    <w:rsid w:val="00290131"/>
    <w:rsid w:val="00290397"/>
    <w:rsid w:val="002910A3"/>
    <w:rsid w:val="00291B9C"/>
    <w:rsid w:val="00293511"/>
    <w:rsid w:val="00294480"/>
    <w:rsid w:val="00294C9B"/>
    <w:rsid w:val="00295186"/>
    <w:rsid w:val="002965A1"/>
    <w:rsid w:val="00296F49"/>
    <w:rsid w:val="00297B3F"/>
    <w:rsid w:val="002A08AC"/>
    <w:rsid w:val="002A08CD"/>
    <w:rsid w:val="002A10EC"/>
    <w:rsid w:val="002A1927"/>
    <w:rsid w:val="002A1FCC"/>
    <w:rsid w:val="002A26E0"/>
    <w:rsid w:val="002B1196"/>
    <w:rsid w:val="002B52D6"/>
    <w:rsid w:val="002B5B14"/>
    <w:rsid w:val="002C0C6A"/>
    <w:rsid w:val="002C1EF7"/>
    <w:rsid w:val="002C2A2E"/>
    <w:rsid w:val="002C2D19"/>
    <w:rsid w:val="002C45D8"/>
    <w:rsid w:val="002C47F3"/>
    <w:rsid w:val="002C4988"/>
    <w:rsid w:val="002C529C"/>
    <w:rsid w:val="002C566D"/>
    <w:rsid w:val="002D0152"/>
    <w:rsid w:val="002D3426"/>
    <w:rsid w:val="002D4743"/>
    <w:rsid w:val="002D477F"/>
    <w:rsid w:val="002D4991"/>
    <w:rsid w:val="002D4B7A"/>
    <w:rsid w:val="002D6110"/>
    <w:rsid w:val="002D7D51"/>
    <w:rsid w:val="002E22D8"/>
    <w:rsid w:val="002E2D4C"/>
    <w:rsid w:val="002E3A12"/>
    <w:rsid w:val="002E434B"/>
    <w:rsid w:val="002E49DD"/>
    <w:rsid w:val="002E6036"/>
    <w:rsid w:val="002F044A"/>
    <w:rsid w:val="002F160B"/>
    <w:rsid w:val="002F17FB"/>
    <w:rsid w:val="002F35AC"/>
    <w:rsid w:val="002F7D7F"/>
    <w:rsid w:val="003002D9"/>
    <w:rsid w:val="00301A01"/>
    <w:rsid w:val="00301FF8"/>
    <w:rsid w:val="003021C1"/>
    <w:rsid w:val="00303FAF"/>
    <w:rsid w:val="00304C91"/>
    <w:rsid w:val="00305B06"/>
    <w:rsid w:val="00307784"/>
    <w:rsid w:val="00307BF6"/>
    <w:rsid w:val="00310760"/>
    <w:rsid w:val="00311191"/>
    <w:rsid w:val="00312E7E"/>
    <w:rsid w:val="00314251"/>
    <w:rsid w:val="00314F7E"/>
    <w:rsid w:val="00315192"/>
    <w:rsid w:val="003153A1"/>
    <w:rsid w:val="00316005"/>
    <w:rsid w:val="00316D23"/>
    <w:rsid w:val="003209B8"/>
    <w:rsid w:val="003230BE"/>
    <w:rsid w:val="00323B11"/>
    <w:rsid w:val="00323D35"/>
    <w:rsid w:val="00325EE1"/>
    <w:rsid w:val="0032688B"/>
    <w:rsid w:val="00327932"/>
    <w:rsid w:val="00330554"/>
    <w:rsid w:val="00334F75"/>
    <w:rsid w:val="00336103"/>
    <w:rsid w:val="003369C9"/>
    <w:rsid w:val="00336EDF"/>
    <w:rsid w:val="00342959"/>
    <w:rsid w:val="00342987"/>
    <w:rsid w:val="003456A2"/>
    <w:rsid w:val="0034713F"/>
    <w:rsid w:val="003474E5"/>
    <w:rsid w:val="003500CC"/>
    <w:rsid w:val="0035493D"/>
    <w:rsid w:val="00354E5E"/>
    <w:rsid w:val="00356DEA"/>
    <w:rsid w:val="00363308"/>
    <w:rsid w:val="003653BC"/>
    <w:rsid w:val="00365ADF"/>
    <w:rsid w:val="00371710"/>
    <w:rsid w:val="00372399"/>
    <w:rsid w:val="00374450"/>
    <w:rsid w:val="00375FF5"/>
    <w:rsid w:val="00380922"/>
    <w:rsid w:val="0038385D"/>
    <w:rsid w:val="0038396D"/>
    <w:rsid w:val="0038529C"/>
    <w:rsid w:val="00386799"/>
    <w:rsid w:val="003908F4"/>
    <w:rsid w:val="003919AC"/>
    <w:rsid w:val="0039721A"/>
    <w:rsid w:val="003A13D2"/>
    <w:rsid w:val="003A3096"/>
    <w:rsid w:val="003A600D"/>
    <w:rsid w:val="003B123E"/>
    <w:rsid w:val="003B4AE6"/>
    <w:rsid w:val="003B64E2"/>
    <w:rsid w:val="003B6632"/>
    <w:rsid w:val="003B7C36"/>
    <w:rsid w:val="003C042D"/>
    <w:rsid w:val="003C3124"/>
    <w:rsid w:val="003C47FB"/>
    <w:rsid w:val="003C74AF"/>
    <w:rsid w:val="003D2672"/>
    <w:rsid w:val="003D3420"/>
    <w:rsid w:val="003D3A66"/>
    <w:rsid w:val="003D3D51"/>
    <w:rsid w:val="003D4B31"/>
    <w:rsid w:val="003D584C"/>
    <w:rsid w:val="003E037E"/>
    <w:rsid w:val="003E08B9"/>
    <w:rsid w:val="003F1052"/>
    <w:rsid w:val="003F13DA"/>
    <w:rsid w:val="003F14E6"/>
    <w:rsid w:val="003F5460"/>
    <w:rsid w:val="003F59F4"/>
    <w:rsid w:val="00400852"/>
    <w:rsid w:val="00404F9D"/>
    <w:rsid w:val="00406B61"/>
    <w:rsid w:val="00406E86"/>
    <w:rsid w:val="00407282"/>
    <w:rsid w:val="00407DEE"/>
    <w:rsid w:val="00410A41"/>
    <w:rsid w:val="004132B8"/>
    <w:rsid w:val="00414E53"/>
    <w:rsid w:val="00415BD4"/>
    <w:rsid w:val="00416378"/>
    <w:rsid w:val="004174D8"/>
    <w:rsid w:val="00417EBD"/>
    <w:rsid w:val="00417F17"/>
    <w:rsid w:val="004226AE"/>
    <w:rsid w:val="00422997"/>
    <w:rsid w:val="00423281"/>
    <w:rsid w:val="00423C27"/>
    <w:rsid w:val="00425199"/>
    <w:rsid w:val="00426267"/>
    <w:rsid w:val="004267D1"/>
    <w:rsid w:val="0043066D"/>
    <w:rsid w:val="004307FD"/>
    <w:rsid w:val="00430DDB"/>
    <w:rsid w:val="004310DA"/>
    <w:rsid w:val="0043217C"/>
    <w:rsid w:val="00432F42"/>
    <w:rsid w:val="00435E52"/>
    <w:rsid w:val="00443826"/>
    <w:rsid w:val="00446D67"/>
    <w:rsid w:val="0045258F"/>
    <w:rsid w:val="0045270C"/>
    <w:rsid w:val="00452ABA"/>
    <w:rsid w:val="0045396C"/>
    <w:rsid w:val="004560B1"/>
    <w:rsid w:val="00456892"/>
    <w:rsid w:val="004571B5"/>
    <w:rsid w:val="004572BE"/>
    <w:rsid w:val="004601BF"/>
    <w:rsid w:val="0046044E"/>
    <w:rsid w:val="004617AE"/>
    <w:rsid w:val="004617C7"/>
    <w:rsid w:val="00463E3B"/>
    <w:rsid w:val="00464417"/>
    <w:rsid w:val="00464F74"/>
    <w:rsid w:val="004657BE"/>
    <w:rsid w:val="004715AF"/>
    <w:rsid w:val="00472666"/>
    <w:rsid w:val="00474BF0"/>
    <w:rsid w:val="00476E2C"/>
    <w:rsid w:val="00476E43"/>
    <w:rsid w:val="004807F7"/>
    <w:rsid w:val="004812BD"/>
    <w:rsid w:val="00481A59"/>
    <w:rsid w:val="00481A94"/>
    <w:rsid w:val="00482EF1"/>
    <w:rsid w:val="004830B5"/>
    <w:rsid w:val="004845BC"/>
    <w:rsid w:val="00484E47"/>
    <w:rsid w:val="00485EAA"/>
    <w:rsid w:val="00485FC8"/>
    <w:rsid w:val="00486336"/>
    <w:rsid w:val="00487B8B"/>
    <w:rsid w:val="0049054C"/>
    <w:rsid w:val="004912BB"/>
    <w:rsid w:val="004926F0"/>
    <w:rsid w:val="00492F91"/>
    <w:rsid w:val="00493364"/>
    <w:rsid w:val="004943EE"/>
    <w:rsid w:val="00494C99"/>
    <w:rsid w:val="00497B93"/>
    <w:rsid w:val="004A23F1"/>
    <w:rsid w:val="004A51FF"/>
    <w:rsid w:val="004B2391"/>
    <w:rsid w:val="004B2C63"/>
    <w:rsid w:val="004B4721"/>
    <w:rsid w:val="004B54FF"/>
    <w:rsid w:val="004C0E97"/>
    <w:rsid w:val="004C7E18"/>
    <w:rsid w:val="004D3C0F"/>
    <w:rsid w:val="004D5BAF"/>
    <w:rsid w:val="004D5D52"/>
    <w:rsid w:val="004E0222"/>
    <w:rsid w:val="004E257C"/>
    <w:rsid w:val="004E26A1"/>
    <w:rsid w:val="004E65C2"/>
    <w:rsid w:val="004F01E0"/>
    <w:rsid w:val="004F1BFF"/>
    <w:rsid w:val="004F43BE"/>
    <w:rsid w:val="004F483E"/>
    <w:rsid w:val="004F5D37"/>
    <w:rsid w:val="004F71B4"/>
    <w:rsid w:val="0050104C"/>
    <w:rsid w:val="00501F21"/>
    <w:rsid w:val="005023F4"/>
    <w:rsid w:val="005033CC"/>
    <w:rsid w:val="0050429A"/>
    <w:rsid w:val="00506A29"/>
    <w:rsid w:val="00506F77"/>
    <w:rsid w:val="00506FB4"/>
    <w:rsid w:val="00511073"/>
    <w:rsid w:val="0051274A"/>
    <w:rsid w:val="00512CDD"/>
    <w:rsid w:val="00514C3B"/>
    <w:rsid w:val="005157A8"/>
    <w:rsid w:val="00515EBB"/>
    <w:rsid w:val="00515F7A"/>
    <w:rsid w:val="00521F65"/>
    <w:rsid w:val="0052393E"/>
    <w:rsid w:val="00524986"/>
    <w:rsid w:val="005253F4"/>
    <w:rsid w:val="005261D7"/>
    <w:rsid w:val="0053251F"/>
    <w:rsid w:val="005328FB"/>
    <w:rsid w:val="00534481"/>
    <w:rsid w:val="00536E75"/>
    <w:rsid w:val="0053702D"/>
    <w:rsid w:val="00537419"/>
    <w:rsid w:val="00537D90"/>
    <w:rsid w:val="00541B0A"/>
    <w:rsid w:val="005421C7"/>
    <w:rsid w:val="005448FA"/>
    <w:rsid w:val="00544D1C"/>
    <w:rsid w:val="00545810"/>
    <w:rsid w:val="00545934"/>
    <w:rsid w:val="00552930"/>
    <w:rsid w:val="00554E8A"/>
    <w:rsid w:val="00555F06"/>
    <w:rsid w:val="00556787"/>
    <w:rsid w:val="00560AE0"/>
    <w:rsid w:val="0056175D"/>
    <w:rsid w:val="00565DD9"/>
    <w:rsid w:val="00566699"/>
    <w:rsid w:val="00567676"/>
    <w:rsid w:val="00567B3F"/>
    <w:rsid w:val="005703F1"/>
    <w:rsid w:val="00572DD6"/>
    <w:rsid w:val="00573035"/>
    <w:rsid w:val="00573298"/>
    <w:rsid w:val="005733EB"/>
    <w:rsid w:val="0057534D"/>
    <w:rsid w:val="00575721"/>
    <w:rsid w:val="00576514"/>
    <w:rsid w:val="00576D36"/>
    <w:rsid w:val="00577F37"/>
    <w:rsid w:val="005835E6"/>
    <w:rsid w:val="00583BDF"/>
    <w:rsid w:val="00583DD0"/>
    <w:rsid w:val="0058708E"/>
    <w:rsid w:val="00590126"/>
    <w:rsid w:val="00591178"/>
    <w:rsid w:val="00591189"/>
    <w:rsid w:val="00591988"/>
    <w:rsid w:val="00591CBF"/>
    <w:rsid w:val="005947A8"/>
    <w:rsid w:val="00594C38"/>
    <w:rsid w:val="00596856"/>
    <w:rsid w:val="005A10C4"/>
    <w:rsid w:val="005A1DE9"/>
    <w:rsid w:val="005A2A6F"/>
    <w:rsid w:val="005A35E2"/>
    <w:rsid w:val="005A6F55"/>
    <w:rsid w:val="005A7809"/>
    <w:rsid w:val="005B0930"/>
    <w:rsid w:val="005B1376"/>
    <w:rsid w:val="005B2A31"/>
    <w:rsid w:val="005B36CD"/>
    <w:rsid w:val="005B7E58"/>
    <w:rsid w:val="005C057C"/>
    <w:rsid w:val="005C35E3"/>
    <w:rsid w:val="005C76D5"/>
    <w:rsid w:val="005C7A28"/>
    <w:rsid w:val="005D02A8"/>
    <w:rsid w:val="005D517E"/>
    <w:rsid w:val="005D5E76"/>
    <w:rsid w:val="005D5EEB"/>
    <w:rsid w:val="005D6DC3"/>
    <w:rsid w:val="005E37FE"/>
    <w:rsid w:val="005E3F88"/>
    <w:rsid w:val="005E4317"/>
    <w:rsid w:val="005E6407"/>
    <w:rsid w:val="005E71BC"/>
    <w:rsid w:val="005F1019"/>
    <w:rsid w:val="005F198B"/>
    <w:rsid w:val="005F64FE"/>
    <w:rsid w:val="005F7DE3"/>
    <w:rsid w:val="00600D67"/>
    <w:rsid w:val="0060166A"/>
    <w:rsid w:val="00604A29"/>
    <w:rsid w:val="0060633A"/>
    <w:rsid w:val="006107F0"/>
    <w:rsid w:val="006149F1"/>
    <w:rsid w:val="00620FA6"/>
    <w:rsid w:val="0062128C"/>
    <w:rsid w:val="006246A5"/>
    <w:rsid w:val="00624A5D"/>
    <w:rsid w:val="00627396"/>
    <w:rsid w:val="00627F9C"/>
    <w:rsid w:val="00630480"/>
    <w:rsid w:val="00631F1B"/>
    <w:rsid w:val="00631FF9"/>
    <w:rsid w:val="00633C3F"/>
    <w:rsid w:val="00636BA0"/>
    <w:rsid w:val="0063768E"/>
    <w:rsid w:val="00640D07"/>
    <w:rsid w:val="00642541"/>
    <w:rsid w:val="006435B8"/>
    <w:rsid w:val="00644363"/>
    <w:rsid w:val="006446F7"/>
    <w:rsid w:val="00647B4C"/>
    <w:rsid w:val="00653F16"/>
    <w:rsid w:val="00655A88"/>
    <w:rsid w:val="00656C1C"/>
    <w:rsid w:val="00661204"/>
    <w:rsid w:val="006616F1"/>
    <w:rsid w:val="00663B3E"/>
    <w:rsid w:val="0066610F"/>
    <w:rsid w:val="0066612D"/>
    <w:rsid w:val="00670A00"/>
    <w:rsid w:val="00673D7C"/>
    <w:rsid w:val="006748C2"/>
    <w:rsid w:val="006749FD"/>
    <w:rsid w:val="00674FA3"/>
    <w:rsid w:val="006761EE"/>
    <w:rsid w:val="00676C32"/>
    <w:rsid w:val="00680275"/>
    <w:rsid w:val="0068081F"/>
    <w:rsid w:val="00680D39"/>
    <w:rsid w:val="00684D1A"/>
    <w:rsid w:val="00686046"/>
    <w:rsid w:val="006875A3"/>
    <w:rsid w:val="00687A21"/>
    <w:rsid w:val="00690C13"/>
    <w:rsid w:val="0069391A"/>
    <w:rsid w:val="006956C7"/>
    <w:rsid w:val="00695967"/>
    <w:rsid w:val="0069776E"/>
    <w:rsid w:val="00697A63"/>
    <w:rsid w:val="006A0ADE"/>
    <w:rsid w:val="006A29C5"/>
    <w:rsid w:val="006A3A54"/>
    <w:rsid w:val="006A561E"/>
    <w:rsid w:val="006A58E4"/>
    <w:rsid w:val="006A5E38"/>
    <w:rsid w:val="006A7D48"/>
    <w:rsid w:val="006B7B35"/>
    <w:rsid w:val="006C0D71"/>
    <w:rsid w:val="006C1F26"/>
    <w:rsid w:val="006C5108"/>
    <w:rsid w:val="006C6176"/>
    <w:rsid w:val="006C6BC7"/>
    <w:rsid w:val="006D01DC"/>
    <w:rsid w:val="006D1136"/>
    <w:rsid w:val="006D1909"/>
    <w:rsid w:val="006D254A"/>
    <w:rsid w:val="006D4AD4"/>
    <w:rsid w:val="006D5EDF"/>
    <w:rsid w:val="006D780C"/>
    <w:rsid w:val="006E0601"/>
    <w:rsid w:val="006E16FF"/>
    <w:rsid w:val="006E2615"/>
    <w:rsid w:val="006E2D42"/>
    <w:rsid w:val="006E6394"/>
    <w:rsid w:val="006E6C81"/>
    <w:rsid w:val="006F08D7"/>
    <w:rsid w:val="006F18FD"/>
    <w:rsid w:val="006F2694"/>
    <w:rsid w:val="006F4A35"/>
    <w:rsid w:val="006F536C"/>
    <w:rsid w:val="006F657A"/>
    <w:rsid w:val="00702DB6"/>
    <w:rsid w:val="00705D1C"/>
    <w:rsid w:val="00706410"/>
    <w:rsid w:val="007073F8"/>
    <w:rsid w:val="007078D3"/>
    <w:rsid w:val="00711E37"/>
    <w:rsid w:val="0071210D"/>
    <w:rsid w:val="007122EF"/>
    <w:rsid w:val="0071313A"/>
    <w:rsid w:val="007149E2"/>
    <w:rsid w:val="0071623D"/>
    <w:rsid w:val="00720C22"/>
    <w:rsid w:val="007214F7"/>
    <w:rsid w:val="007218F2"/>
    <w:rsid w:val="00721EB9"/>
    <w:rsid w:val="00723B96"/>
    <w:rsid w:val="00723C1B"/>
    <w:rsid w:val="007256EA"/>
    <w:rsid w:val="007269AE"/>
    <w:rsid w:val="00727C51"/>
    <w:rsid w:val="00727F6F"/>
    <w:rsid w:val="00730B8A"/>
    <w:rsid w:val="00730DE0"/>
    <w:rsid w:val="00733EA8"/>
    <w:rsid w:val="00736AF9"/>
    <w:rsid w:val="0074093D"/>
    <w:rsid w:val="00741A50"/>
    <w:rsid w:val="00745032"/>
    <w:rsid w:val="007469C3"/>
    <w:rsid w:val="00746ED1"/>
    <w:rsid w:val="00754BDC"/>
    <w:rsid w:val="00755795"/>
    <w:rsid w:val="0075676A"/>
    <w:rsid w:val="007577D1"/>
    <w:rsid w:val="00763D73"/>
    <w:rsid w:val="007640C8"/>
    <w:rsid w:val="00766945"/>
    <w:rsid w:val="00766A13"/>
    <w:rsid w:val="00766A8A"/>
    <w:rsid w:val="007676AF"/>
    <w:rsid w:val="00770D7C"/>
    <w:rsid w:val="00771421"/>
    <w:rsid w:val="00772A72"/>
    <w:rsid w:val="00773727"/>
    <w:rsid w:val="007748CD"/>
    <w:rsid w:val="00775F8F"/>
    <w:rsid w:val="00776087"/>
    <w:rsid w:val="007849B4"/>
    <w:rsid w:val="00785145"/>
    <w:rsid w:val="00786497"/>
    <w:rsid w:val="00787C6A"/>
    <w:rsid w:val="00790289"/>
    <w:rsid w:val="007924C3"/>
    <w:rsid w:val="00793014"/>
    <w:rsid w:val="00797BE3"/>
    <w:rsid w:val="007A0571"/>
    <w:rsid w:val="007A1F44"/>
    <w:rsid w:val="007A223B"/>
    <w:rsid w:val="007A3848"/>
    <w:rsid w:val="007A4E13"/>
    <w:rsid w:val="007A694D"/>
    <w:rsid w:val="007B0292"/>
    <w:rsid w:val="007B0E30"/>
    <w:rsid w:val="007B12EA"/>
    <w:rsid w:val="007B5C0B"/>
    <w:rsid w:val="007B6C26"/>
    <w:rsid w:val="007C0F61"/>
    <w:rsid w:val="007C2225"/>
    <w:rsid w:val="007C23A2"/>
    <w:rsid w:val="007C2757"/>
    <w:rsid w:val="007C2FDE"/>
    <w:rsid w:val="007C5203"/>
    <w:rsid w:val="007C52F5"/>
    <w:rsid w:val="007C58CF"/>
    <w:rsid w:val="007C5DC4"/>
    <w:rsid w:val="007C70A4"/>
    <w:rsid w:val="007D0339"/>
    <w:rsid w:val="007D0CFF"/>
    <w:rsid w:val="007D519C"/>
    <w:rsid w:val="007E24A6"/>
    <w:rsid w:val="007E2E80"/>
    <w:rsid w:val="007E3E1E"/>
    <w:rsid w:val="007E473B"/>
    <w:rsid w:val="007E7086"/>
    <w:rsid w:val="007F2256"/>
    <w:rsid w:val="007F282E"/>
    <w:rsid w:val="007F5267"/>
    <w:rsid w:val="007F7846"/>
    <w:rsid w:val="00801391"/>
    <w:rsid w:val="00803379"/>
    <w:rsid w:val="008041A7"/>
    <w:rsid w:val="0080536C"/>
    <w:rsid w:val="00805578"/>
    <w:rsid w:val="008103B2"/>
    <w:rsid w:val="0081299A"/>
    <w:rsid w:val="008132B7"/>
    <w:rsid w:val="008152B2"/>
    <w:rsid w:val="00820B44"/>
    <w:rsid w:val="00821898"/>
    <w:rsid w:val="0082268A"/>
    <w:rsid w:val="00823454"/>
    <w:rsid w:val="00824894"/>
    <w:rsid w:val="00824C59"/>
    <w:rsid w:val="008307E5"/>
    <w:rsid w:val="00833B24"/>
    <w:rsid w:val="00834547"/>
    <w:rsid w:val="00837290"/>
    <w:rsid w:val="00843DFD"/>
    <w:rsid w:val="008455DC"/>
    <w:rsid w:val="0084762B"/>
    <w:rsid w:val="00847AD2"/>
    <w:rsid w:val="00852DE6"/>
    <w:rsid w:val="00852E83"/>
    <w:rsid w:val="00853CC3"/>
    <w:rsid w:val="00853E09"/>
    <w:rsid w:val="0085433C"/>
    <w:rsid w:val="0085458F"/>
    <w:rsid w:val="00856768"/>
    <w:rsid w:val="00864A61"/>
    <w:rsid w:val="00866F05"/>
    <w:rsid w:val="00867D56"/>
    <w:rsid w:val="00870064"/>
    <w:rsid w:val="008706DB"/>
    <w:rsid w:val="008725EE"/>
    <w:rsid w:val="008731D1"/>
    <w:rsid w:val="008758DC"/>
    <w:rsid w:val="00881FAB"/>
    <w:rsid w:val="00892543"/>
    <w:rsid w:val="008932C9"/>
    <w:rsid w:val="008937FD"/>
    <w:rsid w:val="008960D1"/>
    <w:rsid w:val="008976A8"/>
    <w:rsid w:val="0089781F"/>
    <w:rsid w:val="008A0964"/>
    <w:rsid w:val="008A105E"/>
    <w:rsid w:val="008A188B"/>
    <w:rsid w:val="008A1C19"/>
    <w:rsid w:val="008A2099"/>
    <w:rsid w:val="008A2BF3"/>
    <w:rsid w:val="008A3A93"/>
    <w:rsid w:val="008A3B21"/>
    <w:rsid w:val="008A5D82"/>
    <w:rsid w:val="008B048C"/>
    <w:rsid w:val="008B537A"/>
    <w:rsid w:val="008B5FA8"/>
    <w:rsid w:val="008B6631"/>
    <w:rsid w:val="008C0E72"/>
    <w:rsid w:val="008C0F70"/>
    <w:rsid w:val="008C351E"/>
    <w:rsid w:val="008C651F"/>
    <w:rsid w:val="008C6F50"/>
    <w:rsid w:val="008C7CEB"/>
    <w:rsid w:val="008C7E34"/>
    <w:rsid w:val="008D17A8"/>
    <w:rsid w:val="008D2C03"/>
    <w:rsid w:val="008D3CD1"/>
    <w:rsid w:val="008D4796"/>
    <w:rsid w:val="008D523F"/>
    <w:rsid w:val="008D6327"/>
    <w:rsid w:val="008D640A"/>
    <w:rsid w:val="008E3305"/>
    <w:rsid w:val="008E40C0"/>
    <w:rsid w:val="008E572E"/>
    <w:rsid w:val="008E63C2"/>
    <w:rsid w:val="008E6BC4"/>
    <w:rsid w:val="008E7171"/>
    <w:rsid w:val="008F0C26"/>
    <w:rsid w:val="008F1579"/>
    <w:rsid w:val="008F4D69"/>
    <w:rsid w:val="008F5C2F"/>
    <w:rsid w:val="008F7F12"/>
    <w:rsid w:val="00901429"/>
    <w:rsid w:val="009026F3"/>
    <w:rsid w:val="00903599"/>
    <w:rsid w:val="00905CE1"/>
    <w:rsid w:val="00906DC5"/>
    <w:rsid w:val="009151CF"/>
    <w:rsid w:val="00915450"/>
    <w:rsid w:val="00915A9C"/>
    <w:rsid w:val="00916463"/>
    <w:rsid w:val="009219F2"/>
    <w:rsid w:val="009245F6"/>
    <w:rsid w:val="0092645A"/>
    <w:rsid w:val="009269A2"/>
    <w:rsid w:val="009272C6"/>
    <w:rsid w:val="00930F68"/>
    <w:rsid w:val="0093185F"/>
    <w:rsid w:val="009339EC"/>
    <w:rsid w:val="0093743A"/>
    <w:rsid w:val="00937BFA"/>
    <w:rsid w:val="00940069"/>
    <w:rsid w:val="0094138F"/>
    <w:rsid w:val="00942349"/>
    <w:rsid w:val="009436D4"/>
    <w:rsid w:val="00943B37"/>
    <w:rsid w:val="00954DC1"/>
    <w:rsid w:val="00955477"/>
    <w:rsid w:val="00960B59"/>
    <w:rsid w:val="00960D8F"/>
    <w:rsid w:val="0096284F"/>
    <w:rsid w:val="0096359D"/>
    <w:rsid w:val="00963E83"/>
    <w:rsid w:val="009643D1"/>
    <w:rsid w:val="00964774"/>
    <w:rsid w:val="009653D2"/>
    <w:rsid w:val="00967270"/>
    <w:rsid w:val="00967F63"/>
    <w:rsid w:val="00971417"/>
    <w:rsid w:val="00973200"/>
    <w:rsid w:val="0097416D"/>
    <w:rsid w:val="009759F9"/>
    <w:rsid w:val="0098096A"/>
    <w:rsid w:val="00983A8A"/>
    <w:rsid w:val="00983F37"/>
    <w:rsid w:val="00984CA8"/>
    <w:rsid w:val="009859B8"/>
    <w:rsid w:val="00986BC0"/>
    <w:rsid w:val="00991300"/>
    <w:rsid w:val="009930C2"/>
    <w:rsid w:val="00993DE1"/>
    <w:rsid w:val="00994FE7"/>
    <w:rsid w:val="009978AF"/>
    <w:rsid w:val="009A1138"/>
    <w:rsid w:val="009A32F9"/>
    <w:rsid w:val="009A3626"/>
    <w:rsid w:val="009A5C57"/>
    <w:rsid w:val="009B0787"/>
    <w:rsid w:val="009B0881"/>
    <w:rsid w:val="009B1AC0"/>
    <w:rsid w:val="009B205B"/>
    <w:rsid w:val="009B3592"/>
    <w:rsid w:val="009B70C3"/>
    <w:rsid w:val="009C10B1"/>
    <w:rsid w:val="009C11A0"/>
    <w:rsid w:val="009C1EA2"/>
    <w:rsid w:val="009C3FC7"/>
    <w:rsid w:val="009C470F"/>
    <w:rsid w:val="009C4F59"/>
    <w:rsid w:val="009C7409"/>
    <w:rsid w:val="009D0FC6"/>
    <w:rsid w:val="009D56AA"/>
    <w:rsid w:val="009D5B73"/>
    <w:rsid w:val="009D70C5"/>
    <w:rsid w:val="009E0089"/>
    <w:rsid w:val="009E2F7A"/>
    <w:rsid w:val="009E396D"/>
    <w:rsid w:val="009E3CA4"/>
    <w:rsid w:val="009E47BC"/>
    <w:rsid w:val="009E4E76"/>
    <w:rsid w:val="009E5E62"/>
    <w:rsid w:val="009E68A4"/>
    <w:rsid w:val="009E6C27"/>
    <w:rsid w:val="009E723C"/>
    <w:rsid w:val="009F04C3"/>
    <w:rsid w:val="009F1D0A"/>
    <w:rsid w:val="009F42FF"/>
    <w:rsid w:val="009F7B22"/>
    <w:rsid w:val="00A004E7"/>
    <w:rsid w:val="00A01F59"/>
    <w:rsid w:val="00A0226A"/>
    <w:rsid w:val="00A06551"/>
    <w:rsid w:val="00A067A6"/>
    <w:rsid w:val="00A10000"/>
    <w:rsid w:val="00A10775"/>
    <w:rsid w:val="00A112EB"/>
    <w:rsid w:val="00A11DD2"/>
    <w:rsid w:val="00A11DDF"/>
    <w:rsid w:val="00A1283C"/>
    <w:rsid w:val="00A14A8A"/>
    <w:rsid w:val="00A14AF7"/>
    <w:rsid w:val="00A2199B"/>
    <w:rsid w:val="00A21B0D"/>
    <w:rsid w:val="00A22469"/>
    <w:rsid w:val="00A24D32"/>
    <w:rsid w:val="00A2645E"/>
    <w:rsid w:val="00A26AC5"/>
    <w:rsid w:val="00A3134D"/>
    <w:rsid w:val="00A32E17"/>
    <w:rsid w:val="00A33158"/>
    <w:rsid w:val="00A33B3A"/>
    <w:rsid w:val="00A35B31"/>
    <w:rsid w:val="00A4214D"/>
    <w:rsid w:val="00A42E37"/>
    <w:rsid w:val="00A433B6"/>
    <w:rsid w:val="00A469D5"/>
    <w:rsid w:val="00A508AD"/>
    <w:rsid w:val="00A562CC"/>
    <w:rsid w:val="00A56706"/>
    <w:rsid w:val="00A62727"/>
    <w:rsid w:val="00A64034"/>
    <w:rsid w:val="00A64CA1"/>
    <w:rsid w:val="00A6567E"/>
    <w:rsid w:val="00A65C29"/>
    <w:rsid w:val="00A65D02"/>
    <w:rsid w:val="00A666CE"/>
    <w:rsid w:val="00A72E29"/>
    <w:rsid w:val="00A73E40"/>
    <w:rsid w:val="00A80597"/>
    <w:rsid w:val="00A84971"/>
    <w:rsid w:val="00A8643B"/>
    <w:rsid w:val="00A868F5"/>
    <w:rsid w:val="00A871F0"/>
    <w:rsid w:val="00A872EF"/>
    <w:rsid w:val="00A9172E"/>
    <w:rsid w:val="00A917B5"/>
    <w:rsid w:val="00A91A0B"/>
    <w:rsid w:val="00A94BF6"/>
    <w:rsid w:val="00A964E0"/>
    <w:rsid w:val="00AA0676"/>
    <w:rsid w:val="00AA3840"/>
    <w:rsid w:val="00AA4F9A"/>
    <w:rsid w:val="00AA5A0A"/>
    <w:rsid w:val="00AB0E97"/>
    <w:rsid w:val="00AB1AF3"/>
    <w:rsid w:val="00AB481C"/>
    <w:rsid w:val="00AB6FE4"/>
    <w:rsid w:val="00AC1567"/>
    <w:rsid w:val="00AC1EEC"/>
    <w:rsid w:val="00AC254A"/>
    <w:rsid w:val="00AC44F1"/>
    <w:rsid w:val="00AC6DF7"/>
    <w:rsid w:val="00AC7AEB"/>
    <w:rsid w:val="00AD00DF"/>
    <w:rsid w:val="00AD0168"/>
    <w:rsid w:val="00AD0C57"/>
    <w:rsid w:val="00AD3C94"/>
    <w:rsid w:val="00AD4AB1"/>
    <w:rsid w:val="00AD4FDB"/>
    <w:rsid w:val="00AE059D"/>
    <w:rsid w:val="00AE37C0"/>
    <w:rsid w:val="00AE526E"/>
    <w:rsid w:val="00AE658B"/>
    <w:rsid w:val="00AF0CFA"/>
    <w:rsid w:val="00AF163E"/>
    <w:rsid w:val="00AF1F1C"/>
    <w:rsid w:val="00AF5920"/>
    <w:rsid w:val="00AF719F"/>
    <w:rsid w:val="00B00A36"/>
    <w:rsid w:val="00B00ED3"/>
    <w:rsid w:val="00B070F5"/>
    <w:rsid w:val="00B10042"/>
    <w:rsid w:val="00B10DAE"/>
    <w:rsid w:val="00B12CBA"/>
    <w:rsid w:val="00B130AF"/>
    <w:rsid w:val="00B13B4A"/>
    <w:rsid w:val="00B15EE4"/>
    <w:rsid w:val="00B16CAC"/>
    <w:rsid w:val="00B240AC"/>
    <w:rsid w:val="00B245D7"/>
    <w:rsid w:val="00B246DA"/>
    <w:rsid w:val="00B24972"/>
    <w:rsid w:val="00B319B6"/>
    <w:rsid w:val="00B31ACE"/>
    <w:rsid w:val="00B32ABB"/>
    <w:rsid w:val="00B3452B"/>
    <w:rsid w:val="00B34950"/>
    <w:rsid w:val="00B352EF"/>
    <w:rsid w:val="00B36A29"/>
    <w:rsid w:val="00B40B6C"/>
    <w:rsid w:val="00B40D36"/>
    <w:rsid w:val="00B41407"/>
    <w:rsid w:val="00B43514"/>
    <w:rsid w:val="00B43E02"/>
    <w:rsid w:val="00B45D16"/>
    <w:rsid w:val="00B501B2"/>
    <w:rsid w:val="00B519E6"/>
    <w:rsid w:val="00B525C1"/>
    <w:rsid w:val="00B549E1"/>
    <w:rsid w:val="00B54F05"/>
    <w:rsid w:val="00B56587"/>
    <w:rsid w:val="00B5796A"/>
    <w:rsid w:val="00B636D7"/>
    <w:rsid w:val="00B64B28"/>
    <w:rsid w:val="00B65E1E"/>
    <w:rsid w:val="00B72FBA"/>
    <w:rsid w:val="00B73E6C"/>
    <w:rsid w:val="00B754FD"/>
    <w:rsid w:val="00B75842"/>
    <w:rsid w:val="00B77270"/>
    <w:rsid w:val="00B8332F"/>
    <w:rsid w:val="00B87778"/>
    <w:rsid w:val="00B93C5C"/>
    <w:rsid w:val="00B93F29"/>
    <w:rsid w:val="00B96B2B"/>
    <w:rsid w:val="00B97CAC"/>
    <w:rsid w:val="00BA1EA1"/>
    <w:rsid w:val="00BA69A0"/>
    <w:rsid w:val="00BB1950"/>
    <w:rsid w:val="00BB1D9B"/>
    <w:rsid w:val="00BB2359"/>
    <w:rsid w:val="00BB2580"/>
    <w:rsid w:val="00BB26EE"/>
    <w:rsid w:val="00BB4899"/>
    <w:rsid w:val="00BB536F"/>
    <w:rsid w:val="00BB5394"/>
    <w:rsid w:val="00BB5C52"/>
    <w:rsid w:val="00BC0628"/>
    <w:rsid w:val="00BC3F29"/>
    <w:rsid w:val="00BC64D4"/>
    <w:rsid w:val="00BC73C0"/>
    <w:rsid w:val="00BD05BB"/>
    <w:rsid w:val="00BD1DE7"/>
    <w:rsid w:val="00BD20DA"/>
    <w:rsid w:val="00BD311E"/>
    <w:rsid w:val="00BD3CE4"/>
    <w:rsid w:val="00BD71B0"/>
    <w:rsid w:val="00BE0094"/>
    <w:rsid w:val="00BE100C"/>
    <w:rsid w:val="00BE48F3"/>
    <w:rsid w:val="00BE6D77"/>
    <w:rsid w:val="00BE736E"/>
    <w:rsid w:val="00BF0AEC"/>
    <w:rsid w:val="00BF123B"/>
    <w:rsid w:val="00BF123D"/>
    <w:rsid w:val="00BF25FC"/>
    <w:rsid w:val="00BF3765"/>
    <w:rsid w:val="00BF3950"/>
    <w:rsid w:val="00BF5EE2"/>
    <w:rsid w:val="00BF69B1"/>
    <w:rsid w:val="00C0025C"/>
    <w:rsid w:val="00C005CD"/>
    <w:rsid w:val="00C06939"/>
    <w:rsid w:val="00C06E74"/>
    <w:rsid w:val="00C07D75"/>
    <w:rsid w:val="00C109FA"/>
    <w:rsid w:val="00C10AAE"/>
    <w:rsid w:val="00C115F4"/>
    <w:rsid w:val="00C16DEB"/>
    <w:rsid w:val="00C171CF"/>
    <w:rsid w:val="00C17644"/>
    <w:rsid w:val="00C17BFF"/>
    <w:rsid w:val="00C2107B"/>
    <w:rsid w:val="00C237EB"/>
    <w:rsid w:val="00C24D1D"/>
    <w:rsid w:val="00C24FAE"/>
    <w:rsid w:val="00C256B4"/>
    <w:rsid w:val="00C25822"/>
    <w:rsid w:val="00C25B89"/>
    <w:rsid w:val="00C277F4"/>
    <w:rsid w:val="00C34B47"/>
    <w:rsid w:val="00C35F18"/>
    <w:rsid w:val="00C37950"/>
    <w:rsid w:val="00C40345"/>
    <w:rsid w:val="00C40B89"/>
    <w:rsid w:val="00C41CC2"/>
    <w:rsid w:val="00C433B2"/>
    <w:rsid w:val="00C44868"/>
    <w:rsid w:val="00C47B36"/>
    <w:rsid w:val="00C47EEF"/>
    <w:rsid w:val="00C50B3E"/>
    <w:rsid w:val="00C51021"/>
    <w:rsid w:val="00C51304"/>
    <w:rsid w:val="00C522DB"/>
    <w:rsid w:val="00C55D8A"/>
    <w:rsid w:val="00C614A7"/>
    <w:rsid w:val="00C61E4B"/>
    <w:rsid w:val="00C6603E"/>
    <w:rsid w:val="00C66B27"/>
    <w:rsid w:val="00C66F1C"/>
    <w:rsid w:val="00C67122"/>
    <w:rsid w:val="00C67A59"/>
    <w:rsid w:val="00C71AC8"/>
    <w:rsid w:val="00C734AD"/>
    <w:rsid w:val="00C76838"/>
    <w:rsid w:val="00C82FCC"/>
    <w:rsid w:val="00C84206"/>
    <w:rsid w:val="00C8573E"/>
    <w:rsid w:val="00C865D8"/>
    <w:rsid w:val="00C9078F"/>
    <w:rsid w:val="00C90CE9"/>
    <w:rsid w:val="00C911DE"/>
    <w:rsid w:val="00C91B2C"/>
    <w:rsid w:val="00C921D5"/>
    <w:rsid w:val="00C95F13"/>
    <w:rsid w:val="00C96673"/>
    <w:rsid w:val="00CA2ED9"/>
    <w:rsid w:val="00CA37A5"/>
    <w:rsid w:val="00CA3DD3"/>
    <w:rsid w:val="00CA4F4C"/>
    <w:rsid w:val="00CA5E58"/>
    <w:rsid w:val="00CA5EC1"/>
    <w:rsid w:val="00CA6D10"/>
    <w:rsid w:val="00CA75F9"/>
    <w:rsid w:val="00CA7E4A"/>
    <w:rsid w:val="00CB3991"/>
    <w:rsid w:val="00CC0D1D"/>
    <w:rsid w:val="00CC343F"/>
    <w:rsid w:val="00CC643A"/>
    <w:rsid w:val="00CD013E"/>
    <w:rsid w:val="00CD5D9E"/>
    <w:rsid w:val="00CD62F2"/>
    <w:rsid w:val="00CE15C8"/>
    <w:rsid w:val="00CE207D"/>
    <w:rsid w:val="00CE3B3E"/>
    <w:rsid w:val="00CF27C6"/>
    <w:rsid w:val="00CF2AC1"/>
    <w:rsid w:val="00CF784A"/>
    <w:rsid w:val="00CF7E3D"/>
    <w:rsid w:val="00D00802"/>
    <w:rsid w:val="00D01B24"/>
    <w:rsid w:val="00D020E2"/>
    <w:rsid w:val="00D036F0"/>
    <w:rsid w:val="00D04234"/>
    <w:rsid w:val="00D0540D"/>
    <w:rsid w:val="00D0711D"/>
    <w:rsid w:val="00D13B83"/>
    <w:rsid w:val="00D14D51"/>
    <w:rsid w:val="00D14E3B"/>
    <w:rsid w:val="00D20DEA"/>
    <w:rsid w:val="00D22D43"/>
    <w:rsid w:val="00D23F11"/>
    <w:rsid w:val="00D24044"/>
    <w:rsid w:val="00D2480E"/>
    <w:rsid w:val="00D32449"/>
    <w:rsid w:val="00D32E6F"/>
    <w:rsid w:val="00D34693"/>
    <w:rsid w:val="00D35E9C"/>
    <w:rsid w:val="00D37494"/>
    <w:rsid w:val="00D44EA4"/>
    <w:rsid w:val="00D46905"/>
    <w:rsid w:val="00D46CA8"/>
    <w:rsid w:val="00D5329C"/>
    <w:rsid w:val="00D53F05"/>
    <w:rsid w:val="00D54636"/>
    <w:rsid w:val="00D5478C"/>
    <w:rsid w:val="00D54889"/>
    <w:rsid w:val="00D5656D"/>
    <w:rsid w:val="00D56685"/>
    <w:rsid w:val="00D5700E"/>
    <w:rsid w:val="00D57072"/>
    <w:rsid w:val="00D57A8D"/>
    <w:rsid w:val="00D60368"/>
    <w:rsid w:val="00D61A59"/>
    <w:rsid w:val="00D61A84"/>
    <w:rsid w:val="00D6260A"/>
    <w:rsid w:val="00D62AFD"/>
    <w:rsid w:val="00D62B87"/>
    <w:rsid w:val="00D633B6"/>
    <w:rsid w:val="00D64F6D"/>
    <w:rsid w:val="00D657FA"/>
    <w:rsid w:val="00D66A3E"/>
    <w:rsid w:val="00D70758"/>
    <w:rsid w:val="00D7119A"/>
    <w:rsid w:val="00D7194F"/>
    <w:rsid w:val="00D72130"/>
    <w:rsid w:val="00D72377"/>
    <w:rsid w:val="00D760EF"/>
    <w:rsid w:val="00D77749"/>
    <w:rsid w:val="00D77F62"/>
    <w:rsid w:val="00D80239"/>
    <w:rsid w:val="00D80A70"/>
    <w:rsid w:val="00D80E2D"/>
    <w:rsid w:val="00D82C3F"/>
    <w:rsid w:val="00D82E20"/>
    <w:rsid w:val="00D844B6"/>
    <w:rsid w:val="00D84B09"/>
    <w:rsid w:val="00D87205"/>
    <w:rsid w:val="00D906FA"/>
    <w:rsid w:val="00D913ED"/>
    <w:rsid w:val="00D94981"/>
    <w:rsid w:val="00D95AE1"/>
    <w:rsid w:val="00D96AAE"/>
    <w:rsid w:val="00DA05A6"/>
    <w:rsid w:val="00DA0E70"/>
    <w:rsid w:val="00DA1E7A"/>
    <w:rsid w:val="00DA21DB"/>
    <w:rsid w:val="00DA43C3"/>
    <w:rsid w:val="00DA5A00"/>
    <w:rsid w:val="00DA68B9"/>
    <w:rsid w:val="00DA6917"/>
    <w:rsid w:val="00DB5AFF"/>
    <w:rsid w:val="00DB5FF7"/>
    <w:rsid w:val="00DC0181"/>
    <w:rsid w:val="00DC0B20"/>
    <w:rsid w:val="00DC0CB0"/>
    <w:rsid w:val="00DC23FE"/>
    <w:rsid w:val="00DC4E35"/>
    <w:rsid w:val="00DC6BC8"/>
    <w:rsid w:val="00DC70E3"/>
    <w:rsid w:val="00DD0417"/>
    <w:rsid w:val="00DD13E2"/>
    <w:rsid w:val="00DD2781"/>
    <w:rsid w:val="00DD2D53"/>
    <w:rsid w:val="00DD4E88"/>
    <w:rsid w:val="00DD5971"/>
    <w:rsid w:val="00DD5DC9"/>
    <w:rsid w:val="00DD7A6B"/>
    <w:rsid w:val="00DE0583"/>
    <w:rsid w:val="00DE0587"/>
    <w:rsid w:val="00DE16E2"/>
    <w:rsid w:val="00DE46F1"/>
    <w:rsid w:val="00DE4E26"/>
    <w:rsid w:val="00DF007D"/>
    <w:rsid w:val="00DF0AF9"/>
    <w:rsid w:val="00DF1527"/>
    <w:rsid w:val="00DF1EC2"/>
    <w:rsid w:val="00DF2F2C"/>
    <w:rsid w:val="00DF3485"/>
    <w:rsid w:val="00DF51C8"/>
    <w:rsid w:val="00DF7654"/>
    <w:rsid w:val="00E014FE"/>
    <w:rsid w:val="00E02C09"/>
    <w:rsid w:val="00E04063"/>
    <w:rsid w:val="00E06A75"/>
    <w:rsid w:val="00E07396"/>
    <w:rsid w:val="00E129A3"/>
    <w:rsid w:val="00E12C72"/>
    <w:rsid w:val="00E13349"/>
    <w:rsid w:val="00E1520C"/>
    <w:rsid w:val="00E23E06"/>
    <w:rsid w:val="00E25492"/>
    <w:rsid w:val="00E27533"/>
    <w:rsid w:val="00E31685"/>
    <w:rsid w:val="00E325CC"/>
    <w:rsid w:val="00E332DB"/>
    <w:rsid w:val="00E34126"/>
    <w:rsid w:val="00E343E9"/>
    <w:rsid w:val="00E37AA1"/>
    <w:rsid w:val="00E402C6"/>
    <w:rsid w:val="00E426C9"/>
    <w:rsid w:val="00E4596A"/>
    <w:rsid w:val="00E50EFF"/>
    <w:rsid w:val="00E50F4B"/>
    <w:rsid w:val="00E51947"/>
    <w:rsid w:val="00E51F9E"/>
    <w:rsid w:val="00E53096"/>
    <w:rsid w:val="00E56111"/>
    <w:rsid w:val="00E57465"/>
    <w:rsid w:val="00E60476"/>
    <w:rsid w:val="00E61468"/>
    <w:rsid w:val="00E64589"/>
    <w:rsid w:val="00E64D10"/>
    <w:rsid w:val="00E65AE8"/>
    <w:rsid w:val="00E6713D"/>
    <w:rsid w:val="00E67D15"/>
    <w:rsid w:val="00E70CAE"/>
    <w:rsid w:val="00E71151"/>
    <w:rsid w:val="00E726BA"/>
    <w:rsid w:val="00E755E5"/>
    <w:rsid w:val="00E80A76"/>
    <w:rsid w:val="00E80DE9"/>
    <w:rsid w:val="00E82A2C"/>
    <w:rsid w:val="00E83DA0"/>
    <w:rsid w:val="00E85324"/>
    <w:rsid w:val="00E86E79"/>
    <w:rsid w:val="00E93283"/>
    <w:rsid w:val="00E93579"/>
    <w:rsid w:val="00E95C59"/>
    <w:rsid w:val="00EA0886"/>
    <w:rsid w:val="00EA2502"/>
    <w:rsid w:val="00EA2AAB"/>
    <w:rsid w:val="00EA52D3"/>
    <w:rsid w:val="00EA6E72"/>
    <w:rsid w:val="00EA75CB"/>
    <w:rsid w:val="00EB2068"/>
    <w:rsid w:val="00EB2AB5"/>
    <w:rsid w:val="00EB5002"/>
    <w:rsid w:val="00EC1776"/>
    <w:rsid w:val="00EC3F2F"/>
    <w:rsid w:val="00EC4B6A"/>
    <w:rsid w:val="00EC5573"/>
    <w:rsid w:val="00EC693F"/>
    <w:rsid w:val="00ED0209"/>
    <w:rsid w:val="00ED154D"/>
    <w:rsid w:val="00ED3314"/>
    <w:rsid w:val="00ED4829"/>
    <w:rsid w:val="00ED5AF1"/>
    <w:rsid w:val="00ED60C2"/>
    <w:rsid w:val="00ED78F3"/>
    <w:rsid w:val="00ED7AA0"/>
    <w:rsid w:val="00EE03F5"/>
    <w:rsid w:val="00EE18AA"/>
    <w:rsid w:val="00EE2D96"/>
    <w:rsid w:val="00EE44C4"/>
    <w:rsid w:val="00EE4687"/>
    <w:rsid w:val="00EE5FEE"/>
    <w:rsid w:val="00EE6120"/>
    <w:rsid w:val="00EE7F60"/>
    <w:rsid w:val="00EF1E69"/>
    <w:rsid w:val="00EF2AED"/>
    <w:rsid w:val="00EF2FDC"/>
    <w:rsid w:val="00EF4D17"/>
    <w:rsid w:val="00EF536F"/>
    <w:rsid w:val="00EF5D86"/>
    <w:rsid w:val="00EF6B28"/>
    <w:rsid w:val="00F0032B"/>
    <w:rsid w:val="00F0487D"/>
    <w:rsid w:val="00F07DC2"/>
    <w:rsid w:val="00F105B3"/>
    <w:rsid w:val="00F10958"/>
    <w:rsid w:val="00F11BE6"/>
    <w:rsid w:val="00F1657E"/>
    <w:rsid w:val="00F1770B"/>
    <w:rsid w:val="00F20846"/>
    <w:rsid w:val="00F2178A"/>
    <w:rsid w:val="00F2279A"/>
    <w:rsid w:val="00F2343A"/>
    <w:rsid w:val="00F24AE4"/>
    <w:rsid w:val="00F271A3"/>
    <w:rsid w:val="00F3417E"/>
    <w:rsid w:val="00F40E6B"/>
    <w:rsid w:val="00F420B7"/>
    <w:rsid w:val="00F420D8"/>
    <w:rsid w:val="00F421A5"/>
    <w:rsid w:val="00F44637"/>
    <w:rsid w:val="00F45389"/>
    <w:rsid w:val="00F46398"/>
    <w:rsid w:val="00F4708B"/>
    <w:rsid w:val="00F4711F"/>
    <w:rsid w:val="00F50BA7"/>
    <w:rsid w:val="00F50F19"/>
    <w:rsid w:val="00F53B53"/>
    <w:rsid w:val="00F53C2C"/>
    <w:rsid w:val="00F53CE0"/>
    <w:rsid w:val="00F5403D"/>
    <w:rsid w:val="00F55703"/>
    <w:rsid w:val="00F56ECE"/>
    <w:rsid w:val="00F62CA1"/>
    <w:rsid w:val="00F64B11"/>
    <w:rsid w:val="00F66892"/>
    <w:rsid w:val="00F66A72"/>
    <w:rsid w:val="00F71330"/>
    <w:rsid w:val="00F75846"/>
    <w:rsid w:val="00F7667E"/>
    <w:rsid w:val="00F81983"/>
    <w:rsid w:val="00F83F9F"/>
    <w:rsid w:val="00F84A02"/>
    <w:rsid w:val="00F8521C"/>
    <w:rsid w:val="00F85465"/>
    <w:rsid w:val="00F86466"/>
    <w:rsid w:val="00F8666D"/>
    <w:rsid w:val="00F877DA"/>
    <w:rsid w:val="00F91340"/>
    <w:rsid w:val="00F92B04"/>
    <w:rsid w:val="00F92D09"/>
    <w:rsid w:val="00F9346E"/>
    <w:rsid w:val="00FA0C70"/>
    <w:rsid w:val="00FA1E70"/>
    <w:rsid w:val="00FA47E2"/>
    <w:rsid w:val="00FA6C7F"/>
    <w:rsid w:val="00FA6D86"/>
    <w:rsid w:val="00FA6EC1"/>
    <w:rsid w:val="00FB2E25"/>
    <w:rsid w:val="00FB2F77"/>
    <w:rsid w:val="00FB3F2B"/>
    <w:rsid w:val="00FB43AB"/>
    <w:rsid w:val="00FB4B56"/>
    <w:rsid w:val="00FB55E9"/>
    <w:rsid w:val="00FC2003"/>
    <w:rsid w:val="00FC26E5"/>
    <w:rsid w:val="00FC4B13"/>
    <w:rsid w:val="00FC52F9"/>
    <w:rsid w:val="00FC7D8B"/>
    <w:rsid w:val="00FD0788"/>
    <w:rsid w:val="00FD0840"/>
    <w:rsid w:val="00FD0950"/>
    <w:rsid w:val="00FD1AEE"/>
    <w:rsid w:val="00FD23C6"/>
    <w:rsid w:val="00FD3A3C"/>
    <w:rsid w:val="00FD4EB1"/>
    <w:rsid w:val="00FD55D4"/>
    <w:rsid w:val="00FD7EE2"/>
    <w:rsid w:val="00FE6B22"/>
    <w:rsid w:val="00FE6D76"/>
    <w:rsid w:val="00FE7A66"/>
    <w:rsid w:val="00FF0836"/>
    <w:rsid w:val="00FF15F9"/>
    <w:rsid w:val="00FF2554"/>
    <w:rsid w:val="00FF42B9"/>
    <w:rsid w:val="00FF45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DB33BAA-404F-4B4A-950F-2470A349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76B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5">
    <w:name w:val="heading 5"/>
    <w:basedOn w:val="Normal"/>
    <w:next w:val="Normal"/>
    <w:link w:val="Ttulo5Car"/>
    <w:uiPriority w:val="9"/>
    <w:unhideWhenUsed/>
    <w:qFormat/>
    <w:rsid w:val="002E3A1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paragraph" w:styleId="Textonotaalfinal">
    <w:name w:val="endnote text"/>
    <w:basedOn w:val="Normal"/>
    <w:link w:val="TextonotaalfinalCar"/>
    <w:uiPriority w:val="99"/>
    <w:semiHidden/>
    <w:unhideWhenUsed/>
    <w:rsid w:val="00746ED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6ED1"/>
    <w:rPr>
      <w:sz w:val="20"/>
      <w:szCs w:val="20"/>
    </w:rPr>
  </w:style>
  <w:style w:type="character" w:styleId="Refdenotaalfinal">
    <w:name w:val="endnote reference"/>
    <w:basedOn w:val="Fuentedeprrafopredeter"/>
    <w:uiPriority w:val="99"/>
    <w:semiHidden/>
    <w:unhideWhenUsed/>
    <w:rsid w:val="00746ED1"/>
    <w:rPr>
      <w:vertAlign w:val="superscript"/>
    </w:rPr>
  </w:style>
  <w:style w:type="character" w:customStyle="1" w:styleId="TextonotapieCar1">
    <w:name w:val="Texto nota pie Car1"/>
    <w:uiPriority w:val="99"/>
    <w:rsid w:val="00AC6DF7"/>
    <w:rPr>
      <w:rFonts w:ascii="Times New Roman" w:eastAsia="Times New Roman" w:hAnsi="Times New Roman"/>
      <w:lang w:val="es-ES" w:eastAsia="es-ES"/>
    </w:rPr>
  </w:style>
  <w:style w:type="character" w:customStyle="1" w:styleId="Ttulo2Car">
    <w:name w:val="Título 2 Car"/>
    <w:basedOn w:val="Fuentedeprrafopredeter"/>
    <w:link w:val="Ttulo2"/>
    <w:uiPriority w:val="9"/>
    <w:rsid w:val="00276B33"/>
    <w:rPr>
      <w:rFonts w:asciiTheme="majorHAnsi" w:eastAsiaTheme="majorEastAsia" w:hAnsiTheme="majorHAnsi" w:cstheme="majorBidi"/>
      <w:color w:val="2E74B5" w:themeColor="accent1" w:themeShade="BF"/>
      <w:sz w:val="26"/>
      <w:szCs w:val="26"/>
    </w:rPr>
  </w:style>
  <w:style w:type="character" w:customStyle="1" w:styleId="Ttulo5Car">
    <w:name w:val="Título 5 Car"/>
    <w:basedOn w:val="Fuentedeprrafopredeter"/>
    <w:link w:val="Ttulo5"/>
    <w:uiPriority w:val="9"/>
    <w:rsid w:val="002E3A12"/>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40457">
      <w:bodyDiv w:val="1"/>
      <w:marLeft w:val="0"/>
      <w:marRight w:val="0"/>
      <w:marTop w:val="0"/>
      <w:marBottom w:val="0"/>
      <w:divBdr>
        <w:top w:val="none" w:sz="0" w:space="0" w:color="auto"/>
        <w:left w:val="none" w:sz="0" w:space="0" w:color="auto"/>
        <w:bottom w:val="none" w:sz="0" w:space="0" w:color="auto"/>
        <w:right w:val="none" w:sz="0" w:space="0" w:color="auto"/>
      </w:divBdr>
    </w:div>
    <w:div w:id="188107975">
      <w:bodyDiv w:val="1"/>
      <w:marLeft w:val="0"/>
      <w:marRight w:val="0"/>
      <w:marTop w:val="0"/>
      <w:marBottom w:val="0"/>
      <w:divBdr>
        <w:top w:val="none" w:sz="0" w:space="0" w:color="auto"/>
        <w:left w:val="none" w:sz="0" w:space="0" w:color="auto"/>
        <w:bottom w:val="none" w:sz="0" w:space="0" w:color="auto"/>
        <w:right w:val="none" w:sz="0" w:space="0" w:color="auto"/>
      </w:divBdr>
    </w:div>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9933431">
      <w:bodyDiv w:val="1"/>
      <w:marLeft w:val="0"/>
      <w:marRight w:val="0"/>
      <w:marTop w:val="0"/>
      <w:marBottom w:val="0"/>
      <w:divBdr>
        <w:top w:val="none" w:sz="0" w:space="0" w:color="auto"/>
        <w:left w:val="none" w:sz="0" w:space="0" w:color="auto"/>
        <w:bottom w:val="none" w:sz="0" w:space="0" w:color="auto"/>
        <w:right w:val="none" w:sz="0" w:space="0" w:color="auto"/>
      </w:divBdr>
    </w:div>
    <w:div w:id="533152123">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4450615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869344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8156628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09812843">
      <w:bodyDiv w:val="1"/>
      <w:marLeft w:val="0"/>
      <w:marRight w:val="0"/>
      <w:marTop w:val="0"/>
      <w:marBottom w:val="0"/>
      <w:divBdr>
        <w:top w:val="none" w:sz="0" w:space="0" w:color="auto"/>
        <w:left w:val="none" w:sz="0" w:space="0" w:color="auto"/>
        <w:bottom w:val="none" w:sz="0" w:space="0" w:color="auto"/>
        <w:right w:val="none" w:sz="0" w:space="0" w:color="auto"/>
      </w:divBdr>
    </w:div>
    <w:div w:id="1120957219">
      <w:bodyDiv w:val="1"/>
      <w:marLeft w:val="0"/>
      <w:marRight w:val="0"/>
      <w:marTop w:val="0"/>
      <w:marBottom w:val="0"/>
      <w:divBdr>
        <w:top w:val="none" w:sz="0" w:space="0" w:color="auto"/>
        <w:left w:val="none" w:sz="0" w:space="0" w:color="auto"/>
        <w:bottom w:val="none" w:sz="0" w:space="0" w:color="auto"/>
        <w:right w:val="none" w:sz="0" w:space="0" w:color="auto"/>
      </w:divBdr>
    </w:div>
    <w:div w:id="1226405417">
      <w:bodyDiv w:val="1"/>
      <w:marLeft w:val="0"/>
      <w:marRight w:val="0"/>
      <w:marTop w:val="0"/>
      <w:marBottom w:val="0"/>
      <w:divBdr>
        <w:top w:val="none" w:sz="0" w:space="0" w:color="auto"/>
        <w:left w:val="none" w:sz="0" w:space="0" w:color="auto"/>
        <w:bottom w:val="none" w:sz="0" w:space="0" w:color="auto"/>
        <w:right w:val="none" w:sz="0" w:space="0" w:color="auto"/>
      </w:divBdr>
    </w:div>
    <w:div w:id="1262647162">
      <w:bodyDiv w:val="1"/>
      <w:marLeft w:val="0"/>
      <w:marRight w:val="0"/>
      <w:marTop w:val="0"/>
      <w:marBottom w:val="0"/>
      <w:divBdr>
        <w:top w:val="none" w:sz="0" w:space="0" w:color="auto"/>
        <w:left w:val="none" w:sz="0" w:space="0" w:color="auto"/>
        <w:bottom w:val="none" w:sz="0" w:space="0" w:color="auto"/>
        <w:right w:val="none" w:sz="0" w:space="0" w:color="auto"/>
      </w:divBdr>
    </w:div>
    <w:div w:id="1338187483">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37318944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29353098">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526938882">
      <w:bodyDiv w:val="1"/>
      <w:marLeft w:val="0"/>
      <w:marRight w:val="0"/>
      <w:marTop w:val="0"/>
      <w:marBottom w:val="0"/>
      <w:divBdr>
        <w:top w:val="none" w:sz="0" w:space="0" w:color="auto"/>
        <w:left w:val="none" w:sz="0" w:space="0" w:color="auto"/>
        <w:bottom w:val="none" w:sz="0" w:space="0" w:color="auto"/>
        <w:right w:val="none" w:sz="0" w:space="0" w:color="auto"/>
      </w:divBdr>
    </w:div>
    <w:div w:id="1534271955">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740202661">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885603148">
      <w:bodyDiv w:val="1"/>
      <w:marLeft w:val="0"/>
      <w:marRight w:val="0"/>
      <w:marTop w:val="0"/>
      <w:marBottom w:val="0"/>
      <w:divBdr>
        <w:top w:val="none" w:sz="0" w:space="0" w:color="auto"/>
        <w:left w:val="none" w:sz="0" w:space="0" w:color="auto"/>
        <w:bottom w:val="none" w:sz="0" w:space="0" w:color="auto"/>
        <w:right w:val="none" w:sz="0" w:space="0" w:color="auto"/>
      </w:divBdr>
    </w:div>
    <w:div w:id="1976176309">
      <w:bodyDiv w:val="1"/>
      <w:marLeft w:val="0"/>
      <w:marRight w:val="0"/>
      <w:marTop w:val="0"/>
      <w:marBottom w:val="0"/>
      <w:divBdr>
        <w:top w:val="none" w:sz="0" w:space="0" w:color="auto"/>
        <w:left w:val="none" w:sz="0" w:space="0" w:color="auto"/>
        <w:bottom w:val="none" w:sz="0" w:space="0" w:color="auto"/>
        <w:right w:val="none" w:sz="0" w:space="0" w:color="auto"/>
      </w:divBdr>
    </w:div>
    <w:div w:id="2021201678">
      <w:bodyDiv w:val="1"/>
      <w:marLeft w:val="0"/>
      <w:marRight w:val="0"/>
      <w:marTop w:val="0"/>
      <w:marBottom w:val="0"/>
      <w:divBdr>
        <w:top w:val="none" w:sz="0" w:space="0" w:color="auto"/>
        <w:left w:val="none" w:sz="0" w:space="0" w:color="auto"/>
        <w:bottom w:val="none" w:sz="0" w:space="0" w:color="auto"/>
        <w:right w:val="none" w:sz="0" w:space="0" w:color="auto"/>
      </w:divBdr>
    </w:div>
    <w:div w:id="2057853014">
      <w:bodyDiv w:val="1"/>
      <w:marLeft w:val="0"/>
      <w:marRight w:val="0"/>
      <w:marTop w:val="0"/>
      <w:marBottom w:val="0"/>
      <w:divBdr>
        <w:top w:val="none" w:sz="0" w:space="0" w:color="auto"/>
        <w:left w:val="none" w:sz="0" w:space="0" w:color="auto"/>
        <w:bottom w:val="none" w:sz="0" w:space="0" w:color="auto"/>
        <w:right w:val="none" w:sz="0" w:space="0" w:color="auto"/>
      </w:divBdr>
    </w:div>
    <w:div w:id="2084402711">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087877784">
      <w:bodyDiv w:val="1"/>
      <w:marLeft w:val="0"/>
      <w:marRight w:val="0"/>
      <w:marTop w:val="0"/>
      <w:marBottom w:val="0"/>
      <w:divBdr>
        <w:top w:val="none" w:sz="0" w:space="0" w:color="auto"/>
        <w:left w:val="none" w:sz="0" w:space="0" w:color="auto"/>
        <w:bottom w:val="none" w:sz="0" w:space="0" w:color="auto"/>
        <w:right w:val="none" w:sz="0" w:space="0" w:color="auto"/>
      </w:divBdr>
    </w:div>
    <w:div w:id="20935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drive.google.com/drive/folders/18GvTC1wX5PggXkCOyC2EEZwtawdBR2q"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sesnsp/acciones-y-programas/fondos-y-subsidio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www.gob.mx/cms/uploads/attachment/file/454683/CONVENIO_FORTASEG_2019-ESTADO_DE_M_XICO-17-04-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Alf</b:Tag>
    <b:SourceType>Book</b:SourceType>
    <b:Guid>{6EAB2B2F-8B66-49E0-9459-8058793262E3}</b:Guid>
    <b:Author>
      <b:Author>
        <b:NameList>
          <b:Person>
            <b:Last>Alfaro Jiménez</b:Last>
            <b:First>Victor</b:First>
            <b:Middle>Manuel</b:Middle>
          </b:Person>
        </b:NameList>
      </b:Author>
    </b:Author>
    <b:Title>GLOSARIO DE TERMINOS DE DERECHO FISCAL</b:Title>
    <b:RefOrder>1</b:RefOrder>
  </b:Source>
</b:Sources>
</file>

<file path=customXml/itemProps1.xml><?xml version="1.0" encoding="utf-8"?>
<ds:datastoreItem xmlns:ds="http://schemas.openxmlformats.org/officeDocument/2006/customXml" ds:itemID="{1E79CC8F-601D-4ABF-BA01-D489A9F7E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19883</Words>
  <Characters>109361</Characters>
  <Application>Microsoft Office Word</Application>
  <DocSecurity>0</DocSecurity>
  <Lines>911</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88463</cp:lastModifiedBy>
  <cp:revision>2</cp:revision>
  <cp:lastPrinted>2020-02-04T22:53:00Z</cp:lastPrinted>
  <dcterms:created xsi:type="dcterms:W3CDTF">2020-04-10T05:13:00Z</dcterms:created>
  <dcterms:modified xsi:type="dcterms:W3CDTF">2020-04-10T05:13:00Z</dcterms:modified>
</cp:coreProperties>
</file>