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C17665">
        <w:rPr>
          <w:rFonts w:ascii="Palatino Linotype" w:hAnsi="Palatino Linotype"/>
          <w:sz w:val="24"/>
          <w:szCs w:val="24"/>
        </w:rPr>
        <w:t>seis</w:t>
      </w:r>
      <w:r w:rsidR="00CC3949" w:rsidRPr="00CC3949">
        <w:rPr>
          <w:rFonts w:ascii="Palatino Linotype" w:hAnsi="Palatino Linotype"/>
          <w:sz w:val="24"/>
          <w:szCs w:val="24"/>
        </w:rPr>
        <w:t xml:space="preserve"> de </w:t>
      </w:r>
      <w:r w:rsidR="00C17665">
        <w:rPr>
          <w:rFonts w:ascii="Palatino Linotype" w:hAnsi="Palatino Linotype"/>
          <w:sz w:val="24"/>
          <w:szCs w:val="24"/>
        </w:rPr>
        <w:t>noviembre</w:t>
      </w:r>
      <w:r w:rsidR="00CC3949" w:rsidRPr="00CC3949">
        <w:rPr>
          <w:rFonts w:ascii="Palatino Linotype" w:hAnsi="Palatino Linotype"/>
          <w:sz w:val="24"/>
          <w:szCs w:val="24"/>
        </w:rPr>
        <w:t xml:space="preserve"> de dos mil diecinueve.</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b/>
          <w:sz w:val="24"/>
          <w:szCs w:val="24"/>
          <w:lang w:val="es-ES" w:eastAsia="es-ES"/>
        </w:rPr>
        <w:t>0</w:t>
      </w:r>
      <w:r w:rsidR="009B7E73">
        <w:rPr>
          <w:rFonts w:ascii="Palatino Linotype" w:eastAsia="Times New Roman" w:hAnsi="Palatino Linotype" w:cs="Times New Roman"/>
          <w:b/>
          <w:sz w:val="24"/>
          <w:szCs w:val="24"/>
          <w:lang w:val="es-ES" w:eastAsia="es-ES"/>
        </w:rPr>
        <w:t>6</w:t>
      </w:r>
      <w:r w:rsidR="00C71FEE">
        <w:rPr>
          <w:rFonts w:ascii="Palatino Linotype" w:eastAsia="Times New Roman" w:hAnsi="Palatino Linotype" w:cs="Times New Roman"/>
          <w:b/>
          <w:sz w:val="24"/>
          <w:szCs w:val="24"/>
          <w:lang w:val="es-ES" w:eastAsia="es-ES"/>
        </w:rPr>
        <w:t>892</w:t>
      </w:r>
      <w:r>
        <w:rPr>
          <w:rFonts w:ascii="Palatino Linotype" w:eastAsia="Times New Roman" w:hAnsi="Palatino Linotype" w:cs="Times New Roman"/>
          <w:b/>
          <w:sz w:val="24"/>
          <w:szCs w:val="24"/>
          <w:lang w:val="es-ES" w:eastAsia="es-ES"/>
        </w:rPr>
        <w:t>/INFOEM/IP/RR/2019</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por </w:t>
      </w:r>
      <w:r w:rsidR="009B7E73">
        <w:rPr>
          <w:rFonts w:ascii="Palatino Linotype" w:eastAsia="Times New Roman" w:hAnsi="Palatino Linotype" w:cs="Times New Roman"/>
          <w:sz w:val="24"/>
          <w:szCs w:val="24"/>
          <w:lang w:val="es-ES" w:eastAsia="es-ES"/>
        </w:rPr>
        <w:t>el</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Times New Roman"/>
          <w:b/>
          <w:sz w:val="24"/>
          <w:szCs w:val="24"/>
          <w:lang w:val="es-ES" w:eastAsia="es-ES"/>
        </w:rPr>
        <w:t xml:space="preserve">C. </w:t>
      </w:r>
      <w:proofErr w:type="spellStart"/>
      <w:r w:rsidR="0034643F">
        <w:rPr>
          <w:rFonts w:ascii="Palatino Linotype" w:eastAsia="Times New Roman" w:hAnsi="Palatino Linotype" w:cs="Times New Roman"/>
          <w:b/>
          <w:color w:val="808080" w:themeColor="background1" w:themeShade="80"/>
          <w:lang w:val="es-ES_tradnl" w:eastAsia="es-ES"/>
        </w:rPr>
        <w:t>Xxxxx</w:t>
      </w:r>
      <w:proofErr w:type="spellEnd"/>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en lo sucesivo </w:t>
      </w:r>
      <w:r w:rsidR="009B7E73">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 respuesta de</w:t>
      </w:r>
      <w:r w:rsidR="005B6F85">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l</w:t>
      </w:r>
      <w:r w:rsidR="005B6F85">
        <w:rPr>
          <w:rFonts w:ascii="Palatino Linotype" w:eastAsia="Times New Roman" w:hAnsi="Palatino Linotype" w:cs="Arial"/>
          <w:sz w:val="24"/>
          <w:szCs w:val="24"/>
          <w:lang w:val="es-ES" w:eastAsia="es-ES"/>
        </w:rPr>
        <w:t>a</w:t>
      </w:r>
      <w:r>
        <w:rPr>
          <w:rFonts w:ascii="Palatino Linotype" w:eastAsia="Times New Roman" w:hAnsi="Palatino Linotype" w:cs="Arial"/>
          <w:sz w:val="24"/>
          <w:szCs w:val="24"/>
          <w:lang w:val="es-ES" w:eastAsia="es-ES"/>
        </w:rPr>
        <w:t xml:space="preserve"> </w:t>
      </w:r>
      <w:r w:rsidR="00C71FEE" w:rsidRPr="00C71FEE">
        <w:rPr>
          <w:rFonts w:ascii="Palatino Linotype" w:eastAsia="Times New Roman" w:hAnsi="Palatino Linotype" w:cs="Arial"/>
          <w:b/>
          <w:sz w:val="24"/>
          <w:szCs w:val="24"/>
          <w:lang w:val="es-ES" w:eastAsia="es-ES"/>
        </w:rPr>
        <w:t>Fiscalía General de Justicia del Estado de México</w:t>
      </w:r>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 xml:space="preserve">se procede a dictar la </w:t>
      </w:r>
      <w:proofErr w:type="gramStart"/>
      <w:r w:rsidRPr="00225926">
        <w:rPr>
          <w:rFonts w:ascii="Palatino Linotype" w:eastAsia="Times New Roman" w:hAnsi="Palatino Linotype" w:cs="Arial"/>
          <w:sz w:val="24"/>
          <w:szCs w:val="24"/>
          <w:lang w:val="es-ES" w:eastAsia="es-ES"/>
        </w:rPr>
        <w:t>presente</w:t>
      </w:r>
      <w:proofErr w:type="gramEnd"/>
      <w:r w:rsidRPr="00225926">
        <w:rPr>
          <w:rFonts w:ascii="Palatino Linotype" w:eastAsia="Times New Roman" w:hAnsi="Palatino Linotype" w:cs="Arial"/>
          <w:sz w:val="24"/>
          <w:szCs w:val="24"/>
          <w:lang w:val="es-ES" w:eastAsia="es-ES"/>
        </w:rPr>
        <w:t xml:space="preserve"> resolución con base en lo siguiente:</w:t>
      </w:r>
    </w:p>
    <w:p w:rsidR="00866279" w:rsidRPr="00C053E7" w:rsidRDefault="00866279" w:rsidP="00866279">
      <w:pPr>
        <w:spacing w:line="360" w:lineRule="auto"/>
        <w:jc w:val="center"/>
        <w:rPr>
          <w:rFonts w:ascii="Palatino Linotype" w:eastAsia="Times New Roman" w:hAnsi="Palatino Linotype" w:cs="Arial"/>
          <w:b/>
          <w:sz w:val="28"/>
          <w:szCs w:val="28"/>
          <w:lang w:val="es-ES" w:eastAsia="es-ES"/>
        </w:rPr>
      </w:pPr>
      <w:r w:rsidRPr="00C053E7">
        <w:rPr>
          <w:rFonts w:ascii="Palatino Linotype" w:eastAsia="Times New Roman" w:hAnsi="Palatino Linotype" w:cs="Arial"/>
          <w:b/>
          <w:sz w:val="28"/>
          <w:szCs w:val="28"/>
          <w:lang w:val="es-ES" w:eastAsia="es-ES"/>
        </w:rPr>
        <w:t>R E S U L T A N D O</w:t>
      </w:r>
    </w:p>
    <w:p w:rsidR="00866279" w:rsidRDefault="00866279" w:rsidP="00225926">
      <w:pPr>
        <w:spacing w:line="360" w:lineRule="auto"/>
        <w:jc w:val="both"/>
        <w:rPr>
          <w:rFonts w:ascii="Palatino Linotype" w:eastAsia="Times New Roman" w:hAnsi="Palatino Linotype" w:cs="Arial"/>
          <w:sz w:val="24"/>
          <w:szCs w:val="24"/>
          <w:lang w:val="es-ES" w:eastAsia="es-ES"/>
        </w:rPr>
      </w:pPr>
      <w:r w:rsidRPr="00866279">
        <w:rPr>
          <w:rFonts w:ascii="Palatino Linotype" w:eastAsia="Times New Roman" w:hAnsi="Palatino Linotype" w:cs="Arial"/>
          <w:b/>
          <w:sz w:val="28"/>
          <w:szCs w:val="28"/>
          <w:lang w:val="es-ES" w:eastAsia="es-ES"/>
        </w:rPr>
        <w:t>I.</w:t>
      </w:r>
      <w:r w:rsidRPr="00866279">
        <w:rPr>
          <w:rFonts w:ascii="Palatino Linotype" w:eastAsia="Times New Roman" w:hAnsi="Palatino Linotype" w:cs="Arial"/>
          <w:b/>
          <w:sz w:val="24"/>
          <w:szCs w:val="24"/>
          <w:lang w:val="es-ES" w:eastAsia="es-ES"/>
        </w:rPr>
        <w:t xml:space="preserve"> </w:t>
      </w:r>
      <w:r w:rsidR="00CE599E">
        <w:rPr>
          <w:rFonts w:ascii="Palatino Linotype" w:eastAsia="Times New Roman" w:hAnsi="Palatino Linotype" w:cs="Arial"/>
          <w:sz w:val="24"/>
          <w:szCs w:val="24"/>
          <w:lang w:val="es-ES" w:eastAsia="es-ES"/>
        </w:rPr>
        <w:t xml:space="preserve">En fecha </w:t>
      </w:r>
      <w:r w:rsidR="00C71FEE">
        <w:rPr>
          <w:rFonts w:ascii="Palatino Linotype" w:eastAsia="Times New Roman" w:hAnsi="Palatino Linotype" w:cs="Arial"/>
          <w:sz w:val="24"/>
          <w:szCs w:val="24"/>
          <w:lang w:val="es-ES" w:eastAsia="es-ES"/>
        </w:rPr>
        <w:t>once</w:t>
      </w:r>
      <w:r w:rsidR="00CE599E">
        <w:rPr>
          <w:rFonts w:ascii="Palatino Linotype" w:eastAsia="Times New Roman" w:hAnsi="Palatino Linotype" w:cs="Arial"/>
          <w:sz w:val="24"/>
          <w:szCs w:val="24"/>
          <w:lang w:val="es-ES" w:eastAsia="es-ES"/>
        </w:rPr>
        <w:t xml:space="preserve"> de </w:t>
      </w:r>
      <w:r w:rsidR="00C71FEE">
        <w:rPr>
          <w:rFonts w:ascii="Palatino Linotype" w:eastAsia="Times New Roman" w:hAnsi="Palatino Linotype" w:cs="Arial"/>
          <w:sz w:val="24"/>
          <w:szCs w:val="24"/>
          <w:lang w:val="es-ES" w:eastAsia="es-ES"/>
        </w:rPr>
        <w:t>julio</w:t>
      </w:r>
      <w:r w:rsidR="00CE599E">
        <w:rPr>
          <w:rFonts w:ascii="Palatino Linotype" w:eastAsia="Times New Roman" w:hAnsi="Palatino Linotype" w:cs="Arial"/>
          <w:sz w:val="24"/>
          <w:szCs w:val="24"/>
          <w:lang w:val="es-ES" w:eastAsia="es-ES"/>
        </w:rPr>
        <w:t xml:space="preserve"> </w:t>
      </w:r>
      <w:r w:rsidRPr="00866279">
        <w:rPr>
          <w:rFonts w:ascii="Palatino Linotype" w:eastAsia="Times New Roman" w:hAnsi="Palatino Linotype" w:cs="Arial"/>
          <w:sz w:val="24"/>
          <w:szCs w:val="24"/>
          <w:lang w:val="es-ES" w:eastAsia="es-ES"/>
        </w:rPr>
        <w:t xml:space="preserve">de dos mil diecinueve, </w:t>
      </w:r>
      <w:r w:rsidR="009A2BAB">
        <w:rPr>
          <w:rFonts w:ascii="Palatino Linotype" w:eastAsia="Times New Roman" w:hAnsi="Palatino Linotype" w:cs="Arial"/>
          <w:b/>
          <w:sz w:val="24"/>
          <w:szCs w:val="24"/>
          <w:lang w:val="es-ES" w:eastAsia="es-ES"/>
        </w:rPr>
        <w:t>EL</w:t>
      </w:r>
      <w:r w:rsidRPr="00866279">
        <w:rPr>
          <w:rFonts w:ascii="Palatino Linotype" w:eastAsia="Times New Roman" w:hAnsi="Palatino Linotype" w:cs="Arial"/>
          <w:b/>
          <w:sz w:val="24"/>
          <w:szCs w:val="24"/>
          <w:lang w:val="es-ES" w:eastAsia="es-ES"/>
        </w:rPr>
        <w:t xml:space="preserve"> RECURRENTE</w:t>
      </w:r>
      <w:r w:rsidRPr="00866279">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66279">
        <w:rPr>
          <w:rFonts w:ascii="Palatino Linotype" w:eastAsia="Times New Roman" w:hAnsi="Palatino Linotype" w:cs="Arial"/>
          <w:b/>
          <w:sz w:val="24"/>
          <w:szCs w:val="24"/>
          <w:lang w:val="es-ES" w:eastAsia="es-ES"/>
        </w:rPr>
        <w:t>EL SAIMEX</w:t>
      </w:r>
      <w:r w:rsidRPr="00866279">
        <w:rPr>
          <w:rFonts w:ascii="Palatino Linotype" w:eastAsia="Times New Roman" w:hAnsi="Palatino Linotype" w:cs="Arial"/>
          <w:sz w:val="24"/>
          <w:szCs w:val="24"/>
          <w:lang w:val="es-ES" w:eastAsia="es-ES"/>
        </w:rPr>
        <w:t xml:space="preserve"> ante </w:t>
      </w:r>
      <w:r w:rsidRPr="00866279">
        <w:rPr>
          <w:rFonts w:ascii="Palatino Linotype" w:eastAsia="Times New Roman" w:hAnsi="Palatino Linotype" w:cs="Arial"/>
          <w:b/>
          <w:sz w:val="24"/>
          <w:szCs w:val="24"/>
          <w:lang w:val="es-ES" w:eastAsia="es-ES"/>
        </w:rPr>
        <w:t>EL SUJETO OBLIGADO</w:t>
      </w:r>
      <w:r w:rsidRPr="00866279">
        <w:rPr>
          <w:rFonts w:ascii="Palatino Linotype" w:eastAsia="Times New Roman" w:hAnsi="Palatino Linotype" w:cs="Arial"/>
          <w:sz w:val="24"/>
          <w:szCs w:val="24"/>
          <w:lang w:val="es-ES" w:eastAsia="es-ES"/>
        </w:rPr>
        <w:t xml:space="preserve">, </w:t>
      </w:r>
      <w:r w:rsidR="005237E8">
        <w:rPr>
          <w:rFonts w:ascii="Palatino Linotype" w:eastAsia="Times New Roman" w:hAnsi="Palatino Linotype" w:cs="Times New Roman"/>
          <w:sz w:val="24"/>
          <w:szCs w:val="24"/>
          <w:lang w:val="es-ES" w:eastAsia="es-ES"/>
        </w:rPr>
        <w:t>la solicitud</w:t>
      </w:r>
      <w:r w:rsidRPr="00866279">
        <w:rPr>
          <w:rFonts w:ascii="Palatino Linotype" w:eastAsia="Times New Roman" w:hAnsi="Palatino Linotype" w:cs="Times New Roman"/>
          <w:sz w:val="24"/>
          <w:szCs w:val="24"/>
          <w:lang w:val="es-ES" w:eastAsia="es-ES"/>
        </w:rPr>
        <w:t xml:space="preserve"> de acc</w:t>
      </w:r>
      <w:r w:rsidR="005237E8">
        <w:rPr>
          <w:rFonts w:ascii="Palatino Linotype" w:eastAsia="Times New Roman" w:hAnsi="Palatino Linotype" w:cs="Times New Roman"/>
          <w:sz w:val="24"/>
          <w:szCs w:val="24"/>
          <w:lang w:val="es-ES" w:eastAsia="es-ES"/>
        </w:rPr>
        <w:t xml:space="preserve">eso a información pública, a la que se le asignó el número </w:t>
      </w:r>
      <w:r w:rsidR="00C71FEE" w:rsidRPr="00C71FEE">
        <w:rPr>
          <w:rFonts w:ascii="Palatino Linotype" w:eastAsia="Times New Roman" w:hAnsi="Palatino Linotype" w:cs="Arial"/>
          <w:b/>
          <w:sz w:val="24"/>
          <w:szCs w:val="24"/>
          <w:lang w:val="es-ES" w:eastAsia="es-ES"/>
        </w:rPr>
        <w:t>00653/FGJ/IP/2019</w:t>
      </w:r>
      <w:r w:rsidR="00B17480">
        <w:rPr>
          <w:rFonts w:ascii="Palatino Linotype" w:eastAsia="Times New Roman" w:hAnsi="Palatino Linotype" w:cs="Arial"/>
          <w:b/>
          <w:sz w:val="24"/>
          <w:szCs w:val="24"/>
          <w:lang w:val="es-ES" w:eastAsia="es-ES"/>
        </w:rPr>
        <w:t xml:space="preserve">, </w:t>
      </w:r>
      <w:r w:rsidR="00B17480">
        <w:rPr>
          <w:rFonts w:ascii="Palatino Linotype" w:eastAsia="Times New Roman" w:hAnsi="Palatino Linotype" w:cs="Arial"/>
          <w:sz w:val="24"/>
          <w:szCs w:val="24"/>
          <w:lang w:val="es-ES" w:eastAsia="es-ES"/>
        </w:rPr>
        <w:t xml:space="preserve">mediante la cual </w:t>
      </w:r>
      <w:r w:rsidR="00CC3949">
        <w:rPr>
          <w:rFonts w:ascii="Palatino Linotype" w:eastAsia="Times New Roman" w:hAnsi="Palatino Linotype" w:cs="Arial"/>
          <w:sz w:val="24"/>
          <w:szCs w:val="24"/>
          <w:lang w:val="es-ES" w:eastAsia="es-ES"/>
        </w:rPr>
        <w:t>requirió</w:t>
      </w:r>
      <w:r w:rsidR="00B17480">
        <w:rPr>
          <w:rFonts w:ascii="Palatino Linotype" w:eastAsia="Times New Roman" w:hAnsi="Palatino Linotype" w:cs="Arial"/>
          <w:sz w:val="24"/>
          <w:szCs w:val="24"/>
          <w:lang w:val="es-ES" w:eastAsia="es-ES"/>
        </w:rPr>
        <w:t xml:space="preserve"> lo siguiente:</w:t>
      </w: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505E0F">
        <w:trPr>
          <w:trHeight w:val="792"/>
        </w:trPr>
        <w:tc>
          <w:tcPr>
            <w:tcW w:w="2972" w:type="dxa"/>
            <w:vAlign w:val="center"/>
          </w:tcPr>
          <w:p w:rsidR="00323EFC" w:rsidRDefault="00C71FEE" w:rsidP="00505E0F">
            <w:pPr>
              <w:spacing w:line="360" w:lineRule="auto"/>
              <w:jc w:val="center"/>
              <w:rPr>
                <w:rFonts w:ascii="Palatino Linotype" w:eastAsia="Times New Roman" w:hAnsi="Palatino Linotype" w:cs="Times New Roman"/>
                <w:sz w:val="24"/>
                <w:szCs w:val="24"/>
                <w:lang w:val="es-ES" w:eastAsia="es-ES"/>
              </w:rPr>
            </w:pPr>
            <w:r w:rsidRPr="00C71FEE">
              <w:rPr>
                <w:rFonts w:ascii="Palatino Linotype" w:eastAsia="Times New Roman" w:hAnsi="Palatino Linotype" w:cs="Arial"/>
                <w:b/>
                <w:sz w:val="24"/>
                <w:szCs w:val="24"/>
                <w:lang w:val="es-ES" w:eastAsia="es-ES"/>
              </w:rPr>
              <w:t>00653/FGJ/IP/2019</w:t>
            </w:r>
          </w:p>
        </w:tc>
        <w:tc>
          <w:tcPr>
            <w:tcW w:w="6034" w:type="dxa"/>
          </w:tcPr>
          <w:p w:rsidR="00323EFC" w:rsidRPr="0013649D" w:rsidRDefault="00505E0F" w:rsidP="00505E0F">
            <w:pPr>
              <w:spacing w:after="160"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C71FEE" w:rsidRPr="00C71FEE">
              <w:rPr>
                <w:rFonts w:ascii="Palatino Linotype" w:eastAsia="Times New Roman" w:hAnsi="Palatino Linotype" w:cs="Arial"/>
                <w:i/>
                <w:lang w:val="es-ES" w:eastAsia="es-ES"/>
              </w:rPr>
              <w:t>Solicito se me proporcione marco legal o acuerdo administrativo relativo al uso de sensores caninos</w:t>
            </w:r>
            <w:r w:rsidRPr="0013649D">
              <w:rPr>
                <w:rFonts w:ascii="Palatino Linotype" w:eastAsia="Times New Roman" w:hAnsi="Palatino Linotype" w:cs="Arial"/>
                <w:i/>
                <w:lang w:val="es-ES" w:eastAsia="es-ES"/>
              </w:rPr>
              <w:t>”</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9A2BAB" w:rsidRDefault="00C86037" w:rsidP="009A2BAB">
      <w:pPr>
        <w:spacing w:after="0" w:line="360" w:lineRule="auto"/>
        <w:jc w:val="both"/>
        <w:rPr>
          <w:rFonts w:ascii="Palatino Linotype" w:hAnsi="Palatino Linotype" w:cs="Arial"/>
          <w:sz w:val="24"/>
          <w:szCs w:val="24"/>
          <w:lang w:val="es-ES_tradnl"/>
        </w:rPr>
      </w:pPr>
      <w:r w:rsidRPr="00C86037">
        <w:rPr>
          <w:rFonts w:ascii="Palatino Linotype" w:eastAsia="Times New Roman" w:hAnsi="Palatino Linotype" w:cs="Times New Roman"/>
          <w:b/>
          <w:sz w:val="28"/>
          <w:szCs w:val="28"/>
          <w:lang w:eastAsia="es-ES"/>
        </w:rPr>
        <w:t>II.</w:t>
      </w:r>
      <w:r w:rsidRPr="00C86037">
        <w:rPr>
          <w:rFonts w:ascii="Palatino Linotype" w:eastAsia="Times New Roman" w:hAnsi="Palatino Linotype" w:cs="Times New Roman"/>
          <w:sz w:val="28"/>
          <w:szCs w:val="28"/>
          <w:lang w:eastAsia="es-ES"/>
        </w:rPr>
        <w:t xml:space="preserve"> </w:t>
      </w:r>
      <w:r w:rsidR="00AC576A" w:rsidRPr="009A2BAB">
        <w:rPr>
          <w:rFonts w:ascii="Palatino Linotype" w:hAnsi="Palatino Linotype"/>
          <w:sz w:val="24"/>
          <w:szCs w:val="24"/>
        </w:rPr>
        <w:t xml:space="preserve">De las constancias que obran en </w:t>
      </w:r>
      <w:r w:rsidR="00AC576A" w:rsidRPr="009A2BAB">
        <w:rPr>
          <w:rFonts w:ascii="Palatino Linotype" w:hAnsi="Palatino Linotype"/>
          <w:b/>
          <w:sz w:val="24"/>
          <w:szCs w:val="24"/>
        </w:rPr>
        <w:t>EL SAIMEX,</w:t>
      </w:r>
      <w:r w:rsidR="00AC576A" w:rsidRPr="009A2BAB">
        <w:rPr>
          <w:rFonts w:ascii="Palatino Linotype" w:hAnsi="Palatino Linotype"/>
          <w:sz w:val="24"/>
          <w:szCs w:val="24"/>
        </w:rPr>
        <w:t xml:space="preserve"> se advierte que en fecha </w:t>
      </w:r>
      <w:r w:rsidR="00C71FEE">
        <w:rPr>
          <w:rFonts w:ascii="Palatino Linotype" w:hAnsi="Palatino Linotype"/>
          <w:sz w:val="24"/>
          <w:szCs w:val="24"/>
        </w:rPr>
        <w:t>quince</w:t>
      </w:r>
      <w:r w:rsidR="00BD79F2" w:rsidRPr="009A2BAB">
        <w:rPr>
          <w:rFonts w:ascii="Palatino Linotype" w:hAnsi="Palatino Linotype"/>
          <w:sz w:val="24"/>
          <w:szCs w:val="24"/>
        </w:rPr>
        <w:t xml:space="preserve"> de </w:t>
      </w:r>
      <w:r w:rsidR="00C71FEE">
        <w:rPr>
          <w:rFonts w:ascii="Palatino Linotype" w:hAnsi="Palatino Linotype"/>
          <w:sz w:val="24"/>
          <w:szCs w:val="24"/>
        </w:rPr>
        <w:t>agosto</w:t>
      </w:r>
      <w:r w:rsidR="00BD79F2" w:rsidRPr="009A2BAB">
        <w:rPr>
          <w:rFonts w:ascii="Palatino Linotype" w:hAnsi="Palatino Linotype"/>
          <w:sz w:val="24"/>
          <w:szCs w:val="24"/>
        </w:rPr>
        <w:t xml:space="preserve"> de dos mil diecinueve</w:t>
      </w:r>
      <w:r w:rsidR="00AC576A" w:rsidRPr="009A2BAB">
        <w:rPr>
          <w:rFonts w:ascii="Palatino Linotype" w:hAnsi="Palatino Linotype"/>
          <w:sz w:val="24"/>
          <w:szCs w:val="24"/>
        </w:rPr>
        <w:t xml:space="preserve">, </w:t>
      </w:r>
      <w:r w:rsidR="00BD79F2" w:rsidRPr="009A2BAB">
        <w:rPr>
          <w:rFonts w:ascii="Palatino Linotype" w:hAnsi="Palatino Linotype" w:cs="Arial"/>
          <w:sz w:val="24"/>
          <w:szCs w:val="24"/>
          <w:lang w:val="es-ES_tradnl"/>
        </w:rPr>
        <w:t>el</w:t>
      </w:r>
      <w:r w:rsidR="00AC576A" w:rsidRPr="009A2BAB">
        <w:rPr>
          <w:rFonts w:ascii="Palatino Linotype" w:hAnsi="Palatino Linotype" w:cs="Arial"/>
          <w:b/>
          <w:sz w:val="24"/>
          <w:szCs w:val="24"/>
          <w:lang w:val="es-ES_tradnl"/>
        </w:rPr>
        <w:t xml:space="preserve"> SUJETO OBLIGADO</w:t>
      </w:r>
      <w:r w:rsidR="00BE2D6E" w:rsidRPr="009A2BAB">
        <w:rPr>
          <w:rFonts w:ascii="Palatino Linotype" w:hAnsi="Palatino Linotype" w:cs="Arial"/>
          <w:sz w:val="24"/>
          <w:szCs w:val="24"/>
          <w:lang w:val="es-ES_tradnl"/>
        </w:rPr>
        <w:t xml:space="preserve"> dio respuesta a la solicitud</w:t>
      </w:r>
      <w:r w:rsidR="00AC576A" w:rsidRPr="009A2BAB">
        <w:rPr>
          <w:rFonts w:ascii="Palatino Linotype" w:hAnsi="Palatino Linotype" w:cs="Arial"/>
          <w:sz w:val="24"/>
          <w:szCs w:val="24"/>
          <w:lang w:val="es-ES_tradnl"/>
        </w:rPr>
        <w:t xml:space="preserve"> de información, en los siguientes términos:</w:t>
      </w:r>
    </w:p>
    <w:p w:rsidR="00C71FEE" w:rsidRPr="00C71FEE" w:rsidRDefault="00040156" w:rsidP="00C71FEE">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00C71FEE" w:rsidRPr="00C71FEE">
        <w:rPr>
          <w:rFonts w:ascii="Palatino Linotype" w:eastAsia="Times New Roman" w:hAnsi="Palatino Linotype" w:cs="Arial"/>
          <w:i/>
          <w:lang w:val="es-ES" w:eastAsia="es-ES"/>
        </w:rPr>
        <w:t>Folio de la solicitud: 00653/FGJ/IP/2019</w:t>
      </w:r>
    </w:p>
    <w:p w:rsidR="00C71FEE" w:rsidRPr="00C71FEE" w:rsidRDefault="00C71FEE" w:rsidP="00C71FEE">
      <w:pPr>
        <w:spacing w:after="0" w:line="276" w:lineRule="auto"/>
        <w:ind w:left="851" w:right="616"/>
        <w:jc w:val="both"/>
        <w:rPr>
          <w:rFonts w:ascii="Palatino Linotype" w:eastAsia="Times New Roman" w:hAnsi="Palatino Linotype" w:cs="Arial"/>
          <w:i/>
          <w:lang w:val="es-ES" w:eastAsia="es-ES"/>
        </w:rPr>
      </w:pPr>
      <w:r w:rsidRPr="00C71FEE">
        <w:rPr>
          <w:rFonts w:ascii="Palatino Linotype" w:eastAsia="Times New Roman" w:hAnsi="Palatino Linotype" w:cs="Arial"/>
          <w:i/>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C71FEE" w:rsidRPr="00C71FEE" w:rsidRDefault="00C71FEE" w:rsidP="00C71FEE">
      <w:pPr>
        <w:spacing w:after="0" w:line="276" w:lineRule="auto"/>
        <w:ind w:left="851" w:right="616"/>
        <w:jc w:val="both"/>
        <w:rPr>
          <w:rFonts w:ascii="Palatino Linotype" w:eastAsia="Times New Roman" w:hAnsi="Palatino Linotype" w:cs="Arial"/>
          <w:i/>
          <w:lang w:val="es-ES" w:eastAsia="es-ES"/>
        </w:rPr>
      </w:pPr>
      <w:r w:rsidRPr="00C71FEE">
        <w:rPr>
          <w:rFonts w:ascii="Palatino Linotype" w:eastAsia="Times New Roman" w:hAnsi="Palatino Linotype" w:cs="Arial"/>
          <w:i/>
          <w:lang w:val="es-ES" w:eastAsia="es-ES"/>
        </w:rPr>
        <w:t>Toluca de Lerdo, Estado de México; a 15 de agosto de 2019 Número de oficio: 1380/MAIP/FGJ/2019. “</w:t>
      </w:r>
      <w:r w:rsidR="0034643F">
        <w:rPr>
          <w:rFonts w:ascii="Palatino Linotype" w:eastAsia="Times New Roman" w:hAnsi="Palatino Linotype" w:cs="Arial"/>
          <w:i/>
          <w:lang w:val="es-ES" w:eastAsia="es-ES"/>
        </w:rPr>
        <w:t>XXXXX</w:t>
      </w:r>
      <w:r w:rsidRPr="00C71FEE">
        <w:rPr>
          <w:rFonts w:ascii="Palatino Linotype" w:eastAsia="Times New Roman" w:hAnsi="Palatino Linotype" w:cs="Arial"/>
          <w:i/>
          <w:lang w:val="es-ES" w:eastAsia="es-ES"/>
        </w:rPr>
        <w:t xml:space="preserve">” Hago referencia al contenido de su solicitud de información pública, presentada el 11 de julio del año 2019, ante el Módulo de Transparencia y Acceso a la Información Pública de la Fiscalía General de Justicia del Estado de México, misma que fue registrada en el Sistema de Acceso a la Información Mexiquense (SAIMEX), bajo el folio 00653/FGJ/IP/2019, en la que pide lo siguiente: “Solicito se me proporcione marco legal o acuerdo administrativo relativo al uso de sensores caninos” (sic) Al respecto, esta Fiscalía General de Justicia del Estado de México, con fundamento en los artículos 1, 4 y 163 de la Ley de Transparencia y Acceso a la Información Pública del Estado de México y Municipios, hace de su conocimiento que de acuerdo a lo informado por el Director General Jurídico y Consultivo y el Coordinador General de la Policía de Investigación, Servidores Públicos Habilitados, son aplicables los artículos 127 y 212, párrafo segundo, del Código Nacional de Procedimientos Penales, así como el 34 de la Ley General de la Fiscalía General de Justicia del Estado de México, los cuales disponen lo siguiente: Código Nacional de Procedimientos Penales. Artículo 127. Competencia del Ministerio Público. Compete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 Artículo 212. Deber de investigación penal. La investigación deberá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 Ley de la Fiscalía General de Justicia del Estado de México. Artículo 34.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w:t>
      </w:r>
      <w:r w:rsidRPr="00C71FEE">
        <w:rPr>
          <w:rFonts w:ascii="Palatino Linotype" w:eastAsia="Times New Roman" w:hAnsi="Palatino Linotype" w:cs="Arial"/>
          <w:i/>
          <w:lang w:val="es-ES" w:eastAsia="es-ES"/>
        </w:rPr>
        <w:lastRenderedPageBreak/>
        <w:t>ordenamientos jurídicos estatales aplicables, las siguientes: A. En la investigación del delito. (…) B. Para el ejercicio de la acción penal. (…) C. Para la ejecución de las sanciones penales. (…) E. En materia de aplicación de formas de solución alterna del procedimiento y de terminación anticipada del proceso. (…) F. Para la protección, asistencia y representación. (…) G. En materia concurrente, incompetencia y colaboración. (…) Sin otro particular, le reitero la seguridad de mi distinguida consideración. A T E N T A M E N T E YAMILIT LEYVA GUTIÉRREZ TITULAR DE LA UNIDAD DE TRANSPARENCIA YLG/LGCG</w:t>
      </w:r>
    </w:p>
    <w:p w:rsidR="00C71FEE" w:rsidRPr="00C71FEE" w:rsidRDefault="00C71FEE" w:rsidP="00C71FEE">
      <w:pPr>
        <w:spacing w:after="0" w:line="276" w:lineRule="auto"/>
        <w:ind w:left="851" w:right="616"/>
        <w:jc w:val="both"/>
        <w:rPr>
          <w:rFonts w:ascii="Palatino Linotype" w:eastAsia="Times New Roman" w:hAnsi="Palatino Linotype" w:cs="Arial"/>
          <w:i/>
          <w:lang w:val="es-ES" w:eastAsia="es-ES"/>
        </w:rPr>
      </w:pPr>
      <w:r w:rsidRPr="00C71FEE">
        <w:rPr>
          <w:rFonts w:ascii="Palatino Linotype" w:eastAsia="Times New Roman" w:hAnsi="Palatino Linotype" w:cs="Arial"/>
          <w:i/>
          <w:lang w:val="es-ES" w:eastAsia="es-ES"/>
        </w:rPr>
        <w:t>ATENTAMENTE</w:t>
      </w:r>
    </w:p>
    <w:p w:rsidR="00E20C6A" w:rsidRDefault="00C71FEE" w:rsidP="00C71FEE">
      <w:pPr>
        <w:spacing w:after="0" w:line="276" w:lineRule="auto"/>
        <w:ind w:left="851" w:right="616"/>
        <w:jc w:val="both"/>
        <w:rPr>
          <w:rFonts w:ascii="Palatino Linotype" w:eastAsia="Times New Roman" w:hAnsi="Palatino Linotype" w:cs="Arial"/>
          <w:i/>
          <w:lang w:val="es-ES" w:eastAsia="es-ES"/>
        </w:rPr>
      </w:pPr>
      <w:r w:rsidRPr="00C71FEE">
        <w:rPr>
          <w:rFonts w:ascii="Palatino Linotype" w:eastAsia="Times New Roman" w:hAnsi="Palatino Linotype" w:cs="Arial"/>
          <w:i/>
          <w:lang w:val="es-ES" w:eastAsia="es-ES"/>
        </w:rPr>
        <w:t xml:space="preserve">YAMILIT LEYVA </w:t>
      </w:r>
      <w:proofErr w:type="spellStart"/>
      <w:r w:rsidRPr="00C71FEE">
        <w:rPr>
          <w:rFonts w:ascii="Palatino Linotype" w:eastAsia="Times New Roman" w:hAnsi="Palatino Linotype" w:cs="Arial"/>
          <w:i/>
          <w:lang w:val="es-ES" w:eastAsia="es-ES"/>
        </w:rPr>
        <w:t>GUTIÉRREZ</w:t>
      </w:r>
      <w:r w:rsidR="009A2BAB" w:rsidRPr="009A2BAB">
        <w:rPr>
          <w:rFonts w:ascii="Palatino Linotype" w:eastAsia="Times New Roman" w:hAnsi="Palatino Linotype" w:cs="Arial"/>
          <w:i/>
          <w:lang w:val="es-ES" w:eastAsia="es-ES"/>
        </w:rPr>
        <w:t>oz</w:t>
      </w:r>
      <w:proofErr w:type="spellEnd"/>
      <w:r w:rsidR="00040156">
        <w:rPr>
          <w:rFonts w:ascii="Palatino Linotype" w:eastAsia="Times New Roman" w:hAnsi="Palatino Linotype" w:cs="Arial"/>
          <w:i/>
          <w:lang w:val="es-ES" w:eastAsia="es-ES"/>
        </w:rPr>
        <w:t>”</w:t>
      </w:r>
    </w:p>
    <w:p w:rsidR="00E20C6A" w:rsidRDefault="00E20C6A" w:rsidP="009A2BAB">
      <w:pPr>
        <w:spacing w:after="0" w:line="276" w:lineRule="auto"/>
        <w:ind w:left="851" w:right="616"/>
        <w:jc w:val="both"/>
        <w:rPr>
          <w:rFonts w:ascii="Palatino Linotype" w:eastAsia="Times New Roman" w:hAnsi="Palatino Linotype" w:cs="Arial"/>
          <w:i/>
          <w:lang w:val="es-ES" w:eastAsia="es-ES"/>
        </w:rPr>
      </w:pPr>
    </w:p>
    <w:p w:rsidR="00F41517" w:rsidRPr="00E20C6A" w:rsidRDefault="009A2BAB"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III</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respuesta el </w:t>
      </w:r>
      <w:r w:rsidR="00A71172">
        <w:rPr>
          <w:rFonts w:ascii="Palatino Linotype" w:eastAsia="Times New Roman" w:hAnsi="Palatino Linotype" w:cs="Arial"/>
          <w:sz w:val="24"/>
          <w:szCs w:val="24"/>
          <w:lang w:val="es-ES" w:eastAsia="es-ES"/>
        </w:rPr>
        <w:t>veintiocho</w:t>
      </w:r>
      <w:r w:rsidR="00CD481C"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Pr>
          <w:rFonts w:ascii="Palatino Linotype" w:eastAsia="Times New Roman" w:hAnsi="Palatino Linotype" w:cs="Arial"/>
          <w:sz w:val="24"/>
          <w:szCs w:val="24"/>
          <w:lang w:val="es-ES" w:eastAsia="es-ES"/>
        </w:rPr>
        <w:t>agosto</w:t>
      </w:r>
      <w:r w:rsidR="0027427A" w:rsidRPr="00E20C6A">
        <w:rPr>
          <w:rFonts w:ascii="Palatino Linotype" w:eastAsia="Times New Roman" w:hAnsi="Palatino Linotype" w:cs="Arial"/>
          <w:sz w:val="24"/>
          <w:szCs w:val="24"/>
          <w:lang w:val="es-ES" w:eastAsia="es-ES"/>
        </w:rPr>
        <w:t xml:space="preserve"> de dos mil diecinueve, </w:t>
      </w:r>
      <w:r>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27427A" w:rsidRPr="00E20C6A">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20C6A">
        <w:rPr>
          <w:rFonts w:ascii="Palatino Linotype" w:eastAsia="Times New Roman" w:hAnsi="Palatino Linotype" w:cs="Times New Roman"/>
          <w:b/>
          <w:sz w:val="24"/>
          <w:szCs w:val="24"/>
          <w:lang w:val="es-ES" w:eastAsia="es-ES"/>
        </w:rPr>
        <w:t>EL SAIMEX</w:t>
      </w:r>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C57ECB" w:rsidRPr="00E20C6A">
        <w:rPr>
          <w:rFonts w:ascii="Palatino Linotype" w:eastAsia="Times New Roman" w:hAnsi="Palatino Linotype" w:cs="Times New Roman"/>
          <w:b/>
          <w:sz w:val="24"/>
          <w:szCs w:val="24"/>
          <w:lang w:eastAsia="es-MX"/>
        </w:rPr>
        <w:t>0</w:t>
      </w:r>
      <w:r>
        <w:rPr>
          <w:rFonts w:ascii="Palatino Linotype" w:eastAsia="Times New Roman" w:hAnsi="Palatino Linotype" w:cs="Times New Roman"/>
          <w:b/>
          <w:sz w:val="24"/>
          <w:szCs w:val="24"/>
          <w:lang w:eastAsia="es-MX"/>
        </w:rPr>
        <w:t>6</w:t>
      </w:r>
      <w:r w:rsidR="00A71172">
        <w:rPr>
          <w:rFonts w:ascii="Palatino Linotype" w:eastAsia="Times New Roman" w:hAnsi="Palatino Linotype" w:cs="Times New Roman"/>
          <w:b/>
          <w:sz w:val="24"/>
          <w:szCs w:val="24"/>
          <w:lang w:eastAsia="es-MX"/>
        </w:rPr>
        <w:t>89</w:t>
      </w:r>
      <w:r>
        <w:rPr>
          <w:rFonts w:ascii="Palatino Linotype" w:eastAsia="Times New Roman" w:hAnsi="Palatino Linotype" w:cs="Times New Roman"/>
          <w:b/>
          <w:sz w:val="24"/>
          <w:szCs w:val="24"/>
          <w:lang w:eastAsia="es-MX"/>
        </w:rPr>
        <w:t>2</w:t>
      </w:r>
      <w:r w:rsidR="00C57ECB" w:rsidRPr="00E20C6A">
        <w:rPr>
          <w:rFonts w:ascii="Palatino Linotype" w:eastAsia="Times New Roman" w:hAnsi="Palatino Linotype" w:cs="Times New Roman"/>
          <w:b/>
          <w:sz w:val="24"/>
          <w:szCs w:val="24"/>
          <w:lang w:eastAsia="es-MX"/>
        </w:rPr>
        <w:t>/INFOEM/IP/RR/2019</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Tr="00896D62">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3324"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2815"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896D62">
        <w:trPr>
          <w:trHeight w:val="1384"/>
          <w:jc w:val="center"/>
        </w:trPr>
        <w:tc>
          <w:tcPr>
            <w:tcW w:w="2689" w:type="dxa"/>
          </w:tcPr>
          <w:p w:rsidR="00C318AA" w:rsidRPr="00896D62" w:rsidRDefault="00C318AA" w:rsidP="00C71FEE">
            <w:pPr>
              <w:rPr>
                <w:rFonts w:ascii="Palatino Linotype" w:hAnsi="Palatino Linotype"/>
                <w:sz w:val="20"/>
                <w:szCs w:val="20"/>
              </w:rPr>
            </w:pPr>
            <w:r w:rsidRPr="00896D62">
              <w:rPr>
                <w:rFonts w:ascii="Palatino Linotype" w:eastAsia="Times New Roman" w:hAnsi="Palatino Linotype" w:cs="Times New Roman"/>
                <w:b/>
                <w:sz w:val="20"/>
                <w:szCs w:val="20"/>
                <w:lang w:eastAsia="es-MX"/>
              </w:rPr>
              <w:t>0</w:t>
            </w:r>
            <w:r w:rsidR="009A2BAB">
              <w:rPr>
                <w:rFonts w:ascii="Palatino Linotype" w:eastAsia="Times New Roman" w:hAnsi="Palatino Linotype" w:cs="Times New Roman"/>
                <w:b/>
                <w:sz w:val="20"/>
                <w:szCs w:val="20"/>
                <w:lang w:eastAsia="es-MX"/>
              </w:rPr>
              <w:t>6</w:t>
            </w:r>
            <w:r w:rsidR="00C71FEE">
              <w:rPr>
                <w:rFonts w:ascii="Palatino Linotype" w:eastAsia="Times New Roman" w:hAnsi="Palatino Linotype" w:cs="Times New Roman"/>
                <w:b/>
                <w:sz w:val="20"/>
                <w:szCs w:val="20"/>
                <w:lang w:eastAsia="es-MX"/>
              </w:rPr>
              <w:t>89</w:t>
            </w:r>
            <w:r w:rsidR="009A2BAB">
              <w:rPr>
                <w:rFonts w:ascii="Palatino Linotype" w:eastAsia="Times New Roman" w:hAnsi="Palatino Linotype" w:cs="Times New Roman"/>
                <w:b/>
                <w:sz w:val="20"/>
                <w:szCs w:val="20"/>
                <w:lang w:eastAsia="es-MX"/>
              </w:rPr>
              <w:t>2</w:t>
            </w:r>
            <w:r w:rsidRPr="00896D62">
              <w:rPr>
                <w:rFonts w:ascii="Palatino Linotype" w:eastAsia="Times New Roman" w:hAnsi="Palatino Linotype" w:cs="Times New Roman"/>
                <w:b/>
                <w:sz w:val="20"/>
                <w:szCs w:val="20"/>
                <w:lang w:eastAsia="es-MX"/>
              </w:rPr>
              <w:t>/INFOEM/IP/RR/2019</w:t>
            </w:r>
          </w:p>
        </w:tc>
        <w:tc>
          <w:tcPr>
            <w:tcW w:w="3324" w:type="dxa"/>
          </w:tcPr>
          <w:p w:rsidR="00C318AA" w:rsidRPr="00896D62" w:rsidRDefault="00896D62" w:rsidP="00C71FEE">
            <w:pPr>
              <w:jc w:val="both"/>
              <w:rPr>
                <w:rFonts w:ascii="Palatino Linotype" w:hAnsi="Palatino Linotype"/>
                <w:i/>
              </w:rPr>
            </w:pPr>
            <w:r>
              <w:rPr>
                <w:rFonts w:ascii="Palatino Linotype" w:hAnsi="Palatino Linotype"/>
                <w:i/>
                <w:color w:val="000000"/>
              </w:rPr>
              <w:t>“</w:t>
            </w:r>
            <w:r w:rsidR="00C71FEE" w:rsidRPr="00C71FEE">
              <w:rPr>
                <w:rFonts w:ascii="Palatino Linotype" w:hAnsi="Palatino Linotype"/>
                <w:i/>
                <w:color w:val="000000"/>
              </w:rPr>
              <w:t xml:space="preserve">Por medio del presente interpone queja debido a que la respuesta no corresponde con lo solicitado, pues en ella me da las facultades del ministerio </w:t>
            </w:r>
            <w:proofErr w:type="spellStart"/>
            <w:r w:rsidR="00C71FEE" w:rsidRPr="00C71FEE">
              <w:rPr>
                <w:rFonts w:ascii="Palatino Linotype" w:hAnsi="Palatino Linotype"/>
                <w:i/>
                <w:color w:val="000000"/>
              </w:rPr>
              <w:t>publico</w:t>
            </w:r>
            <w:proofErr w:type="spellEnd"/>
            <w:r w:rsidR="00C71FEE" w:rsidRPr="00C71FEE">
              <w:rPr>
                <w:rFonts w:ascii="Palatino Linotype" w:hAnsi="Palatino Linotype"/>
                <w:i/>
                <w:color w:val="000000"/>
              </w:rPr>
              <w:t xml:space="preserve">, y lo que solicito, es marco legal o acuerdo administrativo al uso de sensores caninos. (mas especifico de los oficiales caninos y sus manejadores que apoyan en operativos de detección de droga, armamento, artefactos explosivos, papel moneda, </w:t>
            </w:r>
            <w:proofErr w:type="spellStart"/>
            <w:r w:rsidR="00C71FEE" w:rsidRPr="00C71FEE">
              <w:rPr>
                <w:rFonts w:ascii="Palatino Linotype" w:hAnsi="Palatino Linotype"/>
                <w:i/>
                <w:color w:val="000000"/>
              </w:rPr>
              <w:t>etc</w:t>
            </w:r>
            <w:proofErr w:type="spellEnd"/>
            <w:r w:rsidR="00C71FEE" w:rsidRPr="00C71FEE">
              <w:rPr>
                <w:rFonts w:ascii="Palatino Linotype" w:hAnsi="Palatino Linotype"/>
                <w:i/>
                <w:color w:val="000000"/>
              </w:rPr>
              <w:t>)</w:t>
            </w:r>
            <w:r>
              <w:rPr>
                <w:rFonts w:ascii="Palatino Linotype" w:hAnsi="Palatino Linotype"/>
                <w:i/>
                <w:color w:val="000000"/>
              </w:rPr>
              <w:t>”</w:t>
            </w:r>
          </w:p>
        </w:tc>
        <w:tc>
          <w:tcPr>
            <w:tcW w:w="2815" w:type="dxa"/>
          </w:tcPr>
          <w:p w:rsidR="00C318AA" w:rsidRPr="00C71FEE" w:rsidRDefault="00896D62" w:rsidP="009A2BAB">
            <w:pPr>
              <w:jc w:val="both"/>
              <w:rPr>
                <w:rFonts w:ascii="Palatino Linotype" w:hAnsi="Palatino Linotype"/>
                <w:i/>
              </w:rPr>
            </w:pPr>
            <w:r w:rsidRPr="00C71FEE">
              <w:rPr>
                <w:rFonts w:ascii="Palatino Linotype" w:hAnsi="Palatino Linotype"/>
                <w:i/>
                <w:color w:val="000000"/>
              </w:rPr>
              <w:t>“</w:t>
            </w:r>
            <w:r w:rsidR="00C71FEE" w:rsidRPr="00C71FEE">
              <w:rPr>
                <w:rFonts w:ascii="Palatino Linotype" w:hAnsi="Palatino Linotype"/>
                <w:i/>
                <w:color w:val="000000"/>
              </w:rPr>
              <w:t xml:space="preserve">Por medio del presente interpone queja debido a que la respuesta no corresponde con lo solicitado, pues en ella me da las facultades del ministerio </w:t>
            </w:r>
            <w:proofErr w:type="spellStart"/>
            <w:r w:rsidR="00C71FEE" w:rsidRPr="00C71FEE">
              <w:rPr>
                <w:rFonts w:ascii="Palatino Linotype" w:hAnsi="Palatino Linotype"/>
                <w:i/>
                <w:color w:val="000000"/>
              </w:rPr>
              <w:t>publico</w:t>
            </w:r>
            <w:proofErr w:type="spellEnd"/>
            <w:r w:rsidR="00C71FEE" w:rsidRPr="00C71FEE">
              <w:rPr>
                <w:rFonts w:ascii="Palatino Linotype" w:hAnsi="Palatino Linotype"/>
                <w:i/>
                <w:color w:val="000000"/>
              </w:rPr>
              <w:t xml:space="preserve">, y lo que solicito, es marco legal o acuerdo administrativo al uso de sensores caninos. (mas especifico de los oficiales caninos y sus manejadores que apoyan en operativos de detección de droga, armamento, artefactos explosivos, papel moneda, </w:t>
            </w:r>
            <w:proofErr w:type="spellStart"/>
            <w:r w:rsidR="00C71FEE" w:rsidRPr="00C71FEE">
              <w:rPr>
                <w:rFonts w:ascii="Palatino Linotype" w:hAnsi="Palatino Linotype"/>
                <w:i/>
                <w:color w:val="000000"/>
              </w:rPr>
              <w:t>etc</w:t>
            </w:r>
            <w:proofErr w:type="spellEnd"/>
            <w:r w:rsidR="00C71FEE" w:rsidRPr="00C71FEE">
              <w:rPr>
                <w:rFonts w:ascii="Palatino Linotype" w:hAnsi="Palatino Linotype"/>
                <w:i/>
                <w:color w:val="000000"/>
              </w:rPr>
              <w:t>)</w:t>
            </w:r>
            <w:r w:rsidRPr="00C71FEE">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9A2BAB"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lastRenderedPageBreak/>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sidR="00A71172">
        <w:rPr>
          <w:rFonts w:ascii="Palatino Linotype" w:eastAsia="Times New Roman" w:hAnsi="Palatino Linotype" w:cs="Arial"/>
          <w:sz w:val="24"/>
          <w:szCs w:val="24"/>
          <w:lang w:val="es-ES" w:eastAsia="es-ES"/>
        </w:rPr>
        <w:t>veintiocho</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Pr>
          <w:rFonts w:ascii="Palatino Linotype" w:eastAsia="Times New Roman" w:hAnsi="Palatino Linotype" w:cs="Arial"/>
          <w:sz w:val="24"/>
          <w:szCs w:val="24"/>
          <w:lang w:val="es-ES" w:eastAsia="es-ES"/>
        </w:rPr>
        <w:t>agosto</w:t>
      </w:r>
      <w:r w:rsidR="005011D7" w:rsidRPr="005011D7">
        <w:rPr>
          <w:rFonts w:ascii="Palatino Linotype" w:eastAsia="Times New Roman" w:hAnsi="Palatino Linotype" w:cs="Arial"/>
          <w:sz w:val="24"/>
          <w:szCs w:val="24"/>
          <w:lang w:val="es-ES" w:eastAsia="es-ES"/>
        </w:rPr>
        <w:t xml:space="preserve"> de dos mil diecinueve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r w:rsidR="005011D7" w:rsidRPr="005011D7">
        <w:rPr>
          <w:rFonts w:ascii="Palatino Linotype" w:eastAsia="Arial Unicode MS" w:hAnsi="Palatino Linotype" w:cs="Arial"/>
          <w:b/>
          <w:sz w:val="24"/>
          <w:szCs w:val="24"/>
          <w:lang w:val="es-ES_tradnl" w:eastAsia="es-ES"/>
        </w:rPr>
        <w:t>SAIMEX</w:t>
      </w:r>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A36862">
        <w:rPr>
          <w:rFonts w:ascii="Palatino Linotype" w:eastAsia="Times New Roman" w:hAnsi="Palatino Linotype" w:cs="Arial"/>
          <w:sz w:val="24"/>
          <w:szCs w:val="24"/>
          <w:lang w:val="es-ES_tradnl" w:eastAsia="es-ES"/>
        </w:rPr>
        <w:t>desechamiento</w:t>
      </w:r>
      <w:proofErr w:type="spellEnd"/>
      <w:r w:rsidR="00A36862" w:rsidRPr="00A36862">
        <w:rPr>
          <w:rFonts w:ascii="Palatino Linotype" w:eastAsia="Times New Roman" w:hAnsi="Palatino Linotype" w:cs="Arial"/>
          <w:sz w:val="24"/>
          <w:szCs w:val="24"/>
          <w:lang w:val="es-ES_tradnl" w:eastAsia="es-ES"/>
        </w:rPr>
        <w:t>.</w:t>
      </w:r>
      <w:r w:rsidR="00A36862" w:rsidRPr="00A36862">
        <w:rPr>
          <w:rFonts w:ascii="Palatino Linotype" w:eastAsia="Times New Roman" w:hAnsi="Palatino Linotype" w:cs="Times New Roman"/>
          <w:noProof/>
          <w:sz w:val="24"/>
          <w:szCs w:val="24"/>
          <w:lang w:eastAsia="es-MX"/>
        </w:rPr>
        <w:t xml:space="preserve"> </w:t>
      </w: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 los expedientes electrónicos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A71172">
        <w:rPr>
          <w:rFonts w:ascii="Palatino Linotype" w:eastAsia="MS Mincho" w:hAnsi="Palatino Linotype" w:cs="Arial"/>
          <w:sz w:val="24"/>
          <w:szCs w:val="24"/>
          <w:lang w:val="es-ES_tradnl" w:eastAsia="es-ES"/>
        </w:rPr>
        <w:t>tres</w:t>
      </w:r>
      <w:r w:rsidR="006E3567">
        <w:rPr>
          <w:rFonts w:ascii="Palatino Linotype" w:eastAsia="MS Mincho" w:hAnsi="Palatino Linotype" w:cs="Arial"/>
          <w:sz w:val="24"/>
          <w:szCs w:val="24"/>
          <w:lang w:val="es-ES_tradnl" w:eastAsia="es-ES"/>
        </w:rPr>
        <w:t xml:space="preserve"> de </w:t>
      </w:r>
      <w:r w:rsidR="00A71172">
        <w:rPr>
          <w:rFonts w:ascii="Palatino Linotype" w:eastAsia="MS Mincho" w:hAnsi="Palatino Linotype" w:cs="Arial"/>
          <w:sz w:val="24"/>
          <w:szCs w:val="24"/>
          <w:lang w:val="es-ES_tradnl" w:eastAsia="es-ES"/>
        </w:rPr>
        <w:t>septiembre</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dos mil diecinueve, se acor</w:t>
      </w:r>
      <w:r w:rsidR="006E3567">
        <w:rPr>
          <w:rFonts w:ascii="Palatino Linotype" w:eastAsia="MS Mincho" w:hAnsi="Palatino Linotype" w:cs="Arial"/>
          <w:sz w:val="24"/>
          <w:szCs w:val="24"/>
          <w:lang w:val="es-ES_tradnl" w:eastAsia="es-ES"/>
        </w:rPr>
        <w:t>dó la admisión a trámite del recurso</w:t>
      </w:r>
      <w:r w:rsidRPr="008332F9">
        <w:rPr>
          <w:rFonts w:ascii="Palatino Linotype" w:eastAsia="MS Mincho" w:hAnsi="Palatino Linotype" w:cs="Arial"/>
          <w:sz w:val="24"/>
          <w:szCs w:val="24"/>
          <w:lang w:val="es-ES_tradnl" w:eastAsia="es-ES"/>
        </w:rPr>
        <w:t xml:space="preserve"> de revisión que nos ocupan,</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sus</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Informes Justificados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A067E" w:rsidRDefault="009A2BAB" w:rsidP="008A067E">
      <w:pPr>
        <w:spacing w:line="360" w:lineRule="auto"/>
        <w:jc w:val="both"/>
        <w:rPr>
          <w:rFonts w:ascii="Palatino Linotype" w:eastAsia="Arial Unicode MS"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88434F" w:rsidRPr="0088434F">
        <w:rPr>
          <w:rFonts w:ascii="Palatino Linotype" w:eastAsia="Times New Roman" w:hAnsi="Palatino Linotype" w:cs="Arial"/>
          <w:sz w:val="24"/>
          <w:szCs w:val="24"/>
          <w:lang w:val="es-ES" w:eastAsia="es-ES"/>
        </w:rPr>
        <w:t xml:space="preserve">el </w:t>
      </w:r>
      <w:r w:rsidR="00A71172">
        <w:rPr>
          <w:rFonts w:ascii="Palatino Linotype" w:eastAsia="Times New Roman" w:hAnsi="Palatino Linotype" w:cs="Arial"/>
          <w:sz w:val="24"/>
          <w:szCs w:val="24"/>
          <w:lang w:val="es-ES" w:eastAsia="es-ES"/>
        </w:rPr>
        <w:t>diez</w:t>
      </w:r>
      <w:r w:rsidR="0088434F" w:rsidRPr="0088434F">
        <w:rPr>
          <w:rFonts w:ascii="Palatino Linotype" w:eastAsia="Times New Roman" w:hAnsi="Palatino Linotype" w:cs="Arial"/>
          <w:sz w:val="24"/>
          <w:szCs w:val="24"/>
          <w:lang w:val="es-ES" w:eastAsia="es-ES"/>
        </w:rPr>
        <w:t xml:space="preserve"> de </w:t>
      </w:r>
      <w:r w:rsidR="00A71172">
        <w:rPr>
          <w:rFonts w:ascii="Palatino Linotype" w:eastAsia="Times New Roman" w:hAnsi="Palatino Linotype" w:cs="Arial"/>
          <w:sz w:val="24"/>
          <w:szCs w:val="24"/>
          <w:lang w:val="es-ES" w:eastAsia="es-ES"/>
        </w:rPr>
        <w:t>septiembre</w:t>
      </w:r>
      <w:r w:rsidR="0088434F" w:rsidRPr="0088434F">
        <w:rPr>
          <w:rFonts w:ascii="Palatino Linotype" w:eastAsia="Times New Roman" w:hAnsi="Palatino Linotype" w:cs="Arial"/>
          <w:sz w:val="24"/>
          <w:szCs w:val="24"/>
          <w:lang w:val="es-ES" w:eastAsia="es-ES"/>
        </w:rPr>
        <w:t xml:space="preserve"> de la presente anualidad </w:t>
      </w:r>
      <w:r w:rsidR="008A067E">
        <w:rPr>
          <w:rFonts w:ascii="Palatino Linotype" w:eastAsia="Times New Roman" w:hAnsi="Palatino Linotype" w:cs="Arial"/>
          <w:sz w:val="24"/>
          <w:szCs w:val="24"/>
          <w:lang w:val="es-ES" w:eastAsia="es-ES"/>
        </w:rPr>
        <w:t>rindió</w:t>
      </w:r>
      <w:r w:rsidR="008A067E" w:rsidRPr="008A067E">
        <w:rPr>
          <w:rFonts w:ascii="Palatino Linotype" w:eastAsia="Times New Roman" w:hAnsi="Palatino Linotype" w:cs="Arial"/>
          <w:sz w:val="24"/>
          <w:szCs w:val="24"/>
          <w:lang w:val="es-ES" w:eastAsia="es-ES"/>
        </w:rPr>
        <w:t xml:space="preserve"> Informe Justificado </w:t>
      </w:r>
      <w:r w:rsidR="008A067E">
        <w:rPr>
          <w:rFonts w:ascii="Palatino Linotype" w:eastAsia="Times New Roman" w:hAnsi="Palatino Linotype" w:cs="Arial"/>
          <w:sz w:val="24"/>
          <w:szCs w:val="24"/>
          <w:lang w:val="es-ES" w:eastAsia="es-ES"/>
        </w:rPr>
        <w:t>del recurso</w:t>
      </w:r>
      <w:r w:rsidR="008A067E" w:rsidRPr="008A067E">
        <w:rPr>
          <w:rFonts w:ascii="Palatino Linotype" w:eastAsia="Times New Roman" w:hAnsi="Palatino Linotype" w:cs="Arial"/>
          <w:sz w:val="24"/>
          <w:szCs w:val="24"/>
          <w:lang w:val="es-ES" w:eastAsia="es-ES"/>
        </w:rPr>
        <w:t xml:space="preserve"> materia del presente asunto, </w:t>
      </w:r>
      <w:r w:rsidR="0047298C">
        <w:rPr>
          <w:rFonts w:ascii="Palatino Linotype" w:eastAsia="Times New Roman" w:hAnsi="Palatino Linotype" w:cs="Arial"/>
          <w:sz w:val="24"/>
          <w:szCs w:val="24"/>
          <w:lang w:val="es-ES" w:eastAsia="es-ES"/>
        </w:rPr>
        <w:t xml:space="preserve">en el que </w:t>
      </w:r>
      <w:r w:rsidR="00A34831">
        <w:rPr>
          <w:rFonts w:ascii="Palatino Linotype" w:eastAsia="Times New Roman" w:hAnsi="Palatino Linotype" w:cs="Arial"/>
          <w:sz w:val="24"/>
          <w:szCs w:val="24"/>
          <w:lang w:val="es-ES" w:eastAsia="es-ES"/>
        </w:rPr>
        <w:t>amplió</w:t>
      </w:r>
      <w:r w:rsidR="00015221">
        <w:rPr>
          <w:rFonts w:ascii="Palatino Linotype" w:eastAsia="Times New Roman" w:hAnsi="Palatino Linotype" w:cs="Arial"/>
          <w:sz w:val="24"/>
          <w:szCs w:val="24"/>
          <w:lang w:val="es-ES" w:eastAsia="es-ES"/>
        </w:rPr>
        <w:t xml:space="preserve"> </w:t>
      </w:r>
      <w:r w:rsidR="0047298C">
        <w:rPr>
          <w:rFonts w:ascii="Palatino Linotype" w:eastAsia="Times New Roman" w:hAnsi="Palatino Linotype" w:cs="Arial"/>
          <w:sz w:val="24"/>
          <w:szCs w:val="24"/>
          <w:lang w:val="es-ES" w:eastAsia="es-ES"/>
        </w:rPr>
        <w:t>su respuesta</w:t>
      </w:r>
      <w:r w:rsidR="00F32CC0">
        <w:rPr>
          <w:rFonts w:ascii="Palatino Linotype" w:eastAsia="Times New Roman" w:hAnsi="Palatino Linotype" w:cs="Arial"/>
          <w:sz w:val="24"/>
          <w:szCs w:val="24"/>
          <w:lang w:val="es-ES" w:eastAsia="es-ES"/>
        </w:rPr>
        <w:t xml:space="preserve">, </w:t>
      </w:r>
      <w:r w:rsidR="00A71172">
        <w:rPr>
          <w:rFonts w:ascii="Palatino Linotype" w:eastAsia="Times New Roman" w:hAnsi="Palatino Linotype" w:cs="Arial"/>
          <w:sz w:val="24"/>
          <w:szCs w:val="24"/>
          <w:lang w:val="es-ES" w:eastAsia="es-ES"/>
        </w:rPr>
        <w:t>el cual será materia de estudio en el apartado correspondiente.</w:t>
      </w:r>
    </w:p>
    <w:p w:rsidR="00B064FB" w:rsidRPr="00C053E7" w:rsidRDefault="008A067E" w:rsidP="00B064FB">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A067E">
        <w:rPr>
          <w:rFonts w:ascii="Palatino Linotype" w:eastAsia="MS Mincho" w:hAnsi="Palatino Linotype" w:cs="Times New Roman"/>
          <w:noProof/>
          <w:sz w:val="24"/>
          <w:szCs w:val="24"/>
          <w:lang w:eastAsia="es-MX"/>
        </w:rPr>
        <w:t xml:space="preserve">Por su parte, </w:t>
      </w:r>
      <w:r w:rsidRPr="008A067E">
        <w:rPr>
          <w:rFonts w:ascii="Palatino Linotype" w:eastAsia="MS Mincho" w:hAnsi="Palatino Linotype" w:cs="Times New Roman"/>
          <w:b/>
          <w:noProof/>
          <w:sz w:val="24"/>
          <w:szCs w:val="24"/>
          <w:lang w:eastAsia="es-MX"/>
        </w:rPr>
        <w:t xml:space="preserve">EL RECURRENTE </w:t>
      </w:r>
      <w:r w:rsidRPr="008A067E">
        <w:rPr>
          <w:rFonts w:ascii="Palatino Linotype" w:eastAsia="MS Mincho" w:hAnsi="Palatino Linotype" w:cs="Times New Roman"/>
          <w:noProof/>
          <w:sz w:val="24"/>
          <w:szCs w:val="24"/>
          <w:lang w:eastAsia="es-MX"/>
        </w:rPr>
        <w:t>no realizó manifiestación alguna,</w:t>
      </w:r>
      <w:r w:rsidRPr="008A067E">
        <w:rPr>
          <w:rFonts w:ascii="Palatino Linotype" w:eastAsia="Arial Unicode MS" w:hAnsi="Palatino Linotype" w:cs="Arial"/>
          <w:sz w:val="24"/>
          <w:szCs w:val="24"/>
          <w:lang w:val="es-ES_tradnl" w:eastAsia="es-ES"/>
        </w:rPr>
        <w:t xml:space="preserve"> ni presentó pruebas o alegatos</w:t>
      </w:r>
      <w:r w:rsidR="00F32CC0">
        <w:rPr>
          <w:rFonts w:ascii="Palatino Linotype" w:eastAsia="Arial Unicode MS" w:hAnsi="Palatino Linotype" w:cs="Arial"/>
          <w:sz w:val="24"/>
          <w:szCs w:val="24"/>
          <w:lang w:val="es-ES_tradnl" w:eastAsia="es-ES"/>
        </w:rPr>
        <w:t xml:space="preserve"> que a su derecho convinieran</w:t>
      </w:r>
      <w:r w:rsidRPr="008A067E">
        <w:rPr>
          <w:rFonts w:ascii="Palatino Linotype" w:eastAsia="Arial Unicode MS" w:hAnsi="Palatino Linotype" w:cs="Arial"/>
          <w:sz w:val="24"/>
          <w:szCs w:val="24"/>
          <w:lang w:val="es-ES_tradnl" w:eastAsia="es-ES"/>
        </w:rPr>
        <w:t>.</w:t>
      </w:r>
    </w:p>
    <w:p w:rsidR="00A711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lastRenderedPageBreak/>
        <w:t>VII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A71172">
        <w:rPr>
          <w:rFonts w:ascii="Palatino Linotype" w:eastAsia="MS Mincho" w:hAnsi="Palatino Linotype" w:cs="Arial"/>
          <w:sz w:val="24"/>
          <w:szCs w:val="24"/>
          <w:lang w:val="es-ES_tradnl" w:eastAsia="es-ES"/>
        </w:rPr>
        <w:t>treinta</w:t>
      </w:r>
      <w:r w:rsidR="00562E09">
        <w:rPr>
          <w:rFonts w:ascii="Palatino Linotype" w:eastAsia="MS Mincho" w:hAnsi="Palatino Linotype" w:cs="Arial"/>
          <w:sz w:val="24"/>
          <w:szCs w:val="24"/>
          <w:lang w:val="es-ES_tradnl" w:eastAsia="es-ES"/>
        </w:rPr>
        <w:t xml:space="preserve"> de </w:t>
      </w:r>
      <w:r w:rsidR="00A71172">
        <w:rPr>
          <w:rFonts w:ascii="Palatino Linotype" w:eastAsia="MS Mincho" w:hAnsi="Palatino Linotype" w:cs="Arial"/>
          <w:sz w:val="24"/>
          <w:szCs w:val="24"/>
          <w:lang w:val="es-ES_tradnl" w:eastAsia="es-ES"/>
        </w:rPr>
        <w:t>octubre</w:t>
      </w:r>
      <w:r w:rsidR="00562E09">
        <w:rPr>
          <w:rFonts w:ascii="Palatino Linotype" w:eastAsia="MS Mincho" w:hAnsi="Palatino Linotype" w:cs="Arial"/>
          <w:sz w:val="24"/>
          <w:szCs w:val="24"/>
          <w:lang w:val="es-ES_tradnl" w:eastAsia="es-ES"/>
        </w:rPr>
        <w:t xml:space="preserve"> de dos mil diecinueve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A711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Default="00A71172" w:rsidP="00A71172">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Pr>
          <w:rFonts w:ascii="Palatino Linotype" w:eastAsia="MS Mincho" w:hAnsi="Palatino Linotype"/>
          <w:lang w:val="es-ES_tradnl" w:eastAsia="es-ES"/>
        </w:rPr>
        <w:t xml:space="preserve">treinta de octubre </w:t>
      </w:r>
      <w:r w:rsidRPr="00AA504B">
        <w:rPr>
          <w:rFonts w:ascii="Palatino Linotype" w:hAnsi="Palatino Linotype"/>
          <w:lang w:val="es-ES_tradnl"/>
        </w:rPr>
        <w:t xml:space="preserve">de dos mil diecinueve,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B064FB"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C053E7"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C053E7">
        <w:rPr>
          <w:rFonts w:ascii="Palatino Linotype" w:eastAsia="Times New Roman" w:hAnsi="Palatino Linotype" w:cs="Times New Roman"/>
          <w:b/>
          <w:sz w:val="28"/>
          <w:szCs w:val="28"/>
          <w:lang w:val="es-ES" w:eastAsia="es-ES"/>
        </w:rPr>
        <w:t>C O N S I D E R A N D O</w:t>
      </w:r>
    </w:p>
    <w:p w:rsidR="0052153A" w:rsidRPr="00C053E7" w:rsidRDefault="0052153A" w:rsidP="0052153A">
      <w:pPr>
        <w:spacing w:after="0" w:line="240" w:lineRule="auto"/>
        <w:jc w:val="center"/>
        <w:rPr>
          <w:rFonts w:ascii="Palatino Linotype" w:eastAsia="Times New Roman" w:hAnsi="Palatino Linotype" w:cs="Times New Roman"/>
          <w:b/>
          <w:sz w:val="28"/>
          <w:szCs w:val="28"/>
          <w:lang w:val="es-ES"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w:t>
      </w:r>
      <w:r w:rsidRPr="00283B91">
        <w:rPr>
          <w:rFonts w:ascii="Palatino Linotype" w:eastAsia="Times New Roman" w:hAnsi="Palatino Linotype" w:cs="Arial"/>
          <w:sz w:val="24"/>
          <w:szCs w:val="24"/>
          <w:lang w:val="es-ES" w:eastAsia="es-ES"/>
        </w:rPr>
        <w:lastRenderedPageBreak/>
        <w:t xml:space="preserve">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A34831">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800CE"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sz w:val="28"/>
          <w:szCs w:val="24"/>
          <w:lang w:val="es-ES" w:eastAsia="es-ES"/>
        </w:rPr>
        <w:t>TERCERO</w:t>
      </w:r>
      <w:r w:rsidRPr="008800CE">
        <w:rPr>
          <w:rFonts w:ascii="Palatino Linotype" w:eastAsia="Times New Roman" w:hAnsi="Palatino Linotype" w:cs="Times New Roman"/>
          <w:b/>
          <w:sz w:val="28"/>
          <w:szCs w:val="24"/>
          <w:lang w:val="es-ES" w:eastAsia="es-ES"/>
        </w:rPr>
        <w:t xml:space="preserve">. </w:t>
      </w:r>
      <w:r w:rsidR="00F32CC0" w:rsidRPr="008800CE">
        <w:rPr>
          <w:rFonts w:ascii="Palatino Linotype" w:eastAsia="Times New Roman" w:hAnsi="Palatino Linotype" w:cs="Arial"/>
          <w:b/>
          <w:i/>
          <w:sz w:val="24"/>
          <w:szCs w:val="24"/>
          <w:lang w:val="es-ES" w:eastAsia="es-ES"/>
        </w:rPr>
        <w:t>Oportunidad</w:t>
      </w:r>
      <w:r w:rsidRPr="008800CE">
        <w:rPr>
          <w:rFonts w:ascii="Palatino Linotype" w:eastAsia="Times New Roman" w:hAnsi="Palatino Linotype" w:cs="Arial"/>
          <w:b/>
          <w:i/>
          <w:sz w:val="24"/>
          <w:szCs w:val="24"/>
          <w:lang w:val="es-ES" w:eastAsia="es-ES"/>
        </w:rPr>
        <w:t>.</w:t>
      </w:r>
      <w:r w:rsidRPr="008800C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El recurso de revisión fue interpuesto</w:t>
      </w:r>
      <w:r w:rsidRPr="008800CE">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A34831">
        <w:rPr>
          <w:rFonts w:ascii="Palatino Linotype" w:eastAsia="Times New Roman" w:hAnsi="Palatino Linotype" w:cs="Arial"/>
          <w:b/>
          <w:sz w:val="24"/>
          <w:szCs w:val="24"/>
          <w:lang w:val="es-ES" w:eastAsia="es-ES"/>
        </w:rPr>
        <w:t>EL</w:t>
      </w:r>
      <w:r w:rsidRPr="008800CE">
        <w:rPr>
          <w:rFonts w:ascii="Palatino Linotype" w:eastAsia="Times New Roman" w:hAnsi="Palatino Linotype" w:cs="Arial"/>
          <w:b/>
          <w:sz w:val="24"/>
          <w:szCs w:val="24"/>
          <w:lang w:val="es-ES" w:eastAsia="es-ES"/>
        </w:rPr>
        <w:t xml:space="preserve"> RECURRENTE </w:t>
      </w:r>
      <w:r w:rsidRPr="008800CE">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800CE"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b/>
          <w:i/>
          <w:lang w:val="es-ES" w:eastAsia="es-ES"/>
        </w:rPr>
        <w:t>“Artículo 178.</w:t>
      </w:r>
      <w:r w:rsidRPr="008800C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800CE">
        <w:rPr>
          <w:rFonts w:ascii="Palatino Linotype" w:eastAsia="Times New Roman" w:hAnsi="Palatino Linotype" w:cs="Arial"/>
          <w:b/>
          <w:i/>
          <w:lang w:val="es-ES" w:eastAsia="es-ES"/>
        </w:rPr>
        <w:t>”</w:t>
      </w:r>
    </w:p>
    <w:p w:rsidR="008800CE"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Default="00DE6DC8" w:rsidP="005B3134">
      <w:pPr>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Arial"/>
          <w:sz w:val="24"/>
          <w:szCs w:val="24"/>
          <w:lang w:val="es-ES" w:eastAsia="es-ES"/>
        </w:rPr>
        <w:t>Para efecto</w:t>
      </w:r>
      <w:r w:rsidRPr="00DE6DC8">
        <w:rPr>
          <w:rFonts w:ascii="Palatino Linotype" w:eastAsia="Times New Roman" w:hAnsi="Palatino Linotype" w:cs="Arial"/>
          <w:sz w:val="24"/>
          <w:szCs w:val="24"/>
          <w:lang w:val="es-ES" w:eastAsia="es-ES"/>
        </w:rPr>
        <w:t>, se actualiza la hipótesis prevista en el</w:t>
      </w:r>
      <w:r w:rsidR="0093388F">
        <w:rPr>
          <w:rFonts w:ascii="Palatino Linotype" w:eastAsia="Times New Roman" w:hAnsi="Palatino Linotype" w:cs="Arial"/>
          <w:sz w:val="24"/>
          <w:szCs w:val="24"/>
          <w:lang w:val="es-ES" w:eastAsia="es-ES"/>
        </w:rPr>
        <w:t xml:space="preserve"> precepto legal antes citado</w:t>
      </w:r>
      <w:r w:rsidRPr="00DE6DC8">
        <w:rPr>
          <w:rFonts w:ascii="Palatino Linotype" w:eastAsia="Times New Roman" w:hAnsi="Palatino Linotype" w:cs="Arial"/>
          <w:sz w:val="24"/>
          <w:szCs w:val="24"/>
          <w:lang w:val="es-ES" w:eastAsia="es-ES"/>
        </w:rPr>
        <w:t>, en atención a que la respuesta impug</w:t>
      </w:r>
      <w:r w:rsidR="002C3938">
        <w:rPr>
          <w:rFonts w:ascii="Palatino Linotype" w:eastAsia="Times New Roman" w:hAnsi="Palatino Linotype" w:cs="Arial"/>
          <w:sz w:val="24"/>
          <w:szCs w:val="24"/>
          <w:lang w:val="es-ES" w:eastAsia="es-ES"/>
        </w:rPr>
        <w:t xml:space="preserve">nada en el recurso de revisión </w:t>
      </w:r>
      <w:r w:rsidR="006279C7">
        <w:rPr>
          <w:rFonts w:ascii="Palatino Linotype" w:eastAsia="Times New Roman" w:hAnsi="Palatino Linotype" w:cs="Times New Roman"/>
          <w:b/>
          <w:sz w:val="24"/>
          <w:szCs w:val="24"/>
          <w:lang w:val="es-ES" w:eastAsia="es-ES"/>
        </w:rPr>
        <w:t>0</w:t>
      </w:r>
      <w:r w:rsidR="00CB7681">
        <w:rPr>
          <w:rFonts w:ascii="Palatino Linotype" w:eastAsia="Times New Roman" w:hAnsi="Palatino Linotype" w:cs="Times New Roman"/>
          <w:b/>
          <w:sz w:val="24"/>
          <w:szCs w:val="24"/>
          <w:lang w:val="es-ES" w:eastAsia="es-ES"/>
        </w:rPr>
        <w:t>6682</w:t>
      </w:r>
      <w:r w:rsidR="006279C7">
        <w:rPr>
          <w:rFonts w:ascii="Palatino Linotype" w:eastAsia="Times New Roman" w:hAnsi="Palatino Linotype" w:cs="Times New Roman"/>
          <w:b/>
          <w:sz w:val="24"/>
          <w:szCs w:val="24"/>
          <w:lang w:val="es-ES" w:eastAsia="es-ES"/>
        </w:rPr>
        <w:t xml:space="preserve">/INFOEM/IP/RR/2019, </w:t>
      </w:r>
      <w:r w:rsidR="006279C7">
        <w:rPr>
          <w:rFonts w:ascii="Palatino Linotype" w:eastAsia="Times New Roman" w:hAnsi="Palatino Linotype" w:cs="Arial"/>
          <w:bCs/>
          <w:sz w:val="24"/>
          <w:szCs w:val="24"/>
          <w:lang w:eastAsia="es-ES"/>
        </w:rPr>
        <w:t>fue notificada</w:t>
      </w:r>
      <w:r w:rsidR="006279C7" w:rsidRPr="006279C7">
        <w:rPr>
          <w:rFonts w:ascii="Palatino Linotype" w:eastAsia="Times New Roman" w:hAnsi="Palatino Linotype" w:cs="Arial"/>
          <w:bCs/>
          <w:sz w:val="24"/>
          <w:szCs w:val="24"/>
          <w:lang w:eastAsia="es-ES"/>
        </w:rPr>
        <w:t xml:space="preserve"> </w:t>
      </w:r>
      <w:r w:rsidR="006279C7" w:rsidRPr="006279C7">
        <w:rPr>
          <w:rFonts w:ascii="Palatino Linotype" w:eastAsia="Times New Roman" w:hAnsi="Palatino Linotype" w:cs="Arial"/>
          <w:sz w:val="24"/>
          <w:szCs w:val="24"/>
          <w:lang w:val="es-ES" w:eastAsia="es-ES"/>
        </w:rPr>
        <w:t xml:space="preserve">al </w:t>
      </w:r>
      <w:r w:rsidR="006279C7" w:rsidRPr="006279C7">
        <w:rPr>
          <w:rFonts w:ascii="Palatino Linotype" w:eastAsia="Times New Roman" w:hAnsi="Palatino Linotype" w:cs="Arial"/>
          <w:b/>
          <w:color w:val="000000"/>
          <w:sz w:val="24"/>
          <w:szCs w:val="24"/>
          <w:lang w:val="es-ES" w:eastAsia="es-ES"/>
        </w:rPr>
        <w:t>RECURRENTE</w:t>
      </w:r>
      <w:r w:rsidR="006279C7" w:rsidRPr="006279C7">
        <w:rPr>
          <w:rFonts w:ascii="Palatino Linotype" w:eastAsia="Times New Roman" w:hAnsi="Palatino Linotype" w:cs="Arial"/>
          <w:bCs/>
          <w:sz w:val="24"/>
          <w:szCs w:val="24"/>
          <w:lang w:eastAsia="es-ES"/>
        </w:rPr>
        <w:t xml:space="preserve"> el </w:t>
      </w:r>
      <w:r w:rsidR="00A71172">
        <w:rPr>
          <w:rFonts w:ascii="Palatino Linotype" w:eastAsia="Times New Roman" w:hAnsi="Palatino Linotype" w:cs="Times New Roman"/>
          <w:b/>
          <w:sz w:val="24"/>
          <w:szCs w:val="24"/>
          <w:lang w:val="es-ES" w:eastAsia="es-ES"/>
        </w:rPr>
        <w:t>quince</w:t>
      </w:r>
      <w:r w:rsidR="00CB7681">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Times New Roman"/>
          <w:b/>
          <w:sz w:val="24"/>
          <w:szCs w:val="24"/>
          <w:lang w:val="es-ES" w:eastAsia="es-ES"/>
        </w:rPr>
        <w:t xml:space="preserve">de </w:t>
      </w:r>
      <w:r w:rsidR="00CB7681">
        <w:rPr>
          <w:rFonts w:ascii="Palatino Linotype" w:eastAsia="Times New Roman" w:hAnsi="Palatino Linotype" w:cs="Times New Roman"/>
          <w:b/>
          <w:sz w:val="24"/>
          <w:szCs w:val="24"/>
          <w:lang w:val="es-ES" w:eastAsia="es-ES"/>
        </w:rPr>
        <w:t>agosto</w:t>
      </w:r>
      <w:r w:rsidR="006279C7" w:rsidRPr="006279C7">
        <w:rPr>
          <w:rFonts w:ascii="Palatino Linotype" w:eastAsia="Times New Roman" w:hAnsi="Palatino Linotype" w:cs="Times New Roman"/>
          <w:b/>
          <w:sz w:val="24"/>
          <w:szCs w:val="24"/>
          <w:lang w:val="es-ES" w:eastAsia="es-ES"/>
        </w:rPr>
        <w:t xml:space="preserve"> de dos mil diecinueve</w:t>
      </w:r>
      <w:r w:rsidR="006279C7">
        <w:rPr>
          <w:rFonts w:ascii="Palatino Linotype" w:eastAsia="Times New Roman" w:hAnsi="Palatino Linotype" w:cs="Times New Roman"/>
          <w:b/>
          <w:sz w:val="24"/>
          <w:szCs w:val="24"/>
          <w:lang w:val="es-ES" w:eastAsia="es-ES"/>
        </w:rPr>
        <w:t>,</w:t>
      </w:r>
      <w:r w:rsidR="006279C7" w:rsidRPr="006279C7">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Arial"/>
          <w:bCs/>
          <w:sz w:val="24"/>
          <w:szCs w:val="24"/>
          <w:lang w:eastAsia="es-ES"/>
        </w:rPr>
        <w:t>por lo que, el plazo</w:t>
      </w:r>
      <w:r w:rsidR="006279C7" w:rsidRPr="006279C7">
        <w:rPr>
          <w:rFonts w:ascii="Palatino Linotype" w:eastAsia="Times New Roman" w:hAnsi="Palatino Linotype" w:cs="Arial"/>
          <w:b/>
          <w:bCs/>
          <w:sz w:val="24"/>
          <w:szCs w:val="24"/>
          <w:lang w:eastAsia="es-ES"/>
        </w:rPr>
        <w:t xml:space="preserve"> </w:t>
      </w:r>
      <w:r w:rsidR="006279C7" w:rsidRPr="006279C7">
        <w:rPr>
          <w:rFonts w:ascii="Palatino Linotype" w:eastAsia="Times New Roman" w:hAnsi="Palatino Linotype" w:cs="Arial"/>
          <w:bCs/>
          <w:sz w:val="24"/>
          <w:szCs w:val="24"/>
          <w:lang w:eastAsia="es-ES"/>
        </w:rPr>
        <w:t>para presentar el recu</w:t>
      </w:r>
      <w:r w:rsidR="006279C7">
        <w:rPr>
          <w:rFonts w:ascii="Palatino Linotype" w:eastAsia="Times New Roman" w:hAnsi="Palatino Linotype" w:cs="Arial"/>
          <w:bCs/>
          <w:sz w:val="24"/>
          <w:szCs w:val="24"/>
          <w:lang w:eastAsia="es-ES"/>
        </w:rPr>
        <w:t xml:space="preserve">rso de revisión </w:t>
      </w:r>
      <w:r w:rsidR="006279C7">
        <w:rPr>
          <w:rFonts w:ascii="Palatino Linotype" w:eastAsia="Times New Roman" w:hAnsi="Palatino Linotype" w:cs="Arial"/>
          <w:bCs/>
          <w:sz w:val="24"/>
          <w:szCs w:val="24"/>
          <w:lang w:eastAsia="es-ES"/>
        </w:rPr>
        <w:lastRenderedPageBreak/>
        <w:t xml:space="preserve">transcurrió del </w:t>
      </w:r>
      <w:r w:rsidR="006106D4">
        <w:rPr>
          <w:rFonts w:ascii="Palatino Linotype" w:eastAsia="Times New Roman" w:hAnsi="Palatino Linotype" w:cs="Arial"/>
          <w:b/>
          <w:bCs/>
          <w:sz w:val="24"/>
          <w:szCs w:val="24"/>
          <w:lang w:eastAsia="es-ES"/>
        </w:rPr>
        <w:t>dieciséis</w:t>
      </w:r>
      <w:r w:rsidR="0088434F">
        <w:rPr>
          <w:rFonts w:ascii="Palatino Linotype" w:eastAsia="Times New Roman" w:hAnsi="Palatino Linotype" w:cs="Arial"/>
          <w:b/>
          <w:bCs/>
          <w:sz w:val="24"/>
          <w:szCs w:val="24"/>
          <w:lang w:eastAsia="es-ES"/>
        </w:rPr>
        <w:t xml:space="preserve"> </w:t>
      </w:r>
      <w:r w:rsidR="005B3134">
        <w:rPr>
          <w:rFonts w:ascii="Palatino Linotype" w:eastAsia="Times New Roman" w:hAnsi="Palatino Linotype" w:cs="Arial"/>
          <w:b/>
          <w:sz w:val="24"/>
          <w:szCs w:val="24"/>
          <w:lang w:val="es-ES" w:eastAsia="es-ES"/>
        </w:rPr>
        <w:t xml:space="preserve">de </w:t>
      </w:r>
      <w:r w:rsidR="00CB7681">
        <w:rPr>
          <w:rFonts w:ascii="Palatino Linotype" w:eastAsia="Times New Roman" w:hAnsi="Palatino Linotype" w:cs="Arial"/>
          <w:b/>
          <w:sz w:val="24"/>
          <w:szCs w:val="24"/>
          <w:lang w:val="es-ES" w:eastAsia="es-ES"/>
        </w:rPr>
        <w:t>agosto</w:t>
      </w:r>
      <w:r w:rsidR="0047298C" w:rsidRPr="0047298C">
        <w:rPr>
          <w:rFonts w:ascii="Palatino Linotype" w:eastAsia="Times New Roman" w:hAnsi="Palatino Linotype" w:cs="Arial"/>
          <w:b/>
          <w:sz w:val="24"/>
          <w:szCs w:val="24"/>
          <w:lang w:val="es-ES" w:eastAsia="es-ES"/>
        </w:rPr>
        <w:t xml:space="preserve"> </w:t>
      </w:r>
      <w:r w:rsidR="000E1507">
        <w:rPr>
          <w:rFonts w:ascii="Palatino Linotype" w:eastAsia="Times New Roman" w:hAnsi="Palatino Linotype" w:cs="Arial"/>
          <w:b/>
          <w:sz w:val="24"/>
          <w:szCs w:val="24"/>
          <w:lang w:val="es-ES" w:eastAsia="es-ES"/>
        </w:rPr>
        <w:t xml:space="preserve">al </w:t>
      </w:r>
      <w:r w:rsidR="006106D4">
        <w:rPr>
          <w:rFonts w:ascii="Palatino Linotype" w:eastAsia="Times New Roman" w:hAnsi="Palatino Linotype" w:cs="Arial"/>
          <w:b/>
          <w:sz w:val="24"/>
          <w:szCs w:val="24"/>
          <w:lang w:val="es-ES" w:eastAsia="es-ES"/>
        </w:rPr>
        <w:t>cinco</w:t>
      </w:r>
      <w:r w:rsidR="000E1507">
        <w:rPr>
          <w:rFonts w:ascii="Palatino Linotype" w:eastAsia="Times New Roman" w:hAnsi="Palatino Linotype" w:cs="Arial"/>
          <w:b/>
          <w:sz w:val="24"/>
          <w:szCs w:val="24"/>
          <w:lang w:val="es-ES" w:eastAsia="es-ES"/>
        </w:rPr>
        <w:t xml:space="preserve"> de </w:t>
      </w:r>
      <w:r w:rsidR="00CB7681">
        <w:rPr>
          <w:rFonts w:ascii="Palatino Linotype" w:eastAsia="Times New Roman" w:hAnsi="Palatino Linotype" w:cs="Arial"/>
          <w:b/>
          <w:sz w:val="24"/>
          <w:szCs w:val="24"/>
          <w:lang w:val="es-ES" w:eastAsia="es-ES"/>
        </w:rPr>
        <w:t>septiembre</w:t>
      </w:r>
      <w:r w:rsidR="000E1507">
        <w:rPr>
          <w:rFonts w:ascii="Palatino Linotype" w:eastAsia="Times New Roman" w:hAnsi="Palatino Linotype" w:cs="Arial"/>
          <w:b/>
          <w:sz w:val="24"/>
          <w:szCs w:val="24"/>
          <w:lang w:val="es-ES" w:eastAsia="es-ES"/>
        </w:rPr>
        <w:t xml:space="preserve"> </w:t>
      </w:r>
      <w:r w:rsidR="0047298C" w:rsidRPr="006279C7">
        <w:rPr>
          <w:rFonts w:ascii="Palatino Linotype" w:eastAsia="Times New Roman" w:hAnsi="Palatino Linotype" w:cs="Arial"/>
          <w:b/>
          <w:sz w:val="24"/>
          <w:szCs w:val="24"/>
          <w:lang w:val="es-ES" w:eastAsia="es-ES"/>
        </w:rPr>
        <w:t>de dos mil diecinueve</w:t>
      </w:r>
      <w:r w:rsidR="005B3134">
        <w:rPr>
          <w:rFonts w:ascii="Palatino Linotype" w:eastAsia="Times New Roman" w:hAnsi="Palatino Linotype" w:cs="Arial"/>
          <w:b/>
          <w:sz w:val="24"/>
          <w:szCs w:val="24"/>
          <w:lang w:val="es-ES" w:eastAsia="es-ES"/>
        </w:rPr>
        <w:t xml:space="preserve">; </w:t>
      </w:r>
      <w:r w:rsidR="005B3134" w:rsidRPr="005B3134">
        <w:rPr>
          <w:rFonts w:ascii="Palatino Linotype" w:eastAsia="Times New Roman" w:hAnsi="Palatino Linotype" w:cs="Arial"/>
          <w:sz w:val="24"/>
          <w:szCs w:val="24"/>
          <w:lang w:val="es-ES_tradnl" w:eastAsia="es-ES"/>
        </w:rPr>
        <w:t>sin contemplar en el cómputo los días</w:t>
      </w:r>
      <w:r w:rsidR="00F32CC0">
        <w:rPr>
          <w:rFonts w:ascii="Palatino Linotype" w:eastAsia="Times New Roman" w:hAnsi="Palatino Linotype" w:cs="Arial"/>
          <w:sz w:val="24"/>
          <w:szCs w:val="24"/>
          <w:lang w:val="es-ES_tradnl" w:eastAsia="es-ES"/>
        </w:rPr>
        <w:t xml:space="preserve"> </w:t>
      </w:r>
      <w:r w:rsidR="00CB7681">
        <w:rPr>
          <w:rFonts w:ascii="Palatino Linotype" w:eastAsia="Times New Roman" w:hAnsi="Palatino Linotype" w:cs="Arial"/>
          <w:sz w:val="24"/>
          <w:szCs w:val="24"/>
          <w:lang w:val="es-ES_tradnl" w:eastAsia="es-ES"/>
        </w:rPr>
        <w:t>diecisiete</w:t>
      </w:r>
      <w:r w:rsidR="00D26249">
        <w:rPr>
          <w:rFonts w:ascii="Palatino Linotype" w:eastAsia="Times New Roman" w:hAnsi="Palatino Linotype" w:cs="Arial"/>
          <w:sz w:val="24"/>
          <w:szCs w:val="24"/>
          <w:lang w:val="es-ES_tradnl" w:eastAsia="es-ES"/>
        </w:rPr>
        <w:t xml:space="preserve">, </w:t>
      </w:r>
      <w:r w:rsidR="00CB7681">
        <w:rPr>
          <w:rFonts w:ascii="Palatino Linotype" w:eastAsia="Times New Roman" w:hAnsi="Palatino Linotype" w:cs="Arial"/>
          <w:sz w:val="24"/>
          <w:szCs w:val="24"/>
          <w:lang w:val="es-ES_tradnl" w:eastAsia="es-ES"/>
        </w:rPr>
        <w:t>dieciocho</w:t>
      </w:r>
      <w:r w:rsidR="00D26249">
        <w:rPr>
          <w:rFonts w:ascii="Palatino Linotype" w:eastAsia="Times New Roman" w:hAnsi="Palatino Linotype" w:cs="Arial"/>
          <w:sz w:val="24"/>
          <w:szCs w:val="24"/>
          <w:lang w:val="es-ES_tradnl" w:eastAsia="es-ES"/>
        </w:rPr>
        <w:t xml:space="preserve">, </w:t>
      </w:r>
      <w:r w:rsidR="00CB7681">
        <w:rPr>
          <w:rFonts w:ascii="Palatino Linotype" w:eastAsia="Times New Roman" w:hAnsi="Palatino Linotype" w:cs="Arial"/>
          <w:sz w:val="24"/>
          <w:szCs w:val="24"/>
          <w:lang w:val="es-ES_tradnl" w:eastAsia="es-ES"/>
        </w:rPr>
        <w:t>veinticuatro</w:t>
      </w:r>
      <w:r w:rsidR="00D26249">
        <w:rPr>
          <w:rFonts w:ascii="Palatino Linotype" w:eastAsia="Times New Roman" w:hAnsi="Palatino Linotype" w:cs="Arial"/>
          <w:sz w:val="24"/>
          <w:szCs w:val="24"/>
          <w:lang w:val="es-ES_tradnl" w:eastAsia="es-ES"/>
        </w:rPr>
        <w:t xml:space="preserve">, </w:t>
      </w:r>
      <w:r w:rsidR="00CB7681">
        <w:rPr>
          <w:rFonts w:ascii="Palatino Linotype" w:eastAsia="Times New Roman" w:hAnsi="Palatino Linotype" w:cs="Arial"/>
          <w:sz w:val="24"/>
          <w:szCs w:val="24"/>
          <w:lang w:val="es-ES_tradnl" w:eastAsia="es-ES"/>
        </w:rPr>
        <w:t>veinticinco</w:t>
      </w:r>
      <w:r w:rsidR="00D26249">
        <w:rPr>
          <w:rFonts w:ascii="Palatino Linotype" w:eastAsia="Times New Roman" w:hAnsi="Palatino Linotype" w:cs="Arial"/>
          <w:sz w:val="24"/>
          <w:szCs w:val="24"/>
          <w:lang w:val="es-ES_tradnl" w:eastAsia="es-ES"/>
        </w:rPr>
        <w:t xml:space="preserve">, y </w:t>
      </w:r>
      <w:r w:rsidR="00CB7681">
        <w:rPr>
          <w:rFonts w:ascii="Palatino Linotype" w:eastAsia="Times New Roman" w:hAnsi="Palatino Linotype" w:cs="Arial"/>
          <w:sz w:val="24"/>
          <w:szCs w:val="24"/>
          <w:lang w:val="es-ES_tradnl" w:eastAsia="es-ES"/>
        </w:rPr>
        <w:t>treinta y uno</w:t>
      </w:r>
      <w:r w:rsidR="001A7E24">
        <w:rPr>
          <w:rFonts w:ascii="Palatino Linotype" w:eastAsia="Times New Roman" w:hAnsi="Palatino Linotype" w:cs="Arial"/>
          <w:sz w:val="24"/>
          <w:szCs w:val="24"/>
          <w:lang w:val="es-ES_tradnl" w:eastAsia="es-ES"/>
        </w:rPr>
        <w:t xml:space="preserve"> de </w:t>
      </w:r>
      <w:r w:rsidR="00CB7681">
        <w:rPr>
          <w:rFonts w:ascii="Palatino Linotype" w:eastAsia="Times New Roman" w:hAnsi="Palatino Linotype" w:cs="Arial"/>
          <w:sz w:val="24"/>
          <w:szCs w:val="24"/>
          <w:lang w:val="es-ES_tradnl" w:eastAsia="es-ES"/>
        </w:rPr>
        <w:t>agosto</w:t>
      </w:r>
      <w:r w:rsidR="000E1507">
        <w:rPr>
          <w:rFonts w:ascii="Palatino Linotype" w:eastAsia="Times New Roman" w:hAnsi="Palatino Linotype" w:cs="Arial"/>
          <w:sz w:val="24"/>
          <w:szCs w:val="24"/>
          <w:lang w:val="es-ES_tradnl" w:eastAsia="es-ES"/>
        </w:rPr>
        <w:t xml:space="preserve">; </w:t>
      </w:r>
      <w:r w:rsidR="00CB7681">
        <w:rPr>
          <w:rFonts w:ascii="Palatino Linotype" w:eastAsia="Times New Roman" w:hAnsi="Palatino Linotype" w:cs="Arial"/>
          <w:sz w:val="24"/>
          <w:szCs w:val="24"/>
          <w:lang w:val="es-ES_tradnl" w:eastAsia="es-ES"/>
        </w:rPr>
        <w:t>uno</w:t>
      </w:r>
      <w:r w:rsidR="000E1507">
        <w:rPr>
          <w:rFonts w:ascii="Palatino Linotype" w:eastAsia="Times New Roman" w:hAnsi="Palatino Linotype" w:cs="Arial"/>
          <w:sz w:val="24"/>
          <w:szCs w:val="24"/>
          <w:lang w:val="es-ES_tradnl" w:eastAsia="es-ES"/>
        </w:rPr>
        <w:t xml:space="preserve"> de </w:t>
      </w:r>
      <w:r w:rsidR="00CB7681">
        <w:rPr>
          <w:rFonts w:ascii="Palatino Linotype" w:eastAsia="Times New Roman" w:hAnsi="Palatino Linotype" w:cs="Arial"/>
          <w:sz w:val="24"/>
          <w:szCs w:val="24"/>
          <w:lang w:val="es-ES_tradnl" w:eastAsia="es-ES"/>
        </w:rPr>
        <w:t>septiembre</w:t>
      </w:r>
      <w:r w:rsidR="001A7E24">
        <w:rPr>
          <w:rFonts w:ascii="Palatino Linotype" w:eastAsia="Times New Roman" w:hAnsi="Palatino Linotype" w:cs="Arial"/>
          <w:sz w:val="24"/>
          <w:szCs w:val="24"/>
          <w:lang w:val="es-ES_tradnl" w:eastAsia="es-ES"/>
        </w:rPr>
        <w:t xml:space="preserve"> de dos mil diecinueve por corresponder a </w:t>
      </w:r>
      <w:r w:rsidR="005B3134">
        <w:rPr>
          <w:rFonts w:ascii="Palatino Linotype" w:eastAsia="Times New Roman" w:hAnsi="Palatino Linotype" w:cs="Arial"/>
          <w:sz w:val="24"/>
          <w:szCs w:val="24"/>
          <w:lang w:val="es-ES_tradnl" w:eastAsia="es-ES"/>
        </w:rPr>
        <w:t xml:space="preserve">sábados y domingos </w:t>
      </w:r>
      <w:r w:rsidR="005B3134" w:rsidRPr="005B313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5B3134">
        <w:rPr>
          <w:rFonts w:ascii="Palatino Linotype" w:eastAsia="Times New Roman" w:hAnsi="Palatino Linotype" w:cs="Times New Roman"/>
          <w:sz w:val="24"/>
          <w:szCs w:val="24"/>
          <w:lang w:eastAsia="es-ES"/>
        </w:rPr>
        <w:t>Ley de Transparencia y Acceso a la Información Pública del</w:t>
      </w:r>
      <w:r w:rsidR="00CB7681">
        <w:rPr>
          <w:rFonts w:ascii="Palatino Linotype" w:eastAsia="Times New Roman" w:hAnsi="Palatino Linotype" w:cs="Times New Roman"/>
          <w:sz w:val="24"/>
          <w:szCs w:val="24"/>
          <w:lang w:eastAsia="es-ES"/>
        </w:rPr>
        <w:t xml:space="preserve"> Estado de México y Municipios.</w:t>
      </w:r>
    </w:p>
    <w:p w:rsidR="000D7CB9" w:rsidRPr="000D7CB9" w:rsidRDefault="000D7CB9" w:rsidP="000D7CB9">
      <w:pPr>
        <w:spacing w:after="0" w:line="360" w:lineRule="auto"/>
        <w:jc w:val="both"/>
        <w:rPr>
          <w:rFonts w:ascii="Palatino Linotype" w:eastAsia="Times New Roman" w:hAnsi="Palatino Linotype" w:cs="Arial"/>
          <w:sz w:val="24"/>
          <w:szCs w:val="24"/>
          <w:lang w:val="es-ES" w:eastAsia="es-ES"/>
        </w:rPr>
      </w:pPr>
      <w:r w:rsidRPr="000D7CB9">
        <w:rPr>
          <w:rFonts w:ascii="Palatino Linotype" w:eastAsia="Times New Roman" w:hAnsi="Palatino Linotype" w:cs="Arial"/>
          <w:sz w:val="24"/>
          <w:szCs w:val="24"/>
          <w:lang w:val="es-ES" w:eastAsia="es-ES"/>
        </w:rPr>
        <w:t>En ese ten</w:t>
      </w:r>
      <w:r>
        <w:rPr>
          <w:rFonts w:ascii="Palatino Linotype" w:eastAsia="Times New Roman" w:hAnsi="Palatino Linotype" w:cs="Arial"/>
          <w:sz w:val="24"/>
          <w:szCs w:val="24"/>
          <w:lang w:val="es-ES" w:eastAsia="es-ES"/>
        </w:rPr>
        <w:t xml:space="preserve">or, si el recurso de revisión que nos ocupa, se interpuso en fecha </w:t>
      </w:r>
      <w:r w:rsidR="006106D4">
        <w:rPr>
          <w:rFonts w:ascii="Palatino Linotype" w:eastAsia="Times New Roman" w:hAnsi="Palatino Linotype" w:cs="Arial"/>
          <w:b/>
          <w:sz w:val="24"/>
          <w:szCs w:val="24"/>
          <w:u w:val="single"/>
          <w:lang w:val="es-ES" w:eastAsia="es-ES"/>
        </w:rPr>
        <w:t>veintiocho</w:t>
      </w:r>
      <w:r w:rsidR="007D21FE" w:rsidRPr="009833D5">
        <w:rPr>
          <w:rFonts w:ascii="Palatino Linotype" w:eastAsia="Times New Roman" w:hAnsi="Palatino Linotype" w:cs="Arial"/>
          <w:b/>
          <w:sz w:val="24"/>
          <w:szCs w:val="24"/>
          <w:u w:val="single"/>
          <w:lang w:val="es-ES" w:eastAsia="es-ES"/>
        </w:rPr>
        <w:t xml:space="preserve"> de </w:t>
      </w:r>
      <w:r w:rsidR="00CB7681">
        <w:rPr>
          <w:rFonts w:ascii="Palatino Linotype" w:eastAsia="Times New Roman" w:hAnsi="Palatino Linotype" w:cs="Arial"/>
          <w:b/>
          <w:sz w:val="24"/>
          <w:szCs w:val="24"/>
          <w:u w:val="single"/>
          <w:lang w:val="es-ES" w:eastAsia="es-ES"/>
        </w:rPr>
        <w:t>agosto</w:t>
      </w:r>
      <w:r w:rsidR="007D21FE" w:rsidRPr="009833D5">
        <w:rPr>
          <w:rFonts w:ascii="Palatino Linotype" w:eastAsia="Times New Roman" w:hAnsi="Palatino Linotype" w:cs="Arial"/>
          <w:b/>
          <w:sz w:val="24"/>
          <w:szCs w:val="24"/>
          <w:u w:val="single"/>
          <w:lang w:val="es-ES" w:eastAsia="es-ES"/>
        </w:rPr>
        <w:t xml:space="preserve"> de dos mil diecinueve</w:t>
      </w:r>
      <w:r w:rsidR="009833D5">
        <w:rPr>
          <w:rFonts w:ascii="Palatino Linotype" w:eastAsia="Times New Roman" w:hAnsi="Palatino Linotype" w:cs="Arial"/>
          <w:b/>
          <w:sz w:val="24"/>
          <w:szCs w:val="24"/>
          <w:lang w:val="es-ES" w:eastAsia="es-ES"/>
        </w:rPr>
        <w:t>,</w:t>
      </w:r>
      <w:r w:rsidR="007D21F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éste</w:t>
      </w:r>
      <w:r w:rsidRPr="000D7CB9">
        <w:rPr>
          <w:rFonts w:ascii="Palatino Linotype" w:eastAsia="Times New Roman" w:hAnsi="Palatino Linotype" w:cs="Arial"/>
          <w:sz w:val="24"/>
          <w:szCs w:val="24"/>
          <w:lang w:val="es-ES" w:eastAsia="es-ES"/>
        </w:rPr>
        <w:t xml:space="preserve"> se encuentra dentro </w:t>
      </w:r>
      <w:r>
        <w:rPr>
          <w:rFonts w:ascii="Palatino Linotype" w:eastAsia="Times New Roman" w:hAnsi="Palatino Linotype" w:cs="Arial"/>
          <w:sz w:val="24"/>
          <w:szCs w:val="24"/>
          <w:lang w:val="es-ES" w:eastAsia="es-ES"/>
        </w:rPr>
        <w:t>del margen temporal</w:t>
      </w:r>
      <w:r w:rsidR="001A7E24">
        <w:rPr>
          <w:rFonts w:ascii="Palatino Linotype" w:eastAsia="Times New Roman" w:hAnsi="Palatino Linotype" w:cs="Arial"/>
          <w:sz w:val="24"/>
          <w:szCs w:val="24"/>
          <w:lang w:val="es-ES" w:eastAsia="es-ES"/>
        </w:rPr>
        <w:t xml:space="preserve"> previsto</w:t>
      </w:r>
      <w:r w:rsidRPr="000D7CB9">
        <w:rPr>
          <w:rFonts w:ascii="Palatino Linotype" w:eastAsia="Times New Roman" w:hAnsi="Palatino Linotype" w:cs="Arial"/>
          <w:sz w:val="24"/>
          <w:szCs w:val="24"/>
          <w:lang w:val="es-ES" w:eastAsia="es-ES"/>
        </w:rPr>
        <w:t xml:space="preserve"> en el precepto legal y, p</w:t>
      </w:r>
      <w:r w:rsidR="007D21FE">
        <w:rPr>
          <w:rFonts w:ascii="Palatino Linotype" w:eastAsia="Times New Roman" w:hAnsi="Palatino Linotype" w:cs="Arial"/>
          <w:sz w:val="24"/>
          <w:szCs w:val="24"/>
          <w:lang w:val="es-ES" w:eastAsia="es-ES"/>
        </w:rPr>
        <w:t xml:space="preserve">or tanto, es oportuno. </w:t>
      </w:r>
    </w:p>
    <w:p w:rsidR="000D7CB9" w:rsidRPr="00D26249" w:rsidRDefault="000D7CB9" w:rsidP="005B3134">
      <w:pPr>
        <w:spacing w:line="360" w:lineRule="auto"/>
        <w:jc w:val="both"/>
        <w:rPr>
          <w:rFonts w:ascii="Palatino Linotype" w:eastAsia="Times New Roman" w:hAnsi="Palatino Linotype" w:cs="Times New Roman"/>
          <w:sz w:val="8"/>
          <w:szCs w:val="24"/>
          <w:lang w:eastAsia="es-ES"/>
        </w:rPr>
      </w:pPr>
    </w:p>
    <w:p w:rsidR="00C17665" w:rsidRPr="005512B1" w:rsidRDefault="00C17665" w:rsidP="00C176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proofErr w:type="spellStart"/>
      <w:r w:rsidRPr="00ED5E67">
        <w:rPr>
          <w:rFonts w:ascii="Palatino Linotype" w:hAnsi="Palatino Linotype" w:cs="Arial"/>
          <w:b/>
          <w:i/>
          <w:szCs w:val="28"/>
        </w:rPr>
        <w:t>Procedibilidad</w:t>
      </w:r>
      <w:proofErr w:type="spellEnd"/>
      <w:r w:rsidRPr="005512B1">
        <w:rPr>
          <w:rFonts w:ascii="Palatino Linotype" w:hAnsi="Palatino Linotype" w:cs="Arial"/>
          <w:b/>
          <w:szCs w:val="28"/>
        </w:rPr>
        <w:t>.</w:t>
      </w:r>
      <w:r>
        <w:rPr>
          <w:rFonts w:ascii="Palatino Linotype" w:hAnsi="Palatino Linotype" w:cs="Arial"/>
          <w:b/>
          <w:szCs w:val="28"/>
        </w:rPr>
        <w:t xml:space="preserve"> </w:t>
      </w:r>
      <w:r w:rsidRPr="005512B1">
        <w:rPr>
          <w:rFonts w:ascii="Palatino Linotype" w:hAnsi="Palatino Linotype" w:cs="Arial"/>
        </w:rPr>
        <w:t xml:space="preserve">Esta Ponencia considera importante abordar el análisis de los requisitos de </w:t>
      </w:r>
      <w:proofErr w:type="spellStart"/>
      <w:r w:rsidRPr="005512B1">
        <w:rPr>
          <w:rFonts w:ascii="Palatino Linotype" w:hAnsi="Palatino Linotype" w:cs="Arial"/>
        </w:rPr>
        <w:t>procedibilidad</w:t>
      </w:r>
      <w:proofErr w:type="spellEnd"/>
      <w:r w:rsidRPr="005512B1">
        <w:rPr>
          <w:rFonts w:ascii="Palatino Linotype" w:hAnsi="Palatino Linotype" w:cs="Arial"/>
        </w:rPr>
        <w:t xml:space="preserve"> del recurso de revisión, así que, el artículo 180 de la </w:t>
      </w:r>
      <w:r w:rsidRPr="005512B1">
        <w:rPr>
          <w:rFonts w:ascii="Palatino Linotype" w:hAnsi="Palatino Linotype" w:cs="Arial"/>
          <w:lang w:eastAsia="es-MX"/>
        </w:rPr>
        <w:t xml:space="preserve">Ley de Transparencia y Acceso a la </w:t>
      </w:r>
      <w:r w:rsidRPr="005512B1">
        <w:rPr>
          <w:rFonts w:ascii="Palatino Linotype" w:hAnsi="Palatino Linotype" w:cs="Arial"/>
        </w:rPr>
        <w:t>Información</w:t>
      </w:r>
      <w:r w:rsidRPr="005512B1">
        <w:rPr>
          <w:rFonts w:ascii="Palatino Linotype" w:hAnsi="Palatino Linotype" w:cs="Arial"/>
          <w:lang w:eastAsia="es-MX"/>
        </w:rPr>
        <w:t xml:space="preserve"> Pública del Estado de México y Municipios, </w:t>
      </w:r>
      <w:r w:rsidRPr="005512B1">
        <w:rPr>
          <w:rFonts w:ascii="Palatino Linotype" w:hAnsi="Palatino Linotype" w:cs="Arial"/>
        </w:rPr>
        <w:t>establece lo siguiente:</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lastRenderedPageBreak/>
        <w:t xml:space="preserve">Adicionalmente, se podrán anexar las pruebas y demás elementos que considere procedentes someter a juicio del Instituto. </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b/>
          <w:i/>
        </w:rPr>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C17665" w:rsidRPr="005512B1" w:rsidRDefault="00C17665" w:rsidP="00C17665">
      <w:pPr>
        <w:spacing w:after="0" w:line="276" w:lineRule="auto"/>
        <w:ind w:left="851" w:right="902"/>
        <w:jc w:val="both"/>
        <w:rPr>
          <w:rFonts w:ascii="Palatino Linotype" w:hAnsi="Palatino Linotype"/>
        </w:rPr>
      </w:pPr>
      <w:r w:rsidRPr="005512B1">
        <w:rPr>
          <w:rFonts w:ascii="Palatino Linotype" w:hAnsi="Palatino Linotype"/>
        </w:rPr>
        <w:t>(Énfasis añadido)</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principio, de una interpretación del artículo transcrito se observa que los requisitos que </w:t>
      </w:r>
      <w:r w:rsidRPr="00974038">
        <w:rPr>
          <w:rFonts w:ascii="Palatino Linotype" w:hAnsi="Palatino Linotype" w:cs="Arial"/>
          <w:sz w:val="24"/>
          <w:szCs w:val="24"/>
        </w:rPr>
        <w:t>deberán</w:t>
      </w:r>
      <w:r w:rsidRPr="00974038">
        <w:rPr>
          <w:rFonts w:ascii="Palatino Linotype" w:hAnsi="Palatino Linotype"/>
          <w:sz w:val="24"/>
          <w:szCs w:val="24"/>
        </w:rPr>
        <w:t xml:space="preserve"> </w:t>
      </w:r>
      <w:r w:rsidRPr="00974038">
        <w:rPr>
          <w:rFonts w:ascii="Palatino Linotype" w:hAnsi="Palatino Linotype" w:cs="Arial"/>
          <w:sz w:val="24"/>
          <w:szCs w:val="24"/>
        </w:rPr>
        <w:t>contener</w:t>
      </w:r>
      <w:r w:rsidRPr="00974038">
        <w:rPr>
          <w:rFonts w:ascii="Palatino Linotype" w:hAnsi="Palatino Linotype"/>
          <w:sz w:val="24"/>
          <w:szCs w:val="24"/>
        </w:rPr>
        <w:t xml:space="preserve"> los recursos de revisión; sobre el particular, de la revisión del expediente electrónico del </w:t>
      </w:r>
      <w:r w:rsidRPr="00974038">
        <w:rPr>
          <w:rFonts w:ascii="Palatino Linotype" w:hAnsi="Palatino Linotype"/>
          <w:b/>
          <w:sz w:val="24"/>
          <w:szCs w:val="24"/>
        </w:rPr>
        <w:t>SAIMEX</w:t>
      </w:r>
      <w:r w:rsidRPr="00974038">
        <w:rPr>
          <w:rFonts w:ascii="Palatino Linotype" w:hAnsi="Palatino Linotype"/>
          <w:sz w:val="24"/>
          <w:szCs w:val="24"/>
        </w:rPr>
        <w:t xml:space="preserve"> se desprende que la parte solicitante y ahora </w:t>
      </w:r>
      <w:r w:rsidRPr="00974038">
        <w:rPr>
          <w:rFonts w:ascii="Palatino Linotype" w:hAnsi="Palatino Linotype"/>
          <w:b/>
          <w:sz w:val="24"/>
          <w:szCs w:val="24"/>
        </w:rPr>
        <w:t>RECURRENTE</w:t>
      </w:r>
      <w:r w:rsidRPr="00974038">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74038">
        <w:rPr>
          <w:rFonts w:ascii="Palatino Linotype" w:hAnsi="Palatino Linotype" w:cs="Arial"/>
          <w:sz w:val="24"/>
          <w:szCs w:val="24"/>
        </w:rPr>
        <w:t>no</w:t>
      </w:r>
      <w:r w:rsidRPr="00974038">
        <w:rPr>
          <w:rFonts w:ascii="Palatino Linotype" w:hAnsi="Palatino Linotype"/>
          <w:sz w:val="24"/>
          <w:szCs w:val="24"/>
        </w:rPr>
        <w:t xml:space="preserve"> se colmen los requisitos establecidos en el citado artículo 180 de la Ley de Transparencia.</w:t>
      </w:r>
    </w:p>
    <w:p w:rsidR="00C17665" w:rsidRDefault="00C053E7" w:rsidP="00C17665">
      <w:pPr>
        <w:spacing w:before="100" w:beforeAutospacing="1" w:after="100" w:afterAutospacing="1" w:line="360" w:lineRule="auto"/>
        <w:jc w:val="both"/>
        <w:rPr>
          <w:rFonts w:ascii="Palatino Linotype" w:hAnsi="Palatino Linotype" w:cs="Arial"/>
          <w:color w:val="000000"/>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2272" behindDoc="0" locked="0" layoutInCell="1" allowOverlap="1">
                <wp:simplePos x="0" y="0"/>
                <wp:positionH relativeFrom="column">
                  <wp:posOffset>-22860</wp:posOffset>
                </wp:positionH>
                <wp:positionV relativeFrom="paragraph">
                  <wp:posOffset>2658110</wp:posOffset>
                </wp:positionV>
                <wp:extent cx="5657850" cy="6286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5785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C517D" id="Conector recto 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8pt,209.3pt" to="443.7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" strokecolor="#5b9bd5 [3204]" strokeweight=".5pt">
                <v:stroke joinstyle="miter"/>
              </v:line>
            </w:pict>
          </mc:Fallback>
        </mc:AlternateContent>
      </w:r>
      <w:r w:rsidR="00C17665" w:rsidRPr="00974038">
        <w:rPr>
          <w:rFonts w:ascii="Palatino Linotype" w:hAnsi="Palatino Linotype"/>
          <w:sz w:val="24"/>
          <w:szCs w:val="24"/>
        </w:rPr>
        <w:t xml:space="preserve">Empero lo anterior, debe destacarse que el artículo 15 de </w:t>
      </w:r>
      <w:r w:rsidR="00C17665" w:rsidRPr="00974038">
        <w:rPr>
          <w:rFonts w:ascii="Palatino Linotype" w:hAnsi="Palatino Linotype" w:cs="Arial"/>
          <w:sz w:val="24"/>
          <w:szCs w:val="24"/>
          <w:lang w:eastAsia="es-MX"/>
        </w:rPr>
        <w:t xml:space="preserve">Ley de Transparencia y Acceso a la </w:t>
      </w:r>
      <w:r w:rsidR="00C17665" w:rsidRPr="00974038">
        <w:rPr>
          <w:rFonts w:ascii="Palatino Linotype" w:hAnsi="Palatino Linotype" w:cs="Arial"/>
          <w:sz w:val="24"/>
          <w:szCs w:val="24"/>
        </w:rPr>
        <w:t>Información</w:t>
      </w:r>
      <w:r w:rsidR="00C17665" w:rsidRPr="00974038">
        <w:rPr>
          <w:rFonts w:ascii="Palatino Linotype" w:hAnsi="Palatino Linotype" w:cs="Arial"/>
          <w:sz w:val="24"/>
          <w:szCs w:val="24"/>
          <w:lang w:eastAsia="es-MX"/>
        </w:rPr>
        <w:t xml:space="preserve"> Pública del Estado de México y Municipios </w:t>
      </w:r>
      <w:r w:rsidR="00C17665" w:rsidRPr="00974038">
        <w:rPr>
          <w:rFonts w:ascii="Palatino Linotype" w:hAnsi="Palatino Linotype" w:cs="Arial"/>
          <w:iCs/>
          <w:sz w:val="24"/>
          <w:szCs w:val="24"/>
        </w:rPr>
        <w:t xml:space="preserve">prevé que, </w:t>
      </w:r>
      <w:r w:rsidR="00C17665" w:rsidRPr="00974038">
        <w:rPr>
          <w:rFonts w:ascii="Palatino Linotype" w:hAnsi="Palatino Linotype"/>
          <w:sz w:val="24"/>
          <w:szCs w:val="24"/>
        </w:rPr>
        <w:t xml:space="preserve">toda persona tendrá acceso a la información </w:t>
      </w:r>
      <w:r w:rsidR="00C17665" w:rsidRPr="00974038">
        <w:rPr>
          <w:rFonts w:ascii="Palatino Linotype" w:hAnsi="Palatino Linotype" w:cs="Arial"/>
          <w:color w:val="000000"/>
          <w:sz w:val="24"/>
          <w:szCs w:val="24"/>
        </w:rPr>
        <w:t xml:space="preserve">sin necesidad de acreditar interés alguno o justificar su utilización, de lo que se infiere que para el </w:t>
      </w:r>
      <w:r w:rsidR="00C17665" w:rsidRPr="00974038">
        <w:rPr>
          <w:rFonts w:ascii="Palatino Linotype" w:hAnsi="Palatino Linotype"/>
          <w:sz w:val="24"/>
          <w:szCs w:val="24"/>
        </w:rPr>
        <w:t>ejercicio</w:t>
      </w:r>
      <w:r w:rsidR="00C17665" w:rsidRPr="00974038">
        <w:rPr>
          <w:rFonts w:ascii="Palatino Linotype" w:hAnsi="Palatino Linotype" w:cs="Arial"/>
          <w:color w:val="000000"/>
          <w:sz w:val="24"/>
          <w:szCs w:val="24"/>
        </w:rPr>
        <w:t xml:space="preserve"> del derecho de acceso a la información pública, </w:t>
      </w:r>
      <w:r w:rsidR="00C17665" w:rsidRPr="00974038">
        <w:rPr>
          <w:rFonts w:ascii="Palatino Linotype" w:hAnsi="Palatino Linotype" w:cs="Arial"/>
          <w:b/>
          <w:color w:val="000000"/>
          <w:sz w:val="24"/>
          <w:szCs w:val="24"/>
        </w:rPr>
        <w:t xml:space="preserve">el nombre no es un requisito </w:t>
      </w:r>
      <w:r w:rsidR="00C17665" w:rsidRPr="00974038">
        <w:rPr>
          <w:rFonts w:ascii="Palatino Linotype" w:hAnsi="Palatino Linotype" w:cs="Arial"/>
          <w:b/>
          <w:i/>
          <w:color w:val="000000"/>
          <w:sz w:val="24"/>
          <w:szCs w:val="24"/>
        </w:rPr>
        <w:t>sine qua non</w:t>
      </w:r>
      <w:r w:rsidR="00C17665" w:rsidRPr="0097403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053E7" w:rsidRPr="00974038" w:rsidRDefault="00C053E7" w:rsidP="00C17665">
      <w:pPr>
        <w:spacing w:before="100" w:beforeAutospacing="1" w:after="100" w:afterAutospacing="1" w:line="360" w:lineRule="auto"/>
        <w:jc w:val="both"/>
        <w:rPr>
          <w:rFonts w:ascii="Palatino Linotype" w:hAnsi="Palatino Linotype" w:cs="Arial"/>
          <w:color w:val="000000"/>
          <w:sz w:val="24"/>
          <w:szCs w:val="24"/>
        </w:rPr>
      </w:pP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Correlativo a ello, cabe mencionar que los artículos 6, Apartado A, fracciones I, III, V y VI de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Política de los Estados Unidos Mexicanos y 5 párrafos vigésimo</w:t>
      </w:r>
      <w:r>
        <w:rPr>
          <w:rFonts w:ascii="Palatino Linotype" w:hAnsi="Palatino Linotype"/>
          <w:sz w:val="24"/>
          <w:szCs w:val="24"/>
        </w:rPr>
        <w:t xml:space="preserve"> segundo</w:t>
      </w:r>
      <w:r w:rsidRPr="00974038">
        <w:rPr>
          <w:rFonts w:ascii="Palatino Linotype" w:hAnsi="Palatino Linotype"/>
          <w:sz w:val="24"/>
          <w:szCs w:val="24"/>
        </w:rPr>
        <w:t xml:space="preserve">, vigésimo </w:t>
      </w:r>
      <w:r>
        <w:rPr>
          <w:rFonts w:ascii="Palatino Linotype" w:hAnsi="Palatino Linotype"/>
          <w:sz w:val="24"/>
          <w:szCs w:val="24"/>
        </w:rPr>
        <w:t>tercero</w:t>
      </w:r>
      <w:r w:rsidRPr="00974038">
        <w:rPr>
          <w:rFonts w:ascii="Palatino Linotype" w:hAnsi="Palatino Linotype"/>
          <w:sz w:val="24"/>
          <w:szCs w:val="24"/>
        </w:rPr>
        <w:t xml:space="preserve"> y vigésimo </w:t>
      </w:r>
      <w:r>
        <w:rPr>
          <w:rFonts w:ascii="Palatino Linotype" w:hAnsi="Palatino Linotype"/>
          <w:sz w:val="24"/>
          <w:szCs w:val="24"/>
        </w:rPr>
        <w:t>cuarto</w:t>
      </w:r>
      <w:r w:rsidRPr="00974038">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17665" w:rsidRPr="005512B1" w:rsidRDefault="00C17665" w:rsidP="00C17665">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6o.</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b/>
          <w:i/>
        </w:rPr>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w:t>
      </w:r>
      <w:r w:rsidRPr="005512B1">
        <w:rPr>
          <w:rFonts w:ascii="Palatino Linotype" w:hAnsi="Palatino Linotype" w:cs="Arial"/>
          <w:b/>
          <w:i/>
        </w:rPr>
        <w:lastRenderedPageBreak/>
        <w:t>competencias o funciones, la ley determinará los supuestos específicos bajo los cuales procederá la declaración de inexistencia de la información.</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La ley establecerá aquella información que se considere reservada o confidencial.</w:t>
      </w:r>
    </w:p>
    <w:p w:rsidR="00C17665" w:rsidRPr="005512B1" w:rsidRDefault="00C17665" w:rsidP="00C17665">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t>…</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t>Este derecho se regirá por los principios y bases siguientes:</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w:t>
      </w:r>
      <w:r w:rsidRPr="005512B1">
        <w:rPr>
          <w:rFonts w:ascii="Palatino Linotype" w:hAnsi="Palatino Linotype"/>
          <w:i/>
        </w:rPr>
        <w:lastRenderedPageBreak/>
        <w:t xml:space="preserve">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los supuestos específicos bajo los cuales procederá la declaración de inexistencia de la información.</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i/>
        </w:rPr>
        <w:t>…</w:t>
      </w:r>
    </w:p>
    <w:p w:rsidR="00C17665" w:rsidRPr="005512B1" w:rsidRDefault="00C17665" w:rsidP="00C17665">
      <w:pPr>
        <w:spacing w:after="0" w:line="276" w:lineRule="auto"/>
        <w:ind w:left="851" w:right="902"/>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C17665" w:rsidRPr="005512B1" w:rsidRDefault="00C17665" w:rsidP="00C17665">
      <w:pPr>
        <w:spacing w:after="0" w:line="276" w:lineRule="auto"/>
        <w:ind w:left="851" w:right="902"/>
        <w:jc w:val="both"/>
        <w:rPr>
          <w:rFonts w:ascii="Palatino Linotype" w:hAnsi="Palatino Linotype"/>
        </w:rPr>
      </w:pPr>
      <w:r w:rsidRPr="005512B1">
        <w:rPr>
          <w:rFonts w:ascii="Palatino Linotype" w:hAnsi="Palatino Linotype"/>
        </w:rPr>
        <w:t>(Énfasis añadido)</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Por otra parte, del </w:t>
      </w:r>
      <w:r w:rsidRPr="00974038">
        <w:rPr>
          <w:rFonts w:ascii="Palatino Linotype" w:hAnsi="Palatino Linotype" w:cs="Arial"/>
          <w:sz w:val="24"/>
          <w:szCs w:val="24"/>
        </w:rPr>
        <w:t>contenido</w:t>
      </w:r>
      <w:r w:rsidRPr="00974038">
        <w:rPr>
          <w:rFonts w:ascii="Palatino Linotype" w:hAnsi="Palatino Linotype"/>
          <w:sz w:val="24"/>
          <w:szCs w:val="24"/>
        </w:rPr>
        <w:t xml:space="preserve"> del artículo 1 de la Constitución Política de los Estados Unidos Mexicanos, se destaca lo siguiente:</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1o</w:t>
      </w:r>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17665" w:rsidRPr="005512B1" w:rsidRDefault="00C17665" w:rsidP="00C17665">
      <w:pPr>
        <w:spacing w:after="0" w:line="276" w:lineRule="auto"/>
        <w:ind w:left="851" w:right="902"/>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C053E7" w:rsidRDefault="00C053E7" w:rsidP="00C17665">
      <w:pPr>
        <w:spacing w:after="0" w:line="276" w:lineRule="auto"/>
        <w:ind w:left="851" w:right="902"/>
        <w:jc w:val="both"/>
        <w:rPr>
          <w:rFonts w:ascii="Palatino Linotype" w:hAnsi="Palatino Linotype"/>
        </w:rPr>
      </w:pPr>
    </w:p>
    <w:p w:rsidR="00C17665" w:rsidRPr="005512B1" w:rsidRDefault="00C17665" w:rsidP="00C17665">
      <w:pPr>
        <w:spacing w:after="0" w:line="276" w:lineRule="auto"/>
        <w:ind w:left="851" w:right="902"/>
        <w:jc w:val="both"/>
        <w:rPr>
          <w:rFonts w:ascii="Palatino Linotype" w:hAnsi="Palatino Linotype"/>
        </w:rPr>
      </w:pPr>
      <w:r w:rsidRPr="005512B1">
        <w:rPr>
          <w:rFonts w:ascii="Palatino Linotype" w:hAnsi="Palatino Linotype"/>
        </w:rPr>
        <w:t>(Énfasis añadido)</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w:t>
      </w:r>
      <w:r w:rsidRPr="00974038">
        <w:rPr>
          <w:rFonts w:ascii="Palatino Linotype" w:hAnsi="Palatino Linotype" w:cs="Arial"/>
          <w:sz w:val="24"/>
          <w:szCs w:val="24"/>
        </w:rPr>
        <w:t>alguno</w:t>
      </w:r>
      <w:r w:rsidRPr="00974038">
        <w:rPr>
          <w:rFonts w:ascii="Palatino Linotype" w:hAnsi="Palatino Linotype"/>
          <w:sz w:val="24"/>
          <w:szCs w:val="24"/>
        </w:rPr>
        <w:t xml:space="preserve"> o justificar su utilización, deberá tener acceso a la información pública, es decir, dicho </w:t>
      </w:r>
      <w:r w:rsidRPr="00974038">
        <w:rPr>
          <w:rFonts w:ascii="Palatino Linotype" w:hAnsi="Palatino Linotype" w:cs="Arial"/>
          <w:sz w:val="24"/>
          <w:szCs w:val="24"/>
        </w:rPr>
        <w:t>derecho</w:t>
      </w:r>
      <w:r w:rsidRPr="0097403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Robustece lo anterior, el Criterio 6/2014 del entonces Instituto Federal de Acceso a la Información y </w:t>
      </w:r>
      <w:r w:rsidRPr="00974038">
        <w:rPr>
          <w:rFonts w:ascii="Palatino Linotype" w:hAnsi="Palatino Linotype" w:cs="Arial"/>
          <w:sz w:val="24"/>
          <w:szCs w:val="24"/>
        </w:rPr>
        <w:t>Protección</w:t>
      </w:r>
      <w:r w:rsidRPr="00974038">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rPr>
        <w:t>“</w:t>
      </w:r>
      <w:r w:rsidRPr="005512B1">
        <w:rPr>
          <w:rFonts w:ascii="Palatino Linotype" w:hAnsi="Palatino Linotype" w:cs="Arial"/>
          <w:b/>
          <w:i/>
        </w:rPr>
        <w:t>Acceso a información gubernamental. No debe condicionarse a que el solicitante acredite su personalidad, demuestre interés alguno o justifique su utilización.</w:t>
      </w:r>
      <w:r w:rsidRPr="005512B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Resoluciones</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b/>
          <w:i/>
        </w:rPr>
        <w:t>• RDA 5275/13</w:t>
      </w:r>
      <w:r w:rsidRPr="005512B1">
        <w:rPr>
          <w:rFonts w:ascii="Palatino Linotype" w:hAnsi="Palatino Linotype" w:cs="Arial"/>
          <w:i/>
        </w:rPr>
        <w:t>. Interpuesto en contra de la Secretaría de la Defensa Nacional. Comisionado Ponente Ángel Trinidad Zaldívar.</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lastRenderedPageBreak/>
        <w:t xml:space="preserve">• </w:t>
      </w:r>
      <w:r w:rsidRPr="005512B1">
        <w:rPr>
          <w:rFonts w:ascii="Palatino Linotype" w:hAnsi="Palatino Linotype" w:cs="Arial"/>
          <w:b/>
          <w:i/>
        </w:rPr>
        <w:t>RDA 2937/13</w:t>
      </w:r>
      <w:r w:rsidRPr="005512B1">
        <w:rPr>
          <w:rFonts w:ascii="Palatino Linotype" w:hAnsi="Palatino Linotype" w:cs="Arial"/>
          <w:i/>
        </w:rPr>
        <w:t xml:space="preserve">. Interpuesto en contra de LICONSA, S.A. de C.V. Comisionado. Ponente Gerardo </w:t>
      </w:r>
      <w:proofErr w:type="spellStart"/>
      <w:r w:rsidRPr="005512B1">
        <w:rPr>
          <w:rFonts w:ascii="Palatino Linotype" w:hAnsi="Palatino Linotype" w:cs="Arial"/>
          <w:i/>
        </w:rPr>
        <w:t>Laveaga</w:t>
      </w:r>
      <w:proofErr w:type="spellEnd"/>
      <w:r w:rsidRPr="005512B1">
        <w:rPr>
          <w:rFonts w:ascii="Palatino Linotype" w:hAnsi="Palatino Linotype" w:cs="Arial"/>
          <w:i/>
        </w:rPr>
        <w:t xml:space="preserve"> Rendón.</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3609/12</w:t>
      </w:r>
      <w:r w:rsidRPr="005512B1">
        <w:rPr>
          <w:rFonts w:ascii="Palatino Linotype" w:hAnsi="Palatino Linotype" w:cs="Arial"/>
          <w:i/>
        </w:rPr>
        <w:t xml:space="preserve">. Interpuesto en contra de la Secretaría de Educación Pública. Comisionada Ponente Sigrid </w:t>
      </w:r>
      <w:proofErr w:type="spellStart"/>
      <w:r w:rsidRPr="005512B1">
        <w:rPr>
          <w:rFonts w:ascii="Palatino Linotype" w:hAnsi="Palatino Linotype" w:cs="Arial"/>
          <w:i/>
        </w:rPr>
        <w:t>Arzt</w:t>
      </w:r>
      <w:proofErr w:type="spellEnd"/>
      <w:r w:rsidRPr="005512B1">
        <w:rPr>
          <w:rFonts w:ascii="Palatino Linotype" w:hAnsi="Palatino Linotype" w:cs="Arial"/>
          <w:i/>
        </w:rPr>
        <w:t xml:space="preserve"> Colunga.</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3361/12</w:t>
      </w:r>
      <w:r w:rsidRPr="005512B1">
        <w:rPr>
          <w:rFonts w:ascii="Palatino Linotype" w:hAnsi="Palatino Linotype" w:cs="Arial"/>
          <w:i/>
        </w:rPr>
        <w:t>. Interpuesto en contra del Servicio de Administración Tributaria. Comisionada Ponente María Elena Pérez-Jaén Zermeño.</w:t>
      </w:r>
    </w:p>
    <w:p w:rsidR="00C17665" w:rsidRPr="005512B1" w:rsidRDefault="00C17665" w:rsidP="00C17665">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0563/12</w:t>
      </w:r>
      <w:r w:rsidRPr="005512B1">
        <w:rPr>
          <w:rFonts w:ascii="Palatino Linotype" w:hAnsi="Palatino Linotype" w:cs="Arial"/>
          <w:i/>
        </w:rPr>
        <w:t xml:space="preserve">. Interpuesto en contra de la Secretaría de la Función Pública. Comisionada Ponente Jacqueline </w:t>
      </w:r>
      <w:proofErr w:type="spellStart"/>
      <w:r w:rsidRPr="005512B1">
        <w:rPr>
          <w:rFonts w:ascii="Palatino Linotype" w:hAnsi="Palatino Linotype" w:cs="Arial"/>
          <w:i/>
        </w:rPr>
        <w:t>Peschard</w:t>
      </w:r>
      <w:proofErr w:type="spellEnd"/>
      <w:r w:rsidRPr="005512B1">
        <w:rPr>
          <w:rFonts w:ascii="Palatino Linotype" w:hAnsi="Palatino Linotype" w:cs="Arial"/>
          <w:i/>
        </w:rPr>
        <w:t xml:space="preserve"> Mariscal.” (SIC)</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ese orden de ideas, se estima que el requerimiento relativo al nombre como presupuesto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w:t>
      </w:r>
      <w:r w:rsidRPr="00974038">
        <w:rPr>
          <w:rFonts w:ascii="Palatino Linotype" w:hAnsi="Palatino Linotype" w:cs="Arial"/>
          <w:sz w:val="24"/>
          <w:szCs w:val="24"/>
        </w:rPr>
        <w:t>podría</w:t>
      </w:r>
      <w:r w:rsidRPr="00974038">
        <w:rPr>
          <w:rFonts w:ascii="Palatino Linotype" w:hAnsi="Palatino Linotype"/>
          <w:sz w:val="24"/>
          <w:szCs w:val="24"/>
        </w:rPr>
        <w:t xml:space="preserve"> limitar el ejercicio del derecho de acceso a la información pública, debido a que, el hecho de solicitar la identificación del hoy </w:t>
      </w:r>
      <w:r w:rsidRPr="00974038">
        <w:rPr>
          <w:rFonts w:ascii="Palatino Linotype" w:hAnsi="Palatino Linotype" w:cs="Arial"/>
          <w:b/>
          <w:sz w:val="24"/>
          <w:szCs w:val="24"/>
        </w:rPr>
        <w:t>RECURRENTE</w:t>
      </w:r>
      <w:r w:rsidRPr="0097403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7665" w:rsidRPr="00974038" w:rsidRDefault="00C17665" w:rsidP="00C17665">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Asimismo, se estima que el requisito relativo al nombre del solicitante no constituye un presupuesto indispensable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de los recursos de revisión, en términos de los artículos 25 de la Convención Americana de Derechos Humanos, 1, </w:t>
      </w:r>
      <w:r w:rsidRPr="00974038">
        <w:rPr>
          <w:rFonts w:ascii="Palatino Linotype" w:hAnsi="Palatino Linotype"/>
          <w:sz w:val="24"/>
          <w:szCs w:val="24"/>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74038">
        <w:rPr>
          <w:rFonts w:ascii="Palatino Linotype" w:hAnsi="Palatino Linotype" w:cs="Arial"/>
          <w:b/>
          <w:sz w:val="24"/>
          <w:szCs w:val="24"/>
        </w:rPr>
        <w:t>EL RECURRENTE</w:t>
      </w:r>
      <w:r w:rsidRPr="00974038">
        <w:rPr>
          <w:rFonts w:ascii="Palatino Linotype" w:hAnsi="Palatino Linotype"/>
          <w:sz w:val="24"/>
          <w:szCs w:val="24"/>
        </w:rPr>
        <w:t>, es la misma persona que realizó la solicitud de acceso a la información pública que ahora se impugna.</w:t>
      </w:r>
    </w:p>
    <w:p w:rsidR="00C17665" w:rsidRDefault="00C17665" w:rsidP="00C1766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7403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74038">
        <w:rPr>
          <w:rFonts w:ascii="Palatino Linotype" w:hAnsi="Palatino Linotype" w:cs="Arial"/>
          <w:b/>
        </w:rPr>
        <w:t xml:space="preserve"> RECURRENTE</w:t>
      </w:r>
      <w:r w:rsidRPr="00974038">
        <w:rPr>
          <w:rFonts w:ascii="Palatino Linotype" w:hAnsi="Palatino Linotype"/>
        </w:rPr>
        <w:t xml:space="preserve">, por lo que en el presente caso, al haber sido presentado el recurso de revisión vía </w:t>
      </w:r>
      <w:r w:rsidRPr="00974038">
        <w:rPr>
          <w:rFonts w:ascii="Palatino Linotype" w:hAnsi="Palatino Linotype"/>
          <w:b/>
        </w:rPr>
        <w:t>SAIMEX</w:t>
      </w:r>
      <w:r w:rsidRPr="00974038">
        <w:rPr>
          <w:rFonts w:ascii="Palatino Linotype" w:hAnsi="Palatino Linotype"/>
        </w:rPr>
        <w:t>, dicho requisito resulta innecesario.</w:t>
      </w:r>
    </w:p>
    <w:p w:rsidR="001A7E24" w:rsidRPr="00D26249" w:rsidRDefault="001A7E24" w:rsidP="000E1507">
      <w:pPr>
        <w:spacing w:line="360" w:lineRule="auto"/>
        <w:jc w:val="both"/>
        <w:rPr>
          <w:rFonts w:ascii="Palatino Linotype" w:hAnsi="Palatino Linotype" w:cs="Arial"/>
          <w:b/>
          <w:sz w:val="10"/>
          <w:szCs w:val="28"/>
        </w:rPr>
      </w:pPr>
    </w:p>
    <w:p w:rsidR="00E5072E"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DE67C2">
        <w:rPr>
          <w:rFonts w:ascii="Palatino Linotype" w:hAnsi="Palatino Linotype" w:cs="Arial"/>
          <w:b/>
          <w:sz w:val="28"/>
          <w:szCs w:val="28"/>
        </w:rPr>
        <w:t>QUINTO</w:t>
      </w:r>
      <w:r>
        <w:rPr>
          <w:rFonts w:ascii="Palatino Linotype" w:hAnsi="Palatino Linotype" w:cs="Arial"/>
          <w:b/>
        </w:rPr>
        <w:t xml:space="preserve">. </w:t>
      </w:r>
      <w:r w:rsidR="0084755E" w:rsidRPr="007879C7">
        <w:rPr>
          <w:rFonts w:ascii="Palatino Linotype" w:hAnsi="Palatino Linotype" w:cs="Arial"/>
          <w:b/>
          <w:color w:val="000000" w:themeColor="text1"/>
        </w:rPr>
        <w:t>Análisis de causal de sobreseimiento.</w:t>
      </w:r>
      <w:r w:rsidR="0084755E" w:rsidRPr="007879C7">
        <w:rPr>
          <w:rFonts w:ascii="Palatino Linotype" w:hAnsi="Palatino Linotype" w:cs="Arial"/>
          <w:color w:val="000000" w:themeColor="text1"/>
        </w:rPr>
        <w:t xml:space="preserve"> Una </w:t>
      </w:r>
      <w:r w:rsidR="0084755E" w:rsidRPr="007879C7">
        <w:rPr>
          <w:rFonts w:ascii="Palatino Linotype" w:hAnsi="Palatino Linotype" w:cs="Arial"/>
        </w:rPr>
        <w:t>vez</w:t>
      </w:r>
      <w:r w:rsidR="0084755E" w:rsidRPr="007879C7">
        <w:rPr>
          <w:rFonts w:ascii="Palatino Linotype" w:hAnsi="Palatino Linotype" w:cs="Arial"/>
          <w:color w:val="000000" w:themeColor="text1"/>
        </w:rPr>
        <w:t xml:space="preserve"> </w:t>
      </w:r>
      <w:r w:rsidR="0084755E" w:rsidRPr="007879C7">
        <w:rPr>
          <w:rFonts w:ascii="Palatino Linotype" w:hAnsi="Palatino Linotype" w:cs="Arial"/>
        </w:rPr>
        <w:t>determinada</w:t>
      </w:r>
      <w:r w:rsidR="0084755E" w:rsidRPr="007879C7">
        <w:rPr>
          <w:rFonts w:ascii="Palatino Linotype" w:hAnsi="Palatino Linotype" w:cs="Arial"/>
          <w:color w:val="000000" w:themeColor="text1"/>
        </w:rPr>
        <w:t xml:space="preserve"> la vía sobre la que versará el </w:t>
      </w:r>
      <w:r w:rsidR="0084755E" w:rsidRPr="007879C7">
        <w:rPr>
          <w:rFonts w:ascii="Palatino Linotype" w:hAnsi="Palatino Linotype" w:cs="Arial"/>
        </w:rPr>
        <w:t>presente</w:t>
      </w:r>
      <w:r w:rsidR="0084755E" w:rsidRPr="007879C7">
        <w:rPr>
          <w:rFonts w:ascii="Palatino Linotype" w:hAnsi="Palatino Linotype" w:cs="Arial"/>
          <w:color w:val="000000" w:themeColor="text1"/>
        </w:rPr>
        <w:t xml:space="preserve"> recurso y previa </w:t>
      </w:r>
      <w:r w:rsidR="0084755E" w:rsidRPr="007879C7">
        <w:rPr>
          <w:rFonts w:ascii="Palatino Linotype" w:hAnsi="Palatino Linotype" w:cs="Arial"/>
        </w:rPr>
        <w:t>revisión</w:t>
      </w:r>
      <w:r w:rsidR="0084755E" w:rsidRPr="007879C7">
        <w:rPr>
          <w:rFonts w:ascii="Palatino Linotype" w:hAnsi="Palatino Linotype" w:cs="Arial"/>
          <w:color w:val="000000" w:themeColor="text1"/>
        </w:rPr>
        <w:t xml:space="preserve"> del expediente electrónico, se advierte que </w:t>
      </w:r>
      <w:r w:rsidR="00CB7681">
        <w:rPr>
          <w:rFonts w:ascii="Palatino Linotype" w:hAnsi="Palatino Linotype" w:cs="Arial"/>
          <w:b/>
        </w:rPr>
        <w:t>EL</w:t>
      </w:r>
      <w:r w:rsidR="0084755E" w:rsidRPr="00A3428D">
        <w:rPr>
          <w:rFonts w:ascii="Palatino Linotype" w:hAnsi="Palatino Linotype" w:cs="Arial"/>
          <w:b/>
        </w:rPr>
        <w:t xml:space="preserve"> RECURRENTE</w:t>
      </w:r>
      <w:r w:rsidR="0084755E" w:rsidRPr="007879C7">
        <w:rPr>
          <w:rFonts w:ascii="Palatino Linotype" w:hAnsi="Palatino Linotype"/>
          <w:color w:val="000000"/>
        </w:rPr>
        <w:t xml:space="preserve"> solicitó </w:t>
      </w:r>
      <w:r w:rsidR="0084755E" w:rsidRPr="007879C7">
        <w:rPr>
          <w:rFonts w:ascii="Palatino Linotype" w:hAnsi="Palatino Linotype" w:cs="Arial"/>
        </w:rPr>
        <w:t>del</w:t>
      </w:r>
      <w:r w:rsidR="0084755E" w:rsidRPr="007879C7">
        <w:rPr>
          <w:rFonts w:ascii="Palatino Linotype" w:hAnsi="Palatino Linotype"/>
          <w:color w:val="000000"/>
        </w:rPr>
        <w:t xml:space="preserve"> </w:t>
      </w:r>
      <w:r w:rsidR="0084755E" w:rsidRPr="007879C7">
        <w:rPr>
          <w:rFonts w:ascii="Palatino Linotype" w:hAnsi="Palatino Linotype" w:cs="Arial"/>
          <w:b/>
          <w:color w:val="000000"/>
        </w:rPr>
        <w:t>SUJETO OBLIGADO</w:t>
      </w:r>
      <w:r w:rsidR="0084755E" w:rsidRPr="007879C7">
        <w:rPr>
          <w:rFonts w:ascii="Palatino Linotype" w:hAnsi="Palatino Linotype" w:cs="Arial"/>
        </w:rPr>
        <w:t xml:space="preserve">, </w:t>
      </w:r>
      <w:r w:rsidR="0084755E" w:rsidRPr="007879C7">
        <w:rPr>
          <w:rFonts w:ascii="Palatino Linotype" w:hAnsi="Palatino Linotype"/>
        </w:rPr>
        <w:t xml:space="preserve">vía </w:t>
      </w:r>
      <w:r w:rsidR="0084755E" w:rsidRPr="007879C7">
        <w:rPr>
          <w:rFonts w:ascii="Palatino Linotype" w:hAnsi="Palatino Linotype"/>
          <w:b/>
        </w:rPr>
        <w:t>EL</w:t>
      </w:r>
      <w:r w:rsidR="0084755E" w:rsidRPr="007879C7">
        <w:rPr>
          <w:rFonts w:ascii="Palatino Linotype" w:hAnsi="Palatino Linotype"/>
        </w:rPr>
        <w:t xml:space="preserve"> </w:t>
      </w:r>
      <w:r w:rsidR="0084755E" w:rsidRPr="007879C7">
        <w:rPr>
          <w:rFonts w:ascii="Palatino Linotype" w:hAnsi="Palatino Linotype"/>
          <w:b/>
        </w:rPr>
        <w:t>SAIMEX</w:t>
      </w:r>
      <w:r w:rsidR="0084755E" w:rsidRPr="007879C7">
        <w:rPr>
          <w:rFonts w:ascii="Palatino Linotype" w:hAnsi="Palatino Linotype"/>
        </w:rPr>
        <w:t>,</w:t>
      </w:r>
      <w:r w:rsidR="0084755E">
        <w:rPr>
          <w:rFonts w:ascii="Palatino Linotype" w:hAnsi="Palatino Linotype"/>
        </w:rPr>
        <w:t xml:space="preserve"> </w:t>
      </w:r>
      <w:r w:rsidR="006106D4">
        <w:rPr>
          <w:rFonts w:ascii="Palatino Linotype" w:hAnsi="Palatino Linotype"/>
        </w:rPr>
        <w:t>que le proporcionaran el</w:t>
      </w:r>
      <w:r w:rsidR="006106D4" w:rsidRPr="006106D4">
        <w:rPr>
          <w:rFonts w:ascii="Palatino Linotype" w:hAnsi="Palatino Linotype"/>
        </w:rPr>
        <w:t xml:space="preserve"> marco legal o acuerdo administrativo relativo al uso de sensores caninos</w:t>
      </w:r>
    </w:p>
    <w:p w:rsidR="006106D4" w:rsidRDefault="006106D4"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Bajo lo cual</w:t>
      </w:r>
      <w:r w:rsidR="00E5072E">
        <w:rPr>
          <w:rFonts w:ascii="Palatino Linotype" w:hAnsi="Palatino Linotype" w:cs="Arial"/>
        </w:rPr>
        <w:t>,</w:t>
      </w:r>
      <w:r>
        <w:rPr>
          <w:rFonts w:ascii="Palatino Linotype" w:hAnsi="Palatino Linotype" w:cs="Arial"/>
        </w:rPr>
        <w:t xml:space="preserve"> </w:t>
      </w:r>
      <w:r w:rsidRPr="00E5072E">
        <w:rPr>
          <w:rFonts w:ascii="Palatino Linotype" w:hAnsi="Palatino Linotype" w:cs="Arial"/>
          <w:b/>
        </w:rPr>
        <w:t>EL SUJETO OBLIGADO</w:t>
      </w:r>
      <w:r>
        <w:rPr>
          <w:rFonts w:ascii="Palatino Linotype" w:hAnsi="Palatino Linotype" w:cs="Arial"/>
        </w:rPr>
        <w:t xml:space="preserve"> le manifestó en respuesta </w:t>
      </w:r>
      <w:r w:rsidR="006106D4">
        <w:rPr>
          <w:rFonts w:ascii="Palatino Linotype" w:hAnsi="Palatino Linotype" w:cs="Arial"/>
        </w:rPr>
        <w:t>lo siguiente</w:t>
      </w:r>
      <w:r w:rsidR="00E5072E">
        <w:rPr>
          <w:rFonts w:ascii="Palatino Linotype" w:hAnsi="Palatino Linotype" w:cs="Arial"/>
        </w:rPr>
        <w:t>:</w:t>
      </w:r>
    </w:p>
    <w:p w:rsidR="00E5072E" w:rsidRPr="006106D4" w:rsidRDefault="006106D4" w:rsidP="006106D4">
      <w:pPr>
        <w:pStyle w:val="Prrafodelista"/>
        <w:widowControl w:val="0"/>
        <w:autoSpaceDE w:val="0"/>
        <w:autoSpaceDN w:val="0"/>
        <w:adjustRightInd w:val="0"/>
        <w:spacing w:line="276" w:lineRule="auto"/>
        <w:ind w:left="851" w:right="616"/>
        <w:jc w:val="both"/>
        <w:rPr>
          <w:rFonts w:ascii="Palatino Linotype" w:hAnsi="Palatino Linotype" w:cs="Arial"/>
          <w:i/>
          <w:sz w:val="22"/>
          <w:szCs w:val="22"/>
        </w:rPr>
      </w:pPr>
      <w:r w:rsidRPr="006106D4">
        <w:rPr>
          <w:rFonts w:ascii="Palatino Linotype" w:hAnsi="Palatino Linotype"/>
          <w:i/>
          <w:color w:val="000000"/>
          <w:sz w:val="22"/>
          <w:szCs w:val="22"/>
        </w:rPr>
        <w:t xml:space="preserve">“. . .con fundamento en los artículos 1, 4 y 163 de la Ley de Transparencia y Acceso a la Información Pública del Estado de México y Municipios, hace de su conocimiento que de acuerdo a lo informado por el Director General Jurídico y </w:t>
      </w:r>
      <w:r w:rsidRPr="006106D4">
        <w:rPr>
          <w:rFonts w:ascii="Palatino Linotype" w:hAnsi="Palatino Linotype"/>
          <w:i/>
          <w:color w:val="000000"/>
          <w:sz w:val="22"/>
          <w:szCs w:val="22"/>
        </w:rPr>
        <w:lastRenderedPageBreak/>
        <w:t>Consultivo y el Coordinador General de la Policía de Investigación, Servidores Públicos Habilitados, son aplicables los artículos 127 y 212, párrafo segundo, del Código Nacional de Procedimientos Penales, así como el 34 de la Ley General de la Fiscalía General de Justicia del Estado de México, los cuales disponen lo siguiente: Código Nacional de Procedimientos Penales. Artículo 127. Competencia del Ministerio Público. Compete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 Artículo 212. Deber de investigación penal. La investigación deberá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 Ley de la Fiscalía General de Justicia del Estado de México. Artículo 34.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A. En la investigación del delito. (…) B. Para el ejercicio de la acción penal. (…) C. Para la ejecución de las sanciones penales. (…) E. En materia de aplicación de formas de solución alterna del procedimiento y de terminación anticipada del proceso. (…) F. Para la protección, asistencia y representación. (…) G. En materia concurrente, incompetencia y colaboración. (…). . .”</w:t>
      </w:r>
    </w:p>
    <w:p w:rsidR="00B75041" w:rsidRDefault="00B75041"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De lo anterior, es que la particular se inconforma</w:t>
      </w:r>
      <w:r w:rsidR="008B1A15">
        <w:rPr>
          <w:rFonts w:ascii="Palatino Linotype" w:hAnsi="Palatino Linotype" w:cs="Arial"/>
        </w:rPr>
        <w:t xml:space="preserve"> de la respuesta</w:t>
      </w:r>
      <w:r>
        <w:rPr>
          <w:rFonts w:ascii="Palatino Linotype" w:hAnsi="Palatino Linotype" w:cs="Arial"/>
        </w:rPr>
        <w:t xml:space="preserve"> y señaló como razones y motivos de inconformidad que </w:t>
      </w:r>
      <w:r w:rsidR="00086CF0">
        <w:rPr>
          <w:rFonts w:ascii="Palatino Linotype" w:hAnsi="Palatino Linotype" w:cs="Arial"/>
        </w:rPr>
        <w:t>la información no corresponde a lo solicitado, ya que solo le proporcionaron las facultades del Ministerio Público y lo que ella requiere es el fundamento de los oficiales caninos y sus manejadores.</w:t>
      </w:r>
    </w:p>
    <w:p w:rsidR="00D26249" w:rsidRPr="00B4642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C36CCE"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Es de esta forma, que mediante Informe Justificado </w:t>
      </w:r>
      <w:r w:rsidR="008B1A15" w:rsidRPr="008B1A15">
        <w:rPr>
          <w:rFonts w:ascii="Palatino Linotype" w:hAnsi="Palatino Linotype" w:cs="Arial"/>
          <w:b/>
        </w:rPr>
        <w:t>EL SUJETO OBLIGADO</w:t>
      </w:r>
      <w:r w:rsidR="008B1A15">
        <w:rPr>
          <w:rFonts w:ascii="Palatino Linotype" w:hAnsi="Palatino Linotype" w:cs="Arial"/>
        </w:rPr>
        <w:t xml:space="preserve"> </w:t>
      </w:r>
      <w:r w:rsidR="00086CF0">
        <w:rPr>
          <w:rFonts w:ascii="Palatino Linotype" w:hAnsi="Palatino Linotype" w:cs="Arial"/>
        </w:rPr>
        <w:lastRenderedPageBreak/>
        <w:t xml:space="preserve">ratificó su </w:t>
      </w:r>
      <w:r w:rsidR="008B1A15">
        <w:rPr>
          <w:rFonts w:ascii="Palatino Linotype" w:hAnsi="Palatino Linotype" w:cs="Arial"/>
        </w:rPr>
        <w:t xml:space="preserve">respuesta </w:t>
      </w:r>
      <w:r w:rsidR="00086CF0">
        <w:rPr>
          <w:rFonts w:ascii="Palatino Linotype" w:hAnsi="Palatino Linotype" w:cs="Arial"/>
        </w:rPr>
        <w:t>como se muestra a continuación</w:t>
      </w:r>
      <w:r w:rsidR="008B1A15">
        <w:rPr>
          <w:rFonts w:ascii="Palatino Linotype" w:hAnsi="Palatino Linotype" w:cs="Arial"/>
        </w:rPr>
        <w:t>:</w:t>
      </w:r>
    </w:p>
    <w:p w:rsidR="000B2417" w:rsidRDefault="0034643F"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34643F">
        <w:rPr>
          <w:noProof/>
          <w:lang w:eastAsia="es-MX"/>
        </w:rPr>
        <w:t xml:space="preserve"> </w:t>
      </w:r>
      <w:r>
        <w:rPr>
          <w:noProof/>
          <w:lang w:val="es-MX" w:eastAsia="es-MX"/>
        </w:rPr>
        <w:drawing>
          <wp:inline distT="0" distB="0" distL="0" distR="0" wp14:anchorId="15629CBE" wp14:editId="53680E0F">
            <wp:extent cx="5524500" cy="7172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7172325"/>
                    </a:xfrm>
                    <a:prstGeom prst="rect">
                      <a:avLst/>
                    </a:prstGeom>
                  </pic:spPr>
                </pic:pic>
              </a:graphicData>
            </a:graphic>
          </wp:inline>
        </w:drawing>
      </w:r>
    </w:p>
    <w:p w:rsidR="003356DE" w:rsidRDefault="0034643F" w:rsidP="006D4218">
      <w:pPr>
        <w:pStyle w:val="Prrafodelista"/>
        <w:widowControl w:val="0"/>
        <w:autoSpaceDE w:val="0"/>
        <w:autoSpaceDN w:val="0"/>
        <w:adjustRightInd w:val="0"/>
        <w:spacing w:after="120" w:line="360" w:lineRule="auto"/>
        <w:ind w:left="0"/>
        <w:jc w:val="both"/>
        <w:rPr>
          <w:rFonts w:ascii="Palatino Linotype" w:hAnsi="Palatino Linotype" w:cs="Arial"/>
        </w:rPr>
      </w:pPr>
      <w:bookmarkStart w:id="0" w:name="_GoBack"/>
      <w:r>
        <w:rPr>
          <w:noProof/>
          <w:lang w:val="es-MX" w:eastAsia="es-MX"/>
        </w:rPr>
        <w:lastRenderedPageBreak/>
        <w:drawing>
          <wp:inline distT="0" distB="0" distL="0" distR="0" wp14:anchorId="43D84927" wp14:editId="2192728C">
            <wp:extent cx="5581650" cy="6877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650" cy="6877050"/>
                    </a:xfrm>
                    <a:prstGeom prst="rect">
                      <a:avLst/>
                    </a:prstGeom>
                  </pic:spPr>
                </pic:pic>
              </a:graphicData>
            </a:graphic>
          </wp:inline>
        </w:drawing>
      </w:r>
      <w:bookmarkEnd w:id="0"/>
    </w:p>
    <w:p w:rsidR="00086CF0" w:rsidRDefault="0034643F"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2844165</wp:posOffset>
                </wp:positionH>
                <wp:positionV relativeFrom="paragraph">
                  <wp:posOffset>2700020</wp:posOffset>
                </wp:positionV>
                <wp:extent cx="485775" cy="2190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485775" cy="2190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9AB5C" id="Rectángulo 10" o:spid="_x0000_s1026" style="position:absolute;margin-left:223.95pt;margin-top:212.6pt;width:38.25pt;height:17.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" fillcolor="black [3213]" strokecolor="black [3213]" strokeweight="1pt"/>
            </w:pict>
          </mc:Fallback>
        </mc:AlternateContent>
      </w:r>
      <w:r w:rsidR="00086CF0">
        <w:rPr>
          <w:noProof/>
          <w:lang w:val="es-MX" w:eastAsia="es-MX"/>
        </w:rPr>
        <mc:AlternateContent>
          <mc:Choice Requires="wps">
            <w:drawing>
              <wp:anchor distT="0" distB="0" distL="114300" distR="114300" simplePos="0" relativeHeight="251700224" behindDoc="0" locked="0" layoutInCell="1" allowOverlap="1">
                <wp:simplePos x="0" y="0"/>
                <wp:positionH relativeFrom="column">
                  <wp:posOffset>294108</wp:posOffset>
                </wp:positionH>
                <wp:positionV relativeFrom="paragraph">
                  <wp:posOffset>4704242</wp:posOffset>
                </wp:positionV>
                <wp:extent cx="5343690" cy="1976795"/>
                <wp:effectExtent l="19050" t="19050" r="28575" b="23495"/>
                <wp:wrapNone/>
                <wp:docPr id="24" name="Rectángulo 24"/>
                <wp:cNvGraphicFramePr/>
                <a:graphic xmlns:a="http://schemas.openxmlformats.org/drawingml/2006/main">
                  <a:graphicData uri="http://schemas.microsoft.com/office/word/2010/wordprocessingShape">
                    <wps:wsp>
                      <wps:cNvSpPr/>
                      <wps:spPr>
                        <a:xfrm>
                          <a:off x="0" y="0"/>
                          <a:ext cx="5343690" cy="19767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0BEDA" id="Rectángulo 24" o:spid="_x0000_s1026" style="position:absolute;margin-left:23.15pt;margin-top:370.4pt;width:420.75pt;height:155.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" filled="f" strokecolor="red" strokeweight="3pt"/>
            </w:pict>
          </mc:Fallback>
        </mc:AlternateContent>
      </w:r>
      <w:r w:rsidR="00086CF0">
        <w:rPr>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473816</wp:posOffset>
                </wp:positionH>
                <wp:positionV relativeFrom="paragraph">
                  <wp:posOffset>5084801</wp:posOffset>
                </wp:positionV>
                <wp:extent cx="1744232" cy="0"/>
                <wp:effectExtent l="0" t="19050" r="27940" b="19050"/>
                <wp:wrapNone/>
                <wp:docPr id="9" name="Conector recto 9"/>
                <wp:cNvGraphicFramePr/>
                <a:graphic xmlns:a="http://schemas.openxmlformats.org/drawingml/2006/main">
                  <a:graphicData uri="http://schemas.microsoft.com/office/word/2010/wordprocessingShape">
                    <wps:wsp>
                      <wps:cNvCnPr/>
                      <wps:spPr>
                        <a:xfrm>
                          <a:off x="0" y="0"/>
                          <a:ext cx="174423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013AE" id="Conector recto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7.3pt,400.4pt" to="174.65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" strokecolor="red" strokeweight="3pt">
                <v:stroke joinstyle="miter"/>
              </v:line>
            </w:pict>
          </mc:Fallback>
        </mc:AlternateContent>
      </w:r>
      <w:r w:rsidRPr="0034643F">
        <w:rPr>
          <w:noProof/>
          <w:lang w:eastAsia="es-MX"/>
        </w:rPr>
        <w:t xml:space="preserve"> </w:t>
      </w:r>
      <w:r>
        <w:rPr>
          <w:noProof/>
          <w:lang w:val="es-MX" w:eastAsia="es-MX"/>
        </w:rPr>
        <w:lastRenderedPageBreak/>
        <w:drawing>
          <wp:inline distT="0" distB="0" distL="0" distR="0" wp14:anchorId="6D5B33E6" wp14:editId="4F751540">
            <wp:extent cx="5612130" cy="74510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451090"/>
                    </a:xfrm>
                    <a:prstGeom prst="rect">
                      <a:avLst/>
                    </a:prstGeom>
                  </pic:spPr>
                </pic:pic>
              </a:graphicData>
            </a:graphic>
          </wp:inline>
        </w:drawing>
      </w:r>
    </w:p>
    <w:p w:rsidR="00086CF0" w:rsidRDefault="00086CF0"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468531</wp:posOffset>
                </wp:positionH>
                <wp:positionV relativeFrom="paragraph">
                  <wp:posOffset>1844759</wp:posOffset>
                </wp:positionV>
                <wp:extent cx="4931417" cy="1004255"/>
                <wp:effectExtent l="19050" t="19050" r="21590" b="24765"/>
                <wp:wrapNone/>
                <wp:docPr id="25" name="Rectángulo 25"/>
                <wp:cNvGraphicFramePr/>
                <a:graphic xmlns:a="http://schemas.openxmlformats.org/drawingml/2006/main">
                  <a:graphicData uri="http://schemas.microsoft.com/office/word/2010/wordprocessingShape">
                    <wps:wsp>
                      <wps:cNvSpPr/>
                      <wps:spPr>
                        <a:xfrm>
                          <a:off x="0" y="0"/>
                          <a:ext cx="4931417" cy="1004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EACBE" id="Rectángulo 25" o:spid="_x0000_s1026" style="position:absolute;margin-left:36.9pt;margin-top:145.25pt;width:388.3pt;height:79.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" filled="f" strokecolor="red" strokeweight="2.25pt"/>
            </w:pict>
          </mc:Fallback>
        </mc:AlternateContent>
      </w:r>
      <w:r>
        <w:rPr>
          <w:noProof/>
          <w:lang w:val="es-MX" w:eastAsia="es-MX"/>
        </w:rPr>
        <w:drawing>
          <wp:inline distT="0" distB="0" distL="0" distR="0" wp14:anchorId="1314020C" wp14:editId="25D26BA8">
            <wp:extent cx="5558788" cy="7690474"/>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9" t="10046" r="32561" b="5213"/>
                    <a:stretch/>
                  </pic:blipFill>
                  <pic:spPr bwMode="auto">
                    <a:xfrm>
                      <a:off x="0" y="0"/>
                      <a:ext cx="5605289" cy="7754808"/>
                    </a:xfrm>
                    <a:prstGeom prst="rect">
                      <a:avLst/>
                    </a:prstGeom>
                    <a:ln>
                      <a:noFill/>
                    </a:ln>
                    <a:extLst>
                      <a:ext uri="{53640926-AAD7-44D8-BBD7-CCE9431645EC}">
                        <a14:shadowObscured xmlns:a14="http://schemas.microsoft.com/office/drawing/2010/main"/>
                      </a:ext>
                    </a:extLst>
                  </pic:spPr>
                </pic:pic>
              </a:graphicData>
            </a:graphic>
          </wp:inline>
        </w:drawing>
      </w:r>
    </w:p>
    <w:p w:rsidR="00373FC9"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lastRenderedPageBreak/>
        <w:t xml:space="preserve">En ese sentido, a consideración de </w:t>
      </w:r>
      <w:r w:rsidRPr="00A27669">
        <w:rPr>
          <w:rFonts w:ascii="Palatino Linotype" w:hAnsi="Palatino Linotype" w:cs="Arial"/>
          <w:lang w:eastAsia="es-MX"/>
        </w:rPr>
        <w:t xml:space="preserve">esta Ponencia </w:t>
      </w:r>
      <w:proofErr w:type="spellStart"/>
      <w:r w:rsidRPr="00A27669">
        <w:rPr>
          <w:rFonts w:ascii="Palatino Linotype" w:hAnsi="Palatino Linotype" w:cs="Arial"/>
          <w:lang w:eastAsia="es-MX"/>
        </w:rPr>
        <w:t>Resolutora</w:t>
      </w:r>
      <w:proofErr w:type="spellEnd"/>
      <w:r w:rsidR="00BE1D35">
        <w:rPr>
          <w:rFonts w:ascii="Palatino Linotype" w:hAnsi="Palatino Linotype" w:cs="Arial"/>
          <w:lang w:eastAsia="es-MX"/>
        </w:rPr>
        <w:t>,</w:t>
      </w:r>
      <w:r>
        <w:rPr>
          <w:rFonts w:ascii="Palatino Linotype" w:hAnsi="Palatino Linotype" w:cs="Arial"/>
          <w:lang w:eastAsia="es-MX"/>
        </w:rPr>
        <w:t xml:space="preserve"> </w:t>
      </w:r>
      <w:r w:rsidR="00BE1D35" w:rsidRPr="00BE1D35">
        <w:rPr>
          <w:rFonts w:ascii="Palatino Linotype" w:hAnsi="Palatino Linotype" w:cs="Arial"/>
          <w:b/>
          <w:lang w:eastAsia="es-MX"/>
        </w:rPr>
        <w:t>EL SUJETO OBLIGADO</w:t>
      </w:r>
      <w:r w:rsidR="00BE1D35">
        <w:rPr>
          <w:rFonts w:ascii="Palatino Linotype" w:hAnsi="Palatino Linotype" w:cs="Arial"/>
          <w:lang w:eastAsia="es-MX"/>
        </w:rPr>
        <w:t xml:space="preserve"> le aclaró </w:t>
      </w:r>
      <w:r w:rsidR="00086CF0">
        <w:rPr>
          <w:rFonts w:ascii="Palatino Linotype" w:hAnsi="Palatino Linotype" w:cs="Arial"/>
          <w:lang w:eastAsia="es-MX"/>
        </w:rPr>
        <w:t>que el Ministerio Público en la persecución de los delitos y allegarse de mayores elementos que le permitan esclarecer los hechos que investiga, puede ordenar diligencias que estime pertinentes, a través de técnicas existentes, dentro de las cuales se encuentra el uso de elementos caninos</w:t>
      </w:r>
      <w:r w:rsidR="000B2417">
        <w:rPr>
          <w:rFonts w:ascii="Palatino Linotype" w:hAnsi="Palatino Linotype" w:cs="Arial"/>
          <w:lang w:eastAsia="es-MX"/>
        </w:rPr>
        <w:t>.</w:t>
      </w:r>
    </w:p>
    <w:p w:rsidR="000B2417" w:rsidRPr="00237EAF" w:rsidRDefault="000B24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p>
    <w:p w:rsidR="00FE3459" w:rsidRDefault="000B2417"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Pr>
          <w:rFonts w:ascii="Palatino Linotype" w:hAnsi="Palatino Linotype" w:cs="Arial"/>
        </w:rPr>
        <w:t>De igual forma,</w:t>
      </w:r>
      <w:r w:rsidR="00373FC9">
        <w:rPr>
          <w:rFonts w:ascii="Palatino Linotype" w:hAnsi="Palatino Linotype" w:cs="Arial"/>
        </w:rPr>
        <w:t xml:space="preserve"> </w:t>
      </w:r>
      <w:r w:rsidR="00373FC9" w:rsidRPr="00373FC9">
        <w:rPr>
          <w:rFonts w:ascii="Palatino Linotype" w:hAnsi="Palatino Linotype" w:cs="Arial"/>
          <w:b/>
        </w:rPr>
        <w:t>EL SUJETO OBLIGADO</w:t>
      </w:r>
      <w:r w:rsidR="00373FC9">
        <w:rPr>
          <w:rFonts w:ascii="Palatino Linotype" w:hAnsi="Palatino Linotype" w:cs="Arial"/>
        </w:rPr>
        <w:t xml:space="preserve"> le señaló mediante Informe Justif</w:t>
      </w:r>
      <w:r w:rsidR="00585BF9">
        <w:rPr>
          <w:rFonts w:ascii="Palatino Linotype" w:hAnsi="Palatino Linotype" w:cs="Arial"/>
        </w:rPr>
        <w:t xml:space="preserve">icado que </w:t>
      </w:r>
      <w:r>
        <w:rPr>
          <w:rFonts w:ascii="Palatino Linotype" w:hAnsi="Palatino Linotype" w:cs="Arial"/>
        </w:rPr>
        <w:t xml:space="preserve">el máximo tribunal del país emitió un criterio denominado </w:t>
      </w:r>
      <w:r w:rsidR="006B163A">
        <w:rPr>
          <w:rFonts w:ascii="Palatino Linotype" w:hAnsi="Palatino Linotype" w:cs="Arial"/>
        </w:rPr>
        <w:t>“D</w:t>
      </w:r>
      <w:r w:rsidR="006B163A" w:rsidRPr="000B2417">
        <w:rPr>
          <w:rFonts w:ascii="Palatino Linotype" w:hAnsi="Palatino Linotype" w:cs="Arial"/>
        </w:rPr>
        <w:t xml:space="preserve">iligencia de reconocimiento olfativo con elementos caninos. </w:t>
      </w:r>
      <w:r w:rsidR="006B163A">
        <w:rPr>
          <w:rFonts w:ascii="Palatino Linotype" w:hAnsi="Palatino Linotype" w:cs="Arial"/>
        </w:rPr>
        <w:t>L</w:t>
      </w:r>
      <w:r w:rsidR="006B163A" w:rsidRPr="000B2417">
        <w:rPr>
          <w:rFonts w:ascii="Palatino Linotype" w:hAnsi="Palatino Linotype" w:cs="Arial"/>
        </w:rPr>
        <w:t>a reacción de los mismos ante un estímulo debe estar sujeta a un examen de razonabilidad</w:t>
      </w:r>
      <w:r w:rsidR="006B163A">
        <w:rPr>
          <w:rFonts w:ascii="Palatino Linotype" w:hAnsi="Palatino Linotype" w:cs="Arial"/>
        </w:rPr>
        <w:t>”</w:t>
      </w:r>
      <w:r w:rsidR="006B163A" w:rsidRPr="000B2417">
        <w:rPr>
          <w:rFonts w:ascii="Palatino Linotype" w:hAnsi="Palatino Linotype" w:cs="Arial"/>
        </w:rPr>
        <w:t>.</w:t>
      </w:r>
    </w:p>
    <w:p w:rsidR="00E83C2D" w:rsidRPr="00E83C2D" w:rsidRDefault="00E83C2D" w:rsidP="0084755E">
      <w:pPr>
        <w:pStyle w:val="Prrafodelista"/>
        <w:widowControl w:val="0"/>
        <w:autoSpaceDE w:val="0"/>
        <w:autoSpaceDN w:val="0"/>
        <w:adjustRightInd w:val="0"/>
        <w:spacing w:before="300" w:after="240" w:line="360" w:lineRule="auto"/>
        <w:ind w:left="0"/>
        <w:jc w:val="both"/>
        <w:rPr>
          <w:rFonts w:ascii="Palatino Linotype" w:hAnsi="Palatino Linotype" w:cs="Arial"/>
          <w:sz w:val="18"/>
        </w:rPr>
      </w:pPr>
    </w:p>
    <w:p w:rsidR="006B163A" w:rsidRDefault="009A16D1" w:rsidP="009A16D1">
      <w:pPr>
        <w:shd w:val="clear" w:color="auto" w:fill="FFFFFF"/>
        <w:spacing w:line="360" w:lineRule="auto"/>
        <w:jc w:val="both"/>
        <w:rPr>
          <w:rFonts w:ascii="Palatino Linotype" w:hAnsi="Palatino Linotype" w:cs="Arial"/>
          <w:sz w:val="24"/>
          <w:szCs w:val="24"/>
        </w:rPr>
      </w:pPr>
      <w:r w:rsidRPr="009A16D1">
        <w:rPr>
          <w:rFonts w:ascii="Palatino Linotype" w:hAnsi="Palatino Linotype" w:cs="Arial"/>
          <w:sz w:val="24"/>
          <w:szCs w:val="24"/>
        </w:rPr>
        <w:t xml:space="preserve">Bajo lo anterior, es importante </w:t>
      </w:r>
      <w:r w:rsidR="006B163A">
        <w:rPr>
          <w:rFonts w:ascii="Palatino Linotype" w:hAnsi="Palatino Linotype" w:cs="Arial"/>
          <w:sz w:val="24"/>
          <w:szCs w:val="24"/>
        </w:rPr>
        <w:t xml:space="preserve">adicionar la tesis jurisprudencia </w:t>
      </w:r>
      <w:r w:rsidR="006B163A" w:rsidRPr="006B163A">
        <w:rPr>
          <w:rFonts w:ascii="Palatino Linotype" w:hAnsi="Palatino Linotype" w:cs="Arial"/>
          <w:sz w:val="24"/>
          <w:szCs w:val="24"/>
        </w:rPr>
        <w:t>Tesis: 1a. CCXCII/2013 (10a.)</w:t>
      </w:r>
      <w:r w:rsidR="006B163A">
        <w:rPr>
          <w:rFonts w:ascii="Palatino Linotype" w:hAnsi="Palatino Linotype" w:cs="Arial"/>
          <w:sz w:val="24"/>
          <w:szCs w:val="24"/>
        </w:rPr>
        <w:t xml:space="preserve">, </w:t>
      </w:r>
      <w:r w:rsidR="006B163A" w:rsidRPr="006B163A">
        <w:rPr>
          <w:rFonts w:ascii="Palatino Linotype" w:hAnsi="Palatino Linotype" w:cs="Arial"/>
          <w:sz w:val="24"/>
          <w:szCs w:val="24"/>
        </w:rPr>
        <w:t>Libro XXV, Octubre de 2013, Tomo 2</w:t>
      </w:r>
      <w:r w:rsidR="006B163A">
        <w:rPr>
          <w:rFonts w:ascii="Palatino Linotype" w:hAnsi="Palatino Linotype" w:cs="Arial"/>
          <w:sz w:val="24"/>
          <w:szCs w:val="24"/>
        </w:rPr>
        <w:t xml:space="preserve">, </w:t>
      </w:r>
      <w:r w:rsidR="006B163A" w:rsidRPr="006B163A">
        <w:rPr>
          <w:rFonts w:ascii="Palatino Linotype" w:hAnsi="Palatino Linotype" w:cs="Arial"/>
          <w:sz w:val="24"/>
          <w:szCs w:val="24"/>
        </w:rPr>
        <w:t>Primera Sala</w:t>
      </w:r>
      <w:r w:rsidR="006B163A">
        <w:rPr>
          <w:rFonts w:ascii="Palatino Linotype" w:hAnsi="Palatino Linotype" w:cs="Arial"/>
          <w:sz w:val="24"/>
          <w:szCs w:val="24"/>
        </w:rPr>
        <w:t xml:space="preserve">, número </w:t>
      </w:r>
      <w:r w:rsidR="006B163A" w:rsidRPr="006B163A">
        <w:rPr>
          <w:rFonts w:ascii="Palatino Linotype" w:hAnsi="Palatino Linotype" w:cs="Arial"/>
          <w:sz w:val="24"/>
          <w:szCs w:val="24"/>
        </w:rPr>
        <w:t>2004692, y d la cual se desprende lo siguiente:</w:t>
      </w:r>
    </w:p>
    <w:p w:rsidR="00C053E7" w:rsidRPr="00C053E7" w:rsidRDefault="00C053E7" w:rsidP="00C053E7">
      <w:pPr>
        <w:spacing w:after="0" w:line="276" w:lineRule="auto"/>
        <w:ind w:left="851" w:right="616"/>
        <w:jc w:val="both"/>
        <w:rPr>
          <w:rFonts w:ascii="Palatino Linotype" w:eastAsia="Times New Roman" w:hAnsi="Palatino Linotype" w:cs="Calibri"/>
          <w:b/>
          <w:i/>
          <w:lang w:eastAsia="es-MX"/>
        </w:rPr>
      </w:pPr>
      <w:r w:rsidRPr="00C053E7">
        <w:rPr>
          <w:rFonts w:ascii="Palatino Linotype" w:eastAsia="Times New Roman" w:hAnsi="Palatino Linotype" w:cs="Calibri"/>
          <w:b/>
          <w:i/>
          <w:lang w:eastAsia="es-MX"/>
        </w:rPr>
        <w:t>DILIGENCIA DE RECONOCIMIENTO OLFATIVO CON ELEMENTOS CANINOS. LA REACCIÓN DE LOS MISMOS ANTE UN ESTÍMULO DEBE ESTAR SUJETA A UN EXAMEN DE RAZONABILIDAD.</w:t>
      </w:r>
    </w:p>
    <w:p w:rsidR="00C053E7" w:rsidRPr="00C053E7" w:rsidRDefault="00C053E7" w:rsidP="00C053E7">
      <w:pPr>
        <w:spacing w:after="0" w:line="276" w:lineRule="auto"/>
        <w:ind w:left="851" w:right="616"/>
        <w:jc w:val="both"/>
        <w:rPr>
          <w:rFonts w:ascii="Palatino Linotype" w:eastAsia="Times New Roman" w:hAnsi="Palatino Linotype" w:cs="Calibri"/>
          <w:i/>
          <w:lang w:eastAsia="es-MX"/>
        </w:rPr>
      </w:pPr>
      <w:r w:rsidRPr="00C053E7">
        <w:rPr>
          <w:rFonts w:ascii="Palatino Linotype" w:eastAsia="Times New Roman" w:hAnsi="Palatino Linotype" w:cs="Calibri"/>
          <w:i/>
          <w:lang w:eastAsia="es-MX"/>
        </w:rPr>
        <w:tab/>
      </w:r>
    </w:p>
    <w:p w:rsidR="00C053E7" w:rsidRPr="00C053E7" w:rsidRDefault="00C053E7" w:rsidP="00C053E7">
      <w:pPr>
        <w:spacing w:after="0" w:line="276" w:lineRule="auto"/>
        <w:ind w:left="851" w:right="616"/>
        <w:jc w:val="both"/>
        <w:rPr>
          <w:rFonts w:ascii="Palatino Linotype" w:eastAsia="Times New Roman" w:hAnsi="Palatino Linotype" w:cs="Calibri"/>
          <w:i/>
          <w:lang w:eastAsia="es-MX"/>
        </w:rPr>
      </w:pPr>
      <w:r w:rsidRPr="00C053E7">
        <w:rPr>
          <w:rFonts w:ascii="Palatino Linotype" w:eastAsia="Times New Roman" w:hAnsi="Palatino Linotype" w:cs="Calibri"/>
          <w:i/>
          <w:lang w:eastAsia="es-MX"/>
        </w:rPr>
        <w:t xml:space="preserve">Entre las diversas técnicas de investigación del delito que se pueden realizar durante una averiguación previa se encuentra el empleo de elementos caninos, a efecto de que los mismos realicen un reconocimiento olfativo en la escena del crimen y áreas cercanas, de lo cual se podrían obtener indicios sobre los hechos delictivos. Sin embargo, esta Primera Sala de la Suprema Corte de Justicia de la Nación considera que las conclusiones extraídas de tales diligencias deben estar sujetas a un examen de razonabilidad. Esto es, la simple reacción de un elemento canino ante un estímulo no representa por sí mismo un elemento que acredite de forma fehaciente determinado dato, sino que deberán existir otros medios de convicción con los cuales se pueda adminicular, a efecto de reforzar una posible hipótesis de responsabilidad penal en contra de una persona. Por tanto, el juzgador deberá analizar las circunstancias que </w:t>
      </w:r>
      <w:r w:rsidRPr="00C053E7">
        <w:rPr>
          <w:rFonts w:ascii="Palatino Linotype" w:eastAsia="Times New Roman" w:hAnsi="Palatino Linotype" w:cs="Calibri"/>
          <w:i/>
          <w:lang w:eastAsia="es-MX"/>
        </w:rPr>
        <w:lastRenderedPageBreak/>
        <w:t>concurrieron en la diligencia en la cual intervinieron los elementos caninos, a efecto de determinar si la reacción mostrada por los mismos puede encontrar justificación en un elemento contextual y, por tanto, dicha reacción no podría tomarse en cuenta como un elemento válido para sustentar la responsabilidad penal del acusado.</w:t>
      </w:r>
    </w:p>
    <w:p w:rsidR="00C053E7" w:rsidRPr="00C053E7" w:rsidRDefault="00C053E7" w:rsidP="006B163A">
      <w:pPr>
        <w:spacing w:after="0" w:line="276" w:lineRule="auto"/>
        <w:ind w:left="851" w:right="616"/>
        <w:jc w:val="both"/>
        <w:rPr>
          <w:rFonts w:ascii="Palatino Linotype" w:eastAsia="Times New Roman" w:hAnsi="Palatino Linotype" w:cs="Calibri"/>
          <w:i/>
          <w:lang w:eastAsia="es-MX"/>
        </w:rPr>
      </w:pPr>
    </w:p>
    <w:p w:rsidR="006B163A" w:rsidRPr="00C053E7" w:rsidRDefault="006B163A" w:rsidP="006B163A">
      <w:pPr>
        <w:spacing w:after="0" w:line="276" w:lineRule="auto"/>
        <w:ind w:left="851" w:right="616"/>
        <w:jc w:val="both"/>
        <w:rPr>
          <w:rFonts w:ascii="Palatino Linotype" w:eastAsia="Times New Roman" w:hAnsi="Palatino Linotype" w:cs="Calibri"/>
          <w:i/>
          <w:lang w:eastAsia="es-MX"/>
        </w:rPr>
      </w:pPr>
      <w:r w:rsidRPr="00C053E7">
        <w:rPr>
          <w:rFonts w:ascii="Palatino Linotype" w:eastAsia="Times New Roman" w:hAnsi="Palatino Linotype" w:cs="Calibri"/>
          <w:i/>
          <w:lang w:eastAsia="es-MX"/>
        </w:rPr>
        <w:t>Amparo directo 78/2012. 21 de agosto de 2013. Mayoría de cuatro votos. Disidente: José Ramón Cossío Díaz, quien reservó su derecho a formular voto particular. Ponente: Arturo Zaldívar Lelo de Larrea. Secretario: Javier Mijangos y González.</w:t>
      </w:r>
    </w:p>
    <w:p w:rsidR="009A16D1" w:rsidRPr="0093255C" w:rsidRDefault="009A16D1" w:rsidP="009A16D1">
      <w:pPr>
        <w:shd w:val="clear" w:color="auto" w:fill="FFFFFF"/>
        <w:spacing w:line="360" w:lineRule="auto"/>
        <w:jc w:val="both"/>
        <w:rPr>
          <w:rFonts w:ascii="Palatino Linotype" w:hAnsi="Palatino Linotype" w:cs="Arial"/>
          <w:sz w:val="14"/>
          <w:szCs w:val="24"/>
        </w:rPr>
      </w:pPr>
    </w:p>
    <w:p w:rsidR="009A16D1" w:rsidRPr="00150B9A" w:rsidRDefault="009A16D1" w:rsidP="009A16D1">
      <w:pPr>
        <w:shd w:val="clear" w:color="auto" w:fill="FFFFFF"/>
        <w:spacing w:line="360" w:lineRule="auto"/>
        <w:jc w:val="both"/>
        <w:rPr>
          <w:rFonts w:ascii="Palatino Linotype" w:hAnsi="Palatino Linotype" w:cs="Arial"/>
          <w:sz w:val="24"/>
          <w:szCs w:val="24"/>
        </w:rPr>
      </w:pPr>
      <w:r>
        <w:rPr>
          <w:rFonts w:ascii="Palatino Linotype" w:hAnsi="Palatino Linotype" w:cs="Arial"/>
          <w:sz w:val="24"/>
          <w:szCs w:val="24"/>
        </w:rPr>
        <w:t>Esto es</w:t>
      </w:r>
      <w:r w:rsidRPr="00150B9A">
        <w:rPr>
          <w:rFonts w:ascii="Palatino Linotype" w:hAnsi="Palatino Linotype" w:cs="Arial"/>
          <w:sz w:val="24"/>
          <w:szCs w:val="24"/>
        </w:rPr>
        <w:t>,</w:t>
      </w:r>
      <w:r w:rsidR="006B163A">
        <w:rPr>
          <w:rFonts w:ascii="Palatino Linotype" w:hAnsi="Palatino Linotype" w:cs="Arial"/>
          <w:sz w:val="24"/>
          <w:szCs w:val="24"/>
        </w:rPr>
        <w:t xml:space="preserve"> La Suprema Corte de Justicia de la Nación, reconoce la acción de los elementos caninos para el reconocimiento olfativo en las escenas que considera el Ministerio Público, y así contar con indicios de los hechos </w:t>
      </w:r>
      <w:r w:rsidR="0093255C">
        <w:rPr>
          <w:rFonts w:ascii="Palatino Linotype" w:hAnsi="Palatino Linotype" w:cs="Arial"/>
          <w:sz w:val="24"/>
          <w:szCs w:val="24"/>
        </w:rPr>
        <w:t>delictivos</w:t>
      </w:r>
      <w:r w:rsidR="00C32A3A">
        <w:rPr>
          <w:rFonts w:ascii="Palatino Linotype" w:hAnsi="Palatino Linotype" w:cs="Arial"/>
          <w:sz w:val="24"/>
          <w:szCs w:val="24"/>
        </w:rPr>
        <w:t>, actuando bajo el marco legal consistente en la Ley General de la Fiscalía</w:t>
      </w:r>
      <w:r w:rsidRPr="00150B9A">
        <w:rPr>
          <w:rFonts w:ascii="Palatino Linotype" w:hAnsi="Palatino Linotype" w:cs="Arial"/>
          <w:sz w:val="24"/>
          <w:szCs w:val="24"/>
        </w:rPr>
        <w:t>.</w:t>
      </w:r>
    </w:p>
    <w:p w:rsidR="009A16D1" w:rsidRPr="00150B9A" w:rsidRDefault="009A16D1" w:rsidP="009A16D1">
      <w:pPr>
        <w:shd w:val="clear" w:color="auto" w:fill="FFFFFF"/>
        <w:spacing w:line="360" w:lineRule="auto"/>
        <w:jc w:val="both"/>
        <w:rPr>
          <w:rFonts w:ascii="Palatino Linotype" w:hAnsi="Palatino Linotype" w:cs="Arial"/>
          <w:sz w:val="24"/>
          <w:szCs w:val="24"/>
        </w:rPr>
      </w:pPr>
      <w:r w:rsidRPr="00150B9A">
        <w:rPr>
          <w:rFonts w:ascii="Palatino Linotype" w:hAnsi="Palatino Linotype" w:cs="Arial"/>
          <w:sz w:val="24"/>
          <w:szCs w:val="24"/>
        </w:rPr>
        <w:t xml:space="preserve">Asimismo, </w:t>
      </w:r>
      <w:r w:rsidR="006B163A" w:rsidRPr="00C17665">
        <w:rPr>
          <w:rFonts w:ascii="Palatino Linotype" w:hAnsi="Palatino Linotype" w:cs="Arial"/>
          <w:b/>
          <w:sz w:val="24"/>
          <w:szCs w:val="24"/>
        </w:rPr>
        <w:t>EL SUJETO OBLIGADO</w:t>
      </w:r>
      <w:r w:rsidR="006B163A">
        <w:rPr>
          <w:rFonts w:ascii="Palatino Linotype" w:hAnsi="Palatino Linotype" w:cs="Arial"/>
          <w:sz w:val="24"/>
          <w:szCs w:val="24"/>
        </w:rPr>
        <w:t xml:space="preserve">, le informó que el </w:t>
      </w:r>
      <w:r w:rsidR="00C17665">
        <w:rPr>
          <w:rFonts w:ascii="Palatino Linotype" w:hAnsi="Palatino Linotype" w:cs="Arial"/>
          <w:sz w:val="24"/>
          <w:szCs w:val="24"/>
        </w:rPr>
        <w:t>Ministerio</w:t>
      </w:r>
      <w:r w:rsidR="006B163A">
        <w:rPr>
          <w:rFonts w:ascii="Palatino Linotype" w:hAnsi="Palatino Linotype" w:cs="Arial"/>
          <w:sz w:val="24"/>
          <w:szCs w:val="24"/>
        </w:rPr>
        <w:t xml:space="preserve"> Público con las facultades que le indicó y que se consagran en la Ley General de la Fiscalía del Estado de México, puede hacer uso de las técnicas que tiene a su alcance, con el objeto de la persecución de los delitos que persigue, aunado a que en Informe le indicó que la Suprema Corte, señala la legalidad del uso de los elementos caninos para allegarse de indicios que le permitan a la Autoridad contar con mayores </w:t>
      </w:r>
      <w:r w:rsidR="00C32A3A">
        <w:rPr>
          <w:rFonts w:ascii="Palatino Linotype" w:hAnsi="Palatino Linotype" w:cs="Arial"/>
          <w:sz w:val="24"/>
          <w:szCs w:val="24"/>
        </w:rPr>
        <w:t>elementos</w:t>
      </w:r>
      <w:r w:rsidR="006B163A">
        <w:rPr>
          <w:rFonts w:ascii="Palatino Linotype" w:hAnsi="Palatino Linotype" w:cs="Arial"/>
          <w:sz w:val="24"/>
          <w:szCs w:val="24"/>
        </w:rPr>
        <w:t xml:space="preserve"> en el ejercicio de la función pública que le es </w:t>
      </w:r>
      <w:r w:rsidR="00C17665">
        <w:rPr>
          <w:rFonts w:ascii="Palatino Linotype" w:hAnsi="Palatino Linotype" w:cs="Arial"/>
          <w:sz w:val="24"/>
          <w:szCs w:val="24"/>
        </w:rPr>
        <w:t>encomendada</w:t>
      </w:r>
      <w:r w:rsidRPr="00150B9A">
        <w:rPr>
          <w:rFonts w:ascii="Palatino Linotype" w:hAnsi="Palatino Linotype" w:cs="Arial"/>
          <w:sz w:val="24"/>
          <w:szCs w:val="24"/>
        </w:rPr>
        <w:t>.</w:t>
      </w:r>
    </w:p>
    <w:p w:rsidR="009A16D1" w:rsidRPr="00F20EEB" w:rsidRDefault="009A16D1" w:rsidP="009A16D1">
      <w:pPr>
        <w:spacing w:after="0" w:line="276" w:lineRule="auto"/>
        <w:jc w:val="both"/>
        <w:rPr>
          <w:rFonts w:ascii="Palatino Linotype" w:hAnsi="Palatino Linotype" w:cs="Arial"/>
          <w:sz w:val="14"/>
        </w:rPr>
      </w:pPr>
    </w:p>
    <w:p w:rsidR="009A16D1" w:rsidRPr="00150B9A"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150B9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Establecer la competencia, operación y funcionamiento del Instituto, en materia de transparencia y acceso a la información;</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lastRenderedPageBreak/>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9A16D1" w:rsidRPr="00150B9A"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150B9A">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sz w:val="24"/>
          <w:szCs w:val="24"/>
        </w:rPr>
        <w:t>EL SUJETO OBLIGADO</w:t>
      </w:r>
      <w:r w:rsidRPr="00150B9A">
        <w:rPr>
          <w:rFonts w:ascii="Palatino Linotype" w:hAnsi="Palatino Linotype"/>
          <w:sz w:val="24"/>
          <w:szCs w:val="24"/>
        </w:rPr>
        <w:t xml:space="preserve"> sólo proporcionará la información que obra en sus archivos, y como se desprendió de la respuesta, no obra en sus archivos </w:t>
      </w:r>
      <w:r w:rsidRPr="00150B9A">
        <w:rPr>
          <w:rFonts w:ascii="Palatino Linotype" w:hAnsi="Palatino Linotype"/>
          <w:color w:val="000000"/>
          <w:sz w:val="24"/>
          <w:szCs w:val="24"/>
        </w:rPr>
        <w:t>la evide</w:t>
      </w:r>
      <w:r>
        <w:rPr>
          <w:rFonts w:ascii="Palatino Linotype" w:hAnsi="Palatino Linotype"/>
          <w:color w:val="000000"/>
          <w:sz w:val="24"/>
          <w:szCs w:val="24"/>
        </w:rPr>
        <w:t>ncia documental correspondiente</w:t>
      </w:r>
      <w:r w:rsidRPr="00150B9A">
        <w:rPr>
          <w:rFonts w:ascii="Palatino Linotype" w:hAnsi="Palatino Linotype"/>
          <w:sz w:val="24"/>
          <w:szCs w:val="24"/>
        </w:rPr>
        <w:t>.</w:t>
      </w:r>
    </w:p>
    <w:p w:rsidR="000A2778"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Pr>
          <w:rFonts w:ascii="Palatino Linotype" w:hAnsi="Palatino Linotype" w:cs="Arial"/>
          <w:lang w:val="es-ES_tradnl"/>
        </w:rPr>
        <w:t xml:space="preserve">Así, en atención a las consideraciones anteriores, esta Ponencia </w:t>
      </w:r>
      <w:proofErr w:type="spellStart"/>
      <w:r>
        <w:rPr>
          <w:rFonts w:ascii="Palatino Linotype" w:hAnsi="Palatino Linotype" w:cs="Arial"/>
          <w:lang w:val="es-ES_tradnl"/>
        </w:rPr>
        <w:t>Resolutora</w:t>
      </w:r>
      <w:proofErr w:type="spellEnd"/>
      <w:r>
        <w:rPr>
          <w:rFonts w:ascii="Palatino Linotype" w:hAnsi="Palatino Linotype"/>
          <w:color w:val="000000" w:themeColor="text1"/>
        </w:rPr>
        <w:t xml:space="preserve"> advierte que en el presente caso, se actualiza la hipótesis prevista en </w:t>
      </w:r>
      <w:r>
        <w:rPr>
          <w:rFonts w:ascii="Palatino Linotype" w:hAnsi="Palatino Linotype" w:cs="Arial"/>
          <w:lang w:val="es-ES_tradnl"/>
        </w:rPr>
        <w:t xml:space="preserve">el </w:t>
      </w:r>
      <w:r>
        <w:rPr>
          <w:rFonts w:ascii="Palatino Linotype" w:hAnsi="Palatino Linotype"/>
          <w:color w:val="000000" w:themeColor="text1"/>
        </w:rPr>
        <w:t>artículo 192, fracción III, de</w:t>
      </w:r>
      <w:r>
        <w:rPr>
          <w:rFonts w:ascii="Palatino Linotype" w:hAnsi="Palatino Linotype" w:cs="Arial"/>
          <w:lang w:val="es-ES_tradnl"/>
        </w:rPr>
        <w:t xml:space="preserve"> la </w:t>
      </w:r>
      <w:r>
        <w:rPr>
          <w:rFonts w:ascii="Palatino Linotype" w:hAnsi="Palatino Linotype"/>
        </w:rPr>
        <w:t xml:space="preserve">Ley de Transparencia y Acceso a la Información Pública del Estado de México y Municipios, </w:t>
      </w:r>
      <w:r>
        <w:rPr>
          <w:rFonts w:ascii="Palatino Linotype" w:hAnsi="Palatino Linotype"/>
          <w:color w:val="000000" w:themeColor="text1"/>
        </w:rPr>
        <w:t xml:space="preserve">que dispone lo siguiente: </w:t>
      </w:r>
    </w:p>
    <w:p w:rsidR="000A2778" w:rsidRDefault="000A2778" w:rsidP="000A2778">
      <w:pPr>
        <w:spacing w:before="200" w:after="200"/>
        <w:ind w:left="709" w:right="709"/>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192.</w:t>
      </w:r>
      <w:r>
        <w:rPr>
          <w:rFonts w:ascii="Palatino Linotype" w:hAnsi="Palatino Linotype" w:cs="Arial"/>
          <w:i/>
        </w:rPr>
        <w:t xml:space="preserve"> </w:t>
      </w:r>
      <w:r>
        <w:rPr>
          <w:rFonts w:ascii="Palatino Linotype" w:hAnsi="Palatino Linotype" w:cs="Arial"/>
          <w:b/>
          <w:i/>
          <w:u w:val="single"/>
        </w:rPr>
        <w:t>El recurso será sobreseído</w:t>
      </w:r>
      <w:r>
        <w:rPr>
          <w:rFonts w:ascii="Palatino Linotype" w:hAnsi="Palatino Linotype" w:cs="Arial"/>
          <w:i/>
        </w:rPr>
        <w:t xml:space="preserve">, en todo o en parte, </w:t>
      </w:r>
      <w:r>
        <w:rPr>
          <w:rFonts w:ascii="Palatino Linotype" w:hAnsi="Palatino Linotype" w:cs="Arial"/>
          <w:b/>
          <w:i/>
          <w:u w:val="single"/>
        </w:rPr>
        <w:t>cuando una vez admitido</w:t>
      </w:r>
      <w:r>
        <w:rPr>
          <w:rFonts w:ascii="Palatino Linotype" w:hAnsi="Palatino Linotype" w:cs="Arial"/>
          <w:i/>
        </w:rPr>
        <w:t>, se actualicen alguno de los siguientes supuestos:</w:t>
      </w:r>
    </w:p>
    <w:p w:rsidR="000A2778" w:rsidRDefault="000A2778" w:rsidP="000A2778">
      <w:pPr>
        <w:spacing w:before="200" w:after="200"/>
        <w:ind w:left="709" w:right="709"/>
        <w:jc w:val="both"/>
        <w:rPr>
          <w:rFonts w:ascii="Palatino Linotype" w:hAnsi="Palatino Linotype" w:cs="Arial"/>
          <w:i/>
        </w:rPr>
      </w:pPr>
      <w:r>
        <w:rPr>
          <w:rFonts w:ascii="Palatino Linotype" w:hAnsi="Palatino Linotype" w:cs="Arial"/>
          <w:i/>
        </w:rPr>
        <w:t>[…]</w:t>
      </w:r>
    </w:p>
    <w:p w:rsidR="000A2778" w:rsidRDefault="000A2778" w:rsidP="000A2778">
      <w:pPr>
        <w:spacing w:before="200" w:after="200"/>
        <w:ind w:left="709" w:right="709"/>
        <w:jc w:val="both"/>
        <w:rPr>
          <w:rFonts w:ascii="Palatino Linotype" w:hAnsi="Palatino Linotype" w:cs="Arial"/>
          <w:b/>
          <w:i/>
        </w:rPr>
      </w:pPr>
      <w:r>
        <w:rPr>
          <w:rFonts w:ascii="Palatino Linotype" w:hAnsi="Palatino Linotype" w:cs="Arial"/>
          <w:b/>
          <w:i/>
        </w:rPr>
        <w:lastRenderedPageBreak/>
        <w:t xml:space="preserve">III. </w:t>
      </w:r>
      <w:r>
        <w:rPr>
          <w:rFonts w:ascii="Palatino Linotype" w:hAnsi="Palatino Linotype" w:cs="Arial"/>
          <w:b/>
          <w:i/>
          <w:u w:val="single"/>
        </w:rPr>
        <w:t>El sujeto obligado responsable del acto lo modifique</w:t>
      </w:r>
      <w:r>
        <w:rPr>
          <w:rFonts w:ascii="Palatino Linotype" w:hAnsi="Palatino Linotype" w:cs="Arial"/>
          <w:b/>
          <w:i/>
        </w:rPr>
        <w:t xml:space="preserve"> </w:t>
      </w:r>
      <w:r>
        <w:rPr>
          <w:rFonts w:ascii="Palatino Linotype" w:hAnsi="Palatino Linotype" w:cs="Arial"/>
          <w:i/>
        </w:rPr>
        <w:t xml:space="preserve">o revoque </w:t>
      </w:r>
      <w:r>
        <w:rPr>
          <w:rFonts w:ascii="Palatino Linotype" w:hAnsi="Palatino Linotype" w:cs="Arial"/>
          <w:b/>
          <w:i/>
          <w:u w:val="single"/>
        </w:rPr>
        <w:t>de tal manera que el recurso de revisión quede sin materia</w:t>
      </w:r>
      <w:r>
        <w:rPr>
          <w:rFonts w:ascii="Palatino Linotype" w:hAnsi="Palatino Linotype" w:cs="Arial"/>
          <w:i/>
        </w:rPr>
        <w:t>;”</w:t>
      </w:r>
    </w:p>
    <w:p w:rsidR="000A2778" w:rsidRDefault="000A2778" w:rsidP="000A2778">
      <w:pPr>
        <w:spacing w:before="200" w:after="200"/>
        <w:ind w:left="709" w:right="709"/>
        <w:jc w:val="both"/>
        <w:rPr>
          <w:rFonts w:ascii="Palatino Linotype" w:hAnsi="Palatino Linotype" w:cs="Arial"/>
        </w:rPr>
      </w:pPr>
      <w:r>
        <w:rPr>
          <w:rFonts w:ascii="Palatino Linotype" w:hAnsi="Palatino Linotype" w:cs="Arial"/>
        </w:rPr>
        <w:t>(Énfasis añadido)</w:t>
      </w: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olor w:val="000000"/>
        </w:rPr>
        <w:t>En esa tesitura</w:t>
      </w:r>
      <w:r>
        <w:rPr>
          <w:rFonts w:ascii="Palatino Linotype" w:hAnsi="Palatino Linotype" w:cs="Arial"/>
        </w:rPr>
        <w:t xml:space="preserve">, conviene desglosar los elementos del artículo </w:t>
      </w:r>
      <w:r>
        <w:rPr>
          <w:rFonts w:ascii="Palatino Linotype" w:hAnsi="Palatino Linotype"/>
          <w:color w:val="000000" w:themeColor="text1"/>
        </w:rPr>
        <w:t>192, fracción III, de</w:t>
      </w:r>
      <w:r>
        <w:rPr>
          <w:rFonts w:ascii="Palatino Linotype" w:hAnsi="Palatino Linotype" w:cs="Arial"/>
          <w:lang w:val="es-ES_tradnl"/>
        </w:rPr>
        <w:t xml:space="preserve"> la </w:t>
      </w:r>
      <w:r>
        <w:rPr>
          <w:rFonts w:ascii="Palatino Linotype" w:hAnsi="Palatino Linotype"/>
        </w:rPr>
        <w:t>Ley de</w:t>
      </w:r>
      <w:r>
        <w:rPr>
          <w:rFonts w:ascii="Palatino Linotype" w:hAnsi="Palatino Linotype" w:cs="Arial"/>
        </w:rPr>
        <w:t xml:space="preserve"> la materia, </w:t>
      </w:r>
      <w:r>
        <w:rPr>
          <w:rFonts w:ascii="Palatino Linotype" w:hAnsi="Palatino Linotype" w:cs="Arial"/>
          <w:lang w:val="es-ES_tradnl"/>
        </w:rPr>
        <w:t>previamente transcrito</w:t>
      </w:r>
      <w:r>
        <w:rPr>
          <w:rFonts w:ascii="Palatino Linotype" w:hAnsi="Palatino Linotype" w:cs="Arial"/>
        </w:rPr>
        <w:t xml:space="preserve">, de manera tal que procede el </w:t>
      </w:r>
      <w:r>
        <w:rPr>
          <w:rFonts w:ascii="Palatino Linotype" w:hAnsi="Palatino Linotype" w:cs="Arial"/>
          <w:lang w:val="es-ES_tradnl"/>
        </w:rPr>
        <w:t>sobreseimiento</w:t>
      </w:r>
      <w:r>
        <w:rPr>
          <w:rFonts w:ascii="Palatino Linotype" w:hAnsi="Palatino Linotype" w:cs="Arial"/>
        </w:rPr>
        <w:t xml:space="preserve"> del presente recurso de revisión, en virtud de que </w:t>
      </w:r>
      <w:r>
        <w:rPr>
          <w:rFonts w:ascii="Palatino Linotype" w:hAnsi="Palatino Linotype" w:cs="Arial"/>
          <w:b/>
        </w:rPr>
        <w:t>EL SUJETO OBLIGADO</w:t>
      </w:r>
      <w:r>
        <w:rPr>
          <w:rFonts w:ascii="Palatino Linotype" w:hAnsi="Palatino Linotype" w:cs="Arial"/>
        </w:rPr>
        <w:t xml:space="preserve"> modificó el acto impugnado, dejando el medio de impugnación sin efecto o materia.</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1.- El sujeto obligado responsable, </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2.- Acto, </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3.- </w:t>
      </w:r>
      <w:r w:rsidRPr="00B57F73">
        <w:rPr>
          <w:rFonts w:ascii="Palatino Linotype" w:hAnsi="Palatino Linotype" w:cs="Arial"/>
          <w:b/>
          <w:sz w:val="24"/>
          <w:szCs w:val="24"/>
        </w:rPr>
        <w:t>Que se modifique</w:t>
      </w:r>
      <w:r w:rsidRPr="00B57F73">
        <w:rPr>
          <w:rFonts w:ascii="Palatino Linotype" w:hAnsi="Palatino Linotype" w:cs="Arial"/>
          <w:sz w:val="24"/>
          <w:szCs w:val="24"/>
        </w:rPr>
        <w:t xml:space="preserve"> o revoque, y</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4.- De tal manera que el medio de impugnación quede sin efecto o materia.</w:t>
      </w: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responsable, es la</w:t>
      </w:r>
      <w:r>
        <w:rPr>
          <w:rFonts w:ascii="Palatino Linotype" w:hAnsi="Palatino Linotype"/>
        </w:rPr>
        <w:t xml:space="preserve"> </w:t>
      </w:r>
      <w:r w:rsidR="00C17665" w:rsidRPr="00C17665">
        <w:rPr>
          <w:rFonts w:ascii="Palatino Linotype" w:hAnsi="Palatino Linotype"/>
        </w:rPr>
        <w:t>Fiscalía General de Justicia del Estado de México</w:t>
      </w:r>
      <w:r>
        <w:rPr>
          <w:rFonts w:ascii="Palatino Linotype" w:hAnsi="Palatino Linotype" w:cs="Arial"/>
        </w:rPr>
        <w:t>.</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El </w:t>
      </w:r>
      <w:r>
        <w:rPr>
          <w:rFonts w:ascii="Palatino Linotype" w:hAnsi="Palatino Linotype" w:cs="Arial"/>
          <w:lang w:val="es-ES_tradnl"/>
        </w:rPr>
        <w:t>segundo</w:t>
      </w:r>
      <w:r>
        <w:rPr>
          <w:rFonts w:ascii="Palatino Linotype" w:hAnsi="Palatino Linotype" w:cs="Arial"/>
        </w:rPr>
        <w:t xml:space="preserve"> elemento normativo, es la </w:t>
      </w:r>
      <w:r>
        <w:rPr>
          <w:rFonts w:ascii="Palatino Linotype" w:hAnsi="Palatino Linotype" w:cs="Arial"/>
          <w:lang w:val="es-ES_tradnl"/>
        </w:rPr>
        <w:t>existencia</w:t>
      </w:r>
      <w:r>
        <w:rPr>
          <w:rFonts w:ascii="Palatino Linotype" w:hAnsi="Palatino Linotype" w:cs="Arial"/>
        </w:rPr>
        <w:t xml:space="preserve"> de un acto, en el caso en concreto que nos ocupa </w:t>
      </w:r>
      <w:r>
        <w:rPr>
          <w:rFonts w:ascii="Palatino Linotype" w:hAnsi="Palatino Linotype"/>
          <w:color w:val="000000"/>
        </w:rPr>
        <w:t>se</w:t>
      </w:r>
      <w:r>
        <w:rPr>
          <w:rFonts w:ascii="Palatino Linotype" w:hAnsi="Palatino Linotype" w:cs="Arial"/>
        </w:rPr>
        <w:t xml:space="preserve"> actualiza con la respuesta del </w:t>
      </w:r>
      <w:r>
        <w:rPr>
          <w:rFonts w:ascii="Palatino Linotype" w:hAnsi="Palatino Linotype" w:cs="Arial"/>
          <w:b/>
        </w:rPr>
        <w:t>SUJETO OBLIGADO</w:t>
      </w:r>
      <w:r>
        <w:rPr>
          <w:rFonts w:ascii="Palatino Linotype" w:hAnsi="Palatino Linotype" w:cs="Arial"/>
        </w:rPr>
        <w:t xml:space="preserve">, </w:t>
      </w:r>
      <w:r w:rsidR="009000B6">
        <w:rPr>
          <w:rFonts w:ascii="Palatino Linotype" w:hAnsi="Palatino Linotype" w:cs="Arial"/>
          <w:b/>
        </w:rPr>
        <w:t xml:space="preserve">al </w:t>
      </w:r>
      <w:r w:rsidR="00C17665">
        <w:rPr>
          <w:rFonts w:ascii="Palatino Linotype" w:hAnsi="Palatino Linotype" w:cs="Arial"/>
          <w:b/>
        </w:rPr>
        <w:t>precisar</w:t>
      </w:r>
      <w:r w:rsidR="009000B6">
        <w:rPr>
          <w:rFonts w:ascii="Palatino Linotype" w:hAnsi="Palatino Linotype" w:cs="Arial"/>
          <w:b/>
        </w:rPr>
        <w:t xml:space="preserve"> la respuesta</w:t>
      </w:r>
      <w:r>
        <w:rPr>
          <w:rFonts w:ascii="Palatino Linotype" w:hAnsi="Palatino Linotype" w:cs="Arial"/>
        </w:rPr>
        <w:t xml:space="preserve"> con el contenido del Informe Justificado</w:t>
      </w:r>
      <w:r w:rsidR="00585BF9">
        <w:rPr>
          <w:rFonts w:ascii="Palatino Linotype" w:hAnsi="Palatino Linotype" w:cs="Arial"/>
        </w:rPr>
        <w:t>, fundando y motivando la misma, otorgando certeza jurídica al particular del porque la información requerida no obra en sus archivos</w:t>
      </w:r>
      <w:r>
        <w:rPr>
          <w:rFonts w:ascii="Palatino Linotype" w:hAnsi="Palatino Linotype" w:cs="Arial"/>
        </w:rPr>
        <w:t xml:space="preserve">. </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olor w:val="000000"/>
        </w:rPr>
        <w:t>Cabe</w:t>
      </w:r>
      <w:r>
        <w:rPr>
          <w:rFonts w:ascii="Palatino Linotype" w:hAnsi="Palatino Linotype" w:cs="Arial"/>
        </w:rPr>
        <w:t xml:space="preserve"> destacar que, la respuesta a la solicitud de acceso a la información pública por parte del</w:t>
      </w:r>
      <w:r>
        <w:rPr>
          <w:rFonts w:ascii="Palatino Linotype" w:hAnsi="Palatino Linotype" w:cs="Arial"/>
          <w:b/>
        </w:rPr>
        <w:t xml:space="preserve"> SUJETO OBLIGADO</w:t>
      </w:r>
      <w:r>
        <w:rPr>
          <w:rFonts w:ascii="Palatino Linotype" w:hAnsi="Palatino Linotype" w:cs="Arial"/>
        </w:rPr>
        <w:t xml:space="preserve">, es considerada como el “acto” que fue impugnado por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rPr>
        <w:t>.</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ese sentido, la </w:t>
      </w:r>
      <w:r>
        <w:rPr>
          <w:rFonts w:ascii="Palatino Linotype" w:hAnsi="Palatino Linotype" w:cs="Arial"/>
          <w:lang w:val="es-ES_tradnl"/>
        </w:rPr>
        <w:t>naturaleza</w:t>
      </w:r>
      <w:r>
        <w:rPr>
          <w:rFonts w:ascii="Palatino Linotype" w:hAnsi="Palatino Linotype" w:cs="Arial"/>
        </w:rPr>
        <w:t xml:space="preserve"> jurídica de los actos que emiten los Sujetos Obligados, está delimitada por la misma </w:t>
      </w:r>
      <w:r>
        <w:rPr>
          <w:rFonts w:ascii="Palatino Linotype" w:hAnsi="Palatino Linotype"/>
          <w:color w:val="000000"/>
        </w:rPr>
        <w:t>Ley</w:t>
      </w:r>
      <w:r>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53</w:t>
      </w:r>
      <w:r>
        <w:rPr>
          <w:rFonts w:ascii="Palatino Linotype" w:hAnsi="Palatino Linotype" w:cs="Arial"/>
          <w:i/>
        </w:rPr>
        <w:t xml:space="preserve">. Las Unidades de Transparencia tendrán las siguientes funciones: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II. Recibir, tramitar y dar respuesta a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IV. Realizar, con efectividad, los trámites internos necesarios para la atención de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 Entregar, en su caso, a los particulares la información solicitada;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 Efectuar las notificaciones a los solicitantes;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 Presentar ante el Comité, el proyecto de clasificación de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 Promover e implementar políticas de transparencia proactiva procurando su accesibilidad;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XII. Fomentar la transparencia y accesibilidad al interior del sujeto obligado;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lastRenderedPageBreak/>
        <w:t>XIV. Las demás que resulten necesarias para facilitar el acceso a la información y aquellas que se desprenden de la presente Ley y demás disposiciones jurídicas aplicables.”</w:t>
      </w: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Es decir, la impugnación del</w:t>
      </w:r>
      <w:r w:rsidRPr="00EC7606">
        <w:rPr>
          <w:rFonts w:ascii="Palatino Linotype" w:hAnsi="Palatino Linotype" w:cs="Arial"/>
          <w:b/>
        </w:rPr>
        <w:t xml:space="preserve"> RECURRENTE</w:t>
      </w:r>
      <w:r>
        <w:rPr>
          <w:rFonts w:ascii="Palatino Linotype" w:hAnsi="Palatino Linotype" w:cs="Arial"/>
        </w:rPr>
        <w:t xml:space="preserve"> debe ser sobre la emisión de un “Acto”, ya sea en </w:t>
      </w:r>
      <w:r>
        <w:rPr>
          <w:rFonts w:ascii="Palatino Linotype" w:hAnsi="Palatino Linotype"/>
          <w:color w:val="000000"/>
        </w:rPr>
        <w:t>sentido</w:t>
      </w:r>
      <w:r>
        <w:rPr>
          <w:rFonts w:ascii="Palatino Linotype" w:hAnsi="Palatino Linotype" w:cs="Arial"/>
        </w:rPr>
        <w:t xml:space="preserve"> positivo o negativo.</w:t>
      </w:r>
    </w:p>
    <w:p w:rsidR="000A2778" w:rsidRP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Ahora bien, </w:t>
      </w:r>
      <w:r>
        <w:rPr>
          <w:rFonts w:ascii="Palatino Linotype" w:hAnsi="Palatino Linotype"/>
          <w:color w:val="000000"/>
        </w:rPr>
        <w:t>por</w:t>
      </w:r>
      <w:r>
        <w:rPr>
          <w:rFonts w:ascii="Palatino Linotype" w:hAnsi="Palatino Linotype" w:cs="Arial"/>
        </w:rPr>
        <w:t xml:space="preserve"> cuanto hace al tercer elemento normativo, es en esencia una </w:t>
      </w:r>
      <w:r>
        <w:rPr>
          <w:rFonts w:ascii="Palatino Linotype" w:hAnsi="Palatino Linotype" w:cs="Arial"/>
          <w:lang w:val="es-ES_tradnl"/>
        </w:rPr>
        <w:t>condicional</w:t>
      </w:r>
      <w:r>
        <w:rPr>
          <w:rFonts w:ascii="Palatino Linotype" w:hAnsi="Palatino Linotype" w:cs="Arial"/>
        </w:rPr>
        <w:t>, consistente en que la dependencia o entidad responsable del acto o resolución impugnada la</w:t>
      </w:r>
      <w:r>
        <w:rPr>
          <w:rFonts w:ascii="Palatino Linotype" w:hAnsi="Palatino Linotype" w:cs="Arial"/>
          <w:b/>
        </w:rPr>
        <w:t xml:space="preserve"> </w:t>
      </w:r>
      <w:r w:rsidRPr="009000B6">
        <w:rPr>
          <w:rFonts w:ascii="Palatino Linotype" w:hAnsi="Palatino Linotype" w:cs="Arial"/>
        </w:rPr>
        <w:t>modifique</w:t>
      </w:r>
      <w:r>
        <w:rPr>
          <w:rFonts w:ascii="Palatino Linotype" w:hAnsi="Palatino Linotype" w:cs="Arial"/>
          <w:b/>
        </w:rPr>
        <w:t xml:space="preserve"> </w:t>
      </w:r>
      <w:r>
        <w:rPr>
          <w:rFonts w:ascii="Palatino Linotype" w:hAnsi="Palatino Linotype" w:cs="Arial"/>
        </w:rPr>
        <w:t xml:space="preserve">o revoque; en cuanto hace a la modificación, ocurre cuando quien emitió su respuesta (acto o resolución), con posterioridad </w:t>
      </w:r>
      <w:r w:rsidR="0093255C">
        <w:rPr>
          <w:rFonts w:ascii="Palatino Linotype" w:hAnsi="Palatino Linotype" w:cs="Arial"/>
        </w:rPr>
        <w:t>amplia</w:t>
      </w:r>
      <w:r>
        <w:rPr>
          <w:rFonts w:ascii="Palatino Linotype" w:hAnsi="Palatino Linotype" w:cs="Arial"/>
        </w:rPr>
        <w:t xml:space="preserve"> la información proporcionada en un principio, cuyos resultados no dejan sin efectos la respuesta dada, sino que tiene por objeto añadir, suprimir, o sustituir datos, lo cual puede ser de forma parcial.</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Por cuanto hace a la revocación, a diferencia de la modificación, ocurre cuando la </w:t>
      </w:r>
      <w:r>
        <w:rPr>
          <w:rFonts w:ascii="Palatino Linotype" w:hAnsi="Palatino Linotype" w:cs="Arial"/>
          <w:lang w:val="es-ES_tradnl"/>
        </w:rPr>
        <w:t>dependencia</w:t>
      </w:r>
      <w:r>
        <w:rPr>
          <w:rFonts w:ascii="Palatino Linotype" w:hAnsi="Palatino Linotype" w:cs="Arial"/>
        </w:rPr>
        <w:t xml:space="preserve"> o entidad responsable (</w:t>
      </w:r>
      <w:r>
        <w:rPr>
          <w:rFonts w:ascii="Palatino Linotype" w:hAnsi="Palatino Linotype" w:cs="Arial"/>
          <w:b/>
        </w:rPr>
        <w:t>SUJETO OBLIGADO</w:t>
      </w:r>
      <w:r>
        <w:rPr>
          <w:rFonts w:ascii="Palatino Linotype" w:hAnsi="Palatino Linotype" w:cs="Arial"/>
        </w:rPr>
        <w:t xml:space="preserve">), del acto o resolución impugnada, </w:t>
      </w:r>
      <w:r>
        <w:rPr>
          <w:rFonts w:ascii="Palatino Linotype" w:hAnsi="Palatino Linotype"/>
          <w:color w:val="000000"/>
        </w:rPr>
        <w:t>suprime</w:t>
      </w:r>
      <w:r>
        <w:rPr>
          <w:rFonts w:ascii="Palatino Linotype" w:hAnsi="Palatino Linotype" w:cs="Arial"/>
        </w:rPr>
        <w:t xml:space="preserve">, elimina o cancela la totalidad de su respuesta y emite otra en su lugar </w:t>
      </w:r>
      <w:r w:rsidR="00C17665">
        <w:rPr>
          <w:rFonts w:ascii="Palatino Linotype" w:hAnsi="Palatino Linotype" w:cs="Arial"/>
        </w:rPr>
        <w:t>precisando</w:t>
      </w:r>
      <w:r>
        <w:rPr>
          <w:rFonts w:ascii="Palatino Linotype" w:hAnsi="Palatino Linotype" w:cs="Arial"/>
        </w:rPr>
        <w:t xml:space="preserve"> lo que en un principio respondió.</w:t>
      </w:r>
    </w:p>
    <w:p w:rsidR="00794713" w:rsidRPr="00794713"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ese </w:t>
      </w:r>
      <w:r>
        <w:rPr>
          <w:rFonts w:ascii="Palatino Linotype" w:hAnsi="Palatino Linotype" w:cs="Arial"/>
          <w:lang w:val="es-ES_tradnl"/>
        </w:rPr>
        <w:t>tenor</w:t>
      </w:r>
      <w:r>
        <w:rPr>
          <w:rFonts w:ascii="Palatino Linotype" w:hAnsi="Palatino Linotype" w:cs="Arial"/>
        </w:rPr>
        <w:t xml:space="preserve">, un acto impugnado queda sin efectos, cuando aun existiendo </w:t>
      </w:r>
      <w:r>
        <w:rPr>
          <w:rFonts w:ascii="Palatino Linotype" w:hAnsi="Palatino Linotype"/>
          <w:color w:val="000000"/>
        </w:rPr>
        <w:t>jurídicamente</w:t>
      </w:r>
      <w:r>
        <w:rPr>
          <w:rFonts w:ascii="Palatino Linotype" w:hAnsi="Palatino Linotype" w:cs="Arial"/>
        </w:rPr>
        <w:t xml:space="preserve"> (esto es, que no se ha modificado, ni revocado) ya no genera ninguna consecuencia legal.</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tanto que, un acto impugnado queda sin materia, cuando ha sido satisfecha la pretensión de lo pedido o exigido por </w:t>
      </w:r>
      <w:r w:rsidR="009000B6">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b/>
        </w:rPr>
        <w:t xml:space="preserve"> </w:t>
      </w:r>
      <w:r>
        <w:rPr>
          <w:rFonts w:ascii="Palatino Linotype" w:hAnsi="Palatino Linotype" w:cs="Arial"/>
        </w:rPr>
        <w:t xml:space="preserve">de manera que </w:t>
      </w:r>
      <w:r>
        <w:rPr>
          <w:rFonts w:ascii="Palatino Linotype" w:hAnsi="Palatino Linotype" w:cs="Arial"/>
          <w:b/>
        </w:rPr>
        <w:t xml:space="preserve">EL SUJETO OBLIGADO </w:t>
      </w:r>
      <w:r>
        <w:rPr>
          <w:rFonts w:ascii="Palatino Linotype" w:hAnsi="Palatino Linotype" w:cs="Arial"/>
        </w:rPr>
        <w:t xml:space="preserve">entrega una respuesta </w:t>
      </w:r>
      <w:r w:rsidR="009000B6">
        <w:rPr>
          <w:rFonts w:ascii="Palatino Linotype" w:hAnsi="Palatino Linotype" w:cs="Arial"/>
        </w:rPr>
        <w:t xml:space="preserve">y la amplia con </w:t>
      </w:r>
      <w:r>
        <w:rPr>
          <w:rFonts w:ascii="Palatino Linotype" w:hAnsi="Palatino Linotype" w:cs="Arial"/>
        </w:rPr>
        <w:t xml:space="preserve">posterior </w:t>
      </w:r>
      <w:r w:rsidR="009000B6">
        <w:rPr>
          <w:rFonts w:ascii="Palatino Linotype" w:hAnsi="Palatino Linotype" w:cs="Arial"/>
        </w:rPr>
        <w:t>en</w:t>
      </w:r>
      <w:r>
        <w:rPr>
          <w:rFonts w:ascii="Palatino Linotype" w:hAnsi="Palatino Linotype" w:cs="Arial"/>
        </w:rPr>
        <w:t xml:space="preserve"> los </w:t>
      </w:r>
      <w:r>
        <w:rPr>
          <w:rFonts w:ascii="Palatino Linotype" w:hAnsi="Palatino Linotype" w:cs="Arial"/>
        </w:rPr>
        <w:lastRenderedPageBreak/>
        <w:t xml:space="preserve">términos previstos en la ley, mediante </w:t>
      </w:r>
      <w:r>
        <w:rPr>
          <w:rFonts w:ascii="Palatino Linotype" w:hAnsi="Palatino Linotype"/>
          <w:color w:val="000000"/>
        </w:rPr>
        <w:t>ésta</w:t>
      </w:r>
      <w:r>
        <w:rPr>
          <w:rFonts w:ascii="Palatino Linotype" w:hAnsi="Palatino Linotype" w:cs="Arial"/>
        </w:rPr>
        <w:t xml:space="preserve"> </w:t>
      </w:r>
      <w:r w:rsidR="009000B6">
        <w:rPr>
          <w:rFonts w:ascii="Palatino Linotype" w:hAnsi="Palatino Linotype" w:cs="Arial"/>
        </w:rPr>
        <w:t xml:space="preserve">le explica los motivos por lo que no cuenta con </w:t>
      </w:r>
      <w:r>
        <w:rPr>
          <w:rFonts w:ascii="Palatino Linotype" w:hAnsi="Palatino Linotype" w:cs="Arial"/>
        </w:rPr>
        <w:t>la información solicitada</w:t>
      </w:r>
      <w:r w:rsidR="0093255C">
        <w:rPr>
          <w:rFonts w:ascii="Palatino Linotype" w:hAnsi="Palatino Linotype" w:cs="Arial"/>
        </w:rPr>
        <w:t xml:space="preserve">; </w:t>
      </w:r>
      <w:r>
        <w:rPr>
          <w:rFonts w:ascii="Palatino Linotype" w:hAnsi="Palatino Linotype" w:cs="Arial"/>
        </w:rPr>
        <w:t>en este caso, a través del Informe Justificado.</w:t>
      </w:r>
    </w:p>
    <w:p w:rsidR="00585BF9" w:rsidRDefault="00585BF9"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Pr>
          <w:rFonts w:ascii="Palatino Linotype" w:hAnsi="Palatino Linotype" w:cs="Arial"/>
          <w:b/>
        </w:rPr>
        <w:t>EL SUJETO OBLIGADO</w:t>
      </w:r>
      <w:r>
        <w:rPr>
          <w:rFonts w:ascii="Palatino Linotype" w:hAnsi="Palatino Linotype" w:cs="Arial"/>
        </w:rPr>
        <w:t xml:space="preserve"> mediante </w:t>
      </w:r>
      <w:r>
        <w:rPr>
          <w:rFonts w:ascii="Palatino Linotype" w:hAnsi="Palatino Linotype"/>
          <w:color w:val="000000"/>
        </w:rPr>
        <w:t>un</w:t>
      </w:r>
      <w:r>
        <w:rPr>
          <w:rFonts w:ascii="Palatino Linotype" w:hAnsi="Palatino Linotype" w:cs="Arial"/>
        </w:rPr>
        <w:t xml:space="preserve"> acto posterior a su respuesta, como lo fue el Informe Justificado, </w:t>
      </w:r>
      <w:r w:rsidR="009000B6">
        <w:rPr>
          <w:rFonts w:ascii="Palatino Linotype" w:hAnsi="Palatino Linotype" w:cs="Arial"/>
        </w:rPr>
        <w:t xml:space="preserve">le justifica porque no cuenta con la información </w:t>
      </w:r>
      <w:r>
        <w:rPr>
          <w:rFonts w:ascii="Palatino Linotype" w:hAnsi="Palatino Linotype" w:cs="Arial"/>
        </w:rPr>
        <w:t xml:space="preserve">requerida por </w:t>
      </w:r>
      <w:r w:rsidR="009000B6">
        <w:rPr>
          <w:rFonts w:ascii="Palatino Linotype" w:hAnsi="Palatino Linotype" w:cs="Arial"/>
          <w:b/>
        </w:rPr>
        <w:t>EL</w:t>
      </w:r>
      <w:r w:rsidRPr="00A3428D">
        <w:rPr>
          <w:rFonts w:ascii="Palatino Linotype" w:hAnsi="Palatino Linotype" w:cs="Arial"/>
          <w:b/>
        </w:rPr>
        <w:t xml:space="preserve"> RECURRENTE</w:t>
      </w:r>
      <w:r w:rsidR="00C17665">
        <w:rPr>
          <w:rFonts w:ascii="Palatino Linotype" w:hAnsi="Palatino Linotype" w:cs="Arial"/>
          <w:b/>
        </w:rPr>
        <w:t xml:space="preserve">, </w:t>
      </w:r>
      <w:r w:rsidR="00C17665" w:rsidRPr="0093255C">
        <w:rPr>
          <w:rFonts w:ascii="Palatino Linotype" w:hAnsi="Palatino Linotype" w:cs="Arial"/>
          <w:b/>
          <w:u w:val="single"/>
        </w:rPr>
        <w:t xml:space="preserve">ya que no cuenta con una norma </w:t>
      </w:r>
      <w:r w:rsidR="0093255C" w:rsidRPr="0093255C">
        <w:rPr>
          <w:rFonts w:ascii="Palatino Linotype" w:hAnsi="Palatino Linotype" w:cs="Arial"/>
          <w:b/>
          <w:u w:val="single"/>
        </w:rPr>
        <w:t>específica</w:t>
      </w:r>
      <w:r w:rsidR="00C17665" w:rsidRPr="0093255C">
        <w:rPr>
          <w:rFonts w:ascii="Palatino Linotype" w:hAnsi="Palatino Linotype" w:cs="Arial"/>
          <w:b/>
          <w:u w:val="single"/>
        </w:rPr>
        <w:t xml:space="preserve"> para el uso de el</w:t>
      </w:r>
      <w:r w:rsidR="00C32A3A">
        <w:rPr>
          <w:rFonts w:ascii="Palatino Linotype" w:hAnsi="Palatino Linotype" w:cs="Arial"/>
          <w:b/>
          <w:u w:val="single"/>
        </w:rPr>
        <w:t>ementos caninos, pero le precisó</w:t>
      </w:r>
      <w:r w:rsidR="00C17665" w:rsidRPr="0093255C">
        <w:rPr>
          <w:rFonts w:ascii="Palatino Linotype" w:hAnsi="Palatino Linotype" w:cs="Arial"/>
          <w:b/>
          <w:u w:val="single"/>
        </w:rPr>
        <w:t xml:space="preserve"> la legalidad del mismo</w:t>
      </w:r>
      <w:r w:rsidR="0093255C">
        <w:rPr>
          <w:rFonts w:ascii="Palatino Linotype" w:hAnsi="Palatino Linotype" w:cs="Arial"/>
          <w:b/>
          <w:u w:val="single"/>
        </w:rPr>
        <w:t>;</w:t>
      </w:r>
      <w:r w:rsidR="00C17665" w:rsidRPr="0093255C">
        <w:rPr>
          <w:rFonts w:ascii="Palatino Linotype" w:hAnsi="Palatino Linotype" w:cs="Arial"/>
          <w:b/>
          <w:u w:val="single"/>
        </w:rPr>
        <w:t xml:space="preserve"> a través</w:t>
      </w:r>
      <w:r w:rsidR="0093255C">
        <w:rPr>
          <w:rFonts w:ascii="Palatino Linotype" w:hAnsi="Palatino Linotype" w:cs="Arial"/>
          <w:b/>
          <w:u w:val="single"/>
        </w:rPr>
        <w:t>,</w:t>
      </w:r>
      <w:r w:rsidR="00C17665" w:rsidRPr="0093255C">
        <w:rPr>
          <w:rFonts w:ascii="Palatino Linotype" w:hAnsi="Palatino Linotype" w:cs="Arial"/>
          <w:b/>
          <w:u w:val="single"/>
        </w:rPr>
        <w:t xml:space="preserve"> de la tesis jurisprudencial señalada en párrafos que anteceden</w:t>
      </w:r>
      <w:r w:rsidR="00C32A3A">
        <w:rPr>
          <w:rFonts w:ascii="Palatino Linotype" w:hAnsi="Palatino Linotype" w:cs="Arial"/>
          <w:b/>
          <w:u w:val="single"/>
        </w:rPr>
        <w:t xml:space="preserve"> y que el marco jurídico referido en respuesta del que se desprende que el Ministerio Público realice las diligencias pertinentes con los auxilios que estime útiles y conducentes</w:t>
      </w:r>
      <w:r>
        <w:rPr>
          <w:rFonts w:ascii="Palatino Linotype" w:hAnsi="Palatino Linotype" w:cs="Arial"/>
        </w:rPr>
        <w:t>, lo que colma su derecho humano de acceso a la información pública y deja sin materia el presente recurso.</w:t>
      </w:r>
    </w:p>
    <w:p w:rsidR="00794713" w:rsidRPr="00794713"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hAnsi="Palatino Linotype"/>
          <w:color w:val="000000"/>
        </w:rPr>
        <w:t xml:space="preserve">En consecuencia, </w:t>
      </w:r>
      <w:r>
        <w:rPr>
          <w:rFonts w:ascii="Palatino Linotype" w:hAnsi="Palatino Linotype"/>
        </w:rPr>
        <w:t xml:space="preserve">se </w:t>
      </w:r>
      <w:r>
        <w:rPr>
          <w:rFonts w:ascii="Palatino Linotype" w:hAnsi="Palatino Linotype" w:cs="Arial"/>
          <w:lang w:val="es-ES_tradnl"/>
        </w:rPr>
        <w:t xml:space="preserve">determina </w:t>
      </w:r>
      <w:r>
        <w:rPr>
          <w:rFonts w:ascii="Palatino Linotype" w:hAnsi="Palatino Linotype" w:cs="Arial"/>
          <w:b/>
          <w:lang w:val="es-ES_tradnl"/>
        </w:rPr>
        <w:t>SOBRESEER</w:t>
      </w:r>
      <w:r>
        <w:rPr>
          <w:rFonts w:ascii="Palatino Linotype" w:hAnsi="Palatino Linotype" w:cs="Arial"/>
          <w:lang w:val="es-ES_tradnl"/>
        </w:rPr>
        <w:t xml:space="preserve"> el presente recurso de revisión, en </w:t>
      </w:r>
      <w:r>
        <w:rPr>
          <w:rFonts w:ascii="Palatino Linotype" w:hAnsi="Palatino Linotype"/>
          <w:bCs/>
        </w:rPr>
        <w:t>términos</w:t>
      </w:r>
      <w:r>
        <w:rPr>
          <w:rFonts w:ascii="Palatino Linotype" w:hAnsi="Palatino Linotype" w:cs="Arial"/>
          <w:lang w:val="es-ES_tradnl"/>
        </w:rPr>
        <w:t xml:space="preserve"> del artículo 186, fracción I, de la </w:t>
      </w:r>
      <w:r>
        <w:rPr>
          <w:rFonts w:ascii="Palatino Linotype" w:eastAsia="Calibri" w:hAnsi="Palatino Linotype" w:cs="Arial"/>
        </w:rPr>
        <w:t xml:space="preserve">Ley de Transparencia y Acceso a la Información Pública del Estado de México y Municipios dado a que </w:t>
      </w:r>
      <w:r>
        <w:rPr>
          <w:rFonts w:ascii="Palatino Linotype" w:eastAsia="Calibri" w:hAnsi="Palatino Linotype" w:cs="Arial"/>
          <w:b/>
        </w:rPr>
        <w:t>EL SUJETO OBLIGADO</w:t>
      </w:r>
      <w:r>
        <w:rPr>
          <w:rFonts w:ascii="Palatino Linotype" w:eastAsia="Calibri" w:hAnsi="Palatino Linotype" w:cs="Arial"/>
        </w:rPr>
        <w:t xml:space="preserve"> a través del informe justificado colmó el derecho de acceso a la información pública accionado por el particular, </w:t>
      </w:r>
      <w:r w:rsidR="00207343">
        <w:rPr>
          <w:rFonts w:ascii="Palatino Linotype" w:eastAsia="Calibri" w:hAnsi="Palatino Linotype" w:cs="Arial"/>
        </w:rPr>
        <w:t>al precisarle porque no cuenta con</w:t>
      </w:r>
      <w:r>
        <w:rPr>
          <w:rFonts w:ascii="Palatino Linotype" w:eastAsia="Calibri" w:hAnsi="Palatino Linotype" w:cs="Arial"/>
        </w:rPr>
        <w:t xml:space="preserve"> la información requerida por </w:t>
      </w:r>
      <w:r w:rsidR="009000B6">
        <w:rPr>
          <w:rFonts w:ascii="Palatino Linotype" w:hAnsi="Palatino Linotype" w:cs="Arial"/>
          <w:b/>
        </w:rPr>
        <w:t>EL</w:t>
      </w:r>
      <w:r w:rsidRPr="00A3428D">
        <w:rPr>
          <w:rFonts w:ascii="Palatino Linotype" w:hAnsi="Palatino Linotype" w:cs="Arial"/>
          <w:b/>
        </w:rPr>
        <w:t xml:space="preserve"> RECURRENTE</w:t>
      </w:r>
      <w:r w:rsidR="00207343">
        <w:rPr>
          <w:rFonts w:ascii="Palatino Linotype" w:eastAsia="Calibri" w:hAnsi="Palatino Linotype" w:cs="Arial"/>
        </w:rPr>
        <w:t>.</w:t>
      </w:r>
    </w:p>
    <w:p w:rsidR="00207343"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A3428D"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sidR="00880D9C">
        <w:rPr>
          <w:rFonts w:ascii="Palatino Linotype" w:hAnsi="Palatino Linotype"/>
        </w:rPr>
        <w:t xml:space="preserve"> segundo</w:t>
      </w:r>
      <w:r w:rsidRPr="00A3428D">
        <w:rPr>
          <w:rFonts w:ascii="Palatino Linotype" w:hAnsi="Palatino Linotype"/>
        </w:rPr>
        <w:t xml:space="preserve">, vigésimo </w:t>
      </w:r>
      <w:r w:rsidR="00880D9C">
        <w:rPr>
          <w:rFonts w:ascii="Palatino Linotype" w:hAnsi="Palatino Linotype"/>
        </w:rPr>
        <w:t>tercero</w:t>
      </w:r>
      <w:r w:rsidRPr="00A3428D">
        <w:rPr>
          <w:rFonts w:ascii="Palatino Linotype" w:hAnsi="Palatino Linotype"/>
        </w:rPr>
        <w:t xml:space="preserve"> y vigésimo </w:t>
      </w:r>
      <w:r w:rsidR="00880D9C">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xml:space="preserve">, 36, fracciones </w:t>
      </w:r>
      <w:r w:rsidRPr="00A3428D">
        <w:rPr>
          <w:rFonts w:ascii="Palatino Linotype" w:hAnsi="Palatino Linotype"/>
        </w:rPr>
        <w:lastRenderedPageBreak/>
        <w:t>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0A2778" w:rsidRPr="00A3428D" w:rsidRDefault="000A2778" w:rsidP="000A2778">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794713" w:rsidRPr="00880D9C"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Pr>
          <w:rFonts w:ascii="Palatino Linotype" w:hAnsi="Palatino Linotype" w:cs="Arial"/>
          <w:b/>
          <w:sz w:val="28"/>
          <w:szCs w:val="28"/>
        </w:rPr>
        <w:t>PRIMERO</w:t>
      </w:r>
      <w:r w:rsidR="00176B90">
        <w:rPr>
          <w:rFonts w:ascii="Palatino Linotype" w:hAnsi="Palatino Linotype" w:cs="Arial"/>
          <w:b/>
          <w:sz w:val="28"/>
          <w:szCs w:val="28"/>
        </w:rPr>
        <w:t xml:space="preserve">. </w:t>
      </w:r>
      <w:r w:rsidR="00794713" w:rsidRPr="00880D9C">
        <w:rPr>
          <w:rFonts w:ascii="Palatino Linotype" w:hAnsi="Palatino Linotype" w:cs="Arial"/>
          <w:color w:val="000000" w:themeColor="text1"/>
        </w:rPr>
        <w:t>Se</w:t>
      </w:r>
      <w:r w:rsidR="00794713" w:rsidRPr="00880D9C">
        <w:rPr>
          <w:rFonts w:ascii="Palatino Linotype" w:hAnsi="Palatino Linotype" w:cs="Arial"/>
          <w:b/>
          <w:color w:val="000000" w:themeColor="text1"/>
        </w:rPr>
        <w:t xml:space="preserve"> SOBRESEE </w:t>
      </w:r>
      <w:r w:rsidR="00794713" w:rsidRPr="00880D9C">
        <w:rPr>
          <w:rFonts w:ascii="Palatino Linotype" w:hAnsi="Palatino Linotype" w:cs="Arial"/>
          <w:color w:val="000000" w:themeColor="text1"/>
        </w:rPr>
        <w:t xml:space="preserve">el </w:t>
      </w:r>
      <w:r w:rsidR="00794713" w:rsidRPr="00880D9C">
        <w:rPr>
          <w:rFonts w:ascii="Palatino Linotype" w:hAnsi="Palatino Linotype" w:cs="Arial"/>
          <w:color w:val="222222"/>
          <w:shd w:val="clear" w:color="auto" w:fill="FFFFFF"/>
        </w:rPr>
        <w:t>recurso</w:t>
      </w:r>
      <w:r w:rsidR="00794713" w:rsidRPr="00880D9C">
        <w:rPr>
          <w:rFonts w:ascii="Palatino Linotype" w:hAnsi="Palatino Linotype" w:cs="Arial"/>
          <w:color w:val="000000" w:themeColor="text1"/>
        </w:rPr>
        <w:t xml:space="preserve"> de </w:t>
      </w:r>
      <w:r w:rsidR="00794713" w:rsidRPr="00880D9C">
        <w:rPr>
          <w:rFonts w:ascii="Palatino Linotype" w:hAnsi="Palatino Linotype"/>
          <w:lang w:eastAsia="es-ES_tradnl"/>
        </w:rPr>
        <w:t>revisión</w:t>
      </w:r>
      <w:r w:rsidR="00794713" w:rsidRPr="00880D9C">
        <w:rPr>
          <w:rFonts w:ascii="Palatino Linotype" w:hAnsi="Palatino Linotype" w:cs="Arial"/>
          <w:color w:val="000000" w:themeColor="text1"/>
        </w:rPr>
        <w:t xml:space="preserve"> número</w:t>
      </w:r>
      <w:r w:rsidR="00794713" w:rsidRPr="00880D9C">
        <w:rPr>
          <w:rFonts w:ascii="Palatino Linotype" w:hAnsi="Palatino Linotype" w:cs="Arial"/>
          <w:b/>
          <w:color w:val="000000" w:themeColor="text1"/>
        </w:rPr>
        <w:t xml:space="preserve"> </w:t>
      </w:r>
      <w:r w:rsidR="00794713" w:rsidRPr="00880D9C">
        <w:rPr>
          <w:rFonts w:ascii="Palatino Linotype" w:hAnsi="Palatino Linotype" w:cs="Arial"/>
          <w:color w:val="000000" w:themeColor="text1"/>
        </w:rPr>
        <w:t>0</w:t>
      </w:r>
      <w:r w:rsidR="00207343" w:rsidRPr="00880D9C">
        <w:rPr>
          <w:rFonts w:ascii="Palatino Linotype" w:hAnsi="Palatino Linotype" w:cs="Arial"/>
          <w:color w:val="000000" w:themeColor="text1"/>
        </w:rPr>
        <w:t>6</w:t>
      </w:r>
      <w:r w:rsidR="00C17665">
        <w:rPr>
          <w:rFonts w:ascii="Palatino Linotype" w:hAnsi="Palatino Linotype" w:cs="Arial"/>
          <w:color w:val="000000" w:themeColor="text1"/>
        </w:rPr>
        <w:t>89</w:t>
      </w:r>
      <w:r w:rsidR="00207343" w:rsidRPr="00880D9C">
        <w:rPr>
          <w:rFonts w:ascii="Palatino Linotype" w:hAnsi="Palatino Linotype" w:cs="Arial"/>
          <w:color w:val="000000" w:themeColor="text1"/>
        </w:rPr>
        <w:t>2</w:t>
      </w:r>
      <w:r w:rsidR="00794713" w:rsidRPr="00880D9C">
        <w:rPr>
          <w:rFonts w:ascii="Palatino Linotype" w:hAnsi="Palatino Linotype" w:cs="Arial"/>
          <w:color w:val="000000" w:themeColor="text1"/>
        </w:rPr>
        <w:t xml:space="preserve">/INFOEM/IP/RR/2019, porque al modificar la respuesta, el recurso de revisión quedó sin materia en </w:t>
      </w:r>
      <w:r w:rsidR="00794713" w:rsidRPr="00880D9C">
        <w:rPr>
          <w:rFonts w:ascii="Palatino Linotype" w:hAnsi="Palatino Linotype"/>
          <w:lang w:eastAsia="es-ES_tradnl"/>
        </w:rPr>
        <w:t>términos</w:t>
      </w:r>
      <w:r w:rsidR="00794713" w:rsidRPr="00880D9C">
        <w:rPr>
          <w:rFonts w:ascii="Palatino Linotype" w:hAnsi="Palatino Linotype" w:cs="Arial"/>
          <w:color w:val="000000" w:themeColor="text1"/>
        </w:rPr>
        <w:t xml:space="preserve"> del Considerando</w:t>
      </w:r>
      <w:r w:rsidR="00794713" w:rsidRPr="00880D9C">
        <w:rPr>
          <w:rFonts w:ascii="Palatino Linotype" w:hAnsi="Palatino Linotype" w:cs="Arial"/>
          <w:b/>
          <w:color w:val="000000" w:themeColor="text1"/>
        </w:rPr>
        <w:t xml:space="preserve"> QUINTO </w:t>
      </w:r>
      <w:r w:rsidR="00794713" w:rsidRPr="00880D9C">
        <w:rPr>
          <w:rFonts w:ascii="Palatino Linotype" w:hAnsi="Palatino Linotype" w:cs="Arial"/>
          <w:color w:val="000000" w:themeColor="text1"/>
        </w:rPr>
        <w:t>de la presente resolución.</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sidRPr="00B57F73">
        <w:rPr>
          <w:rFonts w:ascii="Palatino Linotype" w:hAnsi="Palatino Linotype" w:cs="Arial"/>
          <w:b/>
          <w:color w:val="222222"/>
          <w:sz w:val="28"/>
          <w:szCs w:val="28"/>
          <w:shd w:val="clear" w:color="auto" w:fill="FFFFFF"/>
        </w:rPr>
        <w:t xml:space="preserve">SEGUNDO </w:t>
      </w:r>
      <w:r w:rsidR="00794713" w:rsidRPr="00880D9C">
        <w:rPr>
          <w:rFonts w:ascii="Palatino Linotype" w:hAnsi="Palatino Linotype" w:cs="Arial"/>
          <w:b/>
          <w:color w:val="222222"/>
          <w:sz w:val="24"/>
          <w:szCs w:val="24"/>
          <w:shd w:val="clear" w:color="auto" w:fill="FFFFFF"/>
        </w:rPr>
        <w:t xml:space="preserve">Notifíquese </w:t>
      </w:r>
      <w:r w:rsidR="00794713" w:rsidRPr="00880D9C">
        <w:rPr>
          <w:rFonts w:ascii="Palatino Linotype" w:hAnsi="Palatino Linotype" w:cs="Arial"/>
          <w:color w:val="222222"/>
          <w:sz w:val="24"/>
          <w:szCs w:val="24"/>
          <w:shd w:val="clear" w:color="auto" w:fill="FFFFFF"/>
        </w:rPr>
        <w:t xml:space="preserve">al </w:t>
      </w:r>
      <w:r w:rsidR="00794713" w:rsidRPr="00880D9C">
        <w:rPr>
          <w:rFonts w:ascii="Palatino Linotype" w:hAnsi="Palatino Linotype"/>
          <w:sz w:val="24"/>
          <w:szCs w:val="24"/>
          <w:lang w:eastAsia="es-ES_tradnl"/>
        </w:rPr>
        <w:t>Titular</w:t>
      </w:r>
      <w:r w:rsidR="00794713" w:rsidRPr="00880D9C">
        <w:rPr>
          <w:rFonts w:ascii="Palatino Linotype" w:hAnsi="Palatino Linotype" w:cs="Arial"/>
          <w:color w:val="222222"/>
          <w:sz w:val="24"/>
          <w:szCs w:val="24"/>
          <w:shd w:val="clear" w:color="auto" w:fill="FFFFFF"/>
        </w:rPr>
        <w:t xml:space="preserve"> de la Unidad de Transparencia del</w:t>
      </w:r>
      <w:r w:rsidR="00794713" w:rsidRPr="00880D9C">
        <w:rPr>
          <w:rStyle w:val="apple-converted-space"/>
          <w:rFonts w:ascii="Palatino Linotype" w:eastAsiaTheme="majorEastAsia" w:hAnsi="Palatino Linotype" w:cs="Arial"/>
          <w:color w:val="222222"/>
          <w:sz w:val="24"/>
          <w:szCs w:val="24"/>
          <w:shd w:val="clear" w:color="auto" w:fill="FFFFFF"/>
        </w:rPr>
        <w:t xml:space="preserve"> </w:t>
      </w:r>
      <w:r w:rsidR="00794713" w:rsidRPr="00880D9C">
        <w:rPr>
          <w:rFonts w:ascii="Palatino Linotype" w:hAnsi="Palatino Linotype" w:cs="Arial"/>
          <w:b/>
          <w:color w:val="222222"/>
          <w:sz w:val="24"/>
          <w:szCs w:val="24"/>
          <w:shd w:val="clear" w:color="auto" w:fill="FFFFFF"/>
        </w:rPr>
        <w:t>SUJETO OBLIGADO</w:t>
      </w:r>
      <w:r w:rsidR="00794713" w:rsidRPr="00880D9C">
        <w:rPr>
          <w:rFonts w:ascii="Palatino Linotype" w:hAnsi="Palatino Linotype" w:cs="Arial"/>
          <w:color w:val="222222"/>
          <w:sz w:val="24"/>
          <w:szCs w:val="24"/>
          <w:shd w:val="clear" w:color="auto" w:fill="FFFFFF"/>
        </w:rPr>
        <w:t xml:space="preserve"> para su conocimiento. </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TERCERO.</w:t>
      </w:r>
      <w:r>
        <w:rPr>
          <w:rFonts w:ascii="Palatino Linotype" w:eastAsiaTheme="minorEastAsia" w:hAnsi="Palatino Linotype"/>
          <w:b/>
          <w:color w:val="222222"/>
          <w:lang w:eastAsia="es-ES_tradnl"/>
        </w:rPr>
        <w:t xml:space="preserve"> </w:t>
      </w:r>
      <w:r w:rsidR="00794713" w:rsidRPr="00880D9C">
        <w:rPr>
          <w:rFonts w:ascii="Palatino Linotype" w:eastAsiaTheme="minorEastAsia" w:hAnsi="Palatino Linotype"/>
          <w:b/>
          <w:color w:val="222222"/>
          <w:sz w:val="24"/>
          <w:szCs w:val="24"/>
          <w:lang w:eastAsia="es-ES_tradnl"/>
        </w:rPr>
        <w:t>Notifíquese</w:t>
      </w:r>
      <w:r w:rsidR="00794713" w:rsidRPr="00880D9C">
        <w:rPr>
          <w:rFonts w:ascii="Palatino Linotype" w:eastAsiaTheme="minorEastAsia" w:hAnsi="Palatino Linotype"/>
          <w:color w:val="222222"/>
          <w:sz w:val="24"/>
          <w:szCs w:val="24"/>
          <w:lang w:eastAsia="es-ES_tradnl"/>
        </w:rPr>
        <w:t xml:space="preserve"> a</w:t>
      </w:r>
      <w:r w:rsidR="00207343" w:rsidRPr="00880D9C">
        <w:rPr>
          <w:rFonts w:ascii="Palatino Linotype" w:eastAsiaTheme="minorEastAsia" w:hAnsi="Palatino Linotype"/>
          <w:color w:val="222222"/>
          <w:sz w:val="24"/>
          <w:szCs w:val="24"/>
          <w:lang w:eastAsia="es-ES_tradnl"/>
        </w:rPr>
        <w:t>l</w:t>
      </w:r>
      <w:r w:rsidR="00794713" w:rsidRPr="00880D9C">
        <w:rPr>
          <w:rFonts w:ascii="Palatino Linotype" w:eastAsiaTheme="minorEastAsia" w:hAnsi="Palatino Linotype"/>
          <w:b/>
          <w:color w:val="222222"/>
          <w:sz w:val="24"/>
          <w:szCs w:val="24"/>
          <w:lang w:eastAsia="es-ES_tradnl"/>
        </w:rPr>
        <w:t xml:space="preserve"> RECURRENTE</w:t>
      </w:r>
      <w:r w:rsidR="00794713" w:rsidRPr="00880D9C">
        <w:rPr>
          <w:rFonts w:ascii="Palatino Linotype" w:eastAsiaTheme="minorEastAsia" w:hAnsi="Palatino Linotype"/>
          <w:color w:val="222222"/>
          <w:sz w:val="24"/>
          <w:szCs w:val="24"/>
          <w:lang w:eastAsia="es-ES_tradnl"/>
        </w:rPr>
        <w:t xml:space="preserve"> la </w:t>
      </w:r>
      <w:r w:rsidR="00794713" w:rsidRPr="00880D9C">
        <w:rPr>
          <w:rFonts w:ascii="Palatino Linotype" w:hAnsi="Palatino Linotype"/>
          <w:sz w:val="24"/>
          <w:szCs w:val="24"/>
          <w:lang w:eastAsia="es-ES_tradnl"/>
        </w:rPr>
        <w:t>presente</w:t>
      </w:r>
      <w:r w:rsidR="00794713" w:rsidRPr="00880D9C">
        <w:rPr>
          <w:rFonts w:ascii="Palatino Linotype" w:eastAsiaTheme="minorEastAsia" w:hAnsi="Palatino Linotype"/>
          <w:color w:val="222222"/>
          <w:sz w:val="24"/>
          <w:szCs w:val="24"/>
          <w:lang w:eastAsia="es-ES_tradnl"/>
        </w:rPr>
        <w:t xml:space="preserve"> resolución.</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CUARTO.</w:t>
      </w:r>
      <w:r>
        <w:rPr>
          <w:rFonts w:ascii="Palatino Linotype" w:eastAsiaTheme="minorEastAsia" w:hAnsi="Palatino Linotype"/>
          <w:b/>
          <w:color w:val="222222"/>
          <w:lang w:eastAsia="es-ES_tradnl"/>
        </w:rPr>
        <w:t xml:space="preserve"> </w:t>
      </w:r>
      <w:r w:rsidR="00794713" w:rsidRPr="00880D9C">
        <w:rPr>
          <w:rFonts w:ascii="Palatino Linotype" w:eastAsiaTheme="minorEastAsia" w:hAnsi="Palatino Linotype"/>
          <w:b/>
          <w:color w:val="222222"/>
          <w:sz w:val="24"/>
          <w:szCs w:val="24"/>
          <w:lang w:eastAsia="es-ES_tradnl"/>
        </w:rPr>
        <w:t>Hágase del conocimiento</w:t>
      </w:r>
      <w:r w:rsidR="00794713" w:rsidRPr="00880D9C">
        <w:rPr>
          <w:rFonts w:ascii="Palatino Linotype" w:eastAsiaTheme="minorEastAsia" w:hAnsi="Palatino Linotype"/>
          <w:color w:val="222222"/>
          <w:sz w:val="24"/>
          <w:szCs w:val="24"/>
          <w:lang w:eastAsia="es-ES_tradnl"/>
        </w:rPr>
        <w:t xml:space="preserve"> a</w:t>
      </w:r>
      <w:r w:rsidR="00207343" w:rsidRPr="00880D9C">
        <w:rPr>
          <w:rFonts w:ascii="Palatino Linotype" w:eastAsiaTheme="minorEastAsia" w:hAnsi="Palatino Linotype"/>
          <w:color w:val="222222"/>
          <w:sz w:val="24"/>
          <w:szCs w:val="24"/>
          <w:lang w:eastAsia="es-ES_tradnl"/>
        </w:rPr>
        <w:t>l</w:t>
      </w:r>
      <w:r w:rsidR="00794713" w:rsidRPr="00880D9C">
        <w:rPr>
          <w:rFonts w:ascii="Palatino Linotype" w:eastAsiaTheme="minorEastAsia" w:hAnsi="Palatino Linotype"/>
          <w:b/>
          <w:color w:val="222222"/>
          <w:sz w:val="24"/>
          <w:szCs w:val="24"/>
          <w:lang w:eastAsia="es-ES_tradnl"/>
        </w:rPr>
        <w:t xml:space="preserve"> RECURRENTE</w:t>
      </w:r>
      <w:r w:rsidR="00794713" w:rsidRPr="00880D9C">
        <w:rPr>
          <w:rFonts w:ascii="Palatino Linotype" w:eastAsiaTheme="minorEastAsia" w:hAnsi="Palatino Linotype"/>
          <w:color w:val="222222"/>
          <w:sz w:val="24"/>
          <w:szCs w:val="24"/>
          <w:lang w:eastAsia="es-ES_tradnl"/>
        </w:rPr>
        <w:t xml:space="preserve"> que de </w:t>
      </w:r>
      <w:r w:rsidR="00794713" w:rsidRPr="00880D9C">
        <w:rPr>
          <w:rFonts w:ascii="Palatino Linotype" w:hAnsi="Palatino Linotype"/>
          <w:sz w:val="24"/>
          <w:szCs w:val="24"/>
          <w:lang w:eastAsia="es-ES_tradnl"/>
        </w:rPr>
        <w:t>conformidad</w:t>
      </w:r>
      <w:r w:rsidR="00794713" w:rsidRPr="00880D9C">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1A7E24" w:rsidRPr="0008172C" w:rsidRDefault="00C053E7"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C053E7">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color w:val="000000" w:themeColor="text1"/>
        </w:rPr>
        <w:t xml:space="preserve"> EMITIENDO VOTO PARTICULAR</w:t>
      </w:r>
      <w:r w:rsidRPr="00C053E7">
        <w:rPr>
          <w:rFonts w:ascii="Palatino Linotype" w:hAnsi="Palatino Linotype" w:cs="Arial"/>
          <w:color w:val="000000" w:themeColor="text1"/>
        </w:rPr>
        <w:t>; JAVIER MARTÍNEZ CRUZ</w:t>
      </w:r>
      <w:r>
        <w:rPr>
          <w:rFonts w:ascii="Palatino Linotype" w:hAnsi="Palatino Linotype" w:cs="Arial"/>
          <w:color w:val="000000" w:themeColor="text1"/>
        </w:rPr>
        <w:t xml:space="preserve"> EMITIENDO VOTO PARTICULAR</w:t>
      </w:r>
      <w:r w:rsidRPr="00C053E7">
        <w:rPr>
          <w:rFonts w:ascii="Palatino Linotype" w:hAnsi="Palatino Linotype" w:cs="Arial"/>
          <w:color w:val="000000" w:themeColor="text1"/>
        </w:rPr>
        <w:t xml:space="preserve">, Y LUIS GUSTAVO PARRA NORIEGA; EN LA </w:t>
      </w:r>
      <w:r w:rsidRPr="00C053E7">
        <w:rPr>
          <w:rFonts w:ascii="Palatino Linotype" w:hAnsi="Palatino Linotype" w:cs="Arial"/>
          <w:color w:val="000000" w:themeColor="text1"/>
        </w:rPr>
        <w:lastRenderedPageBreak/>
        <w:t>CUADRAGÉSIMA PRIMERA 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C053E7" w:rsidTr="00597B85">
        <w:trPr>
          <w:jc w:val="center"/>
        </w:trPr>
        <w:tc>
          <w:tcPr>
            <w:tcW w:w="10368" w:type="dxa"/>
            <w:gridSpan w:val="2"/>
          </w:tcPr>
          <w:p w:rsidR="00794713" w:rsidRPr="00C053E7" w:rsidRDefault="00794713" w:rsidP="00C053E7">
            <w:pPr>
              <w:spacing w:after="0"/>
              <w:rPr>
                <w:rFonts w:ascii="Palatino Linotype" w:hAnsi="Palatino Linotype" w:cs="Arial"/>
                <w:b/>
                <w:lang w:val="es-ES_tradnl"/>
              </w:rPr>
            </w:pPr>
          </w:p>
          <w:p w:rsidR="00C053E7" w:rsidRPr="00C053E7" w:rsidRDefault="00C053E7" w:rsidP="00C053E7">
            <w:pPr>
              <w:spacing w:after="0"/>
              <w:jc w:val="center"/>
              <w:rPr>
                <w:rFonts w:ascii="Palatino Linotype" w:hAnsi="Palatino Linotype" w:cs="Arial"/>
                <w:b/>
                <w:lang w:val="es-ES_tradnl"/>
              </w:rPr>
            </w:pPr>
          </w:p>
          <w:p w:rsidR="00C053E7" w:rsidRDefault="00C053E7" w:rsidP="00C053E7">
            <w:pPr>
              <w:spacing w:after="0"/>
              <w:rPr>
                <w:rFonts w:ascii="Palatino Linotype" w:hAnsi="Palatino Linotype" w:cs="Arial"/>
                <w:b/>
                <w:lang w:val="es-ES_tradnl"/>
              </w:rPr>
            </w:pPr>
          </w:p>
          <w:p w:rsidR="00C053E7" w:rsidRPr="00C053E7" w:rsidRDefault="00C053E7" w:rsidP="00C053E7">
            <w:pPr>
              <w:spacing w:after="0"/>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Zulema Martínez Sánchez</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sz w:val="24"/>
                <w:szCs w:val="24"/>
                <w:lang w:val="es-ES_tradnl"/>
              </w:rPr>
              <w:t>Comisionada Presidenta</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tc>
      </w:tr>
      <w:tr w:rsidR="0078246F" w:rsidRPr="00C053E7" w:rsidTr="00597B85">
        <w:trPr>
          <w:jc w:val="center"/>
        </w:trPr>
        <w:tc>
          <w:tcPr>
            <w:tcW w:w="5184" w:type="dxa"/>
          </w:tcPr>
          <w:p w:rsidR="0078246F" w:rsidRPr="00C053E7" w:rsidRDefault="0078246F"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 xml:space="preserve">Eva </w:t>
            </w:r>
            <w:proofErr w:type="spellStart"/>
            <w:r w:rsidRPr="00C053E7">
              <w:rPr>
                <w:rFonts w:ascii="Palatino Linotype" w:hAnsi="Palatino Linotype" w:cs="Arial"/>
                <w:b/>
                <w:sz w:val="24"/>
                <w:szCs w:val="24"/>
                <w:lang w:val="es-ES_tradnl"/>
              </w:rPr>
              <w:t>Abaid</w:t>
            </w:r>
            <w:proofErr w:type="spellEnd"/>
            <w:r w:rsidRPr="00C053E7">
              <w:rPr>
                <w:rFonts w:ascii="Palatino Linotype" w:hAnsi="Palatino Linotype" w:cs="Arial"/>
                <w:b/>
                <w:sz w:val="24"/>
                <w:szCs w:val="24"/>
                <w:lang w:val="es-ES_tradnl"/>
              </w:rPr>
              <w:t xml:space="preserve"> </w:t>
            </w:r>
            <w:proofErr w:type="spellStart"/>
            <w:r w:rsidRPr="00C053E7">
              <w:rPr>
                <w:rFonts w:ascii="Palatino Linotype" w:hAnsi="Palatino Linotype" w:cs="Arial"/>
                <w:b/>
                <w:sz w:val="24"/>
                <w:szCs w:val="24"/>
                <w:lang w:val="es-ES_tradnl"/>
              </w:rPr>
              <w:t>Yapur</w:t>
            </w:r>
            <w:proofErr w:type="spellEnd"/>
          </w:p>
          <w:p w:rsidR="0078246F" w:rsidRPr="00C053E7" w:rsidRDefault="0078246F" w:rsidP="0078246F">
            <w:pPr>
              <w:spacing w:after="0"/>
              <w:jc w:val="center"/>
              <w:rPr>
                <w:rFonts w:ascii="Palatino Linotype" w:hAnsi="Palatino Linotype" w:cs="Arial"/>
                <w:sz w:val="24"/>
                <w:szCs w:val="24"/>
                <w:lang w:val="es-ES_tradnl"/>
              </w:rPr>
            </w:pPr>
            <w:r w:rsidRPr="00C053E7">
              <w:rPr>
                <w:rFonts w:ascii="Palatino Linotype" w:hAnsi="Palatino Linotype" w:cs="Arial"/>
                <w:sz w:val="24"/>
                <w:szCs w:val="24"/>
                <w:lang w:val="es-ES_tradnl"/>
              </w:rPr>
              <w:t>Comisionada</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tc>
        <w:tc>
          <w:tcPr>
            <w:tcW w:w="5184" w:type="dxa"/>
          </w:tcPr>
          <w:p w:rsidR="00794713" w:rsidRPr="00C053E7" w:rsidRDefault="00794713"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José Guadalupe Luna Hernández</w:t>
            </w:r>
          </w:p>
          <w:p w:rsidR="0078246F" w:rsidRPr="00C053E7" w:rsidRDefault="0078246F" w:rsidP="0078246F">
            <w:pPr>
              <w:spacing w:after="0"/>
              <w:jc w:val="center"/>
              <w:rPr>
                <w:rFonts w:ascii="Palatino Linotype" w:hAnsi="Palatino Linotype" w:cs="Arial"/>
                <w:sz w:val="24"/>
                <w:szCs w:val="24"/>
                <w:lang w:val="es-ES_tradnl"/>
              </w:rPr>
            </w:pPr>
            <w:r w:rsidRPr="00C053E7">
              <w:rPr>
                <w:rFonts w:ascii="Palatino Linotype" w:hAnsi="Palatino Linotype" w:cs="Arial"/>
                <w:sz w:val="24"/>
                <w:szCs w:val="24"/>
                <w:lang w:val="es-ES_tradnl"/>
              </w:rPr>
              <w:t>Comisionado</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tc>
      </w:tr>
      <w:tr w:rsidR="0078246F" w:rsidRPr="00C053E7" w:rsidTr="00597B85">
        <w:trPr>
          <w:jc w:val="center"/>
        </w:trPr>
        <w:tc>
          <w:tcPr>
            <w:tcW w:w="5184" w:type="dxa"/>
          </w:tcPr>
          <w:p w:rsidR="00794713" w:rsidRPr="00C053E7" w:rsidRDefault="00794713" w:rsidP="0078246F">
            <w:pPr>
              <w:spacing w:after="0"/>
              <w:jc w:val="center"/>
              <w:rPr>
                <w:rFonts w:ascii="Palatino Linotype" w:hAnsi="Palatino Linotype" w:cs="Arial"/>
                <w:b/>
                <w:lang w:val="es-ES_tradnl"/>
              </w:rPr>
            </w:pPr>
          </w:p>
          <w:p w:rsidR="00794713" w:rsidRPr="00C053E7" w:rsidRDefault="00794713"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Javier Martínez Cruz</w:t>
            </w:r>
          </w:p>
          <w:p w:rsidR="0078246F" w:rsidRPr="00C053E7" w:rsidRDefault="0078246F" w:rsidP="0078246F">
            <w:pPr>
              <w:spacing w:after="0"/>
              <w:jc w:val="center"/>
              <w:rPr>
                <w:rFonts w:ascii="Palatino Linotype" w:hAnsi="Palatino Linotype" w:cs="Arial"/>
                <w:sz w:val="24"/>
                <w:szCs w:val="24"/>
                <w:lang w:val="es-ES_tradnl"/>
              </w:rPr>
            </w:pPr>
            <w:r w:rsidRPr="00C053E7">
              <w:rPr>
                <w:rFonts w:ascii="Palatino Linotype" w:hAnsi="Palatino Linotype" w:cs="Arial"/>
                <w:sz w:val="24"/>
                <w:szCs w:val="24"/>
                <w:lang w:val="es-ES_tradnl"/>
              </w:rPr>
              <w:t>Comisionado</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tc>
        <w:tc>
          <w:tcPr>
            <w:tcW w:w="5184" w:type="dxa"/>
          </w:tcPr>
          <w:p w:rsidR="0078246F" w:rsidRPr="00C053E7" w:rsidRDefault="0078246F"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Luis Gustavo Parra Noriega</w:t>
            </w:r>
          </w:p>
          <w:p w:rsidR="0078246F" w:rsidRPr="00C053E7" w:rsidRDefault="0078246F" w:rsidP="0078246F">
            <w:pPr>
              <w:spacing w:after="0"/>
              <w:jc w:val="center"/>
              <w:rPr>
                <w:rFonts w:ascii="Palatino Linotype" w:hAnsi="Palatino Linotype" w:cs="Arial"/>
                <w:sz w:val="24"/>
                <w:szCs w:val="24"/>
                <w:lang w:val="es-ES_tradnl"/>
              </w:rPr>
            </w:pPr>
            <w:r w:rsidRPr="00C053E7">
              <w:rPr>
                <w:rFonts w:ascii="Palatino Linotype" w:hAnsi="Palatino Linotype" w:cs="Arial"/>
                <w:sz w:val="24"/>
                <w:szCs w:val="24"/>
                <w:lang w:val="es-ES_tradnl"/>
              </w:rPr>
              <w:t>Comisionado</w:t>
            </w: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tc>
      </w:tr>
      <w:tr w:rsidR="0078246F" w:rsidRPr="00C053E7" w:rsidTr="00597B85">
        <w:trPr>
          <w:jc w:val="center"/>
        </w:trPr>
        <w:tc>
          <w:tcPr>
            <w:tcW w:w="10368" w:type="dxa"/>
            <w:gridSpan w:val="2"/>
          </w:tcPr>
          <w:p w:rsidR="00794713" w:rsidRPr="00C053E7" w:rsidRDefault="00794713"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C053E7" w:rsidRPr="00C053E7" w:rsidRDefault="00C053E7" w:rsidP="0078246F">
            <w:pPr>
              <w:spacing w:after="0"/>
              <w:jc w:val="center"/>
              <w:rPr>
                <w:rFonts w:ascii="Palatino Linotype" w:hAnsi="Palatino Linotype" w:cs="Arial"/>
                <w:b/>
                <w:lang w:val="es-ES_tradnl"/>
              </w:rPr>
            </w:pPr>
          </w:p>
          <w:p w:rsidR="0078246F" w:rsidRPr="00C053E7"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Alexis Tapia Ramírez</w:t>
            </w:r>
          </w:p>
          <w:p w:rsidR="0078246F" w:rsidRPr="00C053E7" w:rsidRDefault="0078246F" w:rsidP="0078246F">
            <w:pPr>
              <w:spacing w:after="0"/>
              <w:jc w:val="center"/>
              <w:rPr>
                <w:rFonts w:ascii="Palatino Linotype" w:hAnsi="Palatino Linotype" w:cs="Arial"/>
                <w:sz w:val="24"/>
                <w:szCs w:val="24"/>
                <w:lang w:val="es-ES_tradnl"/>
              </w:rPr>
            </w:pPr>
            <w:r w:rsidRPr="00C053E7">
              <w:rPr>
                <w:rFonts w:ascii="Palatino Linotype" w:hAnsi="Palatino Linotype" w:cs="Arial"/>
                <w:sz w:val="24"/>
                <w:szCs w:val="24"/>
                <w:lang w:val="es-ES_tradnl"/>
              </w:rPr>
              <w:t>Secretario Técnico del Pleno</w:t>
            </w:r>
          </w:p>
          <w:p w:rsidR="0078246F" w:rsidRDefault="0078246F" w:rsidP="0078246F">
            <w:pPr>
              <w:spacing w:after="0"/>
              <w:jc w:val="center"/>
              <w:rPr>
                <w:rFonts w:ascii="Palatino Linotype" w:hAnsi="Palatino Linotype" w:cs="Arial"/>
                <w:b/>
                <w:sz w:val="24"/>
                <w:szCs w:val="24"/>
                <w:lang w:val="es-ES_tradnl"/>
              </w:rPr>
            </w:pPr>
            <w:r w:rsidRPr="00C053E7">
              <w:rPr>
                <w:rFonts w:ascii="Palatino Linotype" w:hAnsi="Palatino Linotype" w:cs="Arial"/>
                <w:b/>
                <w:sz w:val="24"/>
                <w:szCs w:val="24"/>
                <w:lang w:val="es-ES_tradnl"/>
              </w:rPr>
              <w:t>(RÚBRICA)</w:t>
            </w:r>
          </w:p>
          <w:p w:rsidR="00C053E7" w:rsidRPr="00C053E7" w:rsidRDefault="00C053E7" w:rsidP="0078246F">
            <w:pPr>
              <w:spacing w:after="0"/>
              <w:jc w:val="center"/>
              <w:rPr>
                <w:rFonts w:ascii="Palatino Linotype" w:hAnsi="Palatino Linotype" w:cs="Arial"/>
                <w:sz w:val="24"/>
                <w:szCs w:val="24"/>
                <w:lang w:val="es-ES_tradnl"/>
              </w:rPr>
            </w:pPr>
          </w:p>
        </w:tc>
      </w:tr>
    </w:tbl>
    <w:p w:rsidR="0078246F" w:rsidRPr="00C053E7" w:rsidRDefault="0078246F" w:rsidP="00C053E7">
      <w:pPr>
        <w:spacing w:after="0"/>
        <w:ind w:right="49"/>
        <w:jc w:val="both"/>
        <w:rPr>
          <w:rFonts w:ascii="Palatino Linotype" w:hAnsi="Palatino Linotype"/>
          <w:lang w:val="es-ES_tradnl"/>
        </w:rPr>
      </w:pPr>
      <w:r w:rsidRPr="00C053E7">
        <w:rPr>
          <w:rFonts w:ascii="Palatino Linotype" w:hAnsi="Palatino Linotype"/>
          <w:lang w:val="es-ES_tradnl"/>
        </w:rPr>
        <w:t xml:space="preserve">Esta hoja corresponde a la resolución del </w:t>
      </w:r>
      <w:r w:rsidR="00C17665" w:rsidRPr="00C053E7">
        <w:rPr>
          <w:rFonts w:ascii="Palatino Linotype" w:hAnsi="Palatino Linotype"/>
          <w:lang w:val="es-ES_tradnl"/>
        </w:rPr>
        <w:t>seis</w:t>
      </w:r>
      <w:r w:rsidRPr="00C053E7">
        <w:rPr>
          <w:rFonts w:ascii="Palatino Linotype" w:hAnsi="Palatino Linotype"/>
          <w:lang w:val="es-ES_tradnl"/>
        </w:rPr>
        <w:t xml:space="preserve"> de </w:t>
      </w:r>
      <w:r w:rsidR="00C17665" w:rsidRPr="00C053E7">
        <w:rPr>
          <w:rFonts w:ascii="Palatino Linotype" w:hAnsi="Palatino Linotype"/>
          <w:lang w:val="es-ES_tradnl"/>
        </w:rPr>
        <w:t>noviembre</w:t>
      </w:r>
      <w:r w:rsidRPr="00C053E7">
        <w:rPr>
          <w:rFonts w:ascii="Palatino Linotype" w:hAnsi="Palatino Linotype"/>
          <w:lang w:val="es-ES_tradnl"/>
        </w:rPr>
        <w:t xml:space="preserve"> de dos mil diecinueve, emitida en el recurso de revisión 0</w:t>
      </w:r>
      <w:r w:rsidR="00207343" w:rsidRPr="00C053E7">
        <w:rPr>
          <w:rFonts w:ascii="Palatino Linotype" w:hAnsi="Palatino Linotype"/>
          <w:lang w:val="es-ES_tradnl"/>
        </w:rPr>
        <w:t>6</w:t>
      </w:r>
      <w:r w:rsidR="00C17665" w:rsidRPr="00C053E7">
        <w:rPr>
          <w:rFonts w:ascii="Palatino Linotype" w:hAnsi="Palatino Linotype"/>
          <w:lang w:val="es-ES_tradnl"/>
        </w:rPr>
        <w:t>89</w:t>
      </w:r>
      <w:r w:rsidR="00207343" w:rsidRPr="00C053E7">
        <w:rPr>
          <w:rFonts w:ascii="Palatino Linotype" w:hAnsi="Palatino Linotype"/>
          <w:lang w:val="es-ES_tradnl"/>
        </w:rPr>
        <w:t>2</w:t>
      </w:r>
      <w:r w:rsidRPr="00C053E7">
        <w:rPr>
          <w:rFonts w:ascii="Palatino Linotype" w:hAnsi="Palatino Linotype"/>
          <w:lang w:val="es-ES_tradnl"/>
        </w:rPr>
        <w:t>/INFOEM/IP/RR/2019.</w:t>
      </w:r>
    </w:p>
    <w:p w:rsidR="006823BA" w:rsidRPr="00C053E7" w:rsidRDefault="0078246F" w:rsidP="00C053E7">
      <w:pPr>
        <w:spacing w:after="0"/>
        <w:ind w:right="49"/>
        <w:jc w:val="both"/>
        <w:rPr>
          <w:rFonts w:ascii="Palatino Linotype" w:hAnsi="Palatino Linotype" w:cs="Arial"/>
        </w:rPr>
      </w:pPr>
      <w:r w:rsidRPr="00C053E7">
        <w:rPr>
          <w:rFonts w:ascii="Palatino Linotype" w:hAnsi="Palatino Linotype"/>
          <w:lang w:val="es-ES_tradnl"/>
        </w:rPr>
        <w:t>YSM/LAGO</w:t>
      </w:r>
    </w:p>
    <w:sectPr w:rsidR="006823BA" w:rsidRPr="00C053E7" w:rsidSect="006823BA">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0AF" w:rsidRDefault="006C30AF" w:rsidP="006823BA">
      <w:pPr>
        <w:spacing w:after="0" w:line="240" w:lineRule="auto"/>
      </w:pPr>
      <w:r>
        <w:separator/>
      </w:r>
    </w:p>
  </w:endnote>
  <w:endnote w:type="continuationSeparator" w:id="0">
    <w:p w:rsidR="006C30AF" w:rsidRDefault="006C30A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0E1507" w:rsidRDefault="000E15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E54C1">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54C1">
              <w:rPr>
                <w:b/>
                <w:bCs/>
                <w:noProof/>
              </w:rPr>
              <w:t>28</w:t>
            </w:r>
            <w:r>
              <w:rPr>
                <w:b/>
                <w:bCs/>
                <w:sz w:val="24"/>
                <w:szCs w:val="24"/>
              </w:rPr>
              <w:fldChar w:fldCharType="end"/>
            </w:r>
          </w:p>
        </w:sdtContent>
      </w:sdt>
    </w:sdtContent>
  </w:sdt>
  <w:p w:rsidR="000E1507" w:rsidRDefault="000E1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EE" w:rsidRDefault="00EB0DEE" w:rsidP="00EB0DEE">
    <w:pPr>
      <w:pStyle w:val="Piedepgina"/>
      <w:jc w:val="right"/>
    </w:pPr>
    <w:r>
      <w:rPr>
        <w:lang w:val="es-ES"/>
      </w:rPr>
      <w:t xml:space="preserve">Página </w:t>
    </w:r>
    <w:sdt>
      <w:sdtPr>
        <w:id w:val="1270198785"/>
        <w:docPartObj>
          <w:docPartGallery w:val="Page Numbers (Bottom of Page)"/>
          <w:docPartUnique/>
        </w:docPartObj>
      </w:sdtPr>
      <w:sdtEndPr/>
      <w:sdtContent>
        <w:sdt>
          <w:sdtPr>
            <w:id w:val="1196431434"/>
            <w:docPartObj>
              <w:docPartGallery w:val="Page Numbers (Top of Page)"/>
              <w:docPartUnique/>
            </w:docPartObj>
          </w:sdtPr>
          <w:sdtEndPr/>
          <w:sdtContent>
            <w:r>
              <w:rPr>
                <w:b/>
                <w:bCs/>
                <w:sz w:val="24"/>
                <w:szCs w:val="24"/>
              </w:rPr>
              <w:fldChar w:fldCharType="begin"/>
            </w:r>
            <w:r>
              <w:rPr>
                <w:b/>
                <w:bCs/>
              </w:rPr>
              <w:instrText>PAGE</w:instrText>
            </w:r>
            <w:r>
              <w:rPr>
                <w:b/>
                <w:bCs/>
                <w:sz w:val="24"/>
                <w:szCs w:val="24"/>
              </w:rPr>
              <w:fldChar w:fldCharType="separate"/>
            </w:r>
            <w:r w:rsidR="005E54C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54C1">
              <w:rPr>
                <w:b/>
                <w:bCs/>
                <w:noProof/>
              </w:rPr>
              <w:t>28</w:t>
            </w:r>
            <w:r>
              <w:rPr>
                <w:b/>
                <w:bCs/>
                <w:sz w:val="24"/>
                <w:szCs w:val="24"/>
              </w:rPr>
              <w:fldChar w:fldCharType="end"/>
            </w:r>
          </w:sdtContent>
        </w:sdt>
      </w:sdtContent>
    </w:sdt>
  </w:p>
  <w:p w:rsidR="00EB0DEE" w:rsidRDefault="00EB0D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0AF" w:rsidRDefault="006C30AF" w:rsidP="006823BA">
      <w:pPr>
        <w:spacing w:after="0" w:line="240" w:lineRule="auto"/>
      </w:pPr>
      <w:r>
        <w:separator/>
      </w:r>
    </w:p>
  </w:footnote>
  <w:footnote w:type="continuationSeparator" w:id="0">
    <w:p w:rsidR="006C30AF" w:rsidRDefault="006C30AF"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0E1507" w:rsidRPr="004774CC" w:rsidTr="009B7E73">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0E1507" w:rsidRPr="004774CC" w:rsidRDefault="000E1507" w:rsidP="00C71FEE">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9B7E73">
            <w:rPr>
              <w:rFonts w:ascii="Palatino Linotype" w:eastAsia="Times New Roman" w:hAnsi="Palatino Linotype" w:cs="Times New Roman"/>
              <w:b/>
              <w:color w:val="808080" w:themeColor="background1" w:themeShade="80"/>
              <w:lang w:val="es-ES_tradnl" w:eastAsia="es-ES"/>
            </w:rPr>
            <w:t>6</w:t>
          </w:r>
          <w:r w:rsidR="00C71FEE">
            <w:rPr>
              <w:rFonts w:ascii="Palatino Linotype" w:eastAsia="Times New Roman" w:hAnsi="Palatino Linotype" w:cs="Times New Roman"/>
              <w:b/>
              <w:color w:val="808080" w:themeColor="background1" w:themeShade="80"/>
              <w:lang w:val="es-ES_tradnl" w:eastAsia="es-ES"/>
            </w:rPr>
            <w:t>892</w:t>
          </w:r>
          <w:r w:rsidRPr="004774CC">
            <w:rPr>
              <w:rFonts w:ascii="Palatino Linotype" w:eastAsia="Times New Roman" w:hAnsi="Palatino Linotype" w:cs="Times New Roman"/>
              <w:b/>
              <w:color w:val="808080" w:themeColor="background1" w:themeShade="80"/>
              <w:lang w:val="es-ES_tradnl" w:eastAsia="es-ES"/>
            </w:rPr>
            <w:t>/INFOEM/IP/RR/2019</w:t>
          </w:r>
        </w:p>
      </w:tc>
    </w:tr>
    <w:tr w:rsidR="000E1507" w:rsidRPr="004774CC" w:rsidTr="009B7E73">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0E1507" w:rsidRPr="004774CC" w:rsidRDefault="00C71FEE" w:rsidP="003D3B9B">
          <w:pPr>
            <w:spacing w:after="0" w:line="240" w:lineRule="auto"/>
            <w:rPr>
              <w:rFonts w:ascii="Palatino Linotype" w:eastAsia="Times New Roman" w:hAnsi="Palatino Linotype" w:cs="Times New Roman"/>
              <w:b/>
              <w:color w:val="808080" w:themeColor="background1" w:themeShade="80"/>
              <w:lang w:val="es-ES_tradnl" w:eastAsia="es-ES"/>
            </w:rPr>
          </w:pPr>
          <w:r w:rsidRPr="00C71FEE">
            <w:rPr>
              <w:rFonts w:ascii="Palatino Linotype" w:eastAsia="Times New Roman" w:hAnsi="Palatino Linotype" w:cs="Times New Roman"/>
              <w:b/>
              <w:color w:val="808080" w:themeColor="background1" w:themeShade="80"/>
              <w:lang w:val="es-ES_tradnl" w:eastAsia="es-ES"/>
            </w:rPr>
            <w:t>Fiscalía General de Justicia del Estado de México</w:t>
          </w:r>
        </w:p>
      </w:tc>
    </w:tr>
    <w:tr w:rsidR="000E1507" w:rsidRPr="004774CC" w:rsidTr="009B7E73">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0E1507" w:rsidRPr="004774CC"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0E1507" w:rsidRPr="00C053E7" w:rsidRDefault="000E1507">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0E1507" w:rsidRPr="005C36FD" w:rsidTr="00C053E7">
      <w:tc>
        <w:tcPr>
          <w:tcW w:w="2693"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832" w:type="dxa"/>
          <w:shd w:val="clear" w:color="auto" w:fill="auto"/>
          <w:vAlign w:val="center"/>
        </w:tcPr>
        <w:p w:rsidR="000E1507" w:rsidRPr="005C36FD" w:rsidRDefault="000E1507" w:rsidP="00C71FEE">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9B7E73">
            <w:rPr>
              <w:rFonts w:ascii="Palatino Linotype" w:eastAsia="Times New Roman" w:hAnsi="Palatino Linotype" w:cs="Times New Roman"/>
              <w:b/>
              <w:color w:val="808080" w:themeColor="background1" w:themeShade="80"/>
              <w:lang w:val="es-ES_tradnl" w:eastAsia="es-ES"/>
            </w:rPr>
            <w:t>6</w:t>
          </w:r>
          <w:r w:rsidR="00C71FEE">
            <w:rPr>
              <w:rFonts w:ascii="Palatino Linotype" w:eastAsia="Times New Roman" w:hAnsi="Palatino Linotype" w:cs="Times New Roman"/>
              <w:b/>
              <w:color w:val="808080" w:themeColor="background1" w:themeShade="80"/>
              <w:lang w:val="es-ES_tradnl" w:eastAsia="es-ES"/>
            </w:rPr>
            <w:t>892</w:t>
          </w:r>
          <w:r>
            <w:rPr>
              <w:rFonts w:ascii="Palatino Linotype" w:eastAsia="Times New Roman" w:hAnsi="Palatino Linotype" w:cs="Times New Roman"/>
              <w:b/>
              <w:color w:val="808080" w:themeColor="background1" w:themeShade="80"/>
              <w:lang w:val="es-ES_tradnl" w:eastAsia="es-ES"/>
            </w:rPr>
            <w:t xml:space="preserve">/INFOEM/IP/RR/2019 </w:t>
          </w:r>
        </w:p>
      </w:tc>
    </w:tr>
    <w:tr w:rsidR="000E1507" w:rsidRPr="005C36FD" w:rsidTr="00C053E7">
      <w:tc>
        <w:tcPr>
          <w:tcW w:w="2693"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832" w:type="dxa"/>
          <w:shd w:val="clear" w:color="auto" w:fill="auto"/>
          <w:vAlign w:val="center"/>
        </w:tcPr>
        <w:p w:rsidR="000E1507" w:rsidRPr="005C36FD" w:rsidRDefault="0034643F" w:rsidP="0069282C">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w:t>
          </w:r>
          <w:proofErr w:type="spellEnd"/>
          <w:r w:rsidR="00C71FEE">
            <w:rPr>
              <w:rFonts w:ascii="Palatino Linotype" w:eastAsia="Times New Roman" w:hAnsi="Palatino Linotype" w:cs="Times New Roman"/>
              <w:b/>
              <w:color w:val="808080" w:themeColor="background1" w:themeShade="80"/>
              <w:lang w:val="es-ES_tradnl" w:eastAsia="es-ES"/>
            </w:rPr>
            <w:t xml:space="preserve"> </w:t>
          </w:r>
        </w:p>
      </w:tc>
    </w:tr>
    <w:tr w:rsidR="000E1507" w:rsidRPr="005C36FD" w:rsidTr="00C053E7">
      <w:trPr>
        <w:trHeight w:val="228"/>
      </w:trPr>
      <w:tc>
        <w:tcPr>
          <w:tcW w:w="2693"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832" w:type="dxa"/>
          <w:shd w:val="clear" w:color="auto" w:fill="auto"/>
          <w:vAlign w:val="center"/>
        </w:tcPr>
        <w:p w:rsidR="000E1507" w:rsidRPr="005C36FD" w:rsidRDefault="00B101F5" w:rsidP="003D3B9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B101F5">
            <w:rPr>
              <w:rFonts w:ascii="Palatino Linotype" w:eastAsia="Times New Roman" w:hAnsi="Palatino Linotype" w:cs="Times New Roman"/>
              <w:b/>
              <w:color w:val="808080" w:themeColor="background1" w:themeShade="80"/>
              <w:lang w:val="es-ES_tradnl" w:eastAsia="es-ES"/>
            </w:rPr>
            <w:t>Fiscalía General de Justicia del Estado de México</w:t>
          </w:r>
        </w:p>
      </w:tc>
    </w:tr>
    <w:tr w:rsidR="000E1507" w:rsidRPr="005C36FD" w:rsidTr="00C053E7">
      <w:tc>
        <w:tcPr>
          <w:tcW w:w="2693"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832" w:type="dxa"/>
          <w:shd w:val="clear" w:color="auto" w:fill="auto"/>
          <w:vAlign w:val="center"/>
        </w:tcPr>
        <w:p w:rsidR="000E1507" w:rsidRPr="005C36FD"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0E1507" w:rsidRPr="00C053E7" w:rsidRDefault="000E1507">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5206F"/>
    <w:rsid w:val="00060AE4"/>
    <w:rsid w:val="000611E8"/>
    <w:rsid w:val="0008172C"/>
    <w:rsid w:val="00086CF0"/>
    <w:rsid w:val="000A2778"/>
    <w:rsid w:val="000B2417"/>
    <w:rsid w:val="000D7CB9"/>
    <w:rsid w:val="000E1507"/>
    <w:rsid w:val="000E6180"/>
    <w:rsid w:val="00111443"/>
    <w:rsid w:val="00120FC4"/>
    <w:rsid w:val="00125A41"/>
    <w:rsid w:val="0013649D"/>
    <w:rsid w:val="00143C1F"/>
    <w:rsid w:val="001601D6"/>
    <w:rsid w:val="00166B08"/>
    <w:rsid w:val="00167DAA"/>
    <w:rsid w:val="00174903"/>
    <w:rsid w:val="00176B90"/>
    <w:rsid w:val="001A6EA1"/>
    <w:rsid w:val="001A7E24"/>
    <w:rsid w:val="001C3407"/>
    <w:rsid w:val="001C372D"/>
    <w:rsid w:val="001C4AAD"/>
    <w:rsid w:val="001C685A"/>
    <w:rsid w:val="00207343"/>
    <w:rsid w:val="00225926"/>
    <w:rsid w:val="00237EAF"/>
    <w:rsid w:val="0027043F"/>
    <w:rsid w:val="0027427A"/>
    <w:rsid w:val="00283B91"/>
    <w:rsid w:val="002878AE"/>
    <w:rsid w:val="002A28A1"/>
    <w:rsid w:val="002B0ECE"/>
    <w:rsid w:val="002B65B3"/>
    <w:rsid w:val="002C3938"/>
    <w:rsid w:val="002D5E30"/>
    <w:rsid w:val="00322B0A"/>
    <w:rsid w:val="00323EFC"/>
    <w:rsid w:val="003356DE"/>
    <w:rsid w:val="0034643F"/>
    <w:rsid w:val="00362E58"/>
    <w:rsid w:val="0037221B"/>
    <w:rsid w:val="00373FC9"/>
    <w:rsid w:val="00376DCE"/>
    <w:rsid w:val="00387E97"/>
    <w:rsid w:val="003B2F63"/>
    <w:rsid w:val="003D3B9B"/>
    <w:rsid w:val="00410BAE"/>
    <w:rsid w:val="004223EA"/>
    <w:rsid w:val="00427263"/>
    <w:rsid w:val="004602CA"/>
    <w:rsid w:val="0046137D"/>
    <w:rsid w:val="0047298C"/>
    <w:rsid w:val="004A056C"/>
    <w:rsid w:val="004A6DD8"/>
    <w:rsid w:val="004B7E42"/>
    <w:rsid w:val="004D35A7"/>
    <w:rsid w:val="005011D7"/>
    <w:rsid w:val="005026F8"/>
    <w:rsid w:val="00505E0F"/>
    <w:rsid w:val="0052153A"/>
    <w:rsid w:val="00523366"/>
    <w:rsid w:val="005237E8"/>
    <w:rsid w:val="00562E09"/>
    <w:rsid w:val="005846D7"/>
    <w:rsid w:val="00585BF9"/>
    <w:rsid w:val="00597B85"/>
    <w:rsid w:val="005A21A3"/>
    <w:rsid w:val="005A788B"/>
    <w:rsid w:val="005B0853"/>
    <w:rsid w:val="005B3134"/>
    <w:rsid w:val="005B6F85"/>
    <w:rsid w:val="005E4D60"/>
    <w:rsid w:val="005E54C1"/>
    <w:rsid w:val="005F78F7"/>
    <w:rsid w:val="006106D4"/>
    <w:rsid w:val="006279C7"/>
    <w:rsid w:val="006724AF"/>
    <w:rsid w:val="00675B77"/>
    <w:rsid w:val="006823BA"/>
    <w:rsid w:val="0069282C"/>
    <w:rsid w:val="006B163A"/>
    <w:rsid w:val="006C30AF"/>
    <w:rsid w:val="006D4218"/>
    <w:rsid w:val="006E3567"/>
    <w:rsid w:val="006F7E41"/>
    <w:rsid w:val="00705644"/>
    <w:rsid w:val="007058B0"/>
    <w:rsid w:val="00707E5D"/>
    <w:rsid w:val="0071074C"/>
    <w:rsid w:val="0078246F"/>
    <w:rsid w:val="00794713"/>
    <w:rsid w:val="007B2E4F"/>
    <w:rsid w:val="007C29B9"/>
    <w:rsid w:val="007C68B6"/>
    <w:rsid w:val="007D21FE"/>
    <w:rsid w:val="007D27E3"/>
    <w:rsid w:val="008113B3"/>
    <w:rsid w:val="00826A36"/>
    <w:rsid w:val="008332F9"/>
    <w:rsid w:val="0084755E"/>
    <w:rsid w:val="00847E50"/>
    <w:rsid w:val="00866279"/>
    <w:rsid w:val="00866688"/>
    <w:rsid w:val="008800CE"/>
    <w:rsid w:val="00880D9C"/>
    <w:rsid w:val="0088434F"/>
    <w:rsid w:val="0088435F"/>
    <w:rsid w:val="00896D62"/>
    <w:rsid w:val="008A067E"/>
    <w:rsid w:val="008A7575"/>
    <w:rsid w:val="008B1A15"/>
    <w:rsid w:val="008B2A27"/>
    <w:rsid w:val="008C60D3"/>
    <w:rsid w:val="009000B6"/>
    <w:rsid w:val="0090629D"/>
    <w:rsid w:val="0093255C"/>
    <w:rsid w:val="0093388F"/>
    <w:rsid w:val="00947E29"/>
    <w:rsid w:val="00955CD1"/>
    <w:rsid w:val="009833D5"/>
    <w:rsid w:val="009A16D1"/>
    <w:rsid w:val="009A2BAB"/>
    <w:rsid w:val="009B7E73"/>
    <w:rsid w:val="009D2340"/>
    <w:rsid w:val="009D3A8B"/>
    <w:rsid w:val="009D7CC6"/>
    <w:rsid w:val="00A00641"/>
    <w:rsid w:val="00A34831"/>
    <w:rsid w:val="00A36862"/>
    <w:rsid w:val="00A60B52"/>
    <w:rsid w:val="00A66CCF"/>
    <w:rsid w:val="00A71172"/>
    <w:rsid w:val="00A761FA"/>
    <w:rsid w:val="00AC576A"/>
    <w:rsid w:val="00AD041B"/>
    <w:rsid w:val="00B064FB"/>
    <w:rsid w:val="00B101F5"/>
    <w:rsid w:val="00B114EE"/>
    <w:rsid w:val="00B17480"/>
    <w:rsid w:val="00B20415"/>
    <w:rsid w:val="00B24AD3"/>
    <w:rsid w:val="00B34991"/>
    <w:rsid w:val="00B46422"/>
    <w:rsid w:val="00B57F73"/>
    <w:rsid w:val="00B60CA7"/>
    <w:rsid w:val="00B74D70"/>
    <w:rsid w:val="00B75041"/>
    <w:rsid w:val="00B75076"/>
    <w:rsid w:val="00B8490E"/>
    <w:rsid w:val="00B963EB"/>
    <w:rsid w:val="00BA0563"/>
    <w:rsid w:val="00BA3BE0"/>
    <w:rsid w:val="00BA538B"/>
    <w:rsid w:val="00BC5EB7"/>
    <w:rsid w:val="00BD659B"/>
    <w:rsid w:val="00BD79F2"/>
    <w:rsid w:val="00BE1D35"/>
    <w:rsid w:val="00BE2D6E"/>
    <w:rsid w:val="00C053E7"/>
    <w:rsid w:val="00C17665"/>
    <w:rsid w:val="00C318AA"/>
    <w:rsid w:val="00C32A3A"/>
    <w:rsid w:val="00C36CCE"/>
    <w:rsid w:val="00C508C9"/>
    <w:rsid w:val="00C57ECB"/>
    <w:rsid w:val="00C63208"/>
    <w:rsid w:val="00C71FEE"/>
    <w:rsid w:val="00C86037"/>
    <w:rsid w:val="00C904BD"/>
    <w:rsid w:val="00CB7681"/>
    <w:rsid w:val="00CC3949"/>
    <w:rsid w:val="00CC3FCF"/>
    <w:rsid w:val="00CD481C"/>
    <w:rsid w:val="00CE599E"/>
    <w:rsid w:val="00D05A9B"/>
    <w:rsid w:val="00D26249"/>
    <w:rsid w:val="00D3243E"/>
    <w:rsid w:val="00D407AD"/>
    <w:rsid w:val="00D546D6"/>
    <w:rsid w:val="00D55073"/>
    <w:rsid w:val="00D60D5F"/>
    <w:rsid w:val="00DA2140"/>
    <w:rsid w:val="00DC5EA5"/>
    <w:rsid w:val="00DE6DC8"/>
    <w:rsid w:val="00DF2DCA"/>
    <w:rsid w:val="00E20C6A"/>
    <w:rsid w:val="00E5072E"/>
    <w:rsid w:val="00E83C2D"/>
    <w:rsid w:val="00EB0DEE"/>
    <w:rsid w:val="00EC50A9"/>
    <w:rsid w:val="00EF51DD"/>
    <w:rsid w:val="00F32CC0"/>
    <w:rsid w:val="00F41517"/>
    <w:rsid w:val="00F56603"/>
    <w:rsid w:val="00F72F7A"/>
    <w:rsid w:val="00F73757"/>
    <w:rsid w:val="00F7609C"/>
    <w:rsid w:val="00F80B33"/>
    <w:rsid w:val="00FB7494"/>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6445-3645-427F-A32F-DDB787A2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6632</Words>
  <Characters>36482</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6</cp:revision>
  <cp:lastPrinted>2019-11-11T22:54:00Z</cp:lastPrinted>
  <dcterms:created xsi:type="dcterms:W3CDTF">2019-10-31T15:41:00Z</dcterms:created>
  <dcterms:modified xsi:type="dcterms:W3CDTF">2019-12-20T00:08:00Z</dcterms:modified>
</cp:coreProperties>
</file>