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E2F" w:rsidRDefault="00AB0E2F" w:rsidP="00AB0E2F">
      <w:pPr>
        <w:spacing w:after="0"/>
        <w:jc w:val="right"/>
        <w:rPr>
          <w:rFonts w:ascii="Arial" w:hAnsi="Arial" w:cs="Arial"/>
        </w:rPr>
      </w:pPr>
      <w:bookmarkStart w:id="0" w:name="_GoBack"/>
      <w:bookmarkEnd w:id="0"/>
    </w:p>
    <w:p w:rsidR="00AB0E2F" w:rsidRDefault="00AB0E2F" w:rsidP="00AB0E2F">
      <w:pPr>
        <w:spacing w:after="0"/>
        <w:jc w:val="right"/>
        <w:rPr>
          <w:rFonts w:ascii="Arial" w:hAnsi="Arial" w:cs="Arial"/>
        </w:rPr>
      </w:pPr>
    </w:p>
    <w:p w:rsidR="00AB0E2F" w:rsidRDefault="00AB0E2F" w:rsidP="00AB0E2F">
      <w:pPr>
        <w:spacing w:after="0"/>
        <w:jc w:val="right"/>
        <w:rPr>
          <w:rFonts w:ascii="Arial" w:hAnsi="Arial" w:cs="Arial"/>
        </w:rPr>
      </w:pPr>
    </w:p>
    <w:p w:rsidR="00AB0E2F" w:rsidRDefault="00AB0E2F" w:rsidP="00AB0E2F">
      <w:pPr>
        <w:spacing w:after="0"/>
        <w:jc w:val="right"/>
        <w:rPr>
          <w:rFonts w:ascii="Arial" w:hAnsi="Arial" w:cs="Arial"/>
        </w:rPr>
      </w:pPr>
    </w:p>
    <w:p w:rsidR="00AB0E2F" w:rsidRDefault="00AB0E2F" w:rsidP="00AB0E2F">
      <w:pPr>
        <w:spacing w:after="0"/>
        <w:jc w:val="right"/>
        <w:rPr>
          <w:rFonts w:ascii="Arial" w:hAnsi="Arial" w:cs="Arial"/>
        </w:rPr>
      </w:pPr>
    </w:p>
    <w:p w:rsidR="00AB0E2F" w:rsidRDefault="00AB0E2F" w:rsidP="00AB0E2F">
      <w:pPr>
        <w:spacing w:after="0"/>
        <w:jc w:val="right"/>
        <w:rPr>
          <w:rFonts w:ascii="Arial" w:hAnsi="Arial" w:cs="Arial"/>
        </w:rPr>
      </w:pPr>
    </w:p>
    <w:p w:rsidR="00AB0E2F" w:rsidRPr="00695961" w:rsidRDefault="00AB0E2F" w:rsidP="00AB0E2F">
      <w:pPr>
        <w:spacing w:after="0"/>
        <w:jc w:val="right"/>
        <w:rPr>
          <w:rFonts w:ascii="Arial" w:hAnsi="Arial" w:cs="Arial"/>
          <w:sz w:val="20"/>
          <w:szCs w:val="20"/>
          <w:lang w:val="es-ES_tradnl"/>
        </w:rPr>
      </w:pPr>
      <w:r w:rsidRPr="00695961">
        <w:rPr>
          <w:rFonts w:ascii="Arial" w:hAnsi="Arial" w:cs="Arial"/>
          <w:sz w:val="20"/>
          <w:szCs w:val="20"/>
          <w:lang w:val="es-ES_tradnl"/>
        </w:rPr>
        <w:t>Coacalco de Berriozábal, Estado de México a veinticinco de septiembre de 2019.</w:t>
      </w:r>
    </w:p>
    <w:tbl>
      <w:tblPr>
        <w:tblStyle w:val="Tablaconcuadrcula"/>
        <w:tblpPr w:leftFromText="141" w:rightFromText="141" w:vertAnchor="text" w:horzAnchor="margin" w:tblpXSpec="right" w:tblpY="82"/>
        <w:tblW w:w="0" w:type="auto"/>
        <w:tblLook w:val="04A0" w:firstRow="1" w:lastRow="0" w:firstColumn="1" w:lastColumn="0" w:noHBand="0" w:noVBand="1"/>
      </w:tblPr>
      <w:tblGrid>
        <w:gridCol w:w="1717"/>
        <w:gridCol w:w="2821"/>
      </w:tblGrid>
      <w:tr w:rsidR="00AB0E2F" w:rsidRPr="00695961" w:rsidTr="0084384C">
        <w:trPr>
          <w:trHeight w:val="262"/>
        </w:trPr>
        <w:tc>
          <w:tcPr>
            <w:tcW w:w="1271" w:type="dxa"/>
          </w:tcPr>
          <w:p w:rsidR="00AB0E2F" w:rsidRPr="00695961" w:rsidRDefault="00AB0E2F" w:rsidP="0084384C">
            <w:pPr>
              <w:rPr>
                <w:rFonts w:ascii="Arial" w:hAnsi="Arial" w:cs="Arial"/>
                <w:sz w:val="20"/>
                <w:szCs w:val="20"/>
              </w:rPr>
            </w:pPr>
            <w:r w:rsidRPr="00695961">
              <w:rPr>
                <w:rFonts w:ascii="Arial" w:hAnsi="Arial" w:cs="Arial"/>
                <w:sz w:val="20"/>
                <w:szCs w:val="20"/>
              </w:rPr>
              <w:t>DEPENDENCIA:</w:t>
            </w:r>
          </w:p>
        </w:tc>
        <w:tc>
          <w:tcPr>
            <w:tcW w:w="2821" w:type="dxa"/>
          </w:tcPr>
          <w:p w:rsidR="00AB0E2F" w:rsidRPr="00695961" w:rsidRDefault="00AB0E2F" w:rsidP="0084384C">
            <w:pPr>
              <w:rPr>
                <w:rFonts w:ascii="Arial" w:hAnsi="Arial" w:cs="Arial"/>
                <w:sz w:val="20"/>
                <w:szCs w:val="20"/>
              </w:rPr>
            </w:pPr>
            <w:r w:rsidRPr="00695961">
              <w:rPr>
                <w:rFonts w:ascii="Arial" w:hAnsi="Arial" w:cs="Arial"/>
                <w:sz w:val="20"/>
                <w:szCs w:val="20"/>
              </w:rPr>
              <w:t>UNIDAD DE TRANSPARENCIA</w:t>
            </w:r>
          </w:p>
        </w:tc>
      </w:tr>
      <w:tr w:rsidR="00AB0E2F" w:rsidRPr="00695961" w:rsidTr="0084384C">
        <w:trPr>
          <w:trHeight w:val="247"/>
        </w:trPr>
        <w:tc>
          <w:tcPr>
            <w:tcW w:w="1271" w:type="dxa"/>
          </w:tcPr>
          <w:p w:rsidR="00AB0E2F" w:rsidRPr="00695961" w:rsidRDefault="00AB0E2F" w:rsidP="0084384C">
            <w:pPr>
              <w:rPr>
                <w:rFonts w:ascii="Arial" w:hAnsi="Arial" w:cs="Arial"/>
                <w:sz w:val="20"/>
                <w:szCs w:val="20"/>
              </w:rPr>
            </w:pPr>
            <w:r w:rsidRPr="00695961">
              <w:rPr>
                <w:rFonts w:ascii="Arial" w:hAnsi="Arial" w:cs="Arial"/>
                <w:sz w:val="20"/>
                <w:szCs w:val="20"/>
              </w:rPr>
              <w:t>OFICIO NÚM:</w:t>
            </w:r>
          </w:p>
        </w:tc>
        <w:tc>
          <w:tcPr>
            <w:tcW w:w="2821" w:type="dxa"/>
          </w:tcPr>
          <w:p w:rsidR="00AB0E2F" w:rsidRPr="00695961" w:rsidRDefault="00AB0E2F" w:rsidP="0084384C">
            <w:pPr>
              <w:jc w:val="both"/>
              <w:rPr>
                <w:rFonts w:ascii="Arial" w:hAnsi="Arial" w:cs="Arial"/>
                <w:sz w:val="20"/>
                <w:szCs w:val="20"/>
              </w:rPr>
            </w:pPr>
            <w:r w:rsidRPr="00695961">
              <w:rPr>
                <w:rFonts w:ascii="Arial" w:hAnsi="Arial" w:cs="Arial"/>
                <w:sz w:val="20"/>
                <w:szCs w:val="20"/>
              </w:rPr>
              <w:t>UT/IVA/1</w:t>
            </w:r>
            <w:r>
              <w:rPr>
                <w:rFonts w:ascii="Arial" w:hAnsi="Arial" w:cs="Arial"/>
                <w:sz w:val="20"/>
                <w:szCs w:val="20"/>
              </w:rPr>
              <w:t>310</w:t>
            </w:r>
            <w:r w:rsidRPr="00695961">
              <w:rPr>
                <w:rFonts w:ascii="Arial" w:hAnsi="Arial" w:cs="Arial"/>
                <w:sz w:val="20"/>
                <w:szCs w:val="20"/>
              </w:rPr>
              <w:t>/2019</w:t>
            </w:r>
          </w:p>
        </w:tc>
      </w:tr>
      <w:tr w:rsidR="00AB0E2F" w:rsidRPr="00695961" w:rsidTr="0084384C">
        <w:trPr>
          <w:trHeight w:val="262"/>
        </w:trPr>
        <w:tc>
          <w:tcPr>
            <w:tcW w:w="1271" w:type="dxa"/>
          </w:tcPr>
          <w:p w:rsidR="00AB0E2F" w:rsidRPr="00695961" w:rsidRDefault="00AB0E2F" w:rsidP="0084384C">
            <w:pPr>
              <w:rPr>
                <w:rFonts w:ascii="Arial" w:hAnsi="Arial" w:cs="Arial"/>
                <w:sz w:val="20"/>
                <w:szCs w:val="20"/>
              </w:rPr>
            </w:pPr>
            <w:r w:rsidRPr="00695961">
              <w:rPr>
                <w:rFonts w:ascii="Arial" w:hAnsi="Arial" w:cs="Arial"/>
                <w:sz w:val="20"/>
                <w:szCs w:val="20"/>
              </w:rPr>
              <w:t>ASUNTO:</w:t>
            </w:r>
          </w:p>
        </w:tc>
        <w:tc>
          <w:tcPr>
            <w:tcW w:w="2821" w:type="dxa"/>
          </w:tcPr>
          <w:p w:rsidR="00AB0E2F" w:rsidRPr="00695961" w:rsidRDefault="00AB0E2F" w:rsidP="0084384C">
            <w:pPr>
              <w:jc w:val="both"/>
              <w:rPr>
                <w:rFonts w:ascii="Arial" w:hAnsi="Arial" w:cs="Arial"/>
                <w:sz w:val="20"/>
                <w:szCs w:val="20"/>
              </w:rPr>
            </w:pPr>
            <w:r w:rsidRPr="00695961">
              <w:rPr>
                <w:rFonts w:ascii="Arial" w:hAnsi="Arial" w:cs="Arial"/>
                <w:sz w:val="20"/>
                <w:szCs w:val="20"/>
              </w:rPr>
              <w:t>SE RINDE INFORME JUSTIFICADO, SE OFRECEN ALEGATOS Y PRUEBAS</w:t>
            </w:r>
          </w:p>
        </w:tc>
      </w:tr>
      <w:tr w:rsidR="00AB0E2F" w:rsidRPr="00695961" w:rsidTr="0084384C">
        <w:trPr>
          <w:trHeight w:val="247"/>
        </w:trPr>
        <w:tc>
          <w:tcPr>
            <w:tcW w:w="1271" w:type="dxa"/>
          </w:tcPr>
          <w:p w:rsidR="00AB0E2F" w:rsidRPr="00695961" w:rsidRDefault="00AB0E2F" w:rsidP="0084384C">
            <w:pPr>
              <w:rPr>
                <w:rFonts w:ascii="Arial" w:hAnsi="Arial" w:cs="Arial"/>
                <w:sz w:val="20"/>
                <w:szCs w:val="20"/>
              </w:rPr>
            </w:pPr>
            <w:r w:rsidRPr="00695961">
              <w:rPr>
                <w:rFonts w:ascii="Arial" w:hAnsi="Arial" w:cs="Arial"/>
                <w:sz w:val="20"/>
                <w:szCs w:val="20"/>
              </w:rPr>
              <w:t>PRIORIDAD:</w:t>
            </w:r>
          </w:p>
        </w:tc>
        <w:tc>
          <w:tcPr>
            <w:tcW w:w="2821" w:type="dxa"/>
          </w:tcPr>
          <w:p w:rsidR="00AB0E2F" w:rsidRPr="00695961" w:rsidRDefault="00AB0E2F" w:rsidP="0084384C">
            <w:pPr>
              <w:rPr>
                <w:rFonts w:ascii="Arial" w:hAnsi="Arial" w:cs="Arial"/>
                <w:sz w:val="20"/>
                <w:szCs w:val="20"/>
              </w:rPr>
            </w:pPr>
            <w:r w:rsidRPr="00695961">
              <w:rPr>
                <w:rFonts w:ascii="Arial" w:hAnsi="Arial" w:cs="Arial"/>
                <w:sz w:val="20"/>
                <w:szCs w:val="20"/>
              </w:rPr>
              <w:t>ALTA</w:t>
            </w:r>
          </w:p>
        </w:tc>
      </w:tr>
    </w:tbl>
    <w:p w:rsidR="00AB0E2F" w:rsidRPr="00695961" w:rsidRDefault="00AB0E2F" w:rsidP="00AB0E2F">
      <w:pPr>
        <w:spacing w:after="0" w:line="240" w:lineRule="auto"/>
        <w:jc w:val="both"/>
        <w:rPr>
          <w:rFonts w:ascii="Arial" w:eastAsia="Times New Roman" w:hAnsi="Arial" w:cs="Arial"/>
          <w:b/>
          <w:color w:val="000000"/>
          <w:sz w:val="20"/>
          <w:szCs w:val="20"/>
          <w:lang w:eastAsia="es-MX"/>
        </w:rPr>
      </w:pPr>
    </w:p>
    <w:p w:rsidR="00AB0E2F" w:rsidRPr="00695961" w:rsidRDefault="00AB0E2F" w:rsidP="00AB0E2F">
      <w:pPr>
        <w:spacing w:after="0" w:line="240" w:lineRule="auto"/>
        <w:jc w:val="both"/>
        <w:rPr>
          <w:rFonts w:ascii="Arial" w:eastAsia="Times New Roman" w:hAnsi="Arial" w:cs="Arial"/>
          <w:b/>
          <w:color w:val="000000"/>
          <w:sz w:val="20"/>
          <w:szCs w:val="20"/>
          <w:lang w:eastAsia="es-MX"/>
        </w:rPr>
      </w:pPr>
    </w:p>
    <w:p w:rsidR="00AB0E2F" w:rsidRPr="00695961" w:rsidRDefault="00AB0E2F" w:rsidP="00AB0E2F">
      <w:pPr>
        <w:spacing w:after="0" w:line="240" w:lineRule="auto"/>
        <w:jc w:val="both"/>
        <w:rPr>
          <w:rFonts w:ascii="Arial" w:eastAsia="Times New Roman" w:hAnsi="Arial" w:cs="Arial"/>
          <w:b/>
          <w:color w:val="000000"/>
          <w:sz w:val="20"/>
          <w:szCs w:val="20"/>
          <w:lang w:eastAsia="es-MX"/>
        </w:rPr>
      </w:pPr>
    </w:p>
    <w:p w:rsidR="00AB0E2F" w:rsidRPr="00695961" w:rsidRDefault="00AB0E2F" w:rsidP="00AB0E2F">
      <w:pPr>
        <w:spacing w:after="0" w:line="240" w:lineRule="auto"/>
        <w:jc w:val="both"/>
        <w:rPr>
          <w:rFonts w:ascii="Arial" w:eastAsia="Times New Roman" w:hAnsi="Arial" w:cs="Arial"/>
          <w:b/>
          <w:color w:val="000000"/>
          <w:sz w:val="20"/>
          <w:szCs w:val="20"/>
          <w:lang w:eastAsia="es-MX"/>
        </w:rPr>
      </w:pPr>
    </w:p>
    <w:p w:rsidR="00AB0E2F" w:rsidRPr="00695961" w:rsidRDefault="00AB0E2F" w:rsidP="00AB0E2F">
      <w:pPr>
        <w:ind w:left="720" w:right="720"/>
        <w:rPr>
          <w:rFonts w:ascii="Montserrat SemiBold" w:hAnsi="Montserrat SemiBold"/>
          <w:sz w:val="20"/>
          <w:szCs w:val="20"/>
        </w:rPr>
      </w:pPr>
    </w:p>
    <w:p w:rsidR="00AB0E2F" w:rsidRPr="00695961" w:rsidRDefault="00AB0E2F" w:rsidP="00AB0E2F">
      <w:pPr>
        <w:spacing w:after="0"/>
        <w:ind w:left="720" w:right="720"/>
        <w:rPr>
          <w:rFonts w:cstheme="minorHAnsi"/>
          <w:b/>
          <w:sz w:val="20"/>
          <w:szCs w:val="20"/>
          <w:lang w:val="es-MX"/>
        </w:rPr>
      </w:pPr>
    </w:p>
    <w:p w:rsidR="00AB0E2F" w:rsidRPr="00695961" w:rsidRDefault="00AB0E2F" w:rsidP="00AB0E2F">
      <w:pPr>
        <w:spacing w:after="0"/>
        <w:ind w:left="720" w:right="720"/>
        <w:jc w:val="both"/>
        <w:rPr>
          <w:rFonts w:cstheme="minorHAnsi"/>
          <w:b/>
          <w:sz w:val="20"/>
          <w:szCs w:val="20"/>
          <w:lang w:val="es-MX"/>
        </w:rPr>
      </w:pPr>
    </w:p>
    <w:p w:rsidR="00AB0E2F" w:rsidRPr="00695961" w:rsidRDefault="00AB0E2F" w:rsidP="00AB0E2F">
      <w:pPr>
        <w:spacing w:after="0"/>
        <w:ind w:left="720" w:right="720"/>
        <w:jc w:val="both"/>
        <w:rPr>
          <w:rFonts w:cstheme="minorHAnsi"/>
          <w:b/>
          <w:sz w:val="20"/>
          <w:szCs w:val="20"/>
          <w:lang w:val="es-MX"/>
        </w:rPr>
      </w:pPr>
    </w:p>
    <w:p w:rsidR="00AB0E2F" w:rsidRPr="00695961" w:rsidRDefault="00AB0E2F" w:rsidP="00AB0E2F">
      <w:pPr>
        <w:spacing w:after="0"/>
        <w:ind w:left="720" w:right="720"/>
        <w:jc w:val="both"/>
        <w:rPr>
          <w:rFonts w:cstheme="minorHAnsi"/>
          <w:b/>
          <w:sz w:val="20"/>
          <w:szCs w:val="20"/>
          <w:lang w:val="es-MX"/>
        </w:rPr>
      </w:pPr>
    </w:p>
    <w:p w:rsidR="00AB0E2F" w:rsidRPr="00695961" w:rsidRDefault="00AB0E2F" w:rsidP="00AB0E2F">
      <w:pPr>
        <w:spacing w:after="0"/>
        <w:ind w:left="720" w:right="720"/>
        <w:rPr>
          <w:rFonts w:ascii="Arial" w:hAnsi="Arial" w:cs="Arial"/>
          <w:b/>
          <w:sz w:val="20"/>
          <w:szCs w:val="20"/>
          <w:lang w:val="es-ES_tradnl"/>
        </w:rPr>
      </w:pPr>
      <w:r w:rsidRPr="00695961">
        <w:rPr>
          <w:rFonts w:ascii="Arial" w:hAnsi="Arial" w:cs="Arial"/>
          <w:b/>
          <w:sz w:val="20"/>
          <w:szCs w:val="20"/>
          <w:lang w:val="es-ES_tradnl"/>
        </w:rPr>
        <w:t>COMISIONADO (A) DEL INFOEM</w:t>
      </w:r>
    </w:p>
    <w:p w:rsidR="00AB0E2F" w:rsidRPr="00695961" w:rsidRDefault="00AB0E2F" w:rsidP="00AB0E2F">
      <w:pPr>
        <w:spacing w:after="0"/>
        <w:ind w:left="720" w:right="720"/>
        <w:rPr>
          <w:rFonts w:ascii="Arial" w:hAnsi="Arial" w:cs="Arial"/>
          <w:b/>
          <w:sz w:val="20"/>
          <w:szCs w:val="20"/>
          <w:lang w:val="es-ES_tradnl"/>
        </w:rPr>
      </w:pPr>
      <w:r w:rsidRPr="00695961">
        <w:rPr>
          <w:rFonts w:ascii="Arial" w:hAnsi="Arial" w:cs="Arial"/>
          <w:b/>
          <w:sz w:val="20"/>
          <w:szCs w:val="20"/>
          <w:lang w:val="es-ES_tradnl"/>
        </w:rPr>
        <w:t>PRESENTE.</w:t>
      </w:r>
    </w:p>
    <w:p w:rsidR="00AB0E2F" w:rsidRPr="00695961" w:rsidRDefault="00AB0E2F" w:rsidP="00AB0E2F">
      <w:pPr>
        <w:ind w:left="720" w:right="720"/>
        <w:jc w:val="both"/>
        <w:rPr>
          <w:rFonts w:ascii="Arial" w:hAnsi="Arial" w:cs="Arial"/>
          <w:sz w:val="20"/>
          <w:szCs w:val="20"/>
          <w:lang w:val="es-ES_tradnl"/>
        </w:rPr>
      </w:pPr>
    </w:p>
    <w:p w:rsidR="00AB0E2F" w:rsidRPr="00695961" w:rsidRDefault="00AB0E2F" w:rsidP="00AB0E2F">
      <w:pPr>
        <w:ind w:left="720" w:right="720"/>
        <w:jc w:val="both"/>
        <w:rPr>
          <w:rFonts w:ascii="Arial" w:hAnsi="Arial" w:cs="Arial"/>
          <w:sz w:val="20"/>
          <w:szCs w:val="20"/>
          <w:lang w:val="es-ES_tradnl"/>
        </w:rPr>
      </w:pPr>
      <w:r w:rsidRPr="00695961">
        <w:rPr>
          <w:rFonts w:ascii="Arial" w:hAnsi="Arial" w:cs="Arial"/>
          <w:sz w:val="20"/>
          <w:szCs w:val="20"/>
          <w:lang w:val="es-ES_tradnl"/>
        </w:rPr>
        <w:t>ISRAEL VÍCTOR AGUAYO, por mi propio derecho y en mi carácter de Titular de la Unidad de Transparencia, del H. Ayuntamiento de Coacalco de Berriozábal, Estado de México, con fundamento en los artículos 176, 179, 185, 191 y 195 de la Ley de Transparencia y Acceso a la Información Pública del Estado de México y Municipios y en términos del Acuerdo de Admisión del Recurso de Revisión 072</w:t>
      </w:r>
      <w:r>
        <w:rPr>
          <w:rFonts w:ascii="Arial" w:hAnsi="Arial" w:cs="Arial"/>
          <w:sz w:val="20"/>
          <w:szCs w:val="20"/>
          <w:lang w:val="es-ES_tradnl"/>
        </w:rPr>
        <w:t>23</w:t>
      </w:r>
      <w:r w:rsidRPr="00695961">
        <w:rPr>
          <w:rFonts w:ascii="Arial" w:hAnsi="Arial" w:cs="Arial"/>
          <w:sz w:val="20"/>
          <w:szCs w:val="20"/>
          <w:lang w:val="es-ES_tradnl"/>
        </w:rPr>
        <w:t>/INFOEM/IP/RR/2019, fechado el trece de septiembre del dos mil diecinueve, por medio del presente escrito se rinde en tiempo y forma el informe justificado que en derecho corresponde, en los siguientes términos:</w:t>
      </w:r>
    </w:p>
    <w:p w:rsidR="00AB0E2F" w:rsidRPr="00695961" w:rsidRDefault="00AB0E2F" w:rsidP="00AB0E2F">
      <w:pPr>
        <w:ind w:left="720" w:right="720"/>
        <w:jc w:val="both"/>
        <w:rPr>
          <w:rFonts w:ascii="Arial" w:hAnsi="Arial" w:cs="Arial"/>
          <w:sz w:val="20"/>
          <w:szCs w:val="20"/>
          <w:lang w:val="es-ES_tradnl"/>
        </w:rPr>
      </w:pPr>
    </w:p>
    <w:p w:rsidR="00AB0E2F" w:rsidRPr="00695961" w:rsidRDefault="00AB0E2F" w:rsidP="00AB0E2F">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OPORTUNIDAD</w:t>
      </w:r>
    </w:p>
    <w:p w:rsidR="00AB0E2F" w:rsidRPr="00695961" w:rsidRDefault="00AB0E2F" w:rsidP="00AB0E2F">
      <w:pPr>
        <w:ind w:left="720" w:right="720"/>
        <w:jc w:val="both"/>
        <w:rPr>
          <w:rFonts w:ascii="Arial" w:hAnsi="Arial" w:cs="Arial"/>
          <w:sz w:val="20"/>
          <w:szCs w:val="20"/>
          <w:lang w:val="es-ES_tradnl"/>
        </w:rPr>
      </w:pPr>
    </w:p>
    <w:p w:rsidR="00AB0E2F" w:rsidRPr="00695961" w:rsidRDefault="00AB0E2F" w:rsidP="00AB0E2F">
      <w:pPr>
        <w:ind w:left="720" w:right="720"/>
        <w:jc w:val="both"/>
        <w:rPr>
          <w:rFonts w:ascii="Arial" w:hAnsi="Arial" w:cs="Arial"/>
          <w:sz w:val="20"/>
          <w:szCs w:val="20"/>
          <w:lang w:val="es-ES_tradnl"/>
        </w:rPr>
      </w:pPr>
      <w:r w:rsidRPr="00695961">
        <w:rPr>
          <w:rFonts w:ascii="Arial" w:hAnsi="Arial" w:cs="Arial"/>
          <w:sz w:val="20"/>
          <w:szCs w:val="20"/>
          <w:lang w:val="es-ES_tradnl"/>
        </w:rPr>
        <w:t>En primer lugar, se hace notar que el presente informe justificado, los alegatos y el ofrecimiento de pruebas, se presentan en tiempo y forma, dentro del término de siete días hábiles, de conformidad con la fracción II del artículo 185 de la Ley de Transparencia y Acceso a la Información Pública del Estado de México y Municipios y que para pronta referencia se transcribe a continuación:</w:t>
      </w:r>
    </w:p>
    <w:p w:rsidR="00AB0E2F" w:rsidRPr="00715691" w:rsidRDefault="00AB0E2F" w:rsidP="00AB0E2F">
      <w:pPr>
        <w:ind w:right="720"/>
        <w:jc w:val="both"/>
        <w:rPr>
          <w:rFonts w:ascii="Arial" w:hAnsi="Arial" w:cs="Arial"/>
          <w:sz w:val="24"/>
          <w:szCs w:val="24"/>
          <w:lang w:val="es-ES_tradnl"/>
        </w:rPr>
      </w:pPr>
    </w:p>
    <w:p w:rsidR="00AB0E2F" w:rsidRPr="00E4406A" w:rsidRDefault="00AB0E2F" w:rsidP="00AB0E2F">
      <w:pPr>
        <w:ind w:left="1440" w:right="720"/>
        <w:jc w:val="both"/>
        <w:rPr>
          <w:rFonts w:ascii="Arial" w:hAnsi="Arial" w:cs="Arial"/>
          <w:i/>
          <w:sz w:val="20"/>
          <w:szCs w:val="20"/>
          <w:lang w:val="es-ES_tradnl"/>
        </w:rPr>
      </w:pPr>
      <w:r w:rsidRPr="00E4406A">
        <w:rPr>
          <w:rFonts w:ascii="Arial" w:hAnsi="Arial" w:cs="Arial"/>
          <w:i/>
          <w:sz w:val="20"/>
          <w:szCs w:val="20"/>
          <w:lang w:val="es-ES_tradnl"/>
        </w:rPr>
        <w:t>Artículo 185. El Instituto resolverá el recurso de revisión conforme a lo siguiente:</w:t>
      </w:r>
    </w:p>
    <w:p w:rsidR="00AB0E2F" w:rsidRPr="00E4406A" w:rsidRDefault="00AB0E2F" w:rsidP="00AB0E2F">
      <w:pPr>
        <w:ind w:left="1440" w:right="720"/>
        <w:jc w:val="both"/>
        <w:rPr>
          <w:rFonts w:ascii="Arial" w:hAnsi="Arial" w:cs="Arial"/>
          <w:i/>
          <w:sz w:val="20"/>
          <w:szCs w:val="20"/>
          <w:lang w:val="es-ES_tradnl"/>
        </w:rPr>
      </w:pPr>
      <w:r w:rsidRPr="00E4406A">
        <w:rPr>
          <w:rFonts w:ascii="Arial" w:hAnsi="Arial" w:cs="Arial"/>
          <w:i/>
          <w:sz w:val="20"/>
          <w:szCs w:val="20"/>
          <w:lang w:val="es-ES_tradnl"/>
        </w:rPr>
        <w:t>(…)</w:t>
      </w:r>
    </w:p>
    <w:p w:rsidR="00AB0E2F" w:rsidRPr="00E4406A" w:rsidRDefault="00AB0E2F" w:rsidP="00AB0E2F">
      <w:pPr>
        <w:ind w:left="1440" w:right="720"/>
        <w:jc w:val="both"/>
        <w:rPr>
          <w:rFonts w:ascii="Arial" w:hAnsi="Arial" w:cs="Arial"/>
          <w:i/>
          <w:sz w:val="20"/>
          <w:szCs w:val="20"/>
          <w:lang w:val="es-ES_tradnl"/>
        </w:rPr>
      </w:pPr>
    </w:p>
    <w:p w:rsidR="00AB0E2F" w:rsidRPr="00E4406A" w:rsidRDefault="00AB0E2F" w:rsidP="00AB0E2F">
      <w:pPr>
        <w:ind w:left="1440" w:right="720"/>
        <w:jc w:val="both"/>
        <w:rPr>
          <w:rFonts w:ascii="Arial" w:hAnsi="Arial" w:cs="Arial"/>
          <w:i/>
          <w:sz w:val="20"/>
          <w:szCs w:val="20"/>
          <w:lang w:val="es-ES_tradnl"/>
        </w:rPr>
      </w:pPr>
      <w:r w:rsidRPr="00E4406A">
        <w:rPr>
          <w:rFonts w:ascii="Arial" w:hAnsi="Arial" w:cs="Arial"/>
          <w:i/>
          <w:sz w:val="20"/>
          <w:szCs w:val="20"/>
          <w:lang w:val="es-ES_tradnl"/>
        </w:rPr>
        <w:t>II. Admitido el recurso de revisión, la o el Comisionado ponente deberá integrar un expediente y ponerlo a disposición de las partes, para que, en un plazo máximo de siete días hábiles, manifiesten lo que a su derecho convenga;</w:t>
      </w:r>
    </w:p>
    <w:p w:rsidR="00AB0E2F" w:rsidRPr="00E4406A" w:rsidRDefault="00AB0E2F" w:rsidP="00AB0E2F">
      <w:pPr>
        <w:ind w:left="1440" w:right="720"/>
        <w:jc w:val="both"/>
        <w:rPr>
          <w:rFonts w:ascii="Arial" w:hAnsi="Arial" w:cs="Arial"/>
          <w:i/>
          <w:sz w:val="20"/>
          <w:szCs w:val="20"/>
          <w:lang w:val="es-ES_tradnl"/>
        </w:rPr>
      </w:pPr>
      <w:r w:rsidRPr="00E4406A">
        <w:rPr>
          <w:rFonts w:ascii="Arial" w:hAnsi="Arial" w:cs="Arial"/>
          <w:i/>
          <w:sz w:val="20"/>
          <w:szCs w:val="20"/>
          <w:lang w:val="es-ES_tradnl"/>
        </w:rPr>
        <w:t xml:space="preserve">(…) </w:t>
      </w:r>
    </w:p>
    <w:p w:rsidR="00AB0E2F" w:rsidRDefault="00AB0E2F" w:rsidP="00AB0E2F">
      <w:pPr>
        <w:ind w:left="720" w:right="720"/>
        <w:jc w:val="both"/>
        <w:rPr>
          <w:rFonts w:ascii="Arial" w:hAnsi="Arial" w:cs="Arial"/>
          <w:sz w:val="24"/>
          <w:szCs w:val="24"/>
          <w:lang w:val="es-ES_tradnl"/>
        </w:rPr>
      </w:pPr>
    </w:p>
    <w:p w:rsidR="00AB0E2F" w:rsidRDefault="00AB0E2F" w:rsidP="00AB0E2F">
      <w:pPr>
        <w:ind w:left="720" w:right="720"/>
        <w:jc w:val="both"/>
        <w:rPr>
          <w:rFonts w:ascii="Arial" w:hAnsi="Arial" w:cs="Arial"/>
          <w:sz w:val="24"/>
          <w:szCs w:val="24"/>
          <w:lang w:val="es-ES_tradnl"/>
        </w:rPr>
      </w:pPr>
    </w:p>
    <w:p w:rsidR="00AB0E2F" w:rsidRDefault="00AB0E2F" w:rsidP="00AB0E2F">
      <w:pPr>
        <w:ind w:left="720" w:right="720"/>
        <w:jc w:val="both"/>
        <w:rPr>
          <w:rFonts w:ascii="Arial" w:hAnsi="Arial" w:cs="Arial"/>
          <w:sz w:val="24"/>
          <w:szCs w:val="24"/>
          <w:lang w:val="es-ES_tradnl"/>
        </w:rPr>
      </w:pPr>
    </w:p>
    <w:p w:rsidR="00AB0E2F" w:rsidRDefault="00AB0E2F" w:rsidP="00AB0E2F">
      <w:pPr>
        <w:ind w:left="720" w:right="720"/>
        <w:jc w:val="both"/>
        <w:rPr>
          <w:rFonts w:ascii="Arial" w:hAnsi="Arial" w:cs="Arial"/>
          <w:sz w:val="24"/>
          <w:szCs w:val="24"/>
          <w:lang w:val="es-ES_tradnl"/>
        </w:rPr>
      </w:pPr>
    </w:p>
    <w:p w:rsidR="00AB0E2F" w:rsidRDefault="00AB0E2F" w:rsidP="00AB0E2F">
      <w:pPr>
        <w:ind w:left="720" w:right="720"/>
        <w:jc w:val="both"/>
        <w:rPr>
          <w:rFonts w:ascii="Arial" w:hAnsi="Arial" w:cs="Arial"/>
          <w:sz w:val="24"/>
          <w:szCs w:val="24"/>
          <w:lang w:val="es-ES_tradnl"/>
        </w:rPr>
      </w:pPr>
    </w:p>
    <w:p w:rsidR="00AB0E2F" w:rsidRPr="00695961" w:rsidRDefault="00AB0E2F" w:rsidP="00AB0E2F">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En ese orden de ideas, se señala que el acuerdo de admisión del recurso de revisión que nos ocupa, se dictó el trece de septiembre del dos mil diecinueve, por lo que el término de siete días hábiles concluye el miércoles veinticinco de septiembre del dos mil diecinueve.</w:t>
      </w:r>
    </w:p>
    <w:p w:rsidR="00AB0E2F" w:rsidRPr="00695961" w:rsidRDefault="00AB0E2F" w:rsidP="00AB0E2F">
      <w:pPr>
        <w:ind w:right="720"/>
        <w:jc w:val="both"/>
        <w:rPr>
          <w:rFonts w:ascii="Arial" w:hAnsi="Arial" w:cs="Arial"/>
          <w:sz w:val="20"/>
          <w:szCs w:val="20"/>
          <w:lang w:val="es-ES_tradnl"/>
        </w:rPr>
      </w:pPr>
    </w:p>
    <w:p w:rsidR="00AB0E2F" w:rsidRPr="00695961" w:rsidRDefault="00AB0E2F" w:rsidP="00AB0E2F">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CAUSALES DE IMPROCEDENCIA</w:t>
      </w:r>
    </w:p>
    <w:p w:rsidR="00AB0E2F" w:rsidRPr="00695961" w:rsidRDefault="00AB0E2F" w:rsidP="00AB0E2F">
      <w:pPr>
        <w:ind w:left="720" w:right="720"/>
        <w:jc w:val="both"/>
        <w:rPr>
          <w:rFonts w:ascii="Arial" w:hAnsi="Arial" w:cs="Arial"/>
          <w:sz w:val="20"/>
          <w:szCs w:val="20"/>
          <w:lang w:val="es-ES_tradnl"/>
        </w:rPr>
      </w:pPr>
    </w:p>
    <w:p w:rsidR="00AB0E2F" w:rsidRPr="00695961" w:rsidRDefault="00AB0E2F" w:rsidP="00AB0E2F">
      <w:pPr>
        <w:ind w:left="720" w:right="720" w:firstLine="720"/>
        <w:jc w:val="both"/>
        <w:rPr>
          <w:rFonts w:ascii="Arial" w:hAnsi="Arial" w:cs="Arial"/>
          <w:sz w:val="20"/>
          <w:szCs w:val="20"/>
          <w:lang w:val="es-ES_tradnl"/>
        </w:rPr>
      </w:pPr>
      <w:r w:rsidRPr="00695961">
        <w:rPr>
          <w:rFonts w:ascii="Arial" w:hAnsi="Arial" w:cs="Arial"/>
          <w:sz w:val="20"/>
          <w:szCs w:val="20"/>
          <w:lang w:val="es-ES_tradnl"/>
        </w:rPr>
        <w:t>Se hace notar a este organismo garante, que en el presente caso se actualiza la causal de improcedencia prevista en el artículo 191 fracción III, de la Ley de Transparencia y Acceso a la Información Pública del Estado de México y Municipios, que a continuación se transcribe:</w:t>
      </w:r>
    </w:p>
    <w:p w:rsidR="00AB0E2F" w:rsidRPr="00715691" w:rsidRDefault="00AB0E2F" w:rsidP="00AB0E2F">
      <w:pPr>
        <w:ind w:right="720"/>
        <w:jc w:val="both"/>
        <w:rPr>
          <w:rFonts w:ascii="Arial" w:hAnsi="Arial" w:cs="Arial"/>
          <w:sz w:val="24"/>
          <w:szCs w:val="24"/>
          <w:lang w:val="es-ES_tradnl"/>
        </w:rPr>
      </w:pPr>
    </w:p>
    <w:p w:rsidR="00AB0E2F" w:rsidRPr="00695961" w:rsidRDefault="00AB0E2F" w:rsidP="00AB0E2F">
      <w:pPr>
        <w:ind w:left="720" w:right="720"/>
        <w:jc w:val="both"/>
        <w:rPr>
          <w:rFonts w:ascii="Arial" w:hAnsi="Arial" w:cs="Arial"/>
          <w:i/>
          <w:sz w:val="16"/>
          <w:szCs w:val="16"/>
          <w:lang w:val="es-ES_tradnl"/>
        </w:rPr>
      </w:pPr>
      <w:r w:rsidRPr="00715691">
        <w:rPr>
          <w:rFonts w:ascii="Arial" w:hAnsi="Arial" w:cs="Arial"/>
          <w:sz w:val="24"/>
          <w:szCs w:val="24"/>
          <w:lang w:val="es-ES_tradnl"/>
        </w:rPr>
        <w:tab/>
      </w:r>
      <w:r w:rsidRPr="00695961">
        <w:rPr>
          <w:rFonts w:ascii="Arial" w:hAnsi="Arial" w:cs="Arial"/>
          <w:b/>
          <w:i/>
          <w:sz w:val="16"/>
          <w:szCs w:val="16"/>
          <w:lang w:val="es-ES_tradnl"/>
        </w:rPr>
        <w:t>Artículo 191.</w:t>
      </w:r>
      <w:r w:rsidRPr="00695961">
        <w:rPr>
          <w:rFonts w:ascii="Arial" w:hAnsi="Arial" w:cs="Arial"/>
          <w:i/>
          <w:sz w:val="16"/>
          <w:szCs w:val="16"/>
          <w:lang w:val="es-ES_tradnl"/>
        </w:rPr>
        <w:t xml:space="preserve"> El recurso será desechado por improcedente cuando:</w:t>
      </w:r>
    </w:p>
    <w:p w:rsidR="00AB0E2F" w:rsidRPr="00695961" w:rsidRDefault="00AB0E2F" w:rsidP="00AB0E2F">
      <w:pPr>
        <w:ind w:left="720" w:right="720"/>
        <w:jc w:val="both"/>
        <w:rPr>
          <w:rFonts w:ascii="Arial" w:hAnsi="Arial" w:cs="Arial"/>
          <w:i/>
          <w:sz w:val="16"/>
          <w:szCs w:val="16"/>
          <w:lang w:val="es-ES_tradnl"/>
        </w:rPr>
      </w:pPr>
      <w:r w:rsidRPr="00695961">
        <w:rPr>
          <w:rFonts w:ascii="Arial" w:hAnsi="Arial" w:cs="Arial"/>
          <w:i/>
          <w:sz w:val="16"/>
          <w:szCs w:val="16"/>
          <w:lang w:val="es-ES_tradnl"/>
        </w:rPr>
        <w:tab/>
        <w:t>(…)</w:t>
      </w:r>
    </w:p>
    <w:p w:rsidR="00AB0E2F" w:rsidRPr="00695961" w:rsidRDefault="00AB0E2F" w:rsidP="00AB0E2F">
      <w:pPr>
        <w:ind w:left="1440" w:right="720"/>
        <w:jc w:val="both"/>
        <w:rPr>
          <w:rFonts w:ascii="Arial" w:hAnsi="Arial" w:cs="Arial"/>
          <w:i/>
          <w:sz w:val="16"/>
          <w:szCs w:val="16"/>
          <w:lang w:val="es-ES_tradnl"/>
        </w:rPr>
      </w:pPr>
      <w:r w:rsidRPr="00695961">
        <w:rPr>
          <w:rFonts w:ascii="Arial" w:hAnsi="Arial" w:cs="Arial"/>
          <w:i/>
          <w:sz w:val="16"/>
          <w:szCs w:val="16"/>
          <w:lang w:val="es-ES_tradnl"/>
        </w:rPr>
        <w:t>III. No actualice algunos de los supuestos previstos en la presente ley.</w:t>
      </w:r>
    </w:p>
    <w:p w:rsidR="00AB0E2F" w:rsidRPr="00695961" w:rsidRDefault="00AB0E2F" w:rsidP="00AB0E2F">
      <w:pPr>
        <w:ind w:left="1440" w:right="720"/>
        <w:jc w:val="both"/>
        <w:rPr>
          <w:rFonts w:ascii="Arial" w:hAnsi="Arial" w:cs="Arial"/>
          <w:i/>
          <w:sz w:val="16"/>
          <w:szCs w:val="16"/>
          <w:lang w:val="es-ES_tradnl"/>
        </w:rPr>
      </w:pPr>
      <w:r w:rsidRPr="00695961">
        <w:rPr>
          <w:rFonts w:ascii="Arial" w:hAnsi="Arial" w:cs="Arial"/>
          <w:i/>
          <w:sz w:val="16"/>
          <w:szCs w:val="16"/>
          <w:lang w:val="es-ES_tradnl"/>
        </w:rPr>
        <w:t>(…)</w:t>
      </w:r>
    </w:p>
    <w:p w:rsidR="00AB0E2F" w:rsidRPr="00715691" w:rsidRDefault="00AB0E2F" w:rsidP="00AB0E2F">
      <w:pPr>
        <w:ind w:left="720" w:right="720"/>
        <w:jc w:val="both"/>
        <w:rPr>
          <w:rFonts w:ascii="Arial" w:hAnsi="Arial" w:cs="Arial"/>
          <w:sz w:val="24"/>
          <w:szCs w:val="24"/>
          <w:lang w:val="es-ES_tradnl"/>
        </w:rPr>
      </w:pPr>
    </w:p>
    <w:p w:rsidR="00AB0E2F" w:rsidRPr="00695961" w:rsidRDefault="00AB0E2F" w:rsidP="00AB0E2F">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Cabe señalar que en el caso concreto se actualiza esta hipótesis en virtud de que el recurrente, al momento de señalar el acto impugnado no manifestó ninguna de las razones contenidas en alguna de las quince fracciones del artículo 179 de la Ley de Transparencia y Acceso a la Información Pública del Estado de México y Municipios.</w:t>
      </w:r>
    </w:p>
    <w:p w:rsidR="00AB0E2F" w:rsidRPr="00695961" w:rsidRDefault="00AB0E2F" w:rsidP="00AB0E2F">
      <w:pPr>
        <w:ind w:left="720" w:right="720"/>
        <w:jc w:val="both"/>
        <w:rPr>
          <w:rFonts w:ascii="Arial" w:hAnsi="Arial" w:cs="Arial"/>
          <w:sz w:val="20"/>
          <w:szCs w:val="20"/>
          <w:lang w:val="es-ES_tradnl"/>
        </w:rPr>
      </w:pPr>
    </w:p>
    <w:p w:rsidR="00AB0E2F" w:rsidRPr="00695961" w:rsidRDefault="00AB0E2F" w:rsidP="00AB0E2F">
      <w:pPr>
        <w:ind w:left="720" w:right="720"/>
        <w:jc w:val="both"/>
        <w:rPr>
          <w:rFonts w:ascii="Arial" w:hAnsi="Arial" w:cs="Arial"/>
          <w:sz w:val="20"/>
          <w:szCs w:val="20"/>
          <w:lang w:val="es-ES_tradnl"/>
        </w:rPr>
      </w:pPr>
      <w:r w:rsidRPr="00695961">
        <w:rPr>
          <w:rFonts w:ascii="Arial" w:hAnsi="Arial" w:cs="Arial"/>
          <w:sz w:val="20"/>
          <w:szCs w:val="20"/>
          <w:lang w:val="es-ES_tradnl"/>
        </w:rPr>
        <w:tab/>
        <w:t>Para realizar una explicación del siguiente argumento, resulta necesario transcribir el acto impugnado que refiere el recurrente fragmento en el formato de recurso de revisión que nos ocupa:</w:t>
      </w:r>
    </w:p>
    <w:p w:rsidR="00AB0E2F" w:rsidRPr="00715691" w:rsidRDefault="00AB0E2F" w:rsidP="00AB0E2F">
      <w:pPr>
        <w:ind w:left="720" w:right="720"/>
        <w:jc w:val="both"/>
        <w:rPr>
          <w:rFonts w:ascii="Arial" w:hAnsi="Arial" w:cs="Arial"/>
          <w:i/>
          <w:sz w:val="24"/>
          <w:szCs w:val="24"/>
          <w:lang w:val="es-ES_tradnl"/>
        </w:rPr>
      </w:pPr>
    </w:p>
    <w:p w:rsidR="00AB0E2F" w:rsidRDefault="00AB0E2F" w:rsidP="00AB0E2F">
      <w:pPr>
        <w:ind w:left="720" w:right="720"/>
        <w:jc w:val="both"/>
        <w:rPr>
          <w:rFonts w:ascii="Arial" w:hAnsi="Arial" w:cs="Arial"/>
          <w:i/>
          <w:sz w:val="24"/>
          <w:szCs w:val="24"/>
          <w:lang w:val="es-ES_tradnl"/>
        </w:rPr>
      </w:pPr>
      <w:r w:rsidRPr="00715691">
        <w:rPr>
          <w:rFonts w:ascii="Arial" w:hAnsi="Arial" w:cs="Arial"/>
          <w:i/>
          <w:sz w:val="24"/>
          <w:szCs w:val="24"/>
          <w:lang w:val="es-ES_tradnl"/>
        </w:rPr>
        <w:t>“</w:t>
      </w:r>
      <w:r>
        <w:rPr>
          <w:rFonts w:ascii="Arial" w:hAnsi="Arial" w:cs="Arial"/>
          <w:i/>
          <w:sz w:val="24"/>
          <w:szCs w:val="24"/>
          <w:lang w:val="es-ES_tradnl"/>
        </w:rPr>
        <w:t>¿CLASIFICACIÓN DE INFORMACIÓN POR CINCO AÑOS POR UNA AUDITORIA?”</w:t>
      </w:r>
    </w:p>
    <w:p w:rsidR="00AB0E2F" w:rsidRPr="00715691" w:rsidRDefault="00AB0E2F" w:rsidP="00AB0E2F">
      <w:pPr>
        <w:ind w:right="720"/>
        <w:jc w:val="both"/>
        <w:rPr>
          <w:rFonts w:ascii="Arial" w:hAnsi="Arial" w:cs="Arial"/>
          <w:sz w:val="24"/>
          <w:szCs w:val="24"/>
          <w:lang w:val="es-ES_tradnl"/>
        </w:rPr>
      </w:pPr>
    </w:p>
    <w:p w:rsidR="00AB0E2F" w:rsidRPr="00695961" w:rsidRDefault="00AB0E2F" w:rsidP="00AB0E2F">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Cómo se puede apreciar, de la manifestación que realiza el recurrente, no establece ninguna de las causales de procedencia del recurso de revisión que estableció el legislador mexiquense, motivo por el cual se tendrá que desechar este recurso por no expresar ninguna hipótesis legal de procedencia del medio de defensa que nos ocupa, incluso resulta evidente que el supuesto acto impugnado es una pregunta que realiza el recurrente.</w:t>
      </w:r>
    </w:p>
    <w:p w:rsidR="00AB0E2F" w:rsidRDefault="00AB0E2F" w:rsidP="00AB0E2F">
      <w:pPr>
        <w:ind w:left="720" w:right="720"/>
        <w:jc w:val="both"/>
        <w:rPr>
          <w:rFonts w:ascii="Arial" w:hAnsi="Arial" w:cs="Arial"/>
          <w:sz w:val="20"/>
          <w:szCs w:val="20"/>
          <w:lang w:val="es-ES_tradnl"/>
        </w:rPr>
      </w:pPr>
    </w:p>
    <w:p w:rsidR="00AB0E2F" w:rsidRDefault="00AB0E2F" w:rsidP="00AB0E2F">
      <w:pPr>
        <w:ind w:left="720" w:right="720"/>
        <w:jc w:val="both"/>
        <w:rPr>
          <w:rFonts w:ascii="Arial" w:hAnsi="Arial" w:cs="Arial"/>
          <w:sz w:val="20"/>
          <w:szCs w:val="20"/>
          <w:lang w:val="es-ES_tradnl"/>
        </w:rPr>
      </w:pPr>
    </w:p>
    <w:p w:rsidR="00AB0E2F" w:rsidRDefault="00AB0E2F" w:rsidP="00AB0E2F">
      <w:pPr>
        <w:ind w:left="720" w:right="720"/>
        <w:jc w:val="both"/>
        <w:rPr>
          <w:rFonts w:ascii="Arial" w:hAnsi="Arial" w:cs="Arial"/>
          <w:sz w:val="20"/>
          <w:szCs w:val="20"/>
          <w:lang w:val="es-ES_tradnl"/>
        </w:rPr>
      </w:pPr>
    </w:p>
    <w:p w:rsidR="00AB0E2F" w:rsidRDefault="00AB0E2F" w:rsidP="00AB0E2F">
      <w:pPr>
        <w:ind w:left="720" w:right="720"/>
        <w:jc w:val="both"/>
        <w:rPr>
          <w:rFonts w:ascii="Arial" w:hAnsi="Arial" w:cs="Arial"/>
          <w:sz w:val="20"/>
          <w:szCs w:val="20"/>
          <w:lang w:val="es-ES_tradnl"/>
        </w:rPr>
      </w:pPr>
    </w:p>
    <w:p w:rsidR="00AB0E2F" w:rsidRDefault="00AB0E2F" w:rsidP="00AB0E2F">
      <w:pPr>
        <w:ind w:left="720" w:right="720"/>
        <w:jc w:val="both"/>
        <w:rPr>
          <w:rFonts w:ascii="Arial" w:hAnsi="Arial" w:cs="Arial"/>
          <w:sz w:val="20"/>
          <w:szCs w:val="20"/>
          <w:lang w:val="es-ES_tradnl"/>
        </w:rPr>
      </w:pPr>
    </w:p>
    <w:p w:rsidR="00AB0E2F" w:rsidRPr="00695961" w:rsidRDefault="00AB0E2F" w:rsidP="00AB0E2F">
      <w:pPr>
        <w:ind w:left="720" w:right="720"/>
        <w:jc w:val="both"/>
        <w:rPr>
          <w:rFonts w:ascii="Arial" w:hAnsi="Arial" w:cs="Arial"/>
          <w:sz w:val="20"/>
          <w:szCs w:val="20"/>
          <w:lang w:val="es-ES_tradnl"/>
        </w:rPr>
      </w:pPr>
    </w:p>
    <w:p w:rsidR="00AB0E2F" w:rsidRPr="00695961" w:rsidRDefault="00AB0E2F" w:rsidP="00AB0E2F">
      <w:pPr>
        <w:ind w:left="720" w:right="720"/>
        <w:jc w:val="both"/>
        <w:rPr>
          <w:rFonts w:ascii="Arial" w:hAnsi="Arial" w:cs="Arial"/>
          <w:sz w:val="20"/>
          <w:szCs w:val="20"/>
          <w:lang w:val="es-ES_tradnl"/>
        </w:rPr>
      </w:pPr>
      <w:r w:rsidRPr="00695961">
        <w:rPr>
          <w:rFonts w:ascii="Arial" w:hAnsi="Arial" w:cs="Arial"/>
          <w:sz w:val="20"/>
          <w:szCs w:val="20"/>
          <w:lang w:val="es-ES_tradnl"/>
        </w:rPr>
        <w:tab/>
        <w:t>Cabe señalar que esta causal es improcedencia que se invoca es fundamental para que se cumpla el principio de debido proceso ya que se tienen que señalar con precisión la causal de procedencia y en caso de no hacerlo, se vulnera en perjuicio del Sujeto Obligado su derecho a la certeza jurídica y se deja de atender el principio de legalidad.</w:t>
      </w:r>
    </w:p>
    <w:p w:rsidR="00AB0E2F" w:rsidRPr="00695961" w:rsidRDefault="00AB0E2F" w:rsidP="00AB0E2F">
      <w:pPr>
        <w:ind w:left="720" w:right="720"/>
        <w:jc w:val="both"/>
        <w:rPr>
          <w:rFonts w:ascii="Arial" w:hAnsi="Arial" w:cs="Arial"/>
          <w:sz w:val="20"/>
          <w:szCs w:val="20"/>
          <w:lang w:val="es-ES_tradnl"/>
        </w:rPr>
      </w:pPr>
    </w:p>
    <w:p w:rsidR="00AB0E2F" w:rsidRPr="00695961" w:rsidRDefault="00AB0E2F" w:rsidP="00AB0E2F">
      <w:pPr>
        <w:ind w:left="720" w:right="720"/>
        <w:jc w:val="both"/>
        <w:rPr>
          <w:rFonts w:ascii="Arial" w:hAnsi="Arial" w:cs="Arial"/>
          <w:sz w:val="20"/>
          <w:szCs w:val="20"/>
          <w:lang w:val="es-ES_tradnl"/>
        </w:rPr>
      </w:pPr>
      <w:r w:rsidRPr="00695961">
        <w:rPr>
          <w:rFonts w:ascii="Arial" w:hAnsi="Arial" w:cs="Arial"/>
          <w:sz w:val="20"/>
          <w:szCs w:val="20"/>
          <w:lang w:val="es-ES_tradnl"/>
        </w:rPr>
        <w:tab/>
        <w:t>No omito señalar que el cumplimiento de los requisitos de procedibilidad se deben de atender bajo el principio de estricto derecho, ya que si bien es cierto el artículo 181 de la ley de la materia, prevé el principio de la suplencia de la queja a favor del recurrente, este solo resulta aplicable durante el desarrollo del procedimiento, sin embargo, la interposición del recurso de inconformidad es un acto previo al procedimiento y en el acuerdo inicial, en caso de que no el recurso no se interponga conforme a derecho, se le podrá prevenir al recurrente, pero de ninguna manera se puede admitir el recurso cuando no se cumple un requisito de procedibilidad.</w:t>
      </w:r>
    </w:p>
    <w:p w:rsidR="00AB0E2F" w:rsidRPr="00695961" w:rsidRDefault="00AB0E2F" w:rsidP="00AB0E2F">
      <w:pPr>
        <w:ind w:right="720"/>
        <w:jc w:val="both"/>
        <w:rPr>
          <w:rFonts w:ascii="Arial" w:hAnsi="Arial" w:cs="Arial"/>
          <w:sz w:val="20"/>
          <w:szCs w:val="20"/>
          <w:lang w:val="es-ES_tradnl"/>
        </w:rPr>
      </w:pPr>
    </w:p>
    <w:p w:rsidR="00AB0E2F" w:rsidRPr="00695961" w:rsidRDefault="00AB0E2F" w:rsidP="00AB0E2F">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CONTESTACIÓN A LOS AGRAVIOS</w:t>
      </w:r>
    </w:p>
    <w:p w:rsidR="00AB0E2F" w:rsidRPr="00695961" w:rsidRDefault="00AB0E2F" w:rsidP="00AB0E2F">
      <w:pPr>
        <w:ind w:left="720" w:right="720"/>
        <w:jc w:val="both"/>
        <w:rPr>
          <w:rFonts w:ascii="Arial" w:hAnsi="Arial" w:cs="Arial"/>
          <w:sz w:val="20"/>
          <w:szCs w:val="20"/>
          <w:lang w:val="es-ES_tradnl"/>
        </w:rPr>
      </w:pPr>
    </w:p>
    <w:p w:rsidR="00AB0E2F" w:rsidRPr="00695961" w:rsidRDefault="00AB0E2F" w:rsidP="00AB0E2F">
      <w:pPr>
        <w:ind w:left="708" w:right="720" w:firstLine="708"/>
        <w:jc w:val="both"/>
        <w:rPr>
          <w:rFonts w:ascii="Arial" w:hAnsi="Arial" w:cs="Arial"/>
          <w:sz w:val="20"/>
          <w:szCs w:val="20"/>
          <w:lang w:val="es-ES_tradnl"/>
        </w:rPr>
      </w:pPr>
      <w:r w:rsidRPr="00695961">
        <w:rPr>
          <w:rFonts w:ascii="Arial" w:hAnsi="Arial" w:cs="Arial"/>
          <w:sz w:val="20"/>
          <w:szCs w:val="20"/>
          <w:lang w:val="es-ES_tradnl"/>
        </w:rPr>
        <w:t xml:space="preserve">Cabe señalar que el recurrente al momento de interponer su recurso de recurso de revisión hizo valer diversos agravios que supuestamente le causo la respuesta que se le brindo, por lo que, desde este momento, </w:t>
      </w:r>
      <w:r w:rsidRPr="00695961">
        <w:rPr>
          <w:rFonts w:ascii="Arial" w:hAnsi="Arial" w:cs="Arial"/>
          <w:b/>
          <w:sz w:val="20"/>
          <w:szCs w:val="20"/>
          <w:lang w:val="es-ES_tradnl"/>
        </w:rPr>
        <w:t>se confirma el sentido de la respuesta</w:t>
      </w:r>
      <w:r w:rsidRPr="00695961">
        <w:rPr>
          <w:rFonts w:ascii="Arial" w:hAnsi="Arial" w:cs="Arial"/>
          <w:sz w:val="20"/>
          <w:szCs w:val="20"/>
          <w:lang w:val="es-ES_tradnl"/>
        </w:rPr>
        <w:t xml:space="preserve"> que se le notificó en tiempo y forma, en virtud de que se ajusta a derecho y porque los agravios son infundados. </w:t>
      </w:r>
    </w:p>
    <w:p w:rsidR="00AB0E2F" w:rsidRPr="00695961" w:rsidRDefault="00AB0E2F" w:rsidP="00AB0E2F">
      <w:pPr>
        <w:ind w:right="720"/>
        <w:jc w:val="both"/>
        <w:rPr>
          <w:rFonts w:ascii="Arial" w:hAnsi="Arial" w:cs="Arial"/>
          <w:sz w:val="20"/>
          <w:szCs w:val="20"/>
          <w:lang w:val="es-ES_tradnl"/>
        </w:rPr>
      </w:pPr>
    </w:p>
    <w:p w:rsidR="00AB0E2F" w:rsidRPr="00695961" w:rsidRDefault="00AB0E2F" w:rsidP="00AB0E2F">
      <w:pPr>
        <w:ind w:left="708" w:right="720" w:firstLine="708"/>
        <w:jc w:val="both"/>
        <w:rPr>
          <w:rFonts w:ascii="Arial" w:hAnsi="Arial" w:cs="Arial"/>
          <w:sz w:val="20"/>
          <w:szCs w:val="20"/>
          <w:lang w:val="es-ES_tradnl"/>
        </w:rPr>
      </w:pPr>
      <w:r w:rsidRPr="00695961">
        <w:rPr>
          <w:rFonts w:ascii="Arial" w:hAnsi="Arial" w:cs="Arial"/>
          <w:sz w:val="20"/>
          <w:szCs w:val="20"/>
          <w:lang w:val="es-ES_tradnl"/>
        </w:rPr>
        <w:t>Por lo anterior, a continuación, ad cautelam se procede a contestar los supuesto agravios que manifestó el recurrente en los siguientes términos:</w:t>
      </w:r>
    </w:p>
    <w:p w:rsidR="00AB0E2F" w:rsidRPr="00695961" w:rsidRDefault="00AB0E2F" w:rsidP="00AB0E2F">
      <w:pPr>
        <w:ind w:right="720"/>
        <w:jc w:val="both"/>
        <w:rPr>
          <w:rFonts w:ascii="Arial" w:hAnsi="Arial" w:cs="Arial"/>
          <w:sz w:val="20"/>
          <w:szCs w:val="20"/>
          <w:lang w:val="es-ES_tradnl"/>
        </w:rPr>
      </w:pPr>
    </w:p>
    <w:p w:rsidR="00AB0E2F" w:rsidRPr="00695961" w:rsidRDefault="00AB0E2F" w:rsidP="00AB0E2F">
      <w:pPr>
        <w:ind w:left="720" w:right="720" w:firstLine="720"/>
        <w:jc w:val="both"/>
        <w:rPr>
          <w:rFonts w:ascii="Arial" w:hAnsi="Arial" w:cs="Arial"/>
          <w:sz w:val="20"/>
          <w:szCs w:val="20"/>
          <w:lang w:val="es-ES_tradnl"/>
        </w:rPr>
      </w:pPr>
      <w:r w:rsidRPr="00695961">
        <w:rPr>
          <w:rFonts w:ascii="Arial" w:hAnsi="Arial" w:cs="Arial"/>
          <w:b/>
          <w:sz w:val="20"/>
          <w:szCs w:val="20"/>
          <w:lang w:val="es-ES_tradnl"/>
        </w:rPr>
        <w:t>PRIMERO.</w:t>
      </w:r>
      <w:r w:rsidRPr="00695961">
        <w:rPr>
          <w:rFonts w:ascii="Arial" w:hAnsi="Arial" w:cs="Arial"/>
          <w:sz w:val="20"/>
          <w:szCs w:val="20"/>
          <w:lang w:val="es-ES_tradnl"/>
        </w:rPr>
        <w:t xml:space="preserve"> La figura de la clasificación de la información es una figura prevista en la norma jurídica especializada que en el caso concreto es importante invocar el artículo 125 de la Ley de Transparencia y Acceso a la Información Pública del Estado de México y Municipios y que a continuación se transcribe:</w:t>
      </w:r>
    </w:p>
    <w:p w:rsidR="00AB0E2F" w:rsidRDefault="00AB0E2F" w:rsidP="00AB0E2F">
      <w:pPr>
        <w:ind w:left="720" w:right="720" w:firstLine="720"/>
        <w:jc w:val="both"/>
        <w:rPr>
          <w:rFonts w:ascii="Arial" w:hAnsi="Arial" w:cs="Arial"/>
          <w:sz w:val="24"/>
          <w:szCs w:val="24"/>
          <w:lang w:val="es-ES_tradnl"/>
        </w:rPr>
      </w:pPr>
    </w:p>
    <w:p w:rsidR="00AB0E2F" w:rsidRPr="00695961" w:rsidRDefault="00AB0E2F" w:rsidP="00AB0E2F">
      <w:pPr>
        <w:ind w:left="1416" w:right="720" w:firstLine="24"/>
        <w:jc w:val="both"/>
        <w:rPr>
          <w:rFonts w:ascii="Arial" w:hAnsi="Arial" w:cs="Arial"/>
          <w:sz w:val="16"/>
          <w:szCs w:val="16"/>
          <w:lang w:val="es-ES_tradnl"/>
        </w:rPr>
      </w:pPr>
      <w:r w:rsidRPr="00695961">
        <w:rPr>
          <w:rFonts w:ascii="Arial" w:hAnsi="Arial" w:cs="Arial"/>
          <w:sz w:val="16"/>
          <w:szCs w:val="16"/>
          <w:lang w:val="es-ES_tradnl"/>
        </w:rPr>
        <w:t>“</w:t>
      </w:r>
      <w:r w:rsidRPr="00695961">
        <w:rPr>
          <w:rFonts w:ascii="Arial" w:hAnsi="Arial" w:cs="Arial"/>
          <w:b/>
          <w:bCs/>
          <w:sz w:val="16"/>
          <w:szCs w:val="16"/>
          <w:lang w:val="es-ES_tradnl"/>
        </w:rPr>
        <w:t>Artículo 125</w:t>
      </w:r>
      <w:r w:rsidRPr="00695961">
        <w:rPr>
          <w:rFonts w:ascii="Arial" w:hAnsi="Arial" w:cs="Arial"/>
          <w:sz w:val="16"/>
          <w:szCs w:val="16"/>
          <w:lang w:val="es-ES_tradnl"/>
        </w:rPr>
        <w:t>. 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reserva”</w:t>
      </w:r>
    </w:p>
    <w:p w:rsidR="00AB0E2F" w:rsidRDefault="00AB0E2F" w:rsidP="00AB0E2F">
      <w:pPr>
        <w:ind w:left="720" w:right="720" w:firstLine="720"/>
        <w:jc w:val="both"/>
        <w:rPr>
          <w:rFonts w:ascii="Arial" w:hAnsi="Arial" w:cs="Arial"/>
          <w:sz w:val="24"/>
          <w:szCs w:val="24"/>
          <w:lang w:val="es-ES_tradnl"/>
        </w:rPr>
      </w:pPr>
    </w:p>
    <w:p w:rsidR="00AB0E2F" w:rsidRDefault="00AB0E2F" w:rsidP="00AB0E2F">
      <w:pPr>
        <w:ind w:left="720" w:right="720" w:firstLine="720"/>
        <w:jc w:val="both"/>
        <w:rPr>
          <w:rFonts w:ascii="Arial" w:hAnsi="Arial" w:cs="Arial"/>
          <w:sz w:val="24"/>
          <w:szCs w:val="24"/>
          <w:lang w:val="es-ES_tradnl"/>
        </w:rPr>
      </w:pPr>
    </w:p>
    <w:p w:rsidR="00AB0E2F" w:rsidRDefault="00AB0E2F" w:rsidP="00AB0E2F">
      <w:pPr>
        <w:ind w:left="720" w:right="720" w:firstLine="720"/>
        <w:jc w:val="both"/>
        <w:rPr>
          <w:rFonts w:ascii="Arial" w:hAnsi="Arial" w:cs="Arial"/>
          <w:sz w:val="24"/>
          <w:szCs w:val="24"/>
          <w:lang w:val="es-ES_tradnl"/>
        </w:rPr>
      </w:pPr>
    </w:p>
    <w:p w:rsidR="00AB0E2F" w:rsidRDefault="00AB0E2F" w:rsidP="00AB0E2F">
      <w:pPr>
        <w:ind w:left="720" w:right="720" w:firstLine="720"/>
        <w:jc w:val="both"/>
        <w:rPr>
          <w:rFonts w:ascii="Arial" w:hAnsi="Arial" w:cs="Arial"/>
          <w:sz w:val="24"/>
          <w:szCs w:val="24"/>
          <w:lang w:val="es-ES_tradnl"/>
        </w:rPr>
      </w:pPr>
    </w:p>
    <w:p w:rsidR="00AB0E2F" w:rsidRDefault="00AB0E2F" w:rsidP="00AB0E2F">
      <w:pPr>
        <w:ind w:left="720" w:right="720" w:firstLine="720"/>
        <w:jc w:val="both"/>
        <w:rPr>
          <w:rFonts w:ascii="Arial" w:hAnsi="Arial" w:cs="Arial"/>
          <w:sz w:val="24"/>
          <w:szCs w:val="24"/>
          <w:lang w:val="es-ES_tradnl"/>
        </w:rPr>
      </w:pPr>
    </w:p>
    <w:p w:rsidR="00AB0E2F" w:rsidRDefault="00AB0E2F" w:rsidP="00AB0E2F">
      <w:pPr>
        <w:ind w:left="720" w:right="720" w:firstLine="720"/>
        <w:jc w:val="both"/>
        <w:rPr>
          <w:rFonts w:ascii="Arial" w:hAnsi="Arial" w:cs="Arial"/>
          <w:sz w:val="24"/>
          <w:szCs w:val="24"/>
          <w:lang w:val="es-ES_tradnl"/>
        </w:rPr>
      </w:pPr>
    </w:p>
    <w:p w:rsidR="00AB0E2F" w:rsidRPr="00695961" w:rsidRDefault="00AB0E2F" w:rsidP="00AB0E2F">
      <w:pPr>
        <w:ind w:left="720" w:right="720" w:firstLine="720"/>
        <w:jc w:val="both"/>
        <w:rPr>
          <w:rFonts w:ascii="Arial" w:hAnsi="Arial" w:cs="Arial"/>
          <w:b/>
          <w:bCs/>
          <w:sz w:val="20"/>
          <w:szCs w:val="20"/>
          <w:lang w:val="es-ES_tradnl"/>
        </w:rPr>
      </w:pPr>
      <w:r w:rsidRPr="00695961">
        <w:rPr>
          <w:rFonts w:ascii="Arial" w:hAnsi="Arial" w:cs="Arial"/>
          <w:b/>
          <w:bCs/>
          <w:sz w:val="20"/>
          <w:szCs w:val="20"/>
          <w:lang w:val="es-ES_tradnl"/>
        </w:rPr>
        <w:t xml:space="preserve">Bajo </w:t>
      </w:r>
      <w:proofErr w:type="spellStart"/>
      <w:r w:rsidRPr="00695961">
        <w:rPr>
          <w:rFonts w:ascii="Arial" w:hAnsi="Arial" w:cs="Arial"/>
          <w:b/>
          <w:bCs/>
          <w:sz w:val="20"/>
          <w:szCs w:val="20"/>
          <w:lang w:val="es-ES_tradnl"/>
        </w:rPr>
        <w:t>es</w:t>
      </w:r>
      <w:proofErr w:type="spellEnd"/>
      <w:r w:rsidRPr="00695961">
        <w:rPr>
          <w:rFonts w:ascii="Arial" w:hAnsi="Arial" w:cs="Arial"/>
          <w:b/>
          <w:bCs/>
          <w:sz w:val="20"/>
          <w:szCs w:val="20"/>
          <w:lang w:val="es-ES_tradnl"/>
        </w:rPr>
        <w:t xml:space="preserve"> contexto normativo, el Sujeto Obligado por medio del Servidor Público Habilitado y con la confirmación del Comité de Transparencia, se acordó la clasificación de la información, destacando que la temporalidad de la duración de una auditoría es incierta considerando los procesos o mecanismos de defensa que se pudieran hacer valer en el momento procesal oportuno, sin embargo, en el caso de que la hipótesis que genero la clasificación de información dejara de existir no se tendría que agotar el término de cinco años del que se adolece el recurrente.</w:t>
      </w:r>
    </w:p>
    <w:p w:rsidR="00AB0E2F" w:rsidRPr="00695961" w:rsidRDefault="00AB0E2F" w:rsidP="00AB0E2F">
      <w:pPr>
        <w:ind w:right="720"/>
        <w:rPr>
          <w:rFonts w:ascii="Arial" w:hAnsi="Arial" w:cs="Arial"/>
          <w:b/>
          <w:sz w:val="20"/>
          <w:szCs w:val="20"/>
          <w:lang w:val="es-ES_tradnl"/>
        </w:rPr>
      </w:pPr>
    </w:p>
    <w:p w:rsidR="00AB0E2F" w:rsidRPr="00695961" w:rsidRDefault="00AB0E2F" w:rsidP="00AB0E2F">
      <w:pPr>
        <w:ind w:left="720" w:right="720"/>
        <w:jc w:val="center"/>
        <w:rPr>
          <w:rFonts w:ascii="Arial" w:hAnsi="Arial" w:cs="Arial"/>
          <w:b/>
          <w:sz w:val="20"/>
          <w:szCs w:val="20"/>
          <w:lang w:val="es-ES_tradnl"/>
        </w:rPr>
      </w:pPr>
      <w:r w:rsidRPr="00695961">
        <w:rPr>
          <w:rFonts w:ascii="Arial" w:hAnsi="Arial" w:cs="Arial"/>
          <w:b/>
          <w:sz w:val="20"/>
          <w:szCs w:val="20"/>
          <w:lang w:val="es-ES_tradnl"/>
        </w:rPr>
        <w:t>ALEGATOS</w:t>
      </w:r>
    </w:p>
    <w:p w:rsidR="00AB0E2F" w:rsidRPr="00695961" w:rsidRDefault="00AB0E2F" w:rsidP="00AB0E2F">
      <w:pPr>
        <w:ind w:left="720" w:right="720"/>
        <w:jc w:val="center"/>
        <w:rPr>
          <w:rFonts w:ascii="Arial" w:hAnsi="Arial" w:cs="Arial"/>
          <w:sz w:val="20"/>
          <w:szCs w:val="20"/>
          <w:lang w:val="es-ES_tradnl"/>
        </w:rPr>
      </w:pPr>
    </w:p>
    <w:p w:rsidR="00AB0E2F" w:rsidRPr="00695961" w:rsidRDefault="00AB0E2F" w:rsidP="00AB0E2F">
      <w:pPr>
        <w:ind w:left="720" w:right="720"/>
        <w:jc w:val="both"/>
        <w:rPr>
          <w:rFonts w:ascii="Arial" w:hAnsi="Arial" w:cs="Arial"/>
          <w:sz w:val="20"/>
          <w:szCs w:val="20"/>
          <w:lang w:val="es-ES_tradnl"/>
        </w:rPr>
      </w:pPr>
      <w:r w:rsidRPr="00695961">
        <w:rPr>
          <w:rFonts w:ascii="Arial" w:hAnsi="Arial" w:cs="Arial"/>
          <w:sz w:val="20"/>
          <w:szCs w:val="20"/>
          <w:lang w:val="es-ES_tradnl"/>
        </w:rPr>
        <w:tab/>
        <w:t>En vía de alegatos se insiste que este Sujeto Obligado en todo momento actuó bajo el principio de buena fe, certeza, legalidad, profesionalismo, precisión y objetividad, se realizó el procedimiento para atender su solicitud de conformidad a los artículos 150, 155, 157, 160, 162, 163, 164, 169 y 173 de la Ley de Transparencia y Acceso a la Información Pública del Estado de México y Municipios.</w:t>
      </w:r>
    </w:p>
    <w:p w:rsidR="00AB0E2F" w:rsidRPr="00695961" w:rsidRDefault="00AB0E2F" w:rsidP="00AB0E2F">
      <w:pPr>
        <w:ind w:left="720" w:right="720"/>
        <w:jc w:val="both"/>
        <w:rPr>
          <w:rFonts w:ascii="Arial" w:hAnsi="Arial" w:cs="Arial"/>
          <w:sz w:val="20"/>
          <w:szCs w:val="20"/>
          <w:lang w:val="es-ES_tradnl"/>
        </w:rPr>
      </w:pPr>
    </w:p>
    <w:p w:rsidR="00AB0E2F" w:rsidRPr="00695961" w:rsidRDefault="00AB0E2F" w:rsidP="00AB0E2F">
      <w:pPr>
        <w:ind w:left="720" w:right="720"/>
        <w:jc w:val="both"/>
        <w:rPr>
          <w:rFonts w:ascii="Arial" w:hAnsi="Arial" w:cs="Arial"/>
          <w:sz w:val="20"/>
          <w:szCs w:val="20"/>
          <w:lang w:val="es-ES_tradnl"/>
        </w:rPr>
      </w:pPr>
      <w:r w:rsidRPr="00695961">
        <w:rPr>
          <w:rFonts w:ascii="Arial" w:hAnsi="Arial" w:cs="Arial"/>
          <w:sz w:val="20"/>
          <w:szCs w:val="20"/>
          <w:lang w:val="es-ES_tradnl"/>
        </w:rPr>
        <w:tab/>
        <w:t>Asimismo, para atender esta solicitud, durante el trámite que se realizó se privilegió el principio de legalidad y precisión, toda vez que el procedimiento de información pública que nos ocupa, en todas y cada una de sus etapas se ajustó al marco normativo que lo regula y se concentró en la información que requirió el solicitante.</w:t>
      </w:r>
    </w:p>
    <w:p w:rsidR="00AB0E2F" w:rsidRPr="00695961" w:rsidRDefault="00AB0E2F" w:rsidP="00AB0E2F">
      <w:pPr>
        <w:ind w:left="720" w:right="720"/>
        <w:jc w:val="both"/>
        <w:rPr>
          <w:rFonts w:ascii="Arial" w:hAnsi="Arial" w:cs="Arial"/>
          <w:sz w:val="20"/>
          <w:szCs w:val="20"/>
          <w:lang w:val="es-ES_tradnl"/>
        </w:rPr>
      </w:pPr>
    </w:p>
    <w:p w:rsidR="00AB0E2F" w:rsidRPr="00695961" w:rsidRDefault="00AB0E2F" w:rsidP="00AB0E2F">
      <w:pPr>
        <w:ind w:left="720" w:right="720"/>
        <w:jc w:val="both"/>
        <w:rPr>
          <w:rFonts w:ascii="Arial" w:hAnsi="Arial" w:cs="Arial"/>
          <w:sz w:val="20"/>
          <w:szCs w:val="20"/>
          <w:lang w:val="es-ES_tradnl"/>
        </w:rPr>
      </w:pPr>
      <w:r w:rsidRPr="00695961">
        <w:rPr>
          <w:rFonts w:ascii="Arial" w:hAnsi="Arial" w:cs="Arial"/>
          <w:sz w:val="20"/>
          <w:szCs w:val="20"/>
          <w:lang w:val="es-ES_tradnl"/>
        </w:rPr>
        <w:tab/>
        <w:t>Cabe señalar que la Unidad de Transparencia turnó el recurso de revisión a la Tesorería Municipal a efecto de que manifestara lo que a su derecho convenga, destacando que por medio del oficio TMC/EGRE/1478/2019, el Tesorero Municipal realizo sus alegatos y anexo el oficio SECAYTTO/AHZE/1852/2019, que contiene el sello de recepción del OSFEM y del cual se desprende que el Sujeto Obligado solicitó el 20 de junio de 2019 al Auditor Superior del Órgano Superior de Fiscalización del Estado de México que se lleve a cabo una auditoría financiera.</w:t>
      </w:r>
    </w:p>
    <w:p w:rsidR="00AB0E2F" w:rsidRPr="00695961" w:rsidRDefault="00AB0E2F" w:rsidP="00AB0E2F">
      <w:pPr>
        <w:ind w:left="720" w:right="720"/>
        <w:jc w:val="both"/>
        <w:rPr>
          <w:rFonts w:ascii="Arial" w:hAnsi="Arial" w:cs="Arial"/>
          <w:sz w:val="20"/>
          <w:szCs w:val="20"/>
          <w:lang w:val="es-ES_tradnl"/>
        </w:rPr>
      </w:pPr>
    </w:p>
    <w:p w:rsidR="00AB0E2F" w:rsidRDefault="00AB0E2F" w:rsidP="00AB0E2F">
      <w:pPr>
        <w:ind w:left="720" w:right="720"/>
        <w:jc w:val="both"/>
        <w:rPr>
          <w:rFonts w:ascii="Arial" w:hAnsi="Arial" w:cs="Arial"/>
          <w:b/>
          <w:sz w:val="20"/>
          <w:szCs w:val="20"/>
          <w:lang w:val="es-ES_tradnl"/>
        </w:rPr>
      </w:pPr>
      <w:r w:rsidRPr="00695961">
        <w:rPr>
          <w:rFonts w:ascii="Arial" w:hAnsi="Arial" w:cs="Arial"/>
          <w:sz w:val="20"/>
          <w:szCs w:val="20"/>
          <w:lang w:val="es-ES_tradnl"/>
        </w:rPr>
        <w:tab/>
        <w:t>Finalmente, en vía de alegados se hace valer la excepción de veracidad que consiste en la ausencia de facultades por parte del INFOEM para pronunciarse sobre la veracidad de la información que entregan los sujetos obligados.</w:t>
      </w:r>
    </w:p>
    <w:p w:rsidR="00AB0E2F" w:rsidRPr="00695961" w:rsidRDefault="00AB0E2F" w:rsidP="00AB0E2F">
      <w:pPr>
        <w:ind w:left="720" w:right="720"/>
        <w:jc w:val="both"/>
        <w:rPr>
          <w:rFonts w:ascii="Arial" w:hAnsi="Arial" w:cs="Arial"/>
          <w:b/>
          <w:sz w:val="20"/>
          <w:szCs w:val="20"/>
          <w:lang w:val="es-ES_tradnl"/>
        </w:rPr>
      </w:pPr>
    </w:p>
    <w:p w:rsidR="00AB0E2F" w:rsidRPr="00695961" w:rsidRDefault="00AB0E2F" w:rsidP="00AB0E2F">
      <w:pPr>
        <w:ind w:left="720" w:right="720"/>
        <w:jc w:val="center"/>
        <w:rPr>
          <w:rFonts w:ascii="Arial" w:hAnsi="Arial" w:cs="Arial"/>
          <w:b/>
          <w:sz w:val="20"/>
          <w:szCs w:val="20"/>
          <w:lang w:val="es-ES_tradnl"/>
        </w:rPr>
      </w:pPr>
      <w:r w:rsidRPr="00695961">
        <w:rPr>
          <w:rFonts w:ascii="Arial" w:hAnsi="Arial" w:cs="Arial"/>
          <w:b/>
          <w:sz w:val="20"/>
          <w:szCs w:val="20"/>
          <w:lang w:val="es-ES_tradnl"/>
        </w:rPr>
        <w:t>PRUEBAS</w:t>
      </w:r>
    </w:p>
    <w:p w:rsidR="00AB0E2F" w:rsidRPr="00695961" w:rsidRDefault="00AB0E2F" w:rsidP="00AB0E2F">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DOCUMENTAL PÚBLICA</w:t>
      </w:r>
      <w:r w:rsidRPr="00695961">
        <w:rPr>
          <w:rFonts w:ascii="Arial" w:hAnsi="Arial" w:cs="Arial"/>
          <w:sz w:val="20"/>
          <w:szCs w:val="20"/>
          <w:lang w:val="es-ES_tradnl"/>
        </w:rPr>
        <w:t>. - Consistente en el oficio TMC/EGRE/1478/2019, suscrito por el Tesorero Municipal realizo sus alegatos y su anexo (oficio SECAYTTO/AHZE/1852/2019).</w:t>
      </w:r>
    </w:p>
    <w:p w:rsidR="00AB0E2F" w:rsidRDefault="00AB0E2F" w:rsidP="00AB0E2F">
      <w:pPr>
        <w:pStyle w:val="Prrafodelista"/>
        <w:ind w:left="1080" w:right="720"/>
        <w:jc w:val="both"/>
        <w:rPr>
          <w:rFonts w:ascii="Arial" w:hAnsi="Arial" w:cs="Arial"/>
          <w:sz w:val="20"/>
          <w:szCs w:val="20"/>
          <w:lang w:val="es-ES_tradnl"/>
        </w:rPr>
      </w:pPr>
    </w:p>
    <w:p w:rsidR="00AB0E2F" w:rsidRDefault="00AB0E2F" w:rsidP="00AB0E2F">
      <w:pPr>
        <w:pStyle w:val="Prrafodelista"/>
        <w:ind w:left="1080" w:right="720"/>
        <w:jc w:val="both"/>
        <w:rPr>
          <w:rFonts w:ascii="Arial" w:hAnsi="Arial" w:cs="Arial"/>
          <w:sz w:val="20"/>
          <w:szCs w:val="20"/>
          <w:lang w:val="es-ES_tradnl"/>
        </w:rPr>
      </w:pPr>
    </w:p>
    <w:p w:rsidR="00AB0E2F" w:rsidRDefault="00AB0E2F" w:rsidP="00AB0E2F">
      <w:pPr>
        <w:pStyle w:val="Prrafodelista"/>
        <w:ind w:left="1080" w:right="720"/>
        <w:jc w:val="both"/>
        <w:rPr>
          <w:rFonts w:ascii="Arial" w:hAnsi="Arial" w:cs="Arial"/>
          <w:sz w:val="20"/>
          <w:szCs w:val="20"/>
          <w:lang w:val="es-ES_tradnl"/>
        </w:rPr>
      </w:pPr>
    </w:p>
    <w:p w:rsidR="00AB0E2F" w:rsidRDefault="00AB0E2F" w:rsidP="00AB0E2F">
      <w:pPr>
        <w:pStyle w:val="Prrafodelista"/>
        <w:ind w:left="1080" w:right="720"/>
        <w:jc w:val="both"/>
        <w:rPr>
          <w:rFonts w:ascii="Arial" w:hAnsi="Arial" w:cs="Arial"/>
          <w:sz w:val="20"/>
          <w:szCs w:val="20"/>
          <w:lang w:val="es-ES_tradnl"/>
        </w:rPr>
      </w:pPr>
    </w:p>
    <w:p w:rsidR="00AB0E2F" w:rsidRDefault="00AB0E2F" w:rsidP="00AB0E2F">
      <w:pPr>
        <w:pStyle w:val="Prrafodelista"/>
        <w:ind w:left="1080" w:right="720"/>
        <w:jc w:val="both"/>
        <w:rPr>
          <w:rFonts w:ascii="Arial" w:hAnsi="Arial" w:cs="Arial"/>
          <w:sz w:val="20"/>
          <w:szCs w:val="20"/>
          <w:lang w:val="es-ES_tradnl"/>
        </w:rPr>
      </w:pPr>
    </w:p>
    <w:p w:rsidR="00AB0E2F" w:rsidRDefault="00AB0E2F" w:rsidP="00AB0E2F">
      <w:pPr>
        <w:pStyle w:val="Prrafodelista"/>
        <w:ind w:left="1080" w:right="720"/>
        <w:jc w:val="both"/>
        <w:rPr>
          <w:rFonts w:ascii="Arial" w:hAnsi="Arial" w:cs="Arial"/>
          <w:sz w:val="20"/>
          <w:szCs w:val="20"/>
          <w:lang w:val="es-ES_tradnl"/>
        </w:rPr>
      </w:pPr>
    </w:p>
    <w:p w:rsidR="00AB0E2F" w:rsidRDefault="00AB0E2F" w:rsidP="00AB0E2F">
      <w:pPr>
        <w:pStyle w:val="Prrafodelista"/>
        <w:ind w:left="1080" w:right="720"/>
        <w:jc w:val="both"/>
        <w:rPr>
          <w:rFonts w:ascii="Arial" w:hAnsi="Arial" w:cs="Arial"/>
          <w:sz w:val="20"/>
          <w:szCs w:val="20"/>
          <w:lang w:val="es-ES_tradnl"/>
        </w:rPr>
      </w:pPr>
    </w:p>
    <w:p w:rsidR="00AB0E2F" w:rsidRPr="00695961" w:rsidRDefault="00AB0E2F" w:rsidP="00AB0E2F">
      <w:pPr>
        <w:pStyle w:val="Prrafodelista"/>
        <w:ind w:left="1080" w:right="720"/>
        <w:jc w:val="both"/>
        <w:rPr>
          <w:rFonts w:ascii="Arial" w:hAnsi="Arial" w:cs="Arial"/>
          <w:sz w:val="20"/>
          <w:szCs w:val="20"/>
          <w:lang w:val="es-ES_tradnl"/>
        </w:rPr>
      </w:pPr>
    </w:p>
    <w:p w:rsidR="00AB0E2F" w:rsidRPr="00695961" w:rsidRDefault="00AB0E2F" w:rsidP="00AB0E2F">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INSTRUMENTAL DE ACTUACIONES. -</w:t>
      </w:r>
      <w:r w:rsidRPr="00695961">
        <w:rPr>
          <w:rFonts w:ascii="Arial" w:hAnsi="Arial" w:cs="Arial"/>
          <w:sz w:val="20"/>
          <w:szCs w:val="20"/>
          <w:lang w:val="es-ES_tradnl"/>
        </w:rPr>
        <w:t xml:space="preserve"> Consistente en todas las actuaciones que obran en el expediente en que se actúa y que favorezcan a los intereses del H. Ayuntamiento de Coacalco de Berriozábal, Estado de México.</w:t>
      </w:r>
    </w:p>
    <w:p w:rsidR="00AB0E2F" w:rsidRPr="00695961" w:rsidRDefault="00AB0E2F" w:rsidP="00AB0E2F">
      <w:pPr>
        <w:rPr>
          <w:rFonts w:ascii="Arial" w:hAnsi="Arial" w:cs="Arial"/>
          <w:sz w:val="20"/>
          <w:szCs w:val="20"/>
          <w:lang w:val="es-ES_tradnl"/>
        </w:rPr>
      </w:pPr>
    </w:p>
    <w:p w:rsidR="00AB0E2F" w:rsidRPr="00695961" w:rsidRDefault="00AB0E2F" w:rsidP="00AB0E2F">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PRESUNCIONAL EN SU DOBLE ASPECTO.-</w:t>
      </w:r>
      <w:r w:rsidRPr="00695961">
        <w:rPr>
          <w:rFonts w:ascii="Arial" w:hAnsi="Arial" w:cs="Arial"/>
          <w:sz w:val="20"/>
          <w:szCs w:val="20"/>
          <w:lang w:val="es-ES_tradnl"/>
        </w:rPr>
        <w:t xml:space="preserve"> Consistente en las presunciones que se generan considerando que en todo momento se ha actuado bajo el principio de buena fe, además de que se entregó la información que requirió el solicitante. </w:t>
      </w:r>
    </w:p>
    <w:p w:rsidR="00AB0E2F" w:rsidRPr="00695961" w:rsidRDefault="00AB0E2F" w:rsidP="00AB0E2F">
      <w:pPr>
        <w:ind w:right="720"/>
        <w:jc w:val="both"/>
        <w:rPr>
          <w:rFonts w:ascii="Arial" w:hAnsi="Arial" w:cs="Arial"/>
          <w:sz w:val="20"/>
          <w:szCs w:val="20"/>
          <w:lang w:val="es-ES_tradnl"/>
        </w:rPr>
      </w:pPr>
    </w:p>
    <w:p w:rsidR="00AB0E2F" w:rsidRPr="00695961" w:rsidRDefault="00AB0E2F" w:rsidP="00AB0E2F">
      <w:pPr>
        <w:ind w:left="720" w:right="720" w:firstLine="696"/>
        <w:jc w:val="both"/>
        <w:rPr>
          <w:rFonts w:ascii="Arial" w:hAnsi="Arial" w:cs="Arial"/>
          <w:sz w:val="20"/>
          <w:szCs w:val="20"/>
          <w:lang w:val="es-ES_tradnl"/>
        </w:rPr>
      </w:pPr>
      <w:r w:rsidRPr="00695961">
        <w:rPr>
          <w:rFonts w:ascii="Arial" w:hAnsi="Arial" w:cs="Arial"/>
          <w:sz w:val="20"/>
          <w:szCs w:val="20"/>
          <w:lang w:val="es-ES_tradnl"/>
        </w:rPr>
        <w:t>Por todo lo anterior, se solicita respetuosamente a este organismo garante lo siguiente:</w:t>
      </w:r>
    </w:p>
    <w:p w:rsidR="00AB0E2F" w:rsidRPr="00695961" w:rsidRDefault="00AB0E2F" w:rsidP="00AB0E2F">
      <w:pPr>
        <w:ind w:left="720" w:right="720"/>
        <w:jc w:val="both"/>
        <w:rPr>
          <w:rFonts w:ascii="Arial" w:hAnsi="Arial" w:cs="Arial"/>
          <w:sz w:val="20"/>
          <w:szCs w:val="20"/>
          <w:lang w:val="es-ES_tradnl"/>
        </w:rPr>
      </w:pPr>
    </w:p>
    <w:p w:rsidR="00AB0E2F" w:rsidRPr="00695961" w:rsidRDefault="00AB0E2F" w:rsidP="00AB0E2F">
      <w:pPr>
        <w:ind w:left="720" w:right="720"/>
        <w:jc w:val="both"/>
        <w:rPr>
          <w:rFonts w:ascii="Arial" w:hAnsi="Arial" w:cs="Arial"/>
          <w:sz w:val="20"/>
          <w:szCs w:val="20"/>
          <w:lang w:val="es-ES_tradnl"/>
        </w:rPr>
      </w:pPr>
      <w:r w:rsidRPr="00695961">
        <w:rPr>
          <w:rFonts w:ascii="Arial" w:hAnsi="Arial" w:cs="Arial"/>
          <w:b/>
          <w:sz w:val="20"/>
          <w:szCs w:val="20"/>
          <w:lang w:val="es-ES_tradnl"/>
        </w:rPr>
        <w:t>Primero.</w:t>
      </w:r>
      <w:r w:rsidRPr="00695961">
        <w:rPr>
          <w:rFonts w:ascii="Arial" w:hAnsi="Arial" w:cs="Arial"/>
          <w:sz w:val="20"/>
          <w:szCs w:val="20"/>
          <w:lang w:val="es-ES_tradnl"/>
        </w:rPr>
        <w:t xml:space="preserve"> Tenerme por presentado en tiempo y forma en los términos del presente escrito y que se analice la causal de improcedencia que se invoca de forma específica y no de manera general</w:t>
      </w:r>
    </w:p>
    <w:p w:rsidR="00AB0E2F" w:rsidRPr="00695961" w:rsidRDefault="00AB0E2F" w:rsidP="00AB0E2F">
      <w:pPr>
        <w:ind w:left="720" w:right="720"/>
        <w:jc w:val="both"/>
        <w:rPr>
          <w:rFonts w:ascii="Arial" w:hAnsi="Arial" w:cs="Arial"/>
          <w:sz w:val="20"/>
          <w:szCs w:val="20"/>
          <w:lang w:val="es-ES_tradnl"/>
        </w:rPr>
      </w:pPr>
    </w:p>
    <w:p w:rsidR="00AB0E2F" w:rsidRPr="00695961" w:rsidRDefault="00AB0E2F" w:rsidP="00AB0E2F">
      <w:pPr>
        <w:ind w:left="720" w:right="720"/>
        <w:jc w:val="both"/>
        <w:rPr>
          <w:rFonts w:ascii="Arial" w:hAnsi="Arial" w:cs="Arial"/>
          <w:sz w:val="20"/>
          <w:szCs w:val="20"/>
          <w:lang w:val="es-ES_tradnl"/>
        </w:rPr>
      </w:pPr>
      <w:r w:rsidRPr="00695961">
        <w:rPr>
          <w:rFonts w:ascii="Arial" w:hAnsi="Arial" w:cs="Arial"/>
          <w:b/>
          <w:sz w:val="20"/>
          <w:szCs w:val="20"/>
          <w:lang w:val="es-ES_tradnl"/>
        </w:rPr>
        <w:t>Segundo.</w:t>
      </w:r>
      <w:r w:rsidRPr="00695961">
        <w:rPr>
          <w:rFonts w:ascii="Arial" w:hAnsi="Arial" w:cs="Arial"/>
          <w:sz w:val="20"/>
          <w:szCs w:val="20"/>
          <w:lang w:val="es-ES_tradnl"/>
        </w:rPr>
        <w:t xml:space="preserve"> Que se tengan por exhibidas las pruebas que se acompañan al presente escrito, por estar ofrecidas conforme a derecho y valorarlas al momento de dictar la resolución que corresponda.</w:t>
      </w:r>
    </w:p>
    <w:p w:rsidR="00AB0E2F" w:rsidRPr="00695961" w:rsidRDefault="00AB0E2F" w:rsidP="00AB0E2F">
      <w:pPr>
        <w:ind w:left="720" w:right="720"/>
        <w:jc w:val="both"/>
        <w:rPr>
          <w:rFonts w:ascii="Arial" w:hAnsi="Arial" w:cs="Arial"/>
          <w:sz w:val="20"/>
          <w:szCs w:val="20"/>
          <w:lang w:val="es-ES_tradnl"/>
        </w:rPr>
      </w:pPr>
    </w:p>
    <w:p w:rsidR="00AB0E2F" w:rsidRPr="00695961" w:rsidRDefault="00AB0E2F" w:rsidP="00AB0E2F">
      <w:pPr>
        <w:ind w:left="720" w:right="720"/>
        <w:jc w:val="both"/>
        <w:rPr>
          <w:rFonts w:ascii="Arial" w:hAnsi="Arial" w:cs="Arial"/>
          <w:sz w:val="20"/>
          <w:szCs w:val="20"/>
          <w:lang w:val="es-ES_tradnl"/>
        </w:rPr>
      </w:pPr>
      <w:r w:rsidRPr="00695961">
        <w:rPr>
          <w:rFonts w:ascii="Arial" w:hAnsi="Arial" w:cs="Arial"/>
          <w:b/>
          <w:sz w:val="20"/>
          <w:szCs w:val="20"/>
          <w:lang w:val="es-ES_tradnl"/>
        </w:rPr>
        <w:t>Tercero.</w:t>
      </w:r>
      <w:r w:rsidRPr="00695961">
        <w:rPr>
          <w:rFonts w:ascii="Arial" w:hAnsi="Arial" w:cs="Arial"/>
          <w:sz w:val="20"/>
          <w:szCs w:val="20"/>
          <w:lang w:val="es-ES_tradnl"/>
        </w:rPr>
        <w:t xml:space="preserve"> Previo a que se realicen los trámites de ley, se declare improcedente el recurso de revisión que nos ocupa o se tengan por infundados los agravios del recurrente y se tenga pro satisfecho el derecho humano a la información.</w:t>
      </w:r>
    </w:p>
    <w:p w:rsidR="00AB0E2F" w:rsidRPr="00695961" w:rsidRDefault="00AB0E2F" w:rsidP="00AB0E2F">
      <w:pPr>
        <w:ind w:left="720" w:right="720"/>
        <w:jc w:val="both"/>
        <w:rPr>
          <w:rFonts w:ascii="Arial" w:hAnsi="Arial" w:cs="Arial"/>
          <w:sz w:val="20"/>
          <w:szCs w:val="20"/>
          <w:lang w:val="es-ES_tradnl"/>
        </w:rPr>
      </w:pPr>
    </w:p>
    <w:p w:rsidR="00AB0E2F" w:rsidRPr="00695961" w:rsidRDefault="00AB0E2F" w:rsidP="00AB0E2F">
      <w:pPr>
        <w:ind w:left="720" w:right="720"/>
        <w:jc w:val="both"/>
        <w:rPr>
          <w:rFonts w:ascii="Arial" w:hAnsi="Arial" w:cs="Arial"/>
          <w:sz w:val="20"/>
          <w:szCs w:val="20"/>
          <w:lang w:val="es-ES_tradnl"/>
        </w:rPr>
      </w:pPr>
    </w:p>
    <w:p w:rsidR="00AB0E2F" w:rsidRPr="00695961" w:rsidRDefault="00AB0E2F" w:rsidP="00AB0E2F">
      <w:pPr>
        <w:ind w:left="720" w:right="720"/>
        <w:jc w:val="both"/>
        <w:rPr>
          <w:rFonts w:ascii="Arial" w:hAnsi="Arial" w:cs="Arial"/>
          <w:sz w:val="20"/>
          <w:szCs w:val="20"/>
          <w:lang w:val="es-ES_tradnl"/>
        </w:rPr>
      </w:pPr>
    </w:p>
    <w:p w:rsidR="00AB0E2F" w:rsidRPr="00695961" w:rsidRDefault="00AB0E2F" w:rsidP="00AB0E2F">
      <w:pPr>
        <w:ind w:left="720" w:right="720"/>
        <w:jc w:val="both"/>
        <w:rPr>
          <w:rFonts w:ascii="Arial" w:hAnsi="Arial" w:cs="Arial"/>
          <w:sz w:val="20"/>
          <w:szCs w:val="20"/>
          <w:lang w:val="es-ES_tradnl"/>
        </w:rPr>
      </w:pPr>
      <w:r w:rsidRPr="00695961">
        <w:rPr>
          <w:rFonts w:ascii="Arial" w:hAnsi="Arial" w:cs="Arial"/>
          <w:sz w:val="20"/>
          <w:szCs w:val="20"/>
          <w:lang w:val="es-ES_tradnl"/>
        </w:rPr>
        <w:t>ATENTAMENTE,</w:t>
      </w:r>
    </w:p>
    <w:p w:rsidR="00AB0E2F" w:rsidRPr="00695961" w:rsidRDefault="00AB0E2F" w:rsidP="00AB0E2F">
      <w:pPr>
        <w:ind w:left="720" w:right="720"/>
        <w:jc w:val="both"/>
        <w:rPr>
          <w:rFonts w:ascii="Arial" w:hAnsi="Arial" w:cs="Arial"/>
          <w:sz w:val="20"/>
          <w:szCs w:val="20"/>
          <w:lang w:val="es-ES_tradnl"/>
        </w:rPr>
      </w:pPr>
    </w:p>
    <w:p w:rsidR="00AB0E2F" w:rsidRPr="00695961" w:rsidRDefault="00AB0E2F" w:rsidP="00AB0E2F">
      <w:pPr>
        <w:ind w:left="720" w:right="720"/>
        <w:jc w:val="both"/>
        <w:rPr>
          <w:rFonts w:ascii="Arial" w:hAnsi="Arial" w:cs="Arial"/>
          <w:sz w:val="20"/>
          <w:szCs w:val="20"/>
          <w:lang w:val="es-ES_tradnl"/>
        </w:rPr>
      </w:pPr>
    </w:p>
    <w:p w:rsidR="00AB0E2F" w:rsidRPr="00695961" w:rsidRDefault="00AB0E2F" w:rsidP="00AB0E2F">
      <w:pPr>
        <w:spacing w:after="0"/>
        <w:ind w:left="720" w:right="720"/>
        <w:jc w:val="both"/>
        <w:rPr>
          <w:rFonts w:ascii="Arial" w:hAnsi="Arial" w:cs="Arial"/>
          <w:b/>
          <w:sz w:val="20"/>
          <w:szCs w:val="20"/>
          <w:lang w:val="es-ES_tradnl"/>
        </w:rPr>
      </w:pPr>
      <w:r w:rsidRPr="00695961">
        <w:rPr>
          <w:rFonts w:ascii="Arial" w:hAnsi="Arial" w:cs="Arial"/>
          <w:b/>
          <w:sz w:val="20"/>
          <w:szCs w:val="20"/>
          <w:lang w:val="es-ES_tradnl"/>
        </w:rPr>
        <w:t>C. ISRAEL VÍCTOR AGUAYO</w:t>
      </w:r>
    </w:p>
    <w:p w:rsidR="00AB0E2F" w:rsidRPr="00554ED8" w:rsidRDefault="00AB0E2F" w:rsidP="00AB0E2F">
      <w:pPr>
        <w:ind w:firstLine="708"/>
        <w:rPr>
          <w:rFonts w:ascii="Arial" w:hAnsi="Arial" w:cs="Arial"/>
          <w:sz w:val="20"/>
          <w:szCs w:val="20"/>
          <w:lang w:val="es-ES_tradnl"/>
        </w:rPr>
      </w:pPr>
      <w:r w:rsidRPr="00695961">
        <w:rPr>
          <w:rFonts w:ascii="Arial" w:hAnsi="Arial" w:cs="Arial"/>
          <w:b/>
          <w:sz w:val="20"/>
          <w:szCs w:val="20"/>
          <w:lang w:val="es-ES_tradnl"/>
        </w:rPr>
        <w:t>TITULAR DE LA UNIDAD DE TRANSPARENCIA</w:t>
      </w:r>
    </w:p>
    <w:p w:rsidR="00AB0E2F" w:rsidRDefault="00AB0E2F" w:rsidP="00AB0E2F"/>
    <w:p w:rsidR="002A7D12" w:rsidRDefault="002A7D12"/>
    <w:sectPr w:rsidR="002A7D12" w:rsidSect="00A254FA">
      <w:headerReference w:type="default" r:id="rId7"/>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5E9" w:rsidRDefault="00A135E9">
      <w:pPr>
        <w:spacing w:after="0" w:line="240" w:lineRule="auto"/>
      </w:pPr>
      <w:r>
        <w:separator/>
      </w:r>
    </w:p>
  </w:endnote>
  <w:endnote w:type="continuationSeparator" w:id="0">
    <w:p w:rsidR="00A135E9" w:rsidRDefault="00A13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ontserrat SemiBold">
    <w:altName w:val="Courier New"/>
    <w:panose1 w:val="000000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5E9" w:rsidRDefault="00A135E9">
      <w:pPr>
        <w:spacing w:after="0" w:line="240" w:lineRule="auto"/>
      </w:pPr>
      <w:r>
        <w:separator/>
      </w:r>
    </w:p>
  </w:footnote>
  <w:footnote w:type="continuationSeparator" w:id="0">
    <w:p w:rsidR="00A135E9" w:rsidRDefault="00A135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DFF" w:rsidRDefault="00AB0E2F" w:rsidP="00007DA6">
    <w:pPr>
      <w:pStyle w:val="Encabezado"/>
      <w:tabs>
        <w:tab w:val="clear" w:pos="4680"/>
        <w:tab w:val="clear" w:pos="9360"/>
        <w:tab w:val="left" w:pos="2760"/>
      </w:tabs>
    </w:pPr>
    <w:r>
      <w:rPr>
        <w:noProof/>
        <w:lang w:val="es-MX" w:eastAsia="es-MX"/>
      </w:rPr>
      <w:drawing>
        <wp:anchor distT="0" distB="0" distL="114300" distR="114300" simplePos="0" relativeHeight="251659264" behindDoc="1" locked="0" layoutInCell="1" allowOverlap="1" wp14:anchorId="5044242F" wp14:editId="612D0F2A">
          <wp:simplePos x="0" y="0"/>
          <wp:positionH relativeFrom="page">
            <wp:align>right</wp:align>
          </wp:positionH>
          <wp:positionV relativeFrom="paragraph">
            <wp:posOffset>-461010</wp:posOffset>
          </wp:positionV>
          <wp:extent cx="7765070" cy="1004570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TA-03.png"/>
                  <pic:cNvPicPr/>
                </pic:nvPicPr>
                <pic:blipFill>
                  <a:blip r:embed="rId1">
                    <a:extLst>
                      <a:ext uri="{28A0092B-C50C-407E-A947-70E740481C1C}">
                        <a14:useLocalDpi xmlns:a14="http://schemas.microsoft.com/office/drawing/2010/main" val="0"/>
                      </a:ext>
                    </a:extLst>
                  </a:blip>
                  <a:stretch>
                    <a:fillRect/>
                  </a:stretch>
                </pic:blipFill>
                <pic:spPr>
                  <a:xfrm>
                    <a:off x="0" y="0"/>
                    <a:ext cx="7765070" cy="100457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2D1F25"/>
    <w:multiLevelType w:val="hybridMultilevel"/>
    <w:tmpl w:val="7690D9C4"/>
    <w:lvl w:ilvl="0" w:tplc="B9907B4C">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 w15:restartNumberingAfterBreak="0">
    <w:nsid w:val="527B0468"/>
    <w:multiLevelType w:val="hybridMultilevel"/>
    <w:tmpl w:val="848C808A"/>
    <w:lvl w:ilvl="0" w:tplc="8D265F8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E2F"/>
    <w:rsid w:val="002A7D12"/>
    <w:rsid w:val="004A2120"/>
    <w:rsid w:val="00A135E9"/>
    <w:rsid w:val="00AB0E2F"/>
    <w:rsid w:val="00B70C32"/>
    <w:rsid w:val="00C33B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641E6E-DE03-4173-B7C2-2F9409285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E2F"/>
    <w:pPr>
      <w:spacing w:after="120" w:line="27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0E2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B0E2F"/>
    <w:rPr>
      <w:lang w:val="en-US"/>
    </w:rPr>
  </w:style>
  <w:style w:type="table" w:styleId="Tablaconcuadrcula">
    <w:name w:val="Table Grid"/>
    <w:basedOn w:val="Tablanormal"/>
    <w:uiPriority w:val="39"/>
    <w:rsid w:val="00AB0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B0E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1392</Words>
  <Characters>7662</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Lopez Arenas</dc:creator>
  <cp:keywords/>
  <dc:description/>
  <cp:lastModifiedBy>USUARIO INFOEM</cp:lastModifiedBy>
  <cp:revision>2</cp:revision>
  <dcterms:created xsi:type="dcterms:W3CDTF">2019-11-20T03:19:00Z</dcterms:created>
  <dcterms:modified xsi:type="dcterms:W3CDTF">2019-11-20T03:19:00Z</dcterms:modified>
</cp:coreProperties>
</file>