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932F7D">
        <w:rPr>
          <w:rFonts w:ascii="Palatino Linotype" w:hAnsi="Palatino Linotype" w:cs="Arial"/>
          <w:b/>
          <w:sz w:val="24"/>
          <w:szCs w:val="24"/>
        </w:rPr>
        <w:t xml:space="preserve">690/INFOEM/IP/RR/2019 y </w:t>
      </w:r>
      <w:r w:rsidR="00932F7D" w:rsidRPr="00A9511F">
        <w:rPr>
          <w:rFonts w:ascii="Palatino Linotype" w:hAnsi="Palatino Linotype" w:cs="Arial"/>
          <w:b/>
          <w:sz w:val="24"/>
          <w:szCs w:val="24"/>
        </w:rPr>
        <w:t>0</w:t>
      </w:r>
      <w:r w:rsidR="00932F7D">
        <w:rPr>
          <w:rFonts w:ascii="Palatino Linotype" w:hAnsi="Palatino Linotype" w:cs="Arial"/>
          <w:b/>
          <w:sz w:val="24"/>
          <w:szCs w:val="24"/>
        </w:rPr>
        <w:t>1692/INFOEM/IP/RR/2019</w:t>
      </w:r>
      <w:r w:rsidR="00F36194">
        <w:rPr>
          <w:rFonts w:ascii="Palatino Linotype" w:hAnsi="Palatino Linotype" w:cs="Arial"/>
          <w:b/>
          <w:sz w:val="24"/>
          <w:szCs w:val="24"/>
        </w:rPr>
        <w:t>.</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FD1A8A" w:rsidRPr="00FD1A8A" w:rsidRDefault="00E6179D">
          <w:pPr>
            <w:pStyle w:val="TDC1"/>
            <w:rPr>
              <w:rFonts w:asciiTheme="minorHAnsi" w:eastAsiaTheme="minorEastAsia" w:hAnsiTheme="minorHAnsi"/>
              <w:b w:val="0"/>
              <w:sz w:val="24"/>
              <w:szCs w:val="24"/>
              <w:lang w:eastAsia="es-MX"/>
            </w:rPr>
          </w:pPr>
          <w:r w:rsidRPr="00FD1A8A">
            <w:rPr>
              <w:sz w:val="24"/>
              <w:szCs w:val="24"/>
            </w:rPr>
            <w:fldChar w:fldCharType="begin"/>
          </w:r>
          <w:r w:rsidRPr="00FD1A8A">
            <w:rPr>
              <w:sz w:val="24"/>
              <w:szCs w:val="24"/>
            </w:rPr>
            <w:instrText xml:space="preserve"> TOC \o "1-3" \h \z \u </w:instrText>
          </w:r>
          <w:r w:rsidRPr="00FD1A8A">
            <w:rPr>
              <w:sz w:val="24"/>
              <w:szCs w:val="24"/>
            </w:rPr>
            <w:fldChar w:fldCharType="separate"/>
          </w:r>
          <w:hyperlink w:anchor="_Toc10450289" w:history="1">
            <w:r w:rsidR="00FD1A8A" w:rsidRPr="00FD1A8A">
              <w:rPr>
                <w:rStyle w:val="Hipervnculo"/>
                <w:rFonts w:eastAsia="Times New Roman"/>
                <w:sz w:val="24"/>
                <w:szCs w:val="24"/>
              </w:rPr>
              <w:t>I.</w:t>
            </w:r>
            <w:r w:rsidR="00FD1A8A" w:rsidRPr="00FD1A8A">
              <w:rPr>
                <w:rFonts w:asciiTheme="minorHAnsi" w:eastAsiaTheme="minorEastAsia" w:hAnsiTheme="minorHAnsi"/>
                <w:b w:val="0"/>
                <w:sz w:val="24"/>
                <w:szCs w:val="24"/>
                <w:lang w:eastAsia="es-MX"/>
              </w:rPr>
              <w:tab/>
            </w:r>
            <w:r w:rsidR="00FD1A8A" w:rsidRPr="00FD1A8A">
              <w:rPr>
                <w:rStyle w:val="Hipervnculo"/>
                <w:rFonts w:eastAsia="Times New Roman"/>
                <w:sz w:val="24"/>
                <w:szCs w:val="24"/>
              </w:rPr>
              <w:t>Consideraciones Generales</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_Toc10450289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1</w:t>
            </w:r>
            <w:r w:rsidR="00FD1A8A" w:rsidRPr="00FD1A8A">
              <w:rPr>
                <w:webHidden/>
                <w:sz w:val="24"/>
                <w:szCs w:val="24"/>
              </w:rPr>
              <w:fldChar w:fldCharType="end"/>
            </w:r>
          </w:hyperlink>
        </w:p>
        <w:p w:rsidR="00FD1A8A" w:rsidRPr="00FD1A8A" w:rsidRDefault="00462779">
          <w:pPr>
            <w:pStyle w:val="TDC1"/>
            <w:rPr>
              <w:rFonts w:asciiTheme="minorHAnsi" w:eastAsiaTheme="minorEastAsia" w:hAnsiTheme="minorHAnsi"/>
              <w:b w:val="0"/>
              <w:sz w:val="24"/>
              <w:szCs w:val="24"/>
              <w:lang w:eastAsia="es-MX"/>
            </w:rPr>
          </w:pPr>
          <w:hyperlink w:anchor="_Toc10450290" w:history="1">
            <w:r w:rsidR="00FD1A8A" w:rsidRPr="00FD1A8A">
              <w:rPr>
                <w:rStyle w:val="Hipervnculo"/>
                <w:rFonts w:eastAsia="Calibri"/>
                <w:sz w:val="24"/>
                <w:szCs w:val="24"/>
                <w:lang w:val="es-ES"/>
              </w:rPr>
              <w:t>II.</w:t>
            </w:r>
            <w:r w:rsidR="00FD1A8A" w:rsidRPr="00FD1A8A">
              <w:rPr>
                <w:rFonts w:asciiTheme="minorHAnsi" w:eastAsiaTheme="minorEastAsia" w:hAnsiTheme="minorHAnsi"/>
                <w:b w:val="0"/>
                <w:sz w:val="24"/>
                <w:szCs w:val="24"/>
                <w:lang w:eastAsia="es-MX"/>
              </w:rPr>
              <w:tab/>
            </w:r>
            <w:r w:rsidR="00FD1A8A" w:rsidRPr="00FD1A8A">
              <w:rPr>
                <w:rStyle w:val="Hipervnculo"/>
                <w:rFonts w:eastAsia="Calibri"/>
                <w:sz w:val="24"/>
                <w:szCs w:val="24"/>
                <w:lang w:val="es-ES"/>
              </w:rPr>
              <w:t>De los requerimientos planteados en el recurso de revisión.</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_Toc10450290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2</w:t>
            </w:r>
            <w:r w:rsidR="00FD1A8A" w:rsidRPr="00FD1A8A">
              <w:rPr>
                <w:webHidden/>
                <w:sz w:val="24"/>
                <w:szCs w:val="24"/>
              </w:rPr>
              <w:fldChar w:fldCharType="end"/>
            </w:r>
          </w:hyperlink>
        </w:p>
        <w:p w:rsidR="00FD1A8A" w:rsidRPr="00FD1A8A" w:rsidRDefault="00462779">
          <w:pPr>
            <w:pStyle w:val="TDC2"/>
            <w:rPr>
              <w:rFonts w:asciiTheme="minorHAnsi" w:eastAsiaTheme="minorEastAsia" w:hAnsiTheme="minorHAnsi"/>
              <w:b w:val="0"/>
              <w:lang w:eastAsia="es-MX"/>
            </w:rPr>
          </w:pPr>
          <w:hyperlink w:anchor="_Toc10450291" w:history="1">
            <w:r w:rsidR="00FD1A8A" w:rsidRPr="00FD1A8A">
              <w:rPr>
                <w:rStyle w:val="Hipervnculo"/>
              </w:rPr>
              <w:t>III. Del Derecho de Acceso a la información pública y el deber de motivar.</w:t>
            </w:r>
            <w:r w:rsidR="00FD1A8A" w:rsidRPr="00FD1A8A">
              <w:rPr>
                <w:webHidden/>
              </w:rPr>
              <w:tab/>
            </w:r>
            <w:r w:rsidR="00FD1A8A" w:rsidRPr="00FD1A8A">
              <w:rPr>
                <w:webHidden/>
              </w:rPr>
              <w:fldChar w:fldCharType="begin"/>
            </w:r>
            <w:r w:rsidR="00FD1A8A" w:rsidRPr="00FD1A8A">
              <w:rPr>
                <w:webHidden/>
              </w:rPr>
              <w:instrText xml:space="preserve"> PAGEREF _Toc10450291 \h </w:instrText>
            </w:r>
            <w:r w:rsidR="00FD1A8A" w:rsidRPr="00FD1A8A">
              <w:rPr>
                <w:webHidden/>
              </w:rPr>
            </w:r>
            <w:r w:rsidR="00FD1A8A" w:rsidRPr="00FD1A8A">
              <w:rPr>
                <w:webHidden/>
              </w:rPr>
              <w:fldChar w:fldCharType="separate"/>
            </w:r>
            <w:r w:rsidR="00FD1A8A" w:rsidRPr="00FD1A8A">
              <w:rPr>
                <w:webHidden/>
              </w:rPr>
              <w:t>6</w:t>
            </w:r>
            <w:r w:rsidR="00FD1A8A" w:rsidRPr="00FD1A8A">
              <w:rPr>
                <w:webHidden/>
              </w:rPr>
              <w:fldChar w:fldCharType="end"/>
            </w:r>
          </w:hyperlink>
        </w:p>
        <w:p w:rsidR="00FD1A8A" w:rsidRPr="00FD1A8A" w:rsidRDefault="00462779" w:rsidP="00FD1A8A">
          <w:pPr>
            <w:pStyle w:val="TDC1"/>
            <w:rPr>
              <w:rFonts w:asciiTheme="minorHAnsi" w:eastAsiaTheme="minorEastAsia" w:hAnsiTheme="minorHAnsi"/>
              <w:b w:val="0"/>
              <w:sz w:val="24"/>
              <w:szCs w:val="24"/>
              <w:lang w:eastAsia="es-MX"/>
            </w:rPr>
          </w:pPr>
          <w:hyperlink w:anchor="_Toc10450292" w:history="1">
            <w:r w:rsidR="00FD1A8A" w:rsidRPr="00FD1A8A">
              <w:rPr>
                <w:rStyle w:val="Hipervnculo"/>
                <w:rFonts w:eastAsia="Calibri"/>
                <w:sz w:val="24"/>
                <w:szCs w:val="24"/>
              </w:rPr>
              <w:t>IV. Del Pronunciamiento simple</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_Toc10450292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11</w:t>
            </w:r>
            <w:r w:rsidR="00FD1A8A" w:rsidRPr="00FD1A8A">
              <w:rPr>
                <w:webHidden/>
                <w:sz w:val="24"/>
                <w:szCs w:val="24"/>
              </w:rPr>
              <w:fldChar w:fldCharType="end"/>
            </w:r>
          </w:hyperlink>
        </w:p>
        <w:p w:rsidR="00FD1A8A" w:rsidRPr="00FD1A8A" w:rsidRDefault="00462779">
          <w:pPr>
            <w:pStyle w:val="TDC1"/>
            <w:rPr>
              <w:rFonts w:asciiTheme="minorHAnsi" w:eastAsiaTheme="minorEastAsia" w:hAnsiTheme="minorHAnsi"/>
              <w:b w:val="0"/>
              <w:sz w:val="24"/>
              <w:szCs w:val="24"/>
              <w:lang w:eastAsia="es-MX"/>
            </w:rPr>
          </w:pPr>
          <w:hyperlink w:anchor="_Toc10450294" w:history="1">
            <w:r w:rsidR="00FD1A8A" w:rsidRPr="00FD1A8A">
              <w:rPr>
                <w:rStyle w:val="Hipervnculo"/>
                <w:rFonts w:eastAsia="Calibri"/>
                <w:sz w:val="24"/>
                <w:szCs w:val="24"/>
              </w:rPr>
              <w:t>V. Conclusión.</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_Toc10450294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30</w:t>
            </w:r>
            <w:r w:rsidR="00FD1A8A" w:rsidRPr="00FD1A8A">
              <w:rPr>
                <w:webHidden/>
                <w:sz w:val="24"/>
                <w:szCs w:val="24"/>
              </w:rPr>
              <w:fldChar w:fldCharType="end"/>
            </w:r>
          </w:hyperlink>
        </w:p>
        <w:p w:rsidR="00E6179D" w:rsidRPr="00FD1A8A" w:rsidRDefault="00E6179D" w:rsidP="00B73B30">
          <w:pPr>
            <w:spacing w:line="360" w:lineRule="auto"/>
            <w:rPr>
              <w:rFonts w:ascii="Palatino Linotype" w:hAnsi="Palatino Linotype"/>
              <w:b/>
              <w:sz w:val="24"/>
              <w:szCs w:val="24"/>
            </w:rPr>
          </w:pPr>
          <w:r w:rsidRPr="00FD1A8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045028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w:t>
      </w:r>
      <w:r w:rsidRPr="009F02EB">
        <w:rPr>
          <w:rFonts w:ascii="Palatino Linotype" w:eastAsia="Calibri" w:hAnsi="Palatino Linotype" w:cs="Arial"/>
          <w:sz w:val="24"/>
          <w:szCs w:val="24"/>
        </w:rPr>
        <w:lastRenderedPageBreak/>
        <w:t xml:space="preserve">Ordinaria celebrada el día </w:t>
      </w:r>
      <w:r w:rsidR="00733359">
        <w:rPr>
          <w:rFonts w:ascii="Palatino Linotype" w:eastAsia="Calibri" w:hAnsi="Palatino Linotype" w:cs="Arial"/>
          <w:sz w:val="24"/>
          <w:szCs w:val="24"/>
        </w:rPr>
        <w:t>v</w:t>
      </w:r>
      <w:r w:rsidR="00DD4DDE">
        <w:rPr>
          <w:rFonts w:ascii="Palatino Linotype" w:eastAsia="Calibri" w:hAnsi="Palatino Linotype" w:cs="Arial"/>
          <w:sz w:val="24"/>
          <w:szCs w:val="24"/>
        </w:rPr>
        <w:t>eintinueve</w:t>
      </w:r>
      <w:r w:rsidRPr="009F02EB">
        <w:rPr>
          <w:rFonts w:ascii="Palatino Linotype" w:eastAsia="Calibri" w:hAnsi="Palatino Linotype" w:cs="Arial"/>
          <w:sz w:val="24"/>
          <w:szCs w:val="24"/>
        </w:rPr>
        <w:t xml:space="preserve"> (</w:t>
      </w:r>
      <w:r w:rsidR="00DD4DDE">
        <w:rPr>
          <w:rFonts w:ascii="Palatino Linotype" w:eastAsia="Calibri" w:hAnsi="Palatino Linotype" w:cs="Arial"/>
          <w:sz w:val="24"/>
          <w:szCs w:val="24"/>
        </w:rPr>
        <w:t>29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7A5D57" w:rsidRPr="00DF4D59">
        <w:rPr>
          <w:rFonts w:ascii="Palatino Linotype" w:hAnsi="Palatino Linotype" w:cs="Arial"/>
          <w:b/>
          <w:sz w:val="24"/>
        </w:rPr>
        <w:t>,</w:t>
      </w:r>
      <w:r w:rsidR="00B558FB" w:rsidRPr="00B558FB">
        <w:rPr>
          <w:rFonts w:ascii="Palatino Linotype" w:hAnsi="Palatino Linotype" w:cs="Arial"/>
          <w:b/>
          <w:sz w:val="24"/>
        </w:rPr>
        <w:t xml:space="preserve"> </w:t>
      </w:r>
      <w:r w:rsidR="00B558FB" w:rsidRPr="00293D01">
        <w:rPr>
          <w:rFonts w:ascii="Palatino Linotype" w:hAnsi="Palatino Linotype" w:cs="Arial"/>
          <w:b/>
          <w:sz w:val="24"/>
        </w:rPr>
        <w:t>Ayuntamiento de Tecámac</w:t>
      </w:r>
      <w:r w:rsidR="00B558FB">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F36194" w:rsidRPr="00A9511F">
        <w:rPr>
          <w:rFonts w:ascii="Palatino Linotype" w:hAnsi="Palatino Linotype" w:cs="Arial"/>
          <w:b/>
          <w:sz w:val="24"/>
          <w:szCs w:val="24"/>
        </w:rPr>
        <w:t>0</w:t>
      </w:r>
      <w:r w:rsidR="00F36194">
        <w:rPr>
          <w:rFonts w:ascii="Palatino Linotype" w:hAnsi="Palatino Linotype" w:cs="Arial"/>
          <w:b/>
          <w:sz w:val="24"/>
          <w:szCs w:val="24"/>
        </w:rPr>
        <w:t xml:space="preserve">1690/INFOEM/IP/RR/2019 y </w:t>
      </w:r>
      <w:r w:rsidR="00F36194" w:rsidRPr="00A9511F">
        <w:rPr>
          <w:rFonts w:ascii="Palatino Linotype" w:hAnsi="Palatino Linotype" w:cs="Arial"/>
          <w:b/>
          <w:sz w:val="24"/>
          <w:szCs w:val="24"/>
        </w:rPr>
        <w:t>0</w:t>
      </w:r>
      <w:r w:rsidR="00F36194">
        <w:rPr>
          <w:rFonts w:ascii="Palatino Linotype" w:hAnsi="Palatino Linotype" w:cs="Arial"/>
          <w:b/>
          <w:sz w:val="24"/>
          <w:szCs w:val="24"/>
        </w:rPr>
        <w:t>1692/INFOEM/IP/RR/2019.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F70F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0450290"/>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w:t>
      </w:r>
      <w:r w:rsidR="00B558FB">
        <w:rPr>
          <w:rFonts w:ascii="Palatino Linotype" w:eastAsia="Calibri" w:hAnsi="Palatino Linotype" w:cs="Times New Roman"/>
          <w:sz w:val="24"/>
          <w:szCs w:val="24"/>
        </w:rPr>
        <w:t xml:space="preserve"> del derecho constitucional que</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el</w:t>
      </w:r>
      <w:r w:rsidR="00B558FB" w:rsidRPr="00B558FB">
        <w:rPr>
          <w:rFonts w:ascii="Palatino Linotype" w:hAnsi="Palatino Linotype" w:cs="Arial"/>
          <w:b/>
          <w:sz w:val="24"/>
        </w:rPr>
        <w:t xml:space="preserve"> </w:t>
      </w:r>
      <w:r w:rsidR="00B558FB" w:rsidRPr="00293D01">
        <w:rPr>
          <w:rFonts w:ascii="Palatino Linotype" w:hAnsi="Palatino Linotype" w:cs="Arial"/>
          <w:b/>
          <w:sz w:val="24"/>
        </w:rPr>
        <w:t>Ayuntamiento de Tecámac</w:t>
      </w:r>
      <w:r w:rsidR="00DD4DDE" w:rsidRPr="00DF4D59">
        <w:rPr>
          <w:rFonts w:ascii="Palatino Linotype" w:hAnsi="Palatino Linotype" w:cs="Arial"/>
          <w:b/>
          <w:sz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F36194">
        <w:rPr>
          <w:rFonts w:ascii="Palatino Linotype" w:eastAsia="Calibri" w:hAnsi="Palatino Linotype" w:cs="Times New Roman"/>
          <w:sz w:val="24"/>
          <w:szCs w:val="24"/>
        </w:rPr>
        <w:t>s</w:t>
      </w:r>
      <w:r w:rsidR="005C0258" w:rsidRPr="00D93A70">
        <w:rPr>
          <w:rFonts w:ascii="Palatino Linotype" w:eastAsia="Calibri" w:hAnsi="Palatino Linotype" w:cs="Times New Roman"/>
          <w:sz w:val="24"/>
          <w:szCs w:val="24"/>
        </w:rPr>
        <w:t xml:space="preserve"> solicitud</w:t>
      </w:r>
      <w:r w:rsidR="00F36194">
        <w:rPr>
          <w:rFonts w:ascii="Palatino Linotype" w:eastAsia="Calibri" w:hAnsi="Palatino Linotype" w:cs="Times New Roman"/>
          <w:sz w:val="24"/>
          <w:szCs w:val="24"/>
        </w:rPr>
        <w:t>es</w:t>
      </w:r>
      <w:r w:rsidR="005C0258" w:rsidRPr="00D93A70">
        <w:rPr>
          <w:rFonts w:ascii="Palatino Linotype" w:eastAsia="Calibri" w:hAnsi="Palatino Linotype" w:cs="Times New Roman"/>
          <w:sz w:val="24"/>
          <w:szCs w:val="24"/>
        </w:rPr>
        <w:t xml:space="preserve">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F36194" w:rsidRPr="00523CF0" w:rsidRDefault="00F36194" w:rsidP="00F36194">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00116/TECAMAC/IP/2019</w:t>
      </w:r>
    </w:p>
    <w:p w:rsidR="00F36194" w:rsidRPr="00716830" w:rsidRDefault="00F36194" w:rsidP="00F36194">
      <w:pPr>
        <w:spacing w:before="240" w:line="360" w:lineRule="auto"/>
        <w:ind w:left="851" w:right="851"/>
        <w:jc w:val="both"/>
        <w:rPr>
          <w:rFonts w:ascii="Palatino Linotype" w:eastAsia="Times New Roman" w:hAnsi="Palatino Linotype" w:cs="Times New Roman"/>
          <w:b/>
          <w:i/>
          <w:lang w:val="es-ES_tradnl" w:eastAsia="es-ES"/>
        </w:rPr>
      </w:pPr>
      <w:r w:rsidRPr="00716830">
        <w:rPr>
          <w:rFonts w:ascii="Palatino Linotype" w:eastAsia="Times New Roman" w:hAnsi="Palatino Linotype" w:cs="Times New Roman"/>
          <w:i/>
          <w:lang w:val="es-ES_tradnl" w:eastAsia="es-ES"/>
        </w:rPr>
        <w:t>“</w:t>
      </w:r>
      <w:r w:rsidRPr="00716830">
        <w:rPr>
          <w:rFonts w:ascii="Palatino Linotype" w:hAnsi="Palatino Linotype"/>
          <w:i/>
        </w:rPr>
        <w:t xml:space="preserve">solicito copia de la documentación de </w:t>
      </w:r>
      <w:r w:rsidRPr="00A22C74">
        <w:rPr>
          <w:rFonts w:ascii="Palatino Linotype" w:hAnsi="Palatino Linotype"/>
          <w:b/>
          <w:i/>
          <w:u w:val="single"/>
        </w:rPr>
        <w:t>grado de estudios o formación académica</w:t>
      </w:r>
      <w:r w:rsidRPr="00716830">
        <w:rPr>
          <w:rFonts w:ascii="Palatino Linotype" w:hAnsi="Palatino Linotype"/>
          <w:i/>
        </w:rPr>
        <w:t xml:space="preserve">, </w:t>
      </w:r>
      <w:r w:rsidRPr="00A22C74">
        <w:rPr>
          <w:rFonts w:ascii="Palatino Linotype" w:hAnsi="Palatino Linotype"/>
          <w:b/>
          <w:i/>
          <w:u w:val="single"/>
        </w:rPr>
        <w:t>experiencia minima de un año en el cargo como titular de Proteccion Civil</w:t>
      </w:r>
      <w:r w:rsidRPr="00716830">
        <w:rPr>
          <w:rFonts w:ascii="Palatino Linotype" w:hAnsi="Palatino Linotype"/>
          <w:i/>
        </w:rPr>
        <w:t xml:space="preserve"> y </w:t>
      </w:r>
      <w:r w:rsidRPr="00A22C74">
        <w:rPr>
          <w:rFonts w:ascii="Palatino Linotype" w:hAnsi="Palatino Linotype"/>
          <w:b/>
          <w:i/>
          <w:u w:val="single"/>
        </w:rPr>
        <w:t>certificación de habilidades</w:t>
      </w:r>
      <w:r w:rsidRPr="00716830">
        <w:rPr>
          <w:rFonts w:ascii="Palatino Linotype" w:hAnsi="Palatino Linotype"/>
          <w:i/>
        </w:rPr>
        <w:t xml:space="preserve"> para el cargo del </w:t>
      </w:r>
      <w:r w:rsidRPr="00A22C74">
        <w:rPr>
          <w:rFonts w:ascii="Palatino Linotype" w:hAnsi="Palatino Linotype"/>
          <w:b/>
          <w:i/>
          <w:u w:val="single"/>
        </w:rPr>
        <w:t>C. Luis Manuel del Rio Escarcega</w:t>
      </w:r>
      <w:r w:rsidRPr="00716830">
        <w:rPr>
          <w:rFonts w:ascii="Palatino Linotype" w:hAnsi="Palatino Linotype"/>
          <w:i/>
        </w:rPr>
        <w:t>, esto con la finalidad de saber si mi personal recomendado cumple con los requisitos establecidos dentro del articulo 32 de la Ley Organica Municipal del Estado de México.</w:t>
      </w:r>
      <w:r w:rsidRPr="00716830">
        <w:rPr>
          <w:rFonts w:ascii="Palatino Linotype" w:eastAsia="Times New Roman" w:hAnsi="Palatino Linotype" w:cs="Times New Roman"/>
          <w:i/>
          <w:lang w:val="es-ES_tradnl" w:eastAsia="es-ES"/>
        </w:rPr>
        <w:t xml:space="preserve">” </w:t>
      </w:r>
      <w:r w:rsidRPr="00716830">
        <w:rPr>
          <w:rFonts w:ascii="Palatino Linotype" w:eastAsia="Times New Roman" w:hAnsi="Palatino Linotype" w:cs="Times New Roman"/>
          <w:b/>
          <w:i/>
          <w:lang w:val="es-ES_tradnl" w:eastAsia="es-ES"/>
        </w:rPr>
        <w:t>[Sic]</w:t>
      </w:r>
    </w:p>
    <w:p w:rsidR="00F36194" w:rsidRDefault="00F36194" w:rsidP="00F36194">
      <w:pPr>
        <w:spacing w:before="240" w:line="360" w:lineRule="auto"/>
        <w:ind w:left="851" w:right="851"/>
        <w:jc w:val="both"/>
        <w:rPr>
          <w:rFonts w:ascii="Palatino Linotype" w:eastAsia="Times New Roman" w:hAnsi="Palatino Linotype" w:cs="Times New Roman"/>
          <w:lang w:val="es-ES_tradnl" w:eastAsia="es-ES"/>
        </w:rPr>
      </w:pPr>
    </w:p>
    <w:p w:rsidR="00F36194" w:rsidRPr="00716830" w:rsidRDefault="00F36194" w:rsidP="00F36194">
      <w:pPr>
        <w:spacing w:before="240" w:line="360" w:lineRule="auto"/>
        <w:jc w:val="both"/>
        <w:rPr>
          <w:rFonts w:ascii="Palatino Linotype" w:hAnsi="Palatino Linotype" w:cs="Arial"/>
          <w:b/>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00114/TECAMAC/IP/2019</w:t>
      </w:r>
    </w:p>
    <w:p w:rsidR="00F36194" w:rsidRPr="00716830" w:rsidRDefault="00F36194" w:rsidP="00F36194">
      <w:pPr>
        <w:spacing w:before="240" w:line="360" w:lineRule="auto"/>
        <w:ind w:left="851" w:right="851"/>
        <w:jc w:val="both"/>
        <w:rPr>
          <w:rFonts w:ascii="Palatino Linotype" w:eastAsia="Times New Roman" w:hAnsi="Palatino Linotype" w:cs="Times New Roman"/>
          <w:i/>
          <w:lang w:val="es-ES_tradnl" w:eastAsia="es-ES"/>
        </w:rPr>
      </w:pPr>
      <w:r w:rsidRPr="00716830">
        <w:rPr>
          <w:rFonts w:ascii="Palatino Linotype" w:eastAsia="Times New Roman" w:hAnsi="Palatino Linotype" w:cs="Times New Roman"/>
          <w:i/>
          <w:lang w:val="es-ES_tradnl" w:eastAsia="es-ES"/>
        </w:rPr>
        <w:t>“</w:t>
      </w:r>
      <w:r w:rsidRPr="00716830">
        <w:rPr>
          <w:rFonts w:ascii="Palatino Linotype" w:hAnsi="Palatino Linotype"/>
          <w:i/>
        </w:rPr>
        <w:t xml:space="preserve">solicito copia de la documentación de </w:t>
      </w:r>
      <w:r w:rsidRPr="00A22C74">
        <w:rPr>
          <w:rFonts w:ascii="Palatino Linotype" w:hAnsi="Palatino Linotype"/>
          <w:b/>
          <w:i/>
          <w:u w:val="single"/>
        </w:rPr>
        <w:t>grado de estudios o formación académica,</w:t>
      </w:r>
      <w:r w:rsidRPr="00716830">
        <w:rPr>
          <w:rFonts w:ascii="Palatino Linotype" w:hAnsi="Palatino Linotype"/>
          <w:i/>
        </w:rPr>
        <w:t xml:space="preserve"> </w:t>
      </w:r>
      <w:r w:rsidRPr="00A22C74">
        <w:rPr>
          <w:rFonts w:ascii="Palatino Linotype" w:hAnsi="Palatino Linotype"/>
          <w:b/>
          <w:i/>
          <w:u w:val="single"/>
        </w:rPr>
        <w:t>certificación de habilidades</w:t>
      </w:r>
      <w:r w:rsidRPr="00716830">
        <w:rPr>
          <w:rFonts w:ascii="Palatino Linotype" w:hAnsi="Palatino Linotype"/>
          <w:i/>
        </w:rPr>
        <w:t xml:space="preserve"> para el cargo del </w:t>
      </w:r>
      <w:r w:rsidRPr="00A22C74">
        <w:rPr>
          <w:rFonts w:ascii="Palatino Linotype" w:hAnsi="Palatino Linotype"/>
          <w:b/>
          <w:i/>
          <w:u w:val="single"/>
        </w:rPr>
        <w:t>C. Roberto Carlos Garcia Suarez,</w:t>
      </w:r>
      <w:r w:rsidRPr="00716830">
        <w:rPr>
          <w:rFonts w:ascii="Palatino Linotype" w:hAnsi="Palatino Linotype"/>
          <w:i/>
        </w:rPr>
        <w:t xml:space="preserve"> esto con la finalidad de saber si mi personal recomendado cumple con los requisitos establecidos dentro del articulo 32 de la Ley Organica Municipal del Estado de México para alguno de los cargos mencionados en el articulo de esta ley</w:t>
      </w:r>
      <w:r w:rsidRPr="00716830">
        <w:rPr>
          <w:rFonts w:ascii="Palatino Linotype" w:eastAsia="Times New Roman" w:hAnsi="Palatino Linotype" w:cs="Times New Roman"/>
          <w:i/>
          <w:lang w:val="es-ES_tradnl" w:eastAsia="es-ES"/>
        </w:rPr>
        <w:t xml:space="preserve">” </w:t>
      </w:r>
      <w:r w:rsidRPr="00716830">
        <w:rPr>
          <w:rFonts w:ascii="Palatino Linotype" w:eastAsia="Times New Roman" w:hAnsi="Palatino Linotype" w:cs="Times New Roman"/>
          <w:b/>
          <w:i/>
          <w:lang w:val="es-ES_tradnl" w:eastAsia="es-ES"/>
        </w:rPr>
        <w:t>[Sic]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FF70F4" w:rsidRPr="00FF70F4">
        <w:rPr>
          <w:rFonts w:ascii="Palatino Linotype" w:hAnsi="Palatino Linotype" w:cs="Arial"/>
          <w:b/>
          <w:sz w:val="24"/>
        </w:rPr>
        <w:t xml:space="preserve"> </w:t>
      </w:r>
      <w:r w:rsidR="00FF70F4" w:rsidRPr="00293D01">
        <w:rPr>
          <w:rFonts w:ascii="Palatino Linotype" w:hAnsi="Palatino Linotype" w:cs="Arial"/>
          <w:b/>
          <w:sz w:val="24"/>
        </w:rPr>
        <w:t>Ayuntamiento de Tecámac</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FF70F4" w:rsidRPr="00FF70F4">
        <w:rPr>
          <w:rFonts w:ascii="Palatino Linotype" w:hAnsi="Palatino Linotype" w:cs="Arial"/>
          <w:b/>
          <w:sz w:val="24"/>
        </w:rPr>
        <w:t xml:space="preserve"> </w:t>
      </w:r>
      <w:r w:rsidR="00FF70F4" w:rsidRPr="00293D01">
        <w:rPr>
          <w:rFonts w:ascii="Palatino Linotype" w:hAnsi="Palatino Linotype" w:cs="Arial"/>
          <w:b/>
          <w:sz w:val="24"/>
        </w:rPr>
        <w:t>Ayuntamiento de Tecámac</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F36194" w:rsidRPr="00F36194" w:rsidRDefault="00F36194" w:rsidP="00F36194">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F36194">
        <w:rPr>
          <w:rFonts w:ascii="Palatino Linotype" w:eastAsia="Times New Roman" w:hAnsi="Palatino Linotype" w:cs="Arial"/>
          <w:b/>
          <w:sz w:val="24"/>
          <w:szCs w:val="24"/>
          <w:lang w:val="es-ES" w:eastAsia="es-ES"/>
        </w:rPr>
        <w:t>Del</w:t>
      </w:r>
      <w:r w:rsidRPr="00F36194">
        <w:rPr>
          <w:rFonts w:ascii="Palatino Linotype" w:eastAsia="Times New Roman" w:hAnsi="Palatino Linotype" w:cs="Arial"/>
          <w:sz w:val="24"/>
          <w:szCs w:val="24"/>
          <w:lang w:val="es-ES" w:eastAsia="es-ES"/>
        </w:rPr>
        <w:t xml:space="preserve"> </w:t>
      </w:r>
      <w:r w:rsidRPr="00F36194">
        <w:rPr>
          <w:rFonts w:ascii="Palatino Linotype" w:eastAsia="Times New Roman" w:hAnsi="Palatino Linotype" w:cs="Arial"/>
          <w:b/>
          <w:sz w:val="24"/>
          <w:szCs w:val="24"/>
          <w:lang w:val="es-ES" w:eastAsia="es-ES"/>
        </w:rPr>
        <w:t>servidor público referido en la solicitud de información 00116/TECAMAC/IP/2019</w:t>
      </w:r>
    </w:p>
    <w:p w:rsidR="00F36194" w:rsidRPr="00F36194" w:rsidRDefault="00F36194" w:rsidP="00F36194">
      <w:pPr>
        <w:numPr>
          <w:ilvl w:val="0"/>
          <w:numId w:val="12"/>
        </w:num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F36194">
        <w:rPr>
          <w:rFonts w:ascii="Palatino Linotype" w:eastAsia="Times New Roman" w:hAnsi="Palatino Linotype" w:cs="Arial"/>
          <w:sz w:val="24"/>
          <w:szCs w:val="24"/>
          <w:lang w:val="es-ES" w:eastAsia="es-ES"/>
        </w:rPr>
        <w:t xml:space="preserve">El o los documentos que reflejen su grado de estudios o formación académica. </w:t>
      </w:r>
    </w:p>
    <w:p w:rsidR="00F36194" w:rsidRPr="00F36194" w:rsidRDefault="00F36194" w:rsidP="00F36194">
      <w:pPr>
        <w:numPr>
          <w:ilvl w:val="0"/>
          <w:numId w:val="12"/>
        </w:num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F36194">
        <w:rPr>
          <w:rFonts w:ascii="Palatino Linotype" w:eastAsia="Times New Roman" w:hAnsi="Palatino Linotype" w:cs="Arial"/>
          <w:sz w:val="24"/>
          <w:szCs w:val="24"/>
          <w:lang w:val="es-ES" w:eastAsia="es-ES"/>
        </w:rPr>
        <w:t xml:space="preserve">El o los documentos que reflejen experiencia mínima de un año en la materia de protección civil. </w:t>
      </w:r>
    </w:p>
    <w:p w:rsidR="00F36194" w:rsidRPr="00F36194" w:rsidRDefault="00F36194" w:rsidP="00F36194">
      <w:pPr>
        <w:numPr>
          <w:ilvl w:val="0"/>
          <w:numId w:val="12"/>
        </w:num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F36194">
        <w:rPr>
          <w:rFonts w:ascii="Palatino Linotype" w:eastAsia="Times New Roman" w:hAnsi="Palatino Linotype" w:cs="Arial"/>
          <w:sz w:val="24"/>
          <w:szCs w:val="24"/>
          <w:lang w:val="es-ES" w:eastAsia="es-ES"/>
        </w:rPr>
        <w:t>Certificación expedida por autoridad competente, en términos del artículo 32 de la Ley Orgánica Municipal del Estado de México</w:t>
      </w:r>
    </w:p>
    <w:p w:rsidR="00F36194" w:rsidRPr="00F36194" w:rsidRDefault="00F36194" w:rsidP="00F36194">
      <w:pPr>
        <w:autoSpaceDE w:val="0"/>
        <w:autoSpaceDN w:val="0"/>
        <w:adjustRightInd w:val="0"/>
        <w:spacing w:before="240" w:line="360" w:lineRule="auto"/>
        <w:jc w:val="both"/>
        <w:rPr>
          <w:rFonts w:ascii="Palatino Linotype" w:hAnsi="Palatino Linotype" w:cs="Arial"/>
        </w:rPr>
      </w:pPr>
    </w:p>
    <w:p w:rsidR="00F36194" w:rsidRPr="00F36194" w:rsidRDefault="00F36194" w:rsidP="00F36194">
      <w:pPr>
        <w:autoSpaceDE w:val="0"/>
        <w:autoSpaceDN w:val="0"/>
        <w:adjustRightInd w:val="0"/>
        <w:spacing w:before="240" w:line="360" w:lineRule="auto"/>
        <w:jc w:val="both"/>
        <w:rPr>
          <w:rFonts w:ascii="Palatino Linotype" w:hAnsi="Palatino Linotype" w:cs="Arial"/>
          <w:b/>
          <w:sz w:val="24"/>
          <w:szCs w:val="24"/>
        </w:rPr>
      </w:pPr>
      <w:r w:rsidRPr="00F36194">
        <w:rPr>
          <w:rFonts w:ascii="Palatino Linotype" w:hAnsi="Palatino Linotype" w:cs="Arial"/>
          <w:b/>
          <w:sz w:val="24"/>
          <w:szCs w:val="24"/>
        </w:rPr>
        <w:lastRenderedPageBreak/>
        <w:t>Del servidor público referido en la solicitud de información 00114/TECAMAC/IP/2019</w:t>
      </w:r>
    </w:p>
    <w:p w:rsidR="00F36194" w:rsidRPr="00F36194" w:rsidRDefault="00F36194" w:rsidP="00F36194">
      <w:pPr>
        <w:numPr>
          <w:ilvl w:val="0"/>
          <w:numId w:val="12"/>
        </w:num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F36194">
        <w:rPr>
          <w:rFonts w:ascii="Palatino Linotype" w:eastAsia="Times New Roman" w:hAnsi="Palatino Linotype" w:cs="Arial"/>
          <w:sz w:val="24"/>
          <w:szCs w:val="24"/>
          <w:lang w:val="es-ES" w:eastAsia="es-ES"/>
        </w:rPr>
        <w:t>El o los documentos que reflejen su grado de estudios o formación académica.</w:t>
      </w:r>
    </w:p>
    <w:p w:rsidR="00F36194" w:rsidRPr="00F36194" w:rsidRDefault="00F36194" w:rsidP="00F36194">
      <w:pPr>
        <w:numPr>
          <w:ilvl w:val="0"/>
          <w:numId w:val="12"/>
        </w:num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F36194">
        <w:rPr>
          <w:rFonts w:ascii="Palatino Linotype" w:eastAsia="Times New Roman" w:hAnsi="Palatino Linotype" w:cs="Arial"/>
          <w:sz w:val="24"/>
          <w:szCs w:val="24"/>
          <w:lang w:val="es-ES" w:eastAsia="es-ES"/>
        </w:rPr>
        <w:t>Certificación expedida por autoridad competente, en términos del artículo 32 de la Ley Orgánica Municipal del Estado de México</w:t>
      </w:r>
    </w:p>
    <w:p w:rsidR="00F36194" w:rsidRPr="00F36194" w:rsidRDefault="00F36194" w:rsidP="00F36194">
      <w:pPr>
        <w:spacing w:before="240" w:after="0" w:line="360" w:lineRule="auto"/>
        <w:ind w:left="720" w:right="141"/>
        <w:jc w:val="both"/>
        <w:rPr>
          <w:rFonts w:ascii="Palatino Linotype" w:eastAsia="Times New Roman" w:hAnsi="Palatino Linotype" w:cs="Arial"/>
          <w:i/>
          <w:sz w:val="24"/>
          <w:szCs w:val="24"/>
          <w:lang w:val="es-ES_tradnl" w:eastAsia="es-ES"/>
        </w:rPr>
      </w:pPr>
      <w:r w:rsidRPr="00F36194">
        <w:rPr>
          <w:rFonts w:ascii="Palatino Linotype" w:eastAsia="Times New Roman" w:hAnsi="Palatino Linotype" w:cs="Arial"/>
          <w:i/>
          <w:sz w:val="24"/>
          <w:szCs w:val="24"/>
          <w:lang w:val="es-ES_tradnl"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w:t>
      </w:r>
    </w:p>
    <w:p w:rsidR="00F36194" w:rsidRPr="00F36194" w:rsidRDefault="00F36194" w:rsidP="00F36194">
      <w:pPr>
        <w:spacing w:before="240" w:after="240" w:line="360" w:lineRule="auto"/>
        <w:ind w:left="708" w:right="142"/>
        <w:jc w:val="both"/>
        <w:rPr>
          <w:rFonts w:ascii="Palatino Linotype" w:eastAsia="Times New Roman" w:hAnsi="Palatino Linotype" w:cs="Arial"/>
          <w:i/>
          <w:sz w:val="24"/>
          <w:szCs w:val="24"/>
        </w:rPr>
      </w:pPr>
      <w:r w:rsidRPr="00F36194">
        <w:rPr>
          <w:rFonts w:ascii="Palatino Linotype" w:eastAsia="Times New Roman" w:hAnsi="Palatino Linotype" w:cs="Arial"/>
          <w:i/>
          <w:sz w:val="24"/>
          <w:szCs w:val="24"/>
        </w:rPr>
        <w:t xml:space="preserve">Si después de realizada la búsqueda exhaustiva y razonable, no se localice la documentación requerida marcada con los numerales </w:t>
      </w:r>
      <w:r w:rsidRPr="00F36194">
        <w:rPr>
          <w:rFonts w:ascii="Palatino Linotype" w:eastAsia="Times New Roman" w:hAnsi="Palatino Linotype" w:cs="Arial"/>
          <w:b/>
          <w:i/>
          <w:sz w:val="24"/>
          <w:szCs w:val="24"/>
        </w:rPr>
        <w:t xml:space="preserve">2, 3 y 5 </w:t>
      </w:r>
      <w:r w:rsidRPr="00F36194">
        <w:rPr>
          <w:rFonts w:ascii="Palatino Linotype" w:eastAsia="Times New Roman" w:hAnsi="Palatino Linotype" w:cs="Arial"/>
          <w:i/>
          <w:sz w:val="24"/>
          <w:szCs w:val="24"/>
        </w:rPr>
        <w:t xml:space="preserve"> bastará con que </w:t>
      </w:r>
      <w:r w:rsidRPr="00F36194">
        <w:rPr>
          <w:rFonts w:ascii="Palatino Linotype" w:eastAsia="Times New Roman" w:hAnsi="Palatino Linotype" w:cs="Arial"/>
          <w:b/>
          <w:i/>
          <w:sz w:val="24"/>
          <w:szCs w:val="24"/>
        </w:rPr>
        <w:t xml:space="preserve">El Sujeto Obligado </w:t>
      </w:r>
      <w:r w:rsidRPr="00F36194">
        <w:rPr>
          <w:rFonts w:ascii="Palatino Linotype" w:eastAsia="Times New Roman" w:hAnsi="Palatino Linotype" w:cs="Arial"/>
          <w:i/>
          <w:sz w:val="24"/>
          <w:szCs w:val="24"/>
        </w:rPr>
        <w:t xml:space="preserve">lo haga del conocimiento del </w:t>
      </w:r>
      <w:r w:rsidRPr="00F36194">
        <w:rPr>
          <w:rFonts w:ascii="Palatino Linotype" w:eastAsia="Times New Roman" w:hAnsi="Palatino Linotype" w:cs="Arial"/>
          <w:b/>
          <w:i/>
          <w:sz w:val="24"/>
          <w:szCs w:val="24"/>
        </w:rPr>
        <w:t xml:space="preserve">Recurrente </w:t>
      </w:r>
      <w:r w:rsidRPr="00F36194">
        <w:rPr>
          <w:rFonts w:ascii="Palatino Linotype" w:eastAsia="Times New Roman" w:hAnsi="Palatino Linotype" w:cs="Arial"/>
          <w:i/>
          <w:sz w:val="24"/>
          <w:szCs w:val="24"/>
        </w:rPr>
        <w:t xml:space="preserve">al momento de dar cumplimiento a la presente resolución. </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746696">
        <w:rPr>
          <w:rFonts w:ascii="Palatino Linotype" w:eastAsia="Times New Roman" w:hAnsi="Palatino Linotype" w:cs="Arial"/>
          <w:sz w:val="24"/>
        </w:rPr>
        <w:t xml:space="preserve"> en los</w:t>
      </w:r>
      <w:r w:rsidR="004C566F">
        <w:rPr>
          <w:rFonts w:ascii="Palatino Linotype" w:eastAsia="Times New Roman" w:hAnsi="Palatino Linotype" w:cs="Arial"/>
          <w:sz w:val="24"/>
        </w:rPr>
        <w:t xml:space="preserve"> numeral</w:t>
      </w:r>
      <w:r w:rsidR="00746696">
        <w:rPr>
          <w:rFonts w:ascii="Palatino Linotype" w:eastAsia="Times New Roman" w:hAnsi="Palatino Linotype" w:cs="Arial"/>
          <w:sz w:val="24"/>
        </w:rPr>
        <w:t>es  2, 3, y 5</w:t>
      </w:r>
      <w:r w:rsidR="00DC6A75">
        <w:rPr>
          <w:rFonts w:ascii="Palatino Linotype" w:eastAsia="Times New Roman" w:hAnsi="Palatino Linotype" w:cs="Arial"/>
          <w:sz w:val="24"/>
        </w:rPr>
        <w:t>:</w:t>
      </w:r>
    </w:p>
    <w:p w:rsidR="001D291F" w:rsidRPr="00DC6A75" w:rsidRDefault="001D291F" w:rsidP="001D291F">
      <w:pPr>
        <w:pStyle w:val="Prrafodelista"/>
        <w:spacing w:before="240" w:after="240" w:line="360" w:lineRule="auto"/>
        <w:ind w:left="0" w:right="49"/>
        <w:jc w:val="both"/>
        <w:rPr>
          <w:rFonts w:ascii="Palatino Linotype" w:eastAsia="Times New Roman" w:hAnsi="Palatino Linotype" w:cs="Arial"/>
          <w:sz w:val="24"/>
        </w:rPr>
      </w:pPr>
    </w:p>
    <w:p w:rsidR="00746696" w:rsidRPr="00F36194" w:rsidRDefault="00746696" w:rsidP="00746696">
      <w:pPr>
        <w:spacing w:before="240" w:after="240" w:line="360" w:lineRule="auto"/>
        <w:ind w:left="708" w:right="142"/>
        <w:jc w:val="both"/>
        <w:rPr>
          <w:rFonts w:ascii="Palatino Linotype" w:eastAsia="Times New Roman" w:hAnsi="Palatino Linotype" w:cs="Arial"/>
          <w:i/>
          <w:sz w:val="24"/>
          <w:szCs w:val="24"/>
        </w:rPr>
      </w:pPr>
      <w:r w:rsidRPr="00F36194">
        <w:rPr>
          <w:rFonts w:ascii="Palatino Linotype" w:eastAsia="Times New Roman" w:hAnsi="Palatino Linotype" w:cs="Arial"/>
          <w:i/>
          <w:sz w:val="24"/>
          <w:szCs w:val="24"/>
        </w:rPr>
        <w:lastRenderedPageBreak/>
        <w:t xml:space="preserve">Si después de realizada la búsqueda exhaustiva y razonable, no se localice la documentación requerida marcada con los numerales </w:t>
      </w:r>
      <w:r w:rsidRPr="00F36194">
        <w:rPr>
          <w:rFonts w:ascii="Palatino Linotype" w:eastAsia="Times New Roman" w:hAnsi="Palatino Linotype" w:cs="Arial"/>
          <w:b/>
          <w:i/>
          <w:sz w:val="24"/>
          <w:szCs w:val="24"/>
        </w:rPr>
        <w:t xml:space="preserve">2, 3 y 5 </w:t>
      </w:r>
      <w:r w:rsidRPr="00F36194">
        <w:rPr>
          <w:rFonts w:ascii="Palatino Linotype" w:eastAsia="Times New Roman" w:hAnsi="Palatino Linotype" w:cs="Arial"/>
          <w:i/>
          <w:sz w:val="24"/>
          <w:szCs w:val="24"/>
        </w:rPr>
        <w:t xml:space="preserve"> bastará con que </w:t>
      </w:r>
      <w:r w:rsidRPr="00F36194">
        <w:rPr>
          <w:rFonts w:ascii="Palatino Linotype" w:eastAsia="Times New Roman" w:hAnsi="Palatino Linotype" w:cs="Arial"/>
          <w:b/>
          <w:i/>
          <w:sz w:val="24"/>
          <w:szCs w:val="24"/>
        </w:rPr>
        <w:t xml:space="preserve">El Sujeto Obligado </w:t>
      </w:r>
      <w:r w:rsidRPr="00F36194">
        <w:rPr>
          <w:rFonts w:ascii="Palatino Linotype" w:eastAsia="Times New Roman" w:hAnsi="Palatino Linotype" w:cs="Arial"/>
          <w:i/>
          <w:sz w:val="24"/>
          <w:szCs w:val="24"/>
        </w:rPr>
        <w:t xml:space="preserve">lo haga del conocimiento del </w:t>
      </w:r>
      <w:r w:rsidRPr="00F36194">
        <w:rPr>
          <w:rFonts w:ascii="Palatino Linotype" w:eastAsia="Times New Roman" w:hAnsi="Palatino Linotype" w:cs="Arial"/>
          <w:b/>
          <w:i/>
          <w:sz w:val="24"/>
          <w:szCs w:val="24"/>
        </w:rPr>
        <w:t xml:space="preserve">Recurrente </w:t>
      </w:r>
      <w:r w:rsidRPr="00F36194">
        <w:rPr>
          <w:rFonts w:ascii="Palatino Linotype" w:eastAsia="Times New Roman" w:hAnsi="Palatino Linotype" w:cs="Arial"/>
          <w:i/>
          <w:sz w:val="24"/>
          <w:szCs w:val="24"/>
        </w:rPr>
        <w:t xml:space="preserve">al momento de dar cumplimiento a la presente resolución. </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045029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045029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10449675"/>
    <w:bookmarkStart w:id="7" w:name="_Toc10450293"/>
    <w:p w:rsidR="00890D5D" w:rsidRDefault="00164B8B"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225425</wp:posOffset>
                </wp:positionV>
                <wp:extent cx="5867400" cy="45529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867400" cy="45529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417E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7.75pt" to="456.4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" strokecolor="#5b9bd5 [3204]" strokeweight="2.25pt">
                <v:stroke joinstyle="miter"/>
              </v:line>
            </w:pict>
          </mc:Fallback>
        </mc:AlternateContent>
      </w:r>
      <w:bookmarkEnd w:id="6"/>
      <w:bookmarkEnd w:id="7"/>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Default="00890D5D" w:rsidP="00890D5D"/>
    <w:p w:rsidR="00890D5D" w:rsidRPr="00890D5D" w:rsidRDefault="00890D5D" w:rsidP="00890D5D"/>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Pr="00890D5D" w:rsidRDefault="00890D5D" w:rsidP="00890D5D"/>
    <w:p w:rsidR="00E6179D" w:rsidRPr="0083488C" w:rsidRDefault="00CD53CB" w:rsidP="00CD53CB">
      <w:pPr>
        <w:pStyle w:val="Ttulo1"/>
        <w:rPr>
          <w:rFonts w:eastAsia="Calibri"/>
          <w:szCs w:val="24"/>
        </w:rPr>
      </w:pPr>
      <w:bookmarkStart w:id="8" w:name="_Toc10450294"/>
      <w:r>
        <w:rPr>
          <w:rFonts w:eastAsia="Calibri"/>
          <w:color w:val="auto"/>
          <w:szCs w:val="24"/>
        </w:rPr>
        <w:lastRenderedPageBreak/>
        <w:t xml:space="preserve">V. </w:t>
      </w:r>
      <w:r w:rsidR="00E6179D" w:rsidRPr="0083488C">
        <w:rPr>
          <w:rFonts w:eastAsia="Calibri"/>
          <w:color w:val="auto"/>
          <w:szCs w:val="24"/>
        </w:rPr>
        <w:t>Conclusión.</w:t>
      </w:r>
      <w:bookmarkEnd w:id="8"/>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890D5D" w:rsidRDefault="00890D5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779" w:rsidRDefault="00462779" w:rsidP="00E82D3D">
      <w:pPr>
        <w:spacing w:after="0" w:line="240" w:lineRule="auto"/>
      </w:pPr>
      <w:r>
        <w:separator/>
      </w:r>
    </w:p>
  </w:endnote>
  <w:endnote w:type="continuationSeparator" w:id="0">
    <w:p w:rsidR="00462779" w:rsidRDefault="0046277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22A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22AB">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779" w:rsidRDefault="00462779" w:rsidP="00E82D3D">
      <w:pPr>
        <w:spacing w:after="0" w:line="240" w:lineRule="auto"/>
      </w:pPr>
      <w:r>
        <w:separator/>
      </w:r>
    </w:p>
  </w:footnote>
  <w:footnote w:type="continuationSeparator" w:id="0">
    <w:p w:rsidR="00462779" w:rsidRDefault="00462779"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6277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6277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6277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C2592"/>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1"/>
  </w:num>
  <w:num w:numId="5">
    <w:abstractNumId w:val="5"/>
  </w:num>
  <w:num w:numId="6">
    <w:abstractNumId w:val="9"/>
  </w:num>
  <w:num w:numId="7">
    <w:abstractNumId w:val="0"/>
  </w:num>
  <w:num w:numId="8">
    <w:abstractNumId w:val="4"/>
  </w:num>
  <w:num w:numId="9">
    <w:abstractNumId w:val="6"/>
  </w:num>
  <w:num w:numId="10">
    <w:abstractNumId w:val="10"/>
  </w:num>
  <w:num w:numId="11">
    <w:abstractNumId w:val="2"/>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5C74"/>
    <w:rsid w:val="000F6EC0"/>
    <w:rsid w:val="00102360"/>
    <w:rsid w:val="00113C80"/>
    <w:rsid w:val="00113E8A"/>
    <w:rsid w:val="001203AC"/>
    <w:rsid w:val="001240A5"/>
    <w:rsid w:val="00131C89"/>
    <w:rsid w:val="00132BDB"/>
    <w:rsid w:val="001351F6"/>
    <w:rsid w:val="00143687"/>
    <w:rsid w:val="00147D04"/>
    <w:rsid w:val="0016014E"/>
    <w:rsid w:val="001604B4"/>
    <w:rsid w:val="00164B8B"/>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3E6"/>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2779"/>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2E29"/>
    <w:rsid w:val="004C566F"/>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46696"/>
    <w:rsid w:val="00754249"/>
    <w:rsid w:val="00761D8C"/>
    <w:rsid w:val="007626E7"/>
    <w:rsid w:val="0076439D"/>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825"/>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2F7D"/>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241"/>
    <w:rsid w:val="00B259AE"/>
    <w:rsid w:val="00B2759C"/>
    <w:rsid w:val="00B32B93"/>
    <w:rsid w:val="00B32C98"/>
    <w:rsid w:val="00B3675E"/>
    <w:rsid w:val="00B41044"/>
    <w:rsid w:val="00B4133E"/>
    <w:rsid w:val="00B42A2D"/>
    <w:rsid w:val="00B516DB"/>
    <w:rsid w:val="00B52EEC"/>
    <w:rsid w:val="00B558FB"/>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1D0A"/>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3160"/>
    <w:rsid w:val="00D549C7"/>
    <w:rsid w:val="00D671B8"/>
    <w:rsid w:val="00D86752"/>
    <w:rsid w:val="00D92BA5"/>
    <w:rsid w:val="00D93A70"/>
    <w:rsid w:val="00D9735C"/>
    <w:rsid w:val="00DA5A47"/>
    <w:rsid w:val="00DB39B5"/>
    <w:rsid w:val="00DB53B7"/>
    <w:rsid w:val="00DC2F22"/>
    <w:rsid w:val="00DC4358"/>
    <w:rsid w:val="00DC6A75"/>
    <w:rsid w:val="00DC792E"/>
    <w:rsid w:val="00DD14BB"/>
    <w:rsid w:val="00DD35DF"/>
    <w:rsid w:val="00DD4DDE"/>
    <w:rsid w:val="00DD71D7"/>
    <w:rsid w:val="00DE68DA"/>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22AB"/>
    <w:rsid w:val="00F333C8"/>
    <w:rsid w:val="00F36194"/>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A8A"/>
    <w:rsid w:val="00FD1FAD"/>
    <w:rsid w:val="00FE1030"/>
    <w:rsid w:val="00FE3088"/>
    <w:rsid w:val="00FE3923"/>
    <w:rsid w:val="00FE620B"/>
    <w:rsid w:val="00FE645C"/>
    <w:rsid w:val="00FE7A99"/>
    <w:rsid w:val="00FF3621"/>
    <w:rsid w:val="00FF6252"/>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684C-03C1-4406-B64C-5D43C505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5804</Words>
  <Characters>31926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2019-05-08T17:28:00Z</cp:lastPrinted>
  <dcterms:created xsi:type="dcterms:W3CDTF">2019-06-20T00:03:00Z</dcterms:created>
  <dcterms:modified xsi:type="dcterms:W3CDTF">2019-06-20T00:03:00Z</dcterms:modified>
</cp:coreProperties>
</file>