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DA3C0E">
        <w:rPr>
          <w:rFonts w:ascii="Palatino Linotype" w:hAnsi="Palatino Linotype"/>
          <w:sz w:val="24"/>
          <w:szCs w:val="24"/>
          <w:lang w:eastAsia="es-MX"/>
        </w:rPr>
        <w:t>treinta</w:t>
      </w:r>
      <w:r w:rsidR="006B7184">
        <w:rPr>
          <w:rFonts w:ascii="Palatino Linotype" w:hAnsi="Palatino Linotype"/>
          <w:sz w:val="24"/>
          <w:szCs w:val="24"/>
          <w:lang w:eastAsia="es-MX"/>
        </w:rPr>
        <w:t xml:space="preserve"> de octubre</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C85DC7">
        <w:rPr>
          <w:rFonts w:ascii="Palatino Linotype" w:hAnsi="Palatino Linotype"/>
          <w:b/>
          <w:bCs/>
          <w:sz w:val="24"/>
          <w:szCs w:val="24"/>
          <w:lang w:eastAsia="es-MX"/>
        </w:rPr>
        <w:t>06845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C85DC7">
        <w:rPr>
          <w:rFonts w:ascii="Palatino Linotype" w:hAnsi="Palatino Linotype"/>
          <w:sz w:val="24"/>
          <w:szCs w:val="24"/>
        </w:rPr>
        <w:t>o por el</w:t>
      </w:r>
      <w:r w:rsidR="00D01B24">
        <w:rPr>
          <w:rFonts w:ascii="Palatino Linotype" w:hAnsi="Palatino Linotype"/>
          <w:sz w:val="24"/>
          <w:szCs w:val="24"/>
        </w:rPr>
        <w:t xml:space="preserve"> </w:t>
      </w:r>
      <w:r w:rsidR="00C2473C">
        <w:rPr>
          <w:rFonts w:ascii="Palatino Linotype" w:hAnsi="Palatino Linotype"/>
          <w:b/>
          <w:sz w:val="24"/>
          <w:szCs w:val="24"/>
        </w:rPr>
        <w:t xml:space="preserve">C. </w:t>
      </w:r>
      <w:r w:rsidR="00D316BD">
        <w:rPr>
          <w:rFonts w:ascii="Palatino Linotype" w:hAnsi="Palatino Linotype"/>
          <w:b/>
          <w:sz w:val="24"/>
          <w:szCs w:val="24"/>
        </w:rPr>
        <w:t>xxxxxxxxxxxxxxxxxxxxxxx</w:t>
      </w:r>
      <w:r w:rsidR="00C50A40">
        <w:rPr>
          <w:rFonts w:ascii="Palatino Linotype" w:hAnsi="Palatino Linotype"/>
          <w:b/>
          <w:sz w:val="24"/>
          <w:szCs w:val="24"/>
        </w:rPr>
        <w:t xml:space="preserve"> </w:t>
      </w:r>
      <w:r w:rsidR="00D316BD">
        <w:rPr>
          <w:rFonts w:ascii="Palatino Linotype" w:hAnsi="Palatino Linotype"/>
          <w:b/>
          <w:sz w:val="24"/>
          <w:szCs w:val="24"/>
        </w:rPr>
        <w:t>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C85DC7">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C85DC7">
        <w:rPr>
          <w:rFonts w:ascii="Palatino Linotype" w:hAnsi="Palatino Linotype"/>
          <w:sz w:val="24"/>
          <w:szCs w:val="24"/>
        </w:rPr>
        <w:t>l</w:t>
      </w:r>
      <w:r w:rsidR="00C85DC7">
        <w:rPr>
          <w:rFonts w:ascii="Palatino Linotype" w:hAnsi="Palatino Linotype" w:cs="Arial"/>
          <w:b/>
          <w:sz w:val="24"/>
          <w:szCs w:val="24"/>
        </w:rPr>
        <w:t xml:space="preserve"> Instituto de Salud de </w:t>
      </w:r>
      <w:r w:rsidR="006B7184">
        <w:rPr>
          <w:rFonts w:ascii="Palatino Linotype" w:hAnsi="Palatino Linotype" w:cs="Arial"/>
          <w:b/>
          <w:sz w:val="24"/>
          <w:szCs w:val="24"/>
        </w:rPr>
        <w:t>Estado de México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5F49E8" w:rsidRDefault="007E2E80" w:rsidP="0014447C">
      <w:pPr>
        <w:pStyle w:val="Sinespaciado"/>
        <w:spacing w:line="360" w:lineRule="auto"/>
        <w:jc w:val="both"/>
        <w:rPr>
          <w:rFonts w:ascii="Palatino Linotype" w:hAnsi="Palatino Linotype"/>
          <w:sz w:val="16"/>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5F49E8" w:rsidRDefault="00DD5971" w:rsidP="0014447C">
      <w:pPr>
        <w:pStyle w:val="Sinespaciado"/>
        <w:spacing w:line="360" w:lineRule="auto"/>
        <w:jc w:val="both"/>
        <w:rPr>
          <w:rFonts w:ascii="Palatino Linotype" w:hAnsi="Palatino Linotype"/>
          <w:b/>
          <w:sz w:val="16"/>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C53430">
        <w:rPr>
          <w:rFonts w:ascii="Palatino Linotype" w:hAnsi="Palatino Linotype"/>
          <w:sz w:val="24"/>
          <w:szCs w:val="24"/>
        </w:rPr>
        <w:t>primero</w:t>
      </w:r>
      <w:r w:rsidR="00A17D7B">
        <w:rPr>
          <w:rFonts w:ascii="Palatino Linotype" w:hAnsi="Palatino Linotype"/>
          <w:sz w:val="24"/>
          <w:szCs w:val="24"/>
        </w:rPr>
        <w:t xml:space="preserve"> de agosto</w:t>
      </w:r>
      <w:r w:rsidR="007E39F7">
        <w:rPr>
          <w:rFonts w:ascii="Palatino Linotype" w:hAnsi="Palatino Linotype"/>
          <w:sz w:val="24"/>
          <w:szCs w:val="24"/>
        </w:rPr>
        <w:t xml:space="preserve"> de dos mil diecinueve</w:t>
      </w:r>
      <w:r w:rsidR="00536896">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w:t>
      </w:r>
      <w:r w:rsidR="006B7184">
        <w:rPr>
          <w:rFonts w:ascii="Palatino Linotype" w:hAnsi="Palatino Linotype"/>
          <w:sz w:val="24"/>
          <w:szCs w:val="24"/>
        </w:rPr>
        <w:t xml:space="preserve"> </w:t>
      </w:r>
      <w:r w:rsidRPr="00C35F18">
        <w:rPr>
          <w:rFonts w:ascii="Palatino Linotype" w:hAnsi="Palatino Linotype"/>
          <w:sz w:val="24"/>
          <w:szCs w:val="24"/>
        </w:rPr>
        <w:t>l</w:t>
      </w:r>
      <w:r w:rsidR="006B7184">
        <w:rPr>
          <w:rFonts w:ascii="Palatino Linotype" w:hAnsi="Palatino Linotype"/>
          <w:sz w:val="24"/>
          <w:szCs w:val="24"/>
        </w:rPr>
        <w:t>a</w:t>
      </w:r>
      <w:r w:rsidRPr="00C35F18">
        <w:rPr>
          <w:rFonts w:ascii="Palatino Linotype" w:hAnsi="Palatino Linotype"/>
          <w:sz w:val="24"/>
          <w:szCs w:val="24"/>
        </w:rPr>
        <w:t xml:space="preserve"> </w:t>
      </w:r>
      <w:r w:rsidR="006B7184">
        <w:rPr>
          <w:rFonts w:ascii="Palatino Linotype" w:hAnsi="Palatino Linotype"/>
          <w:sz w:val="24"/>
          <w:szCs w:val="24"/>
        </w:rPr>
        <w:t>Plataforma Nacional de Transparencia</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 xml:space="preserve">l Sujeto Obligado, solicitud de acceso a la información pública, </w:t>
      </w:r>
      <w:r w:rsidR="00027CD3">
        <w:rPr>
          <w:rFonts w:ascii="Palatino Linotype" w:hAnsi="Palatino Linotype"/>
          <w:sz w:val="24"/>
          <w:szCs w:val="24"/>
        </w:rPr>
        <w:t xml:space="preserve">reflejada en el Sistema de Acceso a la Información Mexiquense (SAIMEX) </w:t>
      </w:r>
      <w:r w:rsidRPr="00C35F18">
        <w:rPr>
          <w:rFonts w:ascii="Palatino Linotype" w:hAnsi="Palatino Linotype"/>
          <w:sz w:val="24"/>
          <w:szCs w:val="24"/>
        </w:rPr>
        <w:t>registrada bajo el número de expediente</w:t>
      </w:r>
      <w:r w:rsidR="00027CD3">
        <w:rPr>
          <w:rFonts w:ascii="Palatino Linotype" w:hAnsi="Palatino Linotype"/>
          <w:b/>
          <w:sz w:val="24"/>
          <w:szCs w:val="24"/>
        </w:rPr>
        <w:t xml:space="preserve"> 00328/ISEM</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5E36A7" w:rsidRDefault="005E36A7" w:rsidP="0047200D">
      <w:pPr>
        <w:pStyle w:val="Sinespaciado"/>
        <w:jc w:val="both"/>
        <w:rPr>
          <w:rFonts w:ascii="Palatino Linotype" w:hAnsi="Palatino Linotype"/>
          <w:sz w:val="24"/>
          <w:szCs w:val="24"/>
        </w:rPr>
      </w:pPr>
    </w:p>
    <w:p w:rsidR="00C35F18" w:rsidRDefault="00027CD3" w:rsidP="0047200D">
      <w:pPr>
        <w:pStyle w:val="Sinespaciad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027CD3">
        <w:rPr>
          <w:rFonts w:ascii="Palatino Linotype" w:eastAsia="Times New Roman" w:hAnsi="Palatino Linotype" w:cs="Times New Roman"/>
          <w:i/>
          <w:lang w:val="es-ES_tradnl" w:eastAsia="es-ES"/>
        </w:rPr>
        <w:t>Por este medio le solicito amablemente me informen sobre las políticas para ayudar al medio ambiente, tales como las relacionadas a cero papel, ahorro de electricidad, entre otras. Gracias.</w:t>
      </w:r>
      <w:r>
        <w:rPr>
          <w:rFonts w:ascii="Palatino Linotype" w:eastAsia="Times New Roman" w:hAnsi="Palatino Linotype" w:cs="Times New Roman"/>
          <w:i/>
          <w:lang w:val="es-ES_tradnl" w:eastAsia="es-ES"/>
        </w:rPr>
        <w:t>” (Sic)</w:t>
      </w:r>
    </w:p>
    <w:p w:rsidR="0047200D" w:rsidRDefault="0047200D" w:rsidP="00027CD3">
      <w:pPr>
        <w:pStyle w:val="Sinespaciado"/>
        <w:spacing w:line="360" w:lineRule="auto"/>
        <w:ind w:left="567"/>
        <w:jc w:val="both"/>
        <w:rPr>
          <w:rFonts w:ascii="Palatino Linotype" w:eastAsia="Times New Roman" w:hAnsi="Palatino Linotype" w:cs="Times New Roman"/>
          <w:i/>
          <w:lang w:val="es-ES_tradnl" w:eastAsia="es-ES"/>
        </w:rPr>
      </w:pPr>
    </w:p>
    <w:p w:rsidR="00516BA8" w:rsidRDefault="0047200D" w:rsidP="00516BA8">
      <w:pPr>
        <w:pStyle w:val="Sinespaciado"/>
        <w:spacing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Modalidad de entrega: A través del SAIMEX</w:t>
      </w: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A17D7B">
        <w:rPr>
          <w:rFonts w:ascii="Palatino Linotype" w:hAnsi="Palatino Linotype"/>
          <w:sz w:val="24"/>
        </w:rPr>
        <w:t>veintidós de agosto</w:t>
      </w:r>
      <w:r>
        <w:rPr>
          <w:rFonts w:ascii="Palatino Linotype" w:hAnsi="Palatino Linotype"/>
          <w:sz w:val="24"/>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6F4ABB" w:rsidRDefault="008C0E72" w:rsidP="006F4ABB">
      <w:pPr>
        <w:pStyle w:val="Sinespaciado"/>
        <w:ind w:left="567" w:right="567"/>
        <w:jc w:val="both"/>
        <w:rPr>
          <w:rFonts w:ascii="Palatino Linotype" w:hAnsi="Palatino Linotype"/>
          <w:i/>
        </w:rPr>
      </w:pPr>
      <w:r>
        <w:rPr>
          <w:rFonts w:ascii="Palatino Linotype" w:hAnsi="Palatino Linotype"/>
          <w:sz w:val="24"/>
        </w:rPr>
        <w:t>“</w:t>
      </w:r>
      <w:r w:rsidR="006F4ABB" w:rsidRPr="006F4ABB">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F4ABB" w:rsidRPr="006F4ABB" w:rsidRDefault="006F4ABB" w:rsidP="006F4ABB">
      <w:pPr>
        <w:pStyle w:val="Sinespaciado"/>
        <w:ind w:left="567" w:right="567"/>
        <w:jc w:val="both"/>
        <w:rPr>
          <w:rFonts w:ascii="Palatino Linotype" w:hAnsi="Palatino Linotype"/>
          <w:i/>
        </w:rPr>
      </w:pPr>
    </w:p>
    <w:p w:rsidR="006F4ABB" w:rsidRDefault="006F4ABB" w:rsidP="006F4ABB">
      <w:pPr>
        <w:pStyle w:val="Sinespaciado"/>
        <w:ind w:left="567" w:right="567"/>
        <w:jc w:val="both"/>
        <w:rPr>
          <w:rFonts w:ascii="Palatino Linotype" w:hAnsi="Palatino Linotype"/>
          <w:i/>
        </w:rPr>
      </w:pPr>
      <w:r w:rsidRPr="006F4ABB">
        <w:rPr>
          <w:rFonts w:ascii="Palatino Linotype" w:hAnsi="Palatino Linotype"/>
          <w:i/>
        </w:rPr>
        <w:t>Se envía respuesta a su solicitud</w:t>
      </w:r>
    </w:p>
    <w:p w:rsidR="006F4ABB" w:rsidRPr="006F4ABB" w:rsidRDefault="006F4ABB" w:rsidP="006F4ABB">
      <w:pPr>
        <w:pStyle w:val="Sinespaciado"/>
        <w:ind w:left="567" w:right="567"/>
        <w:jc w:val="both"/>
        <w:rPr>
          <w:rFonts w:ascii="Palatino Linotype" w:hAnsi="Palatino Linotype"/>
          <w:i/>
        </w:rPr>
      </w:pPr>
    </w:p>
    <w:p w:rsidR="006F4ABB" w:rsidRPr="006F4ABB" w:rsidRDefault="006F4ABB" w:rsidP="006F4ABB">
      <w:pPr>
        <w:pStyle w:val="Sinespaciado"/>
        <w:ind w:left="567" w:right="567"/>
        <w:jc w:val="both"/>
        <w:rPr>
          <w:rFonts w:ascii="Palatino Linotype" w:hAnsi="Palatino Linotype"/>
          <w:i/>
        </w:rPr>
      </w:pPr>
      <w:r w:rsidRPr="006F4ABB">
        <w:rPr>
          <w:rFonts w:ascii="Palatino Linotype" w:hAnsi="Palatino Linotype"/>
          <w:i/>
        </w:rPr>
        <w:t>ATENTAMENTE</w:t>
      </w:r>
    </w:p>
    <w:p w:rsidR="008C0E72" w:rsidRPr="008C0E72" w:rsidRDefault="006F4ABB" w:rsidP="006F4ABB">
      <w:pPr>
        <w:pStyle w:val="Sinespaciado"/>
        <w:ind w:left="567" w:right="567"/>
        <w:jc w:val="both"/>
        <w:rPr>
          <w:rFonts w:ascii="Palatino Linotype" w:hAnsi="Palatino Linotype"/>
          <w:i/>
        </w:rPr>
      </w:pPr>
      <w:r w:rsidRPr="006F4ABB">
        <w:rPr>
          <w:rFonts w:ascii="Palatino Linotype" w:hAnsi="Palatino Linotype"/>
          <w:i/>
        </w:rPr>
        <w:t>LIC. ELOINA SILVETTE DÍAZ GUTIÉRREZ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936CE7">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2C1DFC">
        <w:rPr>
          <w:rFonts w:ascii="Palatino Linotype" w:hAnsi="Palatino Linotype"/>
          <w:sz w:val="24"/>
          <w:szCs w:val="24"/>
        </w:rPr>
        <w:t>los documentos</w:t>
      </w:r>
      <w:r w:rsidR="007A1D57">
        <w:rPr>
          <w:rFonts w:ascii="Palatino Linotype" w:hAnsi="Palatino Linotype"/>
          <w:sz w:val="24"/>
          <w:szCs w:val="24"/>
        </w:rPr>
        <w:t xml:space="preserve"> electrónico</w:t>
      </w:r>
      <w:r w:rsidR="002C1DFC">
        <w:rPr>
          <w:rFonts w:ascii="Palatino Linotype" w:hAnsi="Palatino Linotype"/>
          <w:sz w:val="24"/>
          <w:szCs w:val="24"/>
        </w:rPr>
        <w:t>s</w:t>
      </w:r>
      <w:r w:rsidR="007A1D57">
        <w:rPr>
          <w:rFonts w:ascii="Palatino Linotype" w:hAnsi="Palatino Linotype"/>
          <w:sz w:val="24"/>
          <w:szCs w:val="24"/>
        </w:rPr>
        <w:t xml:space="preserve"> denominado</w:t>
      </w:r>
      <w:r w:rsidR="002C1DFC">
        <w:rPr>
          <w:rFonts w:ascii="Palatino Linotype" w:hAnsi="Palatino Linotype"/>
          <w:sz w:val="24"/>
          <w:szCs w:val="24"/>
        </w:rPr>
        <w:t>s</w:t>
      </w:r>
      <w:r w:rsidR="007A1D57">
        <w:rPr>
          <w:rFonts w:ascii="Palatino Linotype" w:hAnsi="Palatino Linotype"/>
          <w:sz w:val="24"/>
          <w:szCs w:val="24"/>
        </w:rPr>
        <w:t xml:space="preserve"> </w:t>
      </w:r>
      <w:r w:rsidR="004737E6">
        <w:rPr>
          <w:rFonts w:ascii="Palatino Linotype" w:hAnsi="Palatino Linotype"/>
          <w:b/>
          <w:sz w:val="24"/>
          <w:szCs w:val="24"/>
        </w:rPr>
        <w:t>“</w:t>
      </w:r>
      <w:r w:rsidR="002C1DFC">
        <w:rPr>
          <w:rFonts w:ascii="Palatino Linotype" w:hAnsi="Palatino Linotype"/>
          <w:b/>
          <w:sz w:val="24"/>
          <w:szCs w:val="24"/>
        </w:rPr>
        <w:t xml:space="preserve">SAIMEX 00328 </w:t>
      </w:r>
      <w:r w:rsidR="00536896">
        <w:rPr>
          <w:rFonts w:ascii="Palatino Linotype" w:hAnsi="Palatino Linotype"/>
          <w:b/>
          <w:sz w:val="24"/>
          <w:szCs w:val="24"/>
        </w:rPr>
        <w:t>I</w:t>
      </w:r>
      <w:r w:rsidR="002C1DFC">
        <w:rPr>
          <w:rFonts w:ascii="Palatino Linotype" w:hAnsi="Palatino Linotype"/>
          <w:b/>
          <w:sz w:val="24"/>
          <w:szCs w:val="24"/>
        </w:rPr>
        <w:t>P.docx” y “396.pdf”</w:t>
      </w:r>
      <w:r w:rsidR="007A1D57">
        <w:rPr>
          <w:rFonts w:ascii="Palatino Linotype" w:hAnsi="Palatino Linotype"/>
          <w:sz w:val="24"/>
          <w:szCs w:val="24"/>
        </w:rPr>
        <w:t xml:space="preserve">, </w:t>
      </w:r>
      <w:r w:rsidR="002C1DFC">
        <w:rPr>
          <w:rFonts w:ascii="Palatino Linotype" w:hAnsi="Palatino Linotype"/>
          <w:sz w:val="24"/>
          <w:szCs w:val="24"/>
        </w:rPr>
        <w:t>los cuales</w:t>
      </w:r>
      <w:r w:rsidR="007A1D57">
        <w:rPr>
          <w:rFonts w:ascii="Palatino Linotype" w:hAnsi="Palatino Linotype"/>
          <w:sz w:val="24"/>
          <w:szCs w:val="24"/>
        </w:rPr>
        <w:t xml:space="preserve"> no se </w:t>
      </w:r>
      <w:r w:rsidR="004757BD">
        <w:rPr>
          <w:rFonts w:ascii="Palatino Linotype" w:hAnsi="Palatino Linotype"/>
          <w:sz w:val="24"/>
          <w:szCs w:val="24"/>
        </w:rPr>
        <w:t>reproduce</w:t>
      </w:r>
      <w:r w:rsidR="002C1DFC">
        <w:rPr>
          <w:rFonts w:ascii="Palatino Linotype" w:hAnsi="Palatino Linotype"/>
          <w:sz w:val="24"/>
          <w:szCs w:val="24"/>
        </w:rPr>
        <w:t>n</w:t>
      </w:r>
      <w:r w:rsidR="004757BD">
        <w:rPr>
          <w:rFonts w:ascii="Palatino Linotype" w:hAnsi="Palatino Linotype"/>
          <w:sz w:val="24"/>
          <w:szCs w:val="24"/>
        </w:rPr>
        <w:t xml:space="preserve"> </w:t>
      </w:r>
      <w:r w:rsidR="0075676A">
        <w:rPr>
          <w:rFonts w:ascii="Palatino Linotype" w:hAnsi="Palatino Linotype"/>
          <w:sz w:val="24"/>
          <w:szCs w:val="24"/>
        </w:rPr>
        <w:t>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536896">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536896">
        <w:rPr>
          <w:rFonts w:ascii="Palatino Linotype" w:hAnsi="Palatino Linotype"/>
          <w:sz w:val="24"/>
          <w:szCs w:val="24"/>
        </w:rPr>
        <w:t>veintisé</w:t>
      </w:r>
      <w:r w:rsidR="00886627">
        <w:rPr>
          <w:rFonts w:ascii="Palatino Linotype" w:hAnsi="Palatino Linotype"/>
          <w:sz w:val="24"/>
          <w:szCs w:val="24"/>
        </w:rPr>
        <w:t>is de agosto</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536896">
        <w:rPr>
          <w:rFonts w:ascii="Palatino Linotype" w:hAnsi="Palatino Linotype"/>
          <w:b/>
          <w:bCs/>
          <w:sz w:val="24"/>
          <w:szCs w:val="24"/>
          <w:lang w:eastAsia="es-MX"/>
        </w:rPr>
        <w:t>06845</w:t>
      </w:r>
      <w:r w:rsidR="0065519D">
        <w:rPr>
          <w:rFonts w:ascii="Palatino Linotype" w:hAnsi="Palatino Linotype"/>
          <w:b/>
          <w:bCs/>
          <w:sz w:val="24"/>
          <w:szCs w:val="24"/>
          <w:lang w:eastAsia="es-MX"/>
        </w:rPr>
        <w:t>/INFOEM/IP/RR/2019</w:t>
      </w:r>
      <w:r w:rsidRPr="00D04234">
        <w:rPr>
          <w:rFonts w:ascii="Palatino Linotype" w:hAnsi="Palatino Linotype"/>
          <w:sz w:val="24"/>
          <w:szCs w:val="24"/>
        </w:rPr>
        <w:t xml:space="preserve">, en el cual </w:t>
      </w:r>
      <w:r w:rsidR="007A1D57">
        <w:rPr>
          <w:rFonts w:ascii="Palatino Linotype" w:hAnsi="Palatino Linotype"/>
          <w:sz w:val="24"/>
          <w:szCs w:val="24"/>
        </w:rPr>
        <w:t>realiza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886627" w:rsidP="0014447C">
      <w:pPr>
        <w:spacing w:line="240" w:lineRule="auto"/>
        <w:ind w:left="851" w:right="850"/>
        <w:jc w:val="both"/>
        <w:rPr>
          <w:rFonts w:ascii="Palatino Linotype" w:hAnsi="Palatino Linotype" w:cs="Arial"/>
          <w:i/>
        </w:rPr>
      </w:pPr>
      <w:r>
        <w:rPr>
          <w:rFonts w:ascii="Palatino Linotype" w:hAnsi="Palatino Linotype" w:cs="Arial"/>
          <w:i/>
        </w:rPr>
        <w:t>“</w:t>
      </w:r>
      <w:r w:rsidR="00536896" w:rsidRPr="00536896">
        <w:rPr>
          <w:rFonts w:ascii="Palatino Linotype" w:hAnsi="Palatino Linotype" w:cs="Arial"/>
          <w:i/>
        </w:rPr>
        <w:t>Inconforme porque no hay archivo adjunto.</w:t>
      </w:r>
      <w:r w:rsidR="006A3A54" w:rsidRPr="00D04234">
        <w:rPr>
          <w:rFonts w:ascii="Palatino Linotype" w:hAnsi="Palatino Linotype" w:cs="Arial"/>
          <w:i/>
        </w:rPr>
        <w:t>"</w:t>
      </w:r>
      <w:r w:rsidR="004757BD" w:rsidRPr="00D04234">
        <w:rPr>
          <w:rFonts w:ascii="Palatino Linotype" w:hAnsi="Palatino Linotype" w:cs="Arial"/>
          <w:i/>
        </w:rPr>
        <w:t xml:space="preserve"> (</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lastRenderedPageBreak/>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536896" w:rsidRPr="00536896">
        <w:rPr>
          <w:rFonts w:ascii="Palatino Linotype" w:hAnsi="Palatino Linotype" w:cs="Arial"/>
          <w:i/>
        </w:rPr>
        <w:t>Inconforme porque no hay archivo adjunto</w:t>
      </w:r>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8431A4">
        <w:rPr>
          <w:rFonts w:ascii="Palatino Linotype" w:hAnsi="Palatino Linotype"/>
          <w:sz w:val="24"/>
          <w:szCs w:val="24"/>
        </w:rPr>
        <w:t xml:space="preserve">doce de </w:t>
      </w:r>
      <w:r w:rsidR="00E132AC">
        <w:rPr>
          <w:rFonts w:ascii="Palatino Linotype" w:hAnsi="Palatino Linotype"/>
          <w:sz w:val="24"/>
          <w:szCs w:val="24"/>
        </w:rPr>
        <w:t>agosto</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7D2DCA" w:rsidRPr="007D2DCA" w:rsidRDefault="007D2DCA" w:rsidP="007D2DCA">
      <w:pPr>
        <w:pStyle w:val="Sinespaciado"/>
        <w:spacing w:line="360" w:lineRule="auto"/>
        <w:jc w:val="both"/>
        <w:rPr>
          <w:rFonts w:ascii="Palatino Linotype" w:hAnsi="Palatino Linotype"/>
          <w:sz w:val="24"/>
          <w:szCs w:val="24"/>
        </w:rPr>
      </w:pPr>
      <w:r w:rsidRPr="007D2DCA">
        <w:rPr>
          <w:rFonts w:ascii="Palatino Linotype" w:hAnsi="Palatino Linotype"/>
          <w:sz w:val="24"/>
          <w:szCs w:val="24"/>
        </w:rPr>
        <w:t xml:space="preserve">Así, una vez abierta la etapa de instrucción, se destaca que el Recurrente no presentó sus manifestaciones y alegatos. Asimismo, el Sujeto Obligado omitió rendir su Informe Justificado como se observa en la siguiente imagen: </w:t>
      </w:r>
    </w:p>
    <w:p w:rsidR="008C0F70" w:rsidRDefault="008C0F70" w:rsidP="0014447C">
      <w:pPr>
        <w:pStyle w:val="Sinespaciado"/>
        <w:spacing w:line="360" w:lineRule="auto"/>
        <w:jc w:val="both"/>
        <w:rPr>
          <w:rFonts w:ascii="Palatino Linotype" w:hAnsi="Palatino Linotype"/>
          <w:sz w:val="24"/>
          <w:szCs w:val="24"/>
        </w:rPr>
      </w:pPr>
    </w:p>
    <w:p w:rsidR="007D2DCA" w:rsidRDefault="007D2DCA"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31C0711F" wp14:editId="49D1BE1E">
            <wp:extent cx="5701293" cy="1847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01" t="17931" r="29067" b="57966"/>
                    <a:stretch/>
                  </pic:blipFill>
                  <pic:spPr bwMode="auto">
                    <a:xfrm>
                      <a:off x="0" y="0"/>
                      <a:ext cx="5724217" cy="1855280"/>
                    </a:xfrm>
                    <a:prstGeom prst="rect">
                      <a:avLst/>
                    </a:prstGeom>
                    <a:ln>
                      <a:noFill/>
                    </a:ln>
                    <a:extLst>
                      <a:ext uri="{53640926-AAD7-44D8-BBD7-CCE9431645EC}">
                        <a14:shadowObscured xmlns:a14="http://schemas.microsoft.com/office/drawing/2010/main"/>
                      </a:ext>
                    </a:extLst>
                  </pic:spPr>
                </pic:pic>
              </a:graphicData>
            </a:graphic>
          </wp:inline>
        </w:drawing>
      </w:r>
    </w:p>
    <w:p w:rsidR="007D2DCA" w:rsidRPr="007D2DCA" w:rsidRDefault="007D2DCA"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4E37E9">
        <w:rPr>
          <w:rFonts w:ascii="Palatino Linotype" w:hAnsi="Palatino Linotype"/>
          <w:sz w:val="24"/>
          <w:szCs w:val="24"/>
        </w:rPr>
        <w:t>once de septiembre</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4E37E9">
        <w:rPr>
          <w:rFonts w:ascii="Palatino Linotype" w:hAnsi="Palatino Linotype"/>
          <w:sz w:val="24"/>
          <w:szCs w:val="24"/>
        </w:rPr>
        <w:t>quince de octubre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4447C"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FF1E85">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FF1E85">
        <w:rPr>
          <w:rFonts w:ascii="Palatino Linotype" w:hAnsi="Palatino Linotype"/>
          <w:sz w:val="24"/>
          <w:szCs w:val="24"/>
        </w:rPr>
        <w:t>tercero</w:t>
      </w:r>
      <w:r w:rsidRPr="0014447C">
        <w:rPr>
          <w:rFonts w:ascii="Palatino Linotype" w:hAnsi="Palatino Linotype"/>
          <w:sz w:val="24"/>
          <w:szCs w:val="24"/>
        </w:rPr>
        <w:t xml:space="preserve"> y vigésimo </w:t>
      </w:r>
      <w:r w:rsidR="00FF1E85">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w:t>
      </w:r>
      <w:r w:rsidRPr="0014447C">
        <w:rPr>
          <w:rFonts w:ascii="Palatino Linotype" w:hAnsi="Palatino Linotype"/>
          <w:sz w:val="24"/>
          <w:szCs w:val="24"/>
        </w:rPr>
        <w:lastRenderedPageBreak/>
        <w:t>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5747D1" w:rsidRPr="005747D1" w:rsidRDefault="00A9172E" w:rsidP="004E37E9">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4E37E9">
        <w:rPr>
          <w:rFonts w:ascii="Palatino Linotype" w:hAnsi="Palatino Linotype"/>
          <w:sz w:val="24"/>
          <w:szCs w:val="24"/>
        </w:rPr>
        <w:t xml:space="preserve"> el</w:t>
      </w:r>
      <w:r w:rsidR="00336EDF">
        <w:rPr>
          <w:rFonts w:ascii="Palatino Linotype" w:hAnsi="Palatino Linotype"/>
          <w:sz w:val="24"/>
          <w:szCs w:val="24"/>
        </w:rPr>
        <w:t xml:space="preserve"> hoy Recurrente requirió</w:t>
      </w:r>
      <w:r w:rsidR="0079496F">
        <w:rPr>
          <w:rFonts w:ascii="Palatino Linotype" w:hAnsi="Palatino Linotype"/>
          <w:sz w:val="24"/>
          <w:szCs w:val="24"/>
        </w:rPr>
        <w:t xml:space="preserve"> </w:t>
      </w:r>
      <w:r w:rsidR="00960CF3">
        <w:rPr>
          <w:rFonts w:ascii="Palatino Linotype" w:hAnsi="Palatino Linotype"/>
          <w:sz w:val="24"/>
          <w:szCs w:val="24"/>
        </w:rPr>
        <w:t>que se le informar</w:t>
      </w:r>
      <w:r w:rsidR="000536F3">
        <w:rPr>
          <w:rFonts w:ascii="Palatino Linotype" w:hAnsi="Palatino Linotype"/>
          <w:sz w:val="24"/>
          <w:szCs w:val="24"/>
        </w:rPr>
        <w:t xml:space="preserve">a </w:t>
      </w:r>
      <w:r w:rsidR="004E37E9">
        <w:rPr>
          <w:rFonts w:ascii="Palatino Linotype" w:hAnsi="Palatino Linotype"/>
          <w:sz w:val="24"/>
          <w:szCs w:val="24"/>
        </w:rPr>
        <w:t>sobre las políticas para ayudar al medio ambiente, tales como las relacionadas a cero papel, ahorro de electricidad, entre otras.</w:t>
      </w:r>
    </w:p>
    <w:p w:rsidR="00395C1A" w:rsidRDefault="00395C1A" w:rsidP="0014447C">
      <w:pPr>
        <w:pStyle w:val="Sinespaciado"/>
        <w:spacing w:line="360" w:lineRule="auto"/>
        <w:jc w:val="both"/>
        <w:rPr>
          <w:rFonts w:ascii="Palatino Linotype" w:hAnsi="Palatino Linotype"/>
          <w:sz w:val="24"/>
          <w:szCs w:val="24"/>
        </w:rPr>
      </w:pPr>
    </w:p>
    <w:p w:rsidR="00FF2AF9" w:rsidRDefault="00FD7EE2" w:rsidP="007475B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dicha solicitud, el Sujeto Obligado respondió mediante </w:t>
      </w:r>
      <w:r w:rsidR="00B31BB2">
        <w:rPr>
          <w:rFonts w:ascii="Palatino Linotype" w:hAnsi="Palatino Linotype"/>
          <w:sz w:val="24"/>
          <w:szCs w:val="24"/>
        </w:rPr>
        <w:t xml:space="preserve">la presentación </w:t>
      </w:r>
      <w:r w:rsidR="00FF2AF9">
        <w:rPr>
          <w:rFonts w:ascii="Palatino Linotype" w:hAnsi="Palatino Linotype"/>
          <w:sz w:val="24"/>
          <w:szCs w:val="24"/>
        </w:rPr>
        <w:t xml:space="preserve">de los documentos </w:t>
      </w:r>
      <w:r w:rsidR="00FF2AF9">
        <w:rPr>
          <w:rFonts w:ascii="Palatino Linotype" w:hAnsi="Palatino Linotype"/>
          <w:b/>
          <w:sz w:val="24"/>
          <w:szCs w:val="24"/>
        </w:rPr>
        <w:t xml:space="preserve">“SAIMEX 00328 IP.docx” y “396.pdf” </w:t>
      </w:r>
      <w:r w:rsidR="00FF2AF9">
        <w:rPr>
          <w:rFonts w:ascii="Palatino Linotype" w:hAnsi="Palatino Linotype"/>
          <w:sz w:val="24"/>
          <w:szCs w:val="24"/>
        </w:rPr>
        <w:t xml:space="preserve">que se reproducen a continuación: </w:t>
      </w:r>
    </w:p>
    <w:p w:rsidR="00FF2AF9" w:rsidRDefault="00FF2AF9" w:rsidP="007475B3">
      <w:pPr>
        <w:pStyle w:val="Sinespaciado"/>
        <w:spacing w:line="360" w:lineRule="auto"/>
        <w:jc w:val="both"/>
        <w:rPr>
          <w:rFonts w:ascii="Palatino Linotype" w:hAnsi="Palatino Linotype"/>
          <w:sz w:val="24"/>
          <w:szCs w:val="24"/>
        </w:rPr>
      </w:pPr>
    </w:p>
    <w:p w:rsidR="00FF2AF9" w:rsidRPr="006B5A87" w:rsidRDefault="00FF2AF9" w:rsidP="007475B3">
      <w:pPr>
        <w:pStyle w:val="Sinespaciado"/>
        <w:spacing w:line="360" w:lineRule="auto"/>
        <w:jc w:val="both"/>
        <w:rPr>
          <w:rFonts w:ascii="Palatino Linotype" w:hAnsi="Palatino Linotype"/>
          <w:sz w:val="24"/>
          <w:szCs w:val="24"/>
          <w:u w:val="single"/>
        </w:rPr>
      </w:pPr>
      <w:r w:rsidRPr="006B5A87">
        <w:rPr>
          <w:rFonts w:ascii="Palatino Linotype" w:hAnsi="Palatino Linotype"/>
          <w:b/>
          <w:sz w:val="24"/>
          <w:szCs w:val="24"/>
          <w:u w:val="single"/>
        </w:rPr>
        <w:lastRenderedPageBreak/>
        <w:t>SAIMEX 00328 IP.docx</w:t>
      </w:r>
    </w:p>
    <w:p w:rsidR="00FF2AF9" w:rsidRDefault="00FF2AF9" w:rsidP="00FF2AF9">
      <w:pPr>
        <w:pStyle w:val="Sinespaciado"/>
        <w:spacing w:line="360" w:lineRule="auto"/>
        <w:jc w:val="center"/>
        <w:rPr>
          <w:rFonts w:ascii="Palatino Linotype" w:hAnsi="Palatino Linotype"/>
          <w:sz w:val="24"/>
          <w:szCs w:val="24"/>
        </w:rPr>
      </w:pPr>
      <w:r>
        <w:rPr>
          <w:noProof/>
          <w:lang w:eastAsia="es-MX"/>
        </w:rPr>
        <w:drawing>
          <wp:inline distT="0" distB="0" distL="0" distR="0" wp14:anchorId="77B83125" wp14:editId="1A6B10DA">
            <wp:extent cx="4864315" cy="6515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12" t="9112" r="31548" b="3880"/>
                    <a:stretch/>
                  </pic:blipFill>
                  <pic:spPr bwMode="auto">
                    <a:xfrm>
                      <a:off x="0" y="0"/>
                      <a:ext cx="4908722" cy="6574577"/>
                    </a:xfrm>
                    <a:prstGeom prst="rect">
                      <a:avLst/>
                    </a:prstGeom>
                    <a:ln>
                      <a:noFill/>
                    </a:ln>
                    <a:extLst>
                      <a:ext uri="{53640926-AAD7-44D8-BBD7-CCE9431645EC}">
                        <a14:shadowObscured xmlns:a14="http://schemas.microsoft.com/office/drawing/2010/main"/>
                      </a:ext>
                    </a:extLst>
                  </pic:spPr>
                </pic:pic>
              </a:graphicData>
            </a:graphic>
          </wp:inline>
        </w:drawing>
      </w:r>
    </w:p>
    <w:p w:rsidR="00FF2AF9" w:rsidRDefault="00FF2AF9" w:rsidP="007475B3">
      <w:pPr>
        <w:pStyle w:val="Sinespaciado"/>
        <w:spacing w:line="360" w:lineRule="auto"/>
        <w:jc w:val="both"/>
        <w:rPr>
          <w:rFonts w:ascii="Palatino Linotype" w:hAnsi="Palatino Linotype"/>
          <w:sz w:val="24"/>
          <w:szCs w:val="24"/>
        </w:rPr>
      </w:pPr>
    </w:p>
    <w:p w:rsidR="00FF2AF9" w:rsidRPr="006B5A87" w:rsidRDefault="006B5A87" w:rsidP="007475B3">
      <w:pPr>
        <w:pStyle w:val="Sinespaciado"/>
        <w:spacing w:line="360" w:lineRule="auto"/>
        <w:jc w:val="both"/>
        <w:rPr>
          <w:rFonts w:ascii="Palatino Linotype" w:hAnsi="Palatino Linotype"/>
          <w:sz w:val="24"/>
          <w:szCs w:val="24"/>
          <w:u w:val="single"/>
        </w:rPr>
      </w:pPr>
      <w:r w:rsidRPr="006B5A87">
        <w:rPr>
          <w:rFonts w:ascii="Palatino Linotype" w:hAnsi="Palatino Linotype"/>
          <w:b/>
          <w:sz w:val="24"/>
          <w:szCs w:val="24"/>
          <w:u w:val="single"/>
        </w:rPr>
        <w:lastRenderedPageBreak/>
        <w:t>396.pdf</w:t>
      </w:r>
    </w:p>
    <w:p w:rsidR="00FF2AF9" w:rsidRDefault="006B5A87" w:rsidP="006B5A87">
      <w:pPr>
        <w:pStyle w:val="Sinespaciado"/>
        <w:spacing w:line="360" w:lineRule="auto"/>
        <w:jc w:val="center"/>
        <w:rPr>
          <w:rFonts w:ascii="Palatino Linotype" w:hAnsi="Palatino Linotype"/>
          <w:sz w:val="24"/>
          <w:szCs w:val="24"/>
        </w:rPr>
      </w:pPr>
      <w:r>
        <w:rPr>
          <w:noProof/>
          <w:lang w:eastAsia="es-MX"/>
        </w:rPr>
        <w:drawing>
          <wp:inline distT="0" distB="0" distL="0" distR="0" wp14:anchorId="265DE0D3" wp14:editId="27A87C7B">
            <wp:extent cx="4917109" cy="65246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65" t="8523" r="32043" b="10347"/>
                    <a:stretch/>
                  </pic:blipFill>
                  <pic:spPr bwMode="auto">
                    <a:xfrm>
                      <a:off x="0" y="0"/>
                      <a:ext cx="4946076" cy="6563062"/>
                    </a:xfrm>
                    <a:prstGeom prst="rect">
                      <a:avLst/>
                    </a:prstGeom>
                    <a:ln>
                      <a:noFill/>
                    </a:ln>
                    <a:extLst>
                      <a:ext uri="{53640926-AAD7-44D8-BBD7-CCE9431645EC}">
                        <a14:shadowObscured xmlns:a14="http://schemas.microsoft.com/office/drawing/2010/main"/>
                      </a:ext>
                    </a:extLst>
                  </pic:spPr>
                </pic:pic>
              </a:graphicData>
            </a:graphic>
          </wp:inline>
        </w:drawing>
      </w:r>
    </w:p>
    <w:p w:rsidR="00FF2AF9" w:rsidRDefault="00FF2AF9" w:rsidP="007475B3">
      <w:pPr>
        <w:pStyle w:val="Sinespaciado"/>
        <w:spacing w:line="360" w:lineRule="auto"/>
        <w:jc w:val="both"/>
        <w:rPr>
          <w:rFonts w:ascii="Palatino Linotype" w:hAnsi="Palatino Linotype"/>
          <w:sz w:val="24"/>
          <w:szCs w:val="24"/>
        </w:rPr>
      </w:pPr>
    </w:p>
    <w:p w:rsidR="00FF2AF9" w:rsidRDefault="006B5A87" w:rsidP="006B5A87">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2FDDAA9D" wp14:editId="35960588">
            <wp:extent cx="4956628" cy="65055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99" t="9700" r="32209" b="10053"/>
                    <a:stretch/>
                  </pic:blipFill>
                  <pic:spPr bwMode="auto">
                    <a:xfrm>
                      <a:off x="0" y="0"/>
                      <a:ext cx="4992544" cy="6552715"/>
                    </a:xfrm>
                    <a:prstGeom prst="rect">
                      <a:avLst/>
                    </a:prstGeom>
                    <a:ln>
                      <a:noFill/>
                    </a:ln>
                    <a:extLst>
                      <a:ext uri="{53640926-AAD7-44D8-BBD7-CCE9431645EC}">
                        <a14:shadowObscured xmlns:a14="http://schemas.microsoft.com/office/drawing/2010/main"/>
                      </a:ext>
                    </a:extLst>
                  </pic:spPr>
                </pic:pic>
              </a:graphicData>
            </a:graphic>
          </wp:inline>
        </w:drawing>
      </w:r>
    </w:p>
    <w:p w:rsidR="00FF2AF9" w:rsidRDefault="00FF2AF9" w:rsidP="007475B3">
      <w:pPr>
        <w:pStyle w:val="Sinespaciado"/>
        <w:spacing w:line="360" w:lineRule="auto"/>
        <w:jc w:val="both"/>
        <w:rPr>
          <w:rFonts w:ascii="Palatino Linotype" w:hAnsi="Palatino Linotype"/>
          <w:sz w:val="24"/>
          <w:szCs w:val="24"/>
        </w:rPr>
      </w:pPr>
    </w:p>
    <w:p w:rsidR="00FF2AF9" w:rsidRDefault="00FF2AF9" w:rsidP="007475B3">
      <w:pPr>
        <w:pStyle w:val="Sinespaciado"/>
        <w:spacing w:line="360" w:lineRule="auto"/>
        <w:jc w:val="both"/>
        <w:rPr>
          <w:rFonts w:ascii="Palatino Linotype" w:hAnsi="Palatino Linotype"/>
          <w:sz w:val="24"/>
          <w:szCs w:val="24"/>
        </w:rPr>
      </w:pPr>
    </w:p>
    <w:p w:rsidR="00062DC7" w:rsidRPr="00062DC7" w:rsidRDefault="006B5A8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El</w:t>
      </w:r>
      <w:r w:rsidR="008307E5">
        <w:rPr>
          <w:rFonts w:ascii="Palatino Linotype" w:hAnsi="Palatino Linotype"/>
          <w:sz w:val="24"/>
          <w:szCs w:val="24"/>
        </w:rPr>
        <w:t xml:space="preserve"> Recurrente consideró </w:t>
      </w:r>
      <w:r w:rsidR="00D46D29">
        <w:rPr>
          <w:rFonts w:ascii="Palatino Linotype" w:hAnsi="Palatino Linotype"/>
          <w:sz w:val="24"/>
          <w:szCs w:val="24"/>
        </w:rPr>
        <w:t>que su derecho a la información había sido conculcado por lo que i</w:t>
      </w:r>
      <w:r w:rsidR="008307E5">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w:t>
      </w:r>
      <w:r w:rsidR="00062DC7">
        <w:rPr>
          <w:rFonts w:ascii="Palatino Linotype" w:hAnsi="Palatino Linotype"/>
          <w:sz w:val="24"/>
          <w:szCs w:val="24"/>
        </w:rPr>
        <w:t>señalando como acto impugnado</w:t>
      </w:r>
      <w:r w:rsidR="002B7051">
        <w:rPr>
          <w:rFonts w:ascii="Palatino Linotype" w:hAnsi="Palatino Linotype"/>
          <w:sz w:val="24"/>
          <w:szCs w:val="24"/>
        </w:rPr>
        <w:t xml:space="preserve"> y motivos de inconformidad lo siguiente: “</w:t>
      </w:r>
      <w:r w:rsidR="003D6DBD" w:rsidRPr="003D6DBD">
        <w:rPr>
          <w:rFonts w:ascii="Palatino Linotype" w:hAnsi="Palatino Linotype"/>
          <w:i/>
          <w:sz w:val="24"/>
          <w:szCs w:val="24"/>
        </w:rPr>
        <w:t>Inconforme porque no hay archivo adjunto</w:t>
      </w:r>
      <w:r w:rsidR="002B7051">
        <w:rPr>
          <w:rFonts w:ascii="Palatino Linotype" w:hAnsi="Palatino Linotype"/>
          <w:i/>
          <w:sz w:val="24"/>
          <w:szCs w:val="24"/>
        </w:rPr>
        <w:t>”. (Sic)</w:t>
      </w:r>
    </w:p>
    <w:p w:rsidR="00062DC7" w:rsidRPr="004B5E7C" w:rsidRDefault="00062DC7" w:rsidP="0014447C">
      <w:pPr>
        <w:pStyle w:val="Sinespaciado"/>
        <w:spacing w:line="360" w:lineRule="auto"/>
        <w:jc w:val="both"/>
        <w:rPr>
          <w:rFonts w:ascii="Palatino Linotype" w:hAnsi="Palatino Linotype"/>
          <w:sz w:val="24"/>
          <w:szCs w:val="24"/>
        </w:rPr>
      </w:pPr>
    </w:p>
    <w:p w:rsidR="004B5E7C" w:rsidRPr="004B5E7C" w:rsidRDefault="004B5E7C" w:rsidP="004B5E7C">
      <w:pPr>
        <w:pStyle w:val="Sinespaciado"/>
        <w:spacing w:line="360" w:lineRule="auto"/>
        <w:jc w:val="both"/>
        <w:rPr>
          <w:rFonts w:ascii="Palatino Linotype" w:hAnsi="Palatino Linotype"/>
          <w:sz w:val="24"/>
          <w:szCs w:val="24"/>
        </w:rPr>
      </w:pPr>
      <w:r>
        <w:rPr>
          <w:rFonts w:ascii="Palatino Linotype" w:hAnsi="Palatino Linotype"/>
          <w:sz w:val="24"/>
          <w:szCs w:val="24"/>
        </w:rPr>
        <w:t>Durante la etapa de instrucción</w:t>
      </w:r>
      <w:r w:rsidRPr="004B5E7C">
        <w:rPr>
          <w:rFonts w:ascii="Palatino Linotype" w:hAnsi="Palatino Linotype"/>
          <w:sz w:val="24"/>
          <w:szCs w:val="24"/>
        </w:rPr>
        <w:t>, se tiene que el Recurrente no realizó manifestaciones, vertió alegatos o presentó pruebas que a su derecho convinieran durante la etapa de instrucción; del mismo modo, el Sujeto Obligado omitió rendir su Informe Justificado. En consecuencia, es necesario precisar que, toda vez que el Sujeto Obligado fue omiso de enviar el Informe Justificado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4B5E7C" w:rsidRPr="004B5E7C" w:rsidRDefault="004B5E7C" w:rsidP="004B5E7C">
      <w:pPr>
        <w:pStyle w:val="Sinespaciado"/>
        <w:spacing w:line="360" w:lineRule="auto"/>
        <w:jc w:val="both"/>
        <w:rPr>
          <w:rFonts w:ascii="Palatino Linotype" w:hAnsi="Palatino Linotype"/>
          <w:sz w:val="24"/>
          <w:szCs w:val="24"/>
        </w:rPr>
      </w:pPr>
    </w:p>
    <w:p w:rsidR="004B5E7C" w:rsidRPr="002C3944" w:rsidRDefault="004B5E7C" w:rsidP="004B5E7C">
      <w:pPr>
        <w:pStyle w:val="Sinespaciado"/>
        <w:ind w:left="567" w:right="567"/>
        <w:jc w:val="both"/>
        <w:rPr>
          <w:rFonts w:ascii="Palatino Linotype" w:hAnsi="Palatino Linotype"/>
          <w:i/>
        </w:rPr>
      </w:pPr>
      <w:r w:rsidRPr="002C3944">
        <w:rPr>
          <w:rFonts w:ascii="Palatino Linotype" w:hAnsi="Palatino Linotype"/>
          <w:b/>
          <w:i/>
        </w:rPr>
        <w:t>QUEJA, RECURSO DE. LA OMISION DE RENDIR EL INFORME RESPECTIVO NO IMPIDE QUE SE RESUELVA.</w:t>
      </w:r>
      <w:r w:rsidRPr="002C3944">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w:t>
      </w:r>
      <w:r w:rsidRPr="002C3944">
        <w:rPr>
          <w:rFonts w:ascii="Palatino Linotype" w:hAnsi="Palatino Linotype"/>
          <w:i/>
        </w:rPr>
        <w:lastRenderedPageBreak/>
        <w:t>mientras ellas no rindieran el informe justificado, tampoco podría decidirse el recurso de queja. [TA] 2a. XXII/96. Segunda Sala. Novena Época, Semanario Judicial de la Federación y su Gaceta, Tomo III, Abril de 1996. Página: 207.</w:t>
      </w:r>
    </w:p>
    <w:p w:rsidR="004B5E7C" w:rsidRPr="004B5E7C" w:rsidRDefault="004B5E7C" w:rsidP="004B5E7C">
      <w:pPr>
        <w:pStyle w:val="Sinespaciado"/>
        <w:spacing w:line="360" w:lineRule="auto"/>
        <w:jc w:val="both"/>
        <w:rPr>
          <w:rFonts w:ascii="Palatino Linotype" w:hAnsi="Palatino Linotype"/>
          <w:sz w:val="24"/>
          <w:szCs w:val="24"/>
        </w:rPr>
      </w:pPr>
    </w:p>
    <w:p w:rsidR="004B5E7C" w:rsidRPr="004B5E7C" w:rsidRDefault="004B5E7C" w:rsidP="004B5E7C">
      <w:pPr>
        <w:pStyle w:val="Sinespaciado"/>
        <w:spacing w:line="360" w:lineRule="auto"/>
        <w:jc w:val="both"/>
        <w:rPr>
          <w:rFonts w:ascii="Palatino Linotype" w:hAnsi="Palatino Linotype" w:cs="Arial"/>
          <w:sz w:val="24"/>
          <w:szCs w:val="24"/>
        </w:rPr>
      </w:pPr>
      <w:r w:rsidRPr="004B5E7C">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CD2946" w:rsidRPr="004B5E7C" w:rsidRDefault="00CD2946" w:rsidP="0014447C">
      <w:pPr>
        <w:pStyle w:val="Sinespaciado"/>
        <w:spacing w:line="360" w:lineRule="auto"/>
        <w:jc w:val="both"/>
        <w:rPr>
          <w:rFonts w:ascii="Palatino Linotype" w:hAnsi="Palatino Linotype"/>
          <w:sz w:val="24"/>
          <w:szCs w:val="24"/>
        </w:rPr>
      </w:pPr>
    </w:p>
    <w:p w:rsidR="00E50BBA" w:rsidRPr="004B5E7C" w:rsidRDefault="00E50BBA" w:rsidP="0014447C">
      <w:pPr>
        <w:pStyle w:val="Sinespaciado"/>
        <w:spacing w:line="360" w:lineRule="auto"/>
        <w:jc w:val="both"/>
        <w:rPr>
          <w:rFonts w:ascii="Palatino Linotype" w:hAnsi="Palatino Linotype"/>
          <w:sz w:val="24"/>
          <w:szCs w:val="24"/>
        </w:rPr>
      </w:pPr>
      <w:r w:rsidRPr="004B5E7C">
        <w:rPr>
          <w:rFonts w:ascii="Palatino Linotype" w:hAnsi="Palatino Linotype"/>
          <w:sz w:val="24"/>
          <w:szCs w:val="24"/>
        </w:rPr>
        <w:t xml:space="preserve">En razón de lo anterior, este Instituto estima </w:t>
      </w:r>
      <w:r w:rsidR="00115767" w:rsidRPr="004B5E7C">
        <w:rPr>
          <w:rFonts w:ascii="Palatino Linotype" w:hAnsi="Palatino Linotype"/>
          <w:sz w:val="24"/>
          <w:szCs w:val="24"/>
        </w:rPr>
        <w:t xml:space="preserve">que las razones o motivos de inconformidad hechos valer por la Recurrente son infundados en razón de las siguientes consideraciones: </w:t>
      </w:r>
    </w:p>
    <w:p w:rsidR="00E50BBA" w:rsidRPr="004B5E7C" w:rsidRDefault="00E50BBA" w:rsidP="0014447C">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olor w:val="000000"/>
          <w:sz w:val="24"/>
          <w:szCs w:val="24"/>
        </w:rPr>
      </w:pPr>
      <w:r w:rsidRPr="00893C7D">
        <w:rPr>
          <w:rFonts w:ascii="Palatino Linotype" w:hAnsi="Palatino Linotype"/>
          <w:sz w:val="24"/>
          <w:szCs w:val="24"/>
        </w:rPr>
        <w:t xml:space="preserve">En primer lugar </w:t>
      </w:r>
      <w:r w:rsidRPr="00893C7D">
        <w:rPr>
          <w:rFonts w:ascii="Palatino Linotype" w:hAnsi="Palatino Linotype"/>
          <w:color w:val="000000"/>
          <w:sz w:val="24"/>
          <w:szCs w:val="24"/>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E50BBA" w:rsidRPr="00893C7D" w:rsidRDefault="00E50BBA" w:rsidP="00E50BBA">
      <w:pPr>
        <w:pStyle w:val="Sinespaciado"/>
        <w:spacing w:line="360" w:lineRule="auto"/>
        <w:jc w:val="both"/>
        <w:rPr>
          <w:rFonts w:ascii="Palatino Linotype" w:hAnsi="Palatino Linotype"/>
          <w:color w:val="000000"/>
          <w:sz w:val="24"/>
          <w:szCs w:val="24"/>
        </w:rPr>
      </w:pPr>
    </w:p>
    <w:p w:rsidR="00E50BBA" w:rsidRPr="004E6B5B" w:rsidRDefault="00E50BBA" w:rsidP="00E50BBA">
      <w:pPr>
        <w:pStyle w:val="Sinespaciado"/>
        <w:ind w:left="567" w:right="567"/>
        <w:jc w:val="both"/>
        <w:rPr>
          <w:rFonts w:ascii="Palatino Linotype" w:hAnsi="Palatino Linotype"/>
          <w:b/>
          <w:i/>
        </w:rPr>
      </w:pPr>
      <w:r w:rsidRPr="004E6B5B">
        <w:rPr>
          <w:rFonts w:ascii="Palatino Linotype" w:hAnsi="Palatino Linotype"/>
          <w:b/>
          <w:i/>
        </w:rPr>
        <w:t>Artículo 6</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lastRenderedPageBreak/>
        <w:t>Para el ejercicio del derecho de acceso a la información, la Federación, los Estados y el Distrito Federal, en el ámbito de sus respectivas competencias, se regirán por los siguientes principios y bases:</w:t>
      </w:r>
    </w:p>
    <w:p w:rsidR="00E50BBA" w:rsidRPr="004E6B5B" w:rsidRDefault="00E50BBA" w:rsidP="00E50BBA">
      <w:pPr>
        <w:pStyle w:val="Sinespaciado"/>
        <w:ind w:left="567" w:right="567"/>
        <w:jc w:val="both"/>
        <w:rPr>
          <w:rFonts w:ascii="Palatino Linotype" w:hAnsi="Palatino Linotype"/>
          <w:i/>
        </w:rPr>
      </w:pPr>
    </w:p>
    <w:p w:rsidR="00E50BBA" w:rsidRDefault="00E50BBA" w:rsidP="00E50BBA">
      <w:pPr>
        <w:pStyle w:val="Sinespaciado"/>
        <w:numPr>
          <w:ilvl w:val="0"/>
          <w:numId w:val="14"/>
        </w:numPr>
        <w:ind w:left="993" w:right="567"/>
        <w:jc w:val="both"/>
        <w:rPr>
          <w:rFonts w:ascii="Palatino Linotype" w:hAnsi="Palatino Linotype"/>
          <w:i/>
        </w:rPr>
      </w:pPr>
      <w:r w:rsidRPr="00820C21">
        <w:rPr>
          <w:rFonts w:ascii="Palatino Linotype" w:hAnsi="Palatino Linotype"/>
          <w:b/>
          <w:i/>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E6B5B">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50BBA" w:rsidRPr="00893C7D" w:rsidRDefault="00E50BBA" w:rsidP="00E50BBA">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s="Arial"/>
          <w:sz w:val="24"/>
          <w:szCs w:val="24"/>
        </w:rPr>
      </w:pPr>
      <w:r w:rsidRPr="00893C7D">
        <w:rPr>
          <w:rFonts w:ascii="Palatino Linotype" w:hAnsi="Palatino Linotype" w:cs="Arial"/>
          <w:sz w:val="24"/>
          <w:szCs w:val="24"/>
        </w:rPr>
        <w:t xml:space="preserve">Ahora bien, en atención a lo dispuesto por los artículos 3, fracción XI y 12 </w:t>
      </w:r>
      <w:r w:rsidRPr="00893C7D">
        <w:rPr>
          <w:rFonts w:ascii="Palatino Linotype" w:hAnsi="Palatino Linotype" w:cs="Arial"/>
          <w:bCs/>
          <w:sz w:val="24"/>
          <w:szCs w:val="24"/>
        </w:rPr>
        <w:t>de la Ley de Transparencia y Acceso a la Información Pública del Estado de México y Municipios</w:t>
      </w:r>
      <w:r w:rsidRPr="00893C7D">
        <w:rPr>
          <w:rFonts w:ascii="Palatino Linotype" w:hAnsi="Palatino Linotype" w:cs="Arial"/>
          <w:sz w:val="24"/>
          <w:szCs w:val="24"/>
        </w:rPr>
        <w:t>, los cuales son del tenor literal siguiente:</w:t>
      </w:r>
    </w:p>
    <w:p w:rsidR="00E50BBA" w:rsidRPr="00893C7D" w:rsidRDefault="00E50BBA" w:rsidP="00E50BBA">
      <w:pPr>
        <w:pStyle w:val="Sinespaciado"/>
        <w:ind w:left="567" w:right="567"/>
        <w:jc w:val="both"/>
        <w:rPr>
          <w:rFonts w:ascii="Palatino Linotype" w:hAnsi="Palatino Linotype"/>
          <w:sz w:val="24"/>
          <w:szCs w:val="24"/>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i/>
        </w:rPr>
        <w:t>…</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w:t>
      </w:r>
      <w:r w:rsidRPr="00820C21">
        <w:rPr>
          <w:rFonts w:ascii="Palatino Linotype" w:hAnsi="Palatino Linotype"/>
          <w:i/>
        </w:rPr>
        <w:t xml:space="preserve">, </w:t>
      </w:r>
      <w:r w:rsidRPr="00820C21">
        <w:rPr>
          <w:rFonts w:ascii="Palatino Linotype" w:hAnsi="Palatino Linotype"/>
          <w:b/>
          <w:i/>
          <w:u w:val="single"/>
        </w:rPr>
        <w:t>oficios</w:t>
      </w:r>
      <w:r w:rsidRPr="006376FA">
        <w:rPr>
          <w:rFonts w:ascii="Palatino Linotype" w:hAnsi="Palatino Linotype"/>
          <w:i/>
        </w:rPr>
        <w:t xml:space="preserve">,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u w:val="single"/>
        </w:rPr>
        <w:lastRenderedPageBreak/>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50BBA" w:rsidRPr="006376FA" w:rsidRDefault="00E50BBA" w:rsidP="00E50BBA">
      <w:pPr>
        <w:pStyle w:val="Sinespaciado"/>
        <w:ind w:left="567" w:right="567"/>
        <w:jc w:val="both"/>
        <w:rPr>
          <w:rFonts w:ascii="Palatino Linotype" w:hAnsi="Palatino Linotype"/>
          <w:i/>
        </w:rPr>
      </w:pPr>
    </w:p>
    <w:p w:rsidR="00E50BBA" w:rsidRPr="004E6B5B" w:rsidRDefault="00E50BBA" w:rsidP="00E50BB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E50BBA" w:rsidRPr="00893C7D" w:rsidRDefault="00E50BBA" w:rsidP="00E50BBA">
      <w:pPr>
        <w:pStyle w:val="Sinespaciado"/>
        <w:spacing w:line="360" w:lineRule="auto"/>
        <w:jc w:val="both"/>
        <w:rPr>
          <w:rFonts w:ascii="Palatino Linotype" w:hAnsi="Palatino Linotype"/>
          <w:sz w:val="24"/>
          <w:szCs w:val="24"/>
        </w:rPr>
      </w:pPr>
    </w:p>
    <w:p w:rsidR="00E50BBA" w:rsidRDefault="00E50BBA" w:rsidP="00E50BBA">
      <w:pPr>
        <w:pStyle w:val="Sinespaciado"/>
        <w:spacing w:line="360" w:lineRule="auto"/>
        <w:jc w:val="both"/>
        <w:rPr>
          <w:rFonts w:ascii="Palatino Linotype" w:hAnsi="Palatino Linotype"/>
          <w:sz w:val="24"/>
          <w:szCs w:val="24"/>
        </w:rPr>
      </w:pPr>
      <w:r w:rsidRPr="00893C7D">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E50BBA" w:rsidRDefault="00E50BBA" w:rsidP="00E50BBA">
      <w:pPr>
        <w:pStyle w:val="Sinespaciado"/>
        <w:spacing w:line="360" w:lineRule="auto"/>
        <w:jc w:val="both"/>
        <w:rPr>
          <w:rFonts w:ascii="Palatino Linotype" w:hAnsi="Palatino Linotype" w:cs="Arial"/>
          <w:sz w:val="24"/>
          <w:szCs w:val="24"/>
        </w:rPr>
      </w:pPr>
    </w:p>
    <w:p w:rsidR="004B5E7C" w:rsidRDefault="00E50BBA" w:rsidP="00DA45C4">
      <w:pPr>
        <w:pStyle w:val="Sinespaciado"/>
        <w:spacing w:line="360" w:lineRule="auto"/>
        <w:jc w:val="both"/>
        <w:rPr>
          <w:rFonts w:ascii="Palatino Linotype" w:hAnsi="Palatino Linotype"/>
          <w:sz w:val="24"/>
          <w:szCs w:val="24"/>
        </w:rPr>
      </w:pPr>
      <w:r w:rsidRPr="00745488">
        <w:rPr>
          <w:rFonts w:ascii="Palatino Linotype" w:hAnsi="Palatino Linotype"/>
          <w:sz w:val="24"/>
          <w:szCs w:val="24"/>
        </w:rPr>
        <w:t xml:space="preserve">En segundo término, </w:t>
      </w:r>
      <w:r w:rsidR="004B5E7C">
        <w:rPr>
          <w:rFonts w:ascii="Palatino Linotype" w:hAnsi="Palatino Linotype"/>
          <w:sz w:val="24"/>
          <w:szCs w:val="24"/>
        </w:rPr>
        <w:t xml:space="preserve">es necesario enfatizar que  tanto el acto impugnado como los </w:t>
      </w:r>
      <w:r w:rsidR="00DA45C4">
        <w:rPr>
          <w:rFonts w:ascii="Palatino Linotype" w:hAnsi="Palatino Linotype"/>
          <w:sz w:val="24"/>
          <w:szCs w:val="24"/>
        </w:rPr>
        <w:t xml:space="preserve">motivos de inconformidad planteados por </w:t>
      </w:r>
      <w:r w:rsidR="004B5E7C">
        <w:rPr>
          <w:rFonts w:ascii="Palatino Linotype" w:hAnsi="Palatino Linotype"/>
          <w:sz w:val="24"/>
          <w:szCs w:val="24"/>
        </w:rPr>
        <w:t>el</w:t>
      </w:r>
      <w:r w:rsidR="00DA45C4">
        <w:rPr>
          <w:rFonts w:ascii="Palatino Linotype" w:hAnsi="Palatino Linotype"/>
          <w:sz w:val="24"/>
          <w:szCs w:val="24"/>
        </w:rPr>
        <w:t xml:space="preserve"> Recurrente </w:t>
      </w:r>
      <w:r w:rsidR="004B5E7C">
        <w:rPr>
          <w:rFonts w:ascii="Palatino Linotype" w:hAnsi="Palatino Linotype"/>
          <w:sz w:val="24"/>
          <w:szCs w:val="24"/>
        </w:rPr>
        <w:t xml:space="preserve">se centran en señalar que en </w:t>
      </w:r>
      <w:r w:rsidR="004B5E7C">
        <w:rPr>
          <w:rFonts w:ascii="Palatino Linotype" w:hAnsi="Palatino Linotype"/>
          <w:sz w:val="24"/>
          <w:szCs w:val="24"/>
        </w:rPr>
        <w:lastRenderedPageBreak/>
        <w:t>no se adjuntó ningún archivo a la respuesta, lo cual no es correcto en virtud de que anteriormente se hizo referencia a la respuesta y sus anexos; asimismo, es posible verificar en el expediente electrónico que el Sujeto Obligado sí dio respuesta a peticionado por el particular, como se observa a continuación:</w:t>
      </w:r>
    </w:p>
    <w:p w:rsidR="004B5E7C" w:rsidRDefault="004B5E7C" w:rsidP="00DA45C4">
      <w:pPr>
        <w:pStyle w:val="Sinespaciado"/>
        <w:spacing w:line="360" w:lineRule="auto"/>
        <w:jc w:val="both"/>
        <w:rPr>
          <w:rFonts w:ascii="Palatino Linotype" w:hAnsi="Palatino Linotype"/>
          <w:sz w:val="24"/>
          <w:szCs w:val="24"/>
        </w:rPr>
      </w:pPr>
    </w:p>
    <w:p w:rsidR="004B5E7C" w:rsidRDefault="00E55F2C" w:rsidP="00E55F2C">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1110615</wp:posOffset>
                </wp:positionH>
                <wp:positionV relativeFrom="paragraph">
                  <wp:posOffset>356235</wp:posOffset>
                </wp:positionV>
                <wp:extent cx="685800" cy="466725"/>
                <wp:effectExtent l="19050" t="57150" r="38100" b="66675"/>
                <wp:wrapNone/>
                <wp:docPr id="16" name="Flecha derecha 16"/>
                <wp:cNvGraphicFramePr/>
                <a:graphic xmlns:a="http://schemas.openxmlformats.org/drawingml/2006/main">
                  <a:graphicData uri="http://schemas.microsoft.com/office/word/2010/wordprocessingShape">
                    <wps:wsp>
                      <wps:cNvSpPr/>
                      <wps:spPr>
                        <a:xfrm>
                          <a:off x="0" y="0"/>
                          <a:ext cx="685800" cy="466725"/>
                        </a:xfrm>
                        <a:prstGeom prst="righ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2CB8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87.45pt;margin-top:28.05pt;width:54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" adj="14250" fillcolor="red" strokecolor="black [3213]" strokeweight="2.25pt"/>
            </w:pict>
          </mc:Fallback>
        </mc:AlternateContent>
      </w: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1958340</wp:posOffset>
                </wp:positionH>
                <wp:positionV relativeFrom="paragraph">
                  <wp:posOffset>327660</wp:posOffset>
                </wp:positionV>
                <wp:extent cx="1790700" cy="56197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1790700" cy="561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09CD3" id="Rectángulo 15" o:spid="_x0000_s1026" style="position:absolute;margin-left:154.2pt;margin-top:25.8pt;width:141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" filled="f" strokecolor="red" strokeweight="2.25pt"/>
            </w:pict>
          </mc:Fallback>
        </mc:AlternateContent>
      </w:r>
      <w:r w:rsidR="003F5B28">
        <w:rPr>
          <w:rFonts w:ascii="Palatino Linotype" w:hAnsi="Palatino Linotype"/>
          <w:noProof/>
          <w:sz w:val="24"/>
          <w:szCs w:val="24"/>
          <w:lang w:eastAsia="es-MX"/>
        </w:rPr>
        <w:drawing>
          <wp:inline distT="0" distB="0" distL="0" distR="0">
            <wp:extent cx="5191125" cy="42672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125" cy="4267200"/>
                    </a:xfrm>
                    <a:prstGeom prst="rect">
                      <a:avLst/>
                    </a:prstGeom>
                    <a:noFill/>
                    <a:ln>
                      <a:noFill/>
                    </a:ln>
                  </pic:spPr>
                </pic:pic>
              </a:graphicData>
            </a:graphic>
          </wp:inline>
        </w:drawing>
      </w:r>
    </w:p>
    <w:p w:rsidR="004B5E7C" w:rsidRDefault="004B5E7C" w:rsidP="00DA45C4">
      <w:pPr>
        <w:pStyle w:val="Sinespaciado"/>
        <w:spacing w:line="360" w:lineRule="auto"/>
        <w:jc w:val="both"/>
        <w:rPr>
          <w:rFonts w:ascii="Palatino Linotype" w:hAnsi="Palatino Linotype"/>
          <w:sz w:val="24"/>
          <w:szCs w:val="24"/>
        </w:rPr>
      </w:pPr>
    </w:p>
    <w:p w:rsidR="002D5D67" w:rsidRDefault="002D5D67" w:rsidP="002D5D67">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es evidente que el Recurrente tuvo una apreciación errónea la considerar que no se anexó ningún archivo a la respuesta del Sujeto O</w:t>
      </w:r>
      <w:r w:rsidR="0034042F">
        <w:rPr>
          <w:rFonts w:ascii="Palatino Linotype" w:hAnsi="Palatino Linotype"/>
          <w:sz w:val="24"/>
          <w:szCs w:val="24"/>
        </w:rPr>
        <w:t xml:space="preserve">bligado, pues de la mera revisión del expediente electrónico se observa que obran dos documentos </w:t>
      </w:r>
      <w:r w:rsidR="0034042F">
        <w:rPr>
          <w:rFonts w:ascii="Palatino Linotype" w:hAnsi="Palatino Linotype"/>
          <w:sz w:val="24"/>
          <w:szCs w:val="24"/>
        </w:rPr>
        <w:lastRenderedPageBreak/>
        <w:t>adjuntos a la respuesta emitida el veintidós de agosto del año en curso por el Sujeto Obligado.</w:t>
      </w:r>
    </w:p>
    <w:p w:rsidR="0034042F" w:rsidRDefault="0034042F" w:rsidP="002D5D67">
      <w:pPr>
        <w:pStyle w:val="Sinespaciado"/>
        <w:spacing w:line="360" w:lineRule="auto"/>
        <w:jc w:val="both"/>
        <w:rPr>
          <w:rFonts w:ascii="Palatino Linotype" w:hAnsi="Palatino Linotype"/>
          <w:sz w:val="24"/>
          <w:szCs w:val="24"/>
        </w:rPr>
      </w:pPr>
    </w:p>
    <w:p w:rsidR="002D5D67" w:rsidRDefault="0034042F" w:rsidP="002D5D67">
      <w:pPr>
        <w:pStyle w:val="Sinespaciado"/>
        <w:spacing w:line="360" w:lineRule="auto"/>
        <w:jc w:val="both"/>
        <w:rPr>
          <w:rFonts w:ascii="Palatino Linotype" w:hAnsi="Palatino Linotype"/>
          <w:sz w:val="24"/>
          <w:szCs w:val="24"/>
        </w:rPr>
      </w:pPr>
      <w:r>
        <w:rPr>
          <w:rFonts w:ascii="Palatino Linotype" w:hAnsi="Palatino Linotype"/>
          <w:sz w:val="24"/>
          <w:szCs w:val="24"/>
        </w:rPr>
        <w:t>En ese contexto, se debe señalar que</w:t>
      </w:r>
      <w:r w:rsidR="002D5D67">
        <w:rPr>
          <w:rFonts w:ascii="Palatino Linotype" w:hAnsi="Palatino Linotype"/>
          <w:sz w:val="24"/>
          <w:szCs w:val="24"/>
        </w:rPr>
        <w:t xml:space="preserve"> los motivos de inconfo</w:t>
      </w:r>
      <w:r>
        <w:rPr>
          <w:rFonts w:ascii="Palatino Linotype" w:hAnsi="Palatino Linotype"/>
          <w:sz w:val="24"/>
          <w:szCs w:val="24"/>
        </w:rPr>
        <w:t>rmidad no se encaminan a desestimar el contenido de la respuesta</w:t>
      </w:r>
      <w:r w:rsidR="002D5D67">
        <w:rPr>
          <w:rFonts w:ascii="Palatino Linotype" w:hAnsi="Palatino Linotype"/>
          <w:sz w:val="24"/>
          <w:szCs w:val="24"/>
        </w:rPr>
        <w:t xml:space="preserve"> del Sujeto Obligado que </w:t>
      </w:r>
      <w:r>
        <w:rPr>
          <w:rFonts w:ascii="Palatino Linotype" w:hAnsi="Palatino Linotype"/>
          <w:sz w:val="24"/>
          <w:szCs w:val="24"/>
        </w:rPr>
        <w:t>pudieron haberle causado algún agravio al</w:t>
      </w:r>
      <w:r w:rsidR="002D5D67">
        <w:rPr>
          <w:rFonts w:ascii="Palatino Linotype" w:hAnsi="Palatino Linotype"/>
          <w:sz w:val="24"/>
          <w:szCs w:val="24"/>
        </w:rPr>
        <w:t xml:space="preserve"> Recurrente, sino que únicamente </w:t>
      </w:r>
      <w:r>
        <w:rPr>
          <w:rFonts w:ascii="Palatino Linotype" w:hAnsi="Palatino Linotype"/>
          <w:sz w:val="24"/>
          <w:szCs w:val="24"/>
        </w:rPr>
        <w:t>manifestó</w:t>
      </w:r>
      <w:r w:rsidR="002D5D67">
        <w:rPr>
          <w:rFonts w:ascii="Palatino Linotype" w:hAnsi="Palatino Linotype"/>
          <w:sz w:val="24"/>
          <w:szCs w:val="24"/>
        </w:rPr>
        <w:t xml:space="preserve"> que no se </w:t>
      </w:r>
      <w:r>
        <w:rPr>
          <w:rFonts w:ascii="Palatino Linotype" w:hAnsi="Palatino Linotype"/>
          <w:sz w:val="24"/>
          <w:szCs w:val="24"/>
        </w:rPr>
        <w:t xml:space="preserve">había anexado documento alguno a la respuesta a su solicitud. </w:t>
      </w:r>
      <w:r w:rsidR="002D5D67">
        <w:rPr>
          <w:rFonts w:ascii="Palatino Linotype" w:hAnsi="Palatino Linotype"/>
          <w:sz w:val="24"/>
          <w:szCs w:val="24"/>
        </w:rPr>
        <w:t>Por tanto, a juicio de este Instituto las razones o motivos de inconformidad resultan infundados e inoperantes. Para robustecer este argumento es aplicable por analogía las siguientes jurisprudencias emitidas por la Suprema Corte de Justicia de la Nación, identificadas con el número de registro 2012073</w:t>
      </w:r>
      <w:r w:rsidR="002D5D67">
        <w:rPr>
          <w:rStyle w:val="Refdenotaalpie"/>
          <w:rFonts w:ascii="Palatino Linotype" w:hAnsi="Palatino Linotype"/>
          <w:sz w:val="24"/>
          <w:szCs w:val="24"/>
        </w:rPr>
        <w:footnoteReference w:id="2"/>
      </w:r>
      <w:r w:rsidR="002D5D67">
        <w:rPr>
          <w:rFonts w:ascii="Palatino Linotype" w:hAnsi="Palatino Linotype"/>
          <w:sz w:val="24"/>
          <w:szCs w:val="24"/>
        </w:rPr>
        <w:t xml:space="preserve"> y 159947</w:t>
      </w:r>
      <w:r w:rsidR="002D5D67">
        <w:rPr>
          <w:rStyle w:val="Refdenotaalpie"/>
          <w:rFonts w:ascii="Palatino Linotype" w:hAnsi="Palatino Linotype"/>
          <w:sz w:val="24"/>
          <w:szCs w:val="24"/>
        </w:rPr>
        <w:footnoteReference w:id="3"/>
      </w:r>
      <w:r w:rsidR="002D5D67">
        <w:rPr>
          <w:rFonts w:ascii="Palatino Linotype" w:hAnsi="Palatino Linotype"/>
          <w:sz w:val="24"/>
          <w:szCs w:val="24"/>
        </w:rPr>
        <w:t>, respectivamente, que a la letra establecen lo siguiente:</w:t>
      </w:r>
    </w:p>
    <w:p w:rsidR="002D5D67" w:rsidRDefault="002D5D67" w:rsidP="002D5D67">
      <w:pPr>
        <w:pStyle w:val="Sinespaciado"/>
        <w:spacing w:line="360" w:lineRule="auto"/>
        <w:jc w:val="both"/>
        <w:rPr>
          <w:rFonts w:ascii="Palatino Linotype" w:hAnsi="Palatino Linotype"/>
          <w:sz w:val="24"/>
          <w:szCs w:val="24"/>
        </w:rPr>
      </w:pPr>
    </w:p>
    <w:p w:rsidR="002D5D67" w:rsidRPr="003F2B65" w:rsidRDefault="002D5D67" w:rsidP="002D5D67">
      <w:pPr>
        <w:pStyle w:val="Sinespaciado"/>
        <w:ind w:left="567" w:right="567"/>
        <w:jc w:val="both"/>
        <w:rPr>
          <w:rFonts w:ascii="Palatino Linotype" w:hAnsi="Palatino Linotype"/>
          <w:b/>
          <w:i/>
        </w:rPr>
      </w:pPr>
      <w:r w:rsidRPr="003F2B65">
        <w:rPr>
          <w:rFonts w:ascii="Palatino Linotype" w:hAnsi="Palatino Linotype"/>
          <w:b/>
          <w:i/>
        </w:rPr>
        <w:t>CONCEPTOS DE VIOLACIÓN INOPERANTES. SON LOS QUE SE SUSTENTAN EN SITUACIONES, CONSTANCIAS O PRUEBAS INEXISTENTES EN LOS AUTOS DE LOS QUE DERIVÓ EL ACTO RECLAMADO.</w:t>
      </w:r>
    </w:p>
    <w:p w:rsidR="002D5D67" w:rsidRPr="00741C5B" w:rsidRDefault="002D5D67" w:rsidP="002D5D67">
      <w:pPr>
        <w:pStyle w:val="Sinespaciado"/>
        <w:ind w:left="567" w:right="567"/>
        <w:jc w:val="both"/>
        <w:rPr>
          <w:rFonts w:ascii="Palatino Linotype" w:hAnsi="Palatino Linotype"/>
          <w:sz w:val="24"/>
          <w:szCs w:val="24"/>
        </w:rPr>
      </w:pPr>
      <w:r w:rsidRPr="00741C5B">
        <w:rPr>
          <w:rFonts w:ascii="Palatino Linotype" w:hAnsi="Palatino Linotype"/>
          <w:b/>
          <w:i/>
          <w:u w:val="single"/>
        </w:rPr>
        <w:t>Los conceptos de violación deben consistir en razonamientos de carácter lógico jurídico, tendentes a poner de manifiesto que las consideraciones que rigen la</w:t>
      </w:r>
      <w:r w:rsidRPr="003F2B65">
        <w:rPr>
          <w:rFonts w:ascii="Palatino Linotype" w:hAnsi="Palatino Linotype"/>
          <w:i/>
        </w:rPr>
        <w:t xml:space="preserve"> sentencia, laudo o </w:t>
      </w:r>
      <w:r w:rsidRPr="00741C5B">
        <w:rPr>
          <w:rFonts w:ascii="Palatino Linotype" w:hAnsi="Palatino Linotype"/>
          <w:b/>
          <w:i/>
          <w:u w:val="single"/>
        </w:rPr>
        <w:t>resolución reclamada son contrarias a la ley o a su interpretación jurídica</w:t>
      </w:r>
      <w:r w:rsidRPr="003F2B65">
        <w:rPr>
          <w:rFonts w:ascii="Palatino Linotype" w:hAnsi="Palatino Linotype"/>
          <w:i/>
        </w:rPr>
        <w:t xml:space="preserve">; sin embargo, </w:t>
      </w:r>
      <w:r w:rsidRPr="00741C5B">
        <w:rPr>
          <w:rFonts w:ascii="Palatino Linotype" w:hAnsi="Palatino Linotype"/>
          <w:b/>
          <w:i/>
          <w:u w:val="single"/>
        </w:rPr>
        <w:t>cuando esos razonamientos se hacen descansar o parten de situaciones, constancias o pruebas que no obran en los autos de donde emana el acto reclamado, ello torna inoperantes los conceptos, pues el tribunal no cuenta con elementos para determinar si son correctas o no las apreciaciones del quejoso</w:t>
      </w:r>
      <w:r w:rsidRPr="00741C5B">
        <w:rPr>
          <w:rFonts w:ascii="Palatino Linotype" w:hAnsi="Palatino Linotype"/>
          <w:i/>
        </w:rPr>
        <w:t>.</w:t>
      </w:r>
    </w:p>
    <w:p w:rsidR="002D5D67" w:rsidRPr="00741C5B" w:rsidRDefault="002D5D67" w:rsidP="002D5D67">
      <w:pPr>
        <w:pStyle w:val="Sinespaciado"/>
        <w:spacing w:line="360" w:lineRule="auto"/>
        <w:jc w:val="both"/>
        <w:rPr>
          <w:rFonts w:ascii="Palatino Linotype" w:hAnsi="Palatino Linotype"/>
          <w:sz w:val="24"/>
          <w:szCs w:val="24"/>
        </w:rPr>
      </w:pPr>
    </w:p>
    <w:p w:rsidR="002D5D67" w:rsidRPr="006A4A87" w:rsidRDefault="002D5D67" w:rsidP="002D5D67">
      <w:pPr>
        <w:pStyle w:val="Sinespaciado"/>
        <w:ind w:left="567" w:right="567"/>
        <w:jc w:val="both"/>
        <w:rPr>
          <w:rFonts w:ascii="Palatino Linotype" w:hAnsi="Palatino Linotype"/>
          <w:b/>
          <w:i/>
        </w:rPr>
      </w:pPr>
      <w:r w:rsidRPr="006A4A87">
        <w:rPr>
          <w:rFonts w:ascii="Palatino Linotype" w:hAnsi="Palatino Linotype"/>
          <w:b/>
          <w:i/>
        </w:rPr>
        <w:lastRenderedPageBreak/>
        <w:t>AGRAVIOS INOPERANTES. SON AQUELLOS QUE NO COMBATEN TODAS LAS CONSIDERACIONES CONTENIDAS EN LA SENTENCIA RECURRIDA.</w:t>
      </w:r>
    </w:p>
    <w:p w:rsidR="002D5D67" w:rsidRPr="006A4A87" w:rsidRDefault="002D5D67" w:rsidP="002D5D67">
      <w:pPr>
        <w:pStyle w:val="Sinespaciado"/>
        <w:ind w:left="567" w:right="567"/>
        <w:jc w:val="both"/>
        <w:rPr>
          <w:rFonts w:ascii="Palatino Linotype" w:hAnsi="Palatino Linotype"/>
        </w:rPr>
      </w:pPr>
      <w:r w:rsidRPr="006A4A87">
        <w:rPr>
          <w:rFonts w:ascii="Palatino Linotype" w:hAnsi="Palatino Linotype"/>
          <w:b/>
          <w:i/>
          <w:u w:val="single"/>
        </w:rPr>
        <w:t>Ha sido criterio reiterado de esta Suprema Corte de Justicia de la Nación, que los agravios son inoperantes cuando no se combaten todas y cada una de las consideraciones contenidas en la sentencia recurrida</w:t>
      </w:r>
      <w:r w:rsidRPr="006A4A87">
        <w:rPr>
          <w:rFonts w:ascii="Palatino Linotype" w:hAnsi="Palatino Linotype"/>
          <w:i/>
        </w:rPr>
        <w:t>. Ahora bien, desde la anterior Tercera Sala, en su tesis jurisprudencial número 13/90, se sustentó el criterio de que cuando el tribunal de amparo no ciñe su estudio a los conceptos de violación esgrimidos en la demanda, sino que lo amplía en relación a los problemas debatidos, tal actuación no causa ningún agravio al quejoso, ni el juzgador de amparo incurre en irregularidad alguna, sino por el contrario, actúa debidamente al buscar una mejor y más profunda comprensión del problema a dilucidar y la solución más fundada y acertada a las pretensiones aducidas. Por tanto, resulta claro que el recurrente está obligado a impugnar todas y cada una de las consideraciones sustentadas por el tribunal de amparo aun cuando éstas no se ajusten estrictamente a los argumentos esgrimidos como conceptos de violación en el escrito de demanda de amparo.</w:t>
      </w:r>
    </w:p>
    <w:p w:rsidR="002D5D67" w:rsidRDefault="002D5D67" w:rsidP="002D5D67">
      <w:pPr>
        <w:pStyle w:val="Sinespaciado"/>
        <w:spacing w:line="360" w:lineRule="auto"/>
        <w:jc w:val="both"/>
        <w:rPr>
          <w:rFonts w:ascii="Palatino Linotype" w:hAnsi="Palatino Linotype"/>
          <w:sz w:val="24"/>
          <w:szCs w:val="24"/>
        </w:rPr>
      </w:pPr>
    </w:p>
    <w:p w:rsidR="004B5E7C" w:rsidRDefault="00A70D00"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No obstante lo anterior, cabe señalar que en el archivo denominado </w:t>
      </w:r>
      <w:r w:rsidRPr="00A70D00">
        <w:rPr>
          <w:rFonts w:ascii="Palatino Linotype" w:hAnsi="Palatino Linotype"/>
          <w:b/>
          <w:sz w:val="24"/>
          <w:szCs w:val="24"/>
        </w:rPr>
        <w:t>“369.pdf”</w:t>
      </w:r>
      <w:r>
        <w:rPr>
          <w:rFonts w:ascii="Palatino Linotype" w:hAnsi="Palatino Linotype"/>
          <w:sz w:val="24"/>
          <w:szCs w:val="24"/>
        </w:rPr>
        <w:t xml:space="preserve">, ell Sujeto Obligado hace del conocimiento del Recurrente que, respecto de las políticas para ayudar al medio ambiente”, el ocho de febrero del año en curso se emitieron las “Medidas de Austeridad y Contención al Gasto Público del Poder Ejecutivo </w:t>
      </w:r>
      <w:r w:rsidR="004E2FA6">
        <w:rPr>
          <w:rFonts w:ascii="Palatino Linotype" w:hAnsi="Palatino Linotype"/>
          <w:sz w:val="24"/>
          <w:szCs w:val="24"/>
        </w:rPr>
        <w:t>del Gobierno del Estado de México” en las que se implementaron acciones tendientes a la protección del medio ambiente, referentes a fotocopiado, papelería, artículos de oficina y material de impresión, así como respecto a la energía eléctrica y agua potable.</w:t>
      </w:r>
    </w:p>
    <w:p w:rsidR="004E2FA6" w:rsidRDefault="004E2FA6" w:rsidP="00DA45C4">
      <w:pPr>
        <w:pStyle w:val="Sinespaciado"/>
        <w:spacing w:line="360" w:lineRule="auto"/>
        <w:jc w:val="both"/>
        <w:rPr>
          <w:rFonts w:ascii="Palatino Linotype" w:hAnsi="Palatino Linotype"/>
          <w:sz w:val="24"/>
          <w:szCs w:val="24"/>
        </w:rPr>
      </w:pPr>
    </w:p>
    <w:p w:rsidR="00193991" w:rsidRPr="00193991" w:rsidRDefault="004E2FA6" w:rsidP="00FA55D2">
      <w:pPr>
        <w:pStyle w:val="Sinespaciado"/>
        <w:spacing w:line="360" w:lineRule="auto"/>
        <w:jc w:val="both"/>
        <w:rPr>
          <w:rFonts w:ascii="Palatino Linotype" w:hAnsi="Palatino Linotype" w:cs="Arial"/>
          <w:sz w:val="24"/>
          <w:szCs w:val="24"/>
          <w:lang w:eastAsia="es-MX"/>
        </w:rPr>
      </w:pPr>
      <w:r>
        <w:rPr>
          <w:rFonts w:ascii="Palatino Linotype" w:hAnsi="Palatino Linotype"/>
          <w:sz w:val="24"/>
          <w:szCs w:val="24"/>
        </w:rPr>
        <w:t xml:space="preserve">De tal forma que el documento presentado por el Sujeto Obligado </w:t>
      </w:r>
      <w:r w:rsidR="00FA55D2">
        <w:rPr>
          <w:rFonts w:ascii="Palatino Linotype" w:hAnsi="Palatino Linotype"/>
          <w:sz w:val="24"/>
          <w:szCs w:val="24"/>
        </w:rPr>
        <w:t xml:space="preserve">hace referencia a las políticas referidas por el Recurrente; así que se está ante un pronunciamiento realizado por el Sujeto Obligado relativo a las pretensiones del particular, por tanto </w:t>
      </w:r>
      <w:r w:rsidR="00193991" w:rsidRPr="00193991">
        <w:rPr>
          <w:rFonts w:ascii="Palatino Linotype" w:hAnsi="Palatino Linotype" w:cs="Arial"/>
          <w:sz w:val="24"/>
          <w:szCs w:val="24"/>
          <w:lang w:eastAsia="es-MX"/>
        </w:rPr>
        <w:t xml:space="preserve">este Órgano Garante estima conveniente señalar que no está facultado para manifestarse sobre la veracidad de la información proporcionada, ya que no existe precepto legal alguna en </w:t>
      </w:r>
      <w:r w:rsidR="00193991" w:rsidRPr="00193991">
        <w:rPr>
          <w:rFonts w:ascii="Palatino Linotype" w:hAnsi="Palatino Linotype" w:cs="Arial"/>
          <w:sz w:val="24"/>
          <w:szCs w:val="24"/>
          <w:lang w:eastAsia="es-MX"/>
        </w:rPr>
        <w:lastRenderedPageBreak/>
        <w:t>la Ley de la Materia que permita, vía recurso de revisión, que se pronuncie al respecto. Por analogía, sirve de apoyo a lo anterior el Criterio 31-10 emitido por el entonces Instituto Federal de Accesos a la Información y Protección de Datos, que a la letra establece</w:t>
      </w:r>
    </w:p>
    <w:p w:rsidR="00193991" w:rsidRPr="00193991" w:rsidRDefault="00193991" w:rsidP="00193991">
      <w:pPr>
        <w:spacing w:after="0" w:line="240" w:lineRule="auto"/>
        <w:rPr>
          <w:rFonts w:ascii="Palatino Linotype" w:hAnsi="Palatino Linotype"/>
          <w:sz w:val="24"/>
          <w:szCs w:val="24"/>
          <w:lang w:eastAsia="es-MX"/>
        </w:rPr>
      </w:pPr>
    </w:p>
    <w:p w:rsidR="00193991" w:rsidRPr="00193991" w:rsidRDefault="00193991" w:rsidP="00193991">
      <w:pPr>
        <w:spacing w:line="240" w:lineRule="auto"/>
        <w:ind w:left="567" w:right="567"/>
        <w:jc w:val="both"/>
        <w:rPr>
          <w:rFonts w:ascii="Palatino Linotype" w:hAnsi="Palatino Linotype" w:cs="Arial"/>
          <w:i/>
          <w:lang w:eastAsia="es-MX"/>
        </w:rPr>
      </w:pPr>
      <w:r w:rsidRPr="00193991">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193991">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193991" w:rsidRDefault="00193991" w:rsidP="00DA45C4">
      <w:pPr>
        <w:pStyle w:val="Sinespaciado"/>
        <w:spacing w:line="360" w:lineRule="auto"/>
        <w:jc w:val="both"/>
        <w:rPr>
          <w:rFonts w:ascii="Palatino Linotype" w:hAnsi="Palatino Linotype"/>
          <w:sz w:val="24"/>
          <w:szCs w:val="24"/>
        </w:rPr>
      </w:pPr>
    </w:p>
    <w:p w:rsidR="00FA55D2" w:rsidRDefault="00FA55D2"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Consecuentemente, dado que el pronunciamiento hecho por el Sujeto Obligado </w:t>
      </w:r>
      <w:r w:rsidR="00A11244">
        <w:rPr>
          <w:rFonts w:ascii="Palatino Linotype" w:hAnsi="Palatino Linotype"/>
          <w:sz w:val="24"/>
          <w:szCs w:val="24"/>
        </w:rPr>
        <w:t>respondió a lo solicitado por el R</w:t>
      </w:r>
      <w:r w:rsidR="00DB199F">
        <w:rPr>
          <w:rFonts w:ascii="Palatino Linotype" w:hAnsi="Palatino Linotype"/>
          <w:sz w:val="24"/>
          <w:szCs w:val="24"/>
        </w:rPr>
        <w:t>ecurrente y que é</w:t>
      </w:r>
      <w:r w:rsidR="00A11244">
        <w:rPr>
          <w:rFonts w:ascii="Palatino Linotype" w:hAnsi="Palatino Linotype"/>
          <w:sz w:val="24"/>
          <w:szCs w:val="24"/>
        </w:rPr>
        <w:t xml:space="preserve">ste no realizó manifestación alguna en su recurso de revisión que se encaminara a demostrar que la respuesta otorgada por la autoridad vulneraba </w:t>
      </w:r>
      <w:r w:rsidR="00DB199F">
        <w:rPr>
          <w:rFonts w:ascii="Palatino Linotype" w:hAnsi="Palatino Linotype"/>
          <w:sz w:val="24"/>
          <w:szCs w:val="24"/>
        </w:rPr>
        <w:t>su derecho de acceso a la inform</w:t>
      </w:r>
      <w:bookmarkStart w:id="0" w:name="_GoBack"/>
      <w:bookmarkEnd w:id="0"/>
      <w:r w:rsidR="00DB199F">
        <w:rPr>
          <w:rFonts w:ascii="Palatino Linotype" w:hAnsi="Palatino Linotype"/>
          <w:sz w:val="24"/>
          <w:szCs w:val="24"/>
        </w:rPr>
        <w:t>ación pública, sino que exclusivamente se centró en señalar que no se había anexado ningún archivo a la respuesta –lo cual ya se demostró que resultó erróneo–, este Órgano Garante considera que las razones o motivos de inconformidad del Recurrente son infundados, por lo que es procedente confirmar la respuesta del Sujeto Obligado.</w:t>
      </w:r>
    </w:p>
    <w:p w:rsidR="00FA55D2" w:rsidRPr="00193991" w:rsidRDefault="00FA55D2" w:rsidP="00DA45C4">
      <w:pPr>
        <w:pStyle w:val="Sinespaciado"/>
        <w:spacing w:line="360" w:lineRule="auto"/>
        <w:jc w:val="both"/>
        <w:rPr>
          <w:rFonts w:ascii="Palatino Linotype" w:hAnsi="Palatino Linotype"/>
          <w:sz w:val="24"/>
          <w:szCs w:val="24"/>
        </w:rPr>
      </w:pPr>
    </w:p>
    <w:p w:rsidR="00EF4D17" w:rsidRPr="0014447C"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en mérito de lo expuesto en líneas anteriores </w:t>
      </w:r>
      <w:r w:rsidRPr="0014447C">
        <w:rPr>
          <w:rFonts w:ascii="Palatino Linotype" w:hAnsi="Palatino Linotype"/>
          <w:noProof/>
          <w:sz w:val="24"/>
          <w:szCs w:val="24"/>
          <w:lang w:eastAsia="es-MX"/>
        </w:rPr>
        <w:t>resultan infundadas las razones o motivo</w:t>
      </w:r>
      <w:r w:rsidR="002E2D4C">
        <w:rPr>
          <w:rFonts w:ascii="Palatino Linotype" w:hAnsi="Palatino Linotype"/>
          <w:noProof/>
          <w:sz w:val="24"/>
          <w:szCs w:val="24"/>
          <w:lang w:eastAsia="es-MX"/>
        </w:rPr>
        <w:t>s de inconf</w:t>
      </w:r>
      <w:r w:rsidR="00285899">
        <w:rPr>
          <w:rFonts w:ascii="Palatino Linotype" w:hAnsi="Palatino Linotype"/>
          <w:noProof/>
          <w:sz w:val="24"/>
          <w:szCs w:val="24"/>
          <w:lang w:eastAsia="es-MX"/>
        </w:rPr>
        <w:t>ormidad que arguye el</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a la solicitud de información pública </w:t>
      </w:r>
      <w:r w:rsidR="00EE03F5">
        <w:rPr>
          <w:rFonts w:ascii="Palatino Linotype" w:hAnsi="Palatino Linotype"/>
          <w:b/>
          <w:sz w:val="24"/>
          <w:szCs w:val="24"/>
        </w:rPr>
        <w:t>00</w:t>
      </w:r>
      <w:r w:rsidR="00285899">
        <w:rPr>
          <w:rFonts w:ascii="Palatino Linotype" w:hAnsi="Palatino Linotype"/>
          <w:b/>
          <w:sz w:val="24"/>
          <w:szCs w:val="24"/>
        </w:rPr>
        <w:t>328/ISEM</w:t>
      </w:r>
      <w:r w:rsidR="00BC55DA">
        <w:rPr>
          <w:rFonts w:ascii="Palatino Linotype" w:hAnsi="Palatino Linotype"/>
          <w:b/>
          <w:sz w:val="24"/>
          <w:szCs w:val="24"/>
        </w:rPr>
        <w:t>/IP/2019</w:t>
      </w:r>
      <w:r w:rsidRPr="0014447C">
        <w:rPr>
          <w:rFonts w:ascii="Palatino Linotype" w:hAnsi="Palatino Linotype"/>
          <w:bCs/>
          <w:sz w:val="24"/>
          <w:szCs w:val="24"/>
        </w:rPr>
        <w:t xml:space="preserve"> que ha sido materia del presente fallo</w:t>
      </w:r>
      <w:r w:rsidRPr="0014447C">
        <w:rPr>
          <w:rFonts w:ascii="Palatino Linotype" w:hAnsi="Palatino Linotype"/>
          <w:sz w:val="24"/>
          <w:szCs w:val="24"/>
        </w:rPr>
        <w:t>, por lo que este Pleno:</w:t>
      </w:r>
    </w:p>
    <w:p w:rsidR="00EF4D17" w:rsidRPr="0014447C" w:rsidRDefault="00EF4D17"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AD4AD8" w:rsidRPr="0014447C" w:rsidRDefault="00AD4AD8" w:rsidP="0014447C">
      <w:pPr>
        <w:pStyle w:val="Sinespaciado"/>
        <w:spacing w:line="360" w:lineRule="auto"/>
        <w:jc w:val="center"/>
        <w:rPr>
          <w:rFonts w:ascii="Palatino Linotype" w:hAnsi="Palatino Linotype"/>
          <w:b/>
          <w:sz w:val="28"/>
          <w:szCs w:val="28"/>
        </w:rPr>
      </w:pPr>
    </w:p>
    <w:p w:rsidR="00EF4D17" w:rsidRPr="00C90CE9" w:rsidRDefault="00EF4D17" w:rsidP="0014447C">
      <w:pPr>
        <w:pStyle w:val="Sinespaciado"/>
        <w:spacing w:line="360" w:lineRule="auto"/>
        <w:jc w:val="both"/>
        <w:rPr>
          <w:rFonts w:ascii="Palatino Linotype" w:hAnsi="Palatino Linotype"/>
          <w:b/>
          <w:sz w:val="2"/>
          <w:szCs w:val="24"/>
        </w:rPr>
      </w:pPr>
    </w:p>
    <w:p w:rsidR="00EF4D17" w:rsidRPr="00106160" w:rsidRDefault="00EF4D17" w:rsidP="0014447C">
      <w:pPr>
        <w:pStyle w:val="Sinespaciado"/>
        <w:spacing w:line="360" w:lineRule="auto"/>
        <w:jc w:val="both"/>
        <w:rPr>
          <w:rFonts w:ascii="Palatino Linotype" w:hAnsi="Palatino Linotype"/>
          <w:sz w:val="24"/>
          <w:szCs w:val="24"/>
        </w:rPr>
      </w:pPr>
      <w:r w:rsidRPr="00106160">
        <w:rPr>
          <w:rFonts w:ascii="Palatino Linotype" w:hAnsi="Palatino Linotype"/>
          <w:b/>
          <w:sz w:val="24"/>
          <w:szCs w:val="24"/>
        </w:rPr>
        <w:t xml:space="preserve">PRIMERO. </w:t>
      </w:r>
      <w:r w:rsidRPr="00106160">
        <w:rPr>
          <w:rFonts w:ascii="Palatino Linotype" w:hAnsi="Palatino Linotype"/>
          <w:sz w:val="24"/>
          <w:szCs w:val="24"/>
        </w:rPr>
        <w:t xml:space="preserve">Se </w:t>
      </w:r>
      <w:r w:rsidRPr="00106160">
        <w:rPr>
          <w:rFonts w:ascii="Palatino Linotype" w:hAnsi="Palatino Linotype"/>
          <w:b/>
          <w:sz w:val="24"/>
          <w:szCs w:val="24"/>
        </w:rPr>
        <w:t>CONFIRMA</w:t>
      </w:r>
      <w:r w:rsidRPr="00106160">
        <w:rPr>
          <w:rFonts w:ascii="Palatino Linotype" w:hAnsi="Palatino Linotype"/>
          <w:sz w:val="24"/>
          <w:szCs w:val="24"/>
        </w:rPr>
        <w:t xml:space="preserve"> la respuesta del Sujeto Obligado</w:t>
      </w:r>
      <w:r w:rsidRPr="00106160">
        <w:rPr>
          <w:rFonts w:ascii="Palatino Linotype" w:hAnsi="Palatino Linotype"/>
          <w:b/>
          <w:sz w:val="24"/>
          <w:szCs w:val="24"/>
        </w:rPr>
        <w:t xml:space="preserve"> </w:t>
      </w:r>
      <w:r w:rsidRPr="00106160">
        <w:rPr>
          <w:rFonts w:ascii="Palatino Linotype" w:hAnsi="Palatino Linotype"/>
          <w:bCs/>
          <w:sz w:val="24"/>
          <w:szCs w:val="24"/>
        </w:rPr>
        <w:t xml:space="preserve">a la solicitud de información </w:t>
      </w:r>
      <w:r w:rsidR="00285899" w:rsidRPr="00285899">
        <w:rPr>
          <w:rFonts w:ascii="Palatino Linotype" w:hAnsi="Palatino Linotype"/>
          <w:b/>
          <w:sz w:val="24"/>
          <w:szCs w:val="24"/>
        </w:rPr>
        <w:t>00328/ISEM/IP/2019</w:t>
      </w:r>
      <w:r w:rsidR="00285899" w:rsidRPr="00285899">
        <w:rPr>
          <w:rFonts w:ascii="Palatino Linotype" w:hAnsi="Palatino Linotype"/>
          <w:b/>
          <w:bCs/>
          <w:sz w:val="24"/>
          <w:szCs w:val="24"/>
        </w:rPr>
        <w:t xml:space="preserve"> </w:t>
      </w:r>
      <w:r w:rsidRPr="00106160">
        <w:rPr>
          <w:rFonts w:ascii="Palatino Linotype" w:hAnsi="Palatino Linotype"/>
          <w:sz w:val="24"/>
          <w:szCs w:val="24"/>
        </w:rPr>
        <w:t>por resultar infundadas las razones o motivos de i</w:t>
      </w:r>
      <w:r w:rsidR="006A4A87">
        <w:rPr>
          <w:rFonts w:ascii="Palatino Linotype" w:hAnsi="Palatino Linotype"/>
          <w:sz w:val="24"/>
          <w:szCs w:val="24"/>
        </w:rPr>
        <w:t>nconformidad hechos valer por la</w:t>
      </w:r>
      <w:r w:rsidRPr="00106160">
        <w:rPr>
          <w:rFonts w:ascii="Palatino Linotype" w:hAnsi="Palatino Linotype"/>
          <w:sz w:val="24"/>
          <w:szCs w:val="24"/>
        </w:rPr>
        <w:t xml:space="preserve"> Recurrente, en términos del Considerando </w:t>
      </w:r>
      <w:r w:rsidR="00BC64D4" w:rsidRPr="00106160">
        <w:rPr>
          <w:rFonts w:ascii="Palatino Linotype" w:hAnsi="Palatino Linotype"/>
          <w:b/>
          <w:sz w:val="24"/>
          <w:szCs w:val="24"/>
        </w:rPr>
        <w:t>CUARTO</w:t>
      </w:r>
      <w:r w:rsidRPr="00106160">
        <w:rPr>
          <w:rFonts w:ascii="Palatino Linotype" w:hAnsi="Palatino Linotype"/>
          <w:b/>
          <w:sz w:val="24"/>
          <w:szCs w:val="24"/>
        </w:rPr>
        <w:t xml:space="preserve"> </w:t>
      </w:r>
      <w:r w:rsidRPr="00106160">
        <w:rPr>
          <w:rFonts w:ascii="Palatino Linotype" w:hAnsi="Palatino Linotype"/>
          <w:sz w:val="24"/>
          <w:szCs w:val="24"/>
        </w:rPr>
        <w:t>de esta resolución.</w:t>
      </w:r>
    </w:p>
    <w:p w:rsidR="00EF4D17" w:rsidRPr="00106160" w:rsidRDefault="00EF4D17" w:rsidP="0014447C">
      <w:pPr>
        <w:pStyle w:val="Sinespaciado"/>
        <w:spacing w:line="360" w:lineRule="auto"/>
        <w:jc w:val="both"/>
        <w:rPr>
          <w:rFonts w:ascii="Palatino Linotype" w:hAnsi="Palatino Linotype"/>
          <w:sz w:val="24"/>
          <w:szCs w:val="24"/>
        </w:rPr>
      </w:pPr>
    </w:p>
    <w:p w:rsidR="00EF4D17" w:rsidRPr="006E6394" w:rsidRDefault="006E6394" w:rsidP="0014447C">
      <w:pPr>
        <w:pStyle w:val="Sinespaciado"/>
        <w:spacing w:line="360" w:lineRule="auto"/>
        <w:jc w:val="both"/>
        <w:rPr>
          <w:rFonts w:ascii="Palatino Linotype" w:hAnsi="Palatino Linotype"/>
          <w:sz w:val="24"/>
          <w:szCs w:val="24"/>
        </w:rPr>
      </w:pPr>
      <w:r w:rsidRPr="006E6394">
        <w:rPr>
          <w:rFonts w:ascii="Palatino Linotype" w:hAnsi="Palatino Linotype"/>
          <w:b/>
          <w:sz w:val="24"/>
          <w:szCs w:val="24"/>
        </w:rPr>
        <w:t>SEGUNDO.</w:t>
      </w:r>
      <w:r w:rsidRPr="006E6394">
        <w:rPr>
          <w:rFonts w:ascii="Palatino Linotype" w:hAnsi="Palatino Linotype"/>
          <w:sz w:val="24"/>
          <w:szCs w:val="24"/>
        </w:rPr>
        <w:t xml:space="preserve"> </w:t>
      </w:r>
      <w:r w:rsidRPr="006E6394">
        <w:rPr>
          <w:rFonts w:ascii="Palatino Linotype" w:hAnsi="Palatino Linotype"/>
          <w:b/>
          <w:sz w:val="24"/>
          <w:szCs w:val="24"/>
        </w:rPr>
        <w:t>NOTIFÍQUESE</w:t>
      </w:r>
      <w:r w:rsidRPr="006E6394">
        <w:rPr>
          <w:rFonts w:ascii="Palatino Linotype" w:hAnsi="Palatino Linotype"/>
          <w:sz w:val="24"/>
          <w:szCs w:val="24"/>
        </w:rPr>
        <w:t xml:space="preserve"> la presente resolución vía SAIMEX al Titular de la Unidad de Transparencia del Sujeto Obligado.</w:t>
      </w:r>
    </w:p>
    <w:p w:rsidR="00EF4D17" w:rsidRPr="006E6394" w:rsidRDefault="00EF4D17"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TERCERO.</w:t>
      </w:r>
      <w:r w:rsidRPr="0014447C">
        <w:rPr>
          <w:rFonts w:ascii="Palatino Linotype" w:hAnsi="Palatino Linotype"/>
          <w:sz w:val="24"/>
          <w:szCs w:val="24"/>
        </w:rPr>
        <w:t xml:space="preserve"> </w:t>
      </w:r>
      <w:r w:rsidRPr="0014447C">
        <w:rPr>
          <w:rFonts w:ascii="Palatino Linotype" w:hAnsi="Palatino Linotype"/>
          <w:b/>
          <w:sz w:val="24"/>
          <w:szCs w:val="24"/>
        </w:rPr>
        <w:t>NOTIFÍQUESE</w:t>
      </w:r>
      <w:r w:rsidRPr="0014447C">
        <w:rPr>
          <w:rFonts w:ascii="Palatino Linotype" w:hAnsi="Palatino Linotype"/>
          <w:sz w:val="24"/>
          <w:szCs w:val="24"/>
        </w:rPr>
        <w:t xml:space="preserve"> a</w:t>
      </w:r>
      <w:r w:rsidR="006A4A87">
        <w:rPr>
          <w:rFonts w:ascii="Palatino Linotype" w:hAnsi="Palatino Linotype"/>
          <w:sz w:val="24"/>
          <w:szCs w:val="24"/>
        </w:rPr>
        <w:t xml:space="preserve"> </w:t>
      </w:r>
      <w:r w:rsidR="00C10AAE">
        <w:rPr>
          <w:rFonts w:ascii="Palatino Linotype" w:hAnsi="Palatino Linotype"/>
          <w:sz w:val="24"/>
          <w:szCs w:val="24"/>
        </w:rPr>
        <w:t>l</w:t>
      </w:r>
      <w:r w:rsidR="006A4A87">
        <w:rPr>
          <w:rFonts w:ascii="Palatino Linotype" w:hAnsi="Palatino Linotype"/>
          <w:sz w:val="24"/>
          <w:szCs w:val="24"/>
        </w:rPr>
        <w:t>a</w:t>
      </w:r>
      <w:r w:rsidRPr="0014447C">
        <w:rPr>
          <w:rFonts w:ascii="Palatino Linotype" w:hAnsi="Palatino Linotype"/>
          <w:sz w:val="24"/>
          <w:szCs w:val="24"/>
        </w:rPr>
        <w:t xml:space="preserve"> Recurrente</w:t>
      </w:r>
      <w:r w:rsidRPr="0014447C">
        <w:rPr>
          <w:rFonts w:ascii="Palatino Linotype" w:hAnsi="Palatino Linotype"/>
          <w:b/>
          <w:sz w:val="24"/>
          <w:szCs w:val="24"/>
        </w:rPr>
        <w:t xml:space="preserve"> </w:t>
      </w:r>
      <w:r w:rsidRPr="0014447C">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D14E3B" w:rsidRPr="00C911DE" w:rsidRDefault="00D14E3B" w:rsidP="0014447C">
      <w:pPr>
        <w:pStyle w:val="Sinespaciado"/>
        <w:spacing w:line="360" w:lineRule="auto"/>
        <w:jc w:val="both"/>
        <w:rPr>
          <w:rFonts w:ascii="Palatino Linotype" w:hAnsi="Palatino Linotype"/>
          <w:sz w:val="24"/>
          <w:szCs w:val="24"/>
        </w:rPr>
      </w:pPr>
    </w:p>
    <w:p w:rsidR="006D254A"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w:t>
      </w:r>
      <w:r w:rsidR="00427FEA">
        <w:rPr>
          <w:rFonts w:ascii="Palatino Linotype" w:hAnsi="Palatino Linotype"/>
          <w:sz w:val="24"/>
          <w:szCs w:val="24"/>
        </w:rPr>
        <w:t>,</w:t>
      </w:r>
      <w:r w:rsidRPr="0014447C">
        <w:rPr>
          <w:rFonts w:ascii="Palatino Linotype" w:hAnsi="Palatino Linotype"/>
          <w:sz w:val="24"/>
          <w:szCs w:val="24"/>
        </w:rPr>
        <w:t xml:space="preserve">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DA3C0E">
        <w:rPr>
          <w:rFonts w:ascii="Palatino Linotype" w:hAnsi="Palatino Linotype"/>
          <w:sz w:val="24"/>
          <w:szCs w:val="24"/>
        </w:rPr>
        <w:t>CUADRAGÉSIMA</w:t>
      </w:r>
      <w:r w:rsidR="003D2A1C">
        <w:rPr>
          <w:rFonts w:ascii="Palatino Linotype" w:hAnsi="Palatino Linotype"/>
          <w:sz w:val="24"/>
          <w:szCs w:val="24"/>
        </w:rPr>
        <w:t xml:space="preserve"> </w:t>
      </w:r>
      <w:r w:rsidR="00DA3C0E">
        <w:rPr>
          <w:rFonts w:ascii="Palatino Linotype" w:hAnsi="Palatino Linotype"/>
          <w:sz w:val="24"/>
          <w:szCs w:val="24"/>
        </w:rPr>
        <w:t>SESIÓN ORDINARIA CELEBRADA EL TREINTA</w:t>
      </w:r>
      <w:r w:rsidR="00771503">
        <w:rPr>
          <w:rFonts w:ascii="Palatino Linotype" w:hAnsi="Palatino Linotype"/>
          <w:sz w:val="24"/>
          <w:szCs w:val="24"/>
        </w:rPr>
        <w:t xml:space="preserve"> DE </w:t>
      </w:r>
      <w:r w:rsidR="007931B9">
        <w:rPr>
          <w:rFonts w:ascii="Palatino Linotype" w:hAnsi="Palatino Linotype"/>
          <w:sz w:val="24"/>
          <w:szCs w:val="24"/>
        </w:rPr>
        <w:t>OCTUBRE</w:t>
      </w:r>
      <w:r w:rsidR="003D2A1C">
        <w:rPr>
          <w:rFonts w:ascii="Palatino Linotype" w:hAnsi="Palatino Linotype"/>
          <w:sz w:val="24"/>
          <w:szCs w:val="24"/>
        </w:rPr>
        <w:t xml:space="preserve">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F91340">
        <w:rPr>
          <w:rFonts w:ascii="Palatino Linotype" w:hAnsi="Palatino Linotype"/>
          <w:sz w:val="24"/>
          <w:szCs w:val="24"/>
        </w:rPr>
        <w:t>------</w:t>
      </w:r>
      <w:r w:rsidR="00C911DE">
        <w:rPr>
          <w:rFonts w:ascii="Palatino Linotype" w:hAnsi="Palatino Linotype"/>
          <w:sz w:val="24"/>
          <w:szCs w:val="24"/>
        </w:rPr>
        <w:t>-------------------------------------------------------------------------------------------------------------------------------------------------------------------------------------------------------------</w:t>
      </w:r>
      <w:r w:rsidR="00741C5B">
        <w:rPr>
          <w:rFonts w:ascii="Palatino Linotype" w:hAnsi="Palatino Linotype"/>
          <w:sz w:val="24"/>
          <w:szCs w:val="24"/>
        </w:rPr>
        <w:t>----------</w:t>
      </w:r>
      <w:r w:rsidR="007931B9">
        <w:rPr>
          <w:rFonts w:ascii="Palatino Linotype" w:hAnsi="Palatino Linotype"/>
          <w:sz w:val="24"/>
          <w:szCs w:val="24"/>
        </w:rPr>
        <w:t>---------------------</w:t>
      </w:r>
      <w:r w:rsidR="00285899">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9330E9" w:rsidP="00C10AAE">
            <w:pPr>
              <w:pStyle w:val="Sinespaciado"/>
              <w:jc w:val="center"/>
              <w:rPr>
                <w:rFonts w:ascii="Palatino Linotype" w:hAnsi="Palatino Linotype"/>
                <w:sz w:val="24"/>
                <w:szCs w:val="24"/>
              </w:rPr>
            </w:pPr>
            <w:r>
              <w:rPr>
                <w:rFonts w:ascii="Palatino Linotype" w:hAnsi="Palatino Linotype"/>
                <w:sz w:val="24"/>
                <w:szCs w:val="24"/>
              </w:rPr>
              <w:t>(Rubrica</w:t>
            </w:r>
            <w:r w:rsidR="00D57072" w:rsidRPr="006149F1">
              <w:rPr>
                <w:rFonts w:ascii="Palatino Linotype" w:hAnsi="Palatino Linotype"/>
                <w:sz w:val="24"/>
                <w:szCs w:val="24"/>
              </w:rPr>
              <w:t>)</w:t>
            </w:r>
          </w:p>
        </w:tc>
        <w:tc>
          <w:tcPr>
            <w:tcW w:w="4531" w:type="dxa"/>
          </w:tcPr>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006849" w:rsidRDefault="00006849"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771503"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6149F1">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006849" w:rsidRDefault="00006849"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771503"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Pr>
                <w:rFonts w:ascii="Palatino Linotype" w:hAnsi="Palatino Linotype"/>
                <w:sz w:val="24"/>
                <w:szCs w:val="24"/>
              </w:rPr>
              <w:t>)</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Default="00006849" w:rsidP="00C10AAE">
            <w:pPr>
              <w:pStyle w:val="Sinespaciado"/>
              <w:jc w:val="both"/>
              <w:rPr>
                <w:rFonts w:ascii="Palatino Linotype" w:hAnsi="Palatino Linotype"/>
                <w:b/>
                <w:sz w:val="24"/>
                <w:szCs w:val="24"/>
              </w:rPr>
            </w:pPr>
          </w:p>
          <w:p w:rsidR="00C911DE" w:rsidRPr="006149F1" w:rsidRDefault="00C911D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106160" w:rsidRPr="006A4A87"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DA3C0E">
        <w:rPr>
          <w:rFonts w:ascii="Palatino Linotype" w:hAnsi="Palatino Linotype"/>
          <w:sz w:val="16"/>
          <w:szCs w:val="16"/>
        </w:rPr>
        <w:t>treinta</w:t>
      </w:r>
      <w:r w:rsidR="00122D78">
        <w:rPr>
          <w:rFonts w:ascii="Palatino Linotype" w:hAnsi="Palatino Linotype"/>
          <w:sz w:val="16"/>
          <w:szCs w:val="16"/>
        </w:rPr>
        <w:t xml:space="preserve"> de octubre</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DA3C0E">
        <w:rPr>
          <w:rFonts w:ascii="Palatino Linotype" w:hAnsi="Palatino Linotype"/>
          <w:bCs/>
          <w:sz w:val="16"/>
          <w:szCs w:val="16"/>
          <w:lang w:eastAsia="es-MX"/>
        </w:rPr>
        <w:t>06845</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DF7" w:rsidRDefault="00B55DF7" w:rsidP="007E2E80">
      <w:pPr>
        <w:spacing w:after="0" w:line="240" w:lineRule="auto"/>
      </w:pPr>
      <w:r>
        <w:separator/>
      </w:r>
    </w:p>
  </w:endnote>
  <w:endnote w:type="continuationSeparator" w:id="0">
    <w:p w:rsidR="00B55DF7" w:rsidRDefault="00B55DF7"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053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80539">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F5B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F5B28">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DF7" w:rsidRDefault="00B55DF7" w:rsidP="007E2E80">
      <w:pPr>
        <w:spacing w:after="0" w:line="240" w:lineRule="auto"/>
      </w:pPr>
      <w:r>
        <w:separator/>
      </w:r>
    </w:p>
  </w:footnote>
  <w:footnote w:type="continuationSeparator" w:id="0">
    <w:p w:rsidR="00B55DF7" w:rsidRDefault="00B55DF7" w:rsidP="007E2E80">
      <w:pPr>
        <w:spacing w:after="0" w:line="240" w:lineRule="auto"/>
      </w:pPr>
      <w:r>
        <w:continuationSeparator/>
      </w:r>
    </w:p>
  </w:footnote>
  <w:footnote w:id="1">
    <w:p w:rsidR="00D77F62" w:rsidRPr="00615B4B" w:rsidRDefault="00D77F6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77F62" w:rsidRPr="00615B4B" w:rsidRDefault="00D77F6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D5D67" w:rsidRPr="003F2B65" w:rsidRDefault="002D5D67" w:rsidP="002D5D67">
      <w:pPr>
        <w:pStyle w:val="Textonotapie"/>
        <w:rPr>
          <w:rFonts w:ascii="Palatino Linotype" w:hAnsi="Palatino Linotype"/>
        </w:rPr>
      </w:pPr>
      <w:r>
        <w:rPr>
          <w:rStyle w:val="Refdenotaalpie"/>
        </w:rPr>
        <w:footnoteRef/>
      </w:r>
      <w:r>
        <w:t xml:space="preserve"> </w:t>
      </w:r>
      <w:r>
        <w:rPr>
          <w:rFonts w:ascii="Palatino Linotype" w:hAnsi="Palatino Linotype"/>
        </w:rPr>
        <w:t xml:space="preserve">Tesis XVII. 1o. C.T. J/6 (10a.), </w:t>
      </w:r>
      <w:r>
        <w:rPr>
          <w:rFonts w:ascii="Palatino Linotype" w:hAnsi="Palatino Linotype"/>
          <w:i/>
        </w:rPr>
        <w:t>Gaceta del Semanario Judicial de la Federación</w:t>
      </w:r>
      <w:r>
        <w:rPr>
          <w:rFonts w:ascii="Palatino Linotype" w:hAnsi="Palatino Linotype"/>
        </w:rPr>
        <w:t xml:space="preserve">, Décima Época, t III, julio de 2016, p. 1827 </w:t>
      </w:r>
    </w:p>
  </w:footnote>
  <w:footnote w:id="3">
    <w:p w:rsidR="002D5D67" w:rsidRPr="006C04C7" w:rsidRDefault="002D5D67" w:rsidP="002D5D67">
      <w:pPr>
        <w:pStyle w:val="Textonotapie"/>
        <w:jc w:val="both"/>
        <w:rPr>
          <w:rFonts w:ascii="Palatino Linotype" w:hAnsi="Palatino Linotype"/>
        </w:rPr>
      </w:pPr>
      <w:r w:rsidRPr="006C04C7">
        <w:rPr>
          <w:rStyle w:val="Refdenotaalpie"/>
          <w:rFonts w:ascii="Palatino Linotype" w:hAnsi="Palatino Linotype"/>
        </w:rPr>
        <w:footnoteRef/>
      </w:r>
      <w:r w:rsidRPr="006C04C7">
        <w:rPr>
          <w:rFonts w:ascii="Palatino Linotype" w:hAnsi="Palatino Linotype"/>
        </w:rPr>
        <w:t xml:space="preserve"> Tesis 1a./J. 19/2012 (9a.), </w:t>
      </w:r>
      <w:r w:rsidRPr="006C04C7">
        <w:rPr>
          <w:rFonts w:ascii="Palatino Linotype" w:hAnsi="Palatino Linotype"/>
          <w:i/>
        </w:rPr>
        <w:t xml:space="preserve">Semanario Judicial de la Federación y su Gaceta, </w:t>
      </w:r>
      <w:r w:rsidRPr="006C04C7">
        <w:rPr>
          <w:rFonts w:ascii="Palatino Linotype" w:hAnsi="Palatino Linotype"/>
        </w:rPr>
        <w:t>Novena Época, t. 2, octubre de 2012, p. 731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C85DC7"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0684</w:t>
          </w:r>
          <w:r w:rsidR="006B7184">
            <w:rPr>
              <w:rFonts w:ascii="Palatino Linotype" w:hAnsi="Palatino Linotype" w:cs="Arial"/>
              <w:bCs/>
              <w:sz w:val="24"/>
              <w:lang w:eastAsia="es-MX"/>
            </w:rPr>
            <w:t>5</w:t>
          </w:r>
          <w:r w:rsidR="00DA1B7C">
            <w:rPr>
              <w:rFonts w:ascii="Palatino Linotype" w:hAnsi="Palatino Linotype" w:cs="Arial"/>
              <w:bCs/>
              <w:sz w:val="24"/>
              <w:lang w:eastAsia="es-MX"/>
            </w:rPr>
            <w:t>/INFOEM/IP/RR/2019</w:t>
          </w:r>
        </w:p>
      </w:tc>
    </w:tr>
    <w:tr w:rsidR="00D77F62" w:rsidTr="00182616">
      <w:trPr>
        <w:trHeight w:val="242"/>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C85DC7" w:rsidP="003D2A1C">
          <w:pPr>
            <w:spacing w:after="120" w:line="256" w:lineRule="auto"/>
            <w:ind w:left="72" w:right="214"/>
            <w:jc w:val="right"/>
            <w:rPr>
              <w:rFonts w:ascii="Palatino Linotype" w:hAnsi="Palatino Linotype" w:cs="Arial"/>
              <w:szCs w:val="20"/>
            </w:rPr>
          </w:pPr>
          <w:r>
            <w:rPr>
              <w:rFonts w:ascii="Palatino Linotype" w:hAnsi="Palatino Linotype" w:cs="Arial"/>
              <w:szCs w:val="20"/>
            </w:rPr>
            <w:t>Instituto de Salud</w:t>
          </w:r>
          <w:r w:rsidR="006B7184">
            <w:rPr>
              <w:rFonts w:ascii="Palatino Linotype" w:hAnsi="Palatino Linotype" w:cs="Arial"/>
              <w:szCs w:val="20"/>
            </w:rPr>
            <w:t xml:space="preserve"> del Estado de México</w:t>
          </w:r>
        </w:p>
      </w:tc>
    </w:tr>
    <w:tr w:rsidR="00D77F62" w:rsidTr="00182616">
      <w:trPr>
        <w:trHeight w:val="342"/>
      </w:trPr>
      <w:tc>
        <w:tcPr>
          <w:tcW w:w="5949"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p w:rsidR="00A17D7B" w:rsidRDefault="00A17D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C85DC7"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06845</w:t>
          </w:r>
          <w:r w:rsidR="00DA1B7C">
            <w:rPr>
              <w:rFonts w:ascii="Palatino Linotype" w:hAnsi="Palatino Linotype" w:cs="Arial"/>
              <w:bCs/>
              <w:sz w:val="24"/>
              <w:lang w:eastAsia="es-MX"/>
            </w:rPr>
            <w:t>/INFOEM/IP/RR/2019</w:t>
          </w:r>
        </w:p>
      </w:tc>
    </w:tr>
    <w:tr w:rsidR="00D77F62" w:rsidTr="00182616">
      <w:trPr>
        <w:trHeight w:val="196"/>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D316BD" w:rsidP="00212498">
          <w:pPr>
            <w:spacing w:after="120" w:line="256" w:lineRule="auto"/>
            <w:ind w:left="208" w:right="214"/>
            <w:jc w:val="right"/>
            <w:rPr>
              <w:rFonts w:ascii="Palatino Linotype" w:hAnsi="Palatino Linotype" w:cs="Arial"/>
            </w:rPr>
          </w:pPr>
          <w:r>
            <w:rPr>
              <w:rFonts w:ascii="Palatino Linotype" w:hAnsi="Palatino Linotype" w:cs="Arial"/>
            </w:rPr>
            <w:t>xxxxxxxxxxxxxxxxxxx xxxxxxxxxxxx</w:t>
          </w:r>
        </w:p>
      </w:tc>
    </w:tr>
    <w:tr w:rsidR="00D77F62" w:rsidTr="00182616">
      <w:trPr>
        <w:trHeight w:val="242"/>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C85DC7"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Instituto de Salud</w:t>
          </w:r>
          <w:r w:rsidR="006B7184">
            <w:rPr>
              <w:rFonts w:ascii="Palatino Linotype" w:hAnsi="Palatino Linotype" w:cs="Arial"/>
              <w:szCs w:val="20"/>
            </w:rPr>
            <w:t xml:space="preserve"> del Estado de México</w:t>
          </w:r>
        </w:p>
      </w:tc>
    </w:tr>
    <w:tr w:rsidR="00D77F62" w:rsidTr="00182616">
      <w:trPr>
        <w:trHeight w:val="342"/>
      </w:trPr>
      <w:tc>
        <w:tcPr>
          <w:tcW w:w="5103"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D77F6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4557CD4"/>
    <w:multiLevelType w:val="hybridMultilevel"/>
    <w:tmpl w:val="3014F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8"/>
  </w:num>
  <w:num w:numId="5">
    <w:abstractNumId w:val="4"/>
  </w:num>
  <w:num w:numId="6">
    <w:abstractNumId w:val="3"/>
  </w:num>
  <w:num w:numId="7">
    <w:abstractNumId w:val="11"/>
  </w:num>
  <w:num w:numId="8">
    <w:abstractNumId w:val="10"/>
  </w:num>
  <w:num w:numId="9">
    <w:abstractNumId w:val="16"/>
  </w:num>
  <w:num w:numId="10">
    <w:abstractNumId w:val="5"/>
  </w:num>
  <w:num w:numId="11">
    <w:abstractNumId w:val="17"/>
  </w:num>
  <w:num w:numId="12">
    <w:abstractNumId w:val="13"/>
  </w:num>
  <w:num w:numId="13">
    <w:abstractNumId w:val="12"/>
  </w:num>
  <w:num w:numId="14">
    <w:abstractNumId w:val="8"/>
  </w:num>
  <w:num w:numId="15">
    <w:abstractNumId w:val="2"/>
  </w:num>
  <w:num w:numId="16">
    <w:abstractNumId w:val="7"/>
  </w:num>
  <w:num w:numId="17">
    <w:abstractNumId w:val="9"/>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76E0"/>
    <w:rsid w:val="00027CD3"/>
    <w:rsid w:val="00031486"/>
    <w:rsid w:val="00032DBD"/>
    <w:rsid w:val="00033949"/>
    <w:rsid w:val="00033A37"/>
    <w:rsid w:val="00037385"/>
    <w:rsid w:val="000402BD"/>
    <w:rsid w:val="00043018"/>
    <w:rsid w:val="00050A9C"/>
    <w:rsid w:val="00051311"/>
    <w:rsid w:val="000536F3"/>
    <w:rsid w:val="00053C9B"/>
    <w:rsid w:val="00057570"/>
    <w:rsid w:val="00062DC7"/>
    <w:rsid w:val="000674FE"/>
    <w:rsid w:val="0007328F"/>
    <w:rsid w:val="000738E9"/>
    <w:rsid w:val="0008042E"/>
    <w:rsid w:val="0008795C"/>
    <w:rsid w:val="0009497C"/>
    <w:rsid w:val="00095218"/>
    <w:rsid w:val="000A27C1"/>
    <w:rsid w:val="000D1A12"/>
    <w:rsid w:val="000D47AB"/>
    <w:rsid w:val="000D6982"/>
    <w:rsid w:val="000D756B"/>
    <w:rsid w:val="000E7C0A"/>
    <w:rsid w:val="000F199E"/>
    <w:rsid w:val="000F3722"/>
    <w:rsid w:val="000F7DBD"/>
    <w:rsid w:val="00106160"/>
    <w:rsid w:val="00114C3C"/>
    <w:rsid w:val="00115767"/>
    <w:rsid w:val="00116B4C"/>
    <w:rsid w:val="00122CD0"/>
    <w:rsid w:val="00122D78"/>
    <w:rsid w:val="0012508A"/>
    <w:rsid w:val="00132E9F"/>
    <w:rsid w:val="00135494"/>
    <w:rsid w:val="00140AE4"/>
    <w:rsid w:val="00140C2F"/>
    <w:rsid w:val="0014191F"/>
    <w:rsid w:val="00143AC6"/>
    <w:rsid w:val="0014447C"/>
    <w:rsid w:val="001510E8"/>
    <w:rsid w:val="001552E9"/>
    <w:rsid w:val="00162176"/>
    <w:rsid w:val="00165929"/>
    <w:rsid w:val="00166046"/>
    <w:rsid w:val="00166FB7"/>
    <w:rsid w:val="00175717"/>
    <w:rsid w:val="00180F6B"/>
    <w:rsid w:val="00182616"/>
    <w:rsid w:val="0018326A"/>
    <w:rsid w:val="001869B0"/>
    <w:rsid w:val="00193991"/>
    <w:rsid w:val="001A17B9"/>
    <w:rsid w:val="001A4700"/>
    <w:rsid w:val="001C0CE9"/>
    <w:rsid w:val="001D6114"/>
    <w:rsid w:val="001D61D0"/>
    <w:rsid w:val="001E07AC"/>
    <w:rsid w:val="001E1E50"/>
    <w:rsid w:val="001E60B7"/>
    <w:rsid w:val="001F021C"/>
    <w:rsid w:val="001F2BC9"/>
    <w:rsid w:val="001F50B1"/>
    <w:rsid w:val="001F5577"/>
    <w:rsid w:val="001F60B6"/>
    <w:rsid w:val="00201358"/>
    <w:rsid w:val="00203FA5"/>
    <w:rsid w:val="00207ACC"/>
    <w:rsid w:val="00207DA3"/>
    <w:rsid w:val="002108D8"/>
    <w:rsid w:val="00211473"/>
    <w:rsid w:val="00212498"/>
    <w:rsid w:val="00213EE6"/>
    <w:rsid w:val="00216B8D"/>
    <w:rsid w:val="002252AD"/>
    <w:rsid w:val="002450D9"/>
    <w:rsid w:val="00246D94"/>
    <w:rsid w:val="00247E1F"/>
    <w:rsid w:val="00254523"/>
    <w:rsid w:val="002572CF"/>
    <w:rsid w:val="0026191D"/>
    <w:rsid w:val="00271762"/>
    <w:rsid w:val="002773C5"/>
    <w:rsid w:val="0028585E"/>
    <w:rsid w:val="00285899"/>
    <w:rsid w:val="00287072"/>
    <w:rsid w:val="00290397"/>
    <w:rsid w:val="00296F49"/>
    <w:rsid w:val="002A1927"/>
    <w:rsid w:val="002B1519"/>
    <w:rsid w:val="002B2165"/>
    <w:rsid w:val="002B5B14"/>
    <w:rsid w:val="002B7051"/>
    <w:rsid w:val="002C1DFC"/>
    <w:rsid w:val="002C2A2E"/>
    <w:rsid w:val="002C2D19"/>
    <w:rsid w:val="002C529C"/>
    <w:rsid w:val="002C56B2"/>
    <w:rsid w:val="002D4991"/>
    <w:rsid w:val="002D5D67"/>
    <w:rsid w:val="002D6110"/>
    <w:rsid w:val="002E22D8"/>
    <w:rsid w:val="002E2D4C"/>
    <w:rsid w:val="002E6036"/>
    <w:rsid w:val="002F044A"/>
    <w:rsid w:val="002F0481"/>
    <w:rsid w:val="002F160B"/>
    <w:rsid w:val="002F17FB"/>
    <w:rsid w:val="00301A01"/>
    <w:rsid w:val="003021C1"/>
    <w:rsid w:val="00303FAF"/>
    <w:rsid w:val="00304C91"/>
    <w:rsid w:val="00307784"/>
    <w:rsid w:val="00310760"/>
    <w:rsid w:val="00311191"/>
    <w:rsid w:val="00312E7E"/>
    <w:rsid w:val="00315192"/>
    <w:rsid w:val="00326D4D"/>
    <w:rsid w:val="00327932"/>
    <w:rsid w:val="00336EDF"/>
    <w:rsid w:val="0034042F"/>
    <w:rsid w:val="00363308"/>
    <w:rsid w:val="00365ADF"/>
    <w:rsid w:val="00374450"/>
    <w:rsid w:val="00375FF5"/>
    <w:rsid w:val="0038385D"/>
    <w:rsid w:val="003908F4"/>
    <w:rsid w:val="003919AC"/>
    <w:rsid w:val="00395C1A"/>
    <w:rsid w:val="003A13D2"/>
    <w:rsid w:val="003A3096"/>
    <w:rsid w:val="003B2BFE"/>
    <w:rsid w:val="003B4E89"/>
    <w:rsid w:val="003B5524"/>
    <w:rsid w:val="003C3124"/>
    <w:rsid w:val="003C74AF"/>
    <w:rsid w:val="003D0425"/>
    <w:rsid w:val="003D2672"/>
    <w:rsid w:val="003D2A1C"/>
    <w:rsid w:val="003D3420"/>
    <w:rsid w:val="003D6DBD"/>
    <w:rsid w:val="003E08B9"/>
    <w:rsid w:val="003F046E"/>
    <w:rsid w:val="003F2B65"/>
    <w:rsid w:val="003F5B28"/>
    <w:rsid w:val="00400852"/>
    <w:rsid w:val="00404F9D"/>
    <w:rsid w:val="00405574"/>
    <w:rsid w:val="00406B61"/>
    <w:rsid w:val="00407282"/>
    <w:rsid w:val="00410A41"/>
    <w:rsid w:val="004132B8"/>
    <w:rsid w:val="00413DCA"/>
    <w:rsid w:val="00417EBD"/>
    <w:rsid w:val="00423C27"/>
    <w:rsid w:val="00424A8A"/>
    <w:rsid w:val="00425199"/>
    <w:rsid w:val="00427FEA"/>
    <w:rsid w:val="00443826"/>
    <w:rsid w:val="004440A9"/>
    <w:rsid w:val="0045270C"/>
    <w:rsid w:val="0045396C"/>
    <w:rsid w:val="004572BE"/>
    <w:rsid w:val="004617C7"/>
    <w:rsid w:val="004625C1"/>
    <w:rsid w:val="004657BE"/>
    <w:rsid w:val="0047200D"/>
    <w:rsid w:val="004737E6"/>
    <w:rsid w:val="00473B0B"/>
    <w:rsid w:val="004757BD"/>
    <w:rsid w:val="004807F7"/>
    <w:rsid w:val="00481A0C"/>
    <w:rsid w:val="004830B5"/>
    <w:rsid w:val="00484E47"/>
    <w:rsid w:val="00487B8B"/>
    <w:rsid w:val="00496755"/>
    <w:rsid w:val="00497B93"/>
    <w:rsid w:val="004A2FA3"/>
    <w:rsid w:val="004A51FF"/>
    <w:rsid w:val="004B2C63"/>
    <w:rsid w:val="004B4721"/>
    <w:rsid w:val="004B5E7C"/>
    <w:rsid w:val="004C204A"/>
    <w:rsid w:val="004C7E18"/>
    <w:rsid w:val="004D2CC3"/>
    <w:rsid w:val="004E2FA6"/>
    <w:rsid w:val="004E3718"/>
    <w:rsid w:val="004E37E9"/>
    <w:rsid w:val="004F483E"/>
    <w:rsid w:val="004F4B8F"/>
    <w:rsid w:val="0050104C"/>
    <w:rsid w:val="005023F4"/>
    <w:rsid w:val="005033CC"/>
    <w:rsid w:val="00516BA8"/>
    <w:rsid w:val="0052393E"/>
    <w:rsid w:val="00524986"/>
    <w:rsid w:val="005328FB"/>
    <w:rsid w:val="005334B5"/>
    <w:rsid w:val="00536896"/>
    <w:rsid w:val="00537419"/>
    <w:rsid w:val="00537D90"/>
    <w:rsid w:val="00541B17"/>
    <w:rsid w:val="005421C7"/>
    <w:rsid w:val="005448FA"/>
    <w:rsid w:val="00566699"/>
    <w:rsid w:val="005733EB"/>
    <w:rsid w:val="005747D1"/>
    <w:rsid w:val="0057534D"/>
    <w:rsid w:val="00590126"/>
    <w:rsid w:val="00591988"/>
    <w:rsid w:val="00596856"/>
    <w:rsid w:val="005A117C"/>
    <w:rsid w:val="005A6F55"/>
    <w:rsid w:val="005B2A31"/>
    <w:rsid w:val="005B7E58"/>
    <w:rsid w:val="005C057C"/>
    <w:rsid w:val="005C76D5"/>
    <w:rsid w:val="005D02A8"/>
    <w:rsid w:val="005D26F8"/>
    <w:rsid w:val="005D5EEB"/>
    <w:rsid w:val="005E36A7"/>
    <w:rsid w:val="005E3F88"/>
    <w:rsid w:val="005F49E8"/>
    <w:rsid w:val="00600575"/>
    <w:rsid w:val="00600D67"/>
    <w:rsid w:val="0060633A"/>
    <w:rsid w:val="006110C1"/>
    <w:rsid w:val="006149F1"/>
    <w:rsid w:val="00620FA6"/>
    <w:rsid w:val="006214A1"/>
    <w:rsid w:val="006246A5"/>
    <w:rsid w:val="0062686A"/>
    <w:rsid w:val="00627F9C"/>
    <w:rsid w:val="00631F1B"/>
    <w:rsid w:val="00631FF9"/>
    <w:rsid w:val="00633C3F"/>
    <w:rsid w:val="00640D07"/>
    <w:rsid w:val="00642541"/>
    <w:rsid w:val="00644363"/>
    <w:rsid w:val="006446F7"/>
    <w:rsid w:val="00647B4C"/>
    <w:rsid w:val="00652906"/>
    <w:rsid w:val="0065519D"/>
    <w:rsid w:val="00661204"/>
    <w:rsid w:val="006621E2"/>
    <w:rsid w:val="0066610F"/>
    <w:rsid w:val="00673D7C"/>
    <w:rsid w:val="006749FD"/>
    <w:rsid w:val="00676C32"/>
    <w:rsid w:val="00680D39"/>
    <w:rsid w:val="00686046"/>
    <w:rsid w:val="0068613E"/>
    <w:rsid w:val="00691AB7"/>
    <w:rsid w:val="0069776E"/>
    <w:rsid w:val="006A0ADE"/>
    <w:rsid w:val="006A29C5"/>
    <w:rsid w:val="006A3A54"/>
    <w:rsid w:val="006A4A87"/>
    <w:rsid w:val="006A561E"/>
    <w:rsid w:val="006B5A87"/>
    <w:rsid w:val="006B7184"/>
    <w:rsid w:val="006C04C7"/>
    <w:rsid w:val="006C43CE"/>
    <w:rsid w:val="006C5AE3"/>
    <w:rsid w:val="006C6176"/>
    <w:rsid w:val="006D01DC"/>
    <w:rsid w:val="006D1136"/>
    <w:rsid w:val="006D254A"/>
    <w:rsid w:val="006D4AD4"/>
    <w:rsid w:val="006D780C"/>
    <w:rsid w:val="006E0601"/>
    <w:rsid w:val="006E2D42"/>
    <w:rsid w:val="006E6394"/>
    <w:rsid w:val="006E6C81"/>
    <w:rsid w:val="006F18FD"/>
    <w:rsid w:val="006F4A35"/>
    <w:rsid w:val="006F4ABB"/>
    <w:rsid w:val="00702DB6"/>
    <w:rsid w:val="00705D1C"/>
    <w:rsid w:val="00707021"/>
    <w:rsid w:val="0071210D"/>
    <w:rsid w:val="007158BB"/>
    <w:rsid w:val="007218F2"/>
    <w:rsid w:val="007256EA"/>
    <w:rsid w:val="00730DE0"/>
    <w:rsid w:val="0073345D"/>
    <w:rsid w:val="0073758D"/>
    <w:rsid w:val="0074093D"/>
    <w:rsid w:val="00741C5B"/>
    <w:rsid w:val="007475B3"/>
    <w:rsid w:val="00751BBC"/>
    <w:rsid w:val="0075676A"/>
    <w:rsid w:val="0076120C"/>
    <w:rsid w:val="00763D73"/>
    <w:rsid w:val="007640C8"/>
    <w:rsid w:val="007676AF"/>
    <w:rsid w:val="00771503"/>
    <w:rsid w:val="00776087"/>
    <w:rsid w:val="00780539"/>
    <w:rsid w:val="00785145"/>
    <w:rsid w:val="00786497"/>
    <w:rsid w:val="00790289"/>
    <w:rsid w:val="007931B9"/>
    <w:rsid w:val="0079496F"/>
    <w:rsid w:val="00794D57"/>
    <w:rsid w:val="00797BE3"/>
    <w:rsid w:val="007A0571"/>
    <w:rsid w:val="007A1D57"/>
    <w:rsid w:val="007A223B"/>
    <w:rsid w:val="007A4E13"/>
    <w:rsid w:val="007B0292"/>
    <w:rsid w:val="007B0E30"/>
    <w:rsid w:val="007B1050"/>
    <w:rsid w:val="007C11C3"/>
    <w:rsid w:val="007D0CFF"/>
    <w:rsid w:val="007D2DCA"/>
    <w:rsid w:val="007E2E80"/>
    <w:rsid w:val="007E39F7"/>
    <w:rsid w:val="007F054B"/>
    <w:rsid w:val="007F1984"/>
    <w:rsid w:val="007F282E"/>
    <w:rsid w:val="007F7846"/>
    <w:rsid w:val="008041A7"/>
    <w:rsid w:val="008103B2"/>
    <w:rsid w:val="0081299A"/>
    <w:rsid w:val="00821898"/>
    <w:rsid w:val="00823454"/>
    <w:rsid w:val="00824894"/>
    <w:rsid w:val="00830360"/>
    <w:rsid w:val="008307E5"/>
    <w:rsid w:val="008431A4"/>
    <w:rsid w:val="0084469C"/>
    <w:rsid w:val="008455DC"/>
    <w:rsid w:val="00853CC3"/>
    <w:rsid w:val="008659E5"/>
    <w:rsid w:val="00867D56"/>
    <w:rsid w:val="00870064"/>
    <w:rsid w:val="008725EE"/>
    <w:rsid w:val="008731D1"/>
    <w:rsid w:val="00882E8A"/>
    <w:rsid w:val="00886627"/>
    <w:rsid w:val="00892543"/>
    <w:rsid w:val="008A1C19"/>
    <w:rsid w:val="008A46B7"/>
    <w:rsid w:val="008C0E72"/>
    <w:rsid w:val="008C0F70"/>
    <w:rsid w:val="008C15FF"/>
    <w:rsid w:val="008C651F"/>
    <w:rsid w:val="008C7CEB"/>
    <w:rsid w:val="008D17A8"/>
    <w:rsid w:val="008E572E"/>
    <w:rsid w:val="008E63C2"/>
    <w:rsid w:val="00903599"/>
    <w:rsid w:val="00905CE1"/>
    <w:rsid w:val="009151CF"/>
    <w:rsid w:val="009272C6"/>
    <w:rsid w:val="00930F68"/>
    <w:rsid w:val="009330E9"/>
    <w:rsid w:val="009339EC"/>
    <w:rsid w:val="00936CE7"/>
    <w:rsid w:val="0093743A"/>
    <w:rsid w:val="00942349"/>
    <w:rsid w:val="00943B37"/>
    <w:rsid w:val="00950ABA"/>
    <w:rsid w:val="00954DC1"/>
    <w:rsid w:val="00960CF3"/>
    <w:rsid w:val="00960D8F"/>
    <w:rsid w:val="0096284F"/>
    <w:rsid w:val="0096359D"/>
    <w:rsid w:val="00967270"/>
    <w:rsid w:val="0097416D"/>
    <w:rsid w:val="009759F9"/>
    <w:rsid w:val="00977F3E"/>
    <w:rsid w:val="00984CA8"/>
    <w:rsid w:val="00985573"/>
    <w:rsid w:val="009859B8"/>
    <w:rsid w:val="0099000E"/>
    <w:rsid w:val="00992548"/>
    <w:rsid w:val="00993234"/>
    <w:rsid w:val="00994FE7"/>
    <w:rsid w:val="009B1934"/>
    <w:rsid w:val="009B205B"/>
    <w:rsid w:val="009B3592"/>
    <w:rsid w:val="009B70C3"/>
    <w:rsid w:val="009C1EA2"/>
    <w:rsid w:val="009C3FC7"/>
    <w:rsid w:val="009D1E63"/>
    <w:rsid w:val="009D34B0"/>
    <w:rsid w:val="009D56AA"/>
    <w:rsid w:val="009D7BF3"/>
    <w:rsid w:val="009E0089"/>
    <w:rsid w:val="009E396D"/>
    <w:rsid w:val="009E7128"/>
    <w:rsid w:val="009F223E"/>
    <w:rsid w:val="009F7B22"/>
    <w:rsid w:val="00A01F59"/>
    <w:rsid w:val="00A06551"/>
    <w:rsid w:val="00A10000"/>
    <w:rsid w:val="00A10775"/>
    <w:rsid w:val="00A11244"/>
    <w:rsid w:val="00A112EB"/>
    <w:rsid w:val="00A17D7B"/>
    <w:rsid w:val="00A2199B"/>
    <w:rsid w:val="00A22469"/>
    <w:rsid w:val="00A25EBC"/>
    <w:rsid w:val="00A26AC5"/>
    <w:rsid w:val="00A3134D"/>
    <w:rsid w:val="00A33B3A"/>
    <w:rsid w:val="00A35B31"/>
    <w:rsid w:val="00A4214D"/>
    <w:rsid w:val="00A62727"/>
    <w:rsid w:val="00A65C29"/>
    <w:rsid w:val="00A666CE"/>
    <w:rsid w:val="00A70D00"/>
    <w:rsid w:val="00A823B0"/>
    <w:rsid w:val="00A854D1"/>
    <w:rsid w:val="00A871F0"/>
    <w:rsid w:val="00A9172E"/>
    <w:rsid w:val="00A94BF6"/>
    <w:rsid w:val="00AA4F9A"/>
    <w:rsid w:val="00AA5A0A"/>
    <w:rsid w:val="00AA73A2"/>
    <w:rsid w:val="00AB1AF3"/>
    <w:rsid w:val="00AB481C"/>
    <w:rsid w:val="00AB6FE4"/>
    <w:rsid w:val="00AD0168"/>
    <w:rsid w:val="00AD3C94"/>
    <w:rsid w:val="00AD4AD8"/>
    <w:rsid w:val="00AE658B"/>
    <w:rsid w:val="00AF1F1C"/>
    <w:rsid w:val="00B070F5"/>
    <w:rsid w:val="00B12CBA"/>
    <w:rsid w:val="00B16CAC"/>
    <w:rsid w:val="00B303EA"/>
    <w:rsid w:val="00B31ACE"/>
    <w:rsid w:val="00B31BB2"/>
    <w:rsid w:val="00B33A21"/>
    <w:rsid w:val="00B33DCC"/>
    <w:rsid w:val="00B34950"/>
    <w:rsid w:val="00B37304"/>
    <w:rsid w:val="00B377AC"/>
    <w:rsid w:val="00B501B2"/>
    <w:rsid w:val="00B50E01"/>
    <w:rsid w:val="00B51B2F"/>
    <w:rsid w:val="00B549E1"/>
    <w:rsid w:val="00B55DF7"/>
    <w:rsid w:val="00B56587"/>
    <w:rsid w:val="00B649E6"/>
    <w:rsid w:val="00B72EC9"/>
    <w:rsid w:val="00B75842"/>
    <w:rsid w:val="00B93C5C"/>
    <w:rsid w:val="00B97CAC"/>
    <w:rsid w:val="00BA11F9"/>
    <w:rsid w:val="00BA6922"/>
    <w:rsid w:val="00BA69A0"/>
    <w:rsid w:val="00BA79BA"/>
    <w:rsid w:val="00BB2359"/>
    <w:rsid w:val="00BC55DA"/>
    <w:rsid w:val="00BC64D4"/>
    <w:rsid w:val="00BD1DE7"/>
    <w:rsid w:val="00BD20DA"/>
    <w:rsid w:val="00BE100C"/>
    <w:rsid w:val="00BE48F3"/>
    <w:rsid w:val="00BE6D77"/>
    <w:rsid w:val="00BF0AEC"/>
    <w:rsid w:val="00BF123B"/>
    <w:rsid w:val="00BF123D"/>
    <w:rsid w:val="00BF2438"/>
    <w:rsid w:val="00BF3765"/>
    <w:rsid w:val="00BF5EE2"/>
    <w:rsid w:val="00BF69B1"/>
    <w:rsid w:val="00C01402"/>
    <w:rsid w:val="00C034B9"/>
    <w:rsid w:val="00C10AAE"/>
    <w:rsid w:val="00C115F4"/>
    <w:rsid w:val="00C1174D"/>
    <w:rsid w:val="00C2107B"/>
    <w:rsid w:val="00C23BE9"/>
    <w:rsid w:val="00C2473C"/>
    <w:rsid w:val="00C25822"/>
    <w:rsid w:val="00C25B89"/>
    <w:rsid w:val="00C277F4"/>
    <w:rsid w:val="00C34B47"/>
    <w:rsid w:val="00C35F18"/>
    <w:rsid w:val="00C40345"/>
    <w:rsid w:val="00C50A40"/>
    <w:rsid w:val="00C53430"/>
    <w:rsid w:val="00C67A59"/>
    <w:rsid w:val="00C8573E"/>
    <w:rsid w:val="00C85DC7"/>
    <w:rsid w:val="00C90CE9"/>
    <w:rsid w:val="00C911DE"/>
    <w:rsid w:val="00C921D5"/>
    <w:rsid w:val="00C95F13"/>
    <w:rsid w:val="00CA2ED9"/>
    <w:rsid w:val="00CA3DD3"/>
    <w:rsid w:val="00CA5EC1"/>
    <w:rsid w:val="00CC5AB7"/>
    <w:rsid w:val="00CD2946"/>
    <w:rsid w:val="00CD4230"/>
    <w:rsid w:val="00CD5D9E"/>
    <w:rsid w:val="00CE15C8"/>
    <w:rsid w:val="00CF27C6"/>
    <w:rsid w:val="00CF7E3D"/>
    <w:rsid w:val="00D01B24"/>
    <w:rsid w:val="00D020E2"/>
    <w:rsid w:val="00D04234"/>
    <w:rsid w:val="00D04E44"/>
    <w:rsid w:val="00D0540D"/>
    <w:rsid w:val="00D0673B"/>
    <w:rsid w:val="00D13B83"/>
    <w:rsid w:val="00D14D51"/>
    <w:rsid w:val="00D14E3B"/>
    <w:rsid w:val="00D157A3"/>
    <w:rsid w:val="00D23F11"/>
    <w:rsid w:val="00D316BD"/>
    <w:rsid w:val="00D32449"/>
    <w:rsid w:val="00D3297A"/>
    <w:rsid w:val="00D32E6F"/>
    <w:rsid w:val="00D46D29"/>
    <w:rsid w:val="00D5329C"/>
    <w:rsid w:val="00D54889"/>
    <w:rsid w:val="00D57072"/>
    <w:rsid w:val="00D57A8D"/>
    <w:rsid w:val="00D61A59"/>
    <w:rsid w:val="00D633B6"/>
    <w:rsid w:val="00D64F6D"/>
    <w:rsid w:val="00D70758"/>
    <w:rsid w:val="00D7133B"/>
    <w:rsid w:val="00D72377"/>
    <w:rsid w:val="00D75DD0"/>
    <w:rsid w:val="00D760EF"/>
    <w:rsid w:val="00D77F62"/>
    <w:rsid w:val="00D80239"/>
    <w:rsid w:val="00D82C3F"/>
    <w:rsid w:val="00D85C97"/>
    <w:rsid w:val="00D867E7"/>
    <w:rsid w:val="00DA0E70"/>
    <w:rsid w:val="00DA1B7C"/>
    <w:rsid w:val="00DA21DB"/>
    <w:rsid w:val="00DA3C0E"/>
    <w:rsid w:val="00DA45C4"/>
    <w:rsid w:val="00DA5A00"/>
    <w:rsid w:val="00DA6917"/>
    <w:rsid w:val="00DB01B2"/>
    <w:rsid w:val="00DB199F"/>
    <w:rsid w:val="00DB5FF7"/>
    <w:rsid w:val="00DC0CB0"/>
    <w:rsid w:val="00DC4E35"/>
    <w:rsid w:val="00DD0417"/>
    <w:rsid w:val="00DD13E2"/>
    <w:rsid w:val="00DD2781"/>
    <w:rsid w:val="00DD2D53"/>
    <w:rsid w:val="00DD5971"/>
    <w:rsid w:val="00DD5DC9"/>
    <w:rsid w:val="00DE0587"/>
    <w:rsid w:val="00DE16E2"/>
    <w:rsid w:val="00DE3DD9"/>
    <w:rsid w:val="00DF0AF9"/>
    <w:rsid w:val="00DF1527"/>
    <w:rsid w:val="00DF2F2C"/>
    <w:rsid w:val="00DF3485"/>
    <w:rsid w:val="00DF51C8"/>
    <w:rsid w:val="00DF5C1F"/>
    <w:rsid w:val="00DF641D"/>
    <w:rsid w:val="00E014FE"/>
    <w:rsid w:val="00E03F66"/>
    <w:rsid w:val="00E132AC"/>
    <w:rsid w:val="00E1520C"/>
    <w:rsid w:val="00E209BB"/>
    <w:rsid w:val="00E23E06"/>
    <w:rsid w:val="00E25492"/>
    <w:rsid w:val="00E31685"/>
    <w:rsid w:val="00E37AA1"/>
    <w:rsid w:val="00E426C9"/>
    <w:rsid w:val="00E50BBA"/>
    <w:rsid w:val="00E50EFF"/>
    <w:rsid w:val="00E50F4B"/>
    <w:rsid w:val="00E51947"/>
    <w:rsid w:val="00E52335"/>
    <w:rsid w:val="00E53096"/>
    <w:rsid w:val="00E55F2C"/>
    <w:rsid w:val="00E56111"/>
    <w:rsid w:val="00E60476"/>
    <w:rsid w:val="00E61468"/>
    <w:rsid w:val="00E65AE8"/>
    <w:rsid w:val="00E70CAE"/>
    <w:rsid w:val="00E70CC2"/>
    <w:rsid w:val="00E70D08"/>
    <w:rsid w:val="00E726BA"/>
    <w:rsid w:val="00E72712"/>
    <w:rsid w:val="00E83DA0"/>
    <w:rsid w:val="00E93579"/>
    <w:rsid w:val="00EA0886"/>
    <w:rsid w:val="00EA2AAB"/>
    <w:rsid w:val="00EB2068"/>
    <w:rsid w:val="00EC1776"/>
    <w:rsid w:val="00EC4B6A"/>
    <w:rsid w:val="00EC63B8"/>
    <w:rsid w:val="00ED4829"/>
    <w:rsid w:val="00ED60C2"/>
    <w:rsid w:val="00ED634A"/>
    <w:rsid w:val="00ED78F3"/>
    <w:rsid w:val="00EE03F5"/>
    <w:rsid w:val="00EE08F5"/>
    <w:rsid w:val="00EE5CE9"/>
    <w:rsid w:val="00EF4D17"/>
    <w:rsid w:val="00EF6B28"/>
    <w:rsid w:val="00F07DC2"/>
    <w:rsid w:val="00F1657E"/>
    <w:rsid w:val="00F1770B"/>
    <w:rsid w:val="00F2178A"/>
    <w:rsid w:val="00F2343A"/>
    <w:rsid w:val="00F41E98"/>
    <w:rsid w:val="00F44637"/>
    <w:rsid w:val="00F45389"/>
    <w:rsid w:val="00F46398"/>
    <w:rsid w:val="00F4708B"/>
    <w:rsid w:val="00F53B53"/>
    <w:rsid w:val="00F612DC"/>
    <w:rsid w:val="00F66A72"/>
    <w:rsid w:val="00F7667E"/>
    <w:rsid w:val="00F83F9F"/>
    <w:rsid w:val="00F8521C"/>
    <w:rsid w:val="00F86466"/>
    <w:rsid w:val="00F8666D"/>
    <w:rsid w:val="00F91340"/>
    <w:rsid w:val="00F92D09"/>
    <w:rsid w:val="00F96AD5"/>
    <w:rsid w:val="00FA47E2"/>
    <w:rsid w:val="00FA55D2"/>
    <w:rsid w:val="00FB2F77"/>
    <w:rsid w:val="00FB55E9"/>
    <w:rsid w:val="00FC716A"/>
    <w:rsid w:val="00FC7D8B"/>
    <w:rsid w:val="00FD3A3C"/>
    <w:rsid w:val="00FD4EB1"/>
    <w:rsid w:val="00FD7EE2"/>
    <w:rsid w:val="00FE4562"/>
    <w:rsid w:val="00FF0836"/>
    <w:rsid w:val="00FF1E85"/>
    <w:rsid w:val="00FF2A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840823">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13532530">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DCB79-9124-4223-A6F6-E9064A556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4012</Words>
  <Characters>22070</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2019-10-14T18:15:00Z</cp:lastPrinted>
  <dcterms:created xsi:type="dcterms:W3CDTF">2019-11-13T20:43:00Z</dcterms:created>
  <dcterms:modified xsi:type="dcterms:W3CDTF">2019-11-13T20:43:00Z</dcterms:modified>
</cp:coreProperties>
</file>